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11088">
      <w:pPr>
        <w:spacing w:line="360" w:lineRule="auto"/>
        <w:jc w:val="center"/>
        <w:rPr>
          <w:rFonts w:hint="eastAsia" w:ascii="仿宋" w:hAnsi="仿宋" w:eastAsia="仿宋" w:cs="仿宋"/>
          <w:b/>
          <w:color w:val="auto"/>
          <w:sz w:val="24"/>
        </w:rPr>
      </w:pPr>
    </w:p>
    <w:p w14:paraId="09A22BE1">
      <w:pPr>
        <w:adjustRightInd/>
        <w:spacing w:line="360" w:lineRule="auto"/>
        <w:jc w:val="center"/>
        <w:rPr>
          <w:rFonts w:hint="eastAsia" w:ascii="仿宋" w:hAnsi="仿宋" w:eastAsia="仿宋" w:cs="仿宋"/>
          <w:b/>
          <w:bCs/>
          <w:color w:val="auto"/>
          <w:sz w:val="56"/>
          <w:szCs w:val="56"/>
          <w:lang w:eastAsia="zh-CN"/>
        </w:rPr>
      </w:pPr>
      <w:r>
        <w:rPr>
          <w:rFonts w:hint="eastAsia" w:ascii="仿宋" w:hAnsi="仿宋" w:eastAsia="仿宋" w:cs="仿宋"/>
          <w:b/>
          <w:bCs/>
          <w:color w:val="auto"/>
          <w:sz w:val="56"/>
          <w:szCs w:val="56"/>
          <w:lang w:eastAsia="zh-CN"/>
        </w:rPr>
        <w:t>萧山区临浦镇第一幼儿园暑期教师疗休养服务项目</w:t>
      </w:r>
    </w:p>
    <w:p w14:paraId="59466811">
      <w:pPr>
        <w:adjustRightInd/>
        <w:spacing w:line="360" w:lineRule="auto"/>
        <w:jc w:val="center"/>
        <w:rPr>
          <w:rFonts w:hint="eastAsia" w:ascii="仿宋" w:hAnsi="仿宋" w:eastAsia="仿宋" w:cs="仿宋"/>
          <w:b/>
          <w:bCs/>
          <w:color w:val="auto"/>
          <w:sz w:val="72"/>
          <w:szCs w:val="72"/>
        </w:rPr>
      </w:pPr>
      <w:r>
        <w:rPr>
          <w:rFonts w:hint="eastAsia" w:ascii="仿宋" w:hAnsi="仿宋" w:eastAsia="仿宋" w:cs="仿宋"/>
          <w:b/>
          <w:bCs/>
          <w:color w:val="auto"/>
          <w:sz w:val="56"/>
          <w:szCs w:val="56"/>
          <w:lang w:eastAsia="zh-CN"/>
        </w:rPr>
        <w:t>交易文件</w:t>
      </w:r>
    </w:p>
    <w:p w14:paraId="0DAA7E5A">
      <w:pPr>
        <w:pStyle w:val="3"/>
        <w:rPr>
          <w:rFonts w:hint="eastAsia" w:ascii="仿宋" w:hAnsi="仿宋" w:eastAsia="仿宋" w:cs="仿宋"/>
          <w:color w:val="auto"/>
        </w:rPr>
      </w:pPr>
    </w:p>
    <w:p w14:paraId="120D0237">
      <w:pPr>
        <w:snapToGrid w:val="0"/>
        <w:spacing w:line="360" w:lineRule="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0"/>
          <w:szCs w:val="30"/>
        </w:rPr>
        <w:t>交易编号:</w:t>
      </w:r>
      <w:r>
        <w:rPr>
          <w:rStyle w:val="63"/>
          <w:rFonts w:hint="eastAsia" w:ascii="宋体" w:hAnsi="宋体" w:cs="宋体"/>
          <w:color w:val="auto"/>
          <w:sz w:val="28"/>
          <w:szCs w:val="28"/>
          <w:highlight w:val="none"/>
          <w:shd w:val="clear" w:color="auto" w:fill="FFFFFF"/>
          <w:lang w:val="en-US" w:eastAsia="zh-CN"/>
        </w:rPr>
        <w:t>LPYY2025-001</w:t>
      </w:r>
    </w:p>
    <w:p w14:paraId="0F205363">
      <w:pPr>
        <w:pStyle w:val="3"/>
        <w:jc w:val="both"/>
        <w:rPr>
          <w:rFonts w:hint="eastAsia" w:ascii="仿宋" w:hAnsi="仿宋" w:eastAsia="仿宋" w:cs="仿宋"/>
          <w:color w:val="auto"/>
          <w:sz w:val="32"/>
          <w:szCs w:val="32"/>
        </w:rPr>
      </w:pPr>
    </w:p>
    <w:p w14:paraId="291877C8">
      <w:pPr>
        <w:rPr>
          <w:rFonts w:hint="eastAsia" w:ascii="仿宋" w:hAnsi="仿宋" w:eastAsia="仿宋" w:cs="仿宋"/>
          <w:color w:val="auto"/>
          <w:sz w:val="32"/>
          <w:szCs w:val="32"/>
        </w:rPr>
      </w:pPr>
    </w:p>
    <w:p w14:paraId="61BEFFA8">
      <w:pPr>
        <w:pStyle w:val="59"/>
        <w:ind w:firstLine="640"/>
        <w:rPr>
          <w:rFonts w:hint="eastAsia" w:ascii="仿宋" w:hAnsi="仿宋" w:eastAsia="仿宋" w:cs="仿宋"/>
          <w:color w:val="auto"/>
          <w:sz w:val="32"/>
          <w:szCs w:val="32"/>
        </w:rPr>
      </w:pPr>
    </w:p>
    <w:p w14:paraId="41CF65E9">
      <w:pPr>
        <w:pStyle w:val="59"/>
        <w:ind w:firstLine="640"/>
        <w:rPr>
          <w:rFonts w:hint="eastAsia" w:ascii="仿宋" w:hAnsi="仿宋" w:eastAsia="仿宋" w:cs="仿宋"/>
          <w:color w:val="auto"/>
          <w:sz w:val="32"/>
          <w:szCs w:val="32"/>
        </w:rPr>
      </w:pPr>
    </w:p>
    <w:p w14:paraId="77267EBD">
      <w:pPr>
        <w:pStyle w:val="59"/>
        <w:ind w:firstLine="640"/>
        <w:rPr>
          <w:rFonts w:hint="eastAsia" w:ascii="仿宋" w:hAnsi="仿宋" w:eastAsia="仿宋" w:cs="仿宋"/>
          <w:color w:val="auto"/>
          <w:sz w:val="32"/>
          <w:szCs w:val="32"/>
        </w:rPr>
      </w:pPr>
    </w:p>
    <w:p w14:paraId="5B81607E">
      <w:pPr>
        <w:pStyle w:val="59"/>
        <w:ind w:firstLine="640"/>
        <w:rPr>
          <w:rFonts w:hint="eastAsia" w:ascii="仿宋" w:hAnsi="仿宋" w:eastAsia="仿宋" w:cs="仿宋"/>
          <w:color w:val="auto"/>
          <w:sz w:val="32"/>
          <w:szCs w:val="32"/>
        </w:rPr>
      </w:pPr>
    </w:p>
    <w:p w14:paraId="49EDE8A9">
      <w:pPr>
        <w:pStyle w:val="59"/>
        <w:ind w:firstLine="640"/>
        <w:rPr>
          <w:rFonts w:hint="eastAsia" w:ascii="仿宋" w:hAnsi="仿宋" w:eastAsia="仿宋" w:cs="仿宋"/>
          <w:color w:val="auto"/>
          <w:sz w:val="32"/>
          <w:szCs w:val="32"/>
        </w:rPr>
      </w:pPr>
    </w:p>
    <w:p w14:paraId="723F3AAB">
      <w:pPr>
        <w:spacing w:line="600" w:lineRule="auto"/>
        <w:rPr>
          <w:rFonts w:hint="eastAsia" w:ascii="仿宋" w:hAnsi="仿宋" w:eastAsia="仿宋" w:cs="仿宋"/>
          <w:b/>
          <w:color w:val="auto"/>
          <w:sz w:val="28"/>
          <w:szCs w:val="28"/>
        </w:rPr>
      </w:pPr>
    </w:p>
    <w:p w14:paraId="50BDE16D">
      <w:pPr>
        <w:snapToGrid w:val="0"/>
        <w:spacing w:line="360" w:lineRule="auto"/>
        <w:jc w:val="center"/>
        <w:rPr>
          <w:rFonts w:hint="eastAsia" w:ascii="仿宋" w:hAnsi="仿宋" w:eastAsia="仿宋" w:cs="仿宋"/>
          <w:b/>
          <w:color w:val="auto"/>
          <w:sz w:val="36"/>
          <w:szCs w:val="36"/>
          <w:lang w:eastAsia="zh-CN"/>
        </w:rPr>
      </w:pPr>
      <w:r>
        <w:rPr>
          <w:rFonts w:hint="eastAsia" w:ascii="仿宋" w:hAnsi="仿宋" w:eastAsia="仿宋" w:cs="仿宋"/>
          <w:b/>
          <w:color w:val="auto"/>
          <w:sz w:val="36"/>
          <w:szCs w:val="36"/>
          <w:lang w:eastAsia="zh-CN"/>
        </w:rPr>
        <w:t>萧山区临浦镇第一幼儿园</w:t>
      </w:r>
    </w:p>
    <w:p w14:paraId="6AAE6F8C">
      <w:pPr>
        <w:snapToGrid w:val="0"/>
        <w:spacing w:line="360" w:lineRule="auto"/>
        <w:jc w:val="center"/>
        <w:rPr>
          <w:rFonts w:hint="eastAsia" w:ascii="仿宋" w:hAnsi="仿宋" w:eastAsia="仿宋" w:cs="仿宋"/>
          <w:bCs/>
          <w:color w:val="auto"/>
          <w:sz w:val="36"/>
          <w:szCs w:val="36"/>
        </w:rPr>
      </w:pPr>
      <w:r>
        <w:rPr>
          <w:rFonts w:hint="eastAsia" w:ascii="仿宋" w:hAnsi="仿宋" w:eastAsia="仿宋" w:cs="仿宋"/>
          <w:b/>
          <w:color w:val="auto"/>
          <w:sz w:val="36"/>
          <w:szCs w:val="36"/>
          <w:lang w:eastAsia="zh-CN"/>
        </w:rPr>
        <w:t>浙江新联工程管理咨询有限公司</w:t>
      </w:r>
      <w:r>
        <w:rPr>
          <w:rFonts w:hint="eastAsia" w:ascii="仿宋" w:hAnsi="仿宋" w:eastAsia="仿宋" w:cs="仿宋"/>
          <w:bCs/>
          <w:color w:val="auto"/>
          <w:sz w:val="36"/>
          <w:szCs w:val="36"/>
        </w:rPr>
        <w:t xml:space="preserve"> </w:t>
      </w:r>
    </w:p>
    <w:p w14:paraId="32B23239">
      <w:pPr>
        <w:snapToGrid w:val="0"/>
        <w:spacing w:line="360" w:lineRule="auto"/>
        <w:jc w:val="center"/>
        <w:rPr>
          <w:rFonts w:hint="eastAsia" w:ascii="仿宋" w:hAnsi="仿宋" w:eastAsia="仿宋" w:cs="仿宋"/>
          <w:bCs/>
          <w:color w:val="auto"/>
          <w:sz w:val="36"/>
          <w:szCs w:val="36"/>
        </w:rPr>
      </w:pPr>
      <w:r>
        <w:rPr>
          <w:rFonts w:hint="eastAsia" w:ascii="仿宋" w:hAnsi="仿宋" w:eastAsia="仿宋" w:cs="仿宋"/>
          <w:bCs/>
          <w:color w:val="auto"/>
          <w:sz w:val="36"/>
          <w:szCs w:val="36"/>
        </w:rPr>
        <w:t xml:space="preserve"> 202</w:t>
      </w:r>
      <w:r>
        <w:rPr>
          <w:rFonts w:hint="eastAsia" w:ascii="仿宋" w:hAnsi="仿宋" w:eastAsia="仿宋" w:cs="仿宋"/>
          <w:bCs/>
          <w:color w:val="auto"/>
          <w:sz w:val="36"/>
          <w:szCs w:val="36"/>
          <w:lang w:val="en-US" w:eastAsia="zh-CN"/>
        </w:rPr>
        <w:t>5</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06</w:t>
      </w:r>
      <w:r>
        <w:rPr>
          <w:rFonts w:hint="eastAsia" w:ascii="仿宋" w:hAnsi="仿宋" w:eastAsia="仿宋" w:cs="仿宋"/>
          <w:bCs/>
          <w:color w:val="auto"/>
          <w:sz w:val="36"/>
          <w:szCs w:val="36"/>
        </w:rPr>
        <w:t>月</w:t>
      </w:r>
    </w:p>
    <w:p w14:paraId="1289F5A8">
      <w:pPr>
        <w:spacing w:line="360" w:lineRule="auto"/>
        <w:jc w:val="center"/>
        <w:rPr>
          <w:rFonts w:hint="eastAsia" w:ascii="仿宋" w:hAnsi="仿宋" w:eastAsia="仿宋" w:cs="仿宋"/>
          <w:bCs/>
          <w:color w:val="auto"/>
          <w:sz w:val="32"/>
          <w:szCs w:val="32"/>
        </w:rPr>
      </w:pPr>
    </w:p>
    <w:p w14:paraId="15541DC7">
      <w:pPr>
        <w:pStyle w:val="73"/>
        <w:spacing w:before="120"/>
        <w:ind w:firstLine="640"/>
        <w:rPr>
          <w:rFonts w:hint="eastAsia" w:ascii="仿宋" w:hAnsi="仿宋" w:eastAsia="仿宋" w:cs="仿宋"/>
          <w:bCs/>
          <w:color w:val="auto"/>
          <w:sz w:val="32"/>
          <w:szCs w:val="32"/>
        </w:rPr>
      </w:pPr>
    </w:p>
    <w:p w14:paraId="74FD163E">
      <w:pPr>
        <w:pStyle w:val="73"/>
        <w:spacing w:before="120"/>
        <w:ind w:firstLine="640"/>
        <w:rPr>
          <w:rFonts w:hint="eastAsia" w:ascii="仿宋" w:hAnsi="仿宋" w:eastAsia="仿宋" w:cs="仿宋"/>
          <w:bCs/>
          <w:color w:val="auto"/>
          <w:sz w:val="32"/>
          <w:szCs w:val="32"/>
        </w:rPr>
      </w:pPr>
    </w:p>
    <w:p w14:paraId="5F59EFE8">
      <w:pPr>
        <w:spacing w:line="360" w:lineRule="auto"/>
        <w:jc w:val="center"/>
        <w:rPr>
          <w:rFonts w:hint="eastAsia" w:ascii="仿宋" w:hAnsi="仿宋" w:eastAsia="仿宋" w:cs="仿宋"/>
          <w:b/>
          <w:color w:val="auto"/>
          <w:sz w:val="48"/>
          <w:szCs w:val="48"/>
        </w:rPr>
      </w:pPr>
      <w:bookmarkStart w:id="0" w:name="_Hlt67893495"/>
      <w:bookmarkEnd w:id="0"/>
    </w:p>
    <w:p w14:paraId="45F8A24A">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4AFD07BD">
      <w:pPr>
        <w:spacing w:line="360" w:lineRule="auto"/>
        <w:jc w:val="center"/>
        <w:rPr>
          <w:rFonts w:hint="eastAsia" w:ascii="仿宋" w:hAnsi="仿宋" w:eastAsia="仿宋" w:cs="仿宋"/>
          <w:color w:val="auto"/>
          <w:sz w:val="32"/>
          <w:szCs w:val="32"/>
        </w:rPr>
      </w:pPr>
    </w:p>
    <w:p w14:paraId="652EAEFA">
      <w:pPr>
        <w:spacing w:line="360" w:lineRule="auto"/>
        <w:rPr>
          <w:rFonts w:hint="eastAsia" w:ascii="仿宋" w:hAnsi="仿宋" w:eastAsia="仿宋" w:cs="仿宋"/>
          <w:color w:val="auto"/>
          <w:sz w:val="32"/>
          <w:szCs w:val="32"/>
        </w:rPr>
      </w:pPr>
    </w:p>
    <w:p w14:paraId="4C3F948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交易公告</w:t>
      </w:r>
    </w:p>
    <w:p w14:paraId="58345D6F">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响应人须知</w:t>
      </w:r>
    </w:p>
    <w:p w14:paraId="2EEDC022">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交易需求</w:t>
      </w:r>
    </w:p>
    <w:p w14:paraId="2E268EF4">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评标方法及评分标准</w:t>
      </w:r>
    </w:p>
    <w:p w14:paraId="4D9E3880">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7B07C544">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455704D2">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14:paraId="26BD15BF">
      <w:pPr>
        <w:spacing w:line="360" w:lineRule="auto"/>
        <w:ind w:firstLine="549" w:firstLineChars="229"/>
        <w:rPr>
          <w:rFonts w:hint="eastAsia" w:ascii="仿宋" w:hAnsi="仿宋" w:eastAsia="仿宋" w:cs="仿宋"/>
          <w:color w:val="auto"/>
          <w:sz w:val="24"/>
        </w:rPr>
      </w:pPr>
    </w:p>
    <w:p w14:paraId="1729B689">
      <w:pPr>
        <w:spacing w:line="360" w:lineRule="auto"/>
        <w:ind w:firstLine="549" w:firstLineChars="229"/>
        <w:rPr>
          <w:rFonts w:hint="eastAsia" w:ascii="仿宋" w:hAnsi="仿宋" w:eastAsia="仿宋" w:cs="仿宋"/>
          <w:color w:val="auto"/>
          <w:sz w:val="24"/>
        </w:rPr>
      </w:pPr>
    </w:p>
    <w:p w14:paraId="19B50C0B">
      <w:pPr>
        <w:spacing w:line="360" w:lineRule="auto"/>
        <w:ind w:firstLine="549" w:firstLineChars="229"/>
        <w:rPr>
          <w:rFonts w:hint="eastAsia" w:ascii="仿宋" w:hAnsi="仿宋" w:eastAsia="仿宋" w:cs="仿宋"/>
          <w:color w:val="auto"/>
          <w:sz w:val="24"/>
        </w:rPr>
      </w:pPr>
    </w:p>
    <w:p w14:paraId="00BF45EF">
      <w:pPr>
        <w:spacing w:line="360" w:lineRule="auto"/>
        <w:ind w:firstLine="549" w:firstLineChars="229"/>
        <w:rPr>
          <w:rFonts w:hint="eastAsia" w:ascii="仿宋" w:hAnsi="仿宋" w:eastAsia="仿宋" w:cs="仿宋"/>
          <w:color w:val="auto"/>
          <w:sz w:val="24"/>
        </w:rPr>
      </w:pPr>
    </w:p>
    <w:p w14:paraId="185A80F2">
      <w:pPr>
        <w:spacing w:line="360" w:lineRule="auto"/>
        <w:ind w:firstLine="549" w:firstLineChars="229"/>
        <w:rPr>
          <w:rFonts w:hint="eastAsia" w:ascii="仿宋" w:hAnsi="仿宋" w:eastAsia="仿宋" w:cs="仿宋"/>
          <w:color w:val="auto"/>
          <w:sz w:val="24"/>
        </w:rPr>
      </w:pPr>
    </w:p>
    <w:p w14:paraId="0CD3F7A6">
      <w:pPr>
        <w:spacing w:line="360" w:lineRule="auto"/>
        <w:ind w:firstLine="549" w:firstLineChars="229"/>
        <w:rPr>
          <w:rFonts w:hint="eastAsia" w:ascii="仿宋" w:hAnsi="仿宋" w:eastAsia="仿宋" w:cs="仿宋"/>
          <w:color w:val="auto"/>
          <w:sz w:val="24"/>
        </w:rPr>
      </w:pPr>
    </w:p>
    <w:p w14:paraId="7B408AC1">
      <w:pPr>
        <w:spacing w:line="360" w:lineRule="auto"/>
        <w:ind w:firstLine="549" w:firstLineChars="229"/>
        <w:rPr>
          <w:rFonts w:hint="eastAsia" w:ascii="仿宋" w:hAnsi="仿宋" w:eastAsia="仿宋" w:cs="仿宋"/>
          <w:color w:val="auto"/>
          <w:sz w:val="24"/>
        </w:rPr>
      </w:pPr>
    </w:p>
    <w:bookmarkEnd w:id="2"/>
    <w:p w14:paraId="5C7C4199">
      <w:pPr>
        <w:pStyle w:val="3"/>
        <w:rPr>
          <w:rFonts w:hint="eastAsia" w:ascii="仿宋" w:hAnsi="仿宋" w:eastAsia="仿宋" w:cs="仿宋"/>
          <w:color w:val="auto"/>
        </w:r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p>
    <w:p w14:paraId="410F94D4">
      <w:pPr>
        <w:rPr>
          <w:rFonts w:hint="eastAsia" w:ascii="仿宋" w:hAnsi="仿宋" w:eastAsia="仿宋" w:cs="仿宋"/>
          <w:color w:val="auto"/>
        </w:rPr>
      </w:pPr>
    </w:p>
    <w:p w14:paraId="4663FAAF">
      <w:pPr>
        <w:pStyle w:val="59"/>
        <w:rPr>
          <w:rFonts w:hint="eastAsia" w:ascii="仿宋" w:hAnsi="仿宋" w:eastAsia="仿宋" w:cs="仿宋"/>
          <w:color w:val="auto"/>
        </w:rPr>
      </w:pPr>
    </w:p>
    <w:p w14:paraId="2F688908">
      <w:pPr>
        <w:pStyle w:val="59"/>
        <w:rPr>
          <w:rFonts w:hint="eastAsia" w:ascii="仿宋" w:hAnsi="仿宋" w:eastAsia="仿宋" w:cs="仿宋"/>
          <w:color w:val="auto"/>
        </w:rPr>
      </w:pPr>
    </w:p>
    <w:p w14:paraId="444E687D">
      <w:pPr>
        <w:pStyle w:val="59"/>
        <w:rPr>
          <w:rFonts w:hint="eastAsia" w:ascii="仿宋" w:hAnsi="仿宋" w:eastAsia="仿宋" w:cs="仿宋"/>
          <w:color w:val="auto"/>
        </w:rPr>
      </w:pPr>
    </w:p>
    <w:p w14:paraId="56339839">
      <w:pPr>
        <w:pStyle w:val="59"/>
        <w:rPr>
          <w:rFonts w:hint="eastAsia" w:ascii="仿宋" w:hAnsi="仿宋" w:eastAsia="仿宋" w:cs="仿宋"/>
          <w:color w:val="auto"/>
        </w:rPr>
      </w:pPr>
    </w:p>
    <w:p w14:paraId="499E047A">
      <w:pPr>
        <w:pStyle w:val="59"/>
        <w:rPr>
          <w:rFonts w:hint="eastAsia" w:ascii="仿宋" w:hAnsi="仿宋" w:eastAsia="仿宋" w:cs="仿宋"/>
          <w:color w:val="auto"/>
        </w:rPr>
      </w:pPr>
    </w:p>
    <w:p w14:paraId="2B0F4080">
      <w:pPr>
        <w:pStyle w:val="59"/>
        <w:rPr>
          <w:rFonts w:hint="eastAsia" w:ascii="仿宋" w:hAnsi="仿宋" w:eastAsia="仿宋" w:cs="仿宋"/>
          <w:color w:val="auto"/>
        </w:rPr>
      </w:pPr>
    </w:p>
    <w:p w14:paraId="3FDD1DD1">
      <w:pPr>
        <w:pStyle w:val="3"/>
        <w:rPr>
          <w:rFonts w:hint="eastAsia" w:ascii="仿宋" w:hAnsi="仿宋" w:eastAsia="仿宋" w:cs="仿宋"/>
          <w:color w:val="auto"/>
        </w:rPr>
      </w:pPr>
    </w:p>
    <w:p w14:paraId="2CEBC942">
      <w:pPr>
        <w:pStyle w:val="3"/>
        <w:rPr>
          <w:rFonts w:hint="eastAsia" w:ascii="仿宋" w:hAnsi="仿宋" w:eastAsia="仿宋" w:cs="仿宋"/>
          <w:color w:val="auto"/>
        </w:rPr>
      </w:pPr>
      <w:r>
        <w:rPr>
          <w:rFonts w:hint="eastAsia" w:ascii="仿宋" w:hAnsi="仿宋" w:eastAsia="仿宋" w:cs="仿宋"/>
          <w:color w:val="auto"/>
        </w:rPr>
        <w:t>第一部分 交易公告</w:t>
      </w:r>
    </w:p>
    <w:p w14:paraId="5E75AFBC">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rPr>
      </w:pPr>
      <w:r>
        <w:rPr>
          <w:rFonts w:hint="eastAsia" w:ascii="仿宋" w:hAnsi="仿宋" w:eastAsia="仿宋" w:cs="仿宋"/>
          <w:color w:val="auto"/>
          <w:sz w:val="24"/>
          <w:szCs w:val="28"/>
        </w:rPr>
        <w:t>项目概况：</w:t>
      </w:r>
    </w:p>
    <w:p w14:paraId="53A6F576">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auto"/>
          <w:sz w:val="24"/>
          <w:szCs w:val="28"/>
        </w:rPr>
      </w:pPr>
      <w:r>
        <w:rPr>
          <w:rFonts w:hint="eastAsia" w:ascii="仿宋" w:hAnsi="仿宋" w:eastAsia="仿宋" w:cs="仿宋"/>
          <w:color w:val="auto"/>
          <w:sz w:val="24"/>
          <w:u w:val="single"/>
          <w:lang w:eastAsia="zh-CN"/>
        </w:rPr>
        <w:t>萧山区临浦镇第一幼儿园暑期教师疗休养服务项目</w:t>
      </w:r>
      <w:r>
        <w:rPr>
          <w:rFonts w:hint="eastAsia" w:ascii="仿宋" w:hAnsi="仿宋" w:eastAsia="仿宋" w:cs="仿宋"/>
          <w:color w:val="auto"/>
          <w:sz w:val="24"/>
        </w:rPr>
        <w:t>的</w:t>
      </w:r>
      <w:r>
        <w:rPr>
          <w:rFonts w:hint="eastAsia" w:ascii="仿宋" w:hAnsi="仿宋" w:eastAsia="仿宋" w:cs="仿宋"/>
          <w:color w:val="auto"/>
          <w:sz w:val="24"/>
          <w:lang w:eastAsia="zh-CN"/>
        </w:rPr>
        <w:t>潜在</w:t>
      </w:r>
      <w:r>
        <w:rPr>
          <w:rFonts w:hint="eastAsia" w:ascii="仿宋" w:hAnsi="仿宋" w:eastAsia="仿宋" w:cs="仿宋"/>
          <w:color w:val="auto"/>
          <w:sz w:val="24"/>
          <w:lang w:val="en-US" w:eastAsia="zh-CN"/>
        </w:rPr>
        <w:t>响应人</w:t>
      </w:r>
      <w:r>
        <w:rPr>
          <w:rFonts w:hint="eastAsia" w:ascii="仿宋" w:hAnsi="仿宋" w:eastAsia="仿宋" w:cs="仿宋"/>
          <w:color w:val="auto"/>
          <w:sz w:val="24"/>
          <w:lang w:eastAsia="zh-CN"/>
        </w:rPr>
        <w:t>应在乐采云平台(www.lecaiyun.com)获取（下载）交易文件，并于</w:t>
      </w:r>
      <w:r>
        <w:rPr>
          <w:rFonts w:hint="eastAsia" w:ascii="仿宋" w:hAnsi="仿宋" w:eastAsia="仿宋" w:cs="仿宋"/>
          <w:color w:val="auto"/>
          <w:sz w:val="24"/>
          <w:u w:val="single"/>
          <w:lang w:eastAsia="zh-CN"/>
        </w:rPr>
        <w:t xml:space="preserve"> 2025年</w:t>
      </w:r>
      <w:r>
        <w:rPr>
          <w:rFonts w:hint="eastAsia" w:ascii="仿宋" w:hAnsi="仿宋" w:eastAsia="仿宋" w:cs="仿宋"/>
          <w:color w:val="auto"/>
          <w:sz w:val="24"/>
          <w:u w:val="single"/>
          <w:lang w:val="en-US" w:eastAsia="zh-CN"/>
        </w:rPr>
        <w:t>06</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27</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lang w:eastAsia="zh-CN"/>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lang w:eastAsia="zh-CN"/>
        </w:rPr>
        <w:t>分00秒</w:t>
      </w:r>
      <w:r>
        <w:rPr>
          <w:rFonts w:hint="eastAsia" w:ascii="仿宋" w:hAnsi="仿宋" w:eastAsia="仿宋" w:cs="仿宋"/>
          <w:bCs/>
          <w:color w:val="auto"/>
          <w:sz w:val="24"/>
        </w:rPr>
        <w:t>（北京时间）前</w:t>
      </w:r>
      <w:r>
        <w:rPr>
          <w:rFonts w:hint="eastAsia" w:ascii="仿宋" w:hAnsi="仿宋" w:eastAsia="仿宋" w:cs="仿宋"/>
          <w:color w:val="auto"/>
          <w:sz w:val="24"/>
        </w:rPr>
        <w:t>递交（上传）响应文件</w:t>
      </w:r>
    </w:p>
    <w:p w14:paraId="1E0E1649">
      <w:pPr>
        <w:pStyle w:val="4"/>
        <w:numPr>
          <w:ilvl w:val="0"/>
          <w:numId w:val="0"/>
        </w:numPr>
        <w:rPr>
          <w:rFonts w:hint="eastAsia" w:ascii="仿宋" w:hAnsi="仿宋" w:eastAsia="仿宋" w:cs="仿宋"/>
          <w:color w:val="auto"/>
          <w:sz w:val="24"/>
          <w:szCs w:val="28"/>
        </w:rPr>
      </w:pPr>
      <w:bookmarkStart w:id="10" w:name="_Toc28359079"/>
      <w:bookmarkStart w:id="11" w:name="_Toc28359002"/>
      <w:bookmarkStart w:id="12" w:name="_Toc35393790"/>
      <w:bookmarkStart w:id="13" w:name="_Toc35393621"/>
      <w:bookmarkStart w:id="14" w:name="_Hlk24379207"/>
      <w:r>
        <w:rPr>
          <w:rFonts w:hint="eastAsia" w:ascii="仿宋" w:hAnsi="仿宋" w:eastAsia="仿宋" w:cs="仿宋"/>
          <w:color w:val="auto"/>
          <w:sz w:val="24"/>
          <w:szCs w:val="28"/>
        </w:rPr>
        <w:t>一、项目基本情况</w:t>
      </w:r>
      <w:bookmarkEnd w:id="10"/>
      <w:bookmarkEnd w:id="11"/>
      <w:bookmarkEnd w:id="12"/>
      <w:bookmarkEnd w:id="13"/>
    </w:p>
    <w:p w14:paraId="545842DA">
      <w:pPr>
        <w:spacing w:line="360" w:lineRule="auto"/>
        <w:ind w:left="420" w:left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val="en-US" w:eastAsia="zh-CN"/>
        </w:rPr>
        <w:t>LPYY2025-001</w:t>
      </w:r>
    </w:p>
    <w:p w14:paraId="29BC9BF0">
      <w:pPr>
        <w:spacing w:line="360" w:lineRule="auto"/>
        <w:ind w:left="420" w:leftChars="200"/>
        <w:jc w:val="left"/>
        <w:rPr>
          <w:rFonts w:hint="eastAsia" w:ascii="仿宋" w:hAnsi="仿宋" w:eastAsia="仿宋" w:cs="仿宋"/>
          <w:color w:val="auto"/>
          <w:sz w:val="24"/>
          <w:u w:val="single"/>
          <w:lang w:eastAsia="zh-CN"/>
        </w:rPr>
      </w:pPr>
      <w:r>
        <w:rPr>
          <w:rFonts w:hint="eastAsia" w:ascii="仿宋" w:hAnsi="仿宋" w:eastAsia="仿宋" w:cs="仿宋"/>
          <w:color w:val="auto"/>
          <w:sz w:val="24"/>
          <w:szCs w:val="28"/>
        </w:rPr>
        <w:t>项目名称：</w:t>
      </w:r>
      <w:bookmarkEnd w:id="14"/>
      <w:r>
        <w:rPr>
          <w:rFonts w:hint="eastAsia" w:ascii="仿宋" w:hAnsi="仿宋" w:eastAsia="仿宋" w:cs="仿宋"/>
          <w:color w:val="auto"/>
          <w:sz w:val="24"/>
          <w:u w:val="single"/>
          <w:lang w:eastAsia="zh-CN"/>
        </w:rPr>
        <w:t>萧山区临浦镇第一幼儿园暑期教师疗休养服务项目</w:t>
      </w:r>
    </w:p>
    <w:p w14:paraId="6EEE6BC1">
      <w:pPr>
        <w:spacing w:line="360" w:lineRule="auto"/>
        <w:ind w:left="420" w:left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val="en-US" w:eastAsia="zh-CN"/>
        </w:rPr>
        <w:t>126000</w:t>
      </w:r>
      <w:r>
        <w:rPr>
          <w:rFonts w:hint="eastAsia" w:ascii="仿宋" w:hAnsi="仿宋" w:eastAsia="仿宋" w:cs="仿宋"/>
          <w:color w:val="auto"/>
          <w:sz w:val="24"/>
          <w:szCs w:val="28"/>
        </w:rPr>
        <w:t>元，3000元/人</w:t>
      </w:r>
    </w:p>
    <w:p w14:paraId="4FB55897">
      <w:pPr>
        <w:spacing w:line="360" w:lineRule="auto"/>
        <w:ind w:left="420" w:left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lang w:val="en-US" w:eastAsia="zh-CN"/>
        </w:rPr>
        <w:t>126000</w:t>
      </w:r>
      <w:r>
        <w:rPr>
          <w:rFonts w:hint="eastAsia" w:ascii="仿宋" w:hAnsi="仿宋" w:eastAsia="仿宋" w:cs="仿宋"/>
          <w:color w:val="auto"/>
          <w:sz w:val="24"/>
          <w:szCs w:val="28"/>
        </w:rPr>
        <w:t>元，3000元/人</w:t>
      </w:r>
    </w:p>
    <w:p w14:paraId="5ACFA6D9">
      <w:pPr>
        <w:spacing w:line="360" w:lineRule="auto"/>
        <w:ind w:left="420" w:leftChars="200"/>
        <w:jc w:val="left"/>
        <w:rPr>
          <w:rFonts w:hint="eastAsia" w:ascii="仿宋" w:hAnsi="仿宋" w:eastAsia="仿宋" w:cs="仿宋"/>
          <w:color w:val="auto"/>
          <w:sz w:val="24"/>
          <w:szCs w:val="28"/>
          <w:u w:val="single"/>
        </w:rPr>
      </w:pPr>
      <w:r>
        <w:rPr>
          <w:rFonts w:hint="eastAsia" w:ascii="仿宋" w:hAnsi="仿宋" w:eastAsia="仿宋" w:cs="仿宋"/>
          <w:color w:val="auto"/>
          <w:sz w:val="24"/>
          <w:szCs w:val="28"/>
        </w:rPr>
        <w:t>交易需求：详见交易文件</w:t>
      </w:r>
    </w:p>
    <w:p w14:paraId="10CCAB13">
      <w:pPr>
        <w:spacing w:line="360" w:lineRule="auto"/>
        <w:ind w:left="420" w:leftChars="200"/>
        <w:jc w:val="left"/>
        <w:rPr>
          <w:rFonts w:hint="eastAsia" w:ascii="仿宋" w:hAnsi="仿宋" w:eastAsia="仿宋" w:cs="仿宋"/>
          <w:color w:val="auto"/>
          <w:sz w:val="24"/>
          <w:lang w:eastAsia="zh-CN"/>
        </w:rPr>
      </w:pPr>
      <w:r>
        <w:rPr>
          <w:rFonts w:hint="eastAsia" w:ascii="仿宋" w:hAnsi="仿宋" w:eastAsia="仿宋" w:cs="仿宋"/>
          <w:color w:val="auto"/>
          <w:sz w:val="24"/>
        </w:rPr>
        <w:t xml:space="preserve">标项名称: </w:t>
      </w:r>
      <w:r>
        <w:rPr>
          <w:rFonts w:hint="eastAsia" w:ascii="仿宋" w:hAnsi="仿宋" w:eastAsia="仿宋" w:cs="仿宋"/>
          <w:color w:val="auto"/>
          <w:sz w:val="24"/>
          <w:u w:val="single"/>
          <w:lang w:eastAsia="zh-CN"/>
        </w:rPr>
        <w:t>萧山区临浦镇第一幼儿园暑期教师疗休养服务项目</w:t>
      </w:r>
    </w:p>
    <w:p w14:paraId="6CAC338F">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数量: 1  </w:t>
      </w:r>
    </w:p>
    <w:p w14:paraId="04BED9F1">
      <w:pPr>
        <w:pStyle w:val="15"/>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126000</w:t>
      </w:r>
      <w:r>
        <w:rPr>
          <w:rFonts w:hint="eastAsia" w:ascii="仿宋" w:hAnsi="仿宋" w:eastAsia="仿宋" w:cs="仿宋"/>
          <w:color w:val="auto"/>
          <w:sz w:val="24"/>
          <w:szCs w:val="28"/>
        </w:rPr>
        <w:t>元</w:t>
      </w:r>
    </w:p>
    <w:p w14:paraId="45F474DB">
      <w:pPr>
        <w:pStyle w:val="15"/>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2B946BE1">
      <w:pPr>
        <w:pStyle w:val="15"/>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备注： </w:t>
      </w:r>
    </w:p>
    <w:p w14:paraId="742D2BEE">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color w:val="auto"/>
          <w:sz w:val="24"/>
          <w:szCs w:val="28"/>
        </w:rPr>
        <w:t>按交易文件要求</w:t>
      </w:r>
    </w:p>
    <w:p w14:paraId="39332790">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本项目是否接受联合体交易：</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1294807C">
      <w:pPr>
        <w:spacing w:line="360" w:lineRule="auto"/>
        <w:ind w:left="420" w:leftChars="200"/>
        <w:jc w:val="left"/>
        <w:rPr>
          <w:rFonts w:hint="eastAsia" w:ascii="仿宋" w:hAnsi="仿宋" w:eastAsia="仿宋" w:cs="仿宋"/>
          <w:color w:val="auto"/>
          <w:sz w:val="24"/>
          <w:szCs w:val="28"/>
          <w:u w:val="single"/>
        </w:rPr>
      </w:pPr>
      <w:r>
        <w:rPr>
          <w:rFonts w:hint="eastAsia" w:ascii="仿宋" w:hAnsi="仿宋" w:eastAsia="仿宋" w:cs="仿宋"/>
          <w:color w:val="auto"/>
          <w:sz w:val="24"/>
          <w:szCs w:val="28"/>
        </w:rPr>
        <w:t>合同履行期限：详见交易文件</w:t>
      </w:r>
    </w:p>
    <w:p w14:paraId="6F441B71">
      <w:pPr>
        <w:pStyle w:val="4"/>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二、</w:t>
      </w:r>
      <w:bookmarkStart w:id="15" w:name="_Toc35393791"/>
      <w:bookmarkStart w:id="16" w:name="_Toc28359003"/>
      <w:bookmarkStart w:id="17" w:name="_Toc35393622"/>
      <w:bookmarkStart w:id="18" w:name="_Toc28359080"/>
      <w:r>
        <w:rPr>
          <w:rFonts w:hint="eastAsia" w:ascii="仿宋" w:hAnsi="仿宋" w:eastAsia="仿宋" w:cs="仿宋"/>
          <w:color w:val="auto"/>
          <w:sz w:val="24"/>
          <w:szCs w:val="28"/>
        </w:rPr>
        <w:t>申请人的资格要求：</w:t>
      </w:r>
      <w:bookmarkEnd w:id="15"/>
      <w:bookmarkEnd w:id="16"/>
      <w:bookmarkEnd w:id="17"/>
      <w:bookmarkEnd w:id="18"/>
    </w:p>
    <w:p w14:paraId="4D3351AF">
      <w:pPr>
        <w:adjustRightInd/>
        <w:spacing w:after="120" w:line="400" w:lineRule="exact"/>
        <w:ind w:firstLine="480" w:firstLineChars="200"/>
        <w:rPr>
          <w:rFonts w:hint="eastAsia" w:ascii="仿宋" w:hAnsi="仿宋" w:eastAsia="仿宋" w:cs="仿宋"/>
          <w:snapToGrid w:val="0"/>
          <w:color w:val="auto"/>
          <w:kern w:val="28"/>
          <w:sz w:val="24"/>
          <w:szCs w:val="20"/>
        </w:rPr>
      </w:pPr>
      <w:bookmarkStart w:id="19" w:name="_Toc28359081"/>
      <w:bookmarkStart w:id="20" w:name="_Toc35393792"/>
      <w:bookmarkStart w:id="21" w:name="_Toc28359004"/>
      <w:bookmarkStart w:id="22" w:name="_Toc35393623"/>
      <w:r>
        <w:rPr>
          <w:rFonts w:hint="eastAsia" w:ascii="仿宋" w:hAnsi="仿宋" w:eastAsia="仿宋" w:cs="仿宋"/>
          <w:snapToGrid w:val="0"/>
          <w:color w:val="auto"/>
          <w:kern w:val="28"/>
          <w:sz w:val="24"/>
          <w:szCs w:val="20"/>
        </w:rPr>
        <w:t>1.具有独立承担民事责任能力的独立法人企业。</w:t>
      </w:r>
    </w:p>
    <w:p w14:paraId="2052222B">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2.具有良好的商业信誉和健全的财务会计制度；</w:t>
      </w:r>
    </w:p>
    <w:p w14:paraId="2FC23BE0">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3.具有履行合同所必需的设备和专业技术能力；</w:t>
      </w:r>
    </w:p>
    <w:p w14:paraId="02997F84">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4.具有依法缴纳税收和社会保障资金的良好记录；</w:t>
      </w:r>
    </w:p>
    <w:p w14:paraId="111D650E">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5.参加交易活动前三年内，在经营活动中没有重大违法记录；</w:t>
      </w:r>
    </w:p>
    <w:p w14:paraId="02552290">
      <w:pPr>
        <w:spacing w:after="120" w:line="400" w:lineRule="exact"/>
        <w:ind w:firstLine="480" w:firstLineChars="200"/>
        <w:jc w:val="left"/>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6.法律、行政法规规定的其他条件；</w:t>
      </w:r>
    </w:p>
    <w:p w14:paraId="54DF72E9">
      <w:pPr>
        <w:pStyle w:val="633"/>
        <w:rPr>
          <w:rFonts w:hint="eastAsia" w:ascii="仿宋" w:hAnsi="仿宋" w:eastAsia="仿宋" w:cs="仿宋"/>
          <w:snapToGrid w:val="0"/>
          <w:color w:val="auto"/>
          <w:kern w:val="28"/>
          <w:szCs w:val="20"/>
        </w:rPr>
      </w:pPr>
      <w:r>
        <w:rPr>
          <w:rFonts w:hint="eastAsia" w:ascii="仿宋" w:hAnsi="仿宋" w:eastAsia="仿宋" w:cs="仿宋"/>
          <w:snapToGrid w:val="0"/>
          <w:color w:val="auto"/>
          <w:kern w:val="28"/>
          <w:szCs w:val="20"/>
        </w:rPr>
        <w:t>7</w:t>
      </w:r>
      <w:r>
        <w:rPr>
          <w:rFonts w:hint="eastAsia" w:ascii="仿宋" w:hAnsi="仿宋" w:eastAsia="仿宋" w:cs="仿宋"/>
          <w:snapToGrid w:val="0"/>
          <w:color w:val="auto"/>
          <w:kern w:val="28"/>
          <w:szCs w:val="20"/>
          <w:lang w:val="en-US" w:eastAsia="zh-CN"/>
        </w:rPr>
        <w:t>.</w:t>
      </w:r>
      <w:r>
        <w:rPr>
          <w:rFonts w:hint="eastAsia" w:ascii="仿宋" w:hAnsi="仿宋" w:eastAsia="仿宋" w:cs="仿宋"/>
          <w:snapToGrid w:val="0"/>
          <w:color w:val="auto"/>
          <w:kern w:val="28"/>
          <w:szCs w:val="20"/>
        </w:rPr>
        <w:t>其他特定条件：响应人具有旅行社业务经营许可证</w:t>
      </w:r>
    </w:p>
    <w:p w14:paraId="3DF4D347">
      <w:pPr>
        <w:pStyle w:val="4"/>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三、获取</w:t>
      </w:r>
      <w:bookmarkEnd w:id="19"/>
      <w:bookmarkEnd w:id="20"/>
      <w:bookmarkEnd w:id="21"/>
      <w:bookmarkEnd w:id="22"/>
      <w:r>
        <w:rPr>
          <w:rFonts w:hint="eastAsia" w:ascii="仿宋" w:hAnsi="仿宋" w:eastAsia="仿宋" w:cs="仿宋"/>
          <w:color w:val="auto"/>
          <w:sz w:val="24"/>
          <w:szCs w:val="28"/>
        </w:rPr>
        <w:t>交易文件</w:t>
      </w:r>
    </w:p>
    <w:p w14:paraId="633397F4">
      <w:pPr>
        <w:spacing w:line="360" w:lineRule="auto"/>
        <w:ind w:firstLine="482" w:firstLineChars="200"/>
        <w:rPr>
          <w:rFonts w:hint="eastAsia" w:ascii="仿宋" w:hAnsi="仿宋" w:eastAsia="仿宋" w:cs="仿宋"/>
          <w:color w:val="auto"/>
          <w:sz w:val="24"/>
        </w:rPr>
      </w:pPr>
      <w:bookmarkStart w:id="23" w:name="_Toc28359082"/>
      <w:bookmarkStart w:id="24" w:name="_Toc28359005"/>
      <w:bookmarkStart w:id="25" w:name="_Toc35393793"/>
      <w:bookmarkStart w:id="26" w:name="_Toc35393624"/>
      <w:r>
        <w:rPr>
          <w:rFonts w:hint="eastAsia" w:ascii="仿宋" w:hAnsi="仿宋" w:eastAsia="仿宋" w:cs="仿宋"/>
          <w:b/>
          <w:color w:val="auto"/>
          <w:sz w:val="24"/>
        </w:rPr>
        <w:t>时间：</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rPr>
        <w:t>至</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 0</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27</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177B12F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sz w:val="24"/>
          <w:lang w:eastAsia="zh-CN"/>
        </w:rPr>
        <w:t>www.lecaiyun.com</w:t>
      </w:r>
      <w:r>
        <w:rPr>
          <w:rFonts w:hint="eastAsia" w:ascii="仿宋" w:hAnsi="仿宋" w:eastAsia="仿宋" w:cs="仿宋"/>
          <w:color w:val="auto"/>
          <w:sz w:val="24"/>
        </w:rPr>
        <w:t xml:space="preserve">） </w:t>
      </w:r>
    </w:p>
    <w:p w14:paraId="008F8FB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w:t>
      </w:r>
      <w:r>
        <w:rPr>
          <w:rFonts w:hint="eastAsia" w:ascii="仿宋" w:hAnsi="仿宋" w:eastAsia="仿宋" w:cs="仿宋"/>
          <w:color w:val="auto"/>
          <w:sz w:val="24"/>
          <w:lang w:eastAsia="zh-CN"/>
        </w:rPr>
        <w:t>乐采云平台www.lecaiyun.com</w:t>
      </w:r>
      <w:r>
        <w:rPr>
          <w:rFonts w:hint="eastAsia" w:ascii="仿宋" w:hAnsi="仿宋" w:eastAsia="仿宋" w:cs="仿宋"/>
          <w:color w:val="auto"/>
          <w:sz w:val="24"/>
        </w:rPr>
        <w:t xml:space="preserve">在线申请获取交易文件（进入“项目交易”应用，在获取交易文件菜单中选择项目，申请获取交易文件）。 </w:t>
      </w:r>
    </w:p>
    <w:p w14:paraId="421B660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211D99D1">
      <w:pPr>
        <w:pStyle w:val="4"/>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四、提交</w:t>
      </w:r>
      <w:bookmarkEnd w:id="23"/>
      <w:bookmarkEnd w:id="24"/>
      <w:r>
        <w:rPr>
          <w:rFonts w:hint="eastAsia" w:ascii="仿宋" w:hAnsi="仿宋" w:eastAsia="仿宋" w:cs="仿宋"/>
          <w:color w:val="auto"/>
          <w:sz w:val="24"/>
          <w:szCs w:val="28"/>
        </w:rPr>
        <w:t>响应文件截止时间、交易时间和地点</w:t>
      </w:r>
      <w:bookmarkEnd w:id="25"/>
      <w:bookmarkEnd w:id="26"/>
    </w:p>
    <w:p w14:paraId="6D1A0C5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提交响应文件截止时间：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color w:val="auto"/>
          <w:sz w:val="24"/>
        </w:rPr>
        <w:t>（北京时间）</w:t>
      </w:r>
    </w:p>
    <w:p w14:paraId="794BC54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交易时间：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w:t>
      </w:r>
      <w:bookmarkStart w:id="409" w:name="_GoBack"/>
      <w:bookmarkEnd w:id="409"/>
      <w:r>
        <w:rPr>
          <w:rFonts w:hint="eastAsia" w:ascii="仿宋" w:hAnsi="仿宋" w:eastAsia="仿宋" w:cs="仿宋"/>
          <w:bCs/>
          <w:color w:val="auto"/>
          <w:sz w:val="24"/>
          <w:u w:val="single"/>
          <w:lang w:val="en-US" w:eastAsia="zh-CN"/>
        </w:rPr>
        <w:t>0</w:t>
      </w:r>
      <w:r>
        <w:rPr>
          <w:rFonts w:hint="eastAsia" w:ascii="仿宋" w:hAnsi="仿宋" w:eastAsia="仿宋" w:cs="仿宋"/>
          <w:bCs/>
          <w:color w:val="auto"/>
          <w:sz w:val="24"/>
          <w:u w:val="single"/>
        </w:rPr>
        <w:t>分00秒</w:t>
      </w:r>
    </w:p>
    <w:p w14:paraId="5660BB0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交易地点：</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sz w:val="24"/>
          <w:lang w:eastAsia="zh-CN"/>
        </w:rPr>
        <w:t>www.lecaiyun.com</w:t>
      </w:r>
      <w:r>
        <w:rPr>
          <w:rFonts w:hint="eastAsia" w:ascii="仿宋" w:hAnsi="仿宋" w:eastAsia="仿宋" w:cs="仿宋"/>
          <w:color w:val="auto"/>
          <w:sz w:val="24"/>
        </w:rPr>
        <w:t>）</w:t>
      </w:r>
    </w:p>
    <w:p w14:paraId="43A43268">
      <w:pPr>
        <w:pStyle w:val="4"/>
        <w:numPr>
          <w:ilvl w:val="0"/>
          <w:numId w:val="0"/>
        </w:numPr>
        <w:rPr>
          <w:rFonts w:hint="eastAsia" w:ascii="仿宋" w:hAnsi="仿宋" w:eastAsia="仿宋" w:cs="仿宋"/>
          <w:color w:val="auto"/>
          <w:sz w:val="24"/>
        </w:rPr>
      </w:pPr>
      <w:bookmarkStart w:id="27" w:name="_Toc35393795"/>
      <w:bookmarkStart w:id="28" w:name="_Toc35393626"/>
      <w:r>
        <w:rPr>
          <w:rFonts w:hint="eastAsia" w:ascii="仿宋" w:hAnsi="仿宋" w:eastAsia="仿宋" w:cs="仿宋"/>
          <w:color w:val="auto"/>
          <w:sz w:val="24"/>
          <w:szCs w:val="28"/>
        </w:rPr>
        <w:t>五、其他补充事宜</w:t>
      </w:r>
      <w:bookmarkEnd w:id="27"/>
      <w:bookmarkEnd w:id="28"/>
      <w:bookmarkStart w:id="29" w:name="_Toc28359085"/>
      <w:bookmarkStart w:id="30" w:name="_Toc28359008"/>
      <w:bookmarkStart w:id="31" w:name="_Toc35393796"/>
      <w:bookmarkStart w:id="32" w:name="_Toc35393627"/>
    </w:p>
    <w:p w14:paraId="2E98D7A8">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之日起</w:t>
      </w:r>
      <w:r>
        <w:rPr>
          <w:rFonts w:hint="eastAsia" w:ascii="仿宋" w:hAnsi="仿宋" w:eastAsia="仿宋" w:cs="仿宋"/>
          <w:color w:val="auto"/>
          <w:sz w:val="24"/>
          <w:highlight w:val="none"/>
          <w:lang w:val="en-US" w:eastAsia="zh-CN"/>
        </w:rPr>
        <w:t>3天</w:t>
      </w:r>
      <w:r>
        <w:rPr>
          <w:rFonts w:hint="eastAsia" w:ascii="仿宋" w:hAnsi="仿宋" w:eastAsia="仿宋" w:cs="仿宋"/>
          <w:color w:val="auto"/>
          <w:sz w:val="24"/>
          <w:highlight w:val="none"/>
        </w:rPr>
        <w:t>内，以书面形式向</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和采购代理机构提出质疑。质疑供应商对</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、采购代理机构未在规定的时间内作出答复的，可以在答复期满后十五个工作日内向采购监督管理部门投诉。质疑函范本、投诉书范本请到浙江政府采购网下载专区下载。</w:t>
      </w:r>
    </w:p>
    <w:p w14:paraId="31E9EB7E">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其他事项：电子招投标的说明：①电子招投标：本项目以数据电文形式，依托“</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”进行招投标活动，不接受纸质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；②投标准备：注册账号--点击“商家入驻”，进行政府采购供应商资料填写；申领CA数字证书---申领流程详见“浙江政府采购网-下载专区-电子交易客户端-CA驱动和申领流程”；安装“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乐采云电子交易客户端</w:t>
      </w:r>
      <w:r>
        <w:rPr>
          <w:rFonts w:hint="eastAsia" w:ascii="仿宋" w:hAnsi="仿宋" w:eastAsia="仿宋" w:cs="仿宋"/>
          <w:color w:val="auto"/>
          <w:sz w:val="24"/>
          <w:highlight w:val="none"/>
        </w:rPr>
        <w:t>”----前往“浙江政府采购网-下载专区-电子交易客户端”进行下载并安装；③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w:t>
      </w:r>
      <w:r>
        <w:rPr>
          <w:rFonts w:hint="eastAsia" w:ascii="仿宋" w:hAnsi="仿宋" w:eastAsia="仿宋" w:cs="仿宋"/>
          <w:color w:val="auto"/>
          <w:sz w:val="24"/>
          <w:highlight w:val="none"/>
          <w:lang w:eastAsia="zh-CN"/>
        </w:rPr>
        <w:t>乐采云电子交易客户端</w:t>
      </w:r>
      <w:r>
        <w:rPr>
          <w:rFonts w:hint="eastAsia" w:ascii="仿宋" w:hAnsi="仿宋" w:eastAsia="仿宋" w:cs="仿宋"/>
          <w:color w:val="auto"/>
          <w:sz w:val="24"/>
          <w:highlight w:val="none"/>
        </w:rPr>
        <w:t>”中完成“填写基本信息”、“导入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、采购机构将依托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的供应商进行投标活动；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交易人</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“服务中心-帮助文档-项目采购-操作流程-电子招投标-政府采购项目电子交易管理操作指南-供应商”。</w:t>
      </w:r>
    </w:p>
    <w:p w14:paraId="58FD60BF">
      <w:pPr>
        <w:pStyle w:val="4"/>
        <w:numPr>
          <w:ilvl w:val="0"/>
          <w:numId w:val="0"/>
        </w:numPr>
        <w:rPr>
          <w:rFonts w:hint="eastAsia" w:ascii="仿宋" w:hAnsi="仿宋" w:eastAsia="仿宋" w:cs="仿宋"/>
          <w:color w:val="auto"/>
          <w:sz w:val="24"/>
          <w:szCs w:val="28"/>
        </w:rPr>
      </w:pPr>
      <w:r>
        <w:rPr>
          <w:rFonts w:hint="eastAsia" w:ascii="仿宋" w:hAnsi="仿宋" w:eastAsia="仿宋" w:cs="仿宋"/>
          <w:color w:val="auto"/>
          <w:sz w:val="24"/>
          <w:szCs w:val="28"/>
        </w:rPr>
        <w:t>六、对本次招标提出询问，请按以下方式联系。</w:t>
      </w:r>
      <w:bookmarkEnd w:id="29"/>
      <w:bookmarkEnd w:id="30"/>
      <w:bookmarkEnd w:id="31"/>
      <w:bookmarkEnd w:id="32"/>
    </w:p>
    <w:p w14:paraId="695C543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、交易人</w:t>
      </w:r>
      <w:r>
        <w:rPr>
          <w:rFonts w:hint="eastAsia" w:ascii="仿宋" w:hAnsi="仿宋" w:eastAsia="仿宋" w:cs="仿宋"/>
          <w:color w:val="auto"/>
          <w:sz w:val="24"/>
          <w:szCs w:val="28"/>
          <w:highlight w:val="none"/>
        </w:rPr>
        <w:t>信息</w:t>
      </w:r>
    </w:p>
    <w:p w14:paraId="61AC831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r>
        <w:rPr>
          <w:rFonts w:hint="eastAsia" w:ascii="仿宋" w:hAnsi="仿宋" w:eastAsia="仿宋" w:cs="仿宋"/>
          <w:color w:val="auto"/>
          <w:sz w:val="24"/>
          <w:highlight w:val="none"/>
          <w:u w:val="none"/>
          <w:lang w:eastAsia="zh-CN"/>
        </w:rPr>
        <w:t>萧山区临浦镇第一幼儿园</w:t>
      </w:r>
    </w:p>
    <w:p w14:paraId="2DFBDBD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项目联系人（询问）：邱老师</w:t>
      </w:r>
    </w:p>
    <w:p w14:paraId="698FDDB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w:t>
      </w:r>
      <w:bookmarkStart w:id="33" w:name="_Toc28359009"/>
      <w:bookmarkStart w:id="34" w:name="_Toc28359086"/>
      <w:r>
        <w:rPr>
          <w:rFonts w:hint="eastAsia" w:ascii="仿宋" w:hAnsi="仿宋" w:eastAsia="仿宋" w:cs="仿宋"/>
          <w:color w:val="auto"/>
          <w:sz w:val="24"/>
          <w:highlight w:val="none"/>
          <w:lang w:val="en-US" w:eastAsia="zh-CN"/>
        </w:rPr>
        <w:t>0571-82316031</w:t>
      </w:r>
    </w:p>
    <w:p w14:paraId="3A04784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rPr>
      </w:pPr>
      <w:r>
        <w:rPr>
          <w:rFonts w:hint="eastAsia" w:ascii="仿宋" w:hAnsi="仿宋" w:eastAsia="仿宋" w:cs="仿宋"/>
          <w:color w:val="auto"/>
          <w:sz w:val="24"/>
          <w:szCs w:val="28"/>
          <w:highlight w:val="none"/>
        </w:rPr>
        <w:t>2</w:t>
      </w:r>
      <w:bookmarkEnd w:id="33"/>
      <w:bookmarkEnd w:id="34"/>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采购机构信息</w:t>
      </w:r>
    </w:p>
    <w:p w14:paraId="7469C2C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浙江新联工程管理咨询有限公司</w:t>
      </w:r>
    </w:p>
    <w:p w14:paraId="2FFDADC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周斐</w:t>
      </w:r>
    </w:p>
    <w:p w14:paraId="2C64069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17348503617</w:t>
      </w:r>
    </w:p>
    <w:p w14:paraId="3C91E206">
      <w:pPr>
        <w:wordWrap w:val="0"/>
        <w:spacing w:line="360" w:lineRule="auto"/>
        <w:ind w:firstLine="480" w:firstLineChars="200"/>
        <w:jc w:val="left"/>
        <w:rPr>
          <w:rFonts w:hint="eastAsia" w:ascii="仿宋" w:hAnsi="仿宋" w:eastAsia="仿宋" w:cs="仿宋"/>
          <w:color w:val="auto"/>
          <w:sz w:val="24"/>
        </w:rPr>
      </w:pPr>
    </w:p>
    <w:p w14:paraId="2B6CBC6F">
      <w:pPr>
        <w:wordWrap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若对项目交易电子交易系统操作有疑问，可登</w:t>
      </w:r>
      <w:r>
        <w:rPr>
          <w:rFonts w:hint="eastAsia" w:ascii="仿宋" w:hAnsi="仿宋" w:eastAsia="仿宋" w:cs="仿宋"/>
          <w:color w:val="auto"/>
          <w:sz w:val="24"/>
          <w:lang w:eastAsia="zh-CN"/>
        </w:rPr>
        <w:t>录乐采云（www.lecaiyun.com）</w:t>
      </w:r>
      <w:r>
        <w:rPr>
          <w:rFonts w:hint="eastAsia" w:ascii="仿宋" w:hAnsi="仿宋" w:eastAsia="仿宋" w:cs="仿宋"/>
          <w:color w:val="auto"/>
          <w:sz w:val="24"/>
        </w:rPr>
        <w:t xml:space="preserve">，点击右侧咨询小采，获取采小蜜智能服务管家帮助，或拨打政采云服务热线400-881-7190获取热线服务帮助。       </w:t>
      </w:r>
    </w:p>
    <w:p w14:paraId="0755E05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67387014">
      <w:pPr>
        <w:pStyle w:val="56"/>
        <w:jc w:val="both"/>
        <w:rPr>
          <w:rFonts w:hint="eastAsia" w:ascii="仿宋" w:hAnsi="仿宋" w:eastAsia="仿宋" w:cs="仿宋"/>
          <w:color w:val="auto"/>
          <w:lang w:val="en-US"/>
        </w:rPr>
      </w:pPr>
    </w:p>
    <w:p w14:paraId="2F3047E1">
      <w:pPr>
        <w:pStyle w:val="3"/>
        <w:rPr>
          <w:rFonts w:hint="eastAsia"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第二部分</w:t>
      </w:r>
      <w:bookmarkEnd w:id="7"/>
      <w:r>
        <w:rPr>
          <w:rFonts w:hint="eastAsia" w:ascii="仿宋" w:hAnsi="仿宋" w:eastAsia="仿宋" w:cs="仿宋"/>
          <w:color w:val="auto"/>
        </w:rPr>
        <w:t xml:space="preserve"> 响应人须知</w:t>
      </w:r>
      <w:bookmarkEnd w:id="8"/>
    </w:p>
    <w:p w14:paraId="106DC8DC">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bookmarkEnd w:id="9"/>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15C22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52D1427">
            <w:pPr>
              <w:snapToGrid w:val="0"/>
              <w:spacing w:line="360" w:lineRule="auto"/>
              <w:jc w:val="center"/>
              <w:rPr>
                <w:rFonts w:hint="eastAsia" w:ascii="仿宋" w:hAnsi="仿宋" w:eastAsia="仿宋" w:cs="仿宋"/>
                <w:b/>
                <w:color w:val="auto"/>
                <w:sz w:val="24"/>
              </w:rPr>
            </w:pPr>
            <w:bookmarkStart w:id="35" w:name="_Toc164416483"/>
            <w:bookmarkStart w:id="36" w:name="第三部分"/>
            <w:r>
              <w:rPr>
                <w:rFonts w:hint="eastAsia" w:ascii="仿宋" w:hAnsi="仿宋" w:eastAsia="仿宋" w:cs="仿宋"/>
                <w:b/>
                <w:color w:val="auto"/>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3033D79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30A3D42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73DE0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BB7886F">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38F5513D">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29312DCD">
            <w:pPr>
              <w:snapToGrid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有关本项目开展所需的</w:t>
            </w:r>
            <w:r>
              <w:rPr>
                <w:rFonts w:hint="eastAsia" w:ascii="仿宋" w:hAnsi="仿宋" w:eastAsia="仿宋" w:cs="仿宋"/>
                <w:color w:val="auto"/>
                <w:sz w:val="24"/>
              </w:rPr>
              <w:t>所有</w:t>
            </w:r>
            <w:r>
              <w:rPr>
                <w:rFonts w:hint="eastAsia" w:ascii="仿宋" w:hAnsi="仿宋" w:eastAsia="仿宋" w:cs="仿宋"/>
                <w:color w:val="auto"/>
                <w:kern w:val="0"/>
                <w:sz w:val="24"/>
                <w:lang w:val="zh-CN"/>
              </w:rPr>
              <w:t>费用均计入报价。</w:t>
            </w:r>
            <w:r>
              <w:rPr>
                <w:rFonts w:hint="eastAsia" w:ascii="仿宋" w:hAnsi="仿宋" w:eastAsia="仿宋" w:cs="仿宋"/>
                <w:color w:val="auto"/>
                <w:sz w:val="24"/>
              </w:rPr>
              <w:t>《响应（交易）一览表》是报价的唯一载体</w:t>
            </w:r>
            <w:r>
              <w:rPr>
                <w:rFonts w:hint="eastAsia" w:ascii="仿宋" w:hAnsi="仿宋" w:eastAsia="仿宋" w:cs="仿宋"/>
                <w:color w:val="auto"/>
                <w:kern w:val="0"/>
                <w:sz w:val="24"/>
                <w:lang w:val="zh-CN"/>
              </w:rPr>
              <w:t>。响应文件中价格全部采用人民币报价。交易文件未列明，而响应人认为必需的费用也需列入报价。</w:t>
            </w:r>
          </w:p>
          <w:p w14:paraId="018438AB">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响应报价出现下列情形的，投标无效：</w:t>
            </w:r>
          </w:p>
          <w:p w14:paraId="2B02A0F2">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sz w:val="24"/>
              </w:rPr>
              <w:t>▲</w:t>
            </w:r>
            <w:r>
              <w:rPr>
                <w:rFonts w:hint="eastAsia" w:ascii="仿宋" w:hAnsi="仿宋" w:eastAsia="仿宋" w:cs="仿宋"/>
                <w:b/>
                <w:color w:val="auto"/>
                <w:kern w:val="0"/>
                <w:sz w:val="24"/>
                <w:lang w:val="zh-CN"/>
              </w:rPr>
              <w:t>响应文件出现不是唯一的、有选择性响应报价的；</w:t>
            </w:r>
          </w:p>
          <w:p w14:paraId="7F16AB73">
            <w:pPr>
              <w:snapToGrid w:val="0"/>
              <w:spacing w:line="360" w:lineRule="auto"/>
              <w:jc w:val="left"/>
              <w:rPr>
                <w:rFonts w:hint="eastAsia" w:ascii="仿宋" w:hAnsi="仿宋" w:eastAsia="仿宋" w:cs="仿宋"/>
                <w:color w:val="auto"/>
                <w:kern w:val="0"/>
                <w:sz w:val="24"/>
                <w:lang w:val="zh-CN"/>
              </w:rPr>
            </w:pPr>
            <w:r>
              <w:rPr>
                <w:rFonts w:hint="eastAsia" w:ascii="仿宋" w:hAnsi="仿宋" w:eastAsia="仿宋" w:cs="仿宋"/>
                <w:b/>
                <w:color w:val="auto"/>
                <w:sz w:val="24"/>
              </w:rPr>
              <w:t>▲响应报价高于本项目采购预算或者最高限价的;</w:t>
            </w:r>
          </w:p>
          <w:p w14:paraId="25FC851A">
            <w:pPr>
              <w:spacing w:line="360" w:lineRule="auto"/>
              <w:rPr>
                <w:rFonts w:hint="eastAsia" w:ascii="仿宋" w:hAnsi="仿宋" w:eastAsia="仿宋" w:cs="仿宋"/>
                <w:b/>
                <w:color w:val="auto"/>
                <w:sz w:val="24"/>
              </w:rPr>
            </w:pPr>
            <w:r>
              <w:rPr>
                <w:rFonts w:hint="eastAsia" w:ascii="仿宋" w:hAnsi="仿宋" w:eastAsia="仿宋" w:cs="仿宋"/>
                <w:b/>
                <w:color w:val="auto"/>
                <w:sz w:val="24"/>
              </w:rPr>
              <w:t>▲</w:t>
            </w:r>
            <w:r>
              <w:rPr>
                <w:rFonts w:hint="eastAsia" w:ascii="仿宋" w:hAnsi="仿宋" w:eastAsia="仿宋" w:cs="仿宋"/>
                <w:b/>
                <w:color w:val="auto"/>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
                <w:b/>
                <w:color w:val="auto"/>
                <w:sz w:val="24"/>
                <w:szCs w:val="21"/>
              </w:rPr>
              <w:t>;</w:t>
            </w:r>
          </w:p>
          <w:p w14:paraId="6F392675">
            <w:pPr>
              <w:spacing w:line="360" w:lineRule="auto"/>
              <w:rPr>
                <w:rFonts w:hint="eastAsia" w:ascii="仿宋" w:hAnsi="仿宋" w:eastAsia="仿宋" w:cs="仿宋"/>
                <w:color w:val="auto"/>
                <w:sz w:val="24"/>
                <w:szCs w:val="21"/>
              </w:rPr>
            </w:pPr>
            <w:r>
              <w:rPr>
                <w:rFonts w:hint="eastAsia" w:ascii="仿宋" w:hAnsi="仿宋" w:eastAsia="仿宋" w:cs="仿宋"/>
                <w:b/>
                <w:color w:val="auto"/>
                <w:sz w:val="24"/>
              </w:rPr>
              <w:t>▲《响应（交易）一览表》填写不完整或字迹不能辨认或有漏项的；</w:t>
            </w:r>
          </w:p>
          <w:p w14:paraId="1D6D4F31">
            <w:pPr>
              <w:spacing w:line="360" w:lineRule="auto"/>
              <w:rPr>
                <w:rFonts w:hint="eastAsia" w:ascii="仿宋" w:hAnsi="仿宋" w:eastAsia="仿宋" w:cs="仿宋"/>
                <w:b/>
                <w:color w:val="auto"/>
                <w:sz w:val="24"/>
              </w:rPr>
            </w:pPr>
            <w:r>
              <w:rPr>
                <w:rFonts w:hint="eastAsia" w:ascii="仿宋" w:hAnsi="仿宋" w:eastAsia="仿宋" w:cs="仿宋"/>
                <w:b/>
                <w:color w:val="auto"/>
                <w:kern w:val="0"/>
                <w:sz w:val="24"/>
              </w:rPr>
              <w:t>▲响应人对根据修正原则修正后的报价不确认的</w:t>
            </w:r>
            <w:r>
              <w:rPr>
                <w:rFonts w:hint="eastAsia" w:ascii="仿宋" w:hAnsi="仿宋" w:eastAsia="仿宋" w:cs="仿宋"/>
                <w:b/>
                <w:color w:val="auto"/>
                <w:sz w:val="24"/>
              </w:rPr>
              <w:t>。</w:t>
            </w:r>
          </w:p>
          <w:p w14:paraId="2D23D9B0">
            <w:pPr>
              <w:spacing w:line="360" w:lineRule="auto"/>
              <w:rPr>
                <w:rFonts w:hint="eastAsia" w:ascii="仿宋" w:hAnsi="仿宋" w:eastAsia="仿宋" w:cs="仿宋"/>
                <w:color w:val="auto"/>
                <w:sz w:val="24"/>
              </w:rPr>
            </w:pPr>
            <w:r>
              <w:rPr>
                <w:rFonts w:hint="eastAsia" w:ascii="仿宋" w:hAnsi="仿宋" w:eastAsia="仿宋" w:cs="仿宋"/>
                <w:b/>
                <w:color w:val="auto"/>
                <w:kern w:val="0"/>
                <w:sz w:val="24"/>
              </w:rPr>
              <w:t>▲资格文件、商务技术文件与报价文件未分开制作</w:t>
            </w:r>
            <w:r>
              <w:rPr>
                <w:rFonts w:hint="eastAsia" w:ascii="仿宋" w:hAnsi="仿宋" w:eastAsia="仿宋" w:cs="仿宋"/>
                <w:b/>
                <w:color w:val="auto"/>
                <w:sz w:val="24"/>
              </w:rPr>
              <w:t>。</w:t>
            </w:r>
          </w:p>
        </w:tc>
      </w:tr>
      <w:tr w14:paraId="5524F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5AC10A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661012F6">
            <w:pPr>
              <w:spacing w:line="360" w:lineRule="auto"/>
              <w:rPr>
                <w:rFonts w:hint="eastAsia" w:ascii="仿宋" w:hAnsi="仿宋" w:eastAsia="仿宋" w:cs="仿宋"/>
                <w:b/>
                <w:color w:val="auto"/>
                <w:sz w:val="24"/>
              </w:rPr>
            </w:pPr>
            <w:r>
              <w:rPr>
                <w:rFonts w:hint="eastAsia" w:ascii="仿宋" w:hAnsi="仿宋" w:eastAsia="仿宋" w:cs="仿宋"/>
                <w:b/>
                <w:color w:val="auto"/>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2BF0678A">
            <w:pPr>
              <w:snapToGrid w:val="0"/>
              <w:spacing w:line="360" w:lineRule="auto"/>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kern w:val="0"/>
                <w:sz w:val="24"/>
              </w:rPr>
              <w:t>B</w:t>
            </w:r>
            <w:r>
              <w:rPr>
                <w:rFonts w:hint="eastAsia" w:ascii="仿宋" w:hAnsi="仿宋" w:eastAsia="仿宋" w:cs="仿宋"/>
                <w:color w:val="auto"/>
                <w:sz w:val="24"/>
              </w:rPr>
              <w:t>不同意分包。</w:t>
            </w:r>
          </w:p>
        </w:tc>
      </w:tr>
      <w:tr w14:paraId="23987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2F7E27E">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9F297B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08DA872B">
            <w:pPr>
              <w:numPr>
                <w:ilvl w:val="0"/>
                <w:numId w:val="7"/>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资格证明文件：</w:t>
            </w:r>
            <w:r>
              <w:rPr>
                <w:rFonts w:hint="eastAsia" w:ascii="仿宋" w:hAnsi="仿宋" w:eastAsia="仿宋" w:cs="仿宋"/>
                <w:color w:val="auto"/>
                <w:kern w:val="0"/>
                <w:sz w:val="24"/>
              </w:rPr>
              <w:t>见交易文件第二部分11.1。</w:t>
            </w:r>
          </w:p>
          <w:p w14:paraId="7103A2EE">
            <w:pPr>
              <w:numPr>
                <w:ilvl w:val="0"/>
                <w:numId w:val="7"/>
              </w:numPr>
              <w:spacing w:line="360" w:lineRule="auto"/>
              <w:rPr>
                <w:rFonts w:hint="eastAsia" w:ascii="仿宋" w:hAnsi="仿宋" w:eastAsia="仿宋" w:cs="仿宋"/>
                <w:color w:val="auto"/>
                <w:sz w:val="24"/>
              </w:rPr>
            </w:pPr>
            <w:r>
              <w:rPr>
                <w:rFonts w:hint="eastAsia" w:ascii="仿宋" w:hAnsi="仿宋" w:eastAsia="仿宋" w:cs="仿宋"/>
                <w:color w:val="auto"/>
                <w:sz w:val="24"/>
              </w:rPr>
              <w:t>资信证明文件：根据交易文件第四部分评标标准提供。</w:t>
            </w:r>
          </w:p>
          <w:p w14:paraId="5AC7796F">
            <w:pPr>
              <w:spacing w:line="360" w:lineRule="auto"/>
              <w:rPr>
                <w:rFonts w:hint="eastAsia" w:ascii="仿宋" w:hAnsi="仿宋" w:eastAsia="仿宋" w:cs="仿宋"/>
                <w:color w:val="auto"/>
                <w:kern w:val="0"/>
                <w:sz w:val="24"/>
              </w:rPr>
            </w:pPr>
            <w:r>
              <w:rPr>
                <w:rFonts w:hint="eastAsia" w:ascii="仿宋" w:hAnsi="仿宋" w:eastAsia="仿宋" w:cs="仿宋"/>
                <w:color w:val="auto"/>
                <w:sz w:val="24"/>
              </w:rPr>
              <w:t>▲</w:t>
            </w:r>
            <w:r>
              <w:rPr>
                <w:rFonts w:hint="eastAsia" w:ascii="仿宋" w:hAnsi="仿宋" w:eastAsia="仿宋" w:cs="仿宋"/>
                <w:b/>
                <w:color w:val="auto"/>
                <w:sz w:val="24"/>
              </w:rPr>
              <w:t>响应人未提供（1）的有效的资格证明文件的，视为响应人不具备交易文件中规定的资格要求，响应无效。</w:t>
            </w:r>
          </w:p>
        </w:tc>
      </w:tr>
      <w:tr w14:paraId="19E66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FDFE891">
            <w:pPr>
              <w:snapToGrid w:val="0"/>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15FF25E0">
            <w:pPr>
              <w:spacing w:line="360" w:lineRule="auto"/>
              <w:rPr>
                <w:rFonts w:hint="eastAsia" w:ascii="仿宋" w:hAnsi="仿宋" w:eastAsia="仿宋" w:cs="仿宋"/>
                <w:b/>
                <w:color w:val="auto"/>
                <w:sz w:val="24"/>
              </w:rPr>
            </w:pPr>
            <w:r>
              <w:rPr>
                <w:rFonts w:hint="eastAsia" w:ascii="仿宋" w:hAnsi="仿宋" w:eastAsia="仿宋" w:cs="仿宋"/>
                <w:b/>
                <w:color w:val="auto"/>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5F68E941">
            <w:pPr>
              <w:spacing w:line="360" w:lineRule="auto"/>
              <w:rPr>
                <w:rFonts w:hint="eastAsia" w:ascii="仿宋" w:hAnsi="仿宋" w:eastAsia="仿宋" w:cs="仿宋"/>
                <w:color w:val="auto"/>
                <w:sz w:val="24"/>
              </w:rPr>
            </w:pPr>
            <w:r>
              <w:rPr>
                <w:rFonts w:hint="eastAsia" w:ascii="仿宋" w:hAnsi="仿宋" w:eastAsia="仿宋" w:cs="仿宋"/>
                <w:b/>
                <w:color w:val="auto"/>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14:paraId="4B926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FD02F7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618ECA6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2BA0F776">
            <w:pPr>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rPr>
              <w:t>无</w:t>
            </w:r>
          </w:p>
        </w:tc>
      </w:tr>
      <w:tr w14:paraId="08FBF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CAC382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3AC3773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响应文件</w:t>
            </w:r>
          </w:p>
          <w:p w14:paraId="6DF0955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67819979">
            <w:pPr>
              <w:pStyle w:val="31"/>
              <w:snapToGrid w:val="0"/>
              <w:spacing w:before="120" w:after="120" w:line="360" w:lineRule="auto"/>
              <w:rPr>
                <w:rFonts w:hint="eastAsia" w:ascii="仿宋" w:hAnsi="仿宋" w:eastAsia="仿宋" w:cs="仿宋"/>
                <w:color w:val="auto"/>
              </w:rPr>
            </w:pPr>
            <w:r>
              <w:rPr>
                <w:rFonts w:hint="eastAsia" w:ascii="仿宋" w:hAnsi="仿宋" w:eastAsia="仿宋" w:cs="仿宋"/>
                <w:color w:val="auto"/>
              </w:rPr>
              <w:t>本项目实行电子投标。</w:t>
            </w:r>
          </w:p>
          <w:p w14:paraId="75A026DD">
            <w:pPr>
              <w:pStyle w:val="31"/>
              <w:snapToGrid w:val="0"/>
              <w:spacing w:before="120" w:after="120" w:line="360" w:lineRule="auto"/>
              <w:ind w:firstLine="315" w:firstLineChars="150"/>
              <w:rPr>
                <w:rFonts w:hint="eastAsia" w:ascii="仿宋" w:hAnsi="仿宋" w:eastAsia="仿宋" w:cs="仿宋"/>
                <w:color w:val="auto"/>
              </w:rPr>
            </w:pPr>
            <w:r>
              <w:rPr>
                <w:rFonts w:hint="eastAsia" w:ascii="仿宋" w:hAnsi="仿宋" w:eastAsia="仿宋" w:cs="仿宋"/>
                <w:color w:val="auto"/>
              </w:rPr>
              <w:t>供应商应准备电子响应文件参与交易：</w:t>
            </w:r>
          </w:p>
          <w:p w14:paraId="18F630CF">
            <w:pPr>
              <w:pStyle w:val="31"/>
              <w:numPr>
                <w:ilvl w:val="0"/>
                <w:numId w:val="8"/>
              </w:numPr>
              <w:snapToGrid w:val="0"/>
              <w:spacing w:before="120" w:after="120" w:line="360" w:lineRule="auto"/>
              <w:rPr>
                <w:rFonts w:hint="eastAsia" w:ascii="仿宋" w:hAnsi="仿宋" w:eastAsia="仿宋" w:cs="仿宋"/>
                <w:color w:val="auto"/>
              </w:rPr>
            </w:pPr>
            <w:r>
              <w:rPr>
                <w:rFonts w:hint="eastAsia" w:ascii="仿宋" w:hAnsi="仿宋" w:eastAsia="仿宋" w:cs="仿宋"/>
                <w:color w:val="auto"/>
              </w:rPr>
              <w:t>电子响应文件，按</w:t>
            </w:r>
            <w:r>
              <w:rPr>
                <w:rFonts w:hint="eastAsia" w:ascii="仿宋" w:hAnsi="仿宋" w:eastAsia="仿宋" w:cs="仿宋"/>
                <w:color w:val="auto"/>
                <w:lang w:eastAsia="zh-CN"/>
              </w:rPr>
              <w:t>乐采云平台</w:t>
            </w:r>
            <w:r>
              <w:rPr>
                <w:rFonts w:hint="eastAsia" w:ascii="仿宋" w:hAnsi="仿宋" w:eastAsia="仿宋" w:cs="仿宋"/>
                <w:color w:val="auto"/>
              </w:rPr>
              <w:t>项目采购-电子招投标操作指南及本交易文件要求递交。</w:t>
            </w:r>
          </w:p>
          <w:p w14:paraId="35BCA94F">
            <w:pPr>
              <w:spacing w:line="360" w:lineRule="auto"/>
              <w:rPr>
                <w:rFonts w:hint="eastAsia" w:ascii="仿宋" w:hAnsi="仿宋" w:eastAsia="仿宋" w:cs="仿宋"/>
                <w:color w:val="auto"/>
              </w:rPr>
            </w:pPr>
            <w:r>
              <w:rPr>
                <w:rFonts w:hint="eastAsia" w:ascii="仿宋" w:hAnsi="仿宋" w:eastAsia="仿宋" w:cs="仿宋"/>
                <w:color w:val="auto"/>
              </w:rPr>
              <w:t>▲未传输递交电子响应文件的，投标无效。</w:t>
            </w:r>
          </w:p>
          <w:p w14:paraId="2FEBF3F1">
            <w:pPr>
              <w:spacing w:line="360" w:lineRule="auto"/>
              <w:rPr>
                <w:rFonts w:hint="eastAsia" w:ascii="仿宋" w:hAnsi="仿宋" w:eastAsia="仿宋" w:cs="仿宋"/>
                <w:color w:val="auto"/>
              </w:rPr>
            </w:pPr>
            <w:r>
              <w:rPr>
                <w:rFonts w:hint="eastAsia" w:ascii="仿宋" w:hAnsi="仿宋" w:eastAsia="仿宋" w:cs="仿宋"/>
                <w:color w:val="auto"/>
              </w:rPr>
              <w:t>▲未在系统解密时间内完成解密的，视为响应人自行放弃交易响应无效。</w:t>
            </w:r>
          </w:p>
          <w:p w14:paraId="20D164BD">
            <w:pPr>
              <w:spacing w:line="360" w:lineRule="auto"/>
              <w:rPr>
                <w:rFonts w:hint="eastAsia" w:ascii="仿宋" w:hAnsi="仿宋" w:eastAsia="仿宋" w:cs="仿宋"/>
                <w:color w:val="auto"/>
              </w:rPr>
            </w:pPr>
            <w:r>
              <w:rPr>
                <w:rFonts w:hint="eastAsia" w:ascii="仿宋" w:hAnsi="仿宋" w:eastAsia="仿宋" w:cs="仿宋"/>
                <w:color w:val="auto"/>
              </w:rPr>
              <w:t>本项目备份</w:t>
            </w:r>
            <w:r>
              <w:rPr>
                <w:rFonts w:hint="eastAsia" w:ascii="仿宋" w:hAnsi="仿宋" w:eastAsia="仿宋" w:cs="仿宋"/>
                <w:color w:val="auto"/>
                <w:lang w:eastAsia="zh-CN"/>
              </w:rPr>
              <w:t>响应文件</w:t>
            </w:r>
            <w:r>
              <w:rPr>
                <w:rFonts w:hint="eastAsia" w:ascii="仿宋" w:hAnsi="仿宋" w:eastAsia="仿宋" w:cs="仿宋"/>
                <w:color w:val="auto"/>
              </w:rPr>
              <w:t>：不提供</w:t>
            </w:r>
          </w:p>
          <w:p w14:paraId="0837EB66">
            <w:pPr>
              <w:spacing w:line="360" w:lineRule="auto"/>
              <w:rPr>
                <w:rFonts w:hint="eastAsia" w:ascii="仿宋" w:hAnsi="仿宋" w:eastAsia="仿宋" w:cs="仿宋"/>
                <w:color w:val="auto"/>
              </w:rPr>
            </w:pPr>
            <w:r>
              <w:rPr>
                <w:rFonts w:hint="eastAsia" w:ascii="仿宋" w:hAnsi="仿宋" w:eastAsia="仿宋" w:cs="仿宋"/>
                <w:b/>
                <w:bCs/>
                <w:snapToGrid w:val="0"/>
                <w:color w:val="auto"/>
                <w:kern w:val="28"/>
                <w:sz w:val="24"/>
                <w:szCs w:val="20"/>
                <w:lang w:val="en-US" w:eastAsia="zh-CN" w:bidi="ar-SA"/>
              </w:rPr>
              <w:t>成交单位在成交后提供纸质响应文件一正二副。</w:t>
            </w:r>
          </w:p>
        </w:tc>
      </w:tr>
      <w:tr w14:paraId="15540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A92F81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68D4B446">
            <w:pPr>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4F1F4E23">
            <w:pPr>
              <w:spacing w:line="360" w:lineRule="auto"/>
              <w:rPr>
                <w:rFonts w:hint="eastAsia" w:ascii="仿宋" w:hAnsi="仿宋" w:eastAsia="仿宋" w:cs="仿宋"/>
                <w:color w:val="auto"/>
                <w:sz w:val="24"/>
              </w:rPr>
            </w:pPr>
            <w:r>
              <w:rPr>
                <w:rFonts w:hint="eastAsia" w:ascii="仿宋" w:hAnsi="仿宋" w:eastAsia="仿宋" w:cs="仿宋"/>
                <w:color w:val="auto"/>
                <w:sz w:val="24"/>
              </w:rPr>
              <w:t>（√）A不组织。</w:t>
            </w:r>
          </w:p>
        </w:tc>
      </w:tr>
      <w:tr w14:paraId="311CC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BA8137F">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5EA816A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采购机构</w:t>
            </w:r>
          </w:p>
          <w:p w14:paraId="2387882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530319CA">
            <w:pPr>
              <w:pStyle w:val="15"/>
              <w:spacing w:line="360" w:lineRule="auto"/>
              <w:ind w:firstLine="0"/>
              <w:rPr>
                <w:rFonts w:hint="eastAsia" w:ascii="仿宋" w:hAnsi="仿宋" w:eastAsia="仿宋" w:cs="仿宋"/>
                <w:b/>
                <w:bCs/>
                <w:color w:val="auto"/>
                <w:sz w:val="24"/>
              </w:rPr>
            </w:pPr>
            <w:r>
              <w:rPr>
                <w:rFonts w:hint="eastAsia" w:ascii="仿宋" w:hAnsi="仿宋" w:eastAsia="仿宋" w:cs="仿宋"/>
                <w:b/>
                <w:bCs/>
                <w:color w:val="auto"/>
                <w:sz w:val="24"/>
              </w:rPr>
              <w:t>代理服务费</w:t>
            </w:r>
            <w:r>
              <w:rPr>
                <w:rFonts w:hint="eastAsia" w:ascii="仿宋" w:hAnsi="仿宋" w:eastAsia="仿宋" w:cs="仿宋"/>
                <w:b/>
                <w:bCs/>
                <w:color w:val="auto"/>
                <w:sz w:val="24"/>
                <w:lang w:val="en-US" w:eastAsia="zh-CN"/>
              </w:rPr>
              <w:t>由采购人支付。</w:t>
            </w:r>
            <w:r>
              <w:rPr>
                <w:rFonts w:hint="eastAsia" w:ascii="仿宋" w:hAnsi="仿宋" w:eastAsia="仿宋" w:cs="仿宋"/>
                <w:b/>
                <w:bCs/>
                <w:color w:val="auto"/>
                <w:sz w:val="24"/>
              </w:rPr>
              <w:t>专家评审费</w:t>
            </w:r>
            <w:r>
              <w:rPr>
                <w:rFonts w:hint="eastAsia" w:ascii="仿宋" w:hAnsi="仿宋" w:eastAsia="仿宋" w:cs="仿宋"/>
                <w:b/>
                <w:bCs/>
                <w:color w:val="auto"/>
                <w:sz w:val="24"/>
                <w:lang w:val="en-US" w:eastAsia="zh-CN"/>
              </w:rPr>
              <w:t>依据采购专家评审费领取表</w:t>
            </w:r>
            <w:r>
              <w:rPr>
                <w:rFonts w:hint="eastAsia" w:ascii="仿宋" w:hAnsi="仿宋" w:eastAsia="仿宋" w:cs="仿宋"/>
                <w:b/>
                <w:bCs/>
                <w:color w:val="auto"/>
                <w:sz w:val="24"/>
              </w:rPr>
              <w:t>由</w:t>
            </w:r>
            <w:r>
              <w:rPr>
                <w:rFonts w:hint="eastAsia" w:ascii="仿宋" w:hAnsi="仿宋" w:eastAsia="仿宋" w:cs="仿宋"/>
                <w:b/>
                <w:bCs/>
                <w:color w:val="auto"/>
                <w:sz w:val="24"/>
                <w:lang w:eastAsia="zh-CN"/>
              </w:rPr>
              <w:t>成交单位</w:t>
            </w:r>
            <w:r>
              <w:rPr>
                <w:rFonts w:hint="eastAsia" w:ascii="仿宋" w:hAnsi="仿宋" w:eastAsia="仿宋" w:cs="仿宋"/>
                <w:b/>
                <w:bCs/>
                <w:color w:val="auto"/>
                <w:sz w:val="24"/>
              </w:rPr>
              <w:t>支付</w:t>
            </w:r>
          </w:p>
        </w:tc>
      </w:tr>
      <w:tr w14:paraId="2C615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AD259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4C32973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响应保证金</w:t>
            </w:r>
          </w:p>
          <w:p w14:paraId="1372BE4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6D337C33">
            <w:pPr>
              <w:pStyle w:val="15"/>
              <w:spacing w:line="360" w:lineRule="auto"/>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响应保证金：不收取。</w:t>
            </w:r>
          </w:p>
          <w:p w14:paraId="34290362">
            <w:pPr>
              <w:pStyle w:val="15"/>
              <w:spacing w:line="360" w:lineRule="auto"/>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履约保证金：不收取。</w:t>
            </w:r>
          </w:p>
          <w:p w14:paraId="1FF5064F">
            <w:pPr>
              <w:pStyle w:val="15"/>
              <w:spacing w:line="360" w:lineRule="auto"/>
              <w:ind w:left="0" w:leftChars="0" w:firstLine="0" w:firstLineChars="0"/>
              <w:rPr>
                <w:rFonts w:hint="eastAsia" w:ascii="仿宋" w:hAnsi="仿宋" w:eastAsia="仿宋" w:cs="仿宋"/>
                <w:color w:val="auto"/>
                <w:sz w:val="24"/>
              </w:rPr>
            </w:pPr>
            <w:r>
              <w:rPr>
                <w:rFonts w:hint="eastAsia" w:ascii="仿宋" w:hAnsi="仿宋" w:eastAsia="仿宋" w:cs="仿宋"/>
                <w:color w:val="auto"/>
                <w:sz w:val="24"/>
              </w:rPr>
              <w:t>供应商应当以支票、汇票等形式提交。</w:t>
            </w:r>
          </w:p>
        </w:tc>
      </w:tr>
      <w:tr w14:paraId="26888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7F1E197">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2B877D1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1C93BBFB">
            <w:pPr>
              <w:pStyle w:val="15"/>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本项目由</w:t>
            </w:r>
            <w:r>
              <w:rPr>
                <w:rFonts w:hint="eastAsia" w:ascii="仿宋" w:hAnsi="仿宋" w:eastAsia="仿宋" w:cs="仿宋"/>
                <w:color w:val="auto"/>
                <w:sz w:val="24"/>
                <w:lang w:eastAsia="zh-CN"/>
              </w:rPr>
              <w:t>交易</w:t>
            </w:r>
            <w:r>
              <w:rPr>
                <w:rFonts w:hint="eastAsia" w:ascii="仿宋" w:hAnsi="仿宋" w:eastAsia="仿宋" w:cs="仿宋"/>
                <w:color w:val="auto"/>
                <w:sz w:val="24"/>
              </w:rPr>
              <w:t>人进行资格文件及信用信息查询。</w:t>
            </w:r>
          </w:p>
        </w:tc>
      </w:tr>
      <w:tr w14:paraId="0409B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02A1B4">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5FFFB8D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067D596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本项目为</w:t>
            </w:r>
            <w:r>
              <w:rPr>
                <w:rFonts w:hint="eastAsia" w:ascii="仿宋" w:hAnsi="仿宋" w:eastAsia="仿宋" w:cs="仿宋"/>
                <w:color w:val="auto"/>
                <w:sz w:val="24"/>
                <w:u w:val="single"/>
              </w:rPr>
              <w:t>服务类</w:t>
            </w:r>
            <w:r>
              <w:rPr>
                <w:rFonts w:hint="eastAsia" w:ascii="仿宋" w:hAnsi="仿宋" w:eastAsia="仿宋" w:cs="仿宋"/>
                <w:color w:val="auto"/>
                <w:sz w:val="24"/>
              </w:rPr>
              <w:t>采购项目</w:t>
            </w:r>
          </w:p>
        </w:tc>
      </w:tr>
      <w:tr w14:paraId="69F8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69E193">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3A3E03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0170483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rPr>
              <w:t>标项一</w:t>
            </w:r>
            <w:r>
              <w:rPr>
                <w:rFonts w:hint="eastAsia" w:ascii="仿宋" w:hAnsi="仿宋" w:eastAsia="仿宋" w:cs="仿宋"/>
                <w:color w:val="auto"/>
                <w:sz w:val="24"/>
              </w:rPr>
              <w:t>为</w:t>
            </w:r>
            <w:r>
              <w:rPr>
                <w:rFonts w:hint="eastAsia" w:ascii="仿宋" w:hAnsi="仿宋" w:eastAsia="仿宋" w:cs="仿宋"/>
                <w:color w:val="auto"/>
                <w:sz w:val="24"/>
                <w:u w:val="single"/>
              </w:rPr>
              <w:t>综合评</w:t>
            </w:r>
            <w:r>
              <w:rPr>
                <w:rFonts w:hint="eastAsia" w:ascii="仿宋" w:hAnsi="仿宋" w:eastAsia="仿宋" w:cs="仿宋"/>
                <w:color w:val="auto"/>
                <w:sz w:val="24"/>
                <w:u w:val="single"/>
                <w:lang w:val="en-US" w:eastAsia="zh-CN"/>
              </w:rPr>
              <w:t>估</w:t>
            </w:r>
            <w:r>
              <w:rPr>
                <w:rFonts w:hint="eastAsia" w:ascii="仿宋" w:hAnsi="仿宋" w:eastAsia="仿宋" w:cs="仿宋"/>
                <w:color w:val="auto"/>
                <w:sz w:val="24"/>
                <w:u w:val="single"/>
              </w:rPr>
              <w:t>法</w:t>
            </w:r>
            <w:r>
              <w:rPr>
                <w:rFonts w:hint="eastAsia" w:ascii="仿宋" w:hAnsi="仿宋" w:eastAsia="仿宋" w:cs="仿宋"/>
                <w:color w:val="auto"/>
                <w:sz w:val="24"/>
              </w:rPr>
              <w:t>采购项目</w:t>
            </w:r>
          </w:p>
        </w:tc>
      </w:tr>
    </w:tbl>
    <w:p w14:paraId="572FAE88">
      <w:pPr>
        <w:rPr>
          <w:rFonts w:hint="eastAsia" w:ascii="仿宋" w:hAnsi="仿宋" w:eastAsia="仿宋" w:cs="仿宋"/>
          <w:color w:val="auto"/>
        </w:rPr>
      </w:pPr>
      <w:r>
        <w:rPr>
          <w:rFonts w:hint="eastAsia" w:ascii="仿宋" w:hAnsi="仿宋" w:eastAsia="仿宋" w:cs="仿宋"/>
          <w:b/>
          <w:color w:val="auto"/>
          <w:sz w:val="24"/>
        </w:rPr>
        <w:t>注：本项目通用总则条款与前附表等专用特别规定有冲突之处，以专用条款（特别规定）为准</w:t>
      </w:r>
    </w:p>
    <w:p w14:paraId="6A75A0C6">
      <w:pPr>
        <w:rPr>
          <w:rFonts w:hint="eastAsia" w:ascii="仿宋" w:hAnsi="仿宋" w:eastAsia="仿宋" w:cs="仿宋"/>
          <w:color w:val="auto"/>
        </w:rPr>
      </w:pPr>
    </w:p>
    <w:p w14:paraId="52FA5B65">
      <w:pPr>
        <w:adjustRightInd/>
        <w:spacing w:line="360" w:lineRule="auto"/>
        <w:ind w:firstLine="3845" w:firstLineChars="1197"/>
        <w:outlineLvl w:val="0"/>
        <w:rPr>
          <w:rFonts w:hint="eastAsia" w:ascii="仿宋" w:hAnsi="仿宋" w:eastAsia="仿宋" w:cs="仿宋"/>
          <w:b/>
          <w:color w:val="auto"/>
          <w:sz w:val="32"/>
          <w:szCs w:val="20"/>
        </w:rPr>
      </w:pPr>
    </w:p>
    <w:p w14:paraId="435B87EE">
      <w:pPr>
        <w:adjustRightInd/>
        <w:spacing w:line="360" w:lineRule="auto"/>
        <w:ind w:firstLine="3845" w:firstLineChars="1197"/>
        <w:outlineLvl w:val="0"/>
        <w:rPr>
          <w:rFonts w:hint="eastAsia" w:ascii="仿宋" w:hAnsi="仿宋" w:eastAsia="仿宋" w:cs="仿宋"/>
          <w:b/>
          <w:color w:val="auto"/>
          <w:sz w:val="32"/>
          <w:szCs w:val="20"/>
        </w:rPr>
      </w:pPr>
    </w:p>
    <w:p w14:paraId="3BB38B21">
      <w:pPr>
        <w:pStyle w:val="2"/>
        <w:numPr>
          <w:ilvl w:val="2"/>
          <w:numId w:val="0"/>
        </w:numPr>
        <w:ind w:left="180"/>
        <w:rPr>
          <w:rFonts w:hint="eastAsia" w:ascii="仿宋" w:hAnsi="仿宋" w:eastAsia="仿宋" w:cs="仿宋"/>
          <w:color w:val="auto"/>
        </w:rPr>
      </w:pPr>
    </w:p>
    <w:p w14:paraId="02CDA739">
      <w:pPr>
        <w:rPr>
          <w:rFonts w:hint="eastAsia" w:ascii="仿宋" w:hAnsi="仿宋" w:eastAsia="仿宋" w:cs="仿宋"/>
          <w:color w:val="auto"/>
        </w:rPr>
      </w:pPr>
    </w:p>
    <w:p w14:paraId="7BF38DF6">
      <w:pPr>
        <w:pStyle w:val="22"/>
        <w:rPr>
          <w:rFonts w:hint="eastAsia" w:ascii="仿宋" w:hAnsi="仿宋" w:eastAsia="仿宋" w:cs="仿宋"/>
          <w:color w:val="auto"/>
        </w:rPr>
      </w:pPr>
    </w:p>
    <w:p w14:paraId="52814CE6">
      <w:pPr>
        <w:adjustRightInd/>
        <w:spacing w:line="360" w:lineRule="auto"/>
        <w:outlineLvl w:val="0"/>
        <w:rPr>
          <w:rFonts w:hint="eastAsia" w:ascii="仿宋" w:hAnsi="仿宋" w:eastAsia="仿宋" w:cs="仿宋"/>
          <w:b/>
          <w:color w:val="auto"/>
          <w:sz w:val="32"/>
          <w:szCs w:val="20"/>
        </w:rPr>
      </w:pPr>
    </w:p>
    <w:p w14:paraId="3B20BBE9">
      <w:pPr>
        <w:adjustRightInd/>
        <w:spacing w:line="360" w:lineRule="auto"/>
        <w:ind w:firstLine="3845" w:firstLineChars="1197"/>
        <w:outlineLvl w:val="0"/>
        <w:rPr>
          <w:rFonts w:hint="eastAsia" w:ascii="仿宋" w:hAnsi="仿宋" w:eastAsia="仿宋" w:cs="仿宋"/>
          <w:b/>
          <w:color w:val="auto"/>
          <w:sz w:val="32"/>
          <w:szCs w:val="20"/>
        </w:rPr>
      </w:pPr>
    </w:p>
    <w:p w14:paraId="4FF9BACB">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4E98FA90">
      <w:pPr>
        <w:snapToGrid w:val="0"/>
        <w:spacing w:line="360" w:lineRule="auto"/>
        <w:ind w:firstLine="361" w:firstLineChars="15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7C3DEE6A">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本交易文件适用于该项目的响应、交易、资格审查及信用信息查询、评标、定标、合同、验收等行为（法律、法规另有规定的，从其规定）。</w:t>
      </w:r>
    </w:p>
    <w:p w14:paraId="4BDD615C">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 xml:space="preserve">   2.定义</w:t>
      </w:r>
    </w:p>
    <w:p w14:paraId="5027136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“交易人”系指交易公告中载明的本项目的交易人。</w:t>
      </w:r>
    </w:p>
    <w:p w14:paraId="753E4EA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“采购机构”系指交易公告中载明的本项目的采购机构。</w:t>
      </w:r>
    </w:p>
    <w:p w14:paraId="761204D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“供应商”系指是指响应招标、参加投标竞争的法人、其他组织或者自然人。</w:t>
      </w:r>
    </w:p>
    <w:p w14:paraId="6E690EC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35E1417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p w14:paraId="1190602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2.6“电子交易平台”是指本项目采购活动所依托的</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sz w:val="24"/>
          <w:lang w:eastAsia="zh-CN"/>
        </w:rPr>
        <w:t>www.lecaiyun.com</w:t>
      </w:r>
      <w:r>
        <w:rPr>
          <w:rFonts w:hint="eastAsia" w:ascii="仿宋" w:hAnsi="仿宋" w:eastAsia="仿宋" w:cs="仿宋"/>
          <w:color w:val="auto"/>
          <w:sz w:val="24"/>
        </w:rPr>
        <w:t>）。</w:t>
      </w:r>
    </w:p>
    <w:p w14:paraId="7174585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仿宋" w:hAnsi="仿宋" w:eastAsia="仿宋" w:cs="仿宋"/>
          <w:bCs/>
          <w:color w:val="auto"/>
          <w:sz w:val="24"/>
        </w:rPr>
        <w:t>√</w:t>
      </w:r>
      <w:r>
        <w:rPr>
          <w:rFonts w:hint="eastAsia" w:ascii="仿宋" w:hAnsi="仿宋" w:eastAsia="仿宋" w:cs="仿宋"/>
          <w:color w:val="auto"/>
          <w:sz w:val="24"/>
        </w:rPr>
        <w:t>）” 系指适用本项目的要求，“（  ）”系指不适用本项目的要求。</w:t>
      </w:r>
    </w:p>
    <w:p w14:paraId="1A277A6F">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 xml:space="preserve"> 询问、质疑、投诉</w:t>
      </w:r>
    </w:p>
    <w:p w14:paraId="202ABB5B">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.1供应商询问</w:t>
      </w:r>
    </w:p>
    <w:p w14:paraId="48056353">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采购活动事项有疑问的，可以提出询问，交易人或者采购代理机构应当在3个工作日内对供应商依法提出的询问作出答复，但答复的内容不得涉及商业秘密。供应商提出的询问超出交易人对采购代理机构委托授权范围的，采购代理机构应当告知供应商向交易人提出。</w:t>
      </w:r>
    </w:p>
    <w:p w14:paraId="46201E8D">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.2供应商质疑</w:t>
      </w:r>
    </w:p>
    <w:p w14:paraId="18A8B512">
      <w:pPr>
        <w:pStyle w:val="31"/>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w:t>
      </w:r>
      <w:r>
        <w:rPr>
          <w:rFonts w:hint="eastAsia" w:ascii="仿宋" w:hAnsi="仿宋" w:eastAsia="仿宋" w:cs="仿宋"/>
          <w:color w:val="auto"/>
          <w:sz w:val="24"/>
        </w:rPr>
        <w:t>.1提出质疑的供应商应当是参与所质疑项目采购活动的供应商。潜在供应商已依法获取其可质疑的交易文件的，可以对该文件提出质疑。</w:t>
      </w:r>
    </w:p>
    <w:p w14:paraId="4D386597">
      <w:pPr>
        <w:pStyle w:val="31"/>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w:t>
      </w:r>
      <w:r>
        <w:rPr>
          <w:rFonts w:hint="eastAsia" w:ascii="仿宋" w:hAnsi="仿宋" w:eastAsia="仿宋" w:cs="仿宋"/>
          <w:color w:val="auto"/>
          <w:sz w:val="24"/>
        </w:rPr>
        <w:t>.2供应商认为交易文件、采购过程和成交结果使自己的权益受到损害的，可以在知道或者应知其权益受到损害之日起七个工作日内，以书面形式向交易人或者采购机构提出质疑，否则，交易人或者采购机构不予受理：</w:t>
      </w:r>
    </w:p>
    <w:p w14:paraId="6D10D8C2">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3.2.2.1对交易文件提出质疑的，质疑期限为供应商获得交易文件之日或者交易文件公告期限届满之日起计算。</w:t>
      </w:r>
    </w:p>
    <w:p w14:paraId="4A1B2DC5">
      <w:pPr>
        <w:pStyle w:val="31"/>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3.2.2.2对交易过程提出质疑的，质疑期限为各采购程序环节结束之日起计算。对同一采购程序环节的质疑，供应商须一次性提出。</w:t>
      </w:r>
    </w:p>
    <w:p w14:paraId="103638A7">
      <w:pPr>
        <w:pStyle w:val="31"/>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3.2.2.3对采购结果提出质疑的，质疑期限自采购结果公告期限届满之日起计算。</w:t>
      </w:r>
    </w:p>
    <w:p w14:paraId="4775FE9A">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w:t>
      </w:r>
      <w:r>
        <w:rPr>
          <w:rFonts w:hint="eastAsia" w:ascii="仿宋" w:hAnsi="仿宋" w:eastAsia="仿宋" w:cs="仿宋"/>
          <w:color w:val="auto"/>
          <w:sz w:val="24"/>
        </w:rPr>
        <w:t>供应商提出质疑应当提交质疑函和必要的证明材料。质疑函应当包括下列内容：</w:t>
      </w:r>
    </w:p>
    <w:p w14:paraId="1B4E9ED0">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.2.3.1供应商的姓名或者名称、地址、邮编、联系人及联系电话；</w:t>
      </w:r>
    </w:p>
    <w:p w14:paraId="47D64506">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.2.3.2质疑项目的名称、编号；</w:t>
      </w:r>
    </w:p>
    <w:p w14:paraId="5FA2CC9E">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.2.3.3具体、明确的质疑事项和与质疑事项相关的请求；</w:t>
      </w:r>
    </w:p>
    <w:p w14:paraId="4F1090BD">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.2.3.4事实依据；</w:t>
      </w:r>
    </w:p>
    <w:p w14:paraId="158F5D01">
      <w:pPr>
        <w:pStyle w:val="31"/>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.2.3.5必要的法律依据；</w:t>
      </w:r>
    </w:p>
    <w:p w14:paraId="3DA8DA20">
      <w:pPr>
        <w:pStyle w:val="31"/>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.2.3.6提出质疑的日期。</w:t>
      </w:r>
    </w:p>
    <w:p w14:paraId="79EA65AD">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14:paraId="7B80AF37">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质疑函范本及制作说明详见附件</w:t>
      </w:r>
      <w:r>
        <w:rPr>
          <w:rFonts w:hint="eastAsia" w:ascii="仿宋" w:hAnsi="仿宋" w:eastAsia="仿宋" w:cs="仿宋"/>
          <w:color w:val="auto"/>
          <w:lang w:val="en-US" w:eastAsia="zh-CN"/>
        </w:rPr>
        <w:t>1</w:t>
      </w:r>
      <w:r>
        <w:rPr>
          <w:rFonts w:hint="eastAsia" w:ascii="仿宋" w:hAnsi="仿宋" w:eastAsia="仿宋" w:cs="仿宋"/>
          <w:color w:val="auto"/>
        </w:rPr>
        <w:t>。</w:t>
      </w:r>
    </w:p>
    <w:p w14:paraId="10ADCB19">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CN"/>
        </w:rPr>
        <w:t>.2</w:t>
      </w:r>
      <w:r>
        <w:rPr>
          <w:rFonts w:hint="eastAsia" w:ascii="仿宋" w:hAnsi="仿宋" w:eastAsia="仿宋" w:cs="仿宋"/>
          <w:color w:val="auto"/>
        </w:rPr>
        <w:t>.4交易人或者采购机构应当在收到供应商的书面质疑后七个工作日内作出答复，并以书面形式通知质疑供应商和其他与质疑处理结果有利害关系的采购当事人，但答复的内容不得涉及商业秘密。</w:t>
      </w:r>
    </w:p>
    <w:p w14:paraId="52FE440B">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CN"/>
        </w:rPr>
        <w:t>.2</w:t>
      </w:r>
      <w:r>
        <w:rPr>
          <w:rFonts w:hint="eastAsia" w:ascii="仿宋" w:hAnsi="仿宋" w:eastAsia="仿宋" w:cs="仿宋"/>
          <w:color w:val="auto"/>
        </w:rPr>
        <w:t>.5询问或者质疑事项可能影响采购结果的，交易人应当暂停签订合同，已经签订合同的，应当中止履行合同。</w:t>
      </w:r>
    </w:p>
    <w:p w14:paraId="1C6F29D3">
      <w:pPr>
        <w:pStyle w:val="615"/>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rPr>
        <w:t>3</w:t>
      </w:r>
      <w:r>
        <w:rPr>
          <w:rFonts w:hint="eastAsia" w:ascii="仿宋" w:hAnsi="仿宋" w:eastAsia="仿宋" w:cs="仿宋"/>
          <w:color w:val="auto"/>
          <w:lang w:val="zh-CN"/>
        </w:rPr>
        <w:t>.3供应商投诉</w:t>
      </w:r>
    </w:p>
    <w:p w14:paraId="47DD9509">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3.3.1质疑供应商对交易人、采购机构的答复不满意或者交易人、采购机构未在规定的时间内作出答复的，可以在答复期满后十五个工作日内向同级采购监督管理部门提出投诉。</w:t>
      </w:r>
    </w:p>
    <w:p w14:paraId="1D7CF389">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14:paraId="5BC00FF3">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3.3.3供应商投诉应当有明确的请求和必要的证明材料。</w:t>
      </w:r>
    </w:p>
    <w:p w14:paraId="0695E517">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3.3.5 以联合体形式参加采购活动的，其投诉应当由组成联合体的所有供应商共同提出。</w:t>
      </w:r>
    </w:p>
    <w:p w14:paraId="4720E7DA">
      <w:pPr>
        <w:pStyle w:val="615"/>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w:t>
      </w:r>
      <w:r>
        <w:rPr>
          <w:rFonts w:hint="eastAsia" w:ascii="仿宋" w:hAnsi="仿宋" w:eastAsia="仿宋" w:cs="仿宋"/>
          <w:color w:val="auto"/>
          <w:lang w:val="en-US" w:eastAsia="zh-CN"/>
        </w:rPr>
        <w:t>2</w:t>
      </w:r>
      <w:r>
        <w:rPr>
          <w:rFonts w:hint="eastAsia" w:ascii="仿宋" w:hAnsi="仿宋" w:eastAsia="仿宋" w:cs="仿宋"/>
          <w:color w:val="auto"/>
        </w:rPr>
        <w:t>。</w:t>
      </w:r>
    </w:p>
    <w:p w14:paraId="72E2CDED">
      <w:pPr>
        <w:pStyle w:val="219"/>
        <w:snapToGrid w:val="0"/>
        <w:spacing w:before="0"/>
        <w:ind w:firstLine="360"/>
        <w:rPr>
          <w:rFonts w:hint="eastAsia" w:ascii="仿宋" w:hAnsi="仿宋" w:eastAsia="仿宋" w:cs="仿宋"/>
          <w:color w:val="auto"/>
          <w:sz w:val="18"/>
          <w:szCs w:val="18"/>
        </w:rPr>
      </w:pPr>
    </w:p>
    <w:p w14:paraId="0C458E6A">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二、交易文件的构成、澄清、修改</w:t>
      </w:r>
    </w:p>
    <w:p w14:paraId="2E6753DC">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4．交易文件的构成</w:t>
      </w:r>
    </w:p>
    <w:p w14:paraId="292AB622">
      <w:pPr>
        <w:pStyle w:val="31"/>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 交易文件包括下列文件及附件：</w:t>
      </w:r>
    </w:p>
    <w:p w14:paraId="04FDB0B0">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4.1.1交易公告；</w:t>
      </w:r>
    </w:p>
    <w:p w14:paraId="569204E1">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4.1.2供应商须知；</w:t>
      </w:r>
    </w:p>
    <w:p w14:paraId="767AB30E">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4.1.3采购需求；</w:t>
      </w:r>
    </w:p>
    <w:p w14:paraId="77C509F7">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4.1.4交易办法；</w:t>
      </w:r>
    </w:p>
    <w:p w14:paraId="2288C915">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4.1.5拟签订的合同文本；</w:t>
      </w:r>
    </w:p>
    <w:p w14:paraId="1BAC548E">
      <w:pPr>
        <w:pStyle w:val="31"/>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4.1.6</w:t>
      </w:r>
      <w:r>
        <w:rPr>
          <w:rFonts w:hint="eastAsia" w:ascii="仿宋" w:hAnsi="仿宋" w:eastAsia="仿宋" w:cs="仿宋"/>
          <w:color w:val="auto"/>
          <w:sz w:val="24"/>
          <w:szCs w:val="24"/>
        </w:rPr>
        <w:t>应提交的有关格式范例。</w:t>
      </w:r>
    </w:p>
    <w:p w14:paraId="0FEE081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4.2与本项目有关的</w:t>
      </w:r>
      <w:r>
        <w:rPr>
          <w:rFonts w:hint="eastAsia" w:ascii="仿宋" w:hAnsi="仿宋" w:eastAsia="仿宋" w:cs="仿宋"/>
          <w:bCs/>
          <w:color w:val="auto"/>
          <w:sz w:val="24"/>
        </w:rPr>
        <w:t>澄清或者修改的内容为交易文件的组成部分</w:t>
      </w:r>
      <w:r>
        <w:rPr>
          <w:rFonts w:hint="eastAsia" w:ascii="仿宋" w:hAnsi="仿宋" w:eastAsia="仿宋" w:cs="仿宋"/>
          <w:color w:val="auto"/>
          <w:sz w:val="24"/>
        </w:rPr>
        <w:t>。</w:t>
      </w:r>
    </w:p>
    <w:p w14:paraId="350149B2">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 交易文件的澄清、修改</w:t>
      </w:r>
    </w:p>
    <w:p w14:paraId="5D08C5F0">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5.1已获取交易文件的潜在供应商，若有问题需要澄清，应于投标截止时间前，以书面形式向采购机构提出。</w:t>
      </w:r>
    </w:p>
    <w:p w14:paraId="39AC69A9">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09D54B72">
      <w:pPr>
        <w:pStyle w:val="22"/>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2F61178A">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三、交易</w:t>
      </w:r>
    </w:p>
    <w:p w14:paraId="6D4805A0">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交易文件的获取</w:t>
      </w:r>
    </w:p>
    <w:p w14:paraId="4251F2F8">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详见交易公告中获取交易文件的时间期限、地点、方式及交易文件售价。</w:t>
      </w:r>
    </w:p>
    <w:p w14:paraId="7C99DA6B">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7.交易前答疑会或现场考察</w:t>
      </w:r>
    </w:p>
    <w:p w14:paraId="04A74B93">
      <w:pPr>
        <w:pStyle w:val="31"/>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交易人组织潜在供应商现场考察或者召开交易前答疑会的，潜在供应商按第二部分供应商须知前附表的规定参加现场考察或者交易前答疑会。</w:t>
      </w:r>
    </w:p>
    <w:p w14:paraId="5F4E4B00">
      <w:pPr>
        <w:pStyle w:val="31"/>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rPr>
        <w:t>8.交易保证金</w:t>
      </w:r>
    </w:p>
    <w:p w14:paraId="212F7BBB">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本项目不需缴纳交易保证金。</w:t>
      </w:r>
    </w:p>
    <w:p w14:paraId="06B3E4AA">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9. 响应文件的语言</w:t>
      </w:r>
    </w:p>
    <w:p w14:paraId="03E68289">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响应文件及供应商与采购有关的来往通知、函件和文件均应使用中文。</w:t>
      </w:r>
    </w:p>
    <w:p w14:paraId="0C173148">
      <w:pPr>
        <w:pStyle w:val="31"/>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响应文件的组成</w:t>
      </w:r>
    </w:p>
    <w:p w14:paraId="072EDAC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2EC90E4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10.1.1符合参加采购活动应当具备的一般条件的承诺函；</w:t>
      </w:r>
    </w:p>
    <w:p w14:paraId="725E151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10.1.2本项目的特定资格要求。</w:t>
      </w:r>
    </w:p>
    <w:p w14:paraId="7ED62C79">
      <w:pPr>
        <w:snapToGrid w:val="0"/>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1</w:t>
      </w:r>
      <w:r>
        <w:rPr>
          <w:rFonts w:hint="eastAsia" w:ascii="仿宋" w:hAnsi="仿宋" w:eastAsia="仿宋" w:cs="仿宋"/>
          <w:b/>
          <w:bCs/>
          <w:color w:val="auto"/>
          <w:sz w:val="24"/>
        </w:rPr>
        <w:t>0</w:t>
      </w:r>
      <w:r>
        <w:rPr>
          <w:rFonts w:hint="eastAsia" w:ascii="仿宋" w:hAnsi="仿宋" w:eastAsia="仿宋" w:cs="仿宋"/>
          <w:b/>
          <w:bCs/>
          <w:color w:val="auto"/>
          <w:sz w:val="24"/>
          <w:lang w:val="zh-CN"/>
        </w:rPr>
        <w:t>.</w:t>
      </w:r>
      <w:r>
        <w:rPr>
          <w:rFonts w:hint="eastAsia" w:ascii="仿宋" w:hAnsi="仿宋" w:eastAsia="仿宋" w:cs="仿宋"/>
          <w:b/>
          <w:bCs/>
          <w:color w:val="auto"/>
          <w:sz w:val="24"/>
        </w:rPr>
        <w:t>2商务技术</w:t>
      </w:r>
      <w:r>
        <w:rPr>
          <w:rFonts w:hint="eastAsia" w:ascii="仿宋" w:hAnsi="仿宋" w:eastAsia="仿宋" w:cs="仿宋"/>
          <w:b/>
          <w:bCs/>
          <w:color w:val="auto"/>
          <w:sz w:val="24"/>
          <w:lang w:val="zh-CN"/>
        </w:rPr>
        <w:t>文件：</w:t>
      </w:r>
    </w:p>
    <w:p w14:paraId="3001EE5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10.2.1交易函；</w:t>
      </w:r>
      <w:r>
        <w:rPr>
          <w:rFonts w:hint="eastAsia" w:ascii="仿宋" w:hAnsi="仿宋" w:eastAsia="仿宋" w:cs="仿宋"/>
          <w:color w:val="auto"/>
          <w:sz w:val="24"/>
          <w:lang w:val="zh-CN"/>
        </w:rPr>
        <w:t xml:space="preserve"> </w:t>
      </w:r>
    </w:p>
    <w:p w14:paraId="6F98A78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10.2.2授权委托书或法定代表人（单位负责人、自然人本人）身份证明；</w:t>
      </w:r>
    </w:p>
    <w:p w14:paraId="681C2092">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10.2.3符合性审查资料；</w:t>
      </w:r>
    </w:p>
    <w:p w14:paraId="4DB8FFC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10.2.4评标标准相应的商务技术资料；</w:t>
      </w:r>
    </w:p>
    <w:p w14:paraId="32D92A1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10.2.5响应标的清单；</w:t>
      </w:r>
    </w:p>
    <w:p w14:paraId="3468992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10.2.6商务技术偏离表；</w:t>
      </w:r>
    </w:p>
    <w:p w14:paraId="0619AC7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10.2.7</w:t>
      </w:r>
      <w:r>
        <w:rPr>
          <w:rFonts w:hint="eastAsia" w:ascii="仿宋" w:hAnsi="仿宋" w:eastAsia="仿宋" w:cs="仿宋"/>
          <w:color w:val="auto"/>
          <w:sz w:val="24"/>
          <w:lang w:val="zh-CN"/>
        </w:rPr>
        <w:t>采购供应商廉洁自律承诺书；</w:t>
      </w:r>
    </w:p>
    <w:p w14:paraId="3DEDE4A3">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0</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7A26482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10.3.1交易一览表（报价表）；</w:t>
      </w:r>
    </w:p>
    <w:p w14:paraId="04628B83">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响应文件含有交易人不能接受的附加条件的，交易无效；</w:t>
      </w:r>
    </w:p>
    <w:p w14:paraId="00981C87">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供应商提供虚假材料投标的，交易无效。</w:t>
      </w:r>
    </w:p>
    <w:p w14:paraId="0F8F7226">
      <w:pPr>
        <w:pStyle w:val="219"/>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11</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响应文件的编制</w:t>
      </w:r>
    </w:p>
    <w:p w14:paraId="0DC7196A">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30726D7A">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.2供应商进行电子投标应安装客户端软件—“乐采云电子交易客户端”，并按照交易文件和电子交易平台的要求编制并加密响应文件。供应商未按规定加密的响应文件，电子交易平台将拒收并提示。</w:t>
      </w:r>
    </w:p>
    <w:p w14:paraId="70CE3FFE">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.3使用“乐采云电子交易客户端”需要提前申领CA数字证书，申领流程请自行前往“浙江政府采购网-下载专区-电子交易客户端-CA驱动和申领流程”进行查阅。</w:t>
      </w:r>
    </w:p>
    <w:p w14:paraId="779C2F87">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12.响应文件的签署、盖章</w:t>
      </w:r>
    </w:p>
    <w:p w14:paraId="6103D77D">
      <w:pPr>
        <w:pStyle w:val="219"/>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12.1响应文件按照交易文件第六部分格式要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▲供应商的响应文件未按照交易文件要求签署、盖章的，其交易无效</w:t>
      </w:r>
      <w:r>
        <w:rPr>
          <w:rFonts w:hint="eastAsia" w:ascii="仿宋" w:hAnsi="仿宋" w:eastAsia="仿宋" w:cs="仿宋"/>
          <w:color w:val="auto"/>
          <w:szCs w:val="24"/>
        </w:rPr>
        <w:t>。</w:t>
      </w:r>
    </w:p>
    <w:p w14:paraId="6099D679">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12.2为确保网上操作合法、有效和安全，供应商应当在投标截止时间前完成在“</w:t>
      </w:r>
      <w:r>
        <w:rPr>
          <w:rFonts w:hint="eastAsia" w:ascii="仿宋" w:hAnsi="仿宋" w:eastAsia="仿宋" w:cs="仿宋"/>
          <w:color w:val="auto"/>
          <w:lang w:eastAsia="zh-CN"/>
        </w:rPr>
        <w:t>乐采云平台</w:t>
      </w:r>
      <w:r>
        <w:rPr>
          <w:rFonts w:hint="eastAsia" w:ascii="仿宋" w:hAnsi="仿宋" w:eastAsia="仿宋" w:cs="仿宋"/>
          <w:color w:val="auto"/>
        </w:rPr>
        <w:t>”的身份认证，确保在电子投标过程中能够对相关数据电文进行加密和使用电子签名。</w:t>
      </w:r>
    </w:p>
    <w:p w14:paraId="656FB6B6">
      <w:pPr>
        <w:pStyle w:val="219"/>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12.3交易文件对响应文件签署、盖章的要求适用于电子签名。</w:t>
      </w:r>
    </w:p>
    <w:p w14:paraId="0CD1B2C5">
      <w:pPr>
        <w:pStyle w:val="21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13. 响应文件的提交、补充、修改、撤回</w:t>
      </w:r>
    </w:p>
    <w:p w14:paraId="61DA7B69">
      <w:pPr>
        <w:pStyle w:val="219"/>
        <w:ind w:firstLine="480"/>
        <w:rPr>
          <w:rFonts w:hint="eastAsia" w:ascii="仿宋" w:hAnsi="仿宋" w:eastAsia="仿宋" w:cs="仿宋"/>
          <w:color w:val="auto"/>
          <w:szCs w:val="24"/>
        </w:rPr>
      </w:pPr>
      <w:r>
        <w:rPr>
          <w:rFonts w:hint="eastAsia" w:ascii="仿宋" w:hAnsi="仿宋" w:eastAsia="仿宋" w:cs="仿宋"/>
          <w:color w:val="auto"/>
          <w:szCs w:val="24"/>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35CD7FE0">
      <w:pPr>
        <w:pStyle w:val="219"/>
        <w:spacing w:before="0"/>
        <w:ind w:firstLine="480"/>
        <w:rPr>
          <w:rFonts w:hint="eastAsia" w:ascii="仿宋" w:hAnsi="仿宋" w:eastAsia="仿宋" w:cs="仿宋"/>
          <w:color w:val="auto"/>
          <w:szCs w:val="24"/>
        </w:rPr>
      </w:pPr>
      <w:r>
        <w:rPr>
          <w:rFonts w:hint="eastAsia" w:ascii="仿宋" w:hAnsi="仿宋" w:eastAsia="仿宋" w:cs="仿宋"/>
          <w:color w:val="auto"/>
          <w:szCs w:val="24"/>
        </w:rPr>
        <w:t>13.2电子交易平台收到响应文件，将妥善保存并即时向供应商发出确认回执通知。在投标截止时间前，除供应商补充、修改或者撤回响应文件外，任何单位和个人不得解密或提取响应文件。</w:t>
      </w:r>
    </w:p>
    <w:p w14:paraId="7441411A">
      <w:pPr>
        <w:pStyle w:val="219"/>
        <w:spacing w:before="0"/>
        <w:ind w:firstLine="480"/>
        <w:rPr>
          <w:rFonts w:hint="eastAsia" w:ascii="仿宋" w:hAnsi="仿宋" w:eastAsia="仿宋" w:cs="仿宋"/>
          <w:color w:val="auto"/>
          <w:szCs w:val="24"/>
        </w:rPr>
      </w:pPr>
      <w:r>
        <w:rPr>
          <w:rFonts w:hint="eastAsia" w:ascii="仿宋" w:hAnsi="仿宋" w:eastAsia="仿宋" w:cs="仿宋"/>
          <w:color w:val="auto"/>
          <w:szCs w:val="24"/>
        </w:rPr>
        <w:t>13.3交易人、采购机构可以视情况延长响应文件提交的截止时间。在上述情况下，采购机构与供应商以前在投标截止期方面的全部权利、责任和义务，将适用于延长至新的投标截止期。</w:t>
      </w:r>
    </w:p>
    <w:p w14:paraId="570C541B">
      <w:pPr>
        <w:pStyle w:val="31"/>
        <w:numPr>
          <w:ilvl w:val="0"/>
          <w:numId w:val="9"/>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备份响应文件</w:t>
      </w:r>
    </w:p>
    <w:p w14:paraId="496EDB62">
      <w:pPr>
        <w:pStyle w:val="31"/>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28"/>
          <w:sz w:val="24"/>
          <w:szCs w:val="24"/>
        </w:rPr>
        <w:t>不收取备份响应文件</w:t>
      </w:r>
    </w:p>
    <w:p w14:paraId="33FD7B7C">
      <w:pPr>
        <w:pStyle w:val="21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15.响应文件的无效处理</w:t>
      </w:r>
    </w:p>
    <w:p w14:paraId="550A3A05">
      <w:pPr>
        <w:pStyle w:val="23"/>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有交易文件第四部分</w:t>
      </w:r>
      <w:r>
        <w:rPr>
          <w:rFonts w:hint="eastAsia" w:ascii="仿宋" w:hAnsi="仿宋" w:eastAsia="仿宋" w:cs="仿宋"/>
          <w:color w:val="auto"/>
        </w:rPr>
        <w:t>4.2规定</w:t>
      </w:r>
      <w:r>
        <w:rPr>
          <w:rFonts w:hint="eastAsia" w:ascii="仿宋" w:hAnsi="仿宋" w:eastAsia="仿宋" w:cs="仿宋"/>
          <w:color w:val="auto"/>
          <w:szCs w:val="21"/>
        </w:rPr>
        <w:t>的情形之一的，交易无效：</w:t>
      </w:r>
    </w:p>
    <w:p w14:paraId="113CA8D9">
      <w:pPr>
        <w:pStyle w:val="21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16.交易有效期</w:t>
      </w:r>
    </w:p>
    <w:p w14:paraId="069579A0">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16.1交易有效期为从提交响应文件的截止之日起90天。▲</w:t>
      </w:r>
      <w:r>
        <w:rPr>
          <w:rFonts w:hint="eastAsia" w:ascii="仿宋" w:hAnsi="仿宋" w:eastAsia="仿宋" w:cs="仿宋"/>
          <w:b/>
          <w:color w:val="auto"/>
          <w:sz w:val="24"/>
          <w:szCs w:val="20"/>
        </w:rPr>
        <w:t>供应商的响应文件中承</w:t>
      </w:r>
      <w:r>
        <w:rPr>
          <w:rFonts w:hint="eastAsia" w:ascii="仿宋" w:hAnsi="仿宋" w:eastAsia="仿宋" w:cs="仿宋"/>
          <w:b/>
          <w:color w:val="auto"/>
          <w:sz w:val="24"/>
          <w:szCs w:val="21"/>
        </w:rPr>
        <w:t>诺的交易有效期少于交易文件中载明的交易有效期的，交易无效。</w:t>
      </w:r>
    </w:p>
    <w:p w14:paraId="2E3C1DEE">
      <w:pPr>
        <w:pStyle w:val="219"/>
        <w:spacing w:before="0"/>
        <w:ind w:firstLine="480"/>
        <w:rPr>
          <w:rFonts w:hint="eastAsia" w:ascii="仿宋" w:hAnsi="仿宋" w:eastAsia="仿宋" w:cs="仿宋"/>
          <w:color w:val="auto"/>
        </w:rPr>
      </w:pPr>
      <w:r>
        <w:rPr>
          <w:rFonts w:hint="eastAsia" w:ascii="仿宋" w:hAnsi="仿宋" w:eastAsia="仿宋" w:cs="仿宋"/>
          <w:color w:val="auto"/>
        </w:rPr>
        <w:t>16.2响应文件合格投递后，自投标截止日期起，在交易有效期内有效。</w:t>
      </w:r>
    </w:p>
    <w:p w14:paraId="429E54B2">
      <w:pPr>
        <w:pStyle w:val="219"/>
        <w:spacing w:before="0"/>
        <w:ind w:firstLine="480"/>
        <w:rPr>
          <w:rFonts w:hint="eastAsia" w:ascii="仿宋" w:hAnsi="仿宋" w:eastAsia="仿宋" w:cs="仿宋"/>
          <w:color w:val="auto"/>
        </w:rPr>
      </w:pPr>
      <w:r>
        <w:rPr>
          <w:rFonts w:hint="eastAsia" w:ascii="仿宋" w:hAnsi="仿宋" w:eastAsia="仿宋" w:cs="仿宋"/>
          <w:color w:val="auto"/>
        </w:rPr>
        <w:t>16.3在原定交易有效期满之前，如果出现特殊情况，采购机构可以以书面形式通知供应商延长交易有效期。供应商同意延长的，不得要求或被允许修改其响应文件，供应商拒绝延长的，其交易无效。</w:t>
      </w:r>
    </w:p>
    <w:p w14:paraId="261D2DA4">
      <w:pPr>
        <w:pStyle w:val="219"/>
        <w:spacing w:before="0"/>
        <w:ind w:firstLine="643"/>
        <w:rPr>
          <w:rFonts w:hint="eastAsia" w:ascii="仿宋" w:hAnsi="仿宋" w:eastAsia="仿宋" w:cs="仿宋"/>
          <w:b/>
          <w:color w:val="auto"/>
          <w:sz w:val="32"/>
        </w:rPr>
      </w:pPr>
    </w:p>
    <w:p w14:paraId="31ED4EE3">
      <w:pPr>
        <w:pStyle w:val="219"/>
        <w:spacing w:before="0"/>
        <w:ind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四、交易、资格审查</w:t>
      </w:r>
    </w:p>
    <w:p w14:paraId="15B94D37">
      <w:pPr>
        <w:pStyle w:val="498"/>
        <w:spacing w:before="0" w:line="360" w:lineRule="auto"/>
        <w:ind w:left="0" w:firstLine="241" w:firstLineChars="100"/>
        <w:contextualSpacing/>
        <w:rPr>
          <w:rFonts w:hint="eastAsia" w:ascii="仿宋" w:hAnsi="仿宋" w:eastAsia="仿宋" w:cs="仿宋"/>
          <w:b/>
          <w:color w:val="auto"/>
          <w:kern w:val="2"/>
          <w:sz w:val="24"/>
          <w:szCs w:val="24"/>
        </w:rPr>
      </w:pPr>
      <w:r>
        <w:rPr>
          <w:rFonts w:hint="eastAsia" w:ascii="仿宋" w:hAnsi="仿宋" w:eastAsia="仿宋" w:cs="仿宋"/>
          <w:b/>
          <w:color w:val="auto"/>
          <w:kern w:val="2"/>
          <w:sz w:val="24"/>
          <w:szCs w:val="24"/>
        </w:rPr>
        <w:t xml:space="preserve">17.交易 </w:t>
      </w:r>
    </w:p>
    <w:p w14:paraId="4E9317CC">
      <w:pPr>
        <w:pStyle w:val="498"/>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17.1采购机构按照交易文件规定的时间通过电子交易平台组织交易，所有供应商均应当准时在线参加。供应商不足3家的，不得交易。</w:t>
      </w:r>
    </w:p>
    <w:p w14:paraId="131E8F6C">
      <w:pPr>
        <w:pStyle w:val="498"/>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17.2交易时，电子交易平台按交易时间自动提取所有响应文件。采购机构依托电子交易平台发起开始解密指令，供应商按照平台提示和交易文件的规定在半小时内完成在线解密。</w:t>
      </w:r>
    </w:p>
    <w:p w14:paraId="65B8EDCB">
      <w:pPr>
        <w:pStyle w:val="498"/>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17.3</w:t>
      </w:r>
      <w:r>
        <w:rPr>
          <w:rFonts w:hint="eastAsia" w:ascii="仿宋" w:hAnsi="仿宋" w:eastAsia="仿宋" w:cs="仿宋"/>
          <w:b/>
          <w:color w:val="auto"/>
          <w:sz w:val="24"/>
        </w:rPr>
        <w:t>响应文件未按时解密，供应商提供了备份响应文件的，以备份响应文件作为依据，否则视为响应文件撤回。响应文件已按时解密的，备份响应文件自动失效。</w:t>
      </w:r>
    </w:p>
    <w:p w14:paraId="045916A6">
      <w:pPr>
        <w:widowControl/>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18、资格审查</w:t>
      </w:r>
    </w:p>
    <w:p w14:paraId="232B53BB">
      <w:pPr>
        <w:pStyle w:val="21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18.1交易后，交易人或采购机构将依法对供应商的资格进行审查。</w:t>
      </w:r>
    </w:p>
    <w:p w14:paraId="538DA33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18.2</w:t>
      </w:r>
      <w:r>
        <w:rPr>
          <w:rFonts w:hint="eastAsia" w:ascii="仿宋" w:hAnsi="仿宋" w:eastAsia="仿宋" w:cs="仿宋"/>
          <w:color w:val="auto"/>
          <w:sz w:val="24"/>
        </w:rPr>
        <w:t>交易人或采购机构依据法律法规和交易文件的规定，对供应商的基本资格条件、特定资格条件进行审查。</w:t>
      </w:r>
    </w:p>
    <w:p w14:paraId="774D2945">
      <w:pPr>
        <w:pStyle w:val="219"/>
        <w:spacing w:before="0"/>
        <w:ind w:firstLine="480"/>
        <w:rPr>
          <w:rFonts w:hint="eastAsia" w:ascii="仿宋" w:hAnsi="仿宋" w:eastAsia="仿宋" w:cs="仿宋"/>
          <w:color w:val="auto"/>
        </w:rPr>
      </w:pPr>
      <w:r>
        <w:rPr>
          <w:rFonts w:hint="eastAsia" w:ascii="仿宋" w:hAnsi="仿宋" w:eastAsia="仿宋" w:cs="仿宋"/>
          <w:color w:val="auto"/>
          <w:kern w:val="0"/>
          <w:szCs w:val="24"/>
        </w:rPr>
        <w:t>18.3供应商未按照交易文件要求提供与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供应商不具备交易文件中规定的资格要求，其交易无效。</w:t>
      </w:r>
    </w:p>
    <w:p w14:paraId="5AF93A46">
      <w:pPr>
        <w:pStyle w:val="219"/>
        <w:spacing w:before="0"/>
        <w:ind w:firstLine="480"/>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4对未通过资格审查的供应商，交易人或采购机构告知其未通过的原因。</w:t>
      </w:r>
    </w:p>
    <w:p w14:paraId="35E7A74B">
      <w:pPr>
        <w:pStyle w:val="219"/>
        <w:spacing w:before="0"/>
        <w:ind w:firstLine="480"/>
        <w:rPr>
          <w:rFonts w:hint="eastAsia" w:ascii="仿宋" w:hAnsi="仿宋" w:eastAsia="仿宋" w:cs="仿宋"/>
          <w:color w:val="auto"/>
        </w:rPr>
      </w:pPr>
      <w:r>
        <w:rPr>
          <w:rFonts w:hint="eastAsia" w:ascii="仿宋" w:hAnsi="仿宋" w:eastAsia="仿宋" w:cs="仿宋"/>
          <w:color w:val="auto"/>
          <w:kern w:val="0"/>
          <w:szCs w:val="24"/>
        </w:rPr>
        <w:t>18.</w:t>
      </w:r>
      <w:r>
        <w:rPr>
          <w:rFonts w:hint="eastAsia" w:ascii="仿宋" w:hAnsi="仿宋" w:eastAsia="仿宋" w:cs="仿宋"/>
          <w:color w:val="auto"/>
        </w:rPr>
        <w:t>5合格供应商不足3家的，不再评标。</w:t>
      </w:r>
    </w:p>
    <w:p w14:paraId="236ED9CD">
      <w:pPr>
        <w:pStyle w:val="219"/>
        <w:spacing w:before="0"/>
        <w:ind w:firstLine="0" w:firstLineChars="0"/>
        <w:rPr>
          <w:rFonts w:hint="eastAsia" w:ascii="仿宋" w:hAnsi="仿宋" w:eastAsia="仿宋" w:cs="仿宋"/>
          <w:color w:val="auto"/>
          <w:kern w:val="0"/>
          <w:szCs w:val="24"/>
        </w:rPr>
      </w:pPr>
    </w:p>
    <w:p w14:paraId="3406D083">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五、评审</w:t>
      </w:r>
    </w:p>
    <w:p w14:paraId="03CB523B">
      <w:pPr>
        <w:spacing w:line="360" w:lineRule="auto"/>
        <w:rPr>
          <w:rFonts w:hint="eastAsia" w:ascii="仿宋" w:hAnsi="仿宋" w:eastAsia="仿宋" w:cs="仿宋"/>
          <w:b/>
          <w:color w:val="auto"/>
          <w:sz w:val="24"/>
        </w:rPr>
      </w:pPr>
      <w:bookmarkStart w:id="37" w:name="_Toc91899903"/>
      <w:r>
        <w:rPr>
          <w:rFonts w:hint="eastAsia" w:ascii="仿宋" w:hAnsi="仿宋" w:eastAsia="仿宋" w:cs="仿宋"/>
          <w:b/>
          <w:color w:val="auto"/>
          <w:sz w:val="24"/>
        </w:rPr>
        <w:t>19.</w:t>
      </w:r>
      <w:r>
        <w:rPr>
          <w:rFonts w:hint="eastAsia" w:ascii="仿宋" w:hAnsi="仿宋" w:eastAsia="仿宋" w:cs="仿宋"/>
          <w:color w:val="auto"/>
        </w:rPr>
        <w:t xml:space="preserve"> </w:t>
      </w:r>
      <w:r>
        <w:rPr>
          <w:rFonts w:hint="eastAsia" w:ascii="仿宋" w:hAnsi="仿宋" w:eastAsia="仿宋" w:cs="仿宋"/>
          <w:color w:val="auto"/>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auto"/>
          <w:sz w:val="24"/>
        </w:rPr>
        <w:t>详见交易文件第四部分交易办法。</w:t>
      </w:r>
    </w:p>
    <w:p w14:paraId="14A678B9">
      <w:pPr>
        <w:spacing w:line="360" w:lineRule="auto"/>
        <w:rPr>
          <w:rFonts w:hint="eastAsia" w:ascii="仿宋" w:hAnsi="仿宋" w:eastAsia="仿宋" w:cs="仿宋"/>
          <w:b/>
          <w:color w:val="auto"/>
          <w:sz w:val="24"/>
        </w:rPr>
      </w:pPr>
    </w:p>
    <w:p w14:paraId="6AFFC46E">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14:paraId="3E6B1467">
      <w:pPr>
        <w:pStyle w:val="2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20. 确定成交供应商</w:t>
      </w:r>
    </w:p>
    <w:p w14:paraId="0725C15A">
      <w:pPr>
        <w:pStyle w:val="219"/>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交易人将自收到评审报告之日起5个工作日内通过电子交易平台在评审报告推荐的成交候选人中按顺序确定成交供应商。</w:t>
      </w:r>
    </w:p>
    <w:p w14:paraId="09751EC6">
      <w:pPr>
        <w:pStyle w:val="219"/>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21. 成交通知与成交结果公告</w:t>
      </w:r>
    </w:p>
    <w:p w14:paraId="59A3FCF1">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21.1自成交人确定之日起2个工作日内，采购机构通过电子交易平台向成交人发出成交通知书，同时编制发布采购结果公告。采购机构也可以以纸质形式进行成交通知。</w:t>
      </w:r>
    </w:p>
    <w:p w14:paraId="2F487526">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21.2成交结果公告内容包括交易人及其委托的采购机构的名称、地址、联系方式，项目名称和项目编号，成交人名称、地址和成交金额，主要成交标的的名称、规格型号、数量、单价、服务要求、成交公告期限以及评审专家名单、评分汇总及明细。</w:t>
      </w:r>
    </w:p>
    <w:p w14:paraId="1574008F">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21.3公告期限为1个工作日。</w:t>
      </w:r>
    </w:p>
    <w:p w14:paraId="7BDCE278">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14:paraId="784AA694">
      <w:pPr>
        <w:pStyle w:val="2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22. </w:t>
      </w:r>
      <w:r>
        <w:rPr>
          <w:rFonts w:hint="eastAsia" w:ascii="仿宋" w:hAnsi="仿宋" w:eastAsia="仿宋" w:cs="仿宋"/>
          <w:color w:val="auto"/>
        </w:rPr>
        <w:t>合同主要条款详见第五部分拟签订的合同文本。</w:t>
      </w:r>
    </w:p>
    <w:p w14:paraId="1783E7D1">
      <w:pPr>
        <w:pStyle w:val="2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23. 合同的签订</w:t>
      </w:r>
    </w:p>
    <w:p w14:paraId="7A5A905F">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23.1</w:t>
      </w:r>
      <w:r>
        <w:rPr>
          <w:rFonts w:hint="eastAsia" w:ascii="仿宋" w:hAnsi="仿宋" w:eastAsia="仿宋" w:cs="仿宋"/>
          <w:color w:val="auto"/>
          <w:kern w:val="0"/>
          <w:sz w:val="24"/>
        </w:rPr>
        <w:t xml:space="preserve"> 交易人与成交人应当通过电子交易平台在成交通知书发出之日起三十日内，按照交易文件确定的事项签订采购合同，并在合同签订之日起2个工作日内依法发布合同公告。</w:t>
      </w:r>
    </w:p>
    <w:p w14:paraId="6D94CFAE">
      <w:pPr>
        <w:pStyle w:val="219"/>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rPr>
        <w:t>3</w:t>
      </w:r>
      <w:r>
        <w:rPr>
          <w:rFonts w:hint="eastAsia" w:ascii="仿宋" w:hAnsi="仿宋" w:eastAsia="仿宋" w:cs="仿宋"/>
          <w:color w:val="auto"/>
          <w:kern w:val="0"/>
          <w:lang w:val="zh-CN"/>
        </w:rPr>
        <w:t>.2成交人按规定的日期、时间、地点，由法定代表人或其授权代表与交易人代表签订合同。如成交人为联合体的，由联合体成员各方法定代表人或其授权代表与交易人代表签订合同。</w:t>
      </w:r>
    </w:p>
    <w:p w14:paraId="257F49E9">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23.3如签订合同并生效后，供应商无故拒绝或延期，除按照合同条款处理外，列入不良行为记录一次，并给予通报。</w:t>
      </w:r>
    </w:p>
    <w:p w14:paraId="03D0BAF2">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23.4成交供应商拒绝与交易人签订合同的，交易人可以按照评审报告推荐的成交或者成交候选人名单排序，确定下一候选人为成交供应商，也可以重新开展采购活动。</w:t>
      </w:r>
    </w:p>
    <w:p w14:paraId="4971281A">
      <w:pPr>
        <w:pStyle w:val="219"/>
        <w:snapToGrid w:val="0"/>
        <w:spacing w:before="0" w:after="120"/>
        <w:ind w:firstLine="480"/>
        <w:rPr>
          <w:rFonts w:hint="eastAsia" w:ascii="仿宋" w:hAnsi="仿宋" w:eastAsia="仿宋" w:cs="仿宋"/>
          <w:color w:val="auto"/>
        </w:rPr>
      </w:pPr>
      <w:r>
        <w:rPr>
          <w:rFonts w:hint="eastAsia" w:ascii="仿宋" w:hAnsi="仿宋" w:eastAsia="仿宋" w:cs="仿宋"/>
          <w:color w:val="auto"/>
        </w:rPr>
        <w:t>23.5采购合同由交易人与成交供应商根据交易文件、响应文件等内容通过政府采购电子交易平台在线签订，自动备案。</w:t>
      </w:r>
    </w:p>
    <w:p w14:paraId="526CD6F4">
      <w:pPr>
        <w:pStyle w:val="23"/>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24.履约保证金</w:t>
      </w:r>
    </w:p>
    <w:p w14:paraId="5F379FD6">
      <w:pPr>
        <w:tabs>
          <w:tab w:val="left" w:pos="0"/>
        </w:tabs>
        <w:spacing w:line="360" w:lineRule="auto"/>
        <w:ind w:firstLine="482"/>
        <w:rPr>
          <w:rFonts w:hint="eastAsia" w:ascii="仿宋" w:hAnsi="仿宋" w:eastAsia="仿宋" w:cs="仿宋"/>
          <w:b/>
          <w:color w:val="auto"/>
          <w:sz w:val="32"/>
        </w:rPr>
      </w:pPr>
      <w:r>
        <w:rPr>
          <w:rFonts w:hint="eastAsia" w:ascii="仿宋" w:hAnsi="仿宋" w:eastAsia="仿宋" w:cs="仿宋"/>
          <w:color w:val="auto"/>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。履约保证金的数额不得超过采购合同金额的2%。鼓励和支持供应商以银行、保险公司出具的保函形式提供履约保证金。</w:t>
      </w:r>
    </w:p>
    <w:p w14:paraId="487FD2B1">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18D08838">
      <w:pPr>
        <w:pStyle w:val="219"/>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color w:val="auto"/>
          <w:szCs w:val="24"/>
        </w:rPr>
        <w:t>5.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14:paraId="7E7D7C02">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25.1电子交易平台发生故障而无法登录访问的； </w:t>
      </w:r>
    </w:p>
    <w:p w14:paraId="18A31EBD">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25.2电子交易平台应用或数据库出现错误，不能进行正常操作的；</w:t>
      </w:r>
    </w:p>
    <w:p w14:paraId="3BF74F20">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25.3电子交易平台发现严重安全漏洞，有潜在泄密危险的；</w:t>
      </w:r>
    </w:p>
    <w:p w14:paraId="3ADED6B5">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25.4病毒发作导致不能进行正常操作的； </w:t>
      </w:r>
    </w:p>
    <w:p w14:paraId="1B59D50D">
      <w:pPr>
        <w:pStyle w:val="219"/>
        <w:snapToGrid w:val="0"/>
        <w:spacing w:before="0"/>
        <w:ind w:firstLine="480"/>
        <w:rPr>
          <w:rFonts w:hint="eastAsia" w:ascii="仿宋" w:hAnsi="仿宋" w:eastAsia="仿宋" w:cs="仿宋"/>
          <w:color w:val="auto"/>
        </w:rPr>
      </w:pPr>
      <w:r>
        <w:rPr>
          <w:rFonts w:hint="eastAsia" w:ascii="仿宋" w:hAnsi="仿宋" w:eastAsia="仿宋" w:cs="仿宋"/>
          <w:color w:val="auto"/>
        </w:rPr>
        <w:t>25.5其他无法保证电子交易的公平、公正和安全的情况。</w:t>
      </w:r>
    </w:p>
    <w:p w14:paraId="452FA158">
      <w:pPr>
        <w:pStyle w:val="219"/>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06427C64">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53DCADD9">
      <w:pPr>
        <w:pStyle w:val="23"/>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27.验收</w:t>
      </w:r>
    </w:p>
    <w:p w14:paraId="6AB72849">
      <w:pPr>
        <w:tabs>
          <w:tab w:val="left" w:pos="0"/>
        </w:tabs>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kern w:val="0"/>
          <w:sz w:val="24"/>
        </w:rPr>
        <w:t>27.1交易人应当组织对供应商履约的验收。验收采用交易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236538B0">
      <w:pPr>
        <w:tabs>
          <w:tab w:val="left" w:pos="0"/>
        </w:tabs>
        <w:spacing w:line="360" w:lineRule="auto"/>
        <w:ind w:firstLine="480"/>
        <w:rPr>
          <w:rFonts w:hint="eastAsia" w:ascii="仿宋" w:hAnsi="仿宋" w:eastAsia="仿宋" w:cs="仿宋"/>
          <w:b/>
          <w:color w:val="auto"/>
          <w:sz w:val="32"/>
          <w:szCs w:val="20"/>
        </w:rPr>
      </w:pPr>
      <w:r>
        <w:rPr>
          <w:rFonts w:hint="eastAsia" w:ascii="仿宋" w:hAnsi="仿宋" w:eastAsia="仿宋" w:cs="仿宋"/>
          <w:color w:val="auto"/>
          <w:kern w:val="0"/>
          <w:sz w:val="24"/>
        </w:rPr>
        <w:t>27.2交易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7"/>
    </w:p>
    <w:bookmarkEnd w:id="35"/>
    <w:bookmarkEnd w:id="36"/>
    <w:p w14:paraId="4F6664BA">
      <w:pPr>
        <w:pStyle w:val="3"/>
        <w:jc w:val="both"/>
        <w:rPr>
          <w:rFonts w:hint="eastAsia" w:ascii="仿宋" w:hAnsi="仿宋" w:eastAsia="仿宋" w:cs="仿宋"/>
          <w:color w:val="auto"/>
        </w:rPr>
      </w:pPr>
      <w:bookmarkStart w:id="38" w:name="第四部分"/>
    </w:p>
    <w:p w14:paraId="572A1336">
      <w:pPr>
        <w:pStyle w:val="3"/>
        <w:rPr>
          <w:rFonts w:hint="eastAsia" w:ascii="仿宋" w:hAnsi="仿宋" w:eastAsia="仿宋" w:cs="仿宋"/>
          <w:color w:val="auto"/>
        </w:rPr>
      </w:pPr>
    </w:p>
    <w:p w14:paraId="6AB185FE">
      <w:pPr>
        <w:pStyle w:val="3"/>
        <w:rPr>
          <w:rFonts w:hint="eastAsia" w:ascii="仿宋" w:hAnsi="仿宋" w:eastAsia="仿宋" w:cs="仿宋"/>
          <w:color w:val="auto"/>
        </w:rPr>
      </w:pPr>
    </w:p>
    <w:p w14:paraId="45E4ADED">
      <w:pPr>
        <w:rPr>
          <w:rFonts w:hint="eastAsia" w:ascii="仿宋" w:hAnsi="仿宋" w:eastAsia="仿宋" w:cs="仿宋"/>
          <w:color w:val="auto"/>
        </w:rPr>
      </w:pPr>
    </w:p>
    <w:p w14:paraId="1671C00F">
      <w:pPr>
        <w:jc w:val="center"/>
        <w:rPr>
          <w:rFonts w:hint="eastAsia" w:ascii="仿宋" w:hAnsi="仿宋" w:eastAsia="仿宋" w:cs="仿宋"/>
          <w:b/>
          <w:color w:val="auto"/>
          <w:sz w:val="36"/>
          <w:szCs w:val="36"/>
          <w:highlight w:val="none"/>
        </w:rPr>
      </w:pPr>
    </w:p>
    <w:p w14:paraId="4BAC9284">
      <w:pPr>
        <w:jc w:val="center"/>
        <w:rPr>
          <w:rFonts w:hint="eastAsia" w:ascii="仿宋" w:hAnsi="仿宋" w:eastAsia="仿宋" w:cs="仿宋"/>
          <w:b/>
          <w:color w:val="auto"/>
          <w:sz w:val="36"/>
          <w:szCs w:val="36"/>
          <w:highlight w:val="none"/>
        </w:rPr>
      </w:pPr>
    </w:p>
    <w:p w14:paraId="703E0898">
      <w:pPr>
        <w:jc w:val="center"/>
        <w:rPr>
          <w:rFonts w:hint="eastAsia" w:ascii="仿宋" w:hAnsi="仿宋" w:eastAsia="仿宋" w:cs="仿宋"/>
          <w:b/>
          <w:color w:val="auto"/>
          <w:sz w:val="36"/>
          <w:szCs w:val="36"/>
          <w:highlight w:val="none"/>
        </w:rPr>
      </w:pPr>
    </w:p>
    <w:p w14:paraId="5FBC65C4">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交易需求</w:t>
      </w:r>
    </w:p>
    <w:p w14:paraId="37FC82A5">
      <w:pPr>
        <w:snapToGrid w:val="0"/>
        <w:spacing w:line="360" w:lineRule="auto"/>
        <w:jc w:val="center"/>
        <w:rPr>
          <w:rFonts w:hint="eastAsia" w:ascii="仿宋" w:hAnsi="仿宋" w:eastAsia="仿宋" w:cs="仿宋"/>
          <w:color w:val="auto"/>
          <w:sz w:val="24"/>
          <w:highlight w:val="none"/>
        </w:rPr>
      </w:pPr>
    </w:p>
    <w:p w14:paraId="116E13B3">
      <w:p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7CB40B47">
      <w:pPr>
        <w:numPr>
          <w:ilvl w:val="0"/>
          <w:numId w:val="10"/>
        </w:num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交易一览表</w:t>
      </w:r>
    </w:p>
    <w:p w14:paraId="75E0CB16">
      <w:pPr>
        <w:spacing w:after="120"/>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标项：1</w:t>
      </w:r>
    </w:p>
    <w:tbl>
      <w:tblPr>
        <w:tblStyle w:val="60"/>
        <w:tblW w:w="9155" w:type="dxa"/>
        <w:jc w:val="center"/>
        <w:tblLayout w:type="fixed"/>
        <w:tblCellMar>
          <w:top w:w="0" w:type="dxa"/>
          <w:left w:w="0" w:type="dxa"/>
          <w:bottom w:w="0" w:type="dxa"/>
          <w:right w:w="0" w:type="dxa"/>
        </w:tblCellMar>
      </w:tblPr>
      <w:tblGrid>
        <w:gridCol w:w="717"/>
        <w:gridCol w:w="4285"/>
        <w:gridCol w:w="1834"/>
        <w:gridCol w:w="773"/>
        <w:gridCol w:w="773"/>
        <w:gridCol w:w="773"/>
      </w:tblGrid>
      <w:tr w14:paraId="41A121D0">
        <w:tblPrEx>
          <w:tblCellMar>
            <w:top w:w="0" w:type="dxa"/>
            <w:left w:w="0" w:type="dxa"/>
            <w:bottom w:w="0" w:type="dxa"/>
            <w:right w:w="0" w:type="dxa"/>
          </w:tblCellMar>
        </w:tblPrEx>
        <w:trPr>
          <w:cantSplit/>
          <w:trHeight w:val="643" w:hRule="atLeast"/>
          <w:jc w:val="center"/>
        </w:trPr>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0DEED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2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C81D8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8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2685F4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具体服务要求</w:t>
            </w:r>
          </w:p>
        </w:tc>
        <w:tc>
          <w:tcPr>
            <w:tcW w:w="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F11A9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7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95E02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73" w:type="dxa"/>
            <w:tcBorders>
              <w:top w:val="single" w:color="auto" w:sz="4" w:space="0"/>
              <w:left w:val="nil"/>
              <w:bottom w:val="single" w:color="auto" w:sz="4" w:space="0"/>
              <w:right w:val="single" w:color="auto" w:sz="4" w:space="0"/>
            </w:tcBorders>
            <w:noWrap w:val="0"/>
            <w:vAlign w:val="center"/>
          </w:tcPr>
          <w:p w14:paraId="64A88DB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208EA2D">
        <w:tblPrEx>
          <w:tblCellMar>
            <w:top w:w="0" w:type="dxa"/>
            <w:left w:w="0" w:type="dxa"/>
            <w:bottom w:w="0" w:type="dxa"/>
            <w:right w:w="0" w:type="dxa"/>
          </w:tblCellMar>
        </w:tblPrEx>
        <w:trPr>
          <w:cantSplit/>
          <w:trHeight w:val="1117" w:hRule="atLeast"/>
          <w:jc w:val="center"/>
        </w:trPr>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D43DF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2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63889D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萧山区临浦镇第一幼儿园暑期教师疗休养服务项目</w:t>
            </w:r>
          </w:p>
        </w:tc>
        <w:tc>
          <w:tcPr>
            <w:tcW w:w="183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E70F8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详见交易需求</w:t>
            </w:r>
          </w:p>
        </w:tc>
        <w:tc>
          <w:tcPr>
            <w:tcW w:w="7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619800">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人次</w:t>
            </w:r>
          </w:p>
        </w:tc>
        <w:tc>
          <w:tcPr>
            <w:tcW w:w="7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F675E22">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w:t>
            </w:r>
          </w:p>
        </w:tc>
        <w:tc>
          <w:tcPr>
            <w:tcW w:w="773" w:type="dxa"/>
            <w:tcBorders>
              <w:top w:val="single" w:color="auto" w:sz="4" w:space="0"/>
              <w:left w:val="nil"/>
              <w:bottom w:val="single" w:color="auto" w:sz="4" w:space="0"/>
              <w:right w:val="single" w:color="auto" w:sz="4" w:space="0"/>
            </w:tcBorders>
            <w:noWrap w:val="0"/>
            <w:vAlign w:val="center"/>
          </w:tcPr>
          <w:p w14:paraId="7E1D5A98">
            <w:pPr>
              <w:jc w:val="center"/>
              <w:rPr>
                <w:rFonts w:hint="eastAsia" w:ascii="仿宋" w:hAnsi="仿宋" w:eastAsia="仿宋" w:cs="仿宋"/>
                <w:color w:val="auto"/>
                <w:sz w:val="24"/>
                <w:highlight w:val="none"/>
              </w:rPr>
            </w:pPr>
          </w:p>
        </w:tc>
      </w:tr>
    </w:tbl>
    <w:p w14:paraId="6AA1C114">
      <w:pPr>
        <w:spacing w:line="360" w:lineRule="auto"/>
        <w:rPr>
          <w:rFonts w:hint="eastAsia" w:ascii="仿宋" w:hAnsi="仿宋" w:eastAsia="仿宋" w:cs="仿宋"/>
          <w:b/>
          <w:color w:val="auto"/>
          <w:sz w:val="24"/>
          <w:highlight w:val="none"/>
        </w:rPr>
      </w:pPr>
    </w:p>
    <w:p w14:paraId="0118B3A1">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8"/>
          <w:szCs w:val="28"/>
          <w:highlight w:val="none"/>
        </w:rPr>
        <w:t>二、交易需求</w:t>
      </w:r>
    </w:p>
    <w:p w14:paraId="2FA92F0C">
      <w:pPr>
        <w:keepNext w:val="0"/>
        <w:keepLines w:val="0"/>
        <w:pageBreakBefore w:val="0"/>
        <w:widowControl/>
        <w:kinsoku/>
        <w:wordWrap/>
        <w:overflowPunct/>
        <w:topLinePunct w:val="0"/>
        <w:autoSpaceDE/>
        <w:autoSpaceDN/>
        <w:bidi w:val="0"/>
        <w:snapToGrid/>
        <w:spacing w:line="348"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（一）项目服务要求：</w:t>
      </w:r>
    </w:p>
    <w:p w14:paraId="7AD17A59">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需在</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中提供具体行程、出行方式、就餐标准等具体明细，</w:t>
      </w:r>
      <w:r>
        <w:rPr>
          <w:rFonts w:hint="eastAsia" w:ascii="仿宋" w:hAnsi="仿宋" w:eastAsia="仿宋" w:cs="仿宋"/>
          <w:color w:val="auto"/>
          <w:kern w:val="0"/>
          <w:sz w:val="24"/>
          <w:szCs w:val="24"/>
          <w:highlight w:val="none"/>
          <w:lang w:eastAsia="zh-CN"/>
        </w:rPr>
        <w:t>响应报价</w:t>
      </w:r>
      <w:r>
        <w:rPr>
          <w:rFonts w:hint="eastAsia" w:ascii="仿宋" w:hAnsi="仿宋" w:eastAsia="仿宋" w:cs="仿宋"/>
          <w:color w:val="auto"/>
          <w:kern w:val="0"/>
          <w:sz w:val="24"/>
          <w:szCs w:val="24"/>
          <w:highlight w:val="none"/>
        </w:rPr>
        <w:t>根据要求提供</w:t>
      </w:r>
      <w:r>
        <w:rPr>
          <w:rFonts w:hint="eastAsia" w:ascii="仿宋" w:hAnsi="仿宋" w:eastAsia="仿宋" w:cs="仿宋"/>
          <w:color w:val="auto"/>
          <w:kern w:val="0"/>
          <w:sz w:val="24"/>
          <w:szCs w:val="24"/>
          <w:highlight w:val="none"/>
          <w:lang w:eastAsia="zh-CN"/>
        </w:rPr>
        <w:t>总价（单价</w:t>
      </w:r>
      <w:r>
        <w:rPr>
          <w:rFonts w:hint="eastAsia" w:ascii="仿宋" w:hAnsi="仿宋" w:eastAsia="仿宋" w:cs="仿宋"/>
          <w:color w:val="auto"/>
          <w:kern w:val="0"/>
          <w:sz w:val="24"/>
          <w:szCs w:val="24"/>
          <w:highlight w:val="none"/>
          <w:lang w:val="en-US" w:eastAsia="zh-CN"/>
        </w:rPr>
        <w:t>×人次）</w:t>
      </w:r>
      <w:r>
        <w:rPr>
          <w:rFonts w:hint="eastAsia" w:ascii="仿宋" w:hAnsi="仿宋" w:eastAsia="仿宋" w:cs="仿宋"/>
          <w:color w:val="auto"/>
          <w:kern w:val="0"/>
          <w:sz w:val="24"/>
          <w:szCs w:val="24"/>
          <w:highlight w:val="none"/>
        </w:rPr>
        <w:t>。单价为</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综合考虑后的统一单价，不得再有淡季旺季的价格区别。无论</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在何时出团，均以投标单价为结算依据。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应允许中标后任何线路因报名人数不足或者不可抗力因素的不成团，不成团线路</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不承担任何责任。若因疫情原因，如原定线路无法开展疗休养，由</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协商根据实际情况，安排同等价位线路，按原定的出行天数及相同服务；若遇政策变动，临时取消出行计划，</w:t>
      </w:r>
      <w:r>
        <w:rPr>
          <w:rFonts w:hint="eastAsia" w:ascii="仿宋" w:hAnsi="仿宋" w:eastAsia="仿宋" w:cs="仿宋"/>
          <w:color w:val="auto"/>
          <w:kern w:val="0"/>
          <w:sz w:val="24"/>
          <w:szCs w:val="24"/>
          <w:highlight w:val="none"/>
          <w:lang w:val="en-US" w:eastAsia="zh-CN"/>
        </w:rPr>
        <w:t>不视作违反合同，</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lang w:val="en-US" w:eastAsia="zh-CN"/>
        </w:rPr>
        <w:t>应</w:t>
      </w:r>
      <w:r>
        <w:rPr>
          <w:rFonts w:hint="eastAsia" w:ascii="仿宋" w:hAnsi="仿宋" w:eastAsia="仿宋" w:cs="仿宋"/>
          <w:color w:val="auto"/>
          <w:kern w:val="0"/>
          <w:sz w:val="24"/>
          <w:szCs w:val="24"/>
          <w:highlight w:val="none"/>
        </w:rPr>
        <w:t>无条件服从</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并</w:t>
      </w:r>
      <w:r>
        <w:rPr>
          <w:rFonts w:hint="eastAsia" w:ascii="仿宋" w:hAnsi="仿宋" w:eastAsia="仿宋" w:cs="仿宋"/>
          <w:color w:val="auto"/>
          <w:kern w:val="0"/>
          <w:sz w:val="24"/>
          <w:szCs w:val="24"/>
          <w:highlight w:val="none"/>
        </w:rPr>
        <w:t>承担</w:t>
      </w:r>
      <w:r>
        <w:rPr>
          <w:rFonts w:hint="eastAsia" w:ascii="仿宋" w:hAnsi="仿宋" w:eastAsia="仿宋" w:cs="仿宋"/>
          <w:color w:val="auto"/>
          <w:kern w:val="0"/>
          <w:sz w:val="24"/>
          <w:szCs w:val="24"/>
          <w:highlight w:val="none"/>
          <w:lang w:val="en-US" w:eastAsia="zh-CN"/>
        </w:rPr>
        <w:t>相应</w:t>
      </w:r>
      <w:r>
        <w:rPr>
          <w:rFonts w:hint="eastAsia" w:ascii="仿宋" w:hAnsi="仿宋" w:eastAsia="仿宋" w:cs="仿宋"/>
          <w:color w:val="auto"/>
          <w:kern w:val="0"/>
          <w:sz w:val="24"/>
          <w:szCs w:val="24"/>
          <w:highlight w:val="none"/>
        </w:rPr>
        <w:t>风险</w:t>
      </w:r>
      <w:r>
        <w:rPr>
          <w:rFonts w:hint="eastAsia" w:ascii="仿宋" w:hAnsi="仿宋" w:eastAsia="仿宋" w:cs="仿宋"/>
          <w:color w:val="auto"/>
          <w:kern w:val="0"/>
          <w:sz w:val="24"/>
          <w:szCs w:val="24"/>
          <w:highlight w:val="none"/>
          <w:lang w:eastAsia="zh-CN"/>
        </w:rPr>
        <w:t>。</w:t>
      </w:r>
    </w:p>
    <w:p w14:paraId="6190513D">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（二）质量标准</w:t>
      </w:r>
    </w:p>
    <w:p w14:paraId="5349E098">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GB/T15971—1995 导游服务质量</w:t>
      </w:r>
    </w:p>
    <w:p w14:paraId="29AEB178">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GB/16153—1996 饭店（餐厅）卫生标准 </w:t>
      </w:r>
    </w:p>
    <w:p w14:paraId="67AB5284">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GB/T19004.2—1994 质量管理和质量体系要素 第二部分：服务指南（idt ISO 9004—2：1991）</w:t>
      </w:r>
    </w:p>
    <w:p w14:paraId="74A7C8C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LB/T 002—1995 旅游汽车服务质量</w:t>
      </w:r>
    </w:p>
    <w:p w14:paraId="7CD054F0">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GB/T15971 导游人员的基本素质及服务</w:t>
      </w:r>
    </w:p>
    <w:p w14:paraId="2F40EAB5">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以上标准若有最新标准，按最新标准执行。</w:t>
      </w:r>
    </w:p>
    <w:p w14:paraId="74D963EA">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（三）服务范围</w:t>
      </w:r>
    </w:p>
    <w:p w14:paraId="0591EBED">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职工疗休养项目，服务期限为合同生效之日起至</w:t>
      </w:r>
      <w:r>
        <w:rPr>
          <w:rFonts w:hint="eastAsia" w:ascii="仿宋" w:hAnsi="仿宋" w:eastAsia="仿宋" w:cs="仿宋"/>
          <w:snapToGrid w:val="0"/>
          <w:color w:val="auto"/>
          <w:kern w:val="28"/>
          <w:sz w:val="24"/>
          <w:szCs w:val="24"/>
          <w:highlight w:val="none"/>
          <w:lang w:eastAsia="zh-CN"/>
        </w:rPr>
        <w:t>202</w:t>
      </w:r>
      <w:r>
        <w:rPr>
          <w:rFonts w:hint="eastAsia" w:ascii="仿宋" w:hAnsi="仿宋" w:eastAsia="仿宋" w:cs="仿宋"/>
          <w:snapToGrid w:val="0"/>
          <w:color w:val="auto"/>
          <w:kern w:val="28"/>
          <w:sz w:val="24"/>
          <w:szCs w:val="24"/>
          <w:highlight w:val="none"/>
          <w:lang w:val="en-US" w:eastAsia="zh-CN"/>
        </w:rPr>
        <w:t>5</w:t>
      </w:r>
      <w:r>
        <w:rPr>
          <w:rFonts w:hint="eastAsia" w:ascii="仿宋" w:hAnsi="仿宋" w:eastAsia="仿宋" w:cs="仿宋"/>
          <w:snapToGrid w:val="0"/>
          <w:color w:val="auto"/>
          <w:kern w:val="28"/>
          <w:sz w:val="24"/>
          <w:szCs w:val="24"/>
          <w:highlight w:val="none"/>
        </w:rPr>
        <w:t>年12月31日</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rPr>
        <w:t>约</w:t>
      </w:r>
      <w:r>
        <w:rPr>
          <w:rFonts w:hint="eastAsia" w:ascii="仿宋" w:hAnsi="仿宋" w:eastAsia="仿宋" w:cs="仿宋"/>
          <w:snapToGrid w:val="0"/>
          <w:color w:val="auto"/>
          <w:kern w:val="28"/>
          <w:sz w:val="24"/>
          <w:szCs w:val="24"/>
          <w:highlight w:val="none"/>
          <w:lang w:val="en-US" w:eastAsia="zh-CN"/>
        </w:rPr>
        <w:t>42</w:t>
      </w:r>
      <w:r>
        <w:rPr>
          <w:rFonts w:hint="eastAsia" w:ascii="仿宋" w:hAnsi="仿宋" w:eastAsia="仿宋" w:cs="仿宋"/>
          <w:snapToGrid w:val="0"/>
          <w:color w:val="auto"/>
          <w:kern w:val="28"/>
          <w:sz w:val="24"/>
          <w:szCs w:val="24"/>
          <w:highlight w:val="none"/>
        </w:rPr>
        <w:t>人，</w:t>
      </w:r>
      <w:r>
        <w:rPr>
          <w:rFonts w:hint="eastAsia" w:ascii="仿宋" w:hAnsi="仿宋" w:eastAsia="仿宋" w:cs="仿宋"/>
          <w:snapToGrid w:val="0"/>
          <w:color w:val="auto"/>
          <w:kern w:val="28"/>
          <w:sz w:val="24"/>
          <w:szCs w:val="24"/>
          <w:highlight w:val="none"/>
          <w:lang w:val="en-US" w:eastAsia="zh-CN"/>
        </w:rPr>
        <w:t>最终以实际出行人数为准，</w:t>
      </w:r>
      <w:r>
        <w:rPr>
          <w:rFonts w:hint="eastAsia" w:ascii="仿宋" w:hAnsi="仿宋" w:eastAsia="仿宋" w:cs="仿宋"/>
          <w:snapToGrid w:val="0"/>
          <w:color w:val="auto"/>
          <w:kern w:val="28"/>
          <w:sz w:val="24"/>
          <w:szCs w:val="24"/>
          <w:highlight w:val="none"/>
        </w:rPr>
        <w:t>共计</w:t>
      </w:r>
      <w:r>
        <w:rPr>
          <w:rFonts w:hint="eastAsia" w:ascii="仿宋" w:hAnsi="仿宋" w:eastAsia="仿宋" w:cs="仿宋"/>
          <w:snapToGrid w:val="0"/>
          <w:color w:val="auto"/>
          <w:kern w:val="28"/>
          <w:sz w:val="24"/>
          <w:szCs w:val="24"/>
          <w:highlight w:val="none"/>
          <w:lang w:val="en-US" w:eastAsia="zh-CN"/>
        </w:rPr>
        <w:t>一</w:t>
      </w:r>
      <w:r>
        <w:rPr>
          <w:rFonts w:hint="eastAsia" w:ascii="仿宋" w:hAnsi="仿宋" w:eastAsia="仿宋" w:cs="仿宋"/>
          <w:snapToGrid w:val="0"/>
          <w:color w:val="auto"/>
          <w:kern w:val="28"/>
          <w:sz w:val="24"/>
          <w:szCs w:val="24"/>
          <w:highlight w:val="none"/>
        </w:rPr>
        <w:t>条线路，择优选择1家供应商中标。</w:t>
      </w:r>
    </w:p>
    <w:p w14:paraId="4A30ED6B">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bookmarkStart w:id="39" w:name="_Toc351898267"/>
      <w:r>
        <w:rPr>
          <w:rFonts w:hint="eastAsia" w:ascii="仿宋" w:hAnsi="仿宋" w:eastAsia="仿宋" w:cs="仿宋"/>
          <w:b/>
          <w:bCs/>
          <w:color w:val="auto"/>
          <w:sz w:val="24"/>
          <w:szCs w:val="24"/>
          <w:highlight w:val="none"/>
        </w:rPr>
        <w:t>（四）</w:t>
      </w:r>
      <w:bookmarkEnd w:id="39"/>
      <w:r>
        <w:rPr>
          <w:rFonts w:hint="eastAsia" w:ascii="仿宋" w:hAnsi="仿宋" w:eastAsia="仿宋" w:cs="仿宋"/>
          <w:b/>
          <w:bCs/>
          <w:color w:val="auto"/>
          <w:sz w:val="24"/>
          <w:szCs w:val="24"/>
          <w:highlight w:val="none"/>
        </w:rPr>
        <w:t xml:space="preserve">行程安排等基本要求 </w:t>
      </w:r>
    </w:p>
    <w:p w14:paraId="1C178DF3">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线路安排（具体出行线路</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后由</w:t>
      </w:r>
      <w:r>
        <w:rPr>
          <w:rFonts w:hint="eastAsia" w:ascii="仿宋" w:hAnsi="仿宋" w:eastAsia="仿宋" w:cs="仿宋"/>
          <w:color w:val="auto"/>
          <w:sz w:val="24"/>
          <w:szCs w:val="24"/>
          <w:highlight w:val="none"/>
          <w:lang w:eastAsia="zh-CN"/>
        </w:rPr>
        <w:t>交易人</w:t>
      </w:r>
      <w:r>
        <w:rPr>
          <w:rFonts w:hint="eastAsia" w:ascii="仿宋" w:hAnsi="仿宋" w:eastAsia="仿宋" w:cs="仿宋"/>
          <w:color w:val="auto"/>
          <w:sz w:val="24"/>
          <w:szCs w:val="24"/>
          <w:highlight w:val="none"/>
        </w:rPr>
        <w:t>确定，以下线路供本次</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报价参考，若遇本次</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参考线路之外的线路方案，由</w:t>
      </w:r>
      <w:r>
        <w:rPr>
          <w:rFonts w:hint="eastAsia" w:ascii="仿宋" w:hAnsi="仿宋" w:eastAsia="仿宋" w:cs="仿宋"/>
          <w:color w:val="auto"/>
          <w:sz w:val="24"/>
          <w:szCs w:val="24"/>
          <w:highlight w:val="none"/>
          <w:lang w:eastAsia="zh-CN"/>
        </w:rPr>
        <w:t>交易人</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成交人</w:t>
      </w:r>
      <w:r>
        <w:rPr>
          <w:rFonts w:hint="eastAsia" w:ascii="仿宋" w:hAnsi="仿宋" w:eastAsia="仿宋" w:cs="仿宋"/>
          <w:color w:val="auto"/>
          <w:sz w:val="24"/>
          <w:szCs w:val="24"/>
          <w:highlight w:val="none"/>
        </w:rPr>
        <w:t>根据实际出行天数、市场价自行协商确定）：</w:t>
      </w:r>
    </w:p>
    <w:p w14:paraId="18FD2EEC">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2"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线路：</w:t>
      </w:r>
      <w:r>
        <w:rPr>
          <w:rFonts w:hint="eastAsia" w:ascii="仿宋" w:hAnsi="仿宋" w:eastAsia="仿宋" w:cs="仿宋"/>
          <w:color w:val="auto"/>
          <w:kern w:val="0"/>
          <w:sz w:val="24"/>
          <w:szCs w:val="24"/>
          <w:highlight w:val="none"/>
          <w:lang w:val="en-US" w:eastAsia="zh-CN"/>
        </w:rPr>
        <w:t>台州、青田4日疗休养行程（费用不高于3000.00元/人次）</w:t>
      </w:r>
    </w:p>
    <w:p w14:paraId="5E426CF1">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lang w:val="en-US" w:eastAsia="zh-CN"/>
        </w:rPr>
      </w:pPr>
      <w:r>
        <w:rPr>
          <w:rFonts w:hint="eastAsia" w:ascii="仿宋" w:hAnsi="仿宋" w:eastAsia="仿宋" w:cs="仿宋"/>
          <w:color w:val="auto"/>
          <w:kern w:val="0"/>
          <w:sz w:val="24"/>
          <w:szCs w:val="24"/>
          <w:highlight w:val="none"/>
          <w:lang w:val="en-US" w:eastAsia="zh-CN"/>
        </w:rPr>
        <w:t>出行时间：7月20日- 23日</w:t>
      </w:r>
    </w:p>
    <w:p w14:paraId="6B13D046">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上述线路</w:t>
      </w:r>
      <w:r>
        <w:rPr>
          <w:rFonts w:hint="eastAsia" w:ascii="仿宋" w:hAnsi="仿宋" w:eastAsia="仿宋" w:cs="仿宋"/>
          <w:color w:val="auto"/>
          <w:kern w:val="0"/>
          <w:sz w:val="24"/>
          <w:szCs w:val="24"/>
          <w:highlight w:val="none"/>
        </w:rPr>
        <w:t>要求行程安排合理，休闲休养相结合。最终服务过程中</w:t>
      </w:r>
      <w:r>
        <w:rPr>
          <w:rFonts w:hint="eastAsia" w:ascii="仿宋" w:hAnsi="仿宋" w:eastAsia="仿宋" w:cs="仿宋"/>
          <w:color w:val="auto"/>
          <w:sz w:val="24"/>
          <w:szCs w:val="24"/>
          <w:highlight w:val="none"/>
        </w:rPr>
        <w:t>包括但不仅限于以上线路，各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自行承担报价风险。</w:t>
      </w:r>
    </w:p>
    <w:p w14:paraId="00D81685">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2、大交通</w:t>
      </w:r>
      <w:r>
        <w:rPr>
          <w:rFonts w:hint="eastAsia" w:ascii="仿宋" w:hAnsi="仿宋" w:eastAsia="仿宋" w:cs="仿宋"/>
          <w:color w:val="auto"/>
          <w:kern w:val="0"/>
          <w:sz w:val="24"/>
          <w:szCs w:val="24"/>
          <w:highlight w:val="none"/>
        </w:rPr>
        <w:t>费用说明：浙江省外</w:t>
      </w:r>
      <w:r>
        <w:rPr>
          <w:rFonts w:hint="eastAsia" w:ascii="仿宋" w:hAnsi="仿宋" w:eastAsia="仿宋" w:cs="仿宋"/>
          <w:color w:val="auto"/>
          <w:kern w:val="0"/>
          <w:sz w:val="24"/>
          <w:szCs w:val="24"/>
          <w:highlight w:val="none"/>
          <w:lang w:val="en-US" w:eastAsia="zh-CN"/>
        </w:rPr>
        <w:t>赴对口帮扶（支援、合作）地区</w:t>
      </w:r>
      <w:r>
        <w:rPr>
          <w:rFonts w:hint="eastAsia" w:ascii="仿宋" w:hAnsi="仿宋" w:eastAsia="仿宋" w:cs="仿宋"/>
          <w:color w:val="auto"/>
          <w:kern w:val="0"/>
          <w:sz w:val="24"/>
          <w:szCs w:val="24"/>
          <w:highlight w:val="none"/>
        </w:rPr>
        <w:t>为除往返目的地大交通费即飞机、火车外，往返大交通费用根据实际结算（大交通票务需在政府采购机票管理网站购买，若通过其他购买途径，则需低于政府采购机票管理网站的当日价格信息，报销时附政府采购机票管理网站当天机票截图价格信息）。</w:t>
      </w:r>
    </w:p>
    <w:p w14:paraId="5FBD09C8">
      <w:pPr>
        <w:pStyle w:val="31"/>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响应报价</w:t>
      </w:r>
      <w:r>
        <w:rPr>
          <w:rFonts w:hint="eastAsia" w:ascii="仿宋" w:hAnsi="仿宋" w:eastAsia="仿宋" w:cs="仿宋"/>
          <w:color w:val="auto"/>
          <w:kern w:val="0"/>
          <w:sz w:val="24"/>
          <w:szCs w:val="24"/>
          <w:highlight w:val="none"/>
        </w:rPr>
        <w:t>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为保障疗休养服务品质，本项目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按照以上线路报价，最终服务过程包括但不仅限于以上线路，各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自行承担报价风险。</w:t>
      </w:r>
    </w:p>
    <w:p w14:paraId="221C55C0">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、出行安排，根据批准的时间为准。</w:t>
      </w:r>
    </w:p>
    <w:p w14:paraId="33915AA6">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5</w:t>
      </w:r>
      <w:r>
        <w:rPr>
          <w:rFonts w:hint="eastAsia" w:ascii="仿宋" w:hAnsi="仿宋" w:eastAsia="仿宋" w:cs="仿宋"/>
          <w:color w:val="auto"/>
          <w:kern w:val="0"/>
          <w:sz w:val="24"/>
        </w:rPr>
        <w:t>、用车要求：汽车统一为全程空调旅游车（</w:t>
      </w:r>
      <w:r>
        <w:rPr>
          <w:rFonts w:ascii="仿宋" w:hAnsi="仿宋" w:eastAsia="仿宋" w:cs="仿宋"/>
          <w:color w:val="auto"/>
          <w:kern w:val="0"/>
          <w:sz w:val="24"/>
        </w:rPr>
        <w:t>3</w:t>
      </w:r>
      <w:r>
        <w:rPr>
          <w:rFonts w:hint="eastAsia" w:ascii="仿宋" w:hAnsi="仿宋" w:eastAsia="仿宋" w:cs="仿宋"/>
          <w:color w:val="auto"/>
          <w:kern w:val="0"/>
          <w:sz w:val="24"/>
        </w:rPr>
        <w:t>年内购置）</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选定车辆全程跟团无特殊情况不得更换车辆</w:t>
      </w:r>
      <w:r>
        <w:rPr>
          <w:rFonts w:hint="eastAsia" w:ascii="仿宋" w:hAnsi="仿宋" w:eastAsia="仿宋" w:cs="仿宋"/>
          <w:color w:val="auto"/>
          <w:kern w:val="0"/>
          <w:sz w:val="24"/>
        </w:rPr>
        <w:t>，必须保证每人一正座（座位按人数</w:t>
      </w:r>
      <w:r>
        <w:rPr>
          <w:rFonts w:ascii="仿宋" w:hAnsi="仿宋" w:eastAsia="仿宋" w:cs="仿宋"/>
          <w:color w:val="auto"/>
          <w:kern w:val="0"/>
          <w:sz w:val="24"/>
        </w:rPr>
        <w:t>1</w:t>
      </w:r>
      <w:r>
        <w:rPr>
          <w:rFonts w:hint="eastAsia" w:ascii="仿宋" w:hAnsi="仿宋" w:eastAsia="仿宋" w:cs="仿宋"/>
          <w:color w:val="auto"/>
          <w:kern w:val="0"/>
          <w:sz w:val="24"/>
        </w:rPr>
        <w:t>：</w:t>
      </w:r>
      <w:r>
        <w:rPr>
          <w:rFonts w:ascii="仿宋" w:hAnsi="仿宋" w:eastAsia="仿宋" w:cs="仿宋"/>
          <w:color w:val="auto"/>
          <w:kern w:val="0"/>
          <w:sz w:val="24"/>
        </w:rPr>
        <w:t>1.2</w:t>
      </w:r>
      <w:r>
        <w:rPr>
          <w:rFonts w:hint="eastAsia" w:ascii="仿宋" w:hAnsi="仿宋" w:eastAsia="仿宋" w:cs="仿宋"/>
          <w:color w:val="auto"/>
          <w:kern w:val="0"/>
          <w:sz w:val="24"/>
        </w:rPr>
        <w:t>比例配备）要求车况好，冷暖空调效果好，车内整洁、明亮</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所有证件齐全随时接受检查</w:t>
      </w:r>
      <w:r>
        <w:rPr>
          <w:rFonts w:hint="eastAsia" w:ascii="仿宋" w:hAnsi="仿宋" w:eastAsia="仿宋" w:cs="仿宋"/>
          <w:color w:val="auto"/>
          <w:kern w:val="0"/>
          <w:sz w:val="24"/>
        </w:rPr>
        <w:t>，司机必须安全行车</w:t>
      </w:r>
      <w:r>
        <w:rPr>
          <w:rFonts w:ascii="仿宋" w:hAnsi="仿宋" w:eastAsia="仿宋" w:cs="仿宋"/>
          <w:color w:val="auto"/>
          <w:kern w:val="0"/>
          <w:sz w:val="24"/>
        </w:rPr>
        <w:t>5</w:t>
      </w:r>
      <w:r>
        <w:rPr>
          <w:rFonts w:hint="eastAsia" w:ascii="仿宋" w:hAnsi="仿宋" w:eastAsia="仿宋" w:cs="仿宋"/>
          <w:color w:val="auto"/>
          <w:kern w:val="0"/>
          <w:sz w:val="24"/>
        </w:rPr>
        <w:t>年或以上且无重大安全事故和严重交通违规记录，车上需配备晕车药和一次性塑料袋。</w:t>
      </w:r>
    </w:p>
    <w:p w14:paraId="28CF2C6C">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6</w:t>
      </w:r>
      <w:r>
        <w:rPr>
          <w:rFonts w:hint="eastAsia" w:ascii="仿宋" w:hAnsi="仿宋" w:eastAsia="仿宋" w:cs="仿宋"/>
          <w:color w:val="auto"/>
          <w:kern w:val="0"/>
          <w:sz w:val="24"/>
        </w:rPr>
        <w:t>、住宿：</w:t>
      </w:r>
      <w:r>
        <w:rPr>
          <w:rFonts w:hint="eastAsia" w:ascii="仿宋" w:hAnsi="仿宋" w:eastAsia="仿宋" w:cs="仿宋"/>
          <w:color w:val="auto"/>
          <w:sz w:val="24"/>
        </w:rPr>
        <w:t>住宿综合环境好，要求挂牌四星或网评四钻以上（含）且设施较好的酒店（一般标准</w:t>
      </w:r>
      <w:r>
        <w:rPr>
          <w:rFonts w:ascii="仿宋" w:hAnsi="仿宋" w:eastAsia="仿宋" w:cs="仿宋"/>
          <w:color w:val="auto"/>
          <w:sz w:val="24"/>
        </w:rPr>
        <w:t>2</w:t>
      </w:r>
      <w:r>
        <w:rPr>
          <w:rFonts w:hint="eastAsia" w:ascii="仿宋" w:hAnsi="仿宋" w:eastAsia="仿宋" w:cs="仿宋"/>
          <w:color w:val="auto"/>
          <w:sz w:val="24"/>
        </w:rPr>
        <w:t>人间）。要求标注每天住宿酒店的名称、星级和具体地址，如实际接待中，投标指定酒店无法安排，需要</w:t>
      </w:r>
      <w:r>
        <w:rPr>
          <w:rFonts w:hint="eastAsia" w:ascii="仿宋" w:hAnsi="仿宋" w:eastAsia="仿宋" w:cs="仿宋"/>
          <w:color w:val="auto"/>
          <w:sz w:val="24"/>
          <w:lang w:val="en-US" w:eastAsia="zh-CN"/>
        </w:rPr>
        <w:t>和学校领队协商</w:t>
      </w:r>
      <w:r>
        <w:rPr>
          <w:rFonts w:hint="eastAsia" w:ascii="仿宋" w:hAnsi="仿宋" w:eastAsia="仿宋" w:cs="仿宋"/>
          <w:color w:val="auto"/>
          <w:sz w:val="24"/>
        </w:rPr>
        <w:t>安排高一级酒店。</w:t>
      </w:r>
    </w:p>
    <w:p w14:paraId="1AD3569C">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7</w:t>
      </w:r>
      <w:r>
        <w:rPr>
          <w:rFonts w:hint="eastAsia" w:ascii="仿宋" w:hAnsi="仿宋" w:eastAsia="仿宋" w:cs="仿宋"/>
          <w:color w:val="auto"/>
          <w:kern w:val="0"/>
          <w:sz w:val="24"/>
        </w:rPr>
        <w:t>、餐饮</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早餐为酒店早餐，中餐不低于</w:t>
      </w:r>
      <w:r>
        <w:rPr>
          <w:rFonts w:hint="eastAsia" w:ascii="仿宋" w:hAnsi="仿宋" w:eastAsia="仿宋" w:cs="仿宋"/>
          <w:color w:val="auto"/>
          <w:kern w:val="0"/>
          <w:sz w:val="24"/>
          <w:lang w:val="en-US" w:eastAsia="zh-CN"/>
        </w:rPr>
        <w:t>70</w:t>
      </w:r>
      <w:r>
        <w:rPr>
          <w:rFonts w:hint="eastAsia" w:ascii="仿宋" w:hAnsi="仿宋" w:eastAsia="仿宋" w:cs="仿宋"/>
          <w:color w:val="auto"/>
          <w:kern w:val="0"/>
          <w:sz w:val="24"/>
        </w:rPr>
        <w:t xml:space="preserve">元/人，晚餐不低于 </w:t>
      </w:r>
      <w:r>
        <w:rPr>
          <w:rFonts w:hint="eastAsia" w:ascii="仿宋" w:hAnsi="仿宋" w:eastAsia="仿宋" w:cs="仿宋"/>
          <w:color w:val="auto"/>
          <w:kern w:val="0"/>
          <w:sz w:val="24"/>
          <w:lang w:val="en-US" w:eastAsia="zh-CN"/>
        </w:rPr>
        <w:t>80</w:t>
      </w:r>
      <w:r>
        <w:rPr>
          <w:rFonts w:hint="eastAsia" w:ascii="仿宋" w:hAnsi="仿宋" w:eastAsia="仿宋" w:cs="仿宋"/>
          <w:color w:val="auto"/>
          <w:kern w:val="0"/>
          <w:sz w:val="24"/>
        </w:rPr>
        <w:t xml:space="preserve"> 元/人，餐厅必须有接待资质、环境好的饭店就餐，允许团队等额退餐，自己点菜。中晚餐每桌提供一瓶可乐一瓶雪碧（均为2升）。</w:t>
      </w:r>
    </w:p>
    <w:p w14:paraId="4878F769">
      <w:pPr>
        <w:tabs>
          <w:tab w:val="center" w:pos="4153"/>
        </w:tabs>
        <w:spacing w:line="360" w:lineRule="auto"/>
        <w:ind w:firstLine="480" w:firstLineChars="200"/>
        <w:rPr>
          <w:rFonts w:ascii="仿宋" w:hAnsi="仿宋" w:eastAsia="仿宋" w:cs="仿宋"/>
          <w:color w:val="auto"/>
          <w:sz w:val="24"/>
        </w:rPr>
      </w:pPr>
      <w:r>
        <w:rPr>
          <w:rFonts w:ascii="仿宋" w:hAnsi="仿宋" w:eastAsia="仿宋" w:cs="仿宋"/>
          <w:color w:val="auto"/>
          <w:kern w:val="0"/>
          <w:sz w:val="24"/>
        </w:rPr>
        <w:t>8</w:t>
      </w:r>
      <w:r>
        <w:rPr>
          <w:rFonts w:hint="eastAsia" w:ascii="仿宋" w:hAnsi="仿宋" w:eastAsia="仿宋" w:cs="仿宋"/>
          <w:color w:val="auto"/>
          <w:kern w:val="0"/>
          <w:sz w:val="24"/>
        </w:rPr>
        <w:t>、要求全程提供持证全陪导游服务（全陪导游须持有导游证</w:t>
      </w:r>
      <w:r>
        <w:rPr>
          <w:rFonts w:ascii="仿宋" w:hAnsi="仿宋" w:eastAsia="仿宋" w:cs="仿宋"/>
          <w:color w:val="auto"/>
          <w:kern w:val="0"/>
          <w:sz w:val="24"/>
        </w:rPr>
        <w:t>3</w:t>
      </w:r>
      <w:r>
        <w:rPr>
          <w:rFonts w:hint="eastAsia" w:ascii="仿宋" w:hAnsi="仿宋" w:eastAsia="仿宋" w:cs="仿宋"/>
          <w:color w:val="auto"/>
          <w:kern w:val="0"/>
          <w:sz w:val="24"/>
        </w:rPr>
        <w:t>年以上，出团前</w:t>
      </w:r>
      <w:r>
        <w:rPr>
          <w:rFonts w:ascii="仿宋" w:hAnsi="仿宋" w:eastAsia="仿宋" w:cs="仿宋"/>
          <w:color w:val="auto"/>
          <w:kern w:val="0"/>
          <w:sz w:val="24"/>
        </w:rPr>
        <w:t>1</w:t>
      </w:r>
      <w:r>
        <w:rPr>
          <w:rFonts w:hint="eastAsia" w:ascii="仿宋" w:hAnsi="仿宋" w:eastAsia="仿宋" w:cs="仿宋"/>
          <w:color w:val="auto"/>
          <w:kern w:val="0"/>
          <w:sz w:val="24"/>
        </w:rPr>
        <w:t>周提交疗休养方审核），专职景区讲解服务。</w:t>
      </w:r>
    </w:p>
    <w:p w14:paraId="0DABD90D">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9</w:t>
      </w:r>
      <w:r>
        <w:rPr>
          <w:rFonts w:hint="eastAsia" w:ascii="仿宋" w:hAnsi="仿宋" w:eastAsia="仿宋" w:cs="仿宋"/>
          <w:color w:val="auto"/>
          <w:kern w:val="0"/>
          <w:sz w:val="24"/>
        </w:rPr>
        <w:t>、要求为参加疗休养职工提供每人每天</w:t>
      </w:r>
      <w:r>
        <w:rPr>
          <w:rFonts w:hint="eastAsia" w:ascii="仿宋" w:hAnsi="仿宋" w:eastAsia="仿宋" w:cs="仿宋"/>
          <w:color w:val="auto"/>
          <w:kern w:val="0"/>
          <w:sz w:val="24"/>
          <w:lang w:val="en-US" w:eastAsia="zh-CN"/>
        </w:rPr>
        <w:t>至少</w:t>
      </w:r>
      <w:r>
        <w:rPr>
          <w:rFonts w:ascii="仿宋" w:hAnsi="仿宋" w:eastAsia="仿宋" w:cs="仿宋"/>
          <w:color w:val="auto"/>
          <w:kern w:val="0"/>
          <w:sz w:val="24"/>
        </w:rPr>
        <w:t>2</w:t>
      </w:r>
      <w:r>
        <w:rPr>
          <w:rFonts w:hint="eastAsia" w:ascii="仿宋" w:hAnsi="仿宋" w:eastAsia="仿宋" w:cs="仿宋"/>
          <w:color w:val="auto"/>
          <w:kern w:val="0"/>
          <w:sz w:val="24"/>
        </w:rPr>
        <w:t>瓶矿泉水、每晚提供水果。</w:t>
      </w:r>
    </w:p>
    <w:p w14:paraId="15A03E97">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10</w:t>
      </w:r>
      <w:r>
        <w:rPr>
          <w:rFonts w:hint="eastAsia" w:ascii="仿宋" w:hAnsi="仿宋" w:eastAsia="仿宋" w:cs="仿宋"/>
          <w:color w:val="auto"/>
          <w:kern w:val="0"/>
          <w:sz w:val="24"/>
        </w:rPr>
        <w:t>、保险：购买疗休养过程中的各类保险（包括：旅行社责任险，旅游意外伤害保险、交通意外险等），做到应保则保，响应文件中应说明具体险种和单人保额。其中，旅行社责任险不少于</w:t>
      </w:r>
      <w:r>
        <w:rPr>
          <w:rFonts w:ascii="仿宋" w:hAnsi="仿宋" w:eastAsia="仿宋" w:cs="仿宋"/>
          <w:color w:val="auto"/>
          <w:kern w:val="0"/>
          <w:sz w:val="24"/>
        </w:rPr>
        <w:t>100</w:t>
      </w:r>
      <w:r>
        <w:rPr>
          <w:rFonts w:hint="eastAsia" w:ascii="仿宋" w:hAnsi="仿宋" w:eastAsia="仿宋" w:cs="仿宋"/>
          <w:color w:val="auto"/>
          <w:kern w:val="0"/>
          <w:sz w:val="24"/>
        </w:rPr>
        <w:t>万元</w:t>
      </w:r>
      <w:r>
        <w:rPr>
          <w:rFonts w:ascii="仿宋" w:hAnsi="仿宋" w:eastAsia="仿宋" w:cs="仿宋"/>
          <w:color w:val="auto"/>
          <w:kern w:val="0"/>
          <w:sz w:val="24"/>
        </w:rPr>
        <w:t>/</w:t>
      </w:r>
      <w:r>
        <w:rPr>
          <w:rFonts w:hint="eastAsia" w:ascii="仿宋" w:hAnsi="仿宋" w:eastAsia="仿宋" w:cs="仿宋"/>
          <w:color w:val="auto"/>
          <w:kern w:val="0"/>
          <w:sz w:val="24"/>
        </w:rPr>
        <w:t>人、旅游安全人身意外伤害保险不少于</w:t>
      </w:r>
      <w:r>
        <w:rPr>
          <w:rFonts w:ascii="仿宋" w:hAnsi="仿宋" w:eastAsia="仿宋" w:cs="仿宋"/>
          <w:color w:val="auto"/>
          <w:kern w:val="0"/>
          <w:sz w:val="24"/>
        </w:rPr>
        <w:t>100</w:t>
      </w:r>
      <w:r>
        <w:rPr>
          <w:rFonts w:hint="eastAsia" w:ascii="仿宋" w:hAnsi="仿宋" w:eastAsia="仿宋" w:cs="仿宋"/>
          <w:color w:val="auto"/>
          <w:kern w:val="0"/>
          <w:sz w:val="24"/>
        </w:rPr>
        <w:t>万元</w:t>
      </w:r>
      <w:r>
        <w:rPr>
          <w:rFonts w:ascii="仿宋" w:hAnsi="仿宋" w:eastAsia="仿宋" w:cs="仿宋"/>
          <w:color w:val="auto"/>
          <w:kern w:val="0"/>
          <w:sz w:val="24"/>
        </w:rPr>
        <w:t>/</w:t>
      </w:r>
      <w:r>
        <w:rPr>
          <w:rFonts w:hint="eastAsia" w:ascii="仿宋" w:hAnsi="仿宋" w:eastAsia="仿宋" w:cs="仿宋"/>
          <w:color w:val="auto"/>
          <w:kern w:val="0"/>
          <w:sz w:val="24"/>
        </w:rPr>
        <w:t>人。实际实施过程中，中标人必须提供每批疗休养人员购买保险的原始凭证的复印件给采购人。</w:t>
      </w:r>
    </w:p>
    <w:p w14:paraId="5B6BD1AB">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11</w:t>
      </w:r>
      <w:r>
        <w:rPr>
          <w:rFonts w:hint="eastAsia" w:ascii="仿宋" w:hAnsi="仿宋" w:eastAsia="仿宋" w:cs="仿宋"/>
          <w:color w:val="auto"/>
          <w:kern w:val="0"/>
          <w:sz w:val="24"/>
        </w:rPr>
        <w:t>、出发前，需</w:t>
      </w:r>
      <w:r>
        <w:rPr>
          <w:rFonts w:hint="eastAsia" w:ascii="仿宋" w:hAnsi="仿宋" w:eastAsia="仿宋" w:cs="仿宋"/>
          <w:color w:val="auto"/>
          <w:kern w:val="0"/>
          <w:sz w:val="24"/>
          <w:lang w:val="en-US" w:eastAsia="zh-CN"/>
        </w:rPr>
        <w:t>提供</w:t>
      </w:r>
      <w:r>
        <w:rPr>
          <w:rFonts w:hint="eastAsia" w:ascii="仿宋" w:hAnsi="仿宋" w:eastAsia="仿宋" w:cs="仿宋"/>
          <w:color w:val="auto"/>
          <w:kern w:val="0"/>
          <w:sz w:val="24"/>
        </w:rPr>
        <w:t>疗休养行程</w:t>
      </w:r>
      <w:r>
        <w:rPr>
          <w:rFonts w:ascii="仿宋" w:hAnsi="仿宋" w:eastAsia="仿宋" w:cs="仿宋"/>
          <w:color w:val="auto"/>
          <w:kern w:val="0"/>
          <w:sz w:val="24"/>
        </w:rPr>
        <w:t>1</w:t>
      </w:r>
      <w:r>
        <w:rPr>
          <w:rFonts w:hint="eastAsia" w:ascii="仿宋" w:hAnsi="仿宋" w:eastAsia="仿宋" w:cs="仿宋"/>
          <w:color w:val="auto"/>
          <w:kern w:val="0"/>
          <w:sz w:val="24"/>
        </w:rPr>
        <w:t>份、注意事项</w:t>
      </w:r>
      <w:r>
        <w:rPr>
          <w:rFonts w:ascii="仿宋" w:hAnsi="仿宋" w:eastAsia="仿宋" w:cs="仿宋"/>
          <w:color w:val="auto"/>
          <w:kern w:val="0"/>
          <w:sz w:val="24"/>
        </w:rPr>
        <w:t>1</w:t>
      </w:r>
      <w:r>
        <w:rPr>
          <w:rFonts w:hint="eastAsia" w:ascii="仿宋" w:hAnsi="仿宋" w:eastAsia="仿宋" w:cs="仿宋"/>
          <w:color w:val="auto"/>
          <w:kern w:val="0"/>
          <w:sz w:val="24"/>
        </w:rPr>
        <w:t>份、口罩、小点心等。</w:t>
      </w:r>
    </w:p>
    <w:p w14:paraId="22E09E9A">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12</w:t>
      </w:r>
      <w:r>
        <w:rPr>
          <w:rFonts w:hint="eastAsia" w:ascii="仿宋" w:hAnsi="仿宋" w:eastAsia="仿宋" w:cs="仿宋"/>
          <w:color w:val="auto"/>
          <w:kern w:val="0"/>
          <w:sz w:val="24"/>
        </w:rPr>
        <w:t>、针对疗休养活动中可能发生的突发状况、意外情况等（如：投诉、纠纷、安全事故等），</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须制定周密、可靠的安全保障和突发事件应急预案，确保在各种情况下参团人员的人身及财产安全，</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应在响应文件中提供详细说明。</w:t>
      </w:r>
    </w:p>
    <w:p w14:paraId="1F1D5E59">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13</w:t>
      </w:r>
      <w:r>
        <w:rPr>
          <w:rFonts w:hint="eastAsia" w:ascii="仿宋" w:hAnsi="仿宋" w:eastAsia="仿宋" w:cs="仿宋"/>
          <w:color w:val="auto"/>
          <w:kern w:val="0"/>
          <w:sz w:val="24"/>
        </w:rPr>
        <w:t>、行程可辐射周边地域，但不得有自费的景点或活动，无商业广告及产品推销。</w:t>
      </w:r>
    </w:p>
    <w:p w14:paraId="15377D0D">
      <w:pPr>
        <w:tabs>
          <w:tab w:val="center" w:pos="4153"/>
        </w:tabs>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14</w:t>
      </w:r>
      <w:r>
        <w:rPr>
          <w:rFonts w:hint="eastAsia" w:ascii="仿宋" w:hAnsi="仿宋" w:eastAsia="仿宋" w:cs="仿宋"/>
          <w:color w:val="auto"/>
          <w:kern w:val="0"/>
          <w:sz w:val="24"/>
        </w:rPr>
        <w:t>、围绕疗休养主题，行程突出疗养养生特色。</w:t>
      </w:r>
    </w:p>
    <w:p w14:paraId="37DCE8F6">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ascii="仿宋" w:hAnsi="仿宋" w:eastAsia="仿宋" w:cs="仿宋"/>
          <w:color w:val="auto"/>
          <w:kern w:val="0"/>
          <w:sz w:val="24"/>
        </w:rPr>
        <w:t>15</w:t>
      </w:r>
      <w:r>
        <w:rPr>
          <w:rFonts w:hint="eastAsia" w:ascii="仿宋" w:hAnsi="仿宋" w:eastAsia="仿宋" w:cs="仿宋"/>
          <w:color w:val="auto"/>
          <w:kern w:val="0"/>
          <w:sz w:val="24"/>
        </w:rPr>
        <w:t>、购物：全程不进购物点</w:t>
      </w:r>
      <w:r>
        <w:rPr>
          <w:rFonts w:hint="eastAsia" w:ascii="仿宋" w:hAnsi="仿宋" w:eastAsia="仿宋" w:cs="仿宋"/>
          <w:color w:val="auto"/>
          <w:kern w:val="0"/>
          <w:sz w:val="24"/>
          <w:szCs w:val="24"/>
          <w:highlight w:val="none"/>
        </w:rPr>
        <w:t xml:space="preserve"> </w:t>
      </w:r>
    </w:p>
    <w:p w14:paraId="0862AF3A">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snapToGrid w:val="0"/>
          <w:color w:val="auto"/>
          <w:kern w:val="28"/>
          <w:sz w:val="24"/>
          <w:szCs w:val="24"/>
          <w:highlight w:val="none"/>
        </w:rPr>
      </w:pPr>
      <w:r>
        <w:rPr>
          <w:rFonts w:hint="eastAsia" w:ascii="仿宋" w:hAnsi="仿宋" w:eastAsia="仿宋" w:cs="仿宋"/>
          <w:b/>
          <w:bCs/>
          <w:snapToGrid w:val="0"/>
          <w:color w:val="auto"/>
          <w:kern w:val="28"/>
          <w:sz w:val="24"/>
          <w:szCs w:val="24"/>
          <w:highlight w:val="none"/>
        </w:rPr>
        <w:t>（五）其它要求</w:t>
      </w:r>
    </w:p>
    <w:p w14:paraId="5645E32E">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w:t>
      </w:r>
      <w:r>
        <w:rPr>
          <w:rFonts w:hint="eastAsia" w:ascii="仿宋" w:hAnsi="仿宋" w:eastAsia="仿宋" w:cs="仿宋"/>
          <w:snapToGrid w:val="0"/>
          <w:color w:val="auto"/>
          <w:kern w:val="28"/>
          <w:sz w:val="24"/>
          <w:szCs w:val="24"/>
          <w:highlight w:val="none"/>
          <w:lang w:eastAsia="zh-CN"/>
        </w:rPr>
        <w:t>供应商</w:t>
      </w:r>
      <w:r>
        <w:rPr>
          <w:rFonts w:hint="eastAsia" w:ascii="仿宋" w:hAnsi="仿宋" w:eastAsia="仿宋" w:cs="仿宋"/>
          <w:snapToGrid w:val="0"/>
          <w:color w:val="auto"/>
          <w:kern w:val="28"/>
          <w:sz w:val="24"/>
          <w:szCs w:val="24"/>
          <w:highlight w:val="none"/>
        </w:rPr>
        <w:t>需确定一名项目负责人，具有类似疗休养项目经验，负责与</w:t>
      </w:r>
      <w:r>
        <w:rPr>
          <w:rFonts w:hint="eastAsia" w:ascii="仿宋" w:hAnsi="仿宋" w:eastAsia="仿宋" w:cs="仿宋"/>
          <w:snapToGrid w:val="0"/>
          <w:color w:val="auto"/>
          <w:kern w:val="28"/>
          <w:sz w:val="24"/>
          <w:szCs w:val="24"/>
          <w:highlight w:val="none"/>
          <w:lang w:eastAsia="zh-CN"/>
        </w:rPr>
        <w:t>交易人</w:t>
      </w:r>
      <w:r>
        <w:rPr>
          <w:rFonts w:hint="eastAsia" w:ascii="仿宋" w:hAnsi="仿宋" w:eastAsia="仿宋" w:cs="仿宋"/>
          <w:snapToGrid w:val="0"/>
          <w:color w:val="auto"/>
          <w:kern w:val="28"/>
          <w:sz w:val="24"/>
          <w:szCs w:val="24"/>
          <w:highlight w:val="none"/>
        </w:rPr>
        <w:t>就每批次安排具体事宜联系，一旦中标不得随意更换。</w:t>
      </w:r>
    </w:p>
    <w:p w14:paraId="789F2F87">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2、制定应急预案，发放《行程安排表》和《注意事项》。如遇意外突发事件</w:t>
      </w:r>
      <w:r>
        <w:rPr>
          <w:rFonts w:hint="eastAsia" w:ascii="仿宋" w:hAnsi="仿宋" w:eastAsia="仿宋" w:cs="仿宋"/>
          <w:snapToGrid w:val="0"/>
          <w:color w:val="auto"/>
          <w:kern w:val="28"/>
          <w:sz w:val="24"/>
          <w:szCs w:val="24"/>
          <w:highlight w:val="none"/>
          <w:lang w:eastAsia="zh-CN"/>
        </w:rPr>
        <w:t>供应商</w:t>
      </w:r>
      <w:r>
        <w:rPr>
          <w:rFonts w:hint="eastAsia" w:ascii="仿宋" w:hAnsi="仿宋" w:eastAsia="仿宋" w:cs="仿宋"/>
          <w:snapToGrid w:val="0"/>
          <w:color w:val="auto"/>
          <w:kern w:val="28"/>
          <w:sz w:val="24"/>
          <w:szCs w:val="24"/>
          <w:highlight w:val="none"/>
        </w:rPr>
        <w:t>要在第一时间内进行妥善处理，处理结果要及时与</w:t>
      </w:r>
      <w:r>
        <w:rPr>
          <w:rFonts w:hint="eastAsia" w:ascii="仿宋" w:hAnsi="仿宋" w:eastAsia="仿宋" w:cs="仿宋"/>
          <w:snapToGrid w:val="0"/>
          <w:color w:val="auto"/>
          <w:kern w:val="28"/>
          <w:sz w:val="24"/>
          <w:szCs w:val="24"/>
          <w:highlight w:val="none"/>
          <w:lang w:eastAsia="zh-CN"/>
        </w:rPr>
        <w:t>交易人</w:t>
      </w:r>
      <w:r>
        <w:rPr>
          <w:rFonts w:hint="eastAsia" w:ascii="仿宋" w:hAnsi="仿宋" w:eastAsia="仿宋" w:cs="仿宋"/>
          <w:snapToGrid w:val="0"/>
          <w:color w:val="auto"/>
          <w:kern w:val="28"/>
          <w:sz w:val="24"/>
          <w:szCs w:val="24"/>
          <w:highlight w:val="none"/>
        </w:rPr>
        <w:t>汇报和沟通，并积极配合有关单位做好善后处理工作。</w:t>
      </w:r>
    </w:p>
    <w:p w14:paraId="268A10F7">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3、做到有问必答。对疗休养人员反映的情况或投诉，不回避矛盾、不推卸责任，对发生的问题予以及时处理，将问题解决在旅途中。</w:t>
      </w:r>
    </w:p>
    <w:p w14:paraId="4CB6E2F4">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4、参加疗休养人员名单和个人信息不得外泄。</w:t>
      </w:r>
    </w:p>
    <w:p w14:paraId="0E5E5F36">
      <w:pPr>
        <w:keepNext w:val="0"/>
        <w:keepLines w:val="0"/>
        <w:pageBreakBefore w:val="0"/>
        <w:kinsoku/>
        <w:wordWrap/>
        <w:overflowPunct/>
        <w:topLinePunct w:val="0"/>
        <w:autoSpaceDE/>
        <w:autoSpaceDN/>
        <w:bidi w:val="0"/>
        <w:snapToGrid/>
        <w:spacing w:line="348"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（六）服务期限及承诺</w:t>
      </w:r>
    </w:p>
    <w:p w14:paraId="2B9FBFA2">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6.1服务期限：分批休养。具体以</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实际通知为准。</w:t>
      </w:r>
    </w:p>
    <w:p w14:paraId="6C3CFC60">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6.2服务质量承诺：</w:t>
      </w:r>
    </w:p>
    <w:p w14:paraId="6DF9542C">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（1）为确保服务质量及与</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沟通联络，</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须设置兼职主管，负责对承包项目、范围、服务质量的检查监督及与</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日常业务联系；</w:t>
      </w:r>
    </w:p>
    <w:p w14:paraId="2FD88CE4">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需提供员工管理服务规范要求及确保服务质量达标的具体措施；</w:t>
      </w:r>
    </w:p>
    <w:p w14:paraId="30DAD2C4">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须主动接受</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的指导、检查、监督及协调；</w:t>
      </w:r>
    </w:p>
    <w:p w14:paraId="7FE74753">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）现有服务范围内，由于调整而增加的工作量，不再增加费用；</w:t>
      </w:r>
    </w:p>
    <w:p w14:paraId="6606A2C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）因</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工作人员的失误造成的损失由</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负责;</w:t>
      </w:r>
    </w:p>
    <w:p w14:paraId="78975A0F">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员工在工作及服务期间发生的一切安全事故由</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负责，与</w:t>
      </w:r>
      <w:r>
        <w:rPr>
          <w:rFonts w:hint="eastAsia" w:ascii="仿宋" w:hAnsi="仿宋" w:eastAsia="仿宋" w:cs="仿宋"/>
          <w:color w:val="auto"/>
          <w:kern w:val="0"/>
          <w:sz w:val="24"/>
          <w:szCs w:val="24"/>
          <w:highlight w:val="none"/>
          <w:lang w:eastAsia="zh-CN"/>
        </w:rPr>
        <w:t>交易人</w:t>
      </w:r>
      <w:r>
        <w:rPr>
          <w:rFonts w:hint="eastAsia" w:ascii="仿宋" w:hAnsi="仿宋" w:eastAsia="仿宋" w:cs="仿宋"/>
          <w:color w:val="auto"/>
          <w:kern w:val="0"/>
          <w:sz w:val="24"/>
          <w:szCs w:val="24"/>
          <w:highlight w:val="none"/>
        </w:rPr>
        <w:t>无关。</w:t>
      </w:r>
    </w:p>
    <w:p w14:paraId="288201D7">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（七）付款方式</w:t>
      </w:r>
    </w:p>
    <w:p w14:paraId="31CEBF9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7.1费用结算：依据浙财采监【2022】3号，第二条第五款相关规定结算，具体支付方式甲乙双方在合同中明确。</w:t>
      </w:r>
    </w:p>
    <w:p w14:paraId="0E201D2B">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7.2如遇政策变动，甲方临时取消出行计划，若已支付该批次费用，乙方无条件全额退还。</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自行承担投标风险。</w:t>
      </w:r>
    </w:p>
    <w:p w14:paraId="78C46468">
      <w:pPr>
        <w:snapToGrid w:val="0"/>
        <w:spacing w:line="360" w:lineRule="auto"/>
        <w:jc w:val="left"/>
        <w:rPr>
          <w:rFonts w:hint="eastAsia" w:ascii="仿宋" w:hAnsi="仿宋" w:eastAsia="仿宋" w:cs="仿宋"/>
          <w:b/>
          <w:color w:val="auto"/>
          <w:sz w:val="36"/>
          <w:szCs w:val="36"/>
        </w:rPr>
      </w:pPr>
      <w:r>
        <w:rPr>
          <w:rFonts w:hint="eastAsia" w:ascii="仿宋" w:hAnsi="仿宋" w:eastAsia="仿宋" w:cs="仿宋"/>
          <w:color w:val="auto"/>
          <w:sz w:val="24"/>
          <w:szCs w:val="24"/>
          <w:highlight w:val="none"/>
        </w:rPr>
        <w:t>注：交易文件中打▲内容为实质性要求，不允许有负偏离，否则将以涉及无效响应条款作无效响应。</w:t>
      </w:r>
    </w:p>
    <w:p w14:paraId="31786F3C">
      <w:pPr>
        <w:snapToGrid w:val="0"/>
        <w:spacing w:line="360" w:lineRule="auto"/>
        <w:jc w:val="center"/>
        <w:rPr>
          <w:rFonts w:hint="eastAsia" w:ascii="仿宋" w:hAnsi="仿宋" w:eastAsia="仿宋" w:cs="仿宋"/>
          <w:b/>
          <w:color w:val="auto"/>
          <w:sz w:val="36"/>
          <w:szCs w:val="36"/>
        </w:rPr>
      </w:pPr>
    </w:p>
    <w:p w14:paraId="4E9C0CF8">
      <w:pPr>
        <w:snapToGrid w:val="0"/>
        <w:spacing w:line="360" w:lineRule="auto"/>
        <w:jc w:val="center"/>
        <w:rPr>
          <w:rFonts w:hint="eastAsia" w:ascii="仿宋" w:hAnsi="仿宋" w:eastAsia="仿宋" w:cs="仿宋"/>
          <w:b/>
          <w:color w:val="auto"/>
          <w:sz w:val="36"/>
          <w:szCs w:val="36"/>
        </w:rPr>
      </w:pPr>
    </w:p>
    <w:p w14:paraId="3D74A987">
      <w:pPr>
        <w:snapToGrid w:val="0"/>
        <w:spacing w:line="360" w:lineRule="auto"/>
        <w:jc w:val="center"/>
        <w:rPr>
          <w:rFonts w:hint="eastAsia" w:ascii="仿宋" w:hAnsi="仿宋" w:eastAsia="仿宋" w:cs="仿宋"/>
          <w:b/>
          <w:color w:val="auto"/>
          <w:sz w:val="36"/>
          <w:szCs w:val="36"/>
        </w:rPr>
      </w:pPr>
    </w:p>
    <w:p w14:paraId="52DB47B0">
      <w:pPr>
        <w:snapToGrid w:val="0"/>
        <w:spacing w:line="360" w:lineRule="auto"/>
        <w:jc w:val="center"/>
        <w:rPr>
          <w:rFonts w:hint="eastAsia" w:ascii="仿宋" w:hAnsi="仿宋" w:eastAsia="仿宋" w:cs="仿宋"/>
          <w:b/>
          <w:color w:val="auto"/>
          <w:sz w:val="36"/>
          <w:szCs w:val="36"/>
        </w:rPr>
      </w:pPr>
    </w:p>
    <w:p w14:paraId="256D5174">
      <w:pPr>
        <w:snapToGrid w:val="0"/>
        <w:spacing w:line="360" w:lineRule="auto"/>
        <w:jc w:val="center"/>
        <w:rPr>
          <w:rFonts w:hint="eastAsia" w:ascii="仿宋" w:hAnsi="仿宋" w:eastAsia="仿宋" w:cs="仿宋"/>
          <w:b/>
          <w:color w:val="auto"/>
          <w:sz w:val="36"/>
          <w:szCs w:val="36"/>
        </w:rPr>
      </w:pPr>
    </w:p>
    <w:p w14:paraId="5EBB6EF8">
      <w:pPr>
        <w:snapToGrid w:val="0"/>
        <w:spacing w:line="360" w:lineRule="auto"/>
        <w:jc w:val="center"/>
        <w:rPr>
          <w:rFonts w:hint="eastAsia" w:ascii="仿宋" w:hAnsi="仿宋" w:eastAsia="仿宋" w:cs="仿宋"/>
          <w:b/>
          <w:color w:val="auto"/>
          <w:sz w:val="36"/>
          <w:szCs w:val="36"/>
        </w:rPr>
      </w:pPr>
    </w:p>
    <w:p w14:paraId="4EE5830E">
      <w:pPr>
        <w:snapToGrid w:val="0"/>
        <w:spacing w:line="360" w:lineRule="auto"/>
        <w:jc w:val="center"/>
        <w:rPr>
          <w:rFonts w:hint="eastAsia" w:ascii="仿宋" w:hAnsi="仿宋" w:eastAsia="仿宋" w:cs="仿宋"/>
          <w:b/>
          <w:color w:val="auto"/>
          <w:sz w:val="36"/>
          <w:szCs w:val="36"/>
        </w:rPr>
      </w:pPr>
    </w:p>
    <w:p w14:paraId="5663C6EC">
      <w:pPr>
        <w:snapToGrid w:val="0"/>
        <w:spacing w:line="360" w:lineRule="auto"/>
        <w:jc w:val="center"/>
        <w:rPr>
          <w:rFonts w:hint="eastAsia" w:ascii="仿宋" w:hAnsi="仿宋" w:eastAsia="仿宋" w:cs="仿宋"/>
          <w:b/>
          <w:color w:val="auto"/>
          <w:sz w:val="36"/>
          <w:szCs w:val="36"/>
        </w:rPr>
      </w:pPr>
    </w:p>
    <w:p w14:paraId="4B629240">
      <w:pPr>
        <w:snapToGrid w:val="0"/>
        <w:spacing w:line="360" w:lineRule="auto"/>
        <w:jc w:val="center"/>
        <w:rPr>
          <w:rFonts w:hint="eastAsia" w:ascii="仿宋" w:hAnsi="仿宋" w:eastAsia="仿宋" w:cs="仿宋"/>
          <w:b/>
          <w:color w:val="auto"/>
          <w:sz w:val="36"/>
          <w:szCs w:val="36"/>
        </w:rPr>
      </w:pPr>
    </w:p>
    <w:p w14:paraId="2A30B1C8">
      <w:pPr>
        <w:snapToGrid w:val="0"/>
        <w:spacing w:line="360" w:lineRule="auto"/>
        <w:jc w:val="center"/>
        <w:rPr>
          <w:rFonts w:hint="eastAsia" w:ascii="仿宋" w:hAnsi="仿宋" w:eastAsia="仿宋" w:cs="仿宋"/>
          <w:b/>
          <w:color w:val="auto"/>
          <w:sz w:val="36"/>
          <w:szCs w:val="36"/>
        </w:rPr>
      </w:pPr>
    </w:p>
    <w:p w14:paraId="2CCFB54A">
      <w:pPr>
        <w:snapToGrid w:val="0"/>
        <w:spacing w:line="360" w:lineRule="auto"/>
        <w:jc w:val="center"/>
        <w:rPr>
          <w:rFonts w:hint="eastAsia" w:ascii="仿宋" w:hAnsi="仿宋" w:eastAsia="仿宋" w:cs="仿宋"/>
          <w:b/>
          <w:color w:val="auto"/>
          <w:sz w:val="36"/>
          <w:szCs w:val="36"/>
        </w:rPr>
      </w:pPr>
    </w:p>
    <w:p w14:paraId="191DA8FE">
      <w:pPr>
        <w:snapToGrid w:val="0"/>
        <w:spacing w:line="360" w:lineRule="auto"/>
        <w:jc w:val="center"/>
        <w:rPr>
          <w:rFonts w:hint="eastAsia" w:ascii="仿宋" w:hAnsi="仿宋" w:eastAsia="仿宋" w:cs="仿宋"/>
          <w:b/>
          <w:color w:val="auto"/>
          <w:sz w:val="36"/>
          <w:szCs w:val="36"/>
        </w:rPr>
      </w:pPr>
    </w:p>
    <w:p w14:paraId="024622F8">
      <w:pPr>
        <w:snapToGrid w:val="0"/>
        <w:spacing w:line="360" w:lineRule="auto"/>
        <w:jc w:val="center"/>
        <w:rPr>
          <w:rFonts w:hint="eastAsia" w:ascii="仿宋" w:hAnsi="仿宋" w:eastAsia="仿宋" w:cs="仿宋"/>
          <w:b/>
          <w:color w:val="auto"/>
          <w:sz w:val="36"/>
          <w:szCs w:val="36"/>
        </w:rPr>
      </w:pPr>
    </w:p>
    <w:p w14:paraId="272EC1A6">
      <w:pPr>
        <w:snapToGrid w:val="0"/>
        <w:spacing w:line="360" w:lineRule="auto"/>
        <w:jc w:val="center"/>
        <w:rPr>
          <w:rFonts w:hint="eastAsia" w:ascii="仿宋" w:hAnsi="仿宋" w:eastAsia="仿宋" w:cs="仿宋"/>
          <w:b/>
          <w:color w:val="auto"/>
          <w:sz w:val="36"/>
          <w:szCs w:val="36"/>
        </w:rPr>
      </w:pPr>
    </w:p>
    <w:p w14:paraId="3EA94BAB">
      <w:pPr>
        <w:snapToGrid w:val="0"/>
        <w:spacing w:line="360" w:lineRule="auto"/>
        <w:jc w:val="center"/>
        <w:rPr>
          <w:rFonts w:hint="eastAsia" w:ascii="仿宋" w:hAnsi="仿宋" w:eastAsia="仿宋" w:cs="仿宋"/>
          <w:b/>
          <w:color w:val="auto"/>
          <w:sz w:val="36"/>
          <w:szCs w:val="36"/>
        </w:rPr>
      </w:pPr>
    </w:p>
    <w:p w14:paraId="584F60B2">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40" w:name="_Toc184314454"/>
      <w:bookmarkEnd w:id="40"/>
      <w:bookmarkStart w:id="41" w:name="_Toc184308045"/>
      <w:bookmarkEnd w:id="41"/>
      <w:bookmarkStart w:id="42" w:name="_Toc184314436"/>
      <w:bookmarkEnd w:id="42"/>
      <w:bookmarkStart w:id="43" w:name="_Toc184310324"/>
      <w:bookmarkEnd w:id="43"/>
      <w:bookmarkStart w:id="44" w:name="_Toc184308042"/>
      <w:bookmarkEnd w:id="44"/>
      <w:bookmarkStart w:id="45" w:name="_Toc184313281"/>
      <w:bookmarkEnd w:id="45"/>
      <w:bookmarkStart w:id="46" w:name="_Toc184314426"/>
      <w:bookmarkEnd w:id="46"/>
      <w:bookmarkStart w:id="47" w:name="_Toc184314415"/>
      <w:bookmarkEnd w:id="47"/>
      <w:bookmarkStart w:id="48" w:name="_Toc184308063"/>
      <w:bookmarkEnd w:id="48"/>
      <w:bookmarkStart w:id="49" w:name="_Toc184308068"/>
      <w:bookmarkEnd w:id="49"/>
      <w:bookmarkStart w:id="50" w:name="_Toc184313286"/>
      <w:bookmarkEnd w:id="50"/>
      <w:bookmarkStart w:id="51" w:name="_Toc184310301"/>
      <w:bookmarkEnd w:id="51"/>
      <w:bookmarkStart w:id="52" w:name="_Toc184308070"/>
      <w:bookmarkEnd w:id="52"/>
      <w:bookmarkStart w:id="53" w:name="_Toc184308041"/>
      <w:bookmarkEnd w:id="53"/>
      <w:bookmarkStart w:id="54" w:name="_Toc184314446"/>
      <w:bookmarkEnd w:id="54"/>
      <w:bookmarkStart w:id="55" w:name="_Toc184308039"/>
      <w:bookmarkEnd w:id="55"/>
      <w:bookmarkStart w:id="56" w:name="_Toc184313268"/>
      <w:bookmarkEnd w:id="56"/>
      <w:bookmarkStart w:id="57" w:name="_Toc184313260"/>
      <w:bookmarkEnd w:id="57"/>
      <w:bookmarkStart w:id="58" w:name="_Toc184310300"/>
      <w:bookmarkEnd w:id="58"/>
      <w:bookmarkStart w:id="59" w:name="_Toc184313255"/>
      <w:bookmarkEnd w:id="59"/>
      <w:bookmarkStart w:id="60" w:name="_Toc184313287"/>
      <w:bookmarkEnd w:id="60"/>
      <w:bookmarkStart w:id="61" w:name="_Toc184314435"/>
      <w:bookmarkEnd w:id="61"/>
      <w:bookmarkStart w:id="62" w:name="_Toc184314477"/>
      <w:bookmarkEnd w:id="62"/>
      <w:bookmarkStart w:id="63" w:name="_Toc184314440"/>
      <w:bookmarkEnd w:id="63"/>
      <w:bookmarkStart w:id="64" w:name="_Toc184314410"/>
      <w:bookmarkEnd w:id="64"/>
      <w:bookmarkStart w:id="65" w:name="_Toc184310278"/>
      <w:bookmarkEnd w:id="65"/>
      <w:bookmarkStart w:id="66" w:name="_Toc184312092"/>
      <w:bookmarkEnd w:id="66"/>
      <w:bookmarkStart w:id="67" w:name="_Toc184312112"/>
      <w:bookmarkEnd w:id="67"/>
      <w:bookmarkStart w:id="68" w:name="_Toc184312131"/>
      <w:bookmarkEnd w:id="68"/>
      <w:bookmarkStart w:id="69" w:name="_Toc184312118"/>
      <w:bookmarkEnd w:id="69"/>
      <w:bookmarkStart w:id="70" w:name="_Toc184312108"/>
      <w:bookmarkEnd w:id="70"/>
      <w:bookmarkStart w:id="71" w:name="_Toc184308091"/>
      <w:bookmarkEnd w:id="71"/>
      <w:bookmarkStart w:id="72" w:name="_Toc184308050"/>
      <w:bookmarkEnd w:id="72"/>
      <w:bookmarkStart w:id="73" w:name="_Toc184310312"/>
      <w:bookmarkEnd w:id="73"/>
      <w:bookmarkStart w:id="74" w:name="_Toc184312085"/>
      <w:bookmarkEnd w:id="74"/>
      <w:bookmarkStart w:id="75" w:name="_Toc184308064"/>
      <w:bookmarkEnd w:id="75"/>
      <w:bookmarkStart w:id="76" w:name="_Toc184314447"/>
      <w:bookmarkEnd w:id="76"/>
      <w:bookmarkStart w:id="77" w:name="_Toc184314438"/>
      <w:bookmarkEnd w:id="77"/>
      <w:bookmarkStart w:id="78" w:name="_Toc184310292"/>
      <w:bookmarkEnd w:id="78"/>
      <w:bookmarkStart w:id="79" w:name="_Toc184312080"/>
      <w:bookmarkEnd w:id="79"/>
      <w:bookmarkStart w:id="80" w:name="_Toc184313300"/>
      <w:bookmarkEnd w:id="80"/>
      <w:bookmarkStart w:id="81" w:name="_Toc184308086"/>
      <w:bookmarkEnd w:id="81"/>
      <w:bookmarkStart w:id="82" w:name="_Toc184308082"/>
      <w:bookmarkEnd w:id="82"/>
      <w:bookmarkStart w:id="83" w:name="_Toc184310323"/>
      <w:bookmarkEnd w:id="83"/>
      <w:bookmarkStart w:id="84" w:name="_Toc184313291"/>
      <w:bookmarkEnd w:id="84"/>
      <w:bookmarkStart w:id="85" w:name="_Toc184312105"/>
      <w:bookmarkEnd w:id="85"/>
      <w:bookmarkStart w:id="86" w:name="_Toc184314470"/>
      <w:bookmarkEnd w:id="86"/>
      <w:bookmarkStart w:id="87" w:name="_Toc184313293"/>
      <w:bookmarkEnd w:id="87"/>
      <w:bookmarkStart w:id="88" w:name="_Toc184310318"/>
      <w:bookmarkEnd w:id="88"/>
      <w:bookmarkStart w:id="89" w:name="_Toc184312100"/>
      <w:bookmarkEnd w:id="89"/>
      <w:bookmarkStart w:id="90" w:name="_Toc184314411"/>
      <w:bookmarkEnd w:id="90"/>
      <w:bookmarkStart w:id="91" w:name="_Toc184313261"/>
      <w:bookmarkEnd w:id="91"/>
      <w:bookmarkStart w:id="92" w:name="_Toc184313249"/>
      <w:bookmarkEnd w:id="92"/>
      <w:bookmarkStart w:id="93" w:name="_Toc184312075"/>
      <w:bookmarkEnd w:id="93"/>
      <w:bookmarkStart w:id="94" w:name="_Toc184310295"/>
      <w:bookmarkEnd w:id="94"/>
      <w:bookmarkStart w:id="95" w:name="_Toc184314442"/>
      <w:bookmarkEnd w:id="95"/>
      <w:bookmarkStart w:id="96" w:name="_Toc184313307"/>
      <w:bookmarkEnd w:id="96"/>
      <w:bookmarkStart w:id="97" w:name="_Toc184314481"/>
      <w:bookmarkEnd w:id="97"/>
      <w:bookmarkStart w:id="98" w:name="_Toc184308044"/>
      <w:bookmarkEnd w:id="98"/>
      <w:bookmarkStart w:id="99" w:name="_Toc184313292"/>
      <w:bookmarkEnd w:id="99"/>
      <w:bookmarkStart w:id="100" w:name="_Toc184314429"/>
      <w:bookmarkEnd w:id="100"/>
      <w:bookmarkStart w:id="101" w:name="_Toc184314439"/>
      <w:bookmarkEnd w:id="101"/>
      <w:bookmarkStart w:id="102" w:name="_Toc184310287"/>
      <w:bookmarkEnd w:id="102"/>
      <w:bookmarkStart w:id="103" w:name="_Toc184308106"/>
      <w:bookmarkEnd w:id="103"/>
      <w:bookmarkStart w:id="104" w:name="_Toc184313306"/>
      <w:bookmarkEnd w:id="104"/>
      <w:bookmarkStart w:id="105" w:name="_Toc184313296"/>
      <w:bookmarkEnd w:id="105"/>
      <w:bookmarkStart w:id="106" w:name="_Toc184312084"/>
      <w:bookmarkEnd w:id="106"/>
      <w:bookmarkStart w:id="107" w:name="_Toc184312102"/>
      <w:bookmarkEnd w:id="107"/>
      <w:bookmarkStart w:id="108" w:name="_Toc184312122"/>
      <w:bookmarkEnd w:id="108"/>
      <w:bookmarkStart w:id="109" w:name="_Toc184310315"/>
      <w:bookmarkEnd w:id="109"/>
      <w:bookmarkStart w:id="110" w:name="_Toc184312119"/>
      <w:bookmarkEnd w:id="110"/>
      <w:bookmarkStart w:id="111" w:name="_Toc184313283"/>
      <w:bookmarkEnd w:id="111"/>
      <w:bookmarkStart w:id="112" w:name="_Toc184308074"/>
      <w:bookmarkEnd w:id="112"/>
      <w:bookmarkStart w:id="113" w:name="_Toc184313271"/>
      <w:bookmarkEnd w:id="113"/>
      <w:bookmarkStart w:id="114" w:name="_Toc184312138"/>
      <w:bookmarkEnd w:id="114"/>
      <w:bookmarkStart w:id="115" w:name="_Toc184312115"/>
      <w:bookmarkEnd w:id="115"/>
      <w:bookmarkStart w:id="116" w:name="_Toc184312067"/>
      <w:bookmarkEnd w:id="116"/>
      <w:bookmarkStart w:id="117" w:name="_Toc184310343"/>
      <w:bookmarkEnd w:id="117"/>
      <w:bookmarkStart w:id="118" w:name="_Toc184308094"/>
      <w:bookmarkEnd w:id="118"/>
      <w:bookmarkStart w:id="119" w:name="_Toc184312078"/>
      <w:bookmarkEnd w:id="119"/>
      <w:bookmarkStart w:id="120" w:name="_Toc184310321"/>
      <w:bookmarkEnd w:id="120"/>
      <w:bookmarkStart w:id="121" w:name="_Toc184314460"/>
      <w:bookmarkEnd w:id="121"/>
      <w:bookmarkStart w:id="122" w:name="_Toc184310302"/>
      <w:bookmarkEnd w:id="122"/>
      <w:bookmarkStart w:id="123" w:name="_Toc184312074"/>
      <w:bookmarkEnd w:id="123"/>
      <w:bookmarkStart w:id="124" w:name="_Toc184310299"/>
      <w:bookmarkEnd w:id="124"/>
      <w:bookmarkStart w:id="125" w:name="_Toc184308078"/>
      <w:bookmarkEnd w:id="125"/>
      <w:bookmarkStart w:id="126" w:name="_Toc184314451"/>
      <w:bookmarkEnd w:id="126"/>
      <w:bookmarkStart w:id="127" w:name="_Toc184313275"/>
      <w:bookmarkEnd w:id="127"/>
      <w:bookmarkStart w:id="128" w:name="_Toc184310337"/>
      <w:bookmarkEnd w:id="128"/>
      <w:bookmarkStart w:id="129" w:name="_Toc184314418"/>
      <w:bookmarkEnd w:id="129"/>
      <w:bookmarkStart w:id="130" w:name="_Toc184310338"/>
      <w:bookmarkEnd w:id="130"/>
      <w:bookmarkStart w:id="131" w:name="_Toc184312087"/>
      <w:bookmarkEnd w:id="131"/>
      <w:bookmarkStart w:id="132" w:name="_Toc184312076"/>
      <w:bookmarkEnd w:id="132"/>
      <w:bookmarkStart w:id="133" w:name="_Toc184314422"/>
      <w:bookmarkEnd w:id="133"/>
      <w:bookmarkStart w:id="134" w:name="_Toc184310336"/>
      <w:bookmarkEnd w:id="134"/>
      <w:bookmarkStart w:id="135" w:name="_Toc184313310"/>
      <w:bookmarkEnd w:id="135"/>
      <w:bookmarkStart w:id="136" w:name="_Toc184308093"/>
      <w:bookmarkEnd w:id="136"/>
      <w:bookmarkStart w:id="137" w:name="_Toc184313262"/>
      <w:bookmarkEnd w:id="137"/>
      <w:bookmarkStart w:id="138" w:name="_Toc184308101"/>
      <w:bookmarkEnd w:id="138"/>
      <w:bookmarkStart w:id="139" w:name="_Toc184314428"/>
      <w:bookmarkEnd w:id="139"/>
      <w:bookmarkStart w:id="140" w:name="_Toc184310328"/>
      <w:bookmarkEnd w:id="140"/>
      <w:bookmarkStart w:id="141" w:name="_Toc184308092"/>
      <w:bookmarkEnd w:id="141"/>
      <w:bookmarkStart w:id="142" w:name="_Toc184314412"/>
      <w:bookmarkEnd w:id="142"/>
      <w:bookmarkStart w:id="143" w:name="_Toc184313277"/>
      <w:bookmarkEnd w:id="143"/>
      <w:bookmarkStart w:id="144" w:name="_Toc184313264"/>
      <w:bookmarkEnd w:id="144"/>
      <w:bookmarkStart w:id="145" w:name="_Toc184308055"/>
      <w:bookmarkEnd w:id="145"/>
      <w:bookmarkStart w:id="146" w:name="_Toc184312099"/>
      <w:bookmarkEnd w:id="146"/>
      <w:bookmarkStart w:id="147" w:name="_Toc184308056"/>
      <w:bookmarkEnd w:id="147"/>
      <w:bookmarkStart w:id="148" w:name="_Toc184308061"/>
      <w:bookmarkEnd w:id="148"/>
      <w:bookmarkStart w:id="149" w:name="_Toc184313251"/>
      <w:bookmarkEnd w:id="149"/>
      <w:bookmarkStart w:id="150" w:name="_Toc184308083"/>
      <w:bookmarkEnd w:id="150"/>
      <w:bookmarkStart w:id="151" w:name="_Toc184313238"/>
      <w:bookmarkEnd w:id="151"/>
      <w:bookmarkStart w:id="152" w:name="_Toc184313298"/>
      <w:bookmarkEnd w:id="152"/>
      <w:bookmarkStart w:id="153" w:name="_Toc184313288"/>
      <w:bookmarkEnd w:id="153"/>
      <w:bookmarkStart w:id="154" w:name="_Toc184314425"/>
      <w:bookmarkEnd w:id="154"/>
      <w:bookmarkStart w:id="155" w:name="_Toc184312081"/>
      <w:bookmarkEnd w:id="155"/>
      <w:bookmarkStart w:id="156" w:name="_Toc184312133"/>
      <w:bookmarkEnd w:id="156"/>
      <w:bookmarkStart w:id="157" w:name="_Toc184310341"/>
      <w:bookmarkEnd w:id="157"/>
      <w:bookmarkStart w:id="158" w:name="_Toc184313302"/>
      <w:bookmarkEnd w:id="158"/>
      <w:bookmarkStart w:id="159" w:name="_Toc184310285"/>
      <w:bookmarkEnd w:id="159"/>
      <w:bookmarkStart w:id="160" w:name="_Toc184308079"/>
      <w:bookmarkEnd w:id="160"/>
      <w:bookmarkStart w:id="161" w:name="_Toc184310281"/>
      <w:bookmarkEnd w:id="161"/>
      <w:bookmarkStart w:id="162" w:name="_Toc184310288"/>
      <w:bookmarkEnd w:id="162"/>
      <w:bookmarkStart w:id="163" w:name="_Toc184314459"/>
      <w:bookmarkEnd w:id="163"/>
      <w:bookmarkStart w:id="164" w:name="_Toc184313301"/>
      <w:bookmarkEnd w:id="164"/>
      <w:bookmarkStart w:id="165" w:name="_Toc184314444"/>
      <w:bookmarkEnd w:id="165"/>
      <w:bookmarkStart w:id="166" w:name="_Toc184310284"/>
      <w:bookmarkEnd w:id="166"/>
      <w:bookmarkStart w:id="167" w:name="_Toc184308081"/>
      <w:bookmarkEnd w:id="167"/>
      <w:bookmarkStart w:id="168" w:name="_Toc184314441"/>
      <w:bookmarkEnd w:id="168"/>
      <w:bookmarkStart w:id="169" w:name="_Toc184308104"/>
      <w:bookmarkEnd w:id="169"/>
      <w:bookmarkStart w:id="170" w:name="_Toc184313278"/>
      <w:bookmarkEnd w:id="170"/>
      <w:bookmarkStart w:id="171" w:name="_Toc184310329"/>
      <w:bookmarkEnd w:id="171"/>
      <w:bookmarkStart w:id="172" w:name="_Toc184313254"/>
      <w:bookmarkEnd w:id="172"/>
      <w:bookmarkStart w:id="173" w:name="_Toc184314443"/>
      <w:bookmarkEnd w:id="173"/>
      <w:bookmarkStart w:id="174" w:name="_Toc184310344"/>
      <w:bookmarkEnd w:id="174"/>
      <w:bookmarkStart w:id="175" w:name="_Toc184314465"/>
      <w:bookmarkEnd w:id="175"/>
      <w:bookmarkStart w:id="176" w:name="_Toc184312096"/>
      <w:bookmarkEnd w:id="176"/>
      <w:bookmarkStart w:id="177" w:name="_Toc184308065"/>
      <w:bookmarkEnd w:id="177"/>
      <w:bookmarkStart w:id="178" w:name="_Toc184312123"/>
      <w:bookmarkEnd w:id="178"/>
      <w:bookmarkStart w:id="179" w:name="_Toc184313242"/>
      <w:bookmarkEnd w:id="179"/>
      <w:bookmarkStart w:id="180" w:name="_Toc184312093"/>
      <w:bookmarkEnd w:id="180"/>
      <w:bookmarkStart w:id="181" w:name="_Toc184313246"/>
      <w:bookmarkEnd w:id="181"/>
      <w:bookmarkStart w:id="182" w:name="_Toc184310311"/>
      <w:bookmarkEnd w:id="182"/>
      <w:bookmarkStart w:id="183" w:name="_Toc184312091"/>
      <w:bookmarkEnd w:id="183"/>
      <w:bookmarkStart w:id="184" w:name="_Toc184314427"/>
      <w:bookmarkEnd w:id="184"/>
      <w:bookmarkStart w:id="185" w:name="_Toc184313265"/>
      <w:bookmarkEnd w:id="185"/>
      <w:bookmarkStart w:id="186" w:name="_Toc184310319"/>
      <w:bookmarkEnd w:id="186"/>
      <w:bookmarkStart w:id="187" w:name="_Toc184312139"/>
      <w:bookmarkEnd w:id="187"/>
      <w:bookmarkStart w:id="188" w:name="_Toc184310298"/>
      <w:bookmarkEnd w:id="188"/>
      <w:bookmarkStart w:id="189" w:name="_Toc184312136"/>
      <w:bookmarkEnd w:id="189"/>
      <w:bookmarkStart w:id="190" w:name="_Toc184310331"/>
      <w:bookmarkEnd w:id="190"/>
      <w:bookmarkStart w:id="191" w:name="_Toc184312120"/>
      <w:bookmarkEnd w:id="191"/>
      <w:bookmarkStart w:id="192" w:name="_Toc184314437"/>
      <w:bookmarkEnd w:id="192"/>
      <w:bookmarkStart w:id="193" w:name="_Toc184314466"/>
      <w:bookmarkEnd w:id="193"/>
      <w:bookmarkStart w:id="194" w:name="_Toc184308095"/>
      <w:bookmarkEnd w:id="194"/>
      <w:bookmarkStart w:id="195" w:name="_Toc184310327"/>
      <w:bookmarkEnd w:id="195"/>
      <w:bookmarkStart w:id="196" w:name="_Toc184308067"/>
      <w:bookmarkEnd w:id="196"/>
      <w:bookmarkStart w:id="197" w:name="_Toc184310334"/>
      <w:bookmarkEnd w:id="197"/>
      <w:bookmarkStart w:id="198" w:name="_Toc184314463"/>
      <w:bookmarkEnd w:id="198"/>
      <w:bookmarkStart w:id="199" w:name="_Toc184310335"/>
      <w:bookmarkEnd w:id="199"/>
      <w:bookmarkStart w:id="200" w:name="_Toc184313258"/>
      <w:bookmarkEnd w:id="200"/>
      <w:bookmarkStart w:id="201" w:name="_Toc184310293"/>
      <w:bookmarkEnd w:id="201"/>
      <w:bookmarkStart w:id="202" w:name="_Toc184310272"/>
      <w:bookmarkEnd w:id="202"/>
      <w:bookmarkStart w:id="203" w:name="_Toc184310274"/>
      <w:bookmarkEnd w:id="203"/>
      <w:bookmarkStart w:id="204" w:name="_Toc184313241"/>
      <w:bookmarkEnd w:id="204"/>
      <w:bookmarkStart w:id="205" w:name="_Toc184312130"/>
      <w:bookmarkEnd w:id="205"/>
      <w:bookmarkStart w:id="206" w:name="_Toc184313305"/>
      <w:bookmarkEnd w:id="206"/>
      <w:bookmarkStart w:id="207" w:name="_Toc184308075"/>
      <w:bookmarkEnd w:id="207"/>
      <w:bookmarkStart w:id="208" w:name="_Toc184313308"/>
      <w:bookmarkEnd w:id="208"/>
      <w:bookmarkStart w:id="209" w:name="_Toc184314432"/>
      <w:bookmarkEnd w:id="209"/>
      <w:bookmarkStart w:id="210" w:name="_Toc184312103"/>
      <w:bookmarkEnd w:id="210"/>
      <w:bookmarkStart w:id="211" w:name="_Toc184313304"/>
      <w:bookmarkEnd w:id="211"/>
      <w:bookmarkStart w:id="212" w:name="_Toc184313280"/>
      <w:bookmarkEnd w:id="212"/>
      <w:bookmarkStart w:id="213" w:name="_Toc184312135"/>
      <w:bookmarkEnd w:id="213"/>
      <w:bookmarkStart w:id="214" w:name="_Toc184308051"/>
      <w:bookmarkEnd w:id="214"/>
      <w:bookmarkStart w:id="215" w:name="_Toc184312107"/>
      <w:bookmarkEnd w:id="215"/>
      <w:bookmarkStart w:id="216" w:name="_Toc184313309"/>
      <w:bookmarkEnd w:id="216"/>
      <w:bookmarkStart w:id="217" w:name="_Toc184313284"/>
      <w:bookmarkEnd w:id="217"/>
      <w:bookmarkStart w:id="218" w:name="_Toc184314457"/>
      <w:bookmarkEnd w:id="218"/>
      <w:bookmarkStart w:id="219" w:name="_Toc184314461"/>
      <w:bookmarkEnd w:id="219"/>
      <w:bookmarkStart w:id="220" w:name="_Toc184308057"/>
      <w:bookmarkEnd w:id="220"/>
      <w:bookmarkStart w:id="221" w:name="_Toc184314416"/>
      <w:bookmarkEnd w:id="221"/>
      <w:bookmarkStart w:id="222" w:name="_Toc184313276"/>
      <w:bookmarkEnd w:id="222"/>
      <w:bookmarkStart w:id="223" w:name="_Toc184314453"/>
      <w:bookmarkEnd w:id="223"/>
      <w:bookmarkStart w:id="224" w:name="_Toc184310339"/>
      <w:bookmarkEnd w:id="224"/>
      <w:bookmarkStart w:id="225" w:name="_Toc184308037"/>
      <w:bookmarkEnd w:id="225"/>
      <w:bookmarkStart w:id="226" w:name="_Toc184312101"/>
      <w:bookmarkEnd w:id="226"/>
      <w:bookmarkStart w:id="227" w:name="_Toc184310313"/>
      <w:bookmarkEnd w:id="227"/>
      <w:bookmarkStart w:id="228" w:name="_Toc184310304"/>
      <w:bookmarkEnd w:id="228"/>
      <w:bookmarkStart w:id="229" w:name="_Toc184312094"/>
      <w:bookmarkEnd w:id="229"/>
      <w:bookmarkStart w:id="230" w:name="_Toc184308076"/>
      <w:bookmarkEnd w:id="230"/>
      <w:bookmarkStart w:id="231" w:name="_Toc184312077"/>
      <w:bookmarkEnd w:id="231"/>
      <w:bookmarkStart w:id="232" w:name="_Toc184308060"/>
      <w:bookmarkEnd w:id="232"/>
      <w:bookmarkStart w:id="233" w:name="_Toc184310296"/>
      <w:bookmarkEnd w:id="233"/>
      <w:bookmarkStart w:id="234" w:name="_Toc184313243"/>
      <w:bookmarkEnd w:id="234"/>
      <w:bookmarkStart w:id="235" w:name="_Toc184314417"/>
      <w:bookmarkEnd w:id="235"/>
      <w:bookmarkStart w:id="236" w:name="_Toc184313267"/>
      <w:bookmarkEnd w:id="236"/>
      <w:bookmarkStart w:id="237" w:name="_Toc184313294"/>
      <w:bookmarkEnd w:id="237"/>
      <w:bookmarkStart w:id="238" w:name="_Toc184308043"/>
      <w:bookmarkEnd w:id="238"/>
      <w:bookmarkStart w:id="239" w:name="_Toc184314473"/>
      <w:bookmarkEnd w:id="239"/>
      <w:bookmarkStart w:id="240" w:name="_Toc184312069"/>
      <w:bookmarkEnd w:id="240"/>
      <w:bookmarkStart w:id="241" w:name="_Toc184313257"/>
      <w:bookmarkEnd w:id="241"/>
      <w:bookmarkStart w:id="242" w:name="_Toc184310317"/>
      <w:bookmarkEnd w:id="242"/>
      <w:bookmarkStart w:id="243" w:name="_Toc184310276"/>
      <w:bookmarkEnd w:id="243"/>
      <w:bookmarkStart w:id="244" w:name="_Toc184313244"/>
      <w:bookmarkEnd w:id="244"/>
      <w:bookmarkStart w:id="245" w:name="_Toc184312070"/>
      <w:bookmarkEnd w:id="245"/>
      <w:bookmarkStart w:id="246" w:name="_Toc184314448"/>
      <w:bookmarkEnd w:id="246"/>
      <w:bookmarkStart w:id="247" w:name="_Toc184308096"/>
      <w:bookmarkEnd w:id="247"/>
      <w:bookmarkStart w:id="248" w:name="_Toc184308080"/>
      <w:bookmarkEnd w:id="248"/>
      <w:bookmarkStart w:id="249" w:name="_Toc184313273"/>
      <w:bookmarkEnd w:id="249"/>
      <w:bookmarkStart w:id="250" w:name="_Toc184312110"/>
      <w:bookmarkEnd w:id="250"/>
      <w:bookmarkStart w:id="251" w:name="_Toc184310306"/>
      <w:bookmarkEnd w:id="251"/>
      <w:bookmarkStart w:id="252" w:name="_Toc184310283"/>
      <w:bookmarkEnd w:id="252"/>
      <w:bookmarkStart w:id="253" w:name="_Toc184314423"/>
      <w:bookmarkEnd w:id="253"/>
      <w:bookmarkStart w:id="254" w:name="_Toc184313248"/>
      <w:bookmarkEnd w:id="254"/>
      <w:bookmarkStart w:id="255" w:name="_Toc184312126"/>
      <w:bookmarkEnd w:id="255"/>
      <w:bookmarkStart w:id="256" w:name="_Toc184312106"/>
      <w:bookmarkEnd w:id="256"/>
      <w:bookmarkStart w:id="257" w:name="_Toc184308087"/>
      <w:bookmarkEnd w:id="257"/>
      <w:bookmarkStart w:id="258" w:name="_Toc184313289"/>
      <w:bookmarkEnd w:id="258"/>
      <w:bookmarkStart w:id="259" w:name="_Toc184314433"/>
      <w:bookmarkEnd w:id="259"/>
      <w:bookmarkStart w:id="260" w:name="_Toc184313252"/>
      <w:bookmarkEnd w:id="260"/>
      <w:bookmarkStart w:id="261" w:name="_Toc184308099"/>
      <w:bookmarkEnd w:id="261"/>
      <w:bookmarkStart w:id="262" w:name="_Toc184310273"/>
      <w:bookmarkEnd w:id="262"/>
      <w:bookmarkStart w:id="263" w:name="_Toc184310320"/>
      <w:bookmarkEnd w:id="263"/>
      <w:bookmarkStart w:id="264" w:name="_Toc184312079"/>
      <w:bookmarkEnd w:id="264"/>
      <w:bookmarkStart w:id="265" w:name="_Toc184313245"/>
      <w:bookmarkEnd w:id="265"/>
      <w:bookmarkStart w:id="266" w:name="_Toc184312104"/>
      <w:bookmarkEnd w:id="266"/>
      <w:bookmarkStart w:id="267" w:name="_Toc184314450"/>
      <w:bookmarkEnd w:id="267"/>
      <w:bookmarkStart w:id="268" w:name="_Toc184314464"/>
      <w:bookmarkEnd w:id="268"/>
      <w:bookmarkStart w:id="269" w:name="_Toc184313239"/>
      <w:bookmarkEnd w:id="269"/>
      <w:bookmarkStart w:id="270" w:name="_Toc184310297"/>
      <w:bookmarkEnd w:id="270"/>
      <w:bookmarkStart w:id="271" w:name="_Toc184308038"/>
      <w:bookmarkEnd w:id="271"/>
      <w:bookmarkStart w:id="272" w:name="_Toc184313270"/>
      <w:bookmarkEnd w:id="272"/>
      <w:bookmarkStart w:id="273" w:name="_Toc184313259"/>
      <w:bookmarkEnd w:id="273"/>
      <w:bookmarkStart w:id="274" w:name="_Toc184308059"/>
      <w:bookmarkEnd w:id="274"/>
      <w:bookmarkStart w:id="275" w:name="_Toc184314434"/>
      <w:bookmarkEnd w:id="275"/>
      <w:bookmarkStart w:id="276" w:name="_Toc184312111"/>
      <w:bookmarkEnd w:id="276"/>
      <w:bookmarkStart w:id="277" w:name="_Toc184312095"/>
      <w:bookmarkEnd w:id="277"/>
      <w:bookmarkStart w:id="278" w:name="_Toc184310310"/>
      <w:bookmarkEnd w:id="278"/>
      <w:bookmarkStart w:id="279" w:name="_Toc184313282"/>
      <w:bookmarkEnd w:id="279"/>
      <w:bookmarkStart w:id="280" w:name="_Toc184312068"/>
      <w:bookmarkEnd w:id="280"/>
      <w:bookmarkStart w:id="281" w:name="_Toc184313269"/>
      <w:bookmarkEnd w:id="281"/>
      <w:bookmarkStart w:id="282" w:name="_Toc184308071"/>
      <w:bookmarkEnd w:id="282"/>
      <w:bookmarkStart w:id="283" w:name="_Toc184308100"/>
      <w:bookmarkEnd w:id="283"/>
      <w:bookmarkStart w:id="284" w:name="_Toc184310333"/>
      <w:bookmarkEnd w:id="284"/>
      <w:bookmarkStart w:id="285" w:name="_Toc184310275"/>
      <w:bookmarkEnd w:id="285"/>
      <w:bookmarkStart w:id="286" w:name="_Toc184310303"/>
      <w:bookmarkEnd w:id="286"/>
      <w:bookmarkStart w:id="287" w:name="_Toc184314455"/>
      <w:bookmarkEnd w:id="287"/>
      <w:bookmarkStart w:id="288" w:name="_Toc184314474"/>
      <w:bookmarkEnd w:id="288"/>
      <w:bookmarkStart w:id="289" w:name="_Toc184314458"/>
      <w:bookmarkEnd w:id="289"/>
      <w:bookmarkStart w:id="290" w:name="_Toc184314431"/>
      <w:bookmarkEnd w:id="290"/>
      <w:bookmarkStart w:id="291" w:name="_Toc184308048"/>
      <w:bookmarkEnd w:id="291"/>
      <w:bookmarkStart w:id="292" w:name="_Toc184312083"/>
      <w:bookmarkEnd w:id="292"/>
      <w:bookmarkStart w:id="293" w:name="_Toc184308062"/>
      <w:bookmarkEnd w:id="293"/>
      <w:bookmarkStart w:id="294" w:name="_Toc184314445"/>
      <w:bookmarkEnd w:id="294"/>
      <w:bookmarkStart w:id="295" w:name="_Toc184313295"/>
      <w:bookmarkEnd w:id="295"/>
      <w:bookmarkStart w:id="296" w:name="_Toc184313299"/>
      <w:bookmarkEnd w:id="296"/>
      <w:bookmarkStart w:id="297" w:name="_Toc184312124"/>
      <w:bookmarkEnd w:id="297"/>
      <w:bookmarkStart w:id="298" w:name="_Toc184314480"/>
      <w:bookmarkEnd w:id="298"/>
      <w:bookmarkStart w:id="299" w:name="_Toc184310330"/>
      <w:bookmarkEnd w:id="299"/>
      <w:bookmarkStart w:id="300" w:name="_Toc184312128"/>
      <w:bookmarkEnd w:id="300"/>
      <w:bookmarkStart w:id="301" w:name="_Toc184312089"/>
      <w:bookmarkEnd w:id="301"/>
      <w:bookmarkStart w:id="302" w:name="_Toc184310279"/>
      <w:bookmarkEnd w:id="302"/>
      <w:bookmarkStart w:id="303" w:name="_Toc184310286"/>
      <w:bookmarkEnd w:id="303"/>
      <w:bookmarkStart w:id="304" w:name="_Toc184312134"/>
      <w:bookmarkEnd w:id="304"/>
      <w:bookmarkStart w:id="305" w:name="_Toc184308053"/>
      <w:bookmarkEnd w:id="305"/>
      <w:bookmarkStart w:id="306" w:name="_Toc184310322"/>
      <w:bookmarkEnd w:id="306"/>
      <w:bookmarkStart w:id="307" w:name="_Toc184314478"/>
      <w:bookmarkEnd w:id="307"/>
      <w:bookmarkStart w:id="308" w:name="_Toc184312109"/>
      <w:bookmarkEnd w:id="308"/>
      <w:bookmarkStart w:id="309" w:name="_Toc184314449"/>
      <w:bookmarkEnd w:id="309"/>
      <w:bookmarkStart w:id="310" w:name="_Toc184313247"/>
      <w:bookmarkEnd w:id="310"/>
      <w:bookmarkStart w:id="311" w:name="_Toc184310280"/>
      <w:bookmarkEnd w:id="311"/>
      <w:bookmarkStart w:id="312" w:name="_Toc184314471"/>
      <w:bookmarkEnd w:id="312"/>
      <w:bookmarkStart w:id="313" w:name="_Toc184312082"/>
      <w:bookmarkEnd w:id="313"/>
      <w:bookmarkStart w:id="314" w:name="_Toc184310309"/>
      <w:bookmarkEnd w:id="314"/>
      <w:bookmarkStart w:id="315" w:name="_Toc184313274"/>
      <w:bookmarkEnd w:id="315"/>
      <w:bookmarkStart w:id="316" w:name="_Toc184308036"/>
      <w:bookmarkEnd w:id="316"/>
      <w:bookmarkStart w:id="317" w:name="_Toc184312073"/>
      <w:bookmarkEnd w:id="317"/>
      <w:bookmarkStart w:id="318" w:name="_Toc184314430"/>
      <w:bookmarkEnd w:id="318"/>
      <w:bookmarkStart w:id="319" w:name="_Toc184312086"/>
      <w:bookmarkEnd w:id="319"/>
      <w:bookmarkStart w:id="320" w:name="_Toc184313279"/>
      <w:bookmarkEnd w:id="320"/>
      <w:bookmarkStart w:id="321" w:name="_Toc184314456"/>
      <w:bookmarkEnd w:id="321"/>
      <w:bookmarkStart w:id="322" w:name="_Toc184314424"/>
      <w:bookmarkEnd w:id="322"/>
      <w:bookmarkStart w:id="323" w:name="_Toc184314472"/>
      <w:bookmarkEnd w:id="323"/>
      <w:bookmarkStart w:id="324" w:name="_Toc184308052"/>
      <w:bookmarkEnd w:id="324"/>
      <w:bookmarkStart w:id="325" w:name="_Toc184308072"/>
      <w:bookmarkEnd w:id="325"/>
      <w:bookmarkStart w:id="326" w:name="_Toc184308073"/>
      <w:bookmarkEnd w:id="326"/>
      <w:bookmarkStart w:id="327" w:name="_Toc184312071"/>
      <w:bookmarkEnd w:id="327"/>
      <w:bookmarkStart w:id="328" w:name="_Toc184312113"/>
      <w:bookmarkEnd w:id="328"/>
      <w:bookmarkStart w:id="329" w:name="_Toc184314476"/>
      <w:bookmarkEnd w:id="329"/>
      <w:bookmarkStart w:id="330" w:name="_Toc184308098"/>
      <w:bookmarkEnd w:id="330"/>
      <w:bookmarkStart w:id="331" w:name="_Toc184312129"/>
      <w:bookmarkEnd w:id="331"/>
      <w:bookmarkStart w:id="332" w:name="_Toc184308047"/>
      <w:bookmarkEnd w:id="332"/>
      <w:bookmarkStart w:id="333" w:name="_Toc184312088"/>
      <w:bookmarkEnd w:id="333"/>
      <w:bookmarkStart w:id="334" w:name="_Toc184314421"/>
      <w:bookmarkEnd w:id="334"/>
      <w:bookmarkStart w:id="335" w:name="_Toc184313285"/>
      <w:bookmarkEnd w:id="335"/>
      <w:bookmarkStart w:id="336" w:name="_Toc184314414"/>
      <w:bookmarkEnd w:id="336"/>
      <w:bookmarkStart w:id="337" w:name="_Toc184312097"/>
      <w:bookmarkEnd w:id="337"/>
      <w:bookmarkStart w:id="338" w:name="_Toc184313240"/>
      <w:bookmarkEnd w:id="338"/>
      <w:bookmarkStart w:id="339" w:name="_Toc184312114"/>
      <w:bookmarkEnd w:id="339"/>
      <w:bookmarkStart w:id="340" w:name="_Toc184314413"/>
      <w:bookmarkEnd w:id="340"/>
      <w:bookmarkStart w:id="341" w:name="_Toc184313263"/>
      <w:bookmarkEnd w:id="341"/>
      <w:bookmarkStart w:id="342" w:name="_Toc184308088"/>
      <w:bookmarkEnd w:id="342"/>
      <w:bookmarkStart w:id="343" w:name="_Toc184313297"/>
      <w:bookmarkEnd w:id="343"/>
      <w:bookmarkStart w:id="344" w:name="_Toc184310325"/>
      <w:bookmarkEnd w:id="344"/>
      <w:bookmarkStart w:id="345" w:name="_Toc184310308"/>
      <w:bookmarkEnd w:id="345"/>
      <w:bookmarkStart w:id="346" w:name="_Toc184312098"/>
      <w:bookmarkEnd w:id="346"/>
      <w:bookmarkStart w:id="347" w:name="_Toc184313303"/>
      <w:bookmarkEnd w:id="347"/>
      <w:bookmarkStart w:id="348" w:name="_Toc184308107"/>
      <w:bookmarkEnd w:id="348"/>
      <w:bookmarkStart w:id="349" w:name="_Toc184313253"/>
      <w:bookmarkEnd w:id="349"/>
      <w:bookmarkStart w:id="350" w:name="_Toc184308108"/>
      <w:bookmarkEnd w:id="350"/>
      <w:bookmarkStart w:id="351" w:name="_Toc184310340"/>
      <w:bookmarkEnd w:id="351"/>
      <w:bookmarkStart w:id="352" w:name="_Toc184312137"/>
      <w:bookmarkEnd w:id="352"/>
      <w:bookmarkStart w:id="353" w:name="_Toc184312132"/>
      <w:bookmarkEnd w:id="353"/>
      <w:bookmarkStart w:id="354" w:name="_Toc184312090"/>
      <w:bookmarkEnd w:id="354"/>
      <w:bookmarkStart w:id="355" w:name="_Toc184310282"/>
      <w:bookmarkEnd w:id="355"/>
      <w:bookmarkStart w:id="356" w:name="_Toc184310332"/>
      <w:bookmarkEnd w:id="356"/>
      <w:bookmarkStart w:id="357" w:name="_Toc184313250"/>
      <w:bookmarkEnd w:id="357"/>
      <w:bookmarkStart w:id="358" w:name="_Toc184312121"/>
      <w:bookmarkEnd w:id="358"/>
      <w:bookmarkStart w:id="359" w:name="_Toc184314419"/>
      <w:bookmarkEnd w:id="359"/>
      <w:bookmarkStart w:id="360" w:name="_Toc184308085"/>
      <w:bookmarkEnd w:id="360"/>
      <w:bookmarkStart w:id="361" w:name="_Toc184312127"/>
      <w:bookmarkEnd w:id="361"/>
      <w:bookmarkStart w:id="362" w:name="_Toc184308040"/>
      <w:bookmarkEnd w:id="362"/>
      <w:bookmarkStart w:id="363" w:name="_Toc184312117"/>
      <w:bookmarkEnd w:id="363"/>
      <w:bookmarkStart w:id="364" w:name="_Toc184308103"/>
      <w:bookmarkEnd w:id="364"/>
      <w:bookmarkStart w:id="365" w:name="_Toc184310307"/>
      <w:bookmarkEnd w:id="365"/>
      <w:bookmarkStart w:id="366" w:name="_Toc184313290"/>
      <w:bookmarkEnd w:id="366"/>
      <w:bookmarkStart w:id="367" w:name="_Toc184313272"/>
      <w:bookmarkEnd w:id="367"/>
      <w:bookmarkStart w:id="368" w:name="_Toc184313256"/>
      <w:bookmarkEnd w:id="368"/>
      <w:bookmarkStart w:id="369" w:name="_Toc184310290"/>
      <w:bookmarkEnd w:id="369"/>
      <w:bookmarkStart w:id="370" w:name="_Toc184308054"/>
      <w:bookmarkEnd w:id="370"/>
      <w:bookmarkStart w:id="371" w:name="_Toc184314420"/>
      <w:bookmarkEnd w:id="371"/>
      <w:bookmarkStart w:id="372" w:name="_Toc184312072"/>
      <w:bookmarkEnd w:id="372"/>
      <w:bookmarkStart w:id="373" w:name="_Toc184310294"/>
      <w:bookmarkEnd w:id="373"/>
      <w:bookmarkStart w:id="374" w:name="_Toc184308097"/>
      <w:bookmarkEnd w:id="374"/>
      <w:bookmarkStart w:id="375" w:name="_Toc184314467"/>
      <w:bookmarkEnd w:id="375"/>
      <w:bookmarkStart w:id="376" w:name="_Toc184310342"/>
      <w:bookmarkEnd w:id="376"/>
      <w:bookmarkStart w:id="377" w:name="_Toc184308049"/>
      <w:bookmarkEnd w:id="377"/>
      <w:bookmarkStart w:id="378" w:name="_Toc184308058"/>
      <w:bookmarkEnd w:id="378"/>
      <w:bookmarkStart w:id="379" w:name="_Toc184313266"/>
      <w:bookmarkEnd w:id="379"/>
      <w:bookmarkStart w:id="380" w:name="_Toc184310289"/>
      <w:bookmarkEnd w:id="380"/>
      <w:bookmarkStart w:id="381" w:name="_Toc184310314"/>
      <w:bookmarkEnd w:id="381"/>
      <w:bookmarkStart w:id="382" w:name="_Toc184308066"/>
      <w:bookmarkEnd w:id="382"/>
      <w:bookmarkStart w:id="383" w:name="_Toc184308084"/>
      <w:bookmarkEnd w:id="383"/>
      <w:bookmarkStart w:id="384" w:name="_Toc184314482"/>
      <w:bookmarkEnd w:id="384"/>
      <w:bookmarkStart w:id="385" w:name="_Toc184308069"/>
      <w:bookmarkEnd w:id="385"/>
      <w:bookmarkStart w:id="386" w:name="_Toc184310316"/>
      <w:bookmarkEnd w:id="386"/>
      <w:bookmarkStart w:id="387" w:name="_Toc184308105"/>
      <w:bookmarkEnd w:id="387"/>
      <w:bookmarkStart w:id="388" w:name="_Toc184314462"/>
      <w:bookmarkEnd w:id="388"/>
      <w:bookmarkStart w:id="389" w:name="_Toc184314479"/>
      <w:bookmarkEnd w:id="389"/>
      <w:bookmarkStart w:id="390" w:name="_Toc184312125"/>
      <w:bookmarkEnd w:id="390"/>
      <w:bookmarkStart w:id="391" w:name="_Toc184308090"/>
      <w:bookmarkEnd w:id="391"/>
      <w:bookmarkStart w:id="392" w:name="_Toc184310277"/>
      <w:bookmarkEnd w:id="392"/>
      <w:bookmarkStart w:id="393" w:name="_Toc184312116"/>
      <w:bookmarkEnd w:id="393"/>
      <w:bookmarkStart w:id="394" w:name="_Toc184314468"/>
      <w:bookmarkEnd w:id="394"/>
      <w:bookmarkStart w:id="395" w:name="_Toc184314469"/>
      <w:bookmarkEnd w:id="395"/>
      <w:bookmarkStart w:id="396" w:name="_Toc184314452"/>
      <w:bookmarkEnd w:id="396"/>
      <w:bookmarkStart w:id="397" w:name="_Toc184314475"/>
      <w:bookmarkEnd w:id="397"/>
      <w:bookmarkStart w:id="398" w:name="_Toc184308089"/>
      <w:bookmarkEnd w:id="398"/>
      <w:bookmarkStart w:id="399" w:name="_Toc184308077"/>
      <w:bookmarkEnd w:id="399"/>
      <w:bookmarkStart w:id="400" w:name="_Toc184310291"/>
      <w:bookmarkEnd w:id="400"/>
      <w:bookmarkStart w:id="401" w:name="_Toc184308046"/>
      <w:bookmarkEnd w:id="401"/>
      <w:bookmarkStart w:id="402" w:name="_Toc184310305"/>
      <w:bookmarkEnd w:id="402"/>
      <w:bookmarkStart w:id="403" w:name="_Toc184310326"/>
      <w:bookmarkEnd w:id="403"/>
      <w:bookmarkStart w:id="404" w:name="_Toc184308102"/>
      <w:bookmarkEnd w:id="404"/>
      <w:r>
        <w:rPr>
          <w:rFonts w:hint="eastAsia" w:ascii="仿宋" w:hAnsi="仿宋" w:eastAsia="仿宋" w:cs="仿宋"/>
          <w:b/>
          <w:color w:val="auto"/>
          <w:sz w:val="36"/>
          <w:szCs w:val="36"/>
        </w:rPr>
        <w:t>交易办法</w:t>
      </w:r>
    </w:p>
    <w:p w14:paraId="408C826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交易办法前附表</w:t>
      </w:r>
    </w:p>
    <w:p w14:paraId="1C7A09F7">
      <w:pPr>
        <w:adjustRightInd/>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1、商务技术评分表（90分）</w:t>
      </w:r>
    </w:p>
    <w:p w14:paraId="4F0868E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商务资信（</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p>
    <w:tbl>
      <w:tblPr>
        <w:tblStyle w:val="60"/>
        <w:tblW w:w="9025" w:type="dxa"/>
        <w:jc w:val="center"/>
        <w:tblLayout w:type="fixed"/>
        <w:tblCellMar>
          <w:top w:w="0" w:type="dxa"/>
          <w:left w:w="108" w:type="dxa"/>
          <w:bottom w:w="0" w:type="dxa"/>
          <w:right w:w="108" w:type="dxa"/>
        </w:tblCellMar>
      </w:tblPr>
      <w:tblGrid>
        <w:gridCol w:w="671"/>
        <w:gridCol w:w="604"/>
        <w:gridCol w:w="5936"/>
        <w:gridCol w:w="868"/>
        <w:gridCol w:w="946"/>
      </w:tblGrid>
      <w:tr w14:paraId="0C9AD4E0">
        <w:tblPrEx>
          <w:tblCellMar>
            <w:top w:w="0" w:type="dxa"/>
            <w:left w:w="108" w:type="dxa"/>
            <w:bottom w:w="0" w:type="dxa"/>
            <w:right w:w="108" w:type="dxa"/>
          </w:tblCellMar>
        </w:tblPrEx>
        <w:trPr>
          <w:trHeight w:val="606" w:hRule="atLeast"/>
          <w:jc w:val="center"/>
        </w:trPr>
        <w:tc>
          <w:tcPr>
            <w:tcW w:w="671" w:type="dxa"/>
            <w:tcBorders>
              <w:top w:val="single" w:color="auto" w:sz="8" w:space="0"/>
              <w:left w:val="single" w:color="auto" w:sz="8" w:space="0"/>
              <w:bottom w:val="single" w:color="auto" w:sz="8" w:space="0"/>
              <w:right w:val="single" w:color="auto" w:sz="4" w:space="0"/>
            </w:tcBorders>
            <w:vAlign w:val="center"/>
          </w:tcPr>
          <w:p w14:paraId="395A8135">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项  目</w:t>
            </w:r>
          </w:p>
        </w:tc>
        <w:tc>
          <w:tcPr>
            <w:tcW w:w="604" w:type="dxa"/>
            <w:tcBorders>
              <w:top w:val="single" w:color="auto" w:sz="8" w:space="0"/>
              <w:left w:val="nil"/>
              <w:bottom w:val="single" w:color="auto" w:sz="8" w:space="0"/>
              <w:right w:val="single" w:color="auto" w:sz="4" w:space="0"/>
            </w:tcBorders>
            <w:vAlign w:val="center"/>
          </w:tcPr>
          <w:p w14:paraId="57D5F219">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5936" w:type="dxa"/>
            <w:tcBorders>
              <w:top w:val="single" w:color="auto" w:sz="8" w:space="0"/>
              <w:left w:val="nil"/>
              <w:bottom w:val="single" w:color="auto" w:sz="8" w:space="0"/>
              <w:right w:val="single" w:color="auto" w:sz="4" w:space="0"/>
            </w:tcBorders>
            <w:vAlign w:val="center"/>
          </w:tcPr>
          <w:p w14:paraId="7D43BBAE">
            <w:pPr>
              <w:widowControl/>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评分内容和标准</w:t>
            </w:r>
          </w:p>
        </w:tc>
        <w:tc>
          <w:tcPr>
            <w:tcW w:w="868" w:type="dxa"/>
            <w:tcBorders>
              <w:top w:val="single" w:color="auto" w:sz="8" w:space="0"/>
              <w:left w:val="nil"/>
              <w:bottom w:val="single" w:color="auto" w:sz="8" w:space="0"/>
              <w:right w:val="single" w:color="auto" w:sz="8" w:space="0"/>
            </w:tcBorders>
            <w:vAlign w:val="center"/>
          </w:tcPr>
          <w:p w14:paraId="4FAFA160">
            <w:pPr>
              <w:jc w:val="center"/>
              <w:rPr>
                <w:rFonts w:hint="eastAsia" w:ascii="仿宋" w:hAnsi="仿宋" w:eastAsia="仿宋" w:cs="仿宋"/>
                <w:b/>
                <w:bCs/>
                <w:color w:val="auto"/>
                <w:kern w:val="0"/>
                <w:sz w:val="24"/>
              </w:rPr>
            </w:pPr>
            <w:r>
              <w:rPr>
                <w:rFonts w:hint="eastAsia" w:ascii="仿宋" w:hAnsi="仿宋" w:eastAsia="仿宋" w:cs="仿宋"/>
                <w:color w:val="auto"/>
                <w:sz w:val="24"/>
              </w:rPr>
              <w:t>权重</w:t>
            </w:r>
          </w:p>
        </w:tc>
        <w:tc>
          <w:tcPr>
            <w:tcW w:w="946" w:type="dxa"/>
            <w:tcBorders>
              <w:top w:val="single" w:color="auto" w:sz="8" w:space="0"/>
              <w:left w:val="nil"/>
              <w:bottom w:val="single" w:color="auto" w:sz="8" w:space="0"/>
              <w:right w:val="single" w:color="auto" w:sz="8" w:space="0"/>
            </w:tcBorders>
            <w:vAlign w:val="center"/>
          </w:tcPr>
          <w:p w14:paraId="39BB08E9">
            <w:pPr>
              <w:jc w:val="center"/>
              <w:rPr>
                <w:rFonts w:hint="eastAsia" w:ascii="仿宋" w:hAnsi="仿宋" w:eastAsia="仿宋" w:cs="仿宋"/>
                <w:color w:val="auto"/>
                <w:sz w:val="24"/>
              </w:rPr>
            </w:pPr>
            <w:r>
              <w:rPr>
                <w:rFonts w:hint="eastAsia" w:ascii="仿宋" w:hAnsi="仿宋" w:eastAsia="仿宋" w:cs="仿宋"/>
                <w:color w:val="auto"/>
                <w:sz w:val="24"/>
              </w:rPr>
              <w:t>主客</w:t>
            </w:r>
          </w:p>
          <w:p w14:paraId="545BF434">
            <w:pPr>
              <w:jc w:val="center"/>
              <w:rPr>
                <w:rFonts w:hint="eastAsia" w:ascii="仿宋" w:hAnsi="仿宋" w:eastAsia="仿宋" w:cs="仿宋"/>
                <w:b/>
                <w:bCs/>
                <w:color w:val="auto"/>
                <w:kern w:val="0"/>
                <w:sz w:val="24"/>
              </w:rPr>
            </w:pPr>
            <w:r>
              <w:rPr>
                <w:rFonts w:hint="eastAsia" w:ascii="仿宋" w:hAnsi="仿宋" w:eastAsia="仿宋" w:cs="仿宋"/>
                <w:color w:val="auto"/>
                <w:sz w:val="24"/>
              </w:rPr>
              <w:t>观分</w:t>
            </w:r>
          </w:p>
        </w:tc>
      </w:tr>
      <w:tr w14:paraId="2DB95E7B">
        <w:tblPrEx>
          <w:tblCellMar>
            <w:top w:w="0" w:type="dxa"/>
            <w:left w:w="108" w:type="dxa"/>
            <w:bottom w:w="0" w:type="dxa"/>
            <w:right w:w="108" w:type="dxa"/>
          </w:tblCellMar>
        </w:tblPrEx>
        <w:trPr>
          <w:trHeight w:val="511" w:hRule="atLeast"/>
          <w:jc w:val="center"/>
        </w:trPr>
        <w:tc>
          <w:tcPr>
            <w:tcW w:w="671" w:type="dxa"/>
            <w:tcBorders>
              <w:top w:val="single" w:color="auto" w:sz="8" w:space="0"/>
              <w:left w:val="single" w:color="auto" w:sz="8" w:space="0"/>
              <w:right w:val="single" w:color="auto" w:sz="8" w:space="0"/>
            </w:tcBorders>
            <w:vAlign w:val="center"/>
          </w:tcPr>
          <w:p w14:paraId="42585FDE">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商务资信（</w:t>
            </w:r>
            <w:r>
              <w:rPr>
                <w:rFonts w:hint="eastAsia" w:ascii="仿宋" w:hAnsi="仿宋" w:eastAsia="仿宋" w:cs="仿宋"/>
                <w:color w:val="auto"/>
                <w:kern w:val="0"/>
                <w:sz w:val="24"/>
                <w:lang w:val="en-US" w:eastAsia="zh-CN"/>
              </w:rPr>
              <w:t>15</w:t>
            </w:r>
            <w:r>
              <w:rPr>
                <w:rFonts w:hint="eastAsia" w:ascii="仿宋" w:hAnsi="仿宋" w:eastAsia="仿宋" w:cs="仿宋"/>
                <w:color w:val="auto"/>
                <w:kern w:val="0"/>
                <w:sz w:val="24"/>
              </w:rPr>
              <w:t>分）</w:t>
            </w:r>
          </w:p>
        </w:tc>
        <w:tc>
          <w:tcPr>
            <w:tcW w:w="604" w:type="dxa"/>
            <w:tcBorders>
              <w:top w:val="single" w:color="auto" w:sz="8" w:space="0"/>
              <w:left w:val="single" w:color="auto" w:sz="8" w:space="0"/>
              <w:bottom w:val="single" w:color="auto" w:sz="8" w:space="0"/>
              <w:right w:val="single" w:color="auto" w:sz="8" w:space="0"/>
            </w:tcBorders>
            <w:vAlign w:val="center"/>
          </w:tcPr>
          <w:p w14:paraId="68C40DB2">
            <w:pPr>
              <w:spacing w:line="340" w:lineRule="exact"/>
              <w:jc w:val="center"/>
              <w:rPr>
                <w:rFonts w:hint="eastAsia" w:ascii="仿宋" w:hAnsi="仿宋" w:eastAsia="仿宋" w:cs="仿宋"/>
                <w:color w:val="auto"/>
                <w:kern w:val="0"/>
                <w:sz w:val="22"/>
              </w:rPr>
            </w:pPr>
            <w:r>
              <w:rPr>
                <w:rFonts w:hint="eastAsia" w:ascii="仿宋" w:hAnsi="仿宋" w:eastAsia="仿宋" w:cs="仿宋"/>
                <w:color w:val="auto"/>
                <w:sz w:val="24"/>
                <w:szCs w:val="24"/>
              </w:rPr>
              <w:t>1</w:t>
            </w:r>
          </w:p>
        </w:tc>
        <w:tc>
          <w:tcPr>
            <w:tcW w:w="5936" w:type="dxa"/>
            <w:tcBorders>
              <w:top w:val="single" w:color="auto" w:sz="8" w:space="0"/>
              <w:left w:val="single" w:color="auto" w:sz="8" w:space="0"/>
              <w:bottom w:val="single" w:color="auto" w:sz="8" w:space="0"/>
              <w:right w:val="single" w:color="auto" w:sz="8" w:space="0"/>
            </w:tcBorders>
            <w:shd w:val="clear" w:color="000000" w:fill="auto"/>
            <w:vAlign w:val="center"/>
          </w:tcPr>
          <w:p w14:paraId="7F9EFED2">
            <w:pPr>
              <w:widowControl/>
              <w:spacing w:line="240" w:lineRule="auto"/>
              <w:jc w:val="left"/>
              <w:rPr>
                <w:rFonts w:hint="eastAsia" w:ascii="仿宋" w:hAnsi="仿宋" w:eastAsia="仿宋" w:cs="仿宋"/>
                <w:color w:val="auto"/>
                <w:sz w:val="24"/>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年1月以来，</w:t>
            </w:r>
            <w:r>
              <w:rPr>
                <w:rFonts w:hint="eastAsia" w:ascii="仿宋" w:hAnsi="仿宋" w:eastAsia="仿宋" w:cs="仿宋"/>
                <w:color w:val="auto"/>
                <w:sz w:val="24"/>
                <w:highlight w:val="none"/>
                <w:lang w:val="en-US" w:eastAsia="zh-CN"/>
              </w:rPr>
              <w:t>承担类似本项目</w:t>
            </w:r>
            <w:r>
              <w:rPr>
                <w:rFonts w:hint="eastAsia" w:ascii="仿宋" w:hAnsi="仿宋" w:eastAsia="仿宋" w:cs="仿宋"/>
                <w:color w:val="auto"/>
                <w:sz w:val="24"/>
                <w:highlight w:val="none"/>
              </w:rPr>
              <w:t>业绩，每个</w:t>
            </w:r>
            <w:r>
              <w:rPr>
                <w:rFonts w:hint="eastAsia" w:ascii="仿宋" w:hAnsi="仿宋" w:eastAsia="仿宋" w:cs="仿宋"/>
                <w:color w:val="auto"/>
                <w:sz w:val="24"/>
                <w:highlight w:val="none"/>
                <w:lang w:val="en-US" w:eastAsia="zh-CN"/>
              </w:rPr>
              <w:t>业绩</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没有的不得分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shd w:val="clear" w:color="auto" w:fill="auto"/>
                <w:lang w:val="zh-CN" w:eastAsia="zh-CN"/>
              </w:rPr>
              <w:t>（</w:t>
            </w:r>
            <w:r>
              <w:rPr>
                <w:rFonts w:hint="eastAsia" w:ascii="仿宋" w:hAnsi="仿宋" w:eastAsia="仿宋" w:cs="仿宋"/>
                <w:color w:val="auto"/>
                <w:sz w:val="24"/>
                <w:highlight w:val="none"/>
                <w:shd w:val="clear" w:color="auto" w:fill="auto"/>
                <w:lang w:val="en-US" w:eastAsia="zh-CN"/>
              </w:rPr>
              <w:t>响应文件中提供合同材料</w:t>
            </w:r>
            <w:r>
              <w:rPr>
                <w:rFonts w:hint="eastAsia" w:ascii="仿宋" w:hAnsi="仿宋" w:eastAsia="仿宋" w:cs="仿宋"/>
                <w:color w:val="auto"/>
                <w:sz w:val="24"/>
                <w:highlight w:val="none"/>
                <w:shd w:val="clear" w:color="auto" w:fill="auto"/>
                <w:lang w:val="zh-CN" w:eastAsia="zh-CN"/>
              </w:rPr>
              <w:t>）</w:t>
            </w:r>
          </w:p>
        </w:tc>
        <w:tc>
          <w:tcPr>
            <w:tcW w:w="868" w:type="dxa"/>
            <w:tcBorders>
              <w:top w:val="single" w:color="auto" w:sz="8" w:space="0"/>
              <w:left w:val="single" w:color="auto" w:sz="8" w:space="0"/>
              <w:bottom w:val="single" w:color="auto" w:sz="8" w:space="0"/>
              <w:right w:val="single" w:color="auto" w:sz="8" w:space="0"/>
            </w:tcBorders>
            <w:vAlign w:val="center"/>
          </w:tcPr>
          <w:p w14:paraId="45E07786">
            <w:pPr>
              <w:widowControl/>
              <w:spacing w:line="240" w:lineRule="auto"/>
              <w:jc w:val="center"/>
              <w:rPr>
                <w:rFonts w:hint="eastAsia" w:ascii="仿宋" w:hAnsi="仿宋" w:eastAsia="仿宋" w:cs="仿宋"/>
                <w:color w:val="auto"/>
                <w:kern w:val="0"/>
                <w:sz w:val="24"/>
              </w:rPr>
            </w:pPr>
            <w:r>
              <w:rPr>
                <w:rFonts w:hint="eastAsia" w:ascii="仿宋" w:hAnsi="仿宋" w:eastAsia="仿宋" w:cs="仿宋"/>
                <w:color w:val="auto"/>
                <w:sz w:val="24"/>
                <w:highlight w:val="none"/>
                <w:lang w:val="en-US" w:eastAsia="zh-CN"/>
              </w:rPr>
              <w:t>0-15分</w:t>
            </w:r>
          </w:p>
        </w:tc>
        <w:tc>
          <w:tcPr>
            <w:tcW w:w="946" w:type="dxa"/>
            <w:tcBorders>
              <w:top w:val="single" w:color="auto" w:sz="8" w:space="0"/>
              <w:left w:val="single" w:color="auto" w:sz="8" w:space="0"/>
              <w:bottom w:val="single" w:color="auto" w:sz="8" w:space="0"/>
              <w:right w:val="single" w:color="auto" w:sz="8" w:space="0"/>
            </w:tcBorders>
            <w:vAlign w:val="center"/>
          </w:tcPr>
          <w:p w14:paraId="3F13BF1B">
            <w:pPr>
              <w:widowControl/>
              <w:spacing w:line="240" w:lineRule="auto"/>
              <w:jc w:val="center"/>
              <w:rPr>
                <w:rFonts w:hint="eastAsia" w:ascii="仿宋" w:hAnsi="仿宋" w:eastAsia="仿宋" w:cs="仿宋"/>
                <w:color w:val="auto"/>
                <w:kern w:val="0"/>
                <w:sz w:val="24"/>
              </w:rPr>
            </w:pPr>
            <w:r>
              <w:rPr>
                <w:rFonts w:hint="eastAsia" w:ascii="仿宋" w:hAnsi="仿宋" w:eastAsia="仿宋" w:cs="仿宋"/>
                <w:color w:val="auto"/>
                <w:sz w:val="24"/>
                <w:highlight w:val="none"/>
                <w:lang w:val="en-US" w:eastAsia="zh-CN"/>
              </w:rPr>
              <w:t>客观分</w:t>
            </w:r>
          </w:p>
        </w:tc>
      </w:tr>
    </w:tbl>
    <w:p w14:paraId="7802FE8B">
      <w:pPr>
        <w:widowControl/>
        <w:spacing w:line="360" w:lineRule="auto"/>
        <w:rPr>
          <w:rFonts w:hint="eastAsia" w:ascii="仿宋" w:hAnsi="仿宋" w:eastAsia="仿宋" w:cs="仿宋"/>
          <w:color w:val="auto"/>
          <w:sz w:val="20"/>
          <w:szCs w:val="20"/>
        </w:rPr>
      </w:pPr>
    </w:p>
    <w:p w14:paraId="6EB3D967">
      <w:pPr>
        <w:widowControl/>
        <w:spacing w:line="360" w:lineRule="auto"/>
        <w:rPr>
          <w:rFonts w:hint="eastAsia" w:ascii="仿宋" w:hAnsi="仿宋" w:eastAsia="仿宋" w:cs="仿宋"/>
          <w:color w:val="auto"/>
          <w:sz w:val="24"/>
        </w:rPr>
      </w:pPr>
    </w:p>
    <w:p w14:paraId="2102F93F">
      <w:pPr>
        <w:widowControl/>
        <w:spacing w:line="360" w:lineRule="auto"/>
        <w:rPr>
          <w:rFonts w:hint="eastAsia" w:ascii="仿宋" w:hAnsi="仿宋" w:eastAsia="仿宋" w:cs="仿宋"/>
          <w:color w:val="auto"/>
          <w:sz w:val="24"/>
        </w:rPr>
      </w:pPr>
    </w:p>
    <w:p w14:paraId="390DB470">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rPr>
        <w:tab/>
      </w:r>
    </w:p>
    <w:tbl>
      <w:tblPr>
        <w:tblStyle w:val="6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555"/>
        <w:gridCol w:w="1397"/>
        <w:gridCol w:w="4986"/>
        <w:gridCol w:w="803"/>
        <w:gridCol w:w="964"/>
      </w:tblGrid>
      <w:tr w14:paraId="2BA4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33" w:type="dxa"/>
            <w:noWrap w:val="0"/>
            <w:vAlign w:val="center"/>
          </w:tcPr>
          <w:p w14:paraId="0311EC5B">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52" w:type="dxa"/>
            <w:gridSpan w:val="2"/>
            <w:noWrap w:val="0"/>
            <w:vAlign w:val="center"/>
          </w:tcPr>
          <w:p w14:paraId="2628A20D">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4986" w:type="dxa"/>
            <w:noWrap w:val="0"/>
            <w:vAlign w:val="center"/>
          </w:tcPr>
          <w:p w14:paraId="62CDC0DF">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具体描述</w:t>
            </w:r>
          </w:p>
        </w:tc>
        <w:tc>
          <w:tcPr>
            <w:tcW w:w="803" w:type="dxa"/>
            <w:noWrap w:val="0"/>
            <w:vAlign w:val="center"/>
          </w:tcPr>
          <w:p w14:paraId="6F4573C4">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权重</w:t>
            </w:r>
          </w:p>
        </w:tc>
        <w:tc>
          <w:tcPr>
            <w:tcW w:w="964" w:type="dxa"/>
            <w:noWrap w:val="0"/>
            <w:vAlign w:val="center"/>
          </w:tcPr>
          <w:p w14:paraId="1895FD95">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主客观分</w:t>
            </w:r>
          </w:p>
        </w:tc>
      </w:tr>
      <w:tr w14:paraId="759B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restart"/>
            <w:noWrap w:val="0"/>
            <w:vAlign w:val="center"/>
          </w:tcPr>
          <w:p w14:paraId="3CD49F83">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技术分</w:t>
            </w:r>
          </w:p>
        </w:tc>
        <w:tc>
          <w:tcPr>
            <w:tcW w:w="555" w:type="dxa"/>
            <w:vMerge w:val="restart"/>
            <w:noWrap w:val="0"/>
            <w:vAlign w:val="center"/>
          </w:tcPr>
          <w:p w14:paraId="15EAC868">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397" w:type="dxa"/>
            <w:vMerge w:val="restart"/>
            <w:noWrap w:val="0"/>
            <w:vAlign w:val="center"/>
          </w:tcPr>
          <w:p w14:paraId="7D224FA5">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针对本项目线路安排（包括景点安排）</w:t>
            </w:r>
          </w:p>
        </w:tc>
        <w:tc>
          <w:tcPr>
            <w:tcW w:w="4986" w:type="dxa"/>
            <w:noWrap w:val="0"/>
            <w:vAlign w:val="center"/>
          </w:tcPr>
          <w:p w14:paraId="6360C2E2">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根据本项目要求，提供每条线路必须提供详细的行程单，标明各景点特色等。</w:t>
            </w:r>
          </w:p>
          <w:p w14:paraId="574AF1F2">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p>
        </w:tc>
        <w:tc>
          <w:tcPr>
            <w:tcW w:w="803" w:type="dxa"/>
            <w:noWrap w:val="0"/>
            <w:vAlign w:val="center"/>
          </w:tcPr>
          <w:p w14:paraId="2D2A5637">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6分</w:t>
            </w:r>
          </w:p>
        </w:tc>
        <w:tc>
          <w:tcPr>
            <w:tcW w:w="964" w:type="dxa"/>
            <w:noWrap w:val="0"/>
            <w:vAlign w:val="center"/>
          </w:tcPr>
          <w:p w14:paraId="6E446A66">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209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continue"/>
            <w:noWrap w:val="0"/>
            <w:vAlign w:val="center"/>
          </w:tcPr>
          <w:p w14:paraId="2A0C614C">
            <w:pPr>
              <w:widowControl/>
              <w:spacing w:line="240" w:lineRule="auto"/>
              <w:jc w:val="center"/>
              <w:rPr>
                <w:rFonts w:hint="eastAsia" w:ascii="仿宋" w:hAnsi="仿宋" w:eastAsia="仿宋" w:cs="仿宋"/>
                <w:color w:val="auto"/>
                <w:sz w:val="24"/>
                <w:highlight w:val="none"/>
              </w:rPr>
            </w:pPr>
          </w:p>
        </w:tc>
        <w:tc>
          <w:tcPr>
            <w:tcW w:w="555" w:type="dxa"/>
            <w:vMerge w:val="continue"/>
            <w:noWrap w:val="0"/>
            <w:vAlign w:val="center"/>
          </w:tcPr>
          <w:p w14:paraId="20D1BCD0">
            <w:pPr>
              <w:widowControl/>
              <w:spacing w:line="240" w:lineRule="auto"/>
              <w:jc w:val="center"/>
              <w:rPr>
                <w:rFonts w:hint="eastAsia" w:ascii="仿宋" w:hAnsi="仿宋" w:eastAsia="仿宋" w:cs="仿宋"/>
                <w:color w:val="auto"/>
                <w:sz w:val="24"/>
                <w:highlight w:val="none"/>
              </w:rPr>
            </w:pPr>
          </w:p>
        </w:tc>
        <w:tc>
          <w:tcPr>
            <w:tcW w:w="1397" w:type="dxa"/>
            <w:vMerge w:val="continue"/>
            <w:noWrap w:val="0"/>
            <w:vAlign w:val="center"/>
          </w:tcPr>
          <w:p w14:paraId="78B94809">
            <w:pPr>
              <w:widowControl/>
              <w:spacing w:line="240" w:lineRule="auto"/>
              <w:jc w:val="center"/>
              <w:rPr>
                <w:rFonts w:hint="eastAsia" w:ascii="仿宋" w:hAnsi="仿宋" w:eastAsia="仿宋" w:cs="仿宋"/>
                <w:color w:val="auto"/>
                <w:sz w:val="24"/>
                <w:highlight w:val="none"/>
              </w:rPr>
            </w:pPr>
          </w:p>
        </w:tc>
        <w:tc>
          <w:tcPr>
            <w:tcW w:w="4986" w:type="dxa"/>
            <w:noWrap w:val="0"/>
            <w:vAlign w:val="center"/>
          </w:tcPr>
          <w:p w14:paraId="0C29C2DD">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根据本项目要求，提供景点与宾馆之间的车程时间安排及游玩时间安排。</w:t>
            </w:r>
          </w:p>
          <w:p w14:paraId="1A914C6A">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p>
        </w:tc>
        <w:tc>
          <w:tcPr>
            <w:tcW w:w="803" w:type="dxa"/>
            <w:noWrap w:val="0"/>
            <w:vAlign w:val="center"/>
          </w:tcPr>
          <w:p w14:paraId="0825F852">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6分</w:t>
            </w:r>
          </w:p>
        </w:tc>
        <w:tc>
          <w:tcPr>
            <w:tcW w:w="964" w:type="dxa"/>
            <w:noWrap w:val="0"/>
            <w:vAlign w:val="center"/>
          </w:tcPr>
          <w:p w14:paraId="038B5598">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r>
      <w:tr w14:paraId="462D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3" w:type="dxa"/>
            <w:vMerge w:val="continue"/>
            <w:noWrap w:val="0"/>
            <w:vAlign w:val="center"/>
          </w:tcPr>
          <w:p w14:paraId="560F9AEF">
            <w:pPr>
              <w:widowControl/>
              <w:spacing w:line="240" w:lineRule="auto"/>
              <w:jc w:val="center"/>
              <w:rPr>
                <w:rFonts w:hint="eastAsia" w:ascii="仿宋" w:hAnsi="仿宋" w:eastAsia="仿宋" w:cs="仿宋"/>
                <w:color w:val="auto"/>
                <w:sz w:val="24"/>
                <w:highlight w:val="none"/>
              </w:rPr>
            </w:pPr>
          </w:p>
        </w:tc>
        <w:tc>
          <w:tcPr>
            <w:tcW w:w="555" w:type="dxa"/>
            <w:vMerge w:val="restart"/>
            <w:noWrap w:val="0"/>
            <w:vAlign w:val="center"/>
          </w:tcPr>
          <w:p w14:paraId="1C6B7D96">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397" w:type="dxa"/>
            <w:vMerge w:val="restart"/>
            <w:noWrap w:val="0"/>
            <w:vAlign w:val="center"/>
          </w:tcPr>
          <w:p w14:paraId="4F27CA86">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针对本项目酒店住宿安排</w:t>
            </w:r>
          </w:p>
        </w:tc>
        <w:tc>
          <w:tcPr>
            <w:tcW w:w="4986" w:type="dxa"/>
            <w:noWrap w:val="0"/>
            <w:vAlign w:val="center"/>
          </w:tcPr>
          <w:p w14:paraId="5F1BB5BB">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根据本项目要求，住宿酒店星级等。</w:t>
            </w: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分。</w:t>
            </w:r>
          </w:p>
        </w:tc>
        <w:tc>
          <w:tcPr>
            <w:tcW w:w="803" w:type="dxa"/>
            <w:noWrap w:val="0"/>
            <w:vAlign w:val="center"/>
          </w:tcPr>
          <w:p w14:paraId="2CA0C8CF">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5分</w:t>
            </w:r>
          </w:p>
        </w:tc>
        <w:tc>
          <w:tcPr>
            <w:tcW w:w="964" w:type="dxa"/>
            <w:noWrap w:val="0"/>
            <w:vAlign w:val="center"/>
          </w:tcPr>
          <w:p w14:paraId="0B5D4957">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3D8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3" w:type="dxa"/>
            <w:vMerge w:val="continue"/>
            <w:noWrap w:val="0"/>
            <w:vAlign w:val="center"/>
          </w:tcPr>
          <w:p w14:paraId="4E3D90A4">
            <w:pPr>
              <w:widowControl/>
              <w:spacing w:line="240" w:lineRule="auto"/>
              <w:jc w:val="center"/>
              <w:rPr>
                <w:rFonts w:hint="eastAsia" w:ascii="仿宋" w:hAnsi="仿宋" w:eastAsia="仿宋" w:cs="仿宋"/>
                <w:color w:val="auto"/>
                <w:sz w:val="24"/>
                <w:highlight w:val="none"/>
              </w:rPr>
            </w:pPr>
          </w:p>
        </w:tc>
        <w:tc>
          <w:tcPr>
            <w:tcW w:w="555" w:type="dxa"/>
            <w:vMerge w:val="continue"/>
            <w:noWrap w:val="0"/>
            <w:vAlign w:val="center"/>
          </w:tcPr>
          <w:p w14:paraId="1DCF4C9F">
            <w:pPr>
              <w:widowControl/>
              <w:spacing w:line="240" w:lineRule="auto"/>
              <w:jc w:val="center"/>
              <w:rPr>
                <w:rFonts w:hint="eastAsia" w:ascii="仿宋" w:hAnsi="仿宋" w:eastAsia="仿宋" w:cs="仿宋"/>
                <w:color w:val="auto"/>
                <w:sz w:val="24"/>
                <w:highlight w:val="none"/>
              </w:rPr>
            </w:pPr>
          </w:p>
        </w:tc>
        <w:tc>
          <w:tcPr>
            <w:tcW w:w="1397" w:type="dxa"/>
            <w:vMerge w:val="continue"/>
            <w:noWrap w:val="0"/>
            <w:vAlign w:val="center"/>
          </w:tcPr>
          <w:p w14:paraId="26A0DD28">
            <w:pPr>
              <w:widowControl/>
              <w:spacing w:line="240" w:lineRule="auto"/>
              <w:jc w:val="center"/>
              <w:rPr>
                <w:rFonts w:hint="eastAsia" w:ascii="仿宋" w:hAnsi="仿宋" w:eastAsia="仿宋" w:cs="仿宋"/>
                <w:color w:val="auto"/>
                <w:sz w:val="24"/>
                <w:highlight w:val="none"/>
                <w:lang w:val="en-US" w:eastAsia="zh-CN"/>
              </w:rPr>
            </w:pPr>
          </w:p>
        </w:tc>
        <w:tc>
          <w:tcPr>
            <w:tcW w:w="4986" w:type="dxa"/>
            <w:noWrap w:val="0"/>
            <w:vAlign w:val="center"/>
          </w:tcPr>
          <w:p w14:paraId="7A1ED5F4">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根据本项目要求，提供</w:t>
            </w:r>
            <w:r>
              <w:rPr>
                <w:rFonts w:hint="eastAsia" w:ascii="仿宋" w:hAnsi="仿宋" w:eastAsia="仿宋" w:cs="仿宋"/>
                <w:color w:val="auto"/>
                <w:sz w:val="24"/>
                <w:highlight w:val="none"/>
                <w:lang w:val="zh-CN" w:eastAsia="zh-CN"/>
              </w:rPr>
              <w:t>住宿条件情况</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分。</w:t>
            </w:r>
          </w:p>
        </w:tc>
        <w:tc>
          <w:tcPr>
            <w:tcW w:w="803" w:type="dxa"/>
            <w:noWrap w:val="0"/>
            <w:vAlign w:val="center"/>
          </w:tcPr>
          <w:p w14:paraId="6C407D81">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5分</w:t>
            </w:r>
          </w:p>
        </w:tc>
        <w:tc>
          <w:tcPr>
            <w:tcW w:w="964" w:type="dxa"/>
            <w:noWrap w:val="0"/>
            <w:vAlign w:val="center"/>
          </w:tcPr>
          <w:p w14:paraId="7524D5B9">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E15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33" w:type="dxa"/>
            <w:vMerge w:val="continue"/>
            <w:noWrap w:val="0"/>
            <w:vAlign w:val="center"/>
          </w:tcPr>
          <w:p w14:paraId="55B3B223">
            <w:pPr>
              <w:widowControl/>
              <w:spacing w:line="240" w:lineRule="auto"/>
              <w:jc w:val="center"/>
              <w:rPr>
                <w:rFonts w:hint="eastAsia" w:ascii="仿宋" w:hAnsi="仿宋" w:eastAsia="仿宋" w:cs="仿宋"/>
                <w:color w:val="auto"/>
                <w:sz w:val="24"/>
                <w:highlight w:val="none"/>
              </w:rPr>
            </w:pPr>
          </w:p>
        </w:tc>
        <w:tc>
          <w:tcPr>
            <w:tcW w:w="555" w:type="dxa"/>
            <w:vMerge w:val="restart"/>
            <w:noWrap w:val="0"/>
            <w:vAlign w:val="center"/>
          </w:tcPr>
          <w:p w14:paraId="57C314B2">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397" w:type="dxa"/>
            <w:vMerge w:val="restart"/>
            <w:noWrap w:val="0"/>
            <w:vAlign w:val="center"/>
          </w:tcPr>
          <w:p w14:paraId="3C4E3F8A">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针对本项目就餐及餐标安排</w:t>
            </w:r>
          </w:p>
        </w:tc>
        <w:tc>
          <w:tcPr>
            <w:tcW w:w="4986" w:type="dxa"/>
            <w:noWrap w:val="0"/>
            <w:vAlign w:val="center"/>
          </w:tcPr>
          <w:p w14:paraId="40F9C695">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根据本项目要求，就餐安排及就餐环境等。</w:t>
            </w: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p>
        </w:tc>
        <w:tc>
          <w:tcPr>
            <w:tcW w:w="803" w:type="dxa"/>
            <w:noWrap w:val="0"/>
            <w:vAlign w:val="center"/>
          </w:tcPr>
          <w:p w14:paraId="0DAA237D">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6分</w:t>
            </w:r>
          </w:p>
        </w:tc>
        <w:tc>
          <w:tcPr>
            <w:tcW w:w="964" w:type="dxa"/>
            <w:noWrap w:val="0"/>
            <w:vAlign w:val="center"/>
          </w:tcPr>
          <w:p w14:paraId="34FC8A6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3E7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33" w:type="dxa"/>
            <w:vMerge w:val="continue"/>
            <w:noWrap w:val="0"/>
            <w:vAlign w:val="center"/>
          </w:tcPr>
          <w:p w14:paraId="1E70A23F">
            <w:pPr>
              <w:widowControl/>
              <w:spacing w:line="240" w:lineRule="auto"/>
              <w:jc w:val="center"/>
              <w:rPr>
                <w:rFonts w:hint="eastAsia" w:ascii="仿宋" w:hAnsi="仿宋" w:eastAsia="仿宋" w:cs="仿宋"/>
                <w:color w:val="auto"/>
                <w:sz w:val="24"/>
                <w:highlight w:val="none"/>
              </w:rPr>
            </w:pPr>
          </w:p>
        </w:tc>
        <w:tc>
          <w:tcPr>
            <w:tcW w:w="555" w:type="dxa"/>
            <w:vMerge w:val="continue"/>
            <w:noWrap w:val="0"/>
            <w:vAlign w:val="center"/>
          </w:tcPr>
          <w:p w14:paraId="1EAF693E">
            <w:pPr>
              <w:widowControl/>
              <w:spacing w:line="240" w:lineRule="auto"/>
              <w:jc w:val="center"/>
              <w:rPr>
                <w:rFonts w:hint="eastAsia" w:ascii="仿宋" w:hAnsi="仿宋" w:eastAsia="仿宋" w:cs="仿宋"/>
                <w:color w:val="auto"/>
                <w:sz w:val="24"/>
                <w:highlight w:val="none"/>
              </w:rPr>
            </w:pPr>
          </w:p>
        </w:tc>
        <w:tc>
          <w:tcPr>
            <w:tcW w:w="1397" w:type="dxa"/>
            <w:vMerge w:val="continue"/>
            <w:noWrap w:val="0"/>
            <w:vAlign w:val="center"/>
          </w:tcPr>
          <w:p w14:paraId="20D37A53">
            <w:pPr>
              <w:widowControl/>
              <w:spacing w:line="240" w:lineRule="auto"/>
              <w:jc w:val="center"/>
              <w:rPr>
                <w:rFonts w:hint="eastAsia" w:ascii="仿宋" w:hAnsi="仿宋" w:eastAsia="仿宋" w:cs="仿宋"/>
                <w:color w:val="auto"/>
                <w:sz w:val="24"/>
                <w:highlight w:val="none"/>
                <w:lang w:val="en-US" w:eastAsia="zh-CN"/>
              </w:rPr>
            </w:pPr>
          </w:p>
        </w:tc>
        <w:tc>
          <w:tcPr>
            <w:tcW w:w="4986" w:type="dxa"/>
            <w:noWrap w:val="0"/>
            <w:vAlign w:val="center"/>
          </w:tcPr>
          <w:p w14:paraId="27615A1F">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餐饮优化服务：餐饮承诺采购人餐标的费用标准得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eastAsia="zh-CN"/>
              </w:rPr>
              <w:t>分。</w:t>
            </w:r>
          </w:p>
        </w:tc>
        <w:tc>
          <w:tcPr>
            <w:tcW w:w="803" w:type="dxa"/>
            <w:noWrap w:val="0"/>
            <w:vAlign w:val="center"/>
          </w:tcPr>
          <w:p w14:paraId="1D0A446B">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6分</w:t>
            </w:r>
          </w:p>
        </w:tc>
        <w:tc>
          <w:tcPr>
            <w:tcW w:w="964" w:type="dxa"/>
            <w:noWrap w:val="0"/>
            <w:vAlign w:val="center"/>
          </w:tcPr>
          <w:p w14:paraId="41C51B54">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r>
      <w:tr w14:paraId="3E07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33" w:type="dxa"/>
            <w:vMerge w:val="continue"/>
            <w:noWrap w:val="0"/>
            <w:vAlign w:val="center"/>
          </w:tcPr>
          <w:p w14:paraId="392A523C">
            <w:pPr>
              <w:widowControl/>
              <w:spacing w:line="240" w:lineRule="auto"/>
              <w:jc w:val="center"/>
              <w:rPr>
                <w:rFonts w:hint="eastAsia" w:ascii="仿宋" w:hAnsi="仿宋" w:eastAsia="仿宋" w:cs="仿宋"/>
                <w:color w:val="auto"/>
                <w:sz w:val="24"/>
                <w:highlight w:val="none"/>
              </w:rPr>
            </w:pPr>
          </w:p>
        </w:tc>
        <w:tc>
          <w:tcPr>
            <w:tcW w:w="555" w:type="dxa"/>
            <w:vMerge w:val="restart"/>
            <w:noWrap w:val="0"/>
            <w:vAlign w:val="center"/>
          </w:tcPr>
          <w:p w14:paraId="3244755B">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397" w:type="dxa"/>
            <w:vMerge w:val="restart"/>
            <w:noWrap w:val="0"/>
            <w:vAlign w:val="center"/>
          </w:tcPr>
          <w:p w14:paraId="4153E92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响应方案</w:t>
            </w:r>
            <w:r>
              <w:rPr>
                <w:rFonts w:hint="eastAsia" w:ascii="仿宋" w:hAnsi="仿宋" w:eastAsia="仿宋" w:cs="仿宋"/>
                <w:color w:val="auto"/>
                <w:sz w:val="24"/>
                <w:highlight w:val="none"/>
              </w:rPr>
              <w:t>中提供或使用主要设备的优劣</w:t>
            </w:r>
          </w:p>
        </w:tc>
        <w:tc>
          <w:tcPr>
            <w:tcW w:w="4986" w:type="dxa"/>
            <w:noWrap w:val="0"/>
            <w:vAlign w:val="center"/>
          </w:tcPr>
          <w:p w14:paraId="0B534605">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根据响应文件中提供车型、车况、座位比较等情况综合评定。</w:t>
            </w:r>
          </w:p>
        </w:tc>
        <w:tc>
          <w:tcPr>
            <w:tcW w:w="803" w:type="dxa"/>
            <w:noWrap w:val="0"/>
            <w:vAlign w:val="center"/>
          </w:tcPr>
          <w:p w14:paraId="56C3B34C">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964" w:type="dxa"/>
            <w:noWrap w:val="0"/>
            <w:vAlign w:val="center"/>
          </w:tcPr>
          <w:p w14:paraId="62E15283">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0A6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33" w:type="dxa"/>
            <w:vMerge w:val="continue"/>
            <w:noWrap w:val="0"/>
            <w:vAlign w:val="center"/>
          </w:tcPr>
          <w:p w14:paraId="5A47E2D4">
            <w:pPr>
              <w:widowControl/>
              <w:spacing w:line="240" w:lineRule="auto"/>
              <w:jc w:val="center"/>
              <w:rPr>
                <w:rFonts w:hint="eastAsia" w:ascii="仿宋" w:hAnsi="仿宋" w:eastAsia="仿宋" w:cs="仿宋"/>
                <w:color w:val="auto"/>
                <w:sz w:val="24"/>
                <w:highlight w:val="none"/>
              </w:rPr>
            </w:pPr>
          </w:p>
        </w:tc>
        <w:tc>
          <w:tcPr>
            <w:tcW w:w="555" w:type="dxa"/>
            <w:vMerge w:val="continue"/>
            <w:noWrap w:val="0"/>
            <w:vAlign w:val="center"/>
          </w:tcPr>
          <w:p w14:paraId="7EB78ADE">
            <w:pPr>
              <w:widowControl/>
              <w:spacing w:line="240" w:lineRule="auto"/>
              <w:jc w:val="center"/>
              <w:rPr>
                <w:rFonts w:hint="eastAsia" w:ascii="仿宋" w:hAnsi="仿宋" w:eastAsia="仿宋" w:cs="仿宋"/>
                <w:color w:val="auto"/>
                <w:sz w:val="24"/>
                <w:highlight w:val="none"/>
              </w:rPr>
            </w:pPr>
          </w:p>
        </w:tc>
        <w:tc>
          <w:tcPr>
            <w:tcW w:w="1397" w:type="dxa"/>
            <w:vMerge w:val="continue"/>
            <w:noWrap w:val="0"/>
            <w:vAlign w:val="center"/>
          </w:tcPr>
          <w:p w14:paraId="0FF3A4C5">
            <w:pPr>
              <w:widowControl/>
              <w:spacing w:line="240" w:lineRule="auto"/>
              <w:jc w:val="center"/>
              <w:rPr>
                <w:rFonts w:hint="eastAsia" w:ascii="仿宋" w:hAnsi="仿宋" w:eastAsia="仿宋" w:cs="仿宋"/>
                <w:color w:val="auto"/>
                <w:sz w:val="24"/>
                <w:highlight w:val="none"/>
              </w:rPr>
            </w:pPr>
          </w:p>
        </w:tc>
        <w:tc>
          <w:tcPr>
            <w:tcW w:w="4986" w:type="dxa"/>
            <w:noWrap w:val="0"/>
            <w:vAlign w:val="center"/>
          </w:tcPr>
          <w:p w14:paraId="6EBECE44">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根据响应文件中提供的司机驾龄、当地用车情况综合评定。</w:t>
            </w:r>
          </w:p>
        </w:tc>
        <w:tc>
          <w:tcPr>
            <w:tcW w:w="803" w:type="dxa"/>
            <w:noWrap w:val="0"/>
            <w:vAlign w:val="center"/>
          </w:tcPr>
          <w:p w14:paraId="16A6E36E">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2分</w:t>
            </w:r>
          </w:p>
        </w:tc>
        <w:tc>
          <w:tcPr>
            <w:tcW w:w="964" w:type="dxa"/>
            <w:noWrap w:val="0"/>
            <w:vAlign w:val="center"/>
          </w:tcPr>
          <w:p w14:paraId="4E05C030">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r>
      <w:tr w14:paraId="22D8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33" w:type="dxa"/>
            <w:vMerge w:val="continue"/>
            <w:noWrap w:val="0"/>
            <w:vAlign w:val="center"/>
          </w:tcPr>
          <w:p w14:paraId="3F396F49">
            <w:pPr>
              <w:widowControl/>
              <w:spacing w:line="240" w:lineRule="auto"/>
              <w:jc w:val="center"/>
              <w:rPr>
                <w:rFonts w:hint="eastAsia" w:ascii="仿宋" w:hAnsi="仿宋" w:eastAsia="仿宋" w:cs="仿宋"/>
                <w:color w:val="auto"/>
                <w:sz w:val="24"/>
                <w:highlight w:val="none"/>
              </w:rPr>
            </w:pPr>
          </w:p>
        </w:tc>
        <w:tc>
          <w:tcPr>
            <w:tcW w:w="555" w:type="dxa"/>
            <w:vMerge w:val="continue"/>
            <w:noWrap w:val="0"/>
            <w:vAlign w:val="center"/>
          </w:tcPr>
          <w:p w14:paraId="5E505BA3">
            <w:pPr>
              <w:widowControl/>
              <w:spacing w:line="240" w:lineRule="auto"/>
              <w:jc w:val="center"/>
              <w:rPr>
                <w:rFonts w:hint="eastAsia" w:ascii="仿宋" w:hAnsi="仿宋" w:eastAsia="仿宋" w:cs="仿宋"/>
                <w:color w:val="auto"/>
                <w:sz w:val="24"/>
                <w:highlight w:val="none"/>
              </w:rPr>
            </w:pPr>
          </w:p>
        </w:tc>
        <w:tc>
          <w:tcPr>
            <w:tcW w:w="1397" w:type="dxa"/>
            <w:vMerge w:val="continue"/>
            <w:noWrap w:val="0"/>
            <w:vAlign w:val="center"/>
          </w:tcPr>
          <w:p w14:paraId="11657A83">
            <w:pPr>
              <w:widowControl/>
              <w:spacing w:line="240" w:lineRule="auto"/>
              <w:jc w:val="center"/>
              <w:rPr>
                <w:rFonts w:hint="eastAsia" w:ascii="仿宋" w:hAnsi="仿宋" w:eastAsia="仿宋" w:cs="仿宋"/>
                <w:color w:val="auto"/>
                <w:sz w:val="24"/>
                <w:highlight w:val="none"/>
              </w:rPr>
            </w:pPr>
          </w:p>
        </w:tc>
        <w:tc>
          <w:tcPr>
            <w:tcW w:w="4986" w:type="dxa"/>
            <w:noWrap w:val="0"/>
            <w:vAlign w:val="center"/>
          </w:tcPr>
          <w:p w14:paraId="44D6D1FC">
            <w:pPr>
              <w:widowControl/>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根据车队综合服务能力综合评定。</w:t>
            </w:r>
          </w:p>
        </w:tc>
        <w:tc>
          <w:tcPr>
            <w:tcW w:w="803" w:type="dxa"/>
            <w:noWrap w:val="0"/>
            <w:vAlign w:val="center"/>
          </w:tcPr>
          <w:p w14:paraId="1EAF09D0">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964" w:type="dxa"/>
            <w:noWrap w:val="0"/>
            <w:vAlign w:val="center"/>
          </w:tcPr>
          <w:p w14:paraId="25E13826">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r>
      <w:tr w14:paraId="499C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continue"/>
            <w:noWrap w:val="0"/>
            <w:vAlign w:val="center"/>
          </w:tcPr>
          <w:p w14:paraId="028613D6">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2E6FE9A5">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397" w:type="dxa"/>
            <w:noWrap w:val="0"/>
            <w:vAlign w:val="center"/>
          </w:tcPr>
          <w:p w14:paraId="5DD17731">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保证进度和项目完成的方案和措施等 </w:t>
            </w:r>
          </w:p>
        </w:tc>
        <w:tc>
          <w:tcPr>
            <w:tcW w:w="4986" w:type="dxa"/>
            <w:noWrap w:val="0"/>
            <w:vAlign w:val="center"/>
          </w:tcPr>
          <w:p w14:paraId="0B882C2B">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本次疗休养实施</w:t>
            </w:r>
            <w:r>
              <w:rPr>
                <w:rFonts w:hint="eastAsia" w:ascii="仿宋" w:hAnsi="仿宋" w:eastAsia="仿宋" w:cs="仿宋"/>
                <w:color w:val="auto"/>
                <w:sz w:val="24"/>
                <w:highlight w:val="none"/>
                <w:lang w:val="zh-CN"/>
              </w:rPr>
              <w:t>工作程序和步骤、管理和协调方法以及关键步骤和要点等。</w:t>
            </w:r>
            <w:r>
              <w:rPr>
                <w:rFonts w:hint="eastAsia" w:ascii="仿宋" w:hAnsi="仿宋" w:eastAsia="仿宋" w:cs="仿宋"/>
                <w:color w:val="auto"/>
                <w:sz w:val="24"/>
                <w:highlight w:val="none"/>
                <w:lang w:eastAsia="zh-CN"/>
              </w:rPr>
              <w:t>方案可行条理清晰、内容丰富、安排合理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分，基本满足方案可行条理清晰、内容丰富、安排合理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分，方案一般可行条理清晰、内容丰富、安排合理的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分。</w:t>
            </w:r>
          </w:p>
        </w:tc>
        <w:tc>
          <w:tcPr>
            <w:tcW w:w="803" w:type="dxa"/>
            <w:noWrap w:val="0"/>
            <w:vAlign w:val="center"/>
          </w:tcPr>
          <w:p w14:paraId="2480C97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964" w:type="dxa"/>
            <w:noWrap w:val="0"/>
            <w:vAlign w:val="center"/>
          </w:tcPr>
          <w:p w14:paraId="44322DA0">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r>
      <w:tr w14:paraId="2784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633" w:type="dxa"/>
            <w:vMerge w:val="continue"/>
            <w:noWrap w:val="0"/>
            <w:vAlign w:val="center"/>
          </w:tcPr>
          <w:p w14:paraId="4BF7E882">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35722183">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397" w:type="dxa"/>
            <w:noWrap w:val="0"/>
            <w:vAlign w:val="center"/>
          </w:tcPr>
          <w:p w14:paraId="6B3CB3AC">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项目负责人及技术力量安排等</w:t>
            </w:r>
          </w:p>
        </w:tc>
        <w:tc>
          <w:tcPr>
            <w:tcW w:w="4986" w:type="dxa"/>
            <w:noWrap w:val="0"/>
            <w:vAlign w:val="center"/>
          </w:tcPr>
          <w:p w14:paraId="0D03CF53">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项目负责人的专业素质、经验等情况，是否具有类似项目经验，是否具有调动各项资源的能力等</w:t>
            </w:r>
            <w:r>
              <w:rPr>
                <w:rFonts w:hint="eastAsia" w:ascii="仿宋" w:hAnsi="仿宋" w:eastAsia="仿宋" w:cs="仿宋"/>
                <w:color w:val="auto"/>
                <w:sz w:val="24"/>
                <w:highlight w:val="none"/>
                <w:lang w:eastAsia="zh-CN"/>
              </w:rPr>
              <w:t>。</w:t>
            </w:r>
          </w:p>
        </w:tc>
        <w:tc>
          <w:tcPr>
            <w:tcW w:w="803" w:type="dxa"/>
            <w:noWrap w:val="0"/>
            <w:vAlign w:val="center"/>
          </w:tcPr>
          <w:p w14:paraId="494FDAED">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5分</w:t>
            </w:r>
          </w:p>
        </w:tc>
        <w:tc>
          <w:tcPr>
            <w:tcW w:w="964" w:type="dxa"/>
            <w:noWrap w:val="0"/>
            <w:vAlign w:val="center"/>
          </w:tcPr>
          <w:p w14:paraId="64D30C78">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C73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33" w:type="dxa"/>
            <w:vMerge w:val="continue"/>
            <w:noWrap w:val="0"/>
            <w:vAlign w:val="center"/>
          </w:tcPr>
          <w:p w14:paraId="5FFE62C1">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69D3A349">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397" w:type="dxa"/>
            <w:noWrap w:val="0"/>
            <w:vAlign w:val="center"/>
          </w:tcPr>
          <w:p w14:paraId="25CB13CE">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对本项目的合理化建议  </w:t>
            </w:r>
          </w:p>
        </w:tc>
        <w:tc>
          <w:tcPr>
            <w:tcW w:w="4986" w:type="dxa"/>
            <w:noWrap w:val="0"/>
            <w:vAlign w:val="center"/>
          </w:tcPr>
          <w:p w14:paraId="695247D7">
            <w:pPr>
              <w:widowControl/>
              <w:spacing w:line="24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交易文件</w:t>
            </w:r>
            <w:r>
              <w:rPr>
                <w:rFonts w:hint="eastAsia" w:ascii="仿宋" w:hAnsi="仿宋" w:eastAsia="仿宋" w:cs="仿宋"/>
                <w:color w:val="auto"/>
                <w:sz w:val="24"/>
                <w:highlight w:val="none"/>
              </w:rPr>
              <w:t>中规定的线路标准的基础上，提出合理化建议</w:t>
            </w:r>
            <w:r>
              <w:rPr>
                <w:rFonts w:hint="eastAsia" w:ascii="仿宋" w:hAnsi="仿宋" w:eastAsia="仿宋" w:cs="仿宋"/>
                <w:color w:val="auto"/>
                <w:sz w:val="24"/>
                <w:highlight w:val="none"/>
                <w:lang w:eastAsia="zh-CN"/>
              </w:rPr>
              <w:t>。</w:t>
            </w:r>
          </w:p>
        </w:tc>
        <w:tc>
          <w:tcPr>
            <w:tcW w:w="803" w:type="dxa"/>
            <w:noWrap w:val="0"/>
            <w:vAlign w:val="center"/>
          </w:tcPr>
          <w:p w14:paraId="3298BFB7">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964" w:type="dxa"/>
            <w:noWrap w:val="0"/>
            <w:vAlign w:val="center"/>
          </w:tcPr>
          <w:p w14:paraId="1B84697C">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F1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633" w:type="dxa"/>
            <w:vMerge w:val="continue"/>
            <w:noWrap w:val="0"/>
            <w:vAlign w:val="center"/>
          </w:tcPr>
          <w:p w14:paraId="361B54B3">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24AF0011">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397" w:type="dxa"/>
            <w:noWrap w:val="0"/>
            <w:vAlign w:val="center"/>
          </w:tcPr>
          <w:p w14:paraId="74D982BB">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auto"/>
                <w:lang w:val="zh-CN" w:eastAsia="zh-CN"/>
              </w:rPr>
              <w:t>服务承诺及本地化服务能力（综合评定）</w:t>
            </w:r>
          </w:p>
        </w:tc>
        <w:tc>
          <w:tcPr>
            <w:tcW w:w="4986" w:type="dxa"/>
            <w:noWrap w:val="0"/>
            <w:vAlign w:val="center"/>
          </w:tcPr>
          <w:p w14:paraId="6B40B7A8">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提供后续服务计划及根据供应商注册地等，方便、快捷、优质提供服务等情况 </w:t>
            </w:r>
          </w:p>
        </w:tc>
        <w:tc>
          <w:tcPr>
            <w:tcW w:w="803" w:type="dxa"/>
            <w:noWrap w:val="0"/>
            <w:vAlign w:val="center"/>
          </w:tcPr>
          <w:p w14:paraId="1287606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964" w:type="dxa"/>
            <w:noWrap w:val="0"/>
            <w:vAlign w:val="center"/>
          </w:tcPr>
          <w:p w14:paraId="101C590E">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C5F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33" w:type="dxa"/>
            <w:vMerge w:val="continue"/>
            <w:noWrap w:val="0"/>
            <w:vAlign w:val="center"/>
          </w:tcPr>
          <w:p w14:paraId="35A294BC">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36CFCA99">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397" w:type="dxa"/>
            <w:noWrap w:val="0"/>
            <w:vAlign w:val="center"/>
          </w:tcPr>
          <w:p w14:paraId="341B92A1">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安全保障措施</w:t>
            </w:r>
          </w:p>
        </w:tc>
        <w:tc>
          <w:tcPr>
            <w:tcW w:w="4986" w:type="dxa"/>
            <w:noWrap w:val="0"/>
            <w:vAlign w:val="center"/>
          </w:tcPr>
          <w:p w14:paraId="75D1A2E3">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提供详细的突发事件处理方案、安防措施、投诉处理、纠纷处理方案</w:t>
            </w:r>
          </w:p>
        </w:tc>
        <w:tc>
          <w:tcPr>
            <w:tcW w:w="803" w:type="dxa"/>
            <w:noWrap w:val="0"/>
            <w:vAlign w:val="center"/>
          </w:tcPr>
          <w:p w14:paraId="3A4D63F2">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c>
          <w:tcPr>
            <w:tcW w:w="964" w:type="dxa"/>
            <w:noWrap w:val="0"/>
            <w:vAlign w:val="center"/>
          </w:tcPr>
          <w:p w14:paraId="3AC5FFBD">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6CD8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33" w:type="dxa"/>
            <w:vMerge w:val="continue"/>
            <w:noWrap w:val="0"/>
            <w:vAlign w:val="center"/>
          </w:tcPr>
          <w:p w14:paraId="21DB21D5">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35F64619">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397" w:type="dxa"/>
            <w:noWrap w:val="0"/>
            <w:vAlign w:val="center"/>
          </w:tcPr>
          <w:p w14:paraId="59590116">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增值服务（综合评定）</w:t>
            </w:r>
          </w:p>
        </w:tc>
        <w:tc>
          <w:tcPr>
            <w:tcW w:w="4986" w:type="dxa"/>
            <w:noWrap w:val="0"/>
            <w:vAlign w:val="center"/>
          </w:tcPr>
          <w:p w14:paraId="1CC2AE3F">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增值（特色）服务等</w:t>
            </w:r>
          </w:p>
        </w:tc>
        <w:tc>
          <w:tcPr>
            <w:tcW w:w="803" w:type="dxa"/>
            <w:noWrap w:val="0"/>
            <w:vAlign w:val="center"/>
          </w:tcPr>
          <w:p w14:paraId="5BB1C5E8">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964" w:type="dxa"/>
            <w:noWrap w:val="0"/>
            <w:vAlign w:val="center"/>
          </w:tcPr>
          <w:p w14:paraId="1A431254">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449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633" w:type="dxa"/>
            <w:vMerge w:val="continue"/>
            <w:noWrap w:val="0"/>
            <w:vAlign w:val="center"/>
          </w:tcPr>
          <w:p w14:paraId="43399D53">
            <w:pPr>
              <w:widowControl/>
              <w:spacing w:line="240" w:lineRule="auto"/>
              <w:jc w:val="center"/>
              <w:rPr>
                <w:rFonts w:hint="eastAsia" w:ascii="仿宋" w:hAnsi="仿宋" w:eastAsia="仿宋" w:cs="仿宋"/>
                <w:color w:val="auto"/>
                <w:sz w:val="24"/>
                <w:highlight w:val="none"/>
              </w:rPr>
            </w:pPr>
          </w:p>
        </w:tc>
        <w:tc>
          <w:tcPr>
            <w:tcW w:w="555" w:type="dxa"/>
            <w:noWrap w:val="0"/>
            <w:vAlign w:val="center"/>
          </w:tcPr>
          <w:p w14:paraId="72D5F088">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397" w:type="dxa"/>
            <w:noWrap w:val="0"/>
            <w:vAlign w:val="center"/>
          </w:tcPr>
          <w:p w14:paraId="687EE981">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旅行社责任险</w:t>
            </w:r>
          </w:p>
        </w:tc>
        <w:tc>
          <w:tcPr>
            <w:tcW w:w="4986" w:type="dxa"/>
            <w:noWrap w:val="0"/>
            <w:vAlign w:val="center"/>
          </w:tcPr>
          <w:p w14:paraId="0191EBC8">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责任险：</w:t>
            </w:r>
            <w:r>
              <w:rPr>
                <w:rFonts w:hint="eastAsia" w:ascii="仿宋" w:hAnsi="仿宋" w:eastAsia="仿宋" w:cs="仿宋"/>
                <w:color w:val="auto"/>
                <w:sz w:val="24"/>
                <w:highlight w:val="none"/>
              </w:rPr>
              <w:t>每次事故累计责任限额2000万元及以上且每人责任限额150万/人及以上得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分；每次事故累计责任限额2000万（不含）-1500万元（含）且每人责任限额150万/人（不含）-100万元/人（含）得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分；每次事故累计责任限额1500（不含）万元</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且每人责任限额100万/人及</w:t>
            </w:r>
            <w:r>
              <w:rPr>
                <w:rFonts w:hint="eastAsia" w:ascii="仿宋" w:hAnsi="仿宋" w:eastAsia="仿宋" w:cs="仿宋"/>
                <w:color w:val="auto"/>
                <w:sz w:val="24"/>
                <w:highlight w:val="none"/>
                <w:lang w:val="en-US" w:eastAsia="zh-CN"/>
              </w:rPr>
              <w:t>以下</w:t>
            </w:r>
            <w:r>
              <w:rPr>
                <w:rFonts w:hint="eastAsia" w:ascii="仿宋" w:hAnsi="仿宋" w:eastAsia="仿宋" w:cs="仿宋"/>
                <w:color w:val="auto"/>
                <w:sz w:val="24"/>
                <w:highlight w:val="none"/>
              </w:rPr>
              <w:t>得1分。</w:t>
            </w:r>
          </w:p>
        </w:tc>
        <w:tc>
          <w:tcPr>
            <w:tcW w:w="803" w:type="dxa"/>
            <w:noWrap w:val="0"/>
            <w:vAlign w:val="center"/>
          </w:tcPr>
          <w:p w14:paraId="7DF6813E">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964" w:type="dxa"/>
            <w:noWrap w:val="0"/>
            <w:vAlign w:val="center"/>
          </w:tcPr>
          <w:p w14:paraId="7B40E975">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14:paraId="303E38A2">
      <w:pPr>
        <w:widowControl/>
        <w:spacing w:line="360" w:lineRule="auto"/>
        <w:rPr>
          <w:rFonts w:hint="eastAsia" w:ascii="仿宋" w:hAnsi="仿宋" w:eastAsia="仿宋" w:cs="仿宋"/>
          <w:color w:val="auto"/>
          <w:sz w:val="24"/>
        </w:rPr>
      </w:pPr>
    </w:p>
    <w:p w14:paraId="2418683A">
      <w:pPr>
        <w:widowControl/>
        <w:spacing w:line="360" w:lineRule="auto"/>
        <w:rPr>
          <w:rFonts w:hint="eastAsia" w:ascii="仿宋" w:hAnsi="仿宋" w:eastAsia="仿宋" w:cs="仿宋"/>
          <w:color w:val="auto"/>
          <w:sz w:val="24"/>
        </w:rPr>
      </w:pPr>
    </w:p>
    <w:p w14:paraId="7AB96AAD">
      <w:pPr>
        <w:spacing w:line="440" w:lineRule="exact"/>
        <w:rPr>
          <w:rFonts w:hint="eastAsia" w:ascii="仿宋" w:hAnsi="仿宋" w:eastAsia="仿宋" w:cs="仿宋"/>
          <w:b/>
          <w:color w:val="auto"/>
          <w:sz w:val="24"/>
        </w:rPr>
      </w:pPr>
      <w:r>
        <w:rPr>
          <w:rFonts w:hint="eastAsia" w:ascii="仿宋" w:hAnsi="仿宋" w:eastAsia="仿宋" w:cs="仿宋"/>
          <w:b/>
          <w:color w:val="auto"/>
          <w:sz w:val="24"/>
        </w:rPr>
        <w:t>注：1）若交易人对供应商提供的证明资料要求为原件的，另行提出。</w:t>
      </w:r>
    </w:p>
    <w:p w14:paraId="71E01626">
      <w:pPr>
        <w:spacing w:line="440" w:lineRule="exact"/>
        <w:ind w:firstLine="482" w:firstLineChars="200"/>
        <w:rPr>
          <w:rFonts w:hint="eastAsia" w:ascii="仿宋" w:hAnsi="仿宋" w:eastAsia="仿宋" w:cs="仿宋"/>
          <w:color w:val="auto"/>
        </w:rPr>
      </w:pPr>
      <w:r>
        <w:rPr>
          <w:rFonts w:hint="eastAsia" w:ascii="仿宋" w:hAnsi="仿宋" w:eastAsia="仿宋" w:cs="仿宋"/>
          <w:b/>
          <w:color w:val="auto"/>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7FDD353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2、价格部分评分方法（10分）：</w:t>
      </w:r>
    </w:p>
    <w:tbl>
      <w:tblPr>
        <w:tblStyle w:val="60"/>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7D48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22265583">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价格权值</w:t>
            </w:r>
          </w:p>
        </w:tc>
        <w:tc>
          <w:tcPr>
            <w:tcW w:w="6606" w:type="dxa"/>
            <w:vAlign w:val="center"/>
          </w:tcPr>
          <w:p w14:paraId="35F0A60B">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计    算    方    法</w:t>
            </w:r>
          </w:p>
        </w:tc>
      </w:tr>
      <w:tr w14:paraId="1286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7683D81E">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报价得分计算规则</w:t>
            </w:r>
          </w:p>
        </w:tc>
        <w:tc>
          <w:tcPr>
            <w:tcW w:w="6606" w:type="dxa"/>
            <w:vAlign w:val="center"/>
          </w:tcPr>
          <w:p w14:paraId="7A76FAEF">
            <w:pPr>
              <w:widowControl/>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最低有效投标价格为评标基准价</w:t>
            </w:r>
          </w:p>
          <w:p w14:paraId="2BEF588F">
            <w:pPr>
              <w:widowControl/>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eastAsia="zh-CN"/>
              </w:rPr>
              <w:t>响应报价</w:t>
            </w:r>
            <w:r>
              <w:rPr>
                <w:rFonts w:hint="eastAsia" w:ascii="仿宋" w:hAnsi="仿宋" w:eastAsia="仿宋" w:cs="仿宋"/>
                <w:color w:val="auto"/>
                <w:sz w:val="24"/>
              </w:rPr>
              <w:t>得分=(评标基准价／</w:t>
            </w:r>
            <w:r>
              <w:rPr>
                <w:rFonts w:hint="eastAsia" w:ascii="仿宋" w:hAnsi="仿宋" w:eastAsia="仿宋" w:cs="仿宋"/>
                <w:color w:val="auto"/>
                <w:sz w:val="24"/>
                <w:lang w:eastAsia="zh-CN"/>
              </w:rPr>
              <w:t>响应报价</w:t>
            </w:r>
            <w:r>
              <w:rPr>
                <w:rFonts w:hint="eastAsia" w:ascii="仿宋" w:hAnsi="仿宋" w:eastAsia="仿宋" w:cs="仿宋"/>
                <w:color w:val="auto"/>
                <w:sz w:val="24"/>
              </w:rPr>
              <w:t>)×价格权值×100</w:t>
            </w:r>
          </w:p>
          <w:p w14:paraId="07576373">
            <w:pPr>
              <w:spacing w:line="400" w:lineRule="exact"/>
              <w:rPr>
                <w:rFonts w:hint="eastAsia" w:ascii="仿宋" w:hAnsi="仿宋" w:eastAsia="仿宋" w:cs="仿宋"/>
                <w:color w:val="auto"/>
                <w:sz w:val="24"/>
              </w:rPr>
            </w:pPr>
            <w:r>
              <w:rPr>
                <w:rFonts w:hint="eastAsia" w:ascii="仿宋" w:hAnsi="仿宋" w:eastAsia="仿宋" w:cs="仿宋"/>
                <w:color w:val="auto"/>
                <w:sz w:val="24"/>
              </w:rPr>
              <w:t>（计算得分保留小数点后2位）</w:t>
            </w:r>
          </w:p>
        </w:tc>
      </w:tr>
    </w:tbl>
    <w:p w14:paraId="35D9748B">
      <w:pPr>
        <w:rPr>
          <w:rFonts w:hint="eastAsia" w:ascii="仿宋" w:hAnsi="仿宋" w:eastAsia="仿宋" w:cs="仿宋"/>
          <w:color w:val="auto"/>
        </w:rPr>
      </w:pPr>
    </w:p>
    <w:p w14:paraId="618C05DD">
      <w:pPr>
        <w:snapToGrid w:val="0"/>
        <w:spacing w:line="570" w:lineRule="exact"/>
        <w:rPr>
          <w:rFonts w:hint="eastAsia" w:ascii="仿宋" w:hAnsi="仿宋" w:eastAsia="仿宋" w:cs="仿宋"/>
          <w:b/>
          <w:color w:val="auto"/>
          <w:sz w:val="32"/>
        </w:rPr>
      </w:pPr>
    </w:p>
    <w:p w14:paraId="21EE5265">
      <w:pPr>
        <w:snapToGrid w:val="0"/>
        <w:spacing w:line="570" w:lineRule="exact"/>
        <w:rPr>
          <w:rFonts w:hint="eastAsia" w:ascii="仿宋" w:hAnsi="仿宋" w:eastAsia="仿宋" w:cs="仿宋"/>
          <w:b/>
          <w:color w:val="auto"/>
          <w:sz w:val="32"/>
        </w:rPr>
      </w:pPr>
    </w:p>
    <w:p w14:paraId="51AF8FBA">
      <w:pPr>
        <w:snapToGrid w:val="0"/>
        <w:spacing w:line="570" w:lineRule="exact"/>
        <w:rPr>
          <w:rFonts w:hint="eastAsia" w:ascii="仿宋" w:hAnsi="仿宋" w:eastAsia="仿宋" w:cs="仿宋"/>
          <w:b/>
          <w:color w:val="auto"/>
          <w:sz w:val="32"/>
        </w:rPr>
      </w:pPr>
    </w:p>
    <w:p w14:paraId="164CB573">
      <w:pPr>
        <w:snapToGrid w:val="0"/>
        <w:spacing w:line="570" w:lineRule="exact"/>
        <w:rPr>
          <w:rFonts w:hint="eastAsia" w:ascii="仿宋" w:hAnsi="仿宋" w:eastAsia="仿宋" w:cs="仿宋"/>
          <w:b/>
          <w:color w:val="auto"/>
          <w:sz w:val="32"/>
        </w:rPr>
      </w:pPr>
    </w:p>
    <w:p w14:paraId="299B4C56">
      <w:pPr>
        <w:snapToGrid w:val="0"/>
        <w:spacing w:line="570" w:lineRule="exact"/>
        <w:rPr>
          <w:rFonts w:hint="eastAsia" w:ascii="仿宋" w:hAnsi="仿宋" w:eastAsia="仿宋" w:cs="仿宋"/>
          <w:b/>
          <w:color w:val="auto"/>
          <w:sz w:val="32"/>
        </w:rPr>
      </w:pPr>
    </w:p>
    <w:p w14:paraId="0F9DFD4F">
      <w:pPr>
        <w:snapToGrid w:val="0"/>
        <w:spacing w:line="570" w:lineRule="exact"/>
        <w:rPr>
          <w:rFonts w:hint="eastAsia" w:ascii="仿宋" w:hAnsi="仿宋" w:eastAsia="仿宋" w:cs="仿宋"/>
          <w:b/>
          <w:color w:val="auto"/>
          <w:sz w:val="32"/>
        </w:rPr>
      </w:pPr>
    </w:p>
    <w:p w14:paraId="6E6D5043">
      <w:pPr>
        <w:snapToGrid w:val="0"/>
        <w:spacing w:line="570" w:lineRule="exact"/>
        <w:rPr>
          <w:rFonts w:hint="eastAsia" w:ascii="仿宋" w:hAnsi="仿宋" w:eastAsia="仿宋" w:cs="仿宋"/>
          <w:b/>
          <w:color w:val="auto"/>
          <w:sz w:val="32"/>
        </w:rPr>
      </w:pPr>
    </w:p>
    <w:p w14:paraId="54FDEB6B">
      <w:pPr>
        <w:snapToGrid w:val="0"/>
        <w:spacing w:line="570" w:lineRule="exact"/>
        <w:rPr>
          <w:rFonts w:hint="eastAsia" w:ascii="仿宋" w:hAnsi="仿宋" w:eastAsia="仿宋" w:cs="仿宋"/>
          <w:b/>
          <w:color w:val="auto"/>
          <w:sz w:val="32"/>
        </w:rPr>
      </w:pPr>
    </w:p>
    <w:p w14:paraId="3D9040C2">
      <w:pPr>
        <w:snapToGrid w:val="0"/>
        <w:spacing w:line="570" w:lineRule="exact"/>
        <w:rPr>
          <w:rFonts w:hint="eastAsia" w:ascii="仿宋" w:hAnsi="仿宋" w:eastAsia="仿宋" w:cs="仿宋"/>
          <w:b/>
          <w:color w:val="auto"/>
          <w:sz w:val="32"/>
        </w:rPr>
      </w:pPr>
    </w:p>
    <w:p w14:paraId="473CA3C6">
      <w:pPr>
        <w:snapToGrid w:val="0"/>
        <w:spacing w:line="570" w:lineRule="exact"/>
        <w:rPr>
          <w:rFonts w:hint="eastAsia" w:ascii="仿宋" w:hAnsi="仿宋" w:eastAsia="仿宋" w:cs="仿宋"/>
          <w:b/>
          <w:color w:val="auto"/>
          <w:sz w:val="28"/>
          <w:szCs w:val="28"/>
        </w:rPr>
      </w:pPr>
      <w:r>
        <w:rPr>
          <w:rFonts w:hint="eastAsia" w:ascii="仿宋" w:hAnsi="仿宋" w:eastAsia="仿宋" w:cs="仿宋"/>
          <w:b/>
          <w:color w:val="auto"/>
          <w:sz w:val="32"/>
        </w:rPr>
        <w:t>一、交易方法</w:t>
      </w:r>
    </w:p>
    <w:p w14:paraId="39E5ED92">
      <w:pPr>
        <w:adjustRightInd/>
        <w:spacing w:line="570" w:lineRule="exact"/>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w:t>
      </w:r>
      <w:r>
        <w:rPr>
          <w:rFonts w:hint="eastAsia" w:ascii="仿宋" w:hAnsi="仿宋" w:eastAsia="仿宋" w:cs="仿宋"/>
          <w:b/>
          <w:color w:val="auto"/>
          <w:kern w:val="0"/>
          <w:sz w:val="24"/>
          <w:lang w:val="en-US" w:eastAsia="zh-CN"/>
        </w:rPr>
        <w:t>估</w:t>
      </w:r>
      <w:r>
        <w:rPr>
          <w:rFonts w:hint="eastAsia" w:ascii="仿宋" w:hAnsi="仿宋" w:eastAsia="仿宋" w:cs="仿宋"/>
          <w:b/>
          <w:color w:val="auto"/>
          <w:kern w:val="0"/>
          <w:sz w:val="24"/>
        </w:rPr>
        <w:t>法。</w:t>
      </w:r>
      <w:r>
        <w:rPr>
          <w:rFonts w:hint="eastAsia" w:ascii="仿宋" w:hAnsi="仿宋" w:eastAsia="仿宋" w:cs="仿宋"/>
          <w:color w:val="auto"/>
          <w:kern w:val="0"/>
          <w:sz w:val="24"/>
        </w:rPr>
        <w:t>综合评</w:t>
      </w:r>
      <w:r>
        <w:rPr>
          <w:rFonts w:hint="eastAsia" w:ascii="仿宋" w:hAnsi="仿宋" w:eastAsia="仿宋" w:cs="仿宋"/>
          <w:color w:val="auto"/>
          <w:kern w:val="0"/>
          <w:sz w:val="24"/>
          <w:lang w:val="en-US" w:eastAsia="zh-CN"/>
        </w:rPr>
        <w:t>估</w:t>
      </w:r>
      <w:r>
        <w:rPr>
          <w:rFonts w:hint="eastAsia" w:ascii="仿宋" w:hAnsi="仿宋" w:eastAsia="仿宋" w:cs="仿宋"/>
          <w:color w:val="auto"/>
          <w:kern w:val="0"/>
          <w:sz w:val="24"/>
        </w:rPr>
        <w:t>法，是指响应文件满足交易文件全部实质性要求，且按照评审因素的量化指标评审得分最高的供应商为成交候选人的评标方法。</w:t>
      </w:r>
    </w:p>
    <w:p w14:paraId="613F0EB3">
      <w:pPr>
        <w:adjustRightInd/>
        <w:spacing w:line="570" w:lineRule="exact"/>
        <w:rPr>
          <w:rFonts w:hint="eastAsia" w:ascii="仿宋" w:hAnsi="仿宋" w:eastAsia="仿宋" w:cs="仿宋"/>
          <w:color w:val="auto"/>
          <w:kern w:val="0"/>
          <w:sz w:val="24"/>
        </w:rPr>
      </w:pPr>
      <w:r>
        <w:rPr>
          <w:rFonts w:hint="eastAsia" w:ascii="仿宋" w:hAnsi="仿宋" w:eastAsia="仿宋" w:cs="仿宋"/>
          <w:b/>
          <w:color w:val="auto"/>
          <w:sz w:val="32"/>
        </w:rPr>
        <w:t>二、交易标准</w:t>
      </w:r>
    </w:p>
    <w:p w14:paraId="78FC120F">
      <w:pPr>
        <w:spacing w:line="57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见交易办法前附表。</w:t>
      </w:r>
    </w:p>
    <w:p w14:paraId="39E8AAF6">
      <w:pPr>
        <w:spacing w:line="570" w:lineRule="exact"/>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w:t>
      </w:r>
      <w:r>
        <w:rPr>
          <w:rFonts w:hint="eastAsia" w:ascii="仿宋" w:hAnsi="仿宋" w:eastAsia="仿宋" w:cs="仿宋"/>
          <w:b/>
          <w:color w:val="auto"/>
          <w:sz w:val="32"/>
        </w:rPr>
        <w:t>交易程序</w:t>
      </w:r>
    </w:p>
    <w:p w14:paraId="50F4D5EC">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评标委员会应当对符合资格的供应商的响应文件进行符合性审查，以确定其是否满足交易文件的实质性要求。不满足交易文件的实质性要求的，交易无效。</w:t>
      </w:r>
    </w:p>
    <w:p w14:paraId="382234D6">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评标委员会应当按照交易文件中规定的评标方法和标准，对符合性审查合格的响应文件进行商务和技术评估，综合比较与评价。</w:t>
      </w:r>
    </w:p>
    <w:p w14:paraId="19CFC878">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评标委员会各成员应当独立对每个供应商的商务和技术文件进行评价，并汇总商务技术得分情况。</w:t>
      </w:r>
    </w:p>
    <w:p w14:paraId="2F3E0A9A">
      <w:pPr>
        <w:spacing w:line="570" w:lineRule="exact"/>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6782A7FA">
      <w:pPr>
        <w:pStyle w:val="219"/>
        <w:spacing w:before="0" w:line="570" w:lineRule="exact"/>
        <w:ind w:firstLine="508" w:firstLineChars="212"/>
        <w:rPr>
          <w:rFonts w:hint="eastAsia" w:ascii="仿宋" w:hAnsi="仿宋" w:eastAsia="仿宋" w:cs="仿宋"/>
          <w:color w:val="auto"/>
          <w:kern w:val="0"/>
        </w:rPr>
      </w:pPr>
      <w:r>
        <w:rPr>
          <w:rFonts w:hint="eastAsia" w:ascii="仿宋" w:hAnsi="仿宋" w:eastAsia="仿宋" w:cs="仿宋"/>
          <w:color w:val="auto"/>
          <w:kern w:val="0"/>
        </w:rPr>
        <w:t>3.4.1响应文件报价出现前后不一致的，按照下列规定修正：</w:t>
      </w:r>
    </w:p>
    <w:p w14:paraId="3FFA7DB8">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3.4.1.1响应文件中交易一览表(报价表)内容与响应文件中相应内容不一致的，以交易一览表(报价表)为准；</w:t>
      </w:r>
    </w:p>
    <w:p w14:paraId="4BDE84C4">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7EA0347">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3.4.1.3单价金额小数点或者百分比有明显错位的，以交易一览表的总价为准，并修改单价;</w:t>
      </w:r>
    </w:p>
    <w:p w14:paraId="510799B1">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5CB6976A">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48F5F27D">
      <w:pPr>
        <w:snapToGrid w:val="0"/>
        <w:spacing w:line="57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3.4.2响应文件出现不是唯一的、有选择性交易报价的，交易无效。</w:t>
      </w:r>
    </w:p>
    <w:p w14:paraId="33EFD022">
      <w:pPr>
        <w:snapToGrid w:val="0"/>
        <w:spacing w:line="57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3.4.3交易报价超过交易文件中规定的预算金额或者最高限价的，交易无效。</w:t>
      </w:r>
    </w:p>
    <w:p w14:paraId="0A2D142B">
      <w:pPr>
        <w:pStyle w:val="219"/>
        <w:spacing w:before="0" w:line="570" w:lineRule="exact"/>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3C2C38EC">
      <w:pPr>
        <w:spacing w:line="570" w:lineRule="exact"/>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4A3AD813">
      <w:pPr>
        <w:spacing w:line="570" w:lineRule="exact"/>
        <w:rPr>
          <w:rFonts w:hint="eastAsia" w:ascii="仿宋" w:hAnsi="仿宋" w:eastAsia="仿宋" w:cs="仿宋"/>
          <w:b/>
          <w:color w:val="auto"/>
          <w:kern w:val="0"/>
          <w:sz w:val="24"/>
        </w:rPr>
      </w:pPr>
      <w:r>
        <w:rPr>
          <w:rFonts w:hint="eastAsia" w:ascii="仿宋" w:hAnsi="仿宋" w:eastAsia="仿宋" w:cs="仿宋"/>
          <w:color w:val="auto"/>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6A0A50A9">
      <w:pPr>
        <w:spacing w:line="570" w:lineRule="exact"/>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98135B">
      <w:pPr>
        <w:widowControl/>
        <w:shd w:val="clear" w:color="auto" w:fill="FFFFFF"/>
        <w:adjustRightInd/>
        <w:spacing w:after="225" w:line="570" w:lineRule="exac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38BFD42F">
      <w:pPr>
        <w:pStyle w:val="219"/>
        <w:spacing w:before="0" w:line="570" w:lineRule="exact"/>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4.1供应商澄清、说明或者补正。</w:t>
      </w:r>
      <w:r>
        <w:rPr>
          <w:rFonts w:hint="eastAsia" w:ascii="仿宋" w:hAnsi="仿宋" w:eastAsia="仿宋" w:cs="仿宋"/>
          <w:color w:val="auto"/>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2210999">
      <w:pPr>
        <w:pStyle w:val="23"/>
        <w:spacing w:line="570" w:lineRule="exact"/>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4.2交易无效。</w:t>
      </w:r>
      <w:r>
        <w:rPr>
          <w:rFonts w:hint="eastAsia" w:ascii="仿宋" w:hAnsi="仿宋" w:eastAsia="仿宋" w:cs="仿宋"/>
          <w:color w:val="auto"/>
          <w:szCs w:val="21"/>
        </w:rPr>
        <w:t>有下列情形之一的，交易无效：</w:t>
      </w:r>
    </w:p>
    <w:p w14:paraId="55303711">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4.2.1供应商不具备交易文件中规定的资格要求的（供应商未提供有效的资格文件的，视为供应商不具备交易文件中规定的资格要求）；</w:t>
      </w:r>
    </w:p>
    <w:p w14:paraId="20D7435E">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4.2.2响应文件未按照交易文件要求签署、盖章的；</w:t>
      </w:r>
    </w:p>
    <w:p w14:paraId="0BF96BF7">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4.2.3交易人拟采购的产品属于政府强制采购的节能产品品目清单范围的，供应商未按交易文件要求提供国家确定的认证机构出具的、处于有效期之内的节能产品认证证书的；</w:t>
      </w:r>
    </w:p>
    <w:p w14:paraId="0A7F8E34">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4.2.4响应文件含有交易人不能接受的附加条件的；</w:t>
      </w:r>
    </w:p>
    <w:p w14:paraId="329EB548">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4.2.5响应文件中承诺的交易有效期少于交易文件中载明的交易有效期的；</w:t>
      </w:r>
    </w:p>
    <w:p w14:paraId="238559B2">
      <w:pPr>
        <w:snapToGrid w:val="0"/>
        <w:spacing w:line="570" w:lineRule="exact"/>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4.2.6响应文件出现不是唯一的、有选择性交易报价的;</w:t>
      </w:r>
    </w:p>
    <w:p w14:paraId="1F70D609">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4.2.7交易报价超过交易文件中规定的预算金额或者最高限价的;</w:t>
      </w:r>
    </w:p>
    <w:p w14:paraId="3005478B">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4.2.8报价明显低于其他通过符合性审查供应商的报价，有可能影响产品质量或者不能诚信履约的，未能按要求提供书面说明或者提交相关证明材料，不能证明其报价合理性的;</w:t>
      </w:r>
    </w:p>
    <w:p w14:paraId="37E00362">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4.2.9供应商对根据修正原则修正后的报价不确认的；</w:t>
      </w:r>
    </w:p>
    <w:p w14:paraId="18ACEA76">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4.2.10供应商提供虚假材料投标的；</w:t>
      </w:r>
    </w:p>
    <w:p w14:paraId="48C33690">
      <w:pPr>
        <w:spacing w:line="570" w:lineRule="exact"/>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4.2.11供应商有恶意串通、妨碍其他供应商的竞争行为、损害交易人或者其他供应商的合法权益情形的；</w:t>
      </w:r>
    </w:p>
    <w:p w14:paraId="1E200FF6">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4.2.12供应商仅提交备份响应文件，未在电子交易平台传输递交响应文件的，交易无效；</w:t>
      </w:r>
    </w:p>
    <w:p w14:paraId="7513C9BA">
      <w:pPr>
        <w:pStyle w:val="4"/>
        <w:spacing w:line="570" w:lineRule="exact"/>
        <w:ind w:left="430" w:leftChars="205"/>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rPr>
        <w:t>4.2.13 响应文件不满足交易文件的其它实质性要求的；</w:t>
      </w:r>
    </w:p>
    <w:p w14:paraId="337388DE">
      <w:pPr>
        <w:spacing w:line="57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14:paraId="66BE5F47">
      <w:pPr>
        <w:pStyle w:val="23"/>
        <w:snapToGrid w:val="0"/>
        <w:spacing w:line="570" w:lineRule="exact"/>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49E18CBF">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5.1符合专业条件的供应商或者对交易文件作实质响应的供应商不足3家的；</w:t>
      </w:r>
    </w:p>
    <w:p w14:paraId="7F835062">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75C81925">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5.3供应商的报价均超过了采购预算，交易人不能支付的；</w:t>
      </w:r>
    </w:p>
    <w:p w14:paraId="212E5940">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5.4因重大变故，采购任务取消的。</w:t>
      </w:r>
    </w:p>
    <w:p w14:paraId="1E3303AC">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废标后，采购机构应当将废标理由通知所有供应商。</w:t>
      </w:r>
    </w:p>
    <w:p w14:paraId="30014B47">
      <w:pPr>
        <w:pStyle w:val="23"/>
        <w:snapToGrid w:val="0"/>
        <w:spacing w:line="570" w:lineRule="exact"/>
        <w:ind w:firstLine="590" w:firstLineChars="245"/>
        <w:rPr>
          <w:rFonts w:hint="eastAsia" w:ascii="仿宋" w:hAnsi="仿宋" w:eastAsia="仿宋" w:cs="仿宋"/>
          <w:color w:val="auto"/>
        </w:rPr>
      </w:pPr>
      <w:r>
        <w:rPr>
          <w:rFonts w:hint="eastAsia" w:ascii="仿宋" w:hAnsi="仿宋" w:eastAsia="仿宋" w:cs="仿宋"/>
          <w:b/>
          <w:color w:val="auto"/>
        </w:rPr>
        <w:t>6.修改交易文件，重新组织采购活动。</w:t>
      </w:r>
      <w:r>
        <w:rPr>
          <w:rFonts w:hint="eastAsia" w:ascii="仿宋" w:hAnsi="仿宋" w:eastAsia="仿宋" w:cs="仿宋"/>
          <w:color w:val="auto"/>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14:paraId="037237D6">
      <w:pPr>
        <w:pStyle w:val="23"/>
        <w:snapToGrid w:val="0"/>
        <w:spacing w:line="570" w:lineRule="exact"/>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有政府采购法第七十一条、第七十二条规定的违法行为之一，影响或者可能影响成交、成交结果的，依照下列规定处理：</w:t>
      </w:r>
    </w:p>
    <w:p w14:paraId="6C61D32A">
      <w:pPr>
        <w:pStyle w:val="23"/>
        <w:snapToGrid w:val="0"/>
        <w:spacing w:line="570" w:lineRule="exact"/>
        <w:ind w:firstLine="600" w:firstLineChars="250"/>
        <w:rPr>
          <w:rFonts w:hint="eastAsia" w:ascii="仿宋" w:hAnsi="仿宋" w:eastAsia="仿宋" w:cs="仿宋"/>
          <w:color w:val="auto"/>
        </w:rPr>
      </w:pPr>
      <w:r>
        <w:rPr>
          <w:rFonts w:hint="eastAsia" w:ascii="仿宋" w:hAnsi="仿宋" w:eastAsia="仿宋" w:cs="仿宋"/>
          <w:color w:val="auto"/>
        </w:rPr>
        <w:t>7.1未确定成交或者成交人的，终止本次政府采购活动，重新开展政府采购活动。</w:t>
      </w:r>
    </w:p>
    <w:p w14:paraId="413BF344">
      <w:pPr>
        <w:pStyle w:val="23"/>
        <w:snapToGrid w:val="0"/>
        <w:spacing w:line="570" w:lineRule="exact"/>
        <w:ind w:firstLine="600" w:firstLineChars="250"/>
        <w:rPr>
          <w:rFonts w:hint="eastAsia" w:ascii="仿宋" w:hAnsi="仿宋" w:eastAsia="仿宋" w:cs="仿宋"/>
          <w:color w:val="auto"/>
        </w:rPr>
      </w:pPr>
      <w:r>
        <w:rPr>
          <w:rFonts w:hint="eastAsia" w:ascii="仿宋" w:hAnsi="仿宋" w:eastAsia="仿宋" w:cs="仿宋"/>
          <w:color w:val="auto"/>
        </w:rPr>
        <w:t>7.2已确定成交或者成交人但尚未签订政府采购合同的，成交或者成交结果无效，从合格的成交或者成交候选人中另行确定成交或者成交人；没有合格的成交或者成交候选人的，重新开展政府采购活动。</w:t>
      </w:r>
    </w:p>
    <w:p w14:paraId="1D68B3E3">
      <w:pPr>
        <w:pStyle w:val="23"/>
        <w:snapToGrid w:val="0"/>
        <w:spacing w:line="570" w:lineRule="exact"/>
        <w:ind w:firstLine="600" w:firstLineChars="250"/>
        <w:rPr>
          <w:rFonts w:hint="eastAsia" w:ascii="仿宋" w:hAnsi="仿宋" w:eastAsia="仿宋" w:cs="仿宋"/>
          <w:color w:val="auto"/>
        </w:rPr>
      </w:pPr>
      <w:r>
        <w:rPr>
          <w:rFonts w:hint="eastAsia" w:ascii="仿宋" w:hAnsi="仿宋" w:eastAsia="仿宋" w:cs="仿宋"/>
          <w:color w:val="auto"/>
        </w:rPr>
        <w:t>7.3采购合同已签订但尚未履行的，撤销合同，从合格的成交或者成交候选人中另行确定成交或者成交人；没有合格的成交或者成交候选人的，重新开展政府采购活动。</w:t>
      </w:r>
    </w:p>
    <w:p w14:paraId="355BB414">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7.4采购合同已经履行，给交易人、供应商造成损失的，由责任人承担赔偿责任。</w:t>
      </w:r>
    </w:p>
    <w:p w14:paraId="39B4158E">
      <w:pPr>
        <w:pStyle w:val="23"/>
        <w:snapToGrid w:val="0"/>
        <w:spacing w:line="570" w:lineRule="exact"/>
        <w:rPr>
          <w:rFonts w:hint="eastAsia" w:ascii="仿宋" w:hAnsi="仿宋" w:eastAsia="仿宋" w:cs="仿宋"/>
          <w:color w:val="auto"/>
        </w:rPr>
      </w:pPr>
      <w:r>
        <w:rPr>
          <w:rFonts w:hint="eastAsia" w:ascii="仿宋" w:hAnsi="仿宋" w:eastAsia="仿宋" w:cs="仿宋"/>
          <w:color w:val="auto"/>
        </w:rPr>
        <w:t>7.5采购当事人有其他违反政府采购法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的行为，经改正后仍然影响或者可能影响成交、成交结果或者依法被认定为成交、成交无效的，依照7.1-7.4规定处理。</w:t>
      </w:r>
    </w:p>
    <w:p w14:paraId="373C87C5">
      <w:pPr>
        <w:widowControl/>
        <w:spacing w:line="360" w:lineRule="auto"/>
        <w:rPr>
          <w:rFonts w:hint="eastAsia" w:ascii="仿宋" w:hAnsi="仿宋" w:eastAsia="仿宋" w:cs="仿宋"/>
          <w:color w:val="auto"/>
          <w:sz w:val="24"/>
        </w:rPr>
      </w:pPr>
    </w:p>
    <w:p w14:paraId="4211B94E">
      <w:pPr>
        <w:widowControl/>
        <w:adjustRightInd/>
        <w:jc w:val="left"/>
        <w:rPr>
          <w:rFonts w:hint="eastAsia" w:ascii="仿宋" w:hAnsi="仿宋" w:eastAsia="仿宋" w:cs="仿宋"/>
          <w:b/>
          <w:color w:val="auto"/>
          <w:sz w:val="32"/>
        </w:rPr>
      </w:pPr>
      <w:r>
        <w:rPr>
          <w:rFonts w:hint="eastAsia" w:ascii="仿宋" w:hAnsi="仿宋" w:eastAsia="仿宋" w:cs="仿宋"/>
          <w:b/>
          <w:color w:val="auto"/>
          <w:sz w:val="32"/>
        </w:rPr>
        <w:br w:type="page"/>
      </w:r>
    </w:p>
    <w:bookmarkEnd w:id="38"/>
    <w:p w14:paraId="389B1932">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3E1F81A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（服务类样本）</w:t>
      </w:r>
    </w:p>
    <w:p w14:paraId="5BA99C4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签订地点：                                  签订时间：20</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8536F0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项目名称：</w:t>
      </w:r>
    </w:p>
    <w:p w14:paraId="17E62891">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甲方（需方）：                                     </w:t>
      </w:r>
    </w:p>
    <w:p w14:paraId="7B24E407">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乙方（供方）：                                     </w:t>
      </w:r>
    </w:p>
    <w:p w14:paraId="12C919A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供、需双方根据杭州市萧山区</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）交易结果和公开竞争文件的要求，并经双方协调一致，订立本采购合同。</w:t>
      </w:r>
    </w:p>
    <w:p w14:paraId="2D3AC9E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一、合同文件：</w:t>
      </w:r>
    </w:p>
    <w:p w14:paraId="0B1FA68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1、合同条款。</w:t>
      </w:r>
    </w:p>
    <w:p w14:paraId="16416AE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2、成交通知书。</w:t>
      </w:r>
    </w:p>
    <w:p w14:paraId="7E3C32E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3、公开竞争文件。</w:t>
      </w:r>
    </w:p>
    <w:p w14:paraId="4D262BB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4、更正公告。</w:t>
      </w:r>
    </w:p>
    <w:p w14:paraId="2177ED9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5、成交单位成交文件。</w:t>
      </w:r>
    </w:p>
    <w:p w14:paraId="474AD63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6、其他。</w:t>
      </w:r>
    </w:p>
    <w:p w14:paraId="01239FD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二、合同金额: 本合同金额为(大写)_______________元（￥</w:t>
      </w:r>
      <w:r>
        <w:rPr>
          <w:rFonts w:hint="eastAsia" w:ascii="仿宋" w:hAnsi="仿宋" w:eastAsia="仿宋" w:cs="仿宋"/>
          <w:color w:val="auto"/>
          <w:sz w:val="24"/>
          <w:u w:val="single"/>
        </w:rPr>
        <w:t>　　　　</w:t>
      </w:r>
      <w:r>
        <w:rPr>
          <w:rFonts w:hint="eastAsia" w:ascii="仿宋" w:hAnsi="仿宋" w:eastAsia="仿宋" w:cs="仿宋"/>
          <w:color w:val="auto"/>
          <w:sz w:val="24"/>
        </w:rPr>
        <w:t>元）人民币附：</w:t>
      </w:r>
    </w:p>
    <w:p w14:paraId="43B44441">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5154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431680B">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63D86F7F">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0607A798">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7E46270C">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1AFB3B10">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79A1CF9A">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成交总价（元）</w:t>
            </w:r>
          </w:p>
        </w:tc>
      </w:tr>
      <w:tr w14:paraId="179A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26FFCD2">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61FEC23C">
            <w:pPr>
              <w:spacing w:line="440" w:lineRule="exact"/>
              <w:jc w:val="center"/>
              <w:rPr>
                <w:rFonts w:hint="eastAsia" w:ascii="仿宋" w:hAnsi="仿宋" w:eastAsia="仿宋" w:cs="仿宋"/>
                <w:color w:val="auto"/>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314C2D5">
            <w:pPr>
              <w:spacing w:line="440" w:lineRule="exact"/>
              <w:jc w:val="center"/>
              <w:rPr>
                <w:rFonts w:hint="eastAsia" w:ascii="仿宋" w:hAnsi="仿宋" w:eastAsia="仿宋" w:cs="仿宋"/>
                <w:color w:val="auto"/>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51ED664B">
            <w:pPr>
              <w:spacing w:line="440" w:lineRule="exact"/>
              <w:jc w:val="center"/>
              <w:rPr>
                <w:rFonts w:hint="eastAsia" w:ascii="仿宋" w:hAnsi="仿宋" w:eastAsia="仿宋" w:cs="仿宋"/>
                <w:color w:val="auto"/>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3F7F5608">
            <w:pPr>
              <w:spacing w:line="440" w:lineRule="exact"/>
              <w:jc w:val="center"/>
              <w:rPr>
                <w:rFonts w:hint="eastAsia" w:ascii="仿宋" w:hAnsi="仿宋" w:eastAsia="仿宋" w:cs="仿宋"/>
                <w:color w:val="auto"/>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7E408288">
            <w:pPr>
              <w:spacing w:line="440" w:lineRule="exact"/>
              <w:jc w:val="center"/>
              <w:rPr>
                <w:rFonts w:hint="eastAsia" w:ascii="仿宋" w:hAnsi="仿宋" w:eastAsia="仿宋" w:cs="仿宋"/>
                <w:color w:val="auto"/>
                <w:sz w:val="24"/>
              </w:rPr>
            </w:pPr>
          </w:p>
        </w:tc>
      </w:tr>
      <w:tr w14:paraId="38BD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F498B89">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38578B52">
            <w:pPr>
              <w:spacing w:line="440" w:lineRule="exact"/>
              <w:jc w:val="center"/>
              <w:rPr>
                <w:rFonts w:hint="eastAsia" w:ascii="仿宋" w:hAnsi="仿宋" w:eastAsia="仿宋" w:cs="仿宋"/>
                <w:color w:val="auto"/>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6E46FC0">
            <w:pPr>
              <w:spacing w:line="440" w:lineRule="exact"/>
              <w:jc w:val="center"/>
              <w:rPr>
                <w:rFonts w:hint="eastAsia" w:ascii="仿宋" w:hAnsi="仿宋" w:eastAsia="仿宋" w:cs="仿宋"/>
                <w:color w:val="auto"/>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5752CBB1">
            <w:pPr>
              <w:spacing w:line="440" w:lineRule="exact"/>
              <w:jc w:val="center"/>
              <w:rPr>
                <w:rFonts w:hint="eastAsia" w:ascii="仿宋" w:hAnsi="仿宋" w:eastAsia="仿宋" w:cs="仿宋"/>
                <w:color w:val="auto"/>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75FDDDC0">
            <w:pPr>
              <w:spacing w:line="440" w:lineRule="exact"/>
              <w:jc w:val="center"/>
              <w:rPr>
                <w:rFonts w:hint="eastAsia" w:ascii="仿宋" w:hAnsi="仿宋" w:eastAsia="仿宋" w:cs="仿宋"/>
                <w:color w:val="auto"/>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3D2B607">
            <w:pPr>
              <w:spacing w:line="440" w:lineRule="exact"/>
              <w:jc w:val="center"/>
              <w:rPr>
                <w:rFonts w:hint="eastAsia" w:ascii="仿宋" w:hAnsi="仿宋" w:eastAsia="仿宋" w:cs="仿宋"/>
                <w:color w:val="auto"/>
                <w:sz w:val="24"/>
              </w:rPr>
            </w:pPr>
          </w:p>
        </w:tc>
      </w:tr>
    </w:tbl>
    <w:p w14:paraId="1746BB2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三、技术资料</w:t>
      </w:r>
    </w:p>
    <w:p w14:paraId="46CDF19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1.乙方应按公开竞争文件规定的时间向甲方提供有关技术资料。</w:t>
      </w:r>
    </w:p>
    <w:p w14:paraId="1993D6F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AB46586">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四、知识产权</w:t>
      </w:r>
    </w:p>
    <w:p w14:paraId="6329554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乙方应保证提供服务过程中不会侵犯任何第三方的知识产权。</w:t>
      </w:r>
    </w:p>
    <w:p w14:paraId="0EFC5106">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五、履约保证金</w:t>
      </w:r>
    </w:p>
    <w:p w14:paraId="6DE79B1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乙方交纳人民币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元作为本合同的履约保证金。</w:t>
      </w:r>
    </w:p>
    <w:p w14:paraId="7F663AA3">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六、转包或分包</w:t>
      </w:r>
    </w:p>
    <w:p w14:paraId="1ED959C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1.本合同范围的服务，应由乙方直接供应，不得转让他人供应；</w:t>
      </w:r>
    </w:p>
    <w:p w14:paraId="3820BDC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除非得到甲方的书面同意，乙方不得将本合同范围的服务全部或部分分包给他人供应；</w:t>
      </w:r>
    </w:p>
    <w:p w14:paraId="5D48E56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3.如有转让和未经甲方同意的分包行为，甲方有权解除合同，没收履约保证金并追究乙方的违约责任。</w:t>
      </w:r>
    </w:p>
    <w:p w14:paraId="0258B30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七、合同履行时间、履行方式及履行地点</w:t>
      </w:r>
    </w:p>
    <w:p w14:paraId="12DE84E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 履行时间：</w:t>
      </w:r>
    </w:p>
    <w:p w14:paraId="1FE4CDB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履行方式：</w:t>
      </w:r>
    </w:p>
    <w:p w14:paraId="0CA60BE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 履行地点：</w:t>
      </w:r>
    </w:p>
    <w:p w14:paraId="4138496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八、款项支付</w:t>
      </w:r>
    </w:p>
    <w:p w14:paraId="78F9139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1.付款方式：</w:t>
      </w:r>
    </w:p>
    <w:p w14:paraId="21280DF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合同履行完毕，需方根据合同进行验收，验收合格后供应商按街道结算要求办理结算手续。</w:t>
      </w:r>
    </w:p>
    <w:p w14:paraId="4548ED7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九、税费</w:t>
      </w:r>
    </w:p>
    <w:p w14:paraId="5EB34BB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本合同执行中相关的一切税费均由乙方负担。</w:t>
      </w:r>
    </w:p>
    <w:p w14:paraId="4592EAA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十、质量保证及后续服务</w:t>
      </w:r>
    </w:p>
    <w:p w14:paraId="5FB2AF0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 乙方应按公开竞争文件规定向甲方提供服务。</w:t>
      </w:r>
    </w:p>
    <w:p w14:paraId="1A6032C1">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 乙方提供的服务成果在服务质量保证期内发生故障，乙方应负责免费提供后续服务。对达不到要求者，根据实际情况，经双方协商，可按以下办法处理：</w:t>
      </w:r>
    </w:p>
    <w:p w14:paraId="565AC2D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⑴重做：由乙方承担所发生的全部费用。</w:t>
      </w:r>
    </w:p>
    <w:p w14:paraId="2203BB7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⑵贬值处理：由甲乙双方合议定价。</w:t>
      </w:r>
    </w:p>
    <w:p w14:paraId="1DD85F9F">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⑶解除合同。</w:t>
      </w:r>
    </w:p>
    <w:p w14:paraId="276E3EB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 如在使用过程中发生问题，乙方在接到甲方通知后在</w:t>
      </w:r>
      <w:r>
        <w:rPr>
          <w:rFonts w:hint="eastAsia" w:ascii="仿宋" w:hAnsi="仿宋" w:eastAsia="仿宋" w:cs="仿宋"/>
          <w:color w:val="auto"/>
          <w:sz w:val="24"/>
          <w:u w:val="single"/>
        </w:rPr>
        <w:t xml:space="preserve">   </w:t>
      </w:r>
      <w:r>
        <w:rPr>
          <w:rFonts w:hint="eastAsia" w:ascii="仿宋" w:hAnsi="仿宋" w:eastAsia="仿宋" w:cs="仿宋"/>
          <w:color w:val="auto"/>
          <w:sz w:val="24"/>
        </w:rPr>
        <w:t>小时内到达甲方现场。</w:t>
      </w:r>
    </w:p>
    <w:p w14:paraId="73F1D30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4.在服务质量保证期内，乙方应对出现的质量及安全问题负责处理解决并承担一切费用。</w:t>
      </w:r>
    </w:p>
    <w:p w14:paraId="51451037">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十一、违约责任</w:t>
      </w:r>
    </w:p>
    <w:p w14:paraId="18324FE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1.甲方无正当理由拒绝接收服务的，甲方向乙方偿付合同款项百分之</w:t>
      </w:r>
      <w:r>
        <w:rPr>
          <w:rFonts w:hint="eastAsia" w:ascii="仿宋" w:hAnsi="仿宋" w:eastAsia="仿宋" w:cs="仿宋"/>
          <w:color w:val="auto"/>
          <w:sz w:val="24"/>
          <w:u w:val="single"/>
        </w:rPr>
        <w:t xml:space="preserve"> 五 </w:t>
      </w:r>
      <w:r>
        <w:rPr>
          <w:rFonts w:hint="eastAsia" w:ascii="仿宋" w:hAnsi="仿宋" w:eastAsia="仿宋" w:cs="仿宋"/>
          <w:color w:val="auto"/>
          <w:sz w:val="24"/>
        </w:rPr>
        <w:t>作为违约金。</w:t>
      </w:r>
    </w:p>
    <w:p w14:paraId="522B0CB0">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2.甲方无故逾期验收和办理款项支付手续的，甲方应按逾期付款总额每日万分之</w:t>
      </w:r>
      <w:r>
        <w:rPr>
          <w:rFonts w:hint="eastAsia" w:ascii="仿宋" w:hAnsi="仿宋" w:eastAsia="仿宋" w:cs="仿宋"/>
          <w:color w:val="auto"/>
          <w:sz w:val="24"/>
          <w:u w:val="single"/>
        </w:rPr>
        <w:t xml:space="preserve"> 五</w:t>
      </w:r>
      <w:r>
        <w:rPr>
          <w:rFonts w:hint="eastAsia" w:ascii="仿宋" w:hAnsi="仿宋" w:eastAsia="仿宋" w:cs="仿宋"/>
          <w:color w:val="auto"/>
          <w:sz w:val="24"/>
        </w:rPr>
        <w:t>向乙方支付违约金。</w:t>
      </w:r>
    </w:p>
    <w:p w14:paraId="4D1ED69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3.乙方未能如期提供服务的，每日向甲方支付合同款项的千分之</w:t>
      </w:r>
      <w:r>
        <w:rPr>
          <w:rFonts w:hint="eastAsia" w:ascii="仿宋" w:hAnsi="仿宋" w:eastAsia="仿宋" w:cs="仿宋"/>
          <w:color w:val="auto"/>
          <w:sz w:val="24"/>
          <w:u w:val="single"/>
        </w:rPr>
        <w:t xml:space="preserve"> 六 </w:t>
      </w:r>
      <w:r>
        <w:rPr>
          <w:rFonts w:hint="eastAsia" w:ascii="仿宋" w:hAnsi="仿宋" w:eastAsia="仿宋" w:cs="仿宋"/>
          <w:color w:val="auto"/>
          <w:sz w:val="24"/>
        </w:rPr>
        <w:t>作为违约金。乙方超过约定日期10个工作日仍不能提供服务的，甲方可解除本合同，不予退还履约保证金，如造成甲方损失超过履约保证金的，超出部分由乙方继续承担赔偿责任。</w:t>
      </w:r>
    </w:p>
    <w:p w14:paraId="4234943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4.供方在服务项目验收合格之日起保修期内违反本合同有关承诺保证的，需方采购人将有权不予退还质量保证金，损失赔偿不足部分，由乙方承担赔偿。</w:t>
      </w:r>
    </w:p>
    <w:p w14:paraId="3B330D1D">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5.如发现乙方违反招</w:t>
      </w:r>
      <w:r>
        <w:rPr>
          <w:rFonts w:hint="eastAsia" w:ascii="仿宋" w:hAnsi="仿宋" w:eastAsia="仿宋" w:cs="仿宋"/>
          <w:color w:val="auto"/>
          <w:sz w:val="24"/>
          <w:lang w:eastAsia="zh-CN"/>
        </w:rPr>
        <w:t>响应文件</w:t>
      </w:r>
      <w:r>
        <w:rPr>
          <w:rFonts w:hint="eastAsia" w:ascii="仿宋" w:hAnsi="仿宋" w:eastAsia="仿宋" w:cs="仿宋"/>
          <w:color w:val="auto"/>
          <w:sz w:val="24"/>
        </w:rPr>
        <w:t>和合同的有关规定，甲方有权根据约定和《杭州市政府采购供应商合同履行和售后服务考核暂行办法》，对乙方进行处罚，并有权提前终止合同。</w:t>
      </w:r>
    </w:p>
    <w:p w14:paraId="6923A05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十二、争议的解决</w:t>
      </w:r>
    </w:p>
    <w:p w14:paraId="5B252A29">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因本合同引起的或与本合同有关的任何争议，合同双方应首先通过协商解决，达成书面协议，如协商不成，可选择下列第      种方式解决。</w:t>
      </w:r>
    </w:p>
    <w:p w14:paraId="4CA113B6">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（1）提请杭州仲裁委员会按照该会仲裁规则进行仲裁，仲裁裁决是终局的，对合同双方均有约束力。</w:t>
      </w:r>
    </w:p>
    <w:p w14:paraId="73C12FF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（2）向有管辖权的人民法院提起诉讼。</w:t>
      </w:r>
    </w:p>
    <w:p w14:paraId="45004F3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十三、合同生效</w:t>
      </w:r>
    </w:p>
    <w:p w14:paraId="30805A7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1.成交方持成交通知书作为与需方签订合同的凭证。</w:t>
      </w:r>
    </w:p>
    <w:p w14:paraId="12A7B425">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2.本合同经需、供双方法定代表人或其委托人签字并加盖公章后生效。</w:t>
      </w:r>
    </w:p>
    <w:p w14:paraId="048C1A42">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3.本合同一式四份，需、供双方各执二份。</w:t>
      </w:r>
    </w:p>
    <w:p w14:paraId="7E2904A4">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需方（盖章）：                      供方（盖章）：</w:t>
      </w:r>
    </w:p>
    <w:p w14:paraId="3C22CA5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地址：                             地址：</w:t>
      </w:r>
    </w:p>
    <w:p w14:paraId="41C121A8">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                       法定代表人：</w:t>
      </w:r>
    </w:p>
    <w:p w14:paraId="4794002A">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委托代理人：                       委托代理人：</w:t>
      </w:r>
    </w:p>
    <w:p w14:paraId="2E13285C">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电话：                             电话：</w:t>
      </w:r>
    </w:p>
    <w:p w14:paraId="46C43BAB">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邮政编码：                         邮政编码：</w:t>
      </w:r>
    </w:p>
    <w:p w14:paraId="303B2DF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7B016542">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帐号：                             帐号：</w:t>
      </w:r>
    </w:p>
    <w:p w14:paraId="1DB9E7BF">
      <w:pPr>
        <w:rPr>
          <w:rFonts w:hint="eastAsia" w:ascii="仿宋" w:hAnsi="仿宋" w:eastAsia="仿宋" w:cs="仿宋"/>
          <w:color w:val="auto"/>
        </w:rPr>
      </w:pPr>
    </w:p>
    <w:p w14:paraId="5B2D49ED">
      <w:pPr>
        <w:rPr>
          <w:rFonts w:hint="eastAsia" w:ascii="仿宋" w:hAnsi="仿宋" w:eastAsia="仿宋" w:cs="仿宋"/>
          <w:color w:val="auto"/>
        </w:rPr>
      </w:pPr>
    </w:p>
    <w:p w14:paraId="6E17A345">
      <w:pPr>
        <w:rPr>
          <w:rFonts w:hint="eastAsia" w:ascii="仿宋" w:hAnsi="仿宋" w:eastAsia="仿宋" w:cs="仿宋"/>
          <w:color w:val="auto"/>
        </w:rPr>
      </w:pPr>
    </w:p>
    <w:p w14:paraId="2EDC19D7">
      <w:pPr>
        <w:rPr>
          <w:rFonts w:hint="eastAsia" w:ascii="仿宋" w:hAnsi="仿宋" w:eastAsia="仿宋" w:cs="仿宋"/>
          <w:color w:val="auto"/>
        </w:rPr>
      </w:pPr>
    </w:p>
    <w:p w14:paraId="0C277753">
      <w:pPr>
        <w:rPr>
          <w:rFonts w:hint="eastAsia" w:ascii="仿宋" w:hAnsi="仿宋" w:eastAsia="仿宋" w:cs="仿宋"/>
          <w:color w:val="auto"/>
        </w:rPr>
      </w:pPr>
    </w:p>
    <w:p w14:paraId="3FF6FA1B">
      <w:pPr>
        <w:rPr>
          <w:rFonts w:hint="eastAsia" w:ascii="仿宋" w:hAnsi="仿宋" w:eastAsia="仿宋" w:cs="仿宋"/>
          <w:color w:val="auto"/>
        </w:rPr>
      </w:pPr>
    </w:p>
    <w:p w14:paraId="14668F7B">
      <w:pPr>
        <w:rPr>
          <w:rFonts w:hint="eastAsia" w:ascii="仿宋" w:hAnsi="仿宋" w:eastAsia="仿宋" w:cs="仿宋"/>
          <w:color w:val="auto"/>
        </w:rPr>
      </w:pPr>
    </w:p>
    <w:p w14:paraId="15526FD5">
      <w:pPr>
        <w:spacing w:line="360" w:lineRule="auto"/>
        <w:ind w:left="720" w:firstLine="723" w:firstLineChars="200"/>
        <w:outlineLvl w:val="0"/>
        <w:rPr>
          <w:rFonts w:hint="eastAsia" w:ascii="仿宋" w:hAnsi="仿宋" w:eastAsia="仿宋" w:cs="仿宋"/>
          <w:b/>
          <w:color w:val="auto"/>
          <w:sz w:val="36"/>
          <w:szCs w:val="20"/>
        </w:rPr>
      </w:pPr>
    </w:p>
    <w:p w14:paraId="641E8EBB">
      <w:pPr>
        <w:spacing w:line="360" w:lineRule="auto"/>
        <w:ind w:left="720" w:firstLine="723" w:firstLineChars="200"/>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 应提交的有关格式范例</w:t>
      </w:r>
    </w:p>
    <w:p w14:paraId="4BA93210">
      <w:pPr>
        <w:spacing w:line="360" w:lineRule="auto"/>
        <w:jc w:val="center"/>
        <w:outlineLvl w:val="0"/>
        <w:rPr>
          <w:rFonts w:hint="eastAsia" w:ascii="仿宋" w:hAnsi="仿宋" w:eastAsia="仿宋" w:cs="仿宋"/>
          <w:b/>
          <w:color w:val="auto"/>
          <w:kern w:val="0"/>
          <w:sz w:val="36"/>
          <w:szCs w:val="36"/>
        </w:rPr>
      </w:pPr>
    </w:p>
    <w:p w14:paraId="0B862B0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6799B111">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9A860D0">
      <w:pPr>
        <w:spacing w:line="360" w:lineRule="auto"/>
        <w:jc w:val="center"/>
        <w:outlineLvl w:val="0"/>
        <w:rPr>
          <w:rFonts w:hint="eastAsia" w:ascii="仿宋" w:hAnsi="仿宋" w:eastAsia="仿宋" w:cs="仿宋"/>
          <w:b/>
          <w:color w:val="auto"/>
          <w:kern w:val="0"/>
          <w:sz w:val="36"/>
          <w:szCs w:val="36"/>
        </w:rPr>
      </w:pPr>
    </w:p>
    <w:p w14:paraId="4E0995D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（1）符合参加采购活动应当具备的一般条件的承诺函……………（页码）</w:t>
      </w:r>
    </w:p>
    <w:p w14:paraId="7311977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（2）本项目的特定资格要求………………………………………………（页码）</w:t>
      </w:r>
    </w:p>
    <w:p w14:paraId="4E2A9CA2">
      <w:pPr>
        <w:snapToGrid w:val="0"/>
        <w:spacing w:line="360" w:lineRule="auto"/>
        <w:ind w:firstLine="480" w:firstLineChars="200"/>
        <w:rPr>
          <w:rFonts w:hint="eastAsia" w:ascii="仿宋" w:hAnsi="仿宋" w:eastAsia="仿宋" w:cs="仿宋"/>
          <w:color w:val="auto"/>
          <w:sz w:val="24"/>
        </w:rPr>
      </w:pPr>
    </w:p>
    <w:p w14:paraId="2B3F4447">
      <w:pPr>
        <w:spacing w:line="360" w:lineRule="auto"/>
        <w:ind w:firstLine="480" w:firstLineChars="200"/>
        <w:rPr>
          <w:rFonts w:hint="eastAsia" w:ascii="仿宋" w:hAnsi="仿宋" w:eastAsia="仿宋" w:cs="仿宋"/>
          <w:color w:val="auto"/>
          <w:sz w:val="24"/>
        </w:rPr>
      </w:pPr>
    </w:p>
    <w:p w14:paraId="5DD3259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符合参加采购活动应当具备的一般条件的承诺函</w:t>
      </w:r>
    </w:p>
    <w:p w14:paraId="3A91425A">
      <w:pPr>
        <w:snapToGrid w:val="0"/>
        <w:spacing w:line="360" w:lineRule="auto"/>
        <w:rPr>
          <w:rFonts w:hint="eastAsia" w:ascii="仿宋" w:hAnsi="仿宋" w:eastAsia="仿宋" w:cs="仿宋"/>
          <w:color w:val="auto"/>
          <w:sz w:val="24"/>
        </w:rPr>
      </w:pPr>
    </w:p>
    <w:p w14:paraId="30988CF9">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u w:val="single"/>
        </w:rPr>
        <w:t>（交易人）、（采购代理机构）：</w:t>
      </w:r>
    </w:p>
    <w:p w14:paraId="3962311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（项目名称）【交易编号：】</w:t>
      </w:r>
      <w:r>
        <w:rPr>
          <w:rFonts w:hint="eastAsia" w:ascii="仿宋" w:hAnsi="仿宋" w:eastAsia="仿宋" w:cs="仿宋"/>
          <w:color w:val="auto"/>
          <w:sz w:val="24"/>
        </w:rPr>
        <w:t>采购活动，郑重承诺：</w:t>
      </w:r>
    </w:p>
    <w:p w14:paraId="40DEB167">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（一）具备以下条件：</w:t>
      </w:r>
    </w:p>
    <w:p w14:paraId="740BDF0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61851CA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17F82F1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4C85F53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02AC0AF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5、参加采购活动前三年内，在经营活动中没有重大违法记录；</w:t>
      </w:r>
    </w:p>
    <w:p w14:paraId="0F1C94C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A022E36">
      <w:pPr>
        <w:snapToGrid w:val="0"/>
        <w:spacing w:line="360" w:lineRule="auto"/>
        <w:ind w:firstLine="5520" w:firstLineChars="2300"/>
        <w:rPr>
          <w:rFonts w:hint="eastAsia" w:ascii="仿宋" w:hAnsi="仿宋" w:eastAsia="仿宋" w:cs="仿宋"/>
          <w:color w:val="auto"/>
          <w:kern w:val="0"/>
          <w:sz w:val="24"/>
          <w:lang w:val="zh-CN"/>
        </w:rPr>
      </w:pPr>
    </w:p>
    <w:p w14:paraId="39C3E153">
      <w:pPr>
        <w:snapToGrid w:val="0"/>
        <w:spacing w:line="360" w:lineRule="auto"/>
        <w:ind w:firstLine="5520" w:firstLineChars="2300"/>
        <w:rPr>
          <w:rFonts w:hint="eastAsia" w:ascii="仿宋" w:hAnsi="仿宋" w:eastAsia="仿宋" w:cs="仿宋"/>
          <w:color w:val="auto"/>
          <w:kern w:val="0"/>
          <w:sz w:val="24"/>
          <w:lang w:val="zh-CN"/>
        </w:rPr>
      </w:pPr>
    </w:p>
    <w:p w14:paraId="50B10176">
      <w:pPr>
        <w:snapToGrid w:val="0"/>
        <w:spacing w:line="360" w:lineRule="auto"/>
        <w:ind w:firstLine="5520" w:firstLineChars="2300"/>
        <w:rPr>
          <w:rFonts w:hint="eastAsia" w:ascii="仿宋" w:hAnsi="仿宋" w:eastAsia="仿宋" w:cs="仿宋"/>
          <w:color w:val="auto"/>
          <w:kern w:val="0"/>
          <w:sz w:val="24"/>
          <w:lang w:val="zh-CN"/>
        </w:rPr>
      </w:pPr>
    </w:p>
    <w:p w14:paraId="67A59DFA">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4C086DE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16EA2581">
      <w:pPr>
        <w:snapToGrid w:val="0"/>
        <w:spacing w:line="360" w:lineRule="auto"/>
        <w:ind w:right="480"/>
        <w:jc w:val="center"/>
        <w:rPr>
          <w:rFonts w:hint="eastAsia" w:ascii="仿宋" w:hAnsi="仿宋" w:eastAsia="仿宋" w:cs="仿宋"/>
          <w:b/>
          <w:color w:val="auto"/>
          <w:kern w:val="0"/>
          <w:sz w:val="32"/>
          <w:szCs w:val="32"/>
        </w:rPr>
      </w:pPr>
    </w:p>
    <w:p w14:paraId="13215FFC">
      <w:pPr>
        <w:snapToGrid w:val="0"/>
        <w:spacing w:line="360" w:lineRule="auto"/>
        <w:ind w:right="480"/>
        <w:jc w:val="center"/>
        <w:rPr>
          <w:rFonts w:hint="eastAsia" w:ascii="仿宋" w:hAnsi="仿宋" w:eastAsia="仿宋" w:cs="仿宋"/>
          <w:b/>
          <w:color w:val="auto"/>
          <w:kern w:val="0"/>
          <w:sz w:val="32"/>
          <w:szCs w:val="32"/>
        </w:rPr>
      </w:pPr>
    </w:p>
    <w:p w14:paraId="4F7E7E57">
      <w:pPr>
        <w:snapToGrid w:val="0"/>
        <w:spacing w:line="360" w:lineRule="auto"/>
        <w:ind w:right="480"/>
        <w:jc w:val="center"/>
        <w:rPr>
          <w:rFonts w:hint="eastAsia" w:ascii="仿宋" w:hAnsi="仿宋" w:eastAsia="仿宋" w:cs="仿宋"/>
          <w:b/>
          <w:color w:val="auto"/>
          <w:kern w:val="0"/>
          <w:sz w:val="32"/>
          <w:szCs w:val="32"/>
        </w:rPr>
      </w:pPr>
    </w:p>
    <w:p w14:paraId="7B4D77FF">
      <w:pPr>
        <w:rPr>
          <w:rFonts w:hint="eastAsia" w:ascii="仿宋" w:hAnsi="仿宋" w:eastAsia="仿宋" w:cs="仿宋"/>
          <w:color w:val="auto"/>
        </w:rPr>
      </w:pPr>
    </w:p>
    <w:p w14:paraId="7A8B3E81">
      <w:pPr>
        <w:rPr>
          <w:rFonts w:hint="eastAsia" w:ascii="仿宋" w:hAnsi="仿宋" w:eastAsia="仿宋" w:cs="仿宋"/>
          <w:b/>
          <w:color w:val="auto"/>
          <w:kern w:val="0"/>
          <w:sz w:val="32"/>
          <w:szCs w:val="32"/>
        </w:rPr>
      </w:pPr>
    </w:p>
    <w:p w14:paraId="1EB2CC7B">
      <w:pPr>
        <w:widowControl/>
        <w:spacing w:line="360" w:lineRule="auto"/>
        <w:ind w:left="150"/>
        <w:jc w:val="center"/>
        <w:rPr>
          <w:rFonts w:hint="eastAsia" w:ascii="仿宋" w:hAnsi="仿宋" w:eastAsia="仿宋" w:cs="仿宋"/>
          <w:b/>
          <w:color w:val="auto"/>
          <w:kern w:val="0"/>
          <w:sz w:val="32"/>
          <w:szCs w:val="32"/>
        </w:rPr>
      </w:pPr>
    </w:p>
    <w:p w14:paraId="3D279FE0">
      <w:pPr>
        <w:widowControl/>
        <w:spacing w:line="360" w:lineRule="auto"/>
        <w:ind w:left="150"/>
        <w:jc w:val="center"/>
        <w:rPr>
          <w:rFonts w:hint="eastAsia" w:ascii="仿宋" w:hAnsi="仿宋" w:eastAsia="仿宋" w:cs="仿宋"/>
          <w:b/>
          <w:color w:val="auto"/>
          <w:kern w:val="0"/>
          <w:sz w:val="32"/>
          <w:szCs w:val="32"/>
        </w:rPr>
      </w:pPr>
    </w:p>
    <w:p w14:paraId="47C7CC7A">
      <w:pPr>
        <w:widowControl/>
        <w:spacing w:line="360" w:lineRule="auto"/>
        <w:ind w:left="150"/>
        <w:jc w:val="center"/>
        <w:rPr>
          <w:rFonts w:hint="eastAsia" w:ascii="仿宋" w:hAnsi="仿宋" w:eastAsia="仿宋" w:cs="仿宋"/>
          <w:b/>
          <w:color w:val="auto"/>
          <w:kern w:val="0"/>
          <w:sz w:val="32"/>
          <w:szCs w:val="32"/>
        </w:rPr>
      </w:pPr>
    </w:p>
    <w:p w14:paraId="3B0FE1E0">
      <w:pPr>
        <w:widowControl/>
        <w:spacing w:line="360" w:lineRule="auto"/>
        <w:ind w:left="150"/>
        <w:jc w:val="center"/>
        <w:rPr>
          <w:rFonts w:hint="eastAsia" w:ascii="仿宋" w:hAnsi="仿宋" w:eastAsia="仿宋" w:cs="仿宋"/>
          <w:b/>
          <w:color w:val="auto"/>
          <w:kern w:val="0"/>
          <w:sz w:val="32"/>
          <w:szCs w:val="32"/>
        </w:rPr>
      </w:pPr>
    </w:p>
    <w:p w14:paraId="7CC9D7E7">
      <w:pPr>
        <w:widowControl/>
        <w:spacing w:line="360" w:lineRule="auto"/>
        <w:ind w:left="150"/>
        <w:jc w:val="center"/>
        <w:rPr>
          <w:rFonts w:hint="eastAsia" w:ascii="仿宋" w:hAnsi="仿宋" w:eastAsia="仿宋" w:cs="仿宋"/>
          <w:b/>
          <w:color w:val="auto"/>
          <w:kern w:val="0"/>
          <w:sz w:val="32"/>
          <w:szCs w:val="32"/>
        </w:rPr>
      </w:pPr>
    </w:p>
    <w:p w14:paraId="0FF697BF">
      <w:pPr>
        <w:widowControl/>
        <w:spacing w:line="360" w:lineRule="auto"/>
        <w:ind w:left="150"/>
        <w:jc w:val="center"/>
        <w:rPr>
          <w:rFonts w:hint="eastAsia" w:ascii="仿宋" w:hAnsi="仿宋" w:eastAsia="仿宋" w:cs="仿宋"/>
          <w:b/>
          <w:color w:val="auto"/>
          <w:kern w:val="0"/>
          <w:sz w:val="32"/>
          <w:szCs w:val="32"/>
        </w:rPr>
      </w:pPr>
    </w:p>
    <w:p w14:paraId="2B671271">
      <w:pPr>
        <w:widowControl/>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二、本项目的特定资格要求</w:t>
      </w:r>
    </w:p>
    <w:p w14:paraId="6E17E1F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（根据交易公告本项目的特定资格要求提供相应的材料；未要求的，无需提供）</w:t>
      </w:r>
    </w:p>
    <w:p w14:paraId="2122BA3A">
      <w:pPr>
        <w:spacing w:line="360" w:lineRule="auto"/>
        <w:jc w:val="center"/>
        <w:rPr>
          <w:rFonts w:hint="eastAsia" w:ascii="仿宋" w:hAnsi="仿宋" w:eastAsia="仿宋" w:cs="仿宋"/>
          <w:color w:val="auto"/>
          <w:kern w:val="0"/>
          <w:sz w:val="24"/>
          <w:lang w:val="zh-CN"/>
        </w:rPr>
      </w:pPr>
    </w:p>
    <w:p w14:paraId="3B5F76A3">
      <w:pPr>
        <w:widowControl/>
        <w:spacing w:line="360" w:lineRule="auto"/>
        <w:ind w:left="150"/>
        <w:jc w:val="center"/>
        <w:rPr>
          <w:rFonts w:hint="eastAsia" w:ascii="仿宋" w:hAnsi="仿宋" w:eastAsia="仿宋" w:cs="仿宋"/>
          <w:b/>
          <w:color w:val="auto"/>
          <w:kern w:val="0"/>
          <w:sz w:val="32"/>
          <w:szCs w:val="32"/>
        </w:rPr>
      </w:pPr>
    </w:p>
    <w:p w14:paraId="3D891E85">
      <w:pPr>
        <w:rPr>
          <w:rFonts w:hint="eastAsia" w:ascii="仿宋" w:hAnsi="仿宋" w:eastAsia="仿宋" w:cs="仿宋"/>
          <w:color w:val="auto"/>
        </w:rPr>
      </w:pPr>
    </w:p>
    <w:p w14:paraId="7749EC95">
      <w:pPr>
        <w:snapToGrid w:val="0"/>
        <w:spacing w:line="360" w:lineRule="auto"/>
        <w:ind w:right="480"/>
        <w:jc w:val="center"/>
        <w:rPr>
          <w:rFonts w:hint="eastAsia" w:ascii="仿宋" w:hAnsi="仿宋" w:eastAsia="仿宋" w:cs="仿宋"/>
          <w:b/>
          <w:color w:val="auto"/>
          <w:kern w:val="0"/>
          <w:sz w:val="32"/>
          <w:szCs w:val="32"/>
        </w:rPr>
      </w:pPr>
    </w:p>
    <w:p w14:paraId="00DF7625">
      <w:pPr>
        <w:snapToGrid w:val="0"/>
        <w:spacing w:line="360" w:lineRule="auto"/>
        <w:ind w:right="480"/>
        <w:jc w:val="center"/>
        <w:rPr>
          <w:rFonts w:hint="eastAsia" w:ascii="仿宋" w:hAnsi="仿宋" w:eastAsia="仿宋" w:cs="仿宋"/>
          <w:b/>
          <w:color w:val="auto"/>
          <w:kern w:val="0"/>
          <w:sz w:val="32"/>
          <w:szCs w:val="32"/>
        </w:rPr>
      </w:pPr>
    </w:p>
    <w:p w14:paraId="6A78A956">
      <w:pPr>
        <w:snapToGrid w:val="0"/>
        <w:spacing w:line="360" w:lineRule="auto"/>
        <w:ind w:right="480"/>
        <w:jc w:val="center"/>
        <w:rPr>
          <w:rFonts w:hint="eastAsia" w:ascii="仿宋" w:hAnsi="仿宋" w:eastAsia="仿宋" w:cs="仿宋"/>
          <w:b/>
          <w:color w:val="auto"/>
          <w:kern w:val="0"/>
          <w:sz w:val="32"/>
          <w:szCs w:val="32"/>
        </w:rPr>
      </w:pPr>
    </w:p>
    <w:p w14:paraId="624D69E1">
      <w:pPr>
        <w:snapToGrid w:val="0"/>
        <w:spacing w:line="360" w:lineRule="auto"/>
        <w:ind w:right="480"/>
        <w:jc w:val="center"/>
        <w:rPr>
          <w:rFonts w:hint="eastAsia" w:ascii="仿宋" w:hAnsi="仿宋" w:eastAsia="仿宋" w:cs="仿宋"/>
          <w:b/>
          <w:color w:val="auto"/>
          <w:kern w:val="0"/>
          <w:sz w:val="32"/>
          <w:szCs w:val="32"/>
        </w:rPr>
      </w:pPr>
    </w:p>
    <w:p w14:paraId="0950D950">
      <w:pPr>
        <w:snapToGrid w:val="0"/>
        <w:spacing w:line="360" w:lineRule="auto"/>
        <w:ind w:right="480"/>
        <w:jc w:val="center"/>
        <w:rPr>
          <w:rFonts w:hint="eastAsia" w:ascii="仿宋" w:hAnsi="仿宋" w:eastAsia="仿宋" w:cs="仿宋"/>
          <w:b/>
          <w:color w:val="auto"/>
          <w:kern w:val="0"/>
          <w:sz w:val="32"/>
          <w:szCs w:val="32"/>
        </w:rPr>
      </w:pPr>
    </w:p>
    <w:p w14:paraId="68650607">
      <w:pPr>
        <w:snapToGrid w:val="0"/>
        <w:spacing w:line="360" w:lineRule="auto"/>
        <w:ind w:right="480"/>
        <w:jc w:val="center"/>
        <w:rPr>
          <w:rFonts w:hint="eastAsia" w:ascii="仿宋" w:hAnsi="仿宋" w:eastAsia="仿宋" w:cs="仿宋"/>
          <w:b/>
          <w:color w:val="auto"/>
          <w:kern w:val="0"/>
          <w:sz w:val="32"/>
          <w:szCs w:val="32"/>
        </w:rPr>
      </w:pPr>
    </w:p>
    <w:p w14:paraId="0C8B5EC3">
      <w:pPr>
        <w:spacing w:line="360" w:lineRule="auto"/>
        <w:jc w:val="center"/>
        <w:outlineLvl w:val="0"/>
        <w:rPr>
          <w:rFonts w:hint="eastAsia" w:ascii="仿宋" w:hAnsi="仿宋" w:eastAsia="仿宋" w:cs="仿宋"/>
          <w:b/>
          <w:color w:val="auto"/>
          <w:kern w:val="0"/>
          <w:sz w:val="36"/>
          <w:szCs w:val="36"/>
        </w:rPr>
      </w:pPr>
    </w:p>
    <w:p w14:paraId="20BBB68D">
      <w:pPr>
        <w:snapToGrid w:val="0"/>
        <w:spacing w:line="360" w:lineRule="auto"/>
        <w:ind w:right="480"/>
        <w:jc w:val="center"/>
        <w:rPr>
          <w:rFonts w:hint="eastAsia" w:ascii="仿宋" w:hAnsi="仿宋" w:eastAsia="仿宋" w:cs="仿宋"/>
          <w:b/>
          <w:color w:val="auto"/>
          <w:kern w:val="0"/>
          <w:sz w:val="32"/>
          <w:szCs w:val="32"/>
        </w:rPr>
      </w:pPr>
    </w:p>
    <w:p w14:paraId="5B38E8DF">
      <w:pPr>
        <w:spacing w:line="360" w:lineRule="auto"/>
        <w:jc w:val="center"/>
        <w:outlineLvl w:val="0"/>
        <w:rPr>
          <w:rFonts w:hint="eastAsia" w:ascii="仿宋" w:hAnsi="仿宋" w:eastAsia="仿宋" w:cs="仿宋"/>
          <w:b/>
          <w:color w:val="auto"/>
          <w:kern w:val="0"/>
          <w:sz w:val="36"/>
          <w:szCs w:val="36"/>
        </w:rPr>
      </w:pPr>
    </w:p>
    <w:p w14:paraId="23DEB4C3">
      <w:pPr>
        <w:snapToGrid w:val="0"/>
        <w:spacing w:line="360" w:lineRule="auto"/>
        <w:ind w:right="480"/>
        <w:jc w:val="center"/>
        <w:rPr>
          <w:rFonts w:hint="eastAsia" w:ascii="仿宋" w:hAnsi="仿宋" w:eastAsia="仿宋" w:cs="仿宋"/>
          <w:b/>
          <w:color w:val="auto"/>
          <w:kern w:val="0"/>
          <w:sz w:val="32"/>
          <w:szCs w:val="32"/>
        </w:rPr>
      </w:pPr>
    </w:p>
    <w:p w14:paraId="4E068E87">
      <w:pPr>
        <w:spacing w:line="360" w:lineRule="auto"/>
        <w:jc w:val="center"/>
        <w:outlineLvl w:val="0"/>
        <w:rPr>
          <w:rFonts w:hint="eastAsia" w:ascii="仿宋" w:hAnsi="仿宋" w:eastAsia="仿宋" w:cs="仿宋"/>
          <w:b/>
          <w:color w:val="auto"/>
          <w:kern w:val="0"/>
          <w:sz w:val="36"/>
          <w:szCs w:val="36"/>
        </w:rPr>
      </w:pPr>
    </w:p>
    <w:p w14:paraId="16922F4B">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7226DB2C">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40FBC833">
      <w:pPr>
        <w:spacing w:line="360" w:lineRule="auto"/>
        <w:jc w:val="center"/>
        <w:outlineLvl w:val="0"/>
        <w:rPr>
          <w:rFonts w:hint="eastAsia" w:ascii="仿宋" w:hAnsi="仿宋" w:eastAsia="仿宋" w:cs="仿宋"/>
          <w:b/>
          <w:color w:val="auto"/>
          <w:kern w:val="0"/>
          <w:sz w:val="24"/>
        </w:rPr>
      </w:pPr>
    </w:p>
    <w:p w14:paraId="158CD261">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5B2C1255">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（1）交易函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02F3C453">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（3）符合性审查资料</w:t>
      </w:r>
      <w:r>
        <w:rPr>
          <w:rFonts w:hint="eastAsia" w:ascii="仿宋" w:hAnsi="仿宋" w:eastAsia="仿宋" w:cs="仿宋"/>
          <w:color w:val="auto"/>
        </w:rPr>
        <w:t>………………………………………………………………………（页码）</w:t>
      </w:r>
    </w:p>
    <w:p w14:paraId="14289FE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14:paraId="1E27AB1B">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（5）响应标的清单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p>
    <w:p w14:paraId="1F36E920">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（6）商务技术偏离表</w:t>
      </w:r>
      <w:r>
        <w:rPr>
          <w:rFonts w:hint="eastAsia" w:ascii="仿宋" w:hAnsi="仿宋" w:eastAsia="仿宋" w:cs="仿宋"/>
          <w:color w:val="auto"/>
        </w:rPr>
        <w:t>………………………………………………………………………（页码）</w:t>
      </w:r>
    </w:p>
    <w:p w14:paraId="0D142355">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zh-CN"/>
        </w:rPr>
        <w:t>采购供应商廉洁自律承诺书</w:t>
      </w:r>
      <w:r>
        <w:rPr>
          <w:rFonts w:hint="eastAsia" w:ascii="仿宋" w:hAnsi="仿宋" w:eastAsia="仿宋" w:cs="仿宋"/>
          <w:color w:val="auto"/>
        </w:rPr>
        <w:t>…………………………………………………（页码）</w:t>
      </w:r>
    </w:p>
    <w:p w14:paraId="1C679E7B">
      <w:pPr>
        <w:snapToGrid w:val="0"/>
        <w:spacing w:line="360" w:lineRule="auto"/>
        <w:jc w:val="center"/>
        <w:rPr>
          <w:rFonts w:hint="eastAsia" w:ascii="仿宋" w:hAnsi="仿宋" w:eastAsia="仿宋" w:cs="仿宋"/>
          <w:b/>
          <w:color w:val="auto"/>
          <w:kern w:val="0"/>
          <w:sz w:val="32"/>
          <w:szCs w:val="32"/>
          <w:lang w:val="zh-CN"/>
        </w:rPr>
      </w:pPr>
    </w:p>
    <w:p w14:paraId="54C0A2C0">
      <w:pPr>
        <w:snapToGrid w:val="0"/>
        <w:spacing w:line="360" w:lineRule="auto"/>
        <w:jc w:val="center"/>
        <w:rPr>
          <w:rFonts w:hint="eastAsia" w:ascii="仿宋" w:hAnsi="仿宋" w:eastAsia="仿宋" w:cs="仿宋"/>
          <w:b/>
          <w:color w:val="auto"/>
          <w:kern w:val="0"/>
          <w:sz w:val="32"/>
          <w:szCs w:val="32"/>
          <w:lang w:val="zh-CN"/>
        </w:rPr>
      </w:pPr>
    </w:p>
    <w:p w14:paraId="7838C0EF">
      <w:pPr>
        <w:snapToGrid w:val="0"/>
        <w:spacing w:line="360" w:lineRule="auto"/>
        <w:jc w:val="center"/>
        <w:rPr>
          <w:rFonts w:hint="eastAsia" w:ascii="仿宋" w:hAnsi="仿宋" w:eastAsia="仿宋" w:cs="仿宋"/>
          <w:b/>
          <w:color w:val="auto"/>
          <w:kern w:val="0"/>
          <w:sz w:val="32"/>
          <w:szCs w:val="32"/>
          <w:lang w:val="zh-CN"/>
        </w:rPr>
      </w:pPr>
    </w:p>
    <w:p w14:paraId="34A24005">
      <w:pPr>
        <w:snapToGrid w:val="0"/>
        <w:spacing w:line="360" w:lineRule="auto"/>
        <w:jc w:val="center"/>
        <w:rPr>
          <w:rFonts w:hint="eastAsia" w:ascii="仿宋" w:hAnsi="仿宋" w:eastAsia="仿宋" w:cs="仿宋"/>
          <w:b/>
          <w:color w:val="auto"/>
          <w:kern w:val="0"/>
          <w:sz w:val="32"/>
          <w:szCs w:val="32"/>
          <w:lang w:val="zh-CN"/>
        </w:rPr>
      </w:pPr>
    </w:p>
    <w:p w14:paraId="4DF91A4C">
      <w:pPr>
        <w:snapToGrid w:val="0"/>
        <w:spacing w:line="360" w:lineRule="auto"/>
        <w:jc w:val="center"/>
        <w:rPr>
          <w:rFonts w:hint="eastAsia" w:ascii="仿宋" w:hAnsi="仿宋" w:eastAsia="仿宋" w:cs="仿宋"/>
          <w:b/>
          <w:color w:val="auto"/>
          <w:kern w:val="0"/>
          <w:sz w:val="32"/>
          <w:szCs w:val="32"/>
          <w:lang w:val="zh-CN"/>
        </w:rPr>
      </w:pPr>
    </w:p>
    <w:p w14:paraId="0B54AD71">
      <w:pPr>
        <w:snapToGrid w:val="0"/>
        <w:spacing w:line="360" w:lineRule="auto"/>
        <w:jc w:val="center"/>
        <w:outlineLvl w:val="0"/>
        <w:rPr>
          <w:rFonts w:hint="eastAsia" w:ascii="仿宋" w:hAnsi="仿宋" w:eastAsia="仿宋" w:cs="仿宋"/>
          <w:b/>
          <w:color w:val="auto"/>
          <w:kern w:val="0"/>
          <w:sz w:val="32"/>
          <w:szCs w:val="32"/>
        </w:rPr>
      </w:pPr>
    </w:p>
    <w:p w14:paraId="17D3220A">
      <w:pPr>
        <w:snapToGrid w:val="0"/>
        <w:spacing w:line="360" w:lineRule="auto"/>
        <w:jc w:val="center"/>
        <w:outlineLvl w:val="0"/>
        <w:rPr>
          <w:rFonts w:hint="eastAsia" w:ascii="仿宋" w:hAnsi="仿宋" w:eastAsia="仿宋" w:cs="仿宋"/>
          <w:b/>
          <w:color w:val="auto"/>
          <w:kern w:val="0"/>
          <w:sz w:val="32"/>
          <w:szCs w:val="32"/>
        </w:rPr>
      </w:pPr>
    </w:p>
    <w:p w14:paraId="3DC494C5">
      <w:pPr>
        <w:rPr>
          <w:rFonts w:hint="eastAsia" w:ascii="仿宋" w:hAnsi="仿宋" w:eastAsia="仿宋" w:cs="仿宋"/>
          <w:color w:val="auto"/>
        </w:rPr>
      </w:pPr>
    </w:p>
    <w:p w14:paraId="71E9025D">
      <w:pPr>
        <w:snapToGrid w:val="0"/>
        <w:spacing w:line="360" w:lineRule="auto"/>
        <w:outlineLvl w:val="0"/>
        <w:rPr>
          <w:rFonts w:hint="eastAsia" w:ascii="仿宋" w:hAnsi="仿宋" w:eastAsia="仿宋" w:cs="仿宋"/>
          <w:b/>
          <w:color w:val="auto"/>
          <w:kern w:val="0"/>
          <w:sz w:val="32"/>
          <w:szCs w:val="32"/>
        </w:rPr>
      </w:pPr>
    </w:p>
    <w:p w14:paraId="743C70EE">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263BB28">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一、交易函</w:t>
      </w:r>
    </w:p>
    <w:p w14:paraId="14000759">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u w:val="single"/>
        </w:rPr>
        <w:t>（交易人）、（采购代理机构）：</w:t>
      </w:r>
    </w:p>
    <w:p w14:paraId="670551BE">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rPr>
        <w:t>（项目名称）【交易编号：】</w:t>
      </w:r>
      <w:r>
        <w:rPr>
          <w:rFonts w:hint="eastAsia" w:ascii="仿宋" w:hAnsi="仿宋" w:eastAsia="仿宋" w:cs="仿宋"/>
          <w:color w:val="auto"/>
          <w:sz w:val="24"/>
        </w:rPr>
        <w:t>招标的有关活动，并对此项目进行投标。为此：</w:t>
      </w:r>
    </w:p>
    <w:p w14:paraId="7EEC8B48">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1、我方承诺交易有效期从提交响应文件的截止之日起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本响应文件在交易有效期满之前均具有约束力。</w:t>
      </w:r>
    </w:p>
    <w:p w14:paraId="40391D54">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2、我方的响应文件包括以下内容：</w:t>
      </w:r>
    </w:p>
    <w:p w14:paraId="66A34BEF">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353B5E3">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6E4C1C40">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2.1.2本项目的特定资格要求（如果有）。</w:t>
      </w:r>
    </w:p>
    <w:p w14:paraId="1CF2FD21">
      <w:pPr>
        <w:snapToGrid w:val="0"/>
        <w:spacing w:line="440" w:lineRule="exact"/>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4F9CCD63">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2.2.1交易函；</w:t>
      </w:r>
      <w:r>
        <w:rPr>
          <w:rFonts w:hint="eastAsia" w:ascii="仿宋" w:hAnsi="仿宋" w:eastAsia="仿宋" w:cs="仿宋"/>
          <w:color w:val="auto"/>
          <w:sz w:val="24"/>
          <w:lang w:val="zh-CN"/>
        </w:rPr>
        <w:t xml:space="preserve"> </w:t>
      </w:r>
    </w:p>
    <w:p w14:paraId="3A3EC325">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1CF64ECE">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2.2.3符合性审查资料；</w:t>
      </w:r>
    </w:p>
    <w:p w14:paraId="1EF50587">
      <w:pPr>
        <w:snapToGrid w:val="0"/>
        <w:spacing w:line="440" w:lineRule="exact"/>
        <w:ind w:left="420" w:leftChars="200" w:firstLine="480" w:firstLineChars="200"/>
        <w:rPr>
          <w:rFonts w:hint="eastAsia" w:ascii="仿宋" w:hAnsi="仿宋" w:eastAsia="仿宋" w:cs="仿宋"/>
          <w:color w:val="auto"/>
        </w:rPr>
      </w:pPr>
      <w:r>
        <w:rPr>
          <w:rFonts w:hint="eastAsia" w:ascii="仿宋" w:hAnsi="仿宋" w:eastAsia="仿宋" w:cs="仿宋"/>
          <w:color w:val="auto"/>
          <w:sz w:val="24"/>
        </w:rPr>
        <w:t>2.2.4评标标准相应的商务技术资料；</w:t>
      </w:r>
    </w:p>
    <w:p w14:paraId="52B312FB">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2.2.5响应标的清单；</w:t>
      </w:r>
    </w:p>
    <w:p w14:paraId="5AD7449B">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2.2.6商务技术偏离表；</w:t>
      </w:r>
    </w:p>
    <w:p w14:paraId="0C547ADF">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w:t>
      </w:r>
      <w:r>
        <w:rPr>
          <w:rFonts w:hint="eastAsia" w:ascii="仿宋" w:hAnsi="仿宋" w:eastAsia="仿宋" w:cs="仿宋"/>
          <w:color w:val="auto"/>
          <w:sz w:val="24"/>
          <w:lang w:val="zh-CN"/>
        </w:rPr>
        <w:t>采购供应商廉洁自律承诺书</w:t>
      </w:r>
    </w:p>
    <w:p w14:paraId="5114102F">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1E13C1C7">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2.3.1交易一览表（报价表）；</w:t>
      </w:r>
    </w:p>
    <w:p w14:paraId="556E1645">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3、我方承诺除商务技术偏离表列出的偏离外，我方响应交易文件的全部要求。</w:t>
      </w:r>
    </w:p>
    <w:p w14:paraId="4D322C8C">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2A16C388">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6D01EC8E">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198A31AA">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4.3按照交易文件要求提交履约保证金； </w:t>
      </w:r>
    </w:p>
    <w:p w14:paraId="457ED75F">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0519EE05">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B580865">
      <w:pPr>
        <w:spacing w:line="440" w:lineRule="exact"/>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供应商名称（电子签名）：                          </w:t>
      </w:r>
    </w:p>
    <w:p w14:paraId="6F3B3939">
      <w:pPr>
        <w:spacing w:line="440" w:lineRule="exact"/>
        <w:jc w:val="center"/>
        <w:rPr>
          <w:rFonts w:hint="eastAsia" w:ascii="仿宋" w:hAnsi="仿宋" w:eastAsia="仿宋" w:cs="仿宋"/>
          <w:color w:val="auto"/>
          <w:kern w:val="0"/>
          <w:sz w:val="24"/>
          <w:u w:val="single"/>
        </w:rPr>
      </w:pPr>
      <w:r>
        <w:rPr>
          <w:rFonts w:hint="eastAsia" w:ascii="仿宋" w:hAnsi="仿宋" w:eastAsia="仿宋" w:cs="仿宋"/>
          <w:color w:val="auto"/>
          <w:sz w:val="24"/>
        </w:rPr>
        <w:t xml:space="preserve">     日期：  年   月   日</w:t>
      </w:r>
    </w:p>
    <w:p w14:paraId="44B1BD5D">
      <w:pPr>
        <w:rPr>
          <w:rFonts w:hint="eastAsia" w:ascii="仿宋" w:hAnsi="仿宋" w:eastAsia="仿宋" w:cs="仿宋"/>
          <w:b/>
          <w:color w:val="auto"/>
          <w:kern w:val="0"/>
          <w:sz w:val="32"/>
          <w:szCs w:val="32"/>
        </w:rPr>
      </w:pPr>
      <w:r>
        <w:rPr>
          <w:rFonts w:hint="eastAsia" w:ascii="仿宋" w:hAnsi="仿宋" w:eastAsia="仿宋" w:cs="仿宋"/>
          <w:color w:val="auto"/>
          <w:sz w:val="24"/>
        </w:rPr>
        <w:t>注：按本格式和要求提供。</w:t>
      </w:r>
    </w:p>
    <w:p w14:paraId="728197A3">
      <w:pPr>
        <w:jc w:val="center"/>
        <w:rPr>
          <w:rFonts w:hint="eastAsia" w:ascii="仿宋" w:hAnsi="仿宋" w:eastAsia="仿宋" w:cs="仿宋"/>
          <w:b/>
          <w:color w:val="auto"/>
          <w:kern w:val="0"/>
          <w:sz w:val="32"/>
          <w:szCs w:val="32"/>
        </w:rPr>
      </w:pPr>
    </w:p>
    <w:p w14:paraId="5BC15B9F">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2C4B845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67CA409D">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w:t>
      </w:r>
      <w:r>
        <w:rPr>
          <w:rFonts w:hint="eastAsia" w:ascii="仿宋" w:hAnsi="仿宋" w:eastAsia="仿宋" w:cs="仿宋"/>
          <w:color w:val="auto"/>
        </w:rPr>
        <w:t xml:space="preserve">                               </w:t>
      </w:r>
    </w:p>
    <w:p w14:paraId="653A9E2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（交易人）、（采购代理机构）</w:t>
      </w:r>
      <w:r>
        <w:rPr>
          <w:rFonts w:hint="eastAsia" w:ascii="仿宋" w:hAnsi="仿宋" w:eastAsia="仿宋" w:cs="仿宋"/>
          <w:color w:val="auto"/>
          <w:kern w:val="0"/>
          <w:sz w:val="24"/>
          <w:lang w:val="zh-CN"/>
        </w:rPr>
        <w:t>：</w:t>
      </w:r>
    </w:p>
    <w:p w14:paraId="29660E37">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u w:val="single"/>
        </w:rPr>
        <w:t>（项目名称）【交易编号：（采购编号）】</w:t>
      </w:r>
      <w:r>
        <w:rPr>
          <w:rFonts w:hint="eastAsia" w:ascii="仿宋" w:hAnsi="仿宋" w:eastAsia="仿宋" w:cs="仿宋"/>
          <w:color w:val="auto"/>
          <w:kern w:val="0"/>
          <w:sz w:val="24"/>
          <w:lang w:val="zh-CN"/>
        </w:rPr>
        <w:t>采购投标的一切事项，其法律后果由我方承担。</w:t>
      </w:r>
    </w:p>
    <w:p w14:paraId="227EFF2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7DD337A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5EB394D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供应商名称(电子签名)：</w:t>
      </w:r>
    </w:p>
    <w:p w14:paraId="67B076A1">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2C0B87B9">
      <w:pPr>
        <w:snapToGrid w:val="0"/>
        <w:spacing w:line="360" w:lineRule="auto"/>
        <w:rPr>
          <w:rFonts w:hint="eastAsia" w:ascii="仿宋" w:hAnsi="仿宋" w:eastAsia="仿宋" w:cs="仿宋"/>
          <w:color w:val="auto"/>
          <w:sz w:val="24"/>
        </w:rPr>
      </w:pPr>
    </w:p>
    <w:p w14:paraId="5C8F3AEE">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b/>
          <w:color w:val="auto"/>
          <w:kern w:val="0"/>
          <w:sz w:val="32"/>
          <w:szCs w:val="32"/>
          <w:lang w:val="zh-CN"/>
        </w:rPr>
        <w:t xml:space="preserve">    </w:t>
      </w:r>
    </w:p>
    <w:p w14:paraId="03849AB8">
      <w:pPr>
        <w:autoSpaceDE w:val="0"/>
        <w:autoSpaceDN w:val="0"/>
        <w:spacing w:line="360" w:lineRule="auto"/>
        <w:jc w:val="center"/>
        <w:rPr>
          <w:rFonts w:hint="eastAsia" w:ascii="仿宋" w:hAnsi="仿宋" w:eastAsia="仿宋" w:cs="仿宋"/>
          <w:b/>
          <w:color w:val="auto"/>
          <w:kern w:val="0"/>
          <w:sz w:val="32"/>
          <w:szCs w:val="32"/>
          <w:lang w:val="zh-CN"/>
        </w:rPr>
      </w:pPr>
    </w:p>
    <w:p w14:paraId="4F332317">
      <w:pPr>
        <w:autoSpaceDE w:val="0"/>
        <w:autoSpaceDN w:val="0"/>
        <w:spacing w:line="360" w:lineRule="auto"/>
        <w:jc w:val="center"/>
        <w:rPr>
          <w:rFonts w:hint="eastAsia" w:ascii="仿宋" w:hAnsi="仿宋" w:eastAsia="仿宋" w:cs="仿宋"/>
          <w:b/>
          <w:color w:val="auto"/>
          <w:kern w:val="0"/>
          <w:sz w:val="32"/>
          <w:szCs w:val="32"/>
          <w:lang w:val="zh-CN"/>
        </w:rPr>
      </w:pPr>
    </w:p>
    <w:p w14:paraId="669BED63">
      <w:pPr>
        <w:autoSpaceDE w:val="0"/>
        <w:autoSpaceDN w:val="0"/>
        <w:spacing w:line="360" w:lineRule="auto"/>
        <w:jc w:val="center"/>
        <w:rPr>
          <w:rFonts w:hint="eastAsia" w:ascii="仿宋" w:hAnsi="仿宋" w:eastAsia="仿宋" w:cs="仿宋"/>
          <w:b/>
          <w:color w:val="auto"/>
          <w:kern w:val="0"/>
          <w:sz w:val="32"/>
          <w:szCs w:val="32"/>
          <w:lang w:val="zh-CN"/>
        </w:rPr>
      </w:pPr>
    </w:p>
    <w:p w14:paraId="35300621">
      <w:pPr>
        <w:autoSpaceDE w:val="0"/>
        <w:autoSpaceDN w:val="0"/>
        <w:spacing w:line="360" w:lineRule="auto"/>
        <w:jc w:val="center"/>
        <w:rPr>
          <w:rFonts w:hint="eastAsia" w:ascii="仿宋" w:hAnsi="仿宋" w:eastAsia="仿宋" w:cs="仿宋"/>
          <w:b/>
          <w:color w:val="auto"/>
          <w:kern w:val="0"/>
          <w:sz w:val="32"/>
          <w:szCs w:val="32"/>
          <w:lang w:val="zh-CN"/>
        </w:rPr>
      </w:pPr>
    </w:p>
    <w:p w14:paraId="1CBB6BD0">
      <w:pPr>
        <w:autoSpaceDE w:val="0"/>
        <w:autoSpaceDN w:val="0"/>
        <w:spacing w:line="360" w:lineRule="auto"/>
        <w:jc w:val="center"/>
        <w:rPr>
          <w:rFonts w:hint="eastAsia" w:ascii="仿宋" w:hAnsi="仿宋" w:eastAsia="仿宋" w:cs="仿宋"/>
          <w:b/>
          <w:color w:val="auto"/>
          <w:kern w:val="0"/>
          <w:sz w:val="32"/>
          <w:szCs w:val="32"/>
          <w:lang w:val="zh-CN"/>
        </w:rPr>
      </w:pPr>
    </w:p>
    <w:p w14:paraId="4DC30BD5">
      <w:pPr>
        <w:autoSpaceDE w:val="0"/>
        <w:autoSpaceDN w:val="0"/>
        <w:spacing w:line="360" w:lineRule="auto"/>
        <w:jc w:val="center"/>
        <w:rPr>
          <w:rFonts w:hint="eastAsia" w:ascii="仿宋" w:hAnsi="仿宋" w:eastAsia="仿宋" w:cs="仿宋"/>
          <w:b/>
          <w:color w:val="auto"/>
          <w:kern w:val="0"/>
          <w:sz w:val="32"/>
          <w:szCs w:val="32"/>
          <w:lang w:val="zh-CN"/>
        </w:rPr>
      </w:pPr>
    </w:p>
    <w:p w14:paraId="33F41067">
      <w:pPr>
        <w:autoSpaceDE w:val="0"/>
        <w:autoSpaceDN w:val="0"/>
        <w:spacing w:line="360" w:lineRule="auto"/>
        <w:jc w:val="center"/>
        <w:rPr>
          <w:rFonts w:hint="eastAsia" w:ascii="仿宋" w:hAnsi="仿宋" w:eastAsia="仿宋" w:cs="仿宋"/>
          <w:b/>
          <w:color w:val="auto"/>
          <w:kern w:val="0"/>
          <w:sz w:val="32"/>
          <w:szCs w:val="32"/>
          <w:lang w:val="zh-CN"/>
        </w:rPr>
      </w:pPr>
    </w:p>
    <w:p w14:paraId="579198EC">
      <w:pPr>
        <w:autoSpaceDE w:val="0"/>
        <w:autoSpaceDN w:val="0"/>
        <w:spacing w:line="360" w:lineRule="auto"/>
        <w:jc w:val="center"/>
        <w:rPr>
          <w:rFonts w:hint="eastAsia" w:ascii="仿宋" w:hAnsi="仿宋" w:eastAsia="仿宋" w:cs="仿宋"/>
          <w:b/>
          <w:color w:val="auto"/>
          <w:kern w:val="0"/>
          <w:sz w:val="32"/>
          <w:szCs w:val="32"/>
          <w:lang w:val="zh-CN"/>
        </w:rPr>
      </w:pPr>
    </w:p>
    <w:p w14:paraId="3C1D487D">
      <w:pPr>
        <w:autoSpaceDE w:val="0"/>
        <w:autoSpaceDN w:val="0"/>
        <w:spacing w:line="360" w:lineRule="auto"/>
        <w:jc w:val="center"/>
        <w:rPr>
          <w:rFonts w:hint="eastAsia" w:ascii="仿宋" w:hAnsi="仿宋" w:eastAsia="仿宋" w:cs="仿宋"/>
          <w:b/>
          <w:color w:val="auto"/>
          <w:kern w:val="0"/>
          <w:sz w:val="32"/>
          <w:szCs w:val="32"/>
          <w:lang w:val="zh-CN"/>
        </w:rPr>
      </w:pPr>
    </w:p>
    <w:p w14:paraId="1171957E">
      <w:pPr>
        <w:autoSpaceDE w:val="0"/>
        <w:autoSpaceDN w:val="0"/>
        <w:spacing w:line="360" w:lineRule="auto"/>
        <w:jc w:val="center"/>
        <w:rPr>
          <w:rFonts w:hint="eastAsia" w:ascii="仿宋" w:hAnsi="仿宋" w:eastAsia="仿宋" w:cs="仿宋"/>
          <w:b/>
          <w:color w:val="auto"/>
          <w:kern w:val="0"/>
          <w:sz w:val="32"/>
          <w:szCs w:val="32"/>
          <w:lang w:val="zh-CN"/>
        </w:rPr>
      </w:pPr>
    </w:p>
    <w:p w14:paraId="27B9DA08">
      <w:pPr>
        <w:autoSpaceDE w:val="0"/>
        <w:autoSpaceDN w:val="0"/>
        <w:spacing w:line="360" w:lineRule="auto"/>
        <w:jc w:val="center"/>
        <w:rPr>
          <w:rFonts w:hint="eastAsia" w:ascii="仿宋" w:hAnsi="仿宋" w:eastAsia="仿宋" w:cs="仿宋"/>
          <w:b/>
          <w:color w:val="auto"/>
          <w:kern w:val="0"/>
          <w:sz w:val="32"/>
          <w:szCs w:val="32"/>
          <w:lang w:val="zh-CN"/>
        </w:rPr>
      </w:pPr>
    </w:p>
    <w:p w14:paraId="41FD06D7">
      <w:pPr>
        <w:autoSpaceDE w:val="0"/>
        <w:autoSpaceDN w:val="0"/>
        <w:spacing w:line="360" w:lineRule="auto"/>
        <w:jc w:val="center"/>
        <w:rPr>
          <w:rFonts w:hint="eastAsia" w:ascii="仿宋" w:hAnsi="仿宋" w:eastAsia="仿宋" w:cs="仿宋"/>
          <w:b/>
          <w:color w:val="auto"/>
          <w:kern w:val="0"/>
          <w:sz w:val="32"/>
          <w:szCs w:val="32"/>
          <w:lang w:val="zh-CN"/>
        </w:rPr>
      </w:pPr>
    </w:p>
    <w:p w14:paraId="63A09935">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的身份证明（适用于法定代表人、单位负责人或者自然人本人代表供应商参加投标）</w:t>
      </w:r>
    </w:p>
    <w:p w14:paraId="657100FA">
      <w:pPr>
        <w:pStyle w:val="618"/>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19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1082B004">
            <w:pPr>
              <w:pStyle w:val="618"/>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1D653D99">
            <w:pPr>
              <w:pStyle w:val="618"/>
              <w:adjustRightInd w:val="0"/>
              <w:spacing w:line="360" w:lineRule="auto"/>
              <w:rPr>
                <w:rFonts w:hint="eastAsia" w:ascii="仿宋" w:hAnsi="仿宋" w:eastAsia="仿宋" w:cs="仿宋"/>
                <w:bCs/>
                <w:color w:val="auto"/>
                <w:sz w:val="24"/>
              </w:rPr>
            </w:pPr>
          </w:p>
        </w:tc>
      </w:tr>
    </w:tbl>
    <w:p w14:paraId="4B7C4F95">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52AA9F83">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供应商名称(电子签名)：                              </w:t>
      </w:r>
    </w:p>
    <w:p w14:paraId="602D457E">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B5943C8">
      <w:pPr>
        <w:jc w:val="center"/>
        <w:rPr>
          <w:rFonts w:hint="eastAsia" w:ascii="仿宋" w:hAnsi="仿宋" w:eastAsia="仿宋" w:cs="仿宋"/>
          <w:b/>
          <w:color w:val="auto"/>
          <w:kern w:val="0"/>
          <w:sz w:val="32"/>
          <w:szCs w:val="32"/>
        </w:rPr>
      </w:pPr>
    </w:p>
    <w:p w14:paraId="45606264">
      <w:pPr>
        <w:jc w:val="center"/>
        <w:rPr>
          <w:rFonts w:hint="eastAsia" w:ascii="仿宋" w:hAnsi="仿宋" w:eastAsia="仿宋" w:cs="仿宋"/>
          <w:b/>
          <w:color w:val="auto"/>
          <w:kern w:val="0"/>
          <w:sz w:val="32"/>
          <w:szCs w:val="32"/>
        </w:rPr>
      </w:pPr>
    </w:p>
    <w:p w14:paraId="47CFCEA4">
      <w:pPr>
        <w:jc w:val="center"/>
        <w:rPr>
          <w:rFonts w:hint="eastAsia" w:ascii="仿宋" w:hAnsi="仿宋" w:eastAsia="仿宋" w:cs="仿宋"/>
          <w:b/>
          <w:color w:val="auto"/>
          <w:kern w:val="0"/>
          <w:sz w:val="32"/>
          <w:szCs w:val="32"/>
        </w:rPr>
      </w:pPr>
    </w:p>
    <w:p w14:paraId="63D6E289">
      <w:pPr>
        <w:jc w:val="center"/>
        <w:rPr>
          <w:rFonts w:hint="eastAsia" w:ascii="仿宋" w:hAnsi="仿宋" w:eastAsia="仿宋" w:cs="仿宋"/>
          <w:b/>
          <w:color w:val="auto"/>
          <w:kern w:val="0"/>
          <w:sz w:val="32"/>
          <w:szCs w:val="32"/>
        </w:rPr>
      </w:pPr>
    </w:p>
    <w:p w14:paraId="613CD89C">
      <w:pPr>
        <w:jc w:val="center"/>
        <w:rPr>
          <w:rFonts w:hint="eastAsia" w:ascii="仿宋" w:hAnsi="仿宋" w:eastAsia="仿宋" w:cs="仿宋"/>
          <w:b/>
          <w:color w:val="auto"/>
          <w:kern w:val="0"/>
          <w:sz w:val="32"/>
          <w:szCs w:val="32"/>
        </w:rPr>
      </w:pPr>
    </w:p>
    <w:p w14:paraId="643143D8">
      <w:pPr>
        <w:jc w:val="center"/>
        <w:rPr>
          <w:rFonts w:hint="eastAsia" w:ascii="仿宋" w:hAnsi="仿宋" w:eastAsia="仿宋" w:cs="仿宋"/>
          <w:b/>
          <w:color w:val="auto"/>
          <w:kern w:val="0"/>
          <w:sz w:val="32"/>
          <w:szCs w:val="32"/>
        </w:rPr>
      </w:pPr>
    </w:p>
    <w:p w14:paraId="6EA7A531">
      <w:pPr>
        <w:jc w:val="center"/>
        <w:rPr>
          <w:rFonts w:hint="eastAsia" w:ascii="仿宋" w:hAnsi="仿宋" w:eastAsia="仿宋" w:cs="仿宋"/>
          <w:b/>
          <w:color w:val="auto"/>
          <w:kern w:val="0"/>
          <w:sz w:val="32"/>
          <w:szCs w:val="32"/>
        </w:rPr>
      </w:pPr>
    </w:p>
    <w:p w14:paraId="5D9E5BED">
      <w:pPr>
        <w:jc w:val="center"/>
        <w:rPr>
          <w:rFonts w:hint="eastAsia" w:ascii="仿宋" w:hAnsi="仿宋" w:eastAsia="仿宋" w:cs="仿宋"/>
          <w:b/>
          <w:color w:val="auto"/>
          <w:kern w:val="0"/>
          <w:sz w:val="32"/>
          <w:szCs w:val="32"/>
        </w:rPr>
      </w:pPr>
    </w:p>
    <w:p w14:paraId="73BB8900">
      <w:pPr>
        <w:jc w:val="center"/>
        <w:rPr>
          <w:rFonts w:hint="eastAsia" w:ascii="仿宋" w:hAnsi="仿宋" w:eastAsia="仿宋" w:cs="仿宋"/>
          <w:b/>
          <w:color w:val="auto"/>
          <w:kern w:val="0"/>
          <w:sz w:val="32"/>
          <w:szCs w:val="32"/>
        </w:rPr>
      </w:pPr>
    </w:p>
    <w:p w14:paraId="7F9B299A">
      <w:pPr>
        <w:jc w:val="center"/>
        <w:rPr>
          <w:rFonts w:hint="eastAsia" w:ascii="仿宋" w:hAnsi="仿宋" w:eastAsia="仿宋" w:cs="仿宋"/>
          <w:b/>
          <w:color w:val="auto"/>
          <w:kern w:val="0"/>
          <w:sz w:val="32"/>
          <w:szCs w:val="32"/>
        </w:rPr>
      </w:pPr>
    </w:p>
    <w:p w14:paraId="63B2BB42">
      <w:pPr>
        <w:jc w:val="center"/>
        <w:rPr>
          <w:rFonts w:hint="eastAsia" w:ascii="仿宋" w:hAnsi="仿宋" w:eastAsia="仿宋" w:cs="仿宋"/>
          <w:b/>
          <w:color w:val="auto"/>
          <w:kern w:val="0"/>
          <w:sz w:val="32"/>
          <w:szCs w:val="32"/>
        </w:rPr>
      </w:pPr>
    </w:p>
    <w:p w14:paraId="6E682100">
      <w:pPr>
        <w:jc w:val="center"/>
        <w:rPr>
          <w:rFonts w:hint="eastAsia" w:ascii="仿宋" w:hAnsi="仿宋" w:eastAsia="仿宋" w:cs="仿宋"/>
          <w:b/>
          <w:color w:val="auto"/>
          <w:kern w:val="0"/>
          <w:sz w:val="32"/>
          <w:szCs w:val="32"/>
        </w:rPr>
      </w:pPr>
    </w:p>
    <w:p w14:paraId="58D26BAC">
      <w:pPr>
        <w:jc w:val="center"/>
        <w:rPr>
          <w:rFonts w:hint="eastAsia" w:ascii="仿宋" w:hAnsi="仿宋" w:eastAsia="仿宋" w:cs="仿宋"/>
          <w:b/>
          <w:color w:val="auto"/>
          <w:kern w:val="0"/>
          <w:sz w:val="32"/>
          <w:szCs w:val="32"/>
        </w:rPr>
      </w:pPr>
    </w:p>
    <w:p w14:paraId="4E25CF16">
      <w:pPr>
        <w:jc w:val="center"/>
        <w:rPr>
          <w:rFonts w:hint="eastAsia" w:ascii="仿宋" w:hAnsi="仿宋" w:eastAsia="仿宋" w:cs="仿宋"/>
          <w:b/>
          <w:color w:val="auto"/>
          <w:kern w:val="0"/>
          <w:sz w:val="32"/>
          <w:szCs w:val="32"/>
        </w:rPr>
      </w:pPr>
    </w:p>
    <w:p w14:paraId="17E6EC84">
      <w:pPr>
        <w:jc w:val="center"/>
        <w:rPr>
          <w:rFonts w:hint="eastAsia" w:ascii="仿宋" w:hAnsi="仿宋" w:eastAsia="仿宋" w:cs="仿宋"/>
          <w:b/>
          <w:color w:val="auto"/>
          <w:kern w:val="0"/>
          <w:sz w:val="32"/>
          <w:szCs w:val="32"/>
        </w:rPr>
      </w:pPr>
    </w:p>
    <w:p w14:paraId="7BAAD4F2">
      <w:pPr>
        <w:jc w:val="center"/>
        <w:rPr>
          <w:rFonts w:hint="eastAsia" w:ascii="仿宋" w:hAnsi="仿宋" w:eastAsia="仿宋" w:cs="仿宋"/>
          <w:b/>
          <w:color w:val="auto"/>
          <w:kern w:val="0"/>
          <w:sz w:val="32"/>
          <w:szCs w:val="32"/>
        </w:rPr>
      </w:pPr>
    </w:p>
    <w:p w14:paraId="3D5509CE">
      <w:pPr>
        <w:jc w:val="center"/>
        <w:rPr>
          <w:rFonts w:hint="eastAsia" w:ascii="仿宋" w:hAnsi="仿宋" w:eastAsia="仿宋" w:cs="仿宋"/>
          <w:b/>
          <w:color w:val="auto"/>
          <w:kern w:val="0"/>
          <w:sz w:val="32"/>
          <w:szCs w:val="32"/>
        </w:rPr>
      </w:pPr>
    </w:p>
    <w:p w14:paraId="14EEDF22">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三、符合性审查资料</w:t>
      </w:r>
    </w:p>
    <w:p w14:paraId="43B7A847">
      <w:pPr>
        <w:jc w:val="center"/>
        <w:rPr>
          <w:rFonts w:hint="eastAsia" w:ascii="仿宋" w:hAnsi="仿宋" w:eastAsia="仿宋" w:cs="仿宋"/>
          <w:b/>
          <w:color w:val="auto"/>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5EF7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65C59">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3976" w:type="dxa"/>
            <w:vAlign w:val="center"/>
          </w:tcPr>
          <w:p w14:paraId="613F7273">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3566" w:type="dxa"/>
            <w:vAlign w:val="center"/>
          </w:tcPr>
          <w:p w14:paraId="7D8D3A93">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3C829966">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响应文件中的</w:t>
            </w:r>
          </w:p>
          <w:p w14:paraId="3AE1731B">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4749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D6041B">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976" w:type="dxa"/>
            <w:vAlign w:val="center"/>
          </w:tcPr>
          <w:p w14:paraId="6F86397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响应文件按照交易文件要求签署、盖章。</w:t>
            </w:r>
          </w:p>
        </w:tc>
        <w:tc>
          <w:tcPr>
            <w:tcW w:w="3566" w:type="dxa"/>
            <w:vAlign w:val="center"/>
          </w:tcPr>
          <w:p w14:paraId="53CF2AAF">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需要使用电子签名或者签字盖章的响应文件的组成部分</w:t>
            </w:r>
          </w:p>
        </w:tc>
        <w:tc>
          <w:tcPr>
            <w:tcW w:w="1418" w:type="dxa"/>
            <w:vAlign w:val="center"/>
          </w:tcPr>
          <w:p w14:paraId="723267FB">
            <w:pPr>
              <w:jc w:val="center"/>
              <w:rPr>
                <w:rFonts w:hint="eastAsia" w:ascii="仿宋" w:hAnsi="仿宋" w:eastAsia="仿宋" w:cs="仿宋"/>
                <w:color w:val="auto"/>
                <w:sz w:val="24"/>
              </w:rPr>
            </w:pPr>
          </w:p>
          <w:p w14:paraId="5FDC301F">
            <w:pPr>
              <w:jc w:val="center"/>
              <w:rPr>
                <w:rFonts w:hint="eastAsia" w:ascii="仿宋" w:hAnsi="仿宋" w:eastAsia="仿宋" w:cs="仿宋"/>
                <w:color w:val="auto"/>
                <w:sz w:val="24"/>
              </w:rPr>
            </w:pPr>
            <w:r>
              <w:rPr>
                <w:rFonts w:hint="eastAsia" w:ascii="仿宋" w:hAnsi="仿宋" w:eastAsia="仿宋" w:cs="仿宋"/>
                <w:color w:val="auto"/>
                <w:sz w:val="24"/>
              </w:rPr>
              <w:t>见响应文件</w:t>
            </w:r>
          </w:p>
          <w:p w14:paraId="09BE5755">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5BF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B04F6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976" w:type="dxa"/>
            <w:vAlign w:val="center"/>
          </w:tcPr>
          <w:p w14:paraId="6B6C08F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响应文件中承诺的交易有效期不少于交易文件中载明的交易有效期。</w:t>
            </w:r>
          </w:p>
        </w:tc>
        <w:tc>
          <w:tcPr>
            <w:tcW w:w="3566" w:type="dxa"/>
            <w:vAlign w:val="center"/>
          </w:tcPr>
          <w:p w14:paraId="2763827A">
            <w:pPr>
              <w:jc w:val="center"/>
              <w:rPr>
                <w:rFonts w:hint="eastAsia" w:ascii="仿宋" w:hAnsi="仿宋" w:eastAsia="仿宋" w:cs="仿宋"/>
                <w:color w:val="auto"/>
                <w:sz w:val="24"/>
              </w:rPr>
            </w:pPr>
            <w:r>
              <w:rPr>
                <w:rFonts w:hint="eastAsia" w:ascii="仿宋" w:hAnsi="仿宋" w:eastAsia="仿宋" w:cs="仿宋"/>
                <w:color w:val="auto"/>
                <w:sz w:val="24"/>
              </w:rPr>
              <w:t>交易函</w:t>
            </w:r>
          </w:p>
        </w:tc>
        <w:tc>
          <w:tcPr>
            <w:tcW w:w="1418" w:type="dxa"/>
            <w:vAlign w:val="center"/>
          </w:tcPr>
          <w:p w14:paraId="0C1D903D">
            <w:pPr>
              <w:jc w:val="center"/>
              <w:rPr>
                <w:rFonts w:hint="eastAsia" w:ascii="仿宋" w:hAnsi="仿宋" w:eastAsia="仿宋" w:cs="仿宋"/>
                <w:color w:val="auto"/>
              </w:rPr>
            </w:pPr>
            <w:r>
              <w:rPr>
                <w:rFonts w:hint="eastAsia" w:ascii="仿宋" w:hAnsi="仿宋" w:eastAsia="仿宋" w:cs="仿宋"/>
                <w:color w:val="auto"/>
                <w:sz w:val="24"/>
              </w:rPr>
              <w:t>见响应文件第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3AF0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439DEE">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3976" w:type="dxa"/>
            <w:vAlign w:val="center"/>
          </w:tcPr>
          <w:p w14:paraId="73C7D49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响应文件满足交易文件的其它实质性要求。</w:t>
            </w:r>
          </w:p>
        </w:tc>
        <w:tc>
          <w:tcPr>
            <w:tcW w:w="3566" w:type="dxa"/>
            <w:vAlign w:val="center"/>
          </w:tcPr>
          <w:p w14:paraId="0CCAC4D4">
            <w:pPr>
              <w:jc w:val="center"/>
              <w:rPr>
                <w:rFonts w:hint="eastAsia" w:ascii="仿宋" w:hAnsi="仿宋" w:eastAsia="仿宋" w:cs="仿宋"/>
                <w:color w:val="auto"/>
                <w:sz w:val="24"/>
              </w:rPr>
            </w:pPr>
            <w:r>
              <w:rPr>
                <w:rFonts w:hint="eastAsia" w:ascii="仿宋" w:hAnsi="仿宋" w:eastAsia="仿宋" w:cs="仿宋"/>
                <w:color w:val="auto"/>
                <w:kern w:val="0"/>
                <w:sz w:val="24"/>
              </w:rPr>
              <w:t>交易文件其它实质性要求相应的材料（“▲” 系指实质性要求条款，交易文件无其它实质性要求的，无需提供）</w:t>
            </w:r>
          </w:p>
        </w:tc>
        <w:tc>
          <w:tcPr>
            <w:tcW w:w="1418" w:type="dxa"/>
            <w:vAlign w:val="center"/>
          </w:tcPr>
          <w:p w14:paraId="53364204">
            <w:pPr>
              <w:jc w:val="center"/>
              <w:rPr>
                <w:rFonts w:hint="eastAsia" w:ascii="仿宋" w:hAnsi="仿宋" w:eastAsia="仿宋" w:cs="仿宋"/>
                <w:color w:val="auto"/>
              </w:rPr>
            </w:pPr>
            <w:r>
              <w:rPr>
                <w:rFonts w:hint="eastAsia" w:ascii="仿宋" w:hAnsi="仿宋" w:eastAsia="仿宋" w:cs="仿宋"/>
                <w:color w:val="auto"/>
                <w:sz w:val="24"/>
              </w:rPr>
              <w:t>见响应文件第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0DD6A5D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AEF187D">
      <w:pPr>
        <w:jc w:val="center"/>
        <w:rPr>
          <w:rFonts w:hint="eastAsia" w:ascii="仿宋" w:hAnsi="仿宋" w:eastAsia="仿宋" w:cs="仿宋"/>
          <w:b/>
          <w:color w:val="auto"/>
          <w:kern w:val="0"/>
          <w:sz w:val="32"/>
          <w:szCs w:val="32"/>
        </w:rPr>
      </w:pPr>
    </w:p>
    <w:p w14:paraId="506A4EAE">
      <w:pPr>
        <w:jc w:val="center"/>
        <w:rPr>
          <w:rFonts w:hint="eastAsia" w:ascii="仿宋" w:hAnsi="仿宋" w:eastAsia="仿宋" w:cs="仿宋"/>
          <w:b/>
          <w:color w:val="auto"/>
          <w:kern w:val="0"/>
          <w:sz w:val="32"/>
          <w:szCs w:val="32"/>
        </w:rPr>
      </w:pPr>
    </w:p>
    <w:p w14:paraId="49391248">
      <w:pPr>
        <w:jc w:val="center"/>
        <w:rPr>
          <w:rFonts w:hint="eastAsia" w:ascii="仿宋" w:hAnsi="仿宋" w:eastAsia="仿宋" w:cs="仿宋"/>
          <w:b/>
          <w:color w:val="auto"/>
          <w:kern w:val="0"/>
          <w:sz w:val="32"/>
          <w:szCs w:val="32"/>
        </w:rPr>
      </w:pPr>
    </w:p>
    <w:p w14:paraId="26A9F3A2">
      <w:pPr>
        <w:jc w:val="center"/>
        <w:rPr>
          <w:rFonts w:hint="eastAsia" w:ascii="仿宋" w:hAnsi="仿宋" w:eastAsia="仿宋" w:cs="仿宋"/>
          <w:b/>
          <w:color w:val="auto"/>
          <w:kern w:val="0"/>
          <w:sz w:val="32"/>
          <w:szCs w:val="32"/>
        </w:rPr>
      </w:pPr>
    </w:p>
    <w:p w14:paraId="2DA66010">
      <w:pPr>
        <w:jc w:val="center"/>
        <w:rPr>
          <w:rFonts w:hint="eastAsia" w:ascii="仿宋" w:hAnsi="仿宋" w:eastAsia="仿宋" w:cs="仿宋"/>
          <w:b/>
          <w:color w:val="auto"/>
          <w:kern w:val="0"/>
          <w:sz w:val="32"/>
          <w:szCs w:val="32"/>
        </w:rPr>
      </w:pPr>
    </w:p>
    <w:p w14:paraId="07A77E21">
      <w:pPr>
        <w:jc w:val="center"/>
        <w:rPr>
          <w:rFonts w:hint="eastAsia" w:ascii="仿宋" w:hAnsi="仿宋" w:eastAsia="仿宋" w:cs="仿宋"/>
          <w:b/>
          <w:color w:val="auto"/>
          <w:kern w:val="0"/>
          <w:sz w:val="32"/>
          <w:szCs w:val="32"/>
        </w:rPr>
      </w:pPr>
    </w:p>
    <w:p w14:paraId="5A8D249E">
      <w:pPr>
        <w:jc w:val="center"/>
        <w:rPr>
          <w:rFonts w:hint="eastAsia" w:ascii="仿宋" w:hAnsi="仿宋" w:eastAsia="仿宋" w:cs="仿宋"/>
          <w:b/>
          <w:color w:val="auto"/>
          <w:kern w:val="0"/>
          <w:sz w:val="32"/>
          <w:szCs w:val="32"/>
        </w:rPr>
      </w:pPr>
    </w:p>
    <w:p w14:paraId="3D331770">
      <w:pPr>
        <w:jc w:val="center"/>
        <w:rPr>
          <w:rFonts w:hint="eastAsia" w:ascii="仿宋" w:hAnsi="仿宋" w:eastAsia="仿宋" w:cs="仿宋"/>
          <w:b/>
          <w:color w:val="auto"/>
          <w:kern w:val="0"/>
          <w:sz w:val="32"/>
          <w:szCs w:val="32"/>
        </w:rPr>
      </w:pPr>
    </w:p>
    <w:p w14:paraId="762B3C81">
      <w:pPr>
        <w:jc w:val="center"/>
        <w:rPr>
          <w:rFonts w:hint="eastAsia" w:ascii="仿宋" w:hAnsi="仿宋" w:eastAsia="仿宋" w:cs="仿宋"/>
          <w:b/>
          <w:color w:val="auto"/>
          <w:kern w:val="0"/>
          <w:sz w:val="32"/>
          <w:szCs w:val="32"/>
        </w:rPr>
      </w:pPr>
    </w:p>
    <w:p w14:paraId="5AC13F9A">
      <w:pPr>
        <w:jc w:val="center"/>
        <w:rPr>
          <w:rFonts w:hint="eastAsia" w:ascii="仿宋" w:hAnsi="仿宋" w:eastAsia="仿宋" w:cs="仿宋"/>
          <w:b/>
          <w:color w:val="auto"/>
          <w:kern w:val="0"/>
          <w:sz w:val="32"/>
          <w:szCs w:val="32"/>
        </w:rPr>
      </w:pPr>
    </w:p>
    <w:p w14:paraId="79EE59CC">
      <w:pPr>
        <w:jc w:val="center"/>
        <w:rPr>
          <w:rFonts w:hint="eastAsia" w:ascii="仿宋" w:hAnsi="仿宋" w:eastAsia="仿宋" w:cs="仿宋"/>
          <w:b/>
          <w:color w:val="auto"/>
          <w:kern w:val="0"/>
          <w:sz w:val="32"/>
          <w:szCs w:val="32"/>
        </w:rPr>
      </w:pPr>
    </w:p>
    <w:p w14:paraId="7E0B2CE3">
      <w:pPr>
        <w:jc w:val="center"/>
        <w:rPr>
          <w:rFonts w:hint="eastAsia" w:ascii="仿宋" w:hAnsi="仿宋" w:eastAsia="仿宋" w:cs="仿宋"/>
          <w:b/>
          <w:color w:val="auto"/>
          <w:kern w:val="0"/>
          <w:sz w:val="32"/>
          <w:szCs w:val="32"/>
        </w:rPr>
      </w:pPr>
    </w:p>
    <w:p w14:paraId="701E5F7F">
      <w:pPr>
        <w:jc w:val="center"/>
        <w:rPr>
          <w:rFonts w:hint="eastAsia" w:ascii="仿宋" w:hAnsi="仿宋" w:eastAsia="仿宋" w:cs="仿宋"/>
          <w:color w:val="auto"/>
        </w:rPr>
      </w:pPr>
      <w:r>
        <w:rPr>
          <w:rFonts w:hint="eastAsia" w:ascii="仿宋" w:hAnsi="仿宋" w:eastAsia="仿宋" w:cs="仿宋"/>
          <w:b/>
          <w:color w:val="auto"/>
          <w:kern w:val="0"/>
          <w:sz w:val="32"/>
          <w:szCs w:val="32"/>
        </w:rPr>
        <w:t>四、评标标准相应的商务技术资料</w:t>
      </w:r>
    </w:p>
    <w:p w14:paraId="6AF16CED">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（按交易文件第四部分交易办法前附表中“响应文件中评标标准相应的商务技术资料目录”提供资料。）</w:t>
      </w:r>
    </w:p>
    <w:p w14:paraId="639BEB41">
      <w:pPr>
        <w:jc w:val="center"/>
        <w:rPr>
          <w:rFonts w:hint="eastAsia" w:ascii="仿宋" w:hAnsi="仿宋" w:eastAsia="仿宋" w:cs="仿宋"/>
          <w:b/>
          <w:color w:val="auto"/>
          <w:kern w:val="0"/>
          <w:sz w:val="32"/>
          <w:szCs w:val="32"/>
        </w:rPr>
      </w:pPr>
    </w:p>
    <w:p w14:paraId="132CFF94">
      <w:pPr>
        <w:jc w:val="center"/>
        <w:rPr>
          <w:rFonts w:hint="eastAsia" w:ascii="仿宋" w:hAnsi="仿宋" w:eastAsia="仿宋" w:cs="仿宋"/>
          <w:b/>
          <w:color w:val="auto"/>
          <w:kern w:val="0"/>
          <w:sz w:val="32"/>
          <w:szCs w:val="32"/>
        </w:rPr>
      </w:pPr>
    </w:p>
    <w:p w14:paraId="3C2BAF78">
      <w:pPr>
        <w:jc w:val="center"/>
        <w:rPr>
          <w:rFonts w:hint="eastAsia" w:ascii="仿宋" w:hAnsi="仿宋" w:eastAsia="仿宋" w:cs="仿宋"/>
          <w:b/>
          <w:color w:val="auto"/>
          <w:kern w:val="0"/>
          <w:sz w:val="32"/>
          <w:szCs w:val="32"/>
        </w:rPr>
      </w:pPr>
    </w:p>
    <w:p w14:paraId="5EF46154">
      <w:pPr>
        <w:jc w:val="center"/>
        <w:rPr>
          <w:rFonts w:hint="eastAsia" w:ascii="仿宋" w:hAnsi="仿宋" w:eastAsia="仿宋" w:cs="仿宋"/>
          <w:b/>
          <w:color w:val="auto"/>
          <w:kern w:val="0"/>
          <w:sz w:val="32"/>
          <w:szCs w:val="32"/>
        </w:rPr>
      </w:pPr>
    </w:p>
    <w:p w14:paraId="74C2B0D2">
      <w:pPr>
        <w:rPr>
          <w:rFonts w:hint="eastAsia" w:ascii="仿宋" w:hAnsi="仿宋" w:eastAsia="仿宋" w:cs="仿宋"/>
          <w:b/>
          <w:color w:val="auto"/>
          <w:kern w:val="0"/>
          <w:sz w:val="32"/>
          <w:szCs w:val="32"/>
        </w:rPr>
      </w:pPr>
    </w:p>
    <w:p w14:paraId="4F99CD97">
      <w:pPr>
        <w:ind w:firstLine="2891" w:firstLineChars="900"/>
        <w:rPr>
          <w:rFonts w:hint="eastAsia" w:ascii="仿宋" w:hAnsi="仿宋" w:eastAsia="仿宋" w:cs="仿宋"/>
          <w:b/>
          <w:color w:val="auto"/>
          <w:kern w:val="0"/>
          <w:sz w:val="32"/>
          <w:szCs w:val="32"/>
        </w:rPr>
      </w:pPr>
    </w:p>
    <w:p w14:paraId="2C929AAF">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五、响应标的清单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0BC5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0467C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B5C6B5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3D610E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4657DA7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57AD936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467F58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7033B3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48EB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F81B0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F602E8">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651166B">
            <w:pPr>
              <w:snapToGrid w:val="0"/>
              <w:spacing w:line="360" w:lineRule="auto"/>
              <w:jc w:val="center"/>
              <w:rPr>
                <w:rFonts w:hint="eastAsia" w:ascii="仿宋" w:hAnsi="仿宋" w:eastAsia="仿宋" w:cs="仿宋"/>
                <w:color w:val="auto"/>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14F5A7B2">
            <w:pPr>
              <w:snapToGrid w:val="0"/>
              <w:spacing w:line="360" w:lineRule="auto"/>
              <w:jc w:val="center"/>
              <w:rPr>
                <w:rFonts w:hint="eastAsia" w:ascii="仿宋" w:hAnsi="仿宋" w:eastAsia="仿宋" w:cs="仿宋"/>
                <w:color w:val="auto"/>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0E95CFEC">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50FCAA">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C1FC6C">
            <w:pPr>
              <w:spacing w:line="360" w:lineRule="auto"/>
              <w:jc w:val="center"/>
              <w:rPr>
                <w:rFonts w:hint="eastAsia" w:ascii="仿宋" w:hAnsi="仿宋" w:eastAsia="仿宋" w:cs="仿宋"/>
                <w:color w:val="auto"/>
                <w:sz w:val="24"/>
              </w:rPr>
            </w:pPr>
          </w:p>
        </w:tc>
      </w:tr>
      <w:tr w14:paraId="0C3B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2BE91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4AE28D">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72B6280">
            <w:pPr>
              <w:snapToGrid w:val="0"/>
              <w:spacing w:line="360" w:lineRule="auto"/>
              <w:jc w:val="center"/>
              <w:rPr>
                <w:rFonts w:hint="eastAsia" w:ascii="仿宋" w:hAnsi="仿宋" w:eastAsia="仿宋" w:cs="仿宋"/>
                <w:color w:val="auto"/>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632A3EB9">
            <w:pPr>
              <w:snapToGrid w:val="0"/>
              <w:spacing w:line="360" w:lineRule="auto"/>
              <w:jc w:val="center"/>
              <w:rPr>
                <w:rFonts w:hint="eastAsia" w:ascii="仿宋" w:hAnsi="仿宋" w:eastAsia="仿宋" w:cs="仿宋"/>
                <w:color w:val="auto"/>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755D44BD">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308625F">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F53434E">
            <w:pPr>
              <w:spacing w:line="360" w:lineRule="auto"/>
              <w:jc w:val="center"/>
              <w:rPr>
                <w:rFonts w:hint="eastAsia" w:ascii="仿宋" w:hAnsi="仿宋" w:eastAsia="仿宋" w:cs="仿宋"/>
                <w:color w:val="auto"/>
                <w:sz w:val="24"/>
              </w:rPr>
            </w:pPr>
          </w:p>
        </w:tc>
      </w:tr>
      <w:tr w14:paraId="73B8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84956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E748003">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253530">
            <w:pPr>
              <w:snapToGrid w:val="0"/>
              <w:spacing w:line="360" w:lineRule="auto"/>
              <w:jc w:val="center"/>
              <w:rPr>
                <w:rFonts w:hint="eastAsia" w:ascii="仿宋" w:hAnsi="仿宋" w:eastAsia="仿宋" w:cs="仿宋"/>
                <w:color w:val="auto"/>
                <w:sz w:val="24"/>
              </w:rPr>
            </w:pPr>
          </w:p>
        </w:tc>
        <w:tc>
          <w:tcPr>
            <w:tcW w:w="1768" w:type="dxa"/>
            <w:tcBorders>
              <w:top w:val="single" w:color="auto" w:sz="4" w:space="0"/>
              <w:left w:val="single" w:color="auto" w:sz="4" w:space="0"/>
              <w:bottom w:val="single" w:color="auto" w:sz="4" w:space="0"/>
              <w:right w:val="single" w:color="auto" w:sz="4" w:space="0"/>
            </w:tcBorders>
            <w:vAlign w:val="center"/>
          </w:tcPr>
          <w:p w14:paraId="05490BD5">
            <w:pPr>
              <w:snapToGrid w:val="0"/>
              <w:spacing w:line="360" w:lineRule="auto"/>
              <w:jc w:val="center"/>
              <w:rPr>
                <w:rFonts w:hint="eastAsia" w:ascii="仿宋" w:hAnsi="仿宋" w:eastAsia="仿宋" w:cs="仿宋"/>
                <w:color w:val="auto"/>
                <w:sz w:val="24"/>
              </w:rPr>
            </w:pPr>
          </w:p>
        </w:tc>
        <w:tc>
          <w:tcPr>
            <w:tcW w:w="2267" w:type="dxa"/>
            <w:tcBorders>
              <w:top w:val="single" w:color="auto" w:sz="4" w:space="0"/>
              <w:left w:val="single" w:color="auto" w:sz="4" w:space="0"/>
              <w:bottom w:val="single" w:color="auto" w:sz="4" w:space="0"/>
              <w:right w:val="single" w:color="auto" w:sz="4" w:space="0"/>
            </w:tcBorders>
            <w:vAlign w:val="center"/>
          </w:tcPr>
          <w:p w14:paraId="2EE12BDB">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A83E67">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0EE2C20">
            <w:pPr>
              <w:spacing w:line="360" w:lineRule="auto"/>
              <w:jc w:val="center"/>
              <w:rPr>
                <w:rFonts w:hint="eastAsia" w:ascii="仿宋" w:hAnsi="仿宋" w:eastAsia="仿宋" w:cs="仿宋"/>
                <w:color w:val="auto"/>
                <w:sz w:val="24"/>
              </w:rPr>
            </w:pPr>
          </w:p>
        </w:tc>
      </w:tr>
    </w:tbl>
    <w:p w14:paraId="7D29913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2E4DC91">
      <w:pPr>
        <w:jc w:val="center"/>
        <w:rPr>
          <w:rFonts w:hint="eastAsia" w:ascii="仿宋" w:hAnsi="仿宋" w:eastAsia="仿宋" w:cs="仿宋"/>
          <w:b/>
          <w:color w:val="auto"/>
          <w:kern w:val="0"/>
          <w:sz w:val="32"/>
          <w:szCs w:val="32"/>
        </w:rPr>
      </w:pPr>
    </w:p>
    <w:p w14:paraId="3606796E">
      <w:pPr>
        <w:jc w:val="center"/>
        <w:rPr>
          <w:rFonts w:hint="eastAsia" w:ascii="仿宋" w:hAnsi="仿宋" w:eastAsia="仿宋" w:cs="仿宋"/>
          <w:b/>
          <w:color w:val="auto"/>
          <w:kern w:val="0"/>
          <w:sz w:val="32"/>
          <w:szCs w:val="32"/>
        </w:rPr>
      </w:pPr>
    </w:p>
    <w:p w14:paraId="57A101DE">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8E7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D90599">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11770648">
            <w:pPr>
              <w:jc w:val="center"/>
              <w:rPr>
                <w:rFonts w:hint="eastAsia" w:ascii="仿宋" w:hAnsi="仿宋" w:eastAsia="仿宋" w:cs="仿宋"/>
                <w:b/>
                <w:bCs/>
                <w:color w:val="auto"/>
                <w:sz w:val="24"/>
              </w:rPr>
            </w:pPr>
            <w:r>
              <w:rPr>
                <w:rFonts w:hint="eastAsia" w:ascii="仿宋" w:hAnsi="仿宋" w:eastAsia="仿宋" w:cs="仿宋"/>
                <w:b/>
                <w:bCs/>
                <w:color w:val="auto"/>
                <w:sz w:val="24"/>
              </w:rPr>
              <w:t>交易文件章节及具体内容</w:t>
            </w:r>
          </w:p>
        </w:tc>
        <w:tc>
          <w:tcPr>
            <w:tcW w:w="3546" w:type="dxa"/>
          </w:tcPr>
          <w:p w14:paraId="18AD43A0">
            <w:pPr>
              <w:jc w:val="center"/>
              <w:rPr>
                <w:rFonts w:hint="eastAsia" w:ascii="仿宋" w:hAnsi="仿宋" w:eastAsia="仿宋" w:cs="仿宋"/>
                <w:b/>
                <w:bCs/>
                <w:color w:val="auto"/>
                <w:sz w:val="24"/>
              </w:rPr>
            </w:pPr>
            <w:r>
              <w:rPr>
                <w:rFonts w:hint="eastAsia" w:ascii="仿宋" w:hAnsi="仿宋" w:eastAsia="仿宋" w:cs="仿宋"/>
                <w:b/>
                <w:bCs/>
                <w:color w:val="auto"/>
                <w:sz w:val="24"/>
              </w:rPr>
              <w:t>响应文件章节及具体内容</w:t>
            </w:r>
          </w:p>
        </w:tc>
        <w:tc>
          <w:tcPr>
            <w:tcW w:w="1276" w:type="dxa"/>
          </w:tcPr>
          <w:p w14:paraId="69003062">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7B27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48123E">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3B982677">
            <w:pPr>
              <w:jc w:val="center"/>
              <w:rPr>
                <w:rFonts w:hint="eastAsia" w:ascii="仿宋" w:hAnsi="仿宋" w:eastAsia="仿宋" w:cs="仿宋"/>
                <w:b/>
                <w:color w:val="auto"/>
                <w:kern w:val="0"/>
                <w:sz w:val="32"/>
                <w:szCs w:val="32"/>
              </w:rPr>
            </w:pPr>
          </w:p>
        </w:tc>
        <w:tc>
          <w:tcPr>
            <w:tcW w:w="3546" w:type="dxa"/>
          </w:tcPr>
          <w:p w14:paraId="34C2126C">
            <w:pPr>
              <w:jc w:val="center"/>
              <w:rPr>
                <w:rFonts w:hint="eastAsia" w:ascii="仿宋" w:hAnsi="仿宋" w:eastAsia="仿宋" w:cs="仿宋"/>
                <w:b/>
                <w:color w:val="auto"/>
                <w:kern w:val="0"/>
                <w:sz w:val="32"/>
                <w:szCs w:val="32"/>
              </w:rPr>
            </w:pPr>
          </w:p>
        </w:tc>
        <w:tc>
          <w:tcPr>
            <w:tcW w:w="1276" w:type="dxa"/>
          </w:tcPr>
          <w:p w14:paraId="711E23EB">
            <w:pPr>
              <w:jc w:val="center"/>
              <w:rPr>
                <w:rFonts w:hint="eastAsia" w:ascii="仿宋" w:hAnsi="仿宋" w:eastAsia="仿宋" w:cs="仿宋"/>
                <w:b/>
                <w:color w:val="auto"/>
                <w:kern w:val="0"/>
                <w:sz w:val="32"/>
                <w:szCs w:val="32"/>
              </w:rPr>
            </w:pPr>
          </w:p>
        </w:tc>
      </w:tr>
      <w:tr w14:paraId="3C2E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A276B3">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785662A4">
            <w:pPr>
              <w:jc w:val="center"/>
              <w:rPr>
                <w:rFonts w:hint="eastAsia" w:ascii="仿宋" w:hAnsi="仿宋" w:eastAsia="仿宋" w:cs="仿宋"/>
                <w:b/>
                <w:color w:val="auto"/>
                <w:kern w:val="0"/>
                <w:sz w:val="32"/>
                <w:szCs w:val="32"/>
              </w:rPr>
            </w:pPr>
          </w:p>
        </w:tc>
        <w:tc>
          <w:tcPr>
            <w:tcW w:w="3546" w:type="dxa"/>
          </w:tcPr>
          <w:p w14:paraId="2CA80159">
            <w:pPr>
              <w:jc w:val="center"/>
              <w:rPr>
                <w:rFonts w:hint="eastAsia" w:ascii="仿宋" w:hAnsi="仿宋" w:eastAsia="仿宋" w:cs="仿宋"/>
                <w:b/>
                <w:color w:val="auto"/>
                <w:kern w:val="0"/>
                <w:sz w:val="32"/>
                <w:szCs w:val="32"/>
              </w:rPr>
            </w:pPr>
          </w:p>
        </w:tc>
        <w:tc>
          <w:tcPr>
            <w:tcW w:w="1276" w:type="dxa"/>
          </w:tcPr>
          <w:p w14:paraId="29A53A3B">
            <w:pPr>
              <w:jc w:val="center"/>
              <w:rPr>
                <w:rFonts w:hint="eastAsia" w:ascii="仿宋" w:hAnsi="仿宋" w:eastAsia="仿宋" w:cs="仿宋"/>
                <w:b/>
                <w:color w:val="auto"/>
                <w:kern w:val="0"/>
                <w:sz w:val="32"/>
                <w:szCs w:val="32"/>
              </w:rPr>
            </w:pPr>
          </w:p>
        </w:tc>
      </w:tr>
      <w:tr w14:paraId="034A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962290">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407EEACB">
            <w:pPr>
              <w:jc w:val="center"/>
              <w:rPr>
                <w:rFonts w:hint="eastAsia" w:ascii="仿宋" w:hAnsi="仿宋" w:eastAsia="仿宋" w:cs="仿宋"/>
                <w:b/>
                <w:color w:val="auto"/>
                <w:kern w:val="0"/>
                <w:sz w:val="32"/>
                <w:szCs w:val="32"/>
              </w:rPr>
            </w:pPr>
          </w:p>
        </w:tc>
        <w:tc>
          <w:tcPr>
            <w:tcW w:w="3546" w:type="dxa"/>
          </w:tcPr>
          <w:p w14:paraId="51A5E605">
            <w:pPr>
              <w:jc w:val="center"/>
              <w:rPr>
                <w:rFonts w:hint="eastAsia" w:ascii="仿宋" w:hAnsi="仿宋" w:eastAsia="仿宋" w:cs="仿宋"/>
                <w:b/>
                <w:color w:val="auto"/>
                <w:kern w:val="0"/>
                <w:sz w:val="32"/>
                <w:szCs w:val="32"/>
              </w:rPr>
            </w:pPr>
          </w:p>
        </w:tc>
        <w:tc>
          <w:tcPr>
            <w:tcW w:w="1276" w:type="dxa"/>
          </w:tcPr>
          <w:p w14:paraId="12AA89EC">
            <w:pPr>
              <w:jc w:val="center"/>
              <w:rPr>
                <w:rFonts w:hint="eastAsia" w:ascii="仿宋" w:hAnsi="仿宋" w:eastAsia="仿宋" w:cs="仿宋"/>
                <w:b/>
                <w:color w:val="auto"/>
                <w:kern w:val="0"/>
                <w:sz w:val="32"/>
                <w:szCs w:val="32"/>
              </w:rPr>
            </w:pPr>
          </w:p>
        </w:tc>
      </w:tr>
    </w:tbl>
    <w:p w14:paraId="2FDC89A5">
      <w:pPr>
        <w:jc w:val="left"/>
        <w:rPr>
          <w:rFonts w:hint="eastAsia" w:ascii="仿宋" w:hAnsi="仿宋" w:eastAsia="仿宋" w:cs="仿宋"/>
          <w:color w:val="auto"/>
          <w:kern w:val="0"/>
          <w:sz w:val="24"/>
        </w:rPr>
      </w:pPr>
      <w:r>
        <w:rPr>
          <w:rFonts w:hint="eastAsia" w:ascii="仿宋" w:hAnsi="仿宋" w:eastAsia="仿宋" w:cs="仿宋"/>
          <w:color w:val="auto"/>
          <w:kern w:val="0"/>
          <w:sz w:val="24"/>
        </w:rPr>
        <w:t>供应商保证：除商务技术偏离表列出的偏离外，供应商响应交易文件的全部要求</w:t>
      </w:r>
    </w:p>
    <w:p w14:paraId="0CB384EC">
      <w:pPr>
        <w:jc w:val="center"/>
        <w:rPr>
          <w:rFonts w:hint="eastAsia" w:ascii="仿宋" w:hAnsi="仿宋" w:eastAsia="仿宋" w:cs="仿宋"/>
          <w:b/>
          <w:color w:val="auto"/>
          <w:kern w:val="0"/>
          <w:sz w:val="32"/>
          <w:szCs w:val="32"/>
        </w:rPr>
      </w:pPr>
    </w:p>
    <w:p w14:paraId="532E349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6AEB94D">
      <w:pPr>
        <w:jc w:val="center"/>
        <w:rPr>
          <w:rFonts w:hint="eastAsia" w:ascii="仿宋" w:hAnsi="仿宋" w:eastAsia="仿宋" w:cs="仿宋"/>
          <w:b/>
          <w:color w:val="auto"/>
          <w:kern w:val="0"/>
          <w:sz w:val="32"/>
          <w:szCs w:val="32"/>
        </w:rPr>
      </w:pPr>
    </w:p>
    <w:p w14:paraId="4F00136B">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7FA96EB0">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七</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采购供应商廉洁自律承诺书</w:t>
      </w:r>
    </w:p>
    <w:p w14:paraId="66B2FEF9">
      <w:pPr>
        <w:snapToGrid w:val="0"/>
        <w:spacing w:line="360" w:lineRule="auto"/>
        <w:rPr>
          <w:rFonts w:hint="eastAsia" w:ascii="仿宋" w:hAnsi="仿宋" w:eastAsia="仿宋" w:cs="仿宋"/>
          <w:color w:val="auto"/>
          <w:sz w:val="24"/>
        </w:rPr>
      </w:pPr>
    </w:p>
    <w:p w14:paraId="6A0C7BE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（交易人）、（采购代理机构）</w:t>
      </w:r>
      <w:r>
        <w:rPr>
          <w:rFonts w:hint="eastAsia" w:ascii="仿宋" w:hAnsi="仿宋" w:eastAsia="仿宋" w:cs="仿宋"/>
          <w:color w:val="auto"/>
          <w:kern w:val="0"/>
          <w:sz w:val="24"/>
          <w:lang w:val="zh-CN"/>
        </w:rPr>
        <w:t>：</w:t>
      </w:r>
    </w:p>
    <w:p w14:paraId="6523F55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项目招标要求参加投标。在这次投标过程中和成交后，我们将严格遵守国家法律法规要求，并郑重承诺：</w:t>
      </w:r>
    </w:p>
    <w:p w14:paraId="32E4F54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082944B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2135CF13">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33C76E4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39E45E3A">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5F4A615D">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4105284E">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六、严格遵守相关法律法规，诚实守信，合法经营，坚决抵制各种违法违纪行为。 </w:t>
      </w:r>
    </w:p>
    <w:p w14:paraId="1EDF5B7F">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3AB1474F">
      <w:pPr>
        <w:autoSpaceDE w:val="0"/>
        <w:autoSpaceDN w:val="0"/>
        <w:spacing w:line="360" w:lineRule="auto"/>
        <w:jc w:val="left"/>
        <w:rPr>
          <w:rFonts w:hint="eastAsia" w:ascii="仿宋" w:hAnsi="仿宋" w:eastAsia="仿宋" w:cs="仿宋"/>
          <w:color w:val="auto"/>
          <w:kern w:val="0"/>
          <w:sz w:val="24"/>
          <w:lang w:val="zh-CN"/>
        </w:rPr>
      </w:pPr>
    </w:p>
    <w:p w14:paraId="615AFDBA">
      <w:pPr>
        <w:autoSpaceDE w:val="0"/>
        <w:autoSpaceDN w:val="0"/>
        <w:spacing w:line="360" w:lineRule="auto"/>
        <w:ind w:left="2"/>
        <w:jc w:val="left"/>
        <w:rPr>
          <w:rFonts w:hint="eastAsia" w:ascii="仿宋" w:hAnsi="仿宋" w:eastAsia="仿宋" w:cs="仿宋"/>
          <w:color w:val="auto"/>
          <w:kern w:val="0"/>
          <w:sz w:val="24"/>
          <w:lang w:val="zh-CN"/>
        </w:rPr>
      </w:pPr>
    </w:p>
    <w:p w14:paraId="02206995">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098B379">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55A8179A">
      <w:pPr>
        <w:spacing w:line="360" w:lineRule="auto"/>
        <w:jc w:val="center"/>
        <w:rPr>
          <w:rFonts w:hint="eastAsia" w:ascii="仿宋" w:hAnsi="仿宋" w:eastAsia="仿宋" w:cs="仿宋"/>
          <w:b/>
          <w:bCs/>
          <w:color w:val="auto"/>
          <w:sz w:val="24"/>
        </w:rPr>
      </w:pPr>
    </w:p>
    <w:p w14:paraId="6F97FC66">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E3068D0">
      <w:pPr>
        <w:spacing w:line="360" w:lineRule="auto"/>
        <w:jc w:val="center"/>
        <w:rPr>
          <w:rFonts w:hint="eastAsia" w:ascii="仿宋" w:hAnsi="仿宋" w:eastAsia="仿宋" w:cs="仿宋"/>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D1F14C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41332835">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008BAE23">
      <w:pPr>
        <w:spacing w:line="360" w:lineRule="auto"/>
        <w:jc w:val="center"/>
        <w:outlineLvl w:val="0"/>
        <w:rPr>
          <w:rFonts w:hint="eastAsia" w:ascii="仿宋" w:hAnsi="仿宋" w:eastAsia="仿宋" w:cs="仿宋"/>
          <w:b/>
          <w:color w:val="auto"/>
          <w:kern w:val="0"/>
          <w:sz w:val="36"/>
          <w:szCs w:val="36"/>
        </w:rPr>
      </w:pPr>
    </w:p>
    <w:p w14:paraId="170B684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（1）交易一览表（报价表）………………………………………………………（页码）</w:t>
      </w:r>
    </w:p>
    <w:p w14:paraId="284D34E4">
      <w:pPr>
        <w:snapToGrid w:val="0"/>
        <w:spacing w:line="360" w:lineRule="auto"/>
        <w:ind w:right="480"/>
        <w:jc w:val="center"/>
        <w:rPr>
          <w:rFonts w:hint="eastAsia" w:ascii="仿宋" w:hAnsi="仿宋" w:eastAsia="仿宋" w:cs="仿宋"/>
          <w:b/>
          <w:color w:val="auto"/>
          <w:kern w:val="0"/>
          <w:sz w:val="32"/>
          <w:szCs w:val="32"/>
        </w:rPr>
      </w:pPr>
    </w:p>
    <w:p w14:paraId="734B3355">
      <w:pPr>
        <w:snapToGrid w:val="0"/>
        <w:spacing w:line="360" w:lineRule="auto"/>
        <w:ind w:right="480"/>
        <w:jc w:val="center"/>
        <w:rPr>
          <w:rFonts w:hint="eastAsia" w:ascii="仿宋" w:hAnsi="仿宋" w:eastAsia="仿宋" w:cs="仿宋"/>
          <w:b/>
          <w:color w:val="auto"/>
          <w:kern w:val="0"/>
          <w:sz w:val="32"/>
          <w:szCs w:val="32"/>
        </w:rPr>
      </w:pPr>
    </w:p>
    <w:p w14:paraId="58AED3CE">
      <w:pPr>
        <w:snapToGrid w:val="0"/>
        <w:spacing w:line="360" w:lineRule="auto"/>
        <w:ind w:right="480"/>
        <w:jc w:val="center"/>
        <w:rPr>
          <w:rFonts w:hint="eastAsia" w:ascii="仿宋" w:hAnsi="仿宋" w:eastAsia="仿宋" w:cs="仿宋"/>
          <w:b/>
          <w:color w:val="auto"/>
          <w:kern w:val="0"/>
          <w:sz w:val="32"/>
          <w:szCs w:val="32"/>
        </w:rPr>
      </w:pPr>
    </w:p>
    <w:p w14:paraId="6A2389A5">
      <w:pPr>
        <w:snapToGrid w:val="0"/>
        <w:spacing w:line="360" w:lineRule="auto"/>
        <w:ind w:right="480"/>
        <w:jc w:val="center"/>
        <w:rPr>
          <w:rFonts w:hint="eastAsia" w:ascii="仿宋" w:hAnsi="仿宋" w:eastAsia="仿宋" w:cs="仿宋"/>
          <w:b/>
          <w:color w:val="auto"/>
          <w:kern w:val="0"/>
          <w:sz w:val="32"/>
          <w:szCs w:val="32"/>
        </w:rPr>
      </w:pPr>
    </w:p>
    <w:p w14:paraId="7A627FA9">
      <w:pPr>
        <w:snapToGrid w:val="0"/>
        <w:spacing w:line="360" w:lineRule="auto"/>
        <w:ind w:right="480"/>
        <w:jc w:val="center"/>
        <w:rPr>
          <w:rFonts w:hint="eastAsia" w:ascii="仿宋" w:hAnsi="仿宋" w:eastAsia="仿宋" w:cs="仿宋"/>
          <w:b/>
          <w:color w:val="auto"/>
          <w:kern w:val="0"/>
          <w:sz w:val="32"/>
          <w:szCs w:val="32"/>
        </w:rPr>
      </w:pPr>
    </w:p>
    <w:p w14:paraId="53853741">
      <w:pPr>
        <w:snapToGrid w:val="0"/>
        <w:spacing w:line="360" w:lineRule="auto"/>
        <w:ind w:right="480"/>
        <w:jc w:val="center"/>
        <w:rPr>
          <w:rFonts w:hint="eastAsia" w:ascii="仿宋" w:hAnsi="仿宋" w:eastAsia="仿宋" w:cs="仿宋"/>
          <w:b/>
          <w:color w:val="auto"/>
          <w:kern w:val="0"/>
          <w:sz w:val="32"/>
          <w:szCs w:val="32"/>
        </w:rPr>
      </w:pPr>
    </w:p>
    <w:p w14:paraId="68FA1195">
      <w:pPr>
        <w:snapToGrid w:val="0"/>
        <w:spacing w:line="360" w:lineRule="auto"/>
        <w:ind w:right="480"/>
        <w:jc w:val="center"/>
        <w:rPr>
          <w:rFonts w:hint="eastAsia" w:ascii="仿宋" w:hAnsi="仿宋" w:eastAsia="仿宋" w:cs="仿宋"/>
          <w:b/>
          <w:color w:val="auto"/>
          <w:kern w:val="0"/>
          <w:sz w:val="32"/>
          <w:szCs w:val="32"/>
        </w:rPr>
      </w:pPr>
    </w:p>
    <w:p w14:paraId="2431F3E0">
      <w:pPr>
        <w:snapToGrid w:val="0"/>
        <w:spacing w:line="360" w:lineRule="auto"/>
        <w:ind w:right="480"/>
        <w:jc w:val="center"/>
        <w:rPr>
          <w:rFonts w:hint="eastAsia" w:ascii="仿宋" w:hAnsi="仿宋" w:eastAsia="仿宋" w:cs="仿宋"/>
          <w:b/>
          <w:color w:val="auto"/>
          <w:kern w:val="0"/>
          <w:sz w:val="32"/>
          <w:szCs w:val="32"/>
        </w:rPr>
      </w:pPr>
    </w:p>
    <w:p w14:paraId="63A0D04B">
      <w:pPr>
        <w:snapToGrid w:val="0"/>
        <w:spacing w:line="360" w:lineRule="auto"/>
        <w:ind w:right="480"/>
        <w:jc w:val="center"/>
        <w:rPr>
          <w:rFonts w:hint="eastAsia" w:ascii="仿宋" w:hAnsi="仿宋" w:eastAsia="仿宋" w:cs="仿宋"/>
          <w:b/>
          <w:color w:val="auto"/>
          <w:kern w:val="0"/>
          <w:sz w:val="32"/>
          <w:szCs w:val="32"/>
        </w:rPr>
      </w:pPr>
    </w:p>
    <w:p w14:paraId="6F1CD378">
      <w:pPr>
        <w:snapToGrid w:val="0"/>
        <w:spacing w:line="360" w:lineRule="auto"/>
        <w:ind w:right="480"/>
        <w:jc w:val="center"/>
        <w:rPr>
          <w:rFonts w:hint="eastAsia" w:ascii="仿宋" w:hAnsi="仿宋" w:eastAsia="仿宋" w:cs="仿宋"/>
          <w:b/>
          <w:color w:val="auto"/>
          <w:kern w:val="0"/>
          <w:sz w:val="32"/>
          <w:szCs w:val="32"/>
        </w:rPr>
      </w:pPr>
    </w:p>
    <w:p w14:paraId="0525C939">
      <w:pPr>
        <w:snapToGrid w:val="0"/>
        <w:spacing w:line="360" w:lineRule="auto"/>
        <w:ind w:right="480"/>
        <w:jc w:val="center"/>
        <w:rPr>
          <w:rFonts w:hint="eastAsia" w:ascii="仿宋" w:hAnsi="仿宋" w:eastAsia="仿宋" w:cs="仿宋"/>
          <w:b/>
          <w:color w:val="auto"/>
          <w:kern w:val="0"/>
          <w:sz w:val="32"/>
          <w:szCs w:val="32"/>
        </w:rPr>
      </w:pPr>
    </w:p>
    <w:p w14:paraId="3CFDFB79">
      <w:pPr>
        <w:snapToGrid w:val="0"/>
        <w:spacing w:line="360" w:lineRule="auto"/>
        <w:ind w:right="480"/>
        <w:jc w:val="center"/>
        <w:rPr>
          <w:rFonts w:hint="eastAsia" w:ascii="仿宋" w:hAnsi="仿宋" w:eastAsia="仿宋" w:cs="仿宋"/>
          <w:b/>
          <w:color w:val="auto"/>
          <w:kern w:val="0"/>
          <w:sz w:val="32"/>
          <w:szCs w:val="32"/>
        </w:rPr>
      </w:pPr>
    </w:p>
    <w:p w14:paraId="39344F88">
      <w:pPr>
        <w:snapToGrid w:val="0"/>
        <w:spacing w:line="360" w:lineRule="auto"/>
        <w:ind w:right="480"/>
        <w:rPr>
          <w:rFonts w:hint="eastAsia" w:ascii="仿宋" w:hAnsi="仿宋" w:eastAsia="仿宋" w:cs="仿宋"/>
          <w:b/>
          <w:color w:val="auto"/>
          <w:kern w:val="0"/>
          <w:sz w:val="32"/>
          <w:szCs w:val="32"/>
        </w:rPr>
      </w:pPr>
    </w:p>
    <w:p w14:paraId="4D182D5F">
      <w:pPr>
        <w:pStyle w:val="5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75E80C1">
      <w:pPr>
        <w:pStyle w:val="5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一、交易一览表（报价表）</w:t>
      </w:r>
    </w:p>
    <w:p w14:paraId="4FE9F51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（交易人）、（采购代理机构）</w:t>
      </w:r>
      <w:r>
        <w:rPr>
          <w:rFonts w:hint="eastAsia" w:ascii="仿宋" w:hAnsi="仿宋" w:eastAsia="仿宋" w:cs="仿宋"/>
          <w:color w:val="auto"/>
          <w:kern w:val="0"/>
          <w:sz w:val="24"/>
          <w:lang w:val="zh-CN"/>
        </w:rPr>
        <w:t>：</w:t>
      </w:r>
    </w:p>
    <w:p w14:paraId="4E176D2F">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auto"/>
          <w:sz w:val="24"/>
          <w:u w:val="single"/>
        </w:rPr>
        <w:t>（项目名称）</w:t>
      </w:r>
      <w:r>
        <w:rPr>
          <w:rFonts w:hint="eastAsia" w:ascii="仿宋" w:hAnsi="仿宋" w:eastAsia="仿宋" w:cs="仿宋"/>
          <w:color w:val="auto"/>
          <w:kern w:val="0"/>
          <w:sz w:val="24"/>
          <w:u w:val="single"/>
          <w:lang w:val="zh-CN"/>
        </w:rPr>
        <w:t>【交易编号：</w:t>
      </w:r>
      <w:r>
        <w:rPr>
          <w:rFonts w:hint="eastAsia" w:ascii="仿宋" w:hAnsi="仿宋" w:eastAsia="仿宋" w:cs="仿宋"/>
          <w:color w:val="auto"/>
          <w:sz w:val="24"/>
          <w:u w:val="single"/>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333CAF3">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响应(交易)一览表</w:t>
      </w:r>
    </w:p>
    <w:tbl>
      <w:tblPr>
        <w:tblStyle w:val="60"/>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6F372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59B136F9">
            <w:pPr>
              <w:pStyle w:val="621"/>
              <w:spacing w:line="400" w:lineRule="exact"/>
              <w:jc w:val="center"/>
              <w:rPr>
                <w:rFonts w:hint="eastAsia" w:ascii="仿宋" w:hAnsi="仿宋" w:eastAsia="仿宋" w:cs="仿宋"/>
                <w:color w:val="auto"/>
                <w:sz w:val="24"/>
                <w:szCs w:val="24"/>
                <w:lang w:val="en-GB"/>
              </w:rPr>
            </w:pPr>
            <w:r>
              <w:rPr>
                <w:rFonts w:hint="eastAsia" w:ascii="仿宋" w:hAnsi="仿宋" w:eastAsia="仿宋" w:cs="仿宋"/>
                <w:color w:val="auto"/>
                <w:sz w:val="24"/>
                <w:szCs w:val="24"/>
                <w:lang w:val="en-GB"/>
              </w:rPr>
              <w:t>标项</w:t>
            </w:r>
          </w:p>
        </w:tc>
        <w:tc>
          <w:tcPr>
            <w:tcW w:w="3827" w:type="dxa"/>
            <w:tcBorders>
              <w:left w:val="single" w:color="auto" w:sz="4" w:space="0"/>
              <w:right w:val="single" w:color="auto" w:sz="4" w:space="0"/>
            </w:tcBorders>
            <w:vAlign w:val="center"/>
          </w:tcPr>
          <w:p w14:paraId="6C6885AF">
            <w:pPr>
              <w:pStyle w:val="621"/>
              <w:spacing w:line="400" w:lineRule="exact"/>
              <w:jc w:val="center"/>
              <w:rPr>
                <w:rFonts w:hint="eastAsia" w:ascii="仿宋" w:hAnsi="仿宋" w:eastAsia="仿宋" w:cs="仿宋"/>
                <w:color w:val="auto"/>
                <w:sz w:val="24"/>
                <w:szCs w:val="24"/>
                <w:lang w:val="en-GB"/>
              </w:rPr>
            </w:pPr>
            <w:r>
              <w:rPr>
                <w:rFonts w:hint="eastAsia" w:ascii="仿宋" w:hAnsi="仿宋" w:eastAsia="仿宋" w:cs="仿宋"/>
                <w:color w:val="auto"/>
                <w:sz w:val="24"/>
                <w:szCs w:val="24"/>
                <w:lang w:val="en-GB"/>
              </w:rPr>
              <w:t>名称</w:t>
            </w:r>
          </w:p>
        </w:tc>
        <w:tc>
          <w:tcPr>
            <w:tcW w:w="2622" w:type="dxa"/>
            <w:tcBorders>
              <w:left w:val="single" w:color="auto" w:sz="4" w:space="0"/>
              <w:right w:val="single" w:color="auto" w:sz="4" w:space="0"/>
            </w:tcBorders>
            <w:vAlign w:val="center"/>
          </w:tcPr>
          <w:p w14:paraId="1AADA16C">
            <w:pPr>
              <w:pStyle w:val="621"/>
              <w:spacing w:line="400" w:lineRule="exact"/>
              <w:jc w:val="center"/>
              <w:rPr>
                <w:rFonts w:hint="eastAsia" w:ascii="仿宋" w:hAnsi="仿宋" w:eastAsia="仿宋" w:cs="仿宋"/>
                <w:color w:val="auto"/>
                <w:sz w:val="24"/>
                <w:szCs w:val="24"/>
                <w:lang w:val="en-GB"/>
              </w:rPr>
            </w:pPr>
            <w:r>
              <w:rPr>
                <w:rFonts w:hint="eastAsia" w:ascii="仿宋" w:hAnsi="仿宋" w:eastAsia="仿宋" w:cs="仿宋"/>
                <w:color w:val="auto"/>
                <w:sz w:val="24"/>
                <w:szCs w:val="24"/>
                <w:lang w:val="en-GB"/>
              </w:rPr>
              <w:t>规格型号参数</w:t>
            </w:r>
          </w:p>
        </w:tc>
        <w:tc>
          <w:tcPr>
            <w:tcW w:w="1842" w:type="dxa"/>
            <w:tcBorders>
              <w:left w:val="single" w:color="auto" w:sz="4" w:space="0"/>
              <w:right w:val="single" w:color="auto" w:sz="4" w:space="0"/>
            </w:tcBorders>
            <w:vAlign w:val="center"/>
          </w:tcPr>
          <w:p w14:paraId="4BD74E7A">
            <w:pPr>
              <w:pStyle w:val="621"/>
              <w:spacing w:line="400" w:lineRule="exact"/>
              <w:jc w:val="center"/>
              <w:rPr>
                <w:rFonts w:hint="eastAsia" w:ascii="仿宋" w:hAnsi="仿宋" w:eastAsia="仿宋" w:cs="仿宋"/>
                <w:color w:val="auto"/>
                <w:sz w:val="24"/>
                <w:szCs w:val="24"/>
                <w:lang w:val="en-GB"/>
              </w:rPr>
            </w:pPr>
            <w:r>
              <w:rPr>
                <w:rFonts w:hint="eastAsia" w:ascii="仿宋" w:hAnsi="仿宋" w:eastAsia="仿宋" w:cs="仿宋"/>
                <w:color w:val="auto"/>
                <w:sz w:val="24"/>
                <w:szCs w:val="24"/>
                <w:lang w:val="en-GB"/>
              </w:rPr>
              <w:t>数量</w:t>
            </w:r>
          </w:p>
        </w:tc>
        <w:tc>
          <w:tcPr>
            <w:tcW w:w="1915" w:type="dxa"/>
            <w:tcBorders>
              <w:left w:val="single" w:color="auto" w:sz="4" w:space="0"/>
              <w:right w:val="single" w:color="auto" w:sz="4" w:space="0"/>
            </w:tcBorders>
            <w:vAlign w:val="center"/>
          </w:tcPr>
          <w:p w14:paraId="23A45956">
            <w:pPr>
              <w:pStyle w:val="621"/>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GB"/>
              </w:rPr>
              <w:t>单价</w:t>
            </w:r>
          </w:p>
        </w:tc>
        <w:tc>
          <w:tcPr>
            <w:tcW w:w="2996" w:type="dxa"/>
            <w:tcBorders>
              <w:left w:val="single" w:color="auto" w:sz="4" w:space="0"/>
              <w:right w:val="single" w:color="auto" w:sz="4" w:space="0"/>
            </w:tcBorders>
            <w:vAlign w:val="center"/>
          </w:tcPr>
          <w:p w14:paraId="62B16128">
            <w:pPr>
              <w:pStyle w:val="621"/>
              <w:spacing w:line="400" w:lineRule="exact"/>
              <w:jc w:val="center"/>
              <w:rPr>
                <w:rFonts w:hint="eastAsia" w:ascii="仿宋" w:hAnsi="仿宋" w:eastAsia="仿宋" w:cs="仿宋"/>
                <w:color w:val="auto"/>
                <w:sz w:val="24"/>
                <w:szCs w:val="24"/>
                <w:lang w:val="en-GB"/>
              </w:rPr>
            </w:pPr>
            <w:r>
              <w:rPr>
                <w:rFonts w:hint="eastAsia" w:ascii="仿宋" w:hAnsi="仿宋" w:eastAsia="仿宋" w:cs="仿宋"/>
                <w:color w:val="auto"/>
                <w:sz w:val="24"/>
                <w:szCs w:val="24"/>
                <w:lang w:val="en-GB"/>
              </w:rPr>
              <w:t>总价</w:t>
            </w:r>
          </w:p>
        </w:tc>
      </w:tr>
      <w:tr w14:paraId="4AE014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2E18BA18">
            <w:pPr>
              <w:spacing w:line="360" w:lineRule="auto"/>
              <w:jc w:val="center"/>
              <w:rPr>
                <w:rFonts w:hint="eastAsia" w:ascii="仿宋" w:hAnsi="仿宋" w:eastAsia="仿宋" w:cs="仿宋"/>
                <w:color w:val="auto"/>
                <w:sz w:val="24"/>
              </w:rPr>
            </w:pPr>
          </w:p>
        </w:tc>
        <w:tc>
          <w:tcPr>
            <w:tcW w:w="3827" w:type="dxa"/>
            <w:tcBorders>
              <w:left w:val="single" w:color="auto" w:sz="4" w:space="0"/>
              <w:right w:val="single" w:color="auto" w:sz="4" w:space="0"/>
            </w:tcBorders>
            <w:vAlign w:val="center"/>
          </w:tcPr>
          <w:p w14:paraId="1B303A96">
            <w:pPr>
              <w:spacing w:line="360" w:lineRule="exact"/>
              <w:jc w:val="center"/>
              <w:rPr>
                <w:rFonts w:hint="eastAsia" w:ascii="仿宋" w:hAnsi="仿宋" w:eastAsia="仿宋" w:cs="仿宋"/>
                <w:color w:val="auto"/>
                <w:sz w:val="24"/>
              </w:rPr>
            </w:pPr>
          </w:p>
        </w:tc>
        <w:tc>
          <w:tcPr>
            <w:tcW w:w="2622" w:type="dxa"/>
            <w:tcBorders>
              <w:left w:val="single" w:color="auto" w:sz="4" w:space="0"/>
              <w:right w:val="single" w:color="auto" w:sz="4" w:space="0"/>
            </w:tcBorders>
            <w:vAlign w:val="center"/>
          </w:tcPr>
          <w:p w14:paraId="6ECA6664">
            <w:pPr>
              <w:pStyle w:val="621"/>
              <w:spacing w:line="400" w:lineRule="exact"/>
              <w:jc w:val="center"/>
              <w:rPr>
                <w:rFonts w:hint="eastAsia" w:ascii="仿宋" w:hAnsi="仿宋" w:eastAsia="仿宋" w:cs="仿宋"/>
                <w:color w:val="auto"/>
                <w:sz w:val="24"/>
              </w:rPr>
            </w:pPr>
          </w:p>
        </w:tc>
        <w:tc>
          <w:tcPr>
            <w:tcW w:w="1842" w:type="dxa"/>
            <w:tcBorders>
              <w:left w:val="single" w:color="auto" w:sz="4" w:space="0"/>
              <w:right w:val="single" w:color="auto" w:sz="4" w:space="0"/>
            </w:tcBorders>
            <w:vAlign w:val="center"/>
          </w:tcPr>
          <w:p w14:paraId="3D4A6A1F">
            <w:pPr>
              <w:pStyle w:val="621"/>
              <w:spacing w:line="400" w:lineRule="exact"/>
              <w:jc w:val="center"/>
              <w:rPr>
                <w:rFonts w:hint="eastAsia" w:ascii="仿宋" w:hAnsi="仿宋" w:eastAsia="仿宋" w:cs="仿宋"/>
                <w:color w:val="auto"/>
                <w:sz w:val="24"/>
                <w:szCs w:val="24"/>
              </w:rPr>
            </w:pPr>
          </w:p>
        </w:tc>
        <w:tc>
          <w:tcPr>
            <w:tcW w:w="1915" w:type="dxa"/>
            <w:tcBorders>
              <w:left w:val="single" w:color="auto" w:sz="4" w:space="0"/>
              <w:right w:val="single" w:color="auto" w:sz="4" w:space="0"/>
            </w:tcBorders>
            <w:vAlign w:val="center"/>
          </w:tcPr>
          <w:p w14:paraId="02E6B8BD">
            <w:pPr>
              <w:pStyle w:val="621"/>
              <w:spacing w:line="400" w:lineRule="exact"/>
              <w:jc w:val="center"/>
              <w:rPr>
                <w:rFonts w:hint="eastAsia" w:ascii="仿宋" w:hAnsi="仿宋" w:eastAsia="仿宋" w:cs="仿宋"/>
                <w:color w:val="auto"/>
                <w:sz w:val="24"/>
                <w:szCs w:val="24"/>
              </w:rPr>
            </w:pPr>
          </w:p>
        </w:tc>
        <w:tc>
          <w:tcPr>
            <w:tcW w:w="2996" w:type="dxa"/>
            <w:tcBorders>
              <w:left w:val="single" w:color="auto" w:sz="4" w:space="0"/>
              <w:right w:val="single" w:color="auto" w:sz="4" w:space="0"/>
            </w:tcBorders>
            <w:vAlign w:val="center"/>
          </w:tcPr>
          <w:p w14:paraId="7381E0B2">
            <w:pPr>
              <w:pStyle w:val="621"/>
              <w:spacing w:line="400" w:lineRule="exact"/>
              <w:jc w:val="center"/>
              <w:rPr>
                <w:rFonts w:hint="eastAsia" w:ascii="仿宋" w:hAnsi="仿宋" w:eastAsia="仿宋" w:cs="仿宋"/>
                <w:color w:val="auto"/>
                <w:sz w:val="24"/>
                <w:szCs w:val="24"/>
              </w:rPr>
            </w:pPr>
          </w:p>
        </w:tc>
      </w:tr>
      <w:tr w14:paraId="13096E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14AC181A">
            <w:pPr>
              <w:spacing w:line="360" w:lineRule="auto"/>
              <w:jc w:val="center"/>
              <w:rPr>
                <w:rFonts w:hint="eastAsia" w:ascii="仿宋" w:hAnsi="仿宋" w:eastAsia="仿宋" w:cs="仿宋"/>
                <w:color w:val="auto"/>
                <w:sz w:val="24"/>
              </w:rPr>
            </w:pPr>
          </w:p>
        </w:tc>
        <w:tc>
          <w:tcPr>
            <w:tcW w:w="3827" w:type="dxa"/>
            <w:tcBorders>
              <w:left w:val="single" w:color="auto" w:sz="4" w:space="0"/>
              <w:right w:val="single" w:color="auto" w:sz="4" w:space="0"/>
            </w:tcBorders>
            <w:vAlign w:val="center"/>
          </w:tcPr>
          <w:p w14:paraId="6BFB78B9">
            <w:pPr>
              <w:spacing w:line="360" w:lineRule="exact"/>
              <w:jc w:val="center"/>
              <w:rPr>
                <w:rFonts w:hint="eastAsia" w:ascii="仿宋" w:hAnsi="仿宋" w:eastAsia="仿宋" w:cs="仿宋"/>
                <w:color w:val="auto"/>
                <w:sz w:val="24"/>
              </w:rPr>
            </w:pPr>
          </w:p>
        </w:tc>
        <w:tc>
          <w:tcPr>
            <w:tcW w:w="2622" w:type="dxa"/>
            <w:tcBorders>
              <w:left w:val="single" w:color="auto" w:sz="4" w:space="0"/>
              <w:right w:val="single" w:color="auto" w:sz="4" w:space="0"/>
            </w:tcBorders>
            <w:vAlign w:val="center"/>
          </w:tcPr>
          <w:p w14:paraId="39333C3A">
            <w:pPr>
              <w:pStyle w:val="621"/>
              <w:spacing w:line="400" w:lineRule="exact"/>
              <w:jc w:val="center"/>
              <w:rPr>
                <w:rFonts w:hint="eastAsia" w:ascii="仿宋" w:hAnsi="仿宋" w:eastAsia="仿宋" w:cs="仿宋"/>
                <w:color w:val="auto"/>
                <w:sz w:val="24"/>
              </w:rPr>
            </w:pPr>
          </w:p>
        </w:tc>
        <w:tc>
          <w:tcPr>
            <w:tcW w:w="1842" w:type="dxa"/>
            <w:tcBorders>
              <w:left w:val="single" w:color="auto" w:sz="4" w:space="0"/>
              <w:right w:val="single" w:color="auto" w:sz="4" w:space="0"/>
            </w:tcBorders>
            <w:vAlign w:val="center"/>
          </w:tcPr>
          <w:p w14:paraId="37711BDD">
            <w:pPr>
              <w:pStyle w:val="621"/>
              <w:spacing w:line="400" w:lineRule="exact"/>
              <w:jc w:val="center"/>
              <w:rPr>
                <w:rFonts w:hint="eastAsia" w:ascii="仿宋" w:hAnsi="仿宋" w:eastAsia="仿宋" w:cs="仿宋"/>
                <w:color w:val="auto"/>
                <w:sz w:val="24"/>
                <w:szCs w:val="24"/>
              </w:rPr>
            </w:pPr>
          </w:p>
        </w:tc>
        <w:tc>
          <w:tcPr>
            <w:tcW w:w="1915" w:type="dxa"/>
            <w:tcBorders>
              <w:left w:val="single" w:color="auto" w:sz="4" w:space="0"/>
              <w:right w:val="single" w:color="auto" w:sz="4" w:space="0"/>
            </w:tcBorders>
            <w:vAlign w:val="center"/>
          </w:tcPr>
          <w:p w14:paraId="19EEA712">
            <w:pPr>
              <w:pStyle w:val="621"/>
              <w:spacing w:line="400" w:lineRule="exact"/>
              <w:jc w:val="center"/>
              <w:rPr>
                <w:rFonts w:hint="eastAsia" w:ascii="仿宋" w:hAnsi="仿宋" w:eastAsia="仿宋" w:cs="仿宋"/>
                <w:color w:val="auto"/>
                <w:sz w:val="24"/>
                <w:szCs w:val="24"/>
              </w:rPr>
            </w:pPr>
          </w:p>
        </w:tc>
        <w:tc>
          <w:tcPr>
            <w:tcW w:w="2996" w:type="dxa"/>
            <w:tcBorders>
              <w:left w:val="single" w:color="auto" w:sz="4" w:space="0"/>
              <w:right w:val="single" w:color="auto" w:sz="4" w:space="0"/>
            </w:tcBorders>
            <w:vAlign w:val="center"/>
          </w:tcPr>
          <w:p w14:paraId="37A30D45">
            <w:pPr>
              <w:pStyle w:val="621"/>
              <w:spacing w:line="400" w:lineRule="exact"/>
              <w:jc w:val="center"/>
              <w:rPr>
                <w:rFonts w:hint="eastAsia" w:ascii="仿宋" w:hAnsi="仿宋" w:eastAsia="仿宋" w:cs="仿宋"/>
                <w:color w:val="auto"/>
                <w:sz w:val="24"/>
                <w:szCs w:val="24"/>
              </w:rPr>
            </w:pPr>
          </w:p>
        </w:tc>
      </w:tr>
    </w:tbl>
    <w:p w14:paraId="349BB347">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21F0A4E4">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1、响应人需按本表格式填写，不得自行更改。</w:t>
      </w:r>
    </w:p>
    <w:p w14:paraId="31E294C9">
      <w:pPr>
        <w:snapToGrid w:val="0"/>
        <w:spacing w:line="360" w:lineRule="auto"/>
        <w:ind w:left="480"/>
        <w:rPr>
          <w:rFonts w:hint="eastAsia" w:ascii="仿宋" w:hAnsi="仿宋" w:eastAsia="仿宋" w:cs="仿宋"/>
          <w:b/>
          <w:color w:val="auto"/>
          <w:kern w:val="0"/>
          <w:sz w:val="24"/>
        </w:rPr>
      </w:pPr>
      <w:r>
        <w:rPr>
          <w:rFonts w:hint="eastAsia" w:ascii="仿宋" w:hAnsi="仿宋" w:eastAsia="仿宋" w:cs="仿宋"/>
          <w:color w:val="auto"/>
          <w:kern w:val="0"/>
          <w:sz w:val="24"/>
          <w:lang w:val="zh-CN"/>
        </w:rPr>
        <w:t>2、有关本项目实施所涉及的一切费用均计入报价。</w:t>
      </w:r>
    </w:p>
    <w:p w14:paraId="29621313">
      <w:pPr>
        <w:spacing w:line="36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r>
        <w:rPr>
          <w:rFonts w:hint="eastAsia" w:ascii="仿宋" w:hAnsi="仿宋" w:eastAsia="仿宋" w:cs="仿宋"/>
          <w:color w:val="auto"/>
          <w:sz w:val="24"/>
        </w:rPr>
        <w:t xml:space="preserve">                                                                               </w:t>
      </w:r>
    </w:p>
    <w:p w14:paraId="218A1612">
      <w:pPr>
        <w:spacing w:line="360" w:lineRule="auto"/>
        <w:ind w:firstLine="480" w:firstLineChars="200"/>
        <w:jc w:val="center"/>
        <w:rPr>
          <w:rFonts w:hint="eastAsia" w:ascii="仿宋" w:hAnsi="仿宋" w:eastAsia="仿宋" w:cs="仿宋"/>
          <w:color w:val="auto"/>
          <w:sz w:val="32"/>
          <w:szCs w:val="32"/>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color w:val="auto"/>
          <w:sz w:val="24"/>
        </w:rPr>
        <w:t xml:space="preserve">                                                              日期：  年   月   </w:t>
      </w:r>
    </w:p>
    <w:p w14:paraId="13D14BD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5A57C72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F2EDD6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C3D6F9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1523F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2023F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82B06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D313B8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1F4508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7C70D6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91CC2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F470E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36C2BD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p>
    <w:p w14:paraId="6C2800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C6CEE8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9D017F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EBC69B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AF72AB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776C2D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0F14AF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07CCD1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DF8FB4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003949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12E9A5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D24B3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D7FCD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6B24CF4">
      <w:pPr>
        <w:spacing w:line="360" w:lineRule="auto"/>
        <w:jc w:val="center"/>
        <w:rPr>
          <w:rFonts w:hint="eastAsia" w:ascii="仿宋" w:hAnsi="仿宋" w:eastAsia="仿宋" w:cs="仿宋"/>
          <w:b/>
          <w:bCs/>
          <w:color w:val="auto"/>
          <w:sz w:val="24"/>
          <w:highlight w:val="none"/>
        </w:rPr>
      </w:pPr>
    </w:p>
    <w:p w14:paraId="510BCB46">
      <w:pPr>
        <w:spacing w:line="360" w:lineRule="auto"/>
        <w:rPr>
          <w:rFonts w:hint="eastAsia" w:ascii="仿宋" w:hAnsi="仿宋" w:eastAsia="仿宋" w:cs="仿宋"/>
          <w:b/>
          <w:color w:val="auto"/>
          <w:sz w:val="24"/>
          <w:highlight w:val="none"/>
        </w:rPr>
      </w:pPr>
    </w:p>
    <w:p w14:paraId="32063605">
      <w:pPr>
        <w:spacing w:line="360" w:lineRule="auto"/>
        <w:rPr>
          <w:rFonts w:hint="eastAsia" w:ascii="仿宋" w:hAnsi="仿宋" w:eastAsia="仿宋" w:cs="仿宋"/>
          <w:b/>
          <w:color w:val="auto"/>
          <w:sz w:val="24"/>
          <w:highlight w:val="none"/>
        </w:rPr>
      </w:pPr>
    </w:p>
    <w:p w14:paraId="0B5A1EF5">
      <w:pPr>
        <w:spacing w:line="360" w:lineRule="auto"/>
        <w:rPr>
          <w:rFonts w:hint="eastAsia" w:ascii="仿宋" w:hAnsi="仿宋" w:eastAsia="仿宋" w:cs="仿宋"/>
          <w:b/>
          <w:color w:val="auto"/>
          <w:sz w:val="24"/>
          <w:highlight w:val="none"/>
        </w:rPr>
      </w:pPr>
    </w:p>
    <w:p w14:paraId="1F6B727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E0C763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5F0265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051F57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BA965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9012FD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C4778F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17B72DD">
      <w:pPr>
        <w:widowControl/>
        <w:spacing w:line="360" w:lineRule="auto"/>
        <w:ind w:firstLine="600" w:firstLineChars="200"/>
        <w:jc w:val="left"/>
        <w:rPr>
          <w:rFonts w:hint="eastAsia" w:ascii="仿宋" w:hAnsi="仿宋" w:eastAsia="仿宋" w:cs="仿宋"/>
          <w:color w:val="auto"/>
          <w:sz w:val="30"/>
          <w:szCs w:val="30"/>
          <w:highlight w:val="none"/>
        </w:rPr>
      </w:pPr>
    </w:p>
    <w:p w14:paraId="69069D97">
      <w:pPr>
        <w:spacing w:line="360" w:lineRule="auto"/>
        <w:jc w:val="center"/>
        <w:rPr>
          <w:rFonts w:hint="eastAsia" w:ascii="仿宋" w:hAnsi="仿宋" w:eastAsia="仿宋" w:cs="仿宋"/>
          <w:b/>
          <w:color w:val="auto"/>
          <w:spacing w:val="6"/>
          <w:sz w:val="32"/>
          <w:szCs w:val="32"/>
          <w:highlight w:val="none"/>
        </w:rPr>
      </w:pPr>
    </w:p>
    <w:p w14:paraId="34ADB437">
      <w:pPr>
        <w:spacing w:line="360" w:lineRule="auto"/>
        <w:jc w:val="center"/>
        <w:rPr>
          <w:rFonts w:hint="eastAsia" w:ascii="仿宋" w:hAnsi="仿宋" w:eastAsia="仿宋" w:cs="仿宋"/>
          <w:b/>
          <w:color w:val="auto"/>
          <w:spacing w:val="6"/>
          <w:sz w:val="32"/>
          <w:szCs w:val="32"/>
          <w:highlight w:val="none"/>
        </w:rPr>
      </w:pPr>
    </w:p>
    <w:p w14:paraId="1912270E">
      <w:pPr>
        <w:spacing w:line="360" w:lineRule="auto"/>
        <w:jc w:val="center"/>
        <w:rPr>
          <w:rFonts w:hint="eastAsia" w:ascii="仿宋" w:hAnsi="仿宋" w:eastAsia="仿宋" w:cs="仿宋"/>
          <w:b/>
          <w:color w:val="auto"/>
          <w:spacing w:val="6"/>
          <w:sz w:val="32"/>
          <w:szCs w:val="32"/>
          <w:highlight w:val="none"/>
        </w:rPr>
      </w:pPr>
    </w:p>
    <w:p w14:paraId="3D1BDCF8">
      <w:pPr>
        <w:spacing w:line="360" w:lineRule="auto"/>
        <w:jc w:val="center"/>
        <w:rPr>
          <w:rFonts w:hint="eastAsia" w:ascii="仿宋" w:hAnsi="仿宋" w:eastAsia="仿宋" w:cs="仿宋"/>
          <w:b/>
          <w:color w:val="auto"/>
          <w:spacing w:val="6"/>
          <w:sz w:val="32"/>
          <w:szCs w:val="32"/>
          <w:highlight w:val="none"/>
        </w:rPr>
      </w:pPr>
    </w:p>
    <w:p w14:paraId="38B0C565">
      <w:pPr>
        <w:spacing w:line="360" w:lineRule="auto"/>
        <w:jc w:val="center"/>
        <w:rPr>
          <w:rFonts w:hint="eastAsia" w:ascii="仿宋" w:hAnsi="仿宋" w:eastAsia="仿宋" w:cs="仿宋"/>
          <w:b/>
          <w:color w:val="auto"/>
          <w:spacing w:val="6"/>
          <w:sz w:val="32"/>
          <w:szCs w:val="32"/>
          <w:highlight w:val="none"/>
        </w:rPr>
      </w:pPr>
    </w:p>
    <w:p w14:paraId="7F5FC1A9">
      <w:pPr>
        <w:spacing w:line="360" w:lineRule="auto"/>
        <w:jc w:val="center"/>
        <w:rPr>
          <w:rFonts w:hint="eastAsia" w:ascii="仿宋" w:hAnsi="仿宋" w:eastAsia="仿宋" w:cs="仿宋"/>
          <w:b/>
          <w:color w:val="auto"/>
          <w:spacing w:val="6"/>
          <w:sz w:val="32"/>
          <w:szCs w:val="32"/>
          <w:highlight w:val="none"/>
        </w:rPr>
      </w:pPr>
    </w:p>
    <w:p w14:paraId="1945E8C3">
      <w:pPr>
        <w:spacing w:line="360" w:lineRule="auto"/>
        <w:jc w:val="center"/>
        <w:rPr>
          <w:rFonts w:hint="eastAsia" w:ascii="仿宋" w:hAnsi="仿宋" w:eastAsia="仿宋" w:cs="仿宋"/>
          <w:b/>
          <w:color w:val="auto"/>
          <w:spacing w:val="6"/>
          <w:sz w:val="32"/>
          <w:szCs w:val="32"/>
          <w:highlight w:val="none"/>
        </w:rPr>
      </w:pPr>
    </w:p>
    <w:p w14:paraId="43EA1C38">
      <w:pPr>
        <w:spacing w:line="360" w:lineRule="auto"/>
        <w:jc w:val="center"/>
        <w:rPr>
          <w:rFonts w:hint="eastAsia" w:ascii="仿宋" w:hAnsi="仿宋" w:eastAsia="仿宋" w:cs="仿宋"/>
          <w:b/>
          <w:color w:val="auto"/>
          <w:spacing w:val="6"/>
          <w:sz w:val="32"/>
          <w:szCs w:val="32"/>
          <w:highlight w:val="none"/>
        </w:rPr>
      </w:pPr>
    </w:p>
    <w:p w14:paraId="449AAC01">
      <w:pPr>
        <w:spacing w:line="360" w:lineRule="auto"/>
        <w:jc w:val="center"/>
        <w:rPr>
          <w:rFonts w:hint="eastAsia" w:ascii="仿宋" w:hAnsi="仿宋" w:eastAsia="仿宋" w:cs="仿宋"/>
          <w:b/>
          <w:color w:val="auto"/>
          <w:spacing w:val="6"/>
          <w:sz w:val="32"/>
          <w:szCs w:val="32"/>
          <w:highlight w:val="none"/>
        </w:rPr>
      </w:pPr>
    </w:p>
    <w:p w14:paraId="262D3847">
      <w:pPr>
        <w:spacing w:line="360" w:lineRule="auto"/>
        <w:jc w:val="center"/>
        <w:rPr>
          <w:rFonts w:hint="eastAsia" w:ascii="仿宋" w:hAnsi="仿宋" w:eastAsia="仿宋" w:cs="仿宋"/>
          <w:b/>
          <w:color w:val="auto"/>
          <w:spacing w:val="6"/>
          <w:sz w:val="32"/>
          <w:szCs w:val="32"/>
          <w:highlight w:val="none"/>
        </w:rPr>
      </w:pPr>
    </w:p>
    <w:p w14:paraId="5A8B19F2">
      <w:pPr>
        <w:spacing w:line="360" w:lineRule="auto"/>
        <w:jc w:val="center"/>
        <w:rPr>
          <w:rFonts w:hint="eastAsia" w:ascii="仿宋" w:hAnsi="仿宋" w:eastAsia="仿宋" w:cs="仿宋"/>
          <w:b/>
          <w:color w:val="auto"/>
          <w:spacing w:val="6"/>
          <w:sz w:val="32"/>
          <w:szCs w:val="32"/>
          <w:highlight w:val="none"/>
        </w:rPr>
      </w:pPr>
    </w:p>
    <w:p w14:paraId="6DBC59AD">
      <w:pPr>
        <w:spacing w:line="360" w:lineRule="auto"/>
        <w:jc w:val="center"/>
        <w:rPr>
          <w:rFonts w:hint="eastAsia" w:ascii="仿宋" w:hAnsi="仿宋" w:eastAsia="仿宋" w:cs="仿宋"/>
          <w:b/>
          <w:color w:val="auto"/>
          <w:spacing w:val="6"/>
          <w:sz w:val="32"/>
          <w:szCs w:val="32"/>
          <w:highlight w:val="none"/>
        </w:rPr>
      </w:pPr>
    </w:p>
    <w:p w14:paraId="12A26CB5">
      <w:pPr>
        <w:spacing w:line="360" w:lineRule="auto"/>
        <w:jc w:val="left"/>
        <w:rPr>
          <w:rFonts w:hint="eastAsia" w:ascii="仿宋" w:hAnsi="仿宋" w:eastAsia="仿宋" w:cs="仿宋"/>
          <w:b/>
          <w:color w:val="auto"/>
          <w:spacing w:val="6"/>
          <w:sz w:val="32"/>
          <w:szCs w:val="32"/>
          <w:highlight w:val="none"/>
        </w:rPr>
      </w:pPr>
    </w:p>
    <w:p w14:paraId="6B2A3DAF">
      <w:pPr>
        <w:spacing w:line="360" w:lineRule="auto"/>
        <w:jc w:val="left"/>
        <w:rPr>
          <w:rFonts w:hint="eastAsia" w:ascii="仿宋" w:hAnsi="仿宋" w:eastAsia="仿宋" w:cs="仿宋"/>
          <w:b/>
          <w:color w:val="auto"/>
          <w:spacing w:val="6"/>
          <w:sz w:val="32"/>
          <w:szCs w:val="32"/>
          <w:highlight w:val="none"/>
        </w:rPr>
      </w:pPr>
    </w:p>
    <w:p w14:paraId="6A163B1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18344F15">
      <w:pPr>
        <w:spacing w:line="360" w:lineRule="auto"/>
        <w:jc w:val="center"/>
        <w:rPr>
          <w:rFonts w:hint="eastAsia" w:ascii="仿宋" w:hAnsi="仿宋" w:eastAsia="仿宋" w:cs="仿宋"/>
          <w:b/>
          <w:color w:val="auto"/>
          <w:sz w:val="24"/>
          <w:highlight w:val="none"/>
        </w:rPr>
      </w:pPr>
    </w:p>
    <w:p w14:paraId="4ABA5D2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891B8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E4617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ED4F25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C7352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541FF8E">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1C32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E88996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27C73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F00A7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CCDCE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A1FFB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C23EA2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1A56DC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FCE2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CEF71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D767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EB036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6518A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445E7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AD6E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439DDC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B78BF3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9B3ED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A83BA0F">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3A2CDC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7F8FE7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交易人/代理机构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EB5CA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43654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27EDE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E6CD2F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73C7CB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A2519F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F7D91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9F15A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7E795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B8688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47F27D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1AC55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4466A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9CFEC35">
      <w:pPr>
        <w:spacing w:line="360" w:lineRule="auto"/>
        <w:rPr>
          <w:rFonts w:hint="eastAsia" w:ascii="仿宋" w:hAnsi="仿宋" w:eastAsia="仿宋" w:cs="仿宋"/>
          <w:b/>
          <w:color w:val="auto"/>
          <w:sz w:val="24"/>
          <w:highlight w:val="none"/>
        </w:rPr>
      </w:pPr>
    </w:p>
    <w:p w14:paraId="788CA93D">
      <w:pPr>
        <w:spacing w:line="360" w:lineRule="auto"/>
        <w:rPr>
          <w:rFonts w:hint="eastAsia" w:ascii="仿宋" w:hAnsi="仿宋" w:eastAsia="仿宋" w:cs="仿宋"/>
          <w:b/>
          <w:color w:val="auto"/>
          <w:sz w:val="24"/>
          <w:highlight w:val="none"/>
        </w:rPr>
      </w:pPr>
    </w:p>
    <w:p w14:paraId="678CEAF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30C483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E35AF5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24E481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0D1164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37738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E86E36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77FC3B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EA6CCB8">
      <w:pPr>
        <w:spacing w:line="360" w:lineRule="auto"/>
        <w:rPr>
          <w:rFonts w:hint="eastAsia" w:ascii="仿宋" w:hAnsi="仿宋" w:eastAsia="仿宋" w:cs="仿宋"/>
          <w:b/>
          <w:color w:val="auto"/>
          <w:sz w:val="24"/>
          <w:highlight w:val="none"/>
        </w:rPr>
      </w:pPr>
    </w:p>
    <w:p w14:paraId="5FD560E3">
      <w:pPr>
        <w:autoSpaceDE w:val="0"/>
        <w:autoSpaceDN w:val="0"/>
        <w:jc w:val="center"/>
        <w:rPr>
          <w:rFonts w:hint="eastAsia" w:ascii="仿宋" w:hAnsi="仿宋" w:eastAsia="仿宋" w:cs="仿宋"/>
          <w:b/>
          <w:color w:val="auto"/>
          <w:spacing w:val="6"/>
          <w:sz w:val="32"/>
          <w:szCs w:val="32"/>
          <w:highlight w:val="none"/>
        </w:rPr>
      </w:pPr>
    </w:p>
    <w:p w14:paraId="1C4021BD">
      <w:pPr>
        <w:autoSpaceDE w:val="0"/>
        <w:autoSpaceDN w:val="0"/>
        <w:jc w:val="left"/>
        <w:rPr>
          <w:rFonts w:hint="eastAsia" w:ascii="仿宋" w:hAnsi="仿宋" w:eastAsia="仿宋" w:cs="仿宋"/>
          <w:b/>
          <w:color w:val="auto"/>
          <w:spacing w:val="6"/>
          <w:sz w:val="32"/>
          <w:szCs w:val="32"/>
          <w:highlight w:val="none"/>
        </w:rPr>
      </w:pPr>
    </w:p>
    <w:p w14:paraId="37DAC701">
      <w:pPr>
        <w:autoSpaceDE w:val="0"/>
        <w:autoSpaceDN w:val="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0A53BA5D">
      <w:pPr>
        <w:autoSpaceDE w:val="0"/>
        <w:autoSpaceDN w:val="0"/>
        <w:jc w:val="center"/>
        <w:rPr>
          <w:rFonts w:hint="eastAsia" w:ascii="仿宋" w:hAnsi="仿宋" w:eastAsia="仿宋" w:cs="仿宋"/>
          <w:b/>
          <w:bCs/>
          <w:color w:val="auto"/>
          <w:sz w:val="32"/>
          <w:szCs w:val="32"/>
          <w:highlight w:val="none"/>
        </w:rPr>
      </w:pPr>
    </w:p>
    <w:p w14:paraId="56B04A4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182D8FC7">
      <w:pPr>
        <w:spacing w:line="360" w:lineRule="auto"/>
        <w:rPr>
          <w:rFonts w:hint="eastAsia" w:ascii="仿宋" w:hAnsi="仿宋" w:eastAsia="仿宋" w:cs="仿宋"/>
          <w:color w:val="auto"/>
          <w:sz w:val="24"/>
          <w:highlight w:val="none"/>
          <w:u w:val="single"/>
        </w:rPr>
      </w:pPr>
    </w:p>
    <w:p w14:paraId="3466C7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（交易人）、（采购代理机构）</w:t>
      </w:r>
    </w:p>
    <w:p w14:paraId="30B239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（项目名称）项目【交易编号：（采购编号）】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C73A7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3AB51BF">
      <w:pPr>
        <w:spacing w:line="360" w:lineRule="auto"/>
        <w:ind w:firstLine="494"/>
        <w:rPr>
          <w:rFonts w:hint="eastAsia" w:ascii="仿宋" w:hAnsi="仿宋" w:eastAsia="仿宋" w:cs="仿宋"/>
          <w:color w:val="auto"/>
          <w:sz w:val="24"/>
          <w:highlight w:val="none"/>
        </w:rPr>
      </w:pPr>
    </w:p>
    <w:p w14:paraId="64CB6359">
      <w:pPr>
        <w:spacing w:line="360" w:lineRule="auto"/>
        <w:ind w:firstLine="494"/>
        <w:rPr>
          <w:rFonts w:hint="eastAsia" w:ascii="仿宋" w:hAnsi="仿宋" w:eastAsia="仿宋" w:cs="仿宋"/>
          <w:color w:val="auto"/>
          <w:sz w:val="24"/>
          <w:highlight w:val="none"/>
        </w:rPr>
      </w:pPr>
    </w:p>
    <w:p w14:paraId="6689EB2D">
      <w:pPr>
        <w:spacing w:line="360" w:lineRule="auto"/>
        <w:ind w:firstLine="494"/>
        <w:rPr>
          <w:rFonts w:hint="eastAsia" w:ascii="仿宋" w:hAnsi="仿宋" w:eastAsia="仿宋" w:cs="仿宋"/>
          <w:color w:val="auto"/>
          <w:sz w:val="24"/>
          <w:highlight w:val="none"/>
        </w:rPr>
      </w:pPr>
    </w:p>
    <w:p w14:paraId="6E7EBADA">
      <w:pPr>
        <w:spacing w:line="360" w:lineRule="auto"/>
        <w:ind w:firstLine="494"/>
        <w:rPr>
          <w:rFonts w:hint="eastAsia" w:ascii="仿宋" w:hAnsi="仿宋" w:eastAsia="仿宋" w:cs="仿宋"/>
          <w:color w:val="auto"/>
          <w:sz w:val="24"/>
          <w:highlight w:val="none"/>
        </w:rPr>
      </w:pPr>
    </w:p>
    <w:p w14:paraId="1A5467EF">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3733121">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CB3502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7D2294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5C99A1">
                            <w:pPr>
                              <w:jc w:val="center"/>
                            </w:pPr>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3TsFjYAAAACgEAAA8AAAAAAAAAAQAgAAAAIgAAAGRycy9kb3ducmV2&#10;LnhtbFBLAQIUABQAAAAIAIdO4kALScXLNQIAAKQEAAAOAAAAAAAAAAEAIAAAACcBAABkcnMvZTJv&#10;RG9jLnhtbFBLBQYAAAAABgAGAFkBAADOBQAAAAA=&#10;">
                <v:fill on="t" focussize="0,0"/>
                <v:stroke color="#000000" joinstyle="miter"/>
                <v:imagedata o:title=""/>
                <o:lock v:ext="edit" aspectratio="f"/>
                <v:textbox>
                  <w:txbxContent>
                    <w:p w14:paraId="775C99A1">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1D93867E">
      <w:pPr>
        <w:autoSpaceDE w:val="0"/>
        <w:autoSpaceDN w:val="0"/>
        <w:jc w:val="center"/>
        <w:rPr>
          <w:rFonts w:hint="eastAsia" w:ascii="仿宋" w:hAnsi="仿宋" w:eastAsia="仿宋" w:cs="仿宋"/>
          <w:b/>
          <w:color w:val="auto"/>
          <w:spacing w:val="6"/>
          <w:sz w:val="32"/>
          <w:szCs w:val="32"/>
          <w:highlight w:val="none"/>
        </w:rPr>
      </w:pPr>
    </w:p>
    <w:p w14:paraId="07CC40EA">
      <w:pPr>
        <w:autoSpaceDE w:val="0"/>
        <w:autoSpaceDN w:val="0"/>
        <w:jc w:val="center"/>
        <w:rPr>
          <w:rFonts w:hint="eastAsia" w:ascii="仿宋" w:hAnsi="仿宋" w:eastAsia="仿宋" w:cs="仿宋"/>
          <w:b/>
          <w:color w:val="auto"/>
          <w:spacing w:val="6"/>
          <w:sz w:val="32"/>
          <w:szCs w:val="32"/>
          <w:highlight w:val="none"/>
        </w:rPr>
      </w:pPr>
    </w:p>
    <w:p w14:paraId="2E6422D4">
      <w:pPr>
        <w:autoSpaceDE w:val="0"/>
        <w:autoSpaceDN w:val="0"/>
        <w:jc w:val="center"/>
        <w:rPr>
          <w:rFonts w:hint="eastAsia" w:ascii="仿宋" w:hAnsi="仿宋" w:eastAsia="仿宋" w:cs="仿宋"/>
          <w:b/>
          <w:color w:val="auto"/>
          <w:spacing w:val="6"/>
          <w:sz w:val="32"/>
          <w:szCs w:val="32"/>
          <w:highlight w:val="none"/>
        </w:rPr>
      </w:pPr>
    </w:p>
    <w:p w14:paraId="4B80F6B0">
      <w:pPr>
        <w:autoSpaceDE w:val="0"/>
        <w:autoSpaceDN w:val="0"/>
        <w:jc w:val="center"/>
        <w:rPr>
          <w:rFonts w:hint="eastAsia" w:ascii="仿宋" w:hAnsi="仿宋" w:eastAsia="仿宋" w:cs="仿宋"/>
          <w:b/>
          <w:color w:val="auto"/>
          <w:spacing w:val="6"/>
          <w:sz w:val="32"/>
          <w:szCs w:val="32"/>
          <w:highlight w:val="none"/>
        </w:rPr>
      </w:pPr>
    </w:p>
    <w:p w14:paraId="09F553D6">
      <w:pPr>
        <w:autoSpaceDE w:val="0"/>
        <w:autoSpaceDN w:val="0"/>
        <w:jc w:val="center"/>
        <w:rPr>
          <w:rFonts w:hint="eastAsia" w:ascii="仿宋" w:hAnsi="仿宋" w:eastAsia="仿宋" w:cs="仿宋"/>
          <w:b/>
          <w:color w:val="auto"/>
          <w:spacing w:val="6"/>
          <w:sz w:val="32"/>
          <w:szCs w:val="32"/>
          <w:highlight w:val="none"/>
        </w:rPr>
      </w:pPr>
    </w:p>
    <w:p w14:paraId="22FC6116">
      <w:pPr>
        <w:autoSpaceDE w:val="0"/>
        <w:autoSpaceDN w:val="0"/>
        <w:jc w:val="center"/>
        <w:rPr>
          <w:rFonts w:hint="eastAsia" w:ascii="仿宋" w:hAnsi="仿宋" w:eastAsia="仿宋" w:cs="仿宋"/>
          <w:b/>
          <w:color w:val="auto"/>
          <w:spacing w:val="6"/>
          <w:sz w:val="32"/>
          <w:szCs w:val="32"/>
          <w:highlight w:val="none"/>
        </w:rPr>
      </w:pPr>
    </w:p>
    <w:p w14:paraId="5009AAF4">
      <w:pPr>
        <w:autoSpaceDE w:val="0"/>
        <w:autoSpaceDN w:val="0"/>
        <w:jc w:val="center"/>
        <w:rPr>
          <w:rFonts w:hint="eastAsia" w:ascii="仿宋" w:hAnsi="仿宋" w:eastAsia="仿宋" w:cs="仿宋"/>
          <w:b/>
          <w:color w:val="auto"/>
          <w:spacing w:val="6"/>
          <w:sz w:val="32"/>
          <w:szCs w:val="32"/>
          <w:highlight w:val="none"/>
        </w:rPr>
      </w:pPr>
    </w:p>
    <w:p w14:paraId="729A7186">
      <w:pPr>
        <w:autoSpaceDE w:val="0"/>
        <w:autoSpaceDN w:val="0"/>
        <w:jc w:val="center"/>
        <w:rPr>
          <w:rFonts w:hint="eastAsia" w:ascii="仿宋" w:hAnsi="仿宋" w:eastAsia="仿宋" w:cs="仿宋"/>
          <w:b/>
          <w:color w:val="auto"/>
          <w:spacing w:val="6"/>
          <w:sz w:val="32"/>
          <w:szCs w:val="32"/>
          <w:highlight w:val="none"/>
        </w:rPr>
      </w:pPr>
    </w:p>
    <w:p w14:paraId="2B12D6E0">
      <w:pPr>
        <w:autoSpaceDE w:val="0"/>
        <w:autoSpaceDN w:val="0"/>
        <w:jc w:val="center"/>
        <w:rPr>
          <w:rFonts w:hint="eastAsia" w:ascii="仿宋" w:hAnsi="仿宋" w:eastAsia="仿宋" w:cs="仿宋"/>
          <w:b/>
          <w:color w:val="auto"/>
          <w:spacing w:val="6"/>
          <w:sz w:val="32"/>
          <w:szCs w:val="32"/>
          <w:highlight w:val="none"/>
        </w:rPr>
      </w:pPr>
    </w:p>
    <w:p w14:paraId="23CC8645">
      <w:pPr>
        <w:autoSpaceDE w:val="0"/>
        <w:autoSpaceDN w:val="0"/>
        <w:jc w:val="center"/>
        <w:rPr>
          <w:rFonts w:hint="eastAsia" w:ascii="仿宋" w:hAnsi="仿宋" w:eastAsia="仿宋" w:cs="仿宋"/>
          <w:b/>
          <w:color w:val="auto"/>
          <w:spacing w:val="6"/>
          <w:sz w:val="32"/>
          <w:szCs w:val="32"/>
          <w:highlight w:val="none"/>
        </w:rPr>
      </w:pPr>
    </w:p>
    <w:p w14:paraId="3FC62006">
      <w:pPr>
        <w:autoSpaceDE w:val="0"/>
        <w:autoSpaceDN w:val="0"/>
        <w:jc w:val="center"/>
        <w:rPr>
          <w:rFonts w:hint="eastAsia" w:ascii="仿宋" w:hAnsi="仿宋" w:eastAsia="仿宋" w:cs="仿宋"/>
          <w:b/>
          <w:color w:val="auto"/>
          <w:spacing w:val="6"/>
          <w:sz w:val="32"/>
          <w:szCs w:val="32"/>
          <w:highlight w:val="none"/>
        </w:rPr>
      </w:pPr>
    </w:p>
    <w:p w14:paraId="61FCC108">
      <w:pPr>
        <w:autoSpaceDE w:val="0"/>
        <w:autoSpaceDN w:val="0"/>
        <w:jc w:val="center"/>
        <w:rPr>
          <w:rFonts w:hint="eastAsia" w:ascii="仿宋" w:hAnsi="仿宋" w:eastAsia="仿宋" w:cs="仿宋"/>
          <w:b/>
          <w:color w:val="auto"/>
          <w:spacing w:val="6"/>
          <w:sz w:val="32"/>
          <w:szCs w:val="32"/>
          <w:highlight w:val="none"/>
        </w:rPr>
      </w:pPr>
    </w:p>
    <w:p w14:paraId="2E1ED6C7">
      <w:pPr>
        <w:rPr>
          <w:rFonts w:hint="eastAsia" w:ascii="仿宋" w:hAnsi="仿宋" w:eastAsia="仿宋" w:cs="仿宋"/>
          <w:b/>
          <w:color w:val="auto"/>
          <w:sz w:val="24"/>
        </w:rPr>
      </w:pPr>
    </w:p>
    <w:sectPr>
      <w:headerReference r:id="rId12" w:type="first"/>
      <w:footerReference r:id="rId15" w:type="first"/>
      <w:headerReference r:id="rId11" w:type="default"/>
      <w:footerReference r:id="rId13" w:type="default"/>
      <w:footerReference r:id="rId14"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0907">
    <w:pPr>
      <w:pStyle w:val="37"/>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97377">
                          <w:pPr>
                            <w:pStyle w:val="3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9E97377">
                    <w:pPr>
                      <w:pStyle w:val="37"/>
                    </w:pPr>
                    <w:r>
                      <w:fldChar w:fldCharType="begin"/>
                    </w:r>
                    <w:r>
                      <w:instrText xml:space="preserve"> PAGE  \* MERGEFORMAT </w:instrText>
                    </w:r>
                    <w:r>
                      <w:fldChar w:fldCharType="separate"/>
                    </w:r>
                    <w:r>
                      <w:t>28</w:t>
                    </w:r>
                    <w:r>
                      <w:fldChar w:fldCharType="end"/>
                    </w:r>
                  </w:p>
                </w:txbxContent>
              </v:textbox>
            </v:shape>
          </w:pict>
        </mc:Fallback>
      </mc:AlternateContent>
    </w:r>
  </w:p>
  <w:p w14:paraId="1A3A937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C353">
    <w:pPr>
      <w:pStyle w:val="3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E9F3D">
                          <w:pPr>
                            <w:pStyle w:val="3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6DE9F3D">
                    <w:pPr>
                      <w:pStyle w:val="37"/>
                    </w:pPr>
                    <w:r>
                      <w:fldChar w:fldCharType="begin"/>
                    </w:r>
                    <w:r>
                      <w:instrText xml:space="preserve"> PAGE  \* MERGEFORMAT </w:instrText>
                    </w:r>
                    <w:r>
                      <w:fldChar w:fldCharType="separate"/>
                    </w:r>
                    <w:r>
                      <w:t>27</w:t>
                    </w:r>
                    <w:r>
                      <w:fldChar w:fldCharType="end"/>
                    </w:r>
                  </w:p>
                </w:txbxContent>
              </v:textbox>
            </v:shape>
          </w:pict>
        </mc:Fallback>
      </mc:AlternateContent>
    </w:r>
  </w:p>
  <w:p w14:paraId="04A8A7E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88E4">
    <w:pPr>
      <w:pStyle w:val="37"/>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9673E">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699673E">
                    <w:pPr>
                      <w:pStyle w:val="37"/>
                    </w:pPr>
                    <w:r>
                      <w:fldChar w:fldCharType="begin"/>
                    </w:r>
                    <w:r>
                      <w:instrText xml:space="preserve"> PAGE  \* MERGEFORMAT </w:instrText>
                    </w:r>
                    <w:r>
                      <w:fldChar w:fldCharType="separate"/>
                    </w:r>
                    <w:r>
                      <w:t>52</w:t>
                    </w:r>
                    <w:r>
                      <w:fldChar w:fldCharType="end"/>
                    </w:r>
                  </w:p>
                </w:txbxContent>
              </v:textbox>
            </v:shape>
          </w:pict>
        </mc:Fallback>
      </mc:AlternateContent>
    </w:r>
  </w:p>
  <w:p w14:paraId="052CE4B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40F2">
    <w:pPr>
      <w:pStyle w:val="37"/>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5AEE2">
                          <w:pPr>
                            <w:pStyle w:val="3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8E5AEE2">
                    <w:pPr>
                      <w:pStyle w:val="37"/>
                    </w:pPr>
                    <w:r>
                      <w:fldChar w:fldCharType="begin"/>
                    </w:r>
                    <w:r>
                      <w:instrText xml:space="preserve"> PAGE  \* MERGEFORMAT </w:instrText>
                    </w:r>
                    <w:r>
                      <w:fldChar w:fldCharType="separate"/>
                    </w:r>
                    <w:r>
                      <w:t>50</w:t>
                    </w:r>
                    <w:r>
                      <w:fldChar w:fldCharType="end"/>
                    </w:r>
                  </w:p>
                </w:txbxContent>
              </v:textbox>
            </v:shape>
          </w:pict>
        </mc:Fallback>
      </mc:AlternateContent>
    </w:r>
  </w:p>
  <w:p w14:paraId="344535F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3A0AD">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86FC">
    <w:pPr>
      <w:pStyle w:val="37"/>
      <w:framePr w:wrap="around" w:vAnchor="text" w:hAnchor="margin" w:xAlign="right" w:y="1"/>
      <w:rPr>
        <w:rStyle w:val="64"/>
      </w:rPr>
    </w:pPr>
    <w:r>
      <w:fldChar w:fldCharType="begin"/>
    </w:r>
    <w:r>
      <w:rPr>
        <w:rStyle w:val="64"/>
      </w:rPr>
      <w:instrText xml:space="preserve">PAGE  </w:instrText>
    </w:r>
    <w:r>
      <w:fldChar w:fldCharType="end"/>
    </w:r>
  </w:p>
  <w:p w14:paraId="53696D3C">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6017E">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5" w:name="_Toc131845147"/>
    <w:bookmarkStart w:id="406" w:name="_Toc164085800"/>
    <w:bookmarkStart w:id="407" w:name="_Toc36110187"/>
    <w:bookmarkStart w:id="408" w:name="_Toc91899912"/>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B434">
    <w:pPr>
      <w:pStyle w:val="38"/>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0219">
    <w:pPr>
      <w:pStyle w:val="38"/>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99BBC">
    <w:pPr>
      <w:pStyle w:val="38"/>
      <w:rPr>
        <w:rFonts w:hint="eastAsia" w:eastAsia="宋体"/>
        <w:lang w:eastAsia="zh-CN"/>
      </w:rPr>
    </w:pPr>
    <w:r>
      <w:rPr>
        <w:rFonts w:hint="eastAsia"/>
        <w:lang w:val="en-US" w:eastAsia="zh-CN"/>
      </w:rPr>
      <w:t xml:space="preserve">                                                                                        </w:t>
    </w:r>
    <w:r>
      <w:rPr>
        <w:rFonts w:hint="eastAsia"/>
        <w:lang w:eastAsia="zh-CN"/>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E8F6">
    <w:pPr>
      <w:pStyle w:val="38"/>
      <w:rPr>
        <w:rFonts w:hint="eastAsia" w:eastAsia="宋体"/>
        <w:lang w:eastAsia="zh-CN"/>
      </w:rPr>
    </w:pPr>
    <w:r>
      <w:rPr>
        <w:rFonts w:hint="eastAsia"/>
        <w:lang w:val="en-US" w:eastAsia="zh-CN"/>
      </w:rPr>
      <w:t xml:space="preserve">                                                                                        </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2589">
    <w:pPr>
      <w:pStyle w:val="38"/>
      <w:rPr>
        <w:rFonts w:hint="eastAsia" w:ascii="仿宋_GB2312" w:eastAsia="宋体"/>
        <w:b/>
        <w:i/>
        <w:iCs/>
        <w:u w:val="single"/>
        <w:lang w:eastAsia="zh-CN"/>
      </w:rPr>
    </w:pPr>
    <w:r>
      <w:rPr>
        <w:rFonts w:hint="eastAsia"/>
      </w:rPr>
      <w:t xml:space="preserve">                                                                          </w:t>
    </w:r>
    <w:r>
      <w:rPr>
        <w:rFonts w:hint="eastAsia"/>
        <w:lang w:eastAsia="zh-CN"/>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C460A">
    <w:pPr>
      <w:pStyle w:val="38"/>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1"/>
    <w:multiLevelType w:val="singleLevel"/>
    <w:tmpl w:val="00000001"/>
    <w:lvl w:ilvl="0" w:tentative="0">
      <w:start w:val="1"/>
      <w:numFmt w:val="chineseCounting"/>
      <w:suff w:val="nothing"/>
      <w:lvlText w:val="%1、"/>
      <w:lvlJc w:val="left"/>
      <w:pPr>
        <w:ind w:left="0" w:firstLine="0"/>
      </w:p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29"/>
      <w:lvlText w:val=""/>
      <w:lvlJc w:val="left"/>
      <w:pPr>
        <w:tabs>
          <w:tab w:val="left" w:pos="1260"/>
        </w:tabs>
        <w:ind w:left="1260" w:hanging="420"/>
      </w:pPr>
      <w:rPr>
        <w:rFonts w:hint="default" w:ascii="Wingdings" w:hAnsi="Wingdings"/>
      </w:rPr>
    </w:lvl>
    <w:lvl w:ilvl="2" w:tentative="0">
      <w:start w:val="1"/>
      <w:numFmt w:val="bullet"/>
      <w:pStyle w:val="310"/>
      <w:lvlText w:val=""/>
      <w:lvlJc w:val="left"/>
      <w:pPr>
        <w:tabs>
          <w:tab w:val="left" w:pos="1680"/>
        </w:tabs>
        <w:ind w:left="1680" w:hanging="420"/>
      </w:pPr>
      <w:rPr>
        <w:rFonts w:hint="default" w:ascii="Wingdings" w:hAnsi="Wingdings"/>
      </w:rPr>
    </w:lvl>
    <w:lvl w:ilvl="3" w:tentative="0">
      <w:start w:val="1"/>
      <w:numFmt w:val="bullet"/>
      <w:pStyle w:val="327"/>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34CA0FB"/>
    <w:multiLevelType w:val="singleLevel"/>
    <w:tmpl w:val="434CA0FB"/>
    <w:lvl w:ilvl="0" w:tentative="0">
      <w:start w:val="14"/>
      <w:numFmt w:val="decimal"/>
      <w:lvlText w:val="%1."/>
      <w:lvlJc w:val="left"/>
      <w:pPr>
        <w:tabs>
          <w:tab w:val="left" w:pos="312"/>
        </w:tabs>
      </w:pPr>
    </w:lvl>
  </w:abstractNum>
  <w:abstractNum w:abstractNumId="6">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0"/>
  </w:num>
  <w:num w:numId="4">
    <w:abstractNumId w:val="2"/>
  </w:num>
  <w:num w:numId="5">
    <w:abstractNumId w:val="7"/>
  </w:num>
  <w:num w:numId="6">
    <w:abstractNumId w:val="9"/>
  </w:num>
  <w:num w:numId="7">
    <w:abstractNumId w:val="8"/>
  </w:num>
  <w:num w:numId="8">
    <w:abstractNumId w:val="6"/>
  </w:num>
  <w:num w:numId="9">
    <w:abstractNumId w:val="5"/>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A8B"/>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43CD"/>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99E"/>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9F2"/>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17C"/>
    <w:rsid w:val="00A433E8"/>
    <w:rsid w:val="00A4358B"/>
    <w:rsid w:val="00A43A1D"/>
    <w:rsid w:val="00A44854"/>
    <w:rsid w:val="00A44A45"/>
    <w:rsid w:val="00A45EC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CA294E"/>
    <w:rsid w:val="02F477E6"/>
    <w:rsid w:val="03DD35E4"/>
    <w:rsid w:val="043D4E77"/>
    <w:rsid w:val="04F96FF0"/>
    <w:rsid w:val="051A35F0"/>
    <w:rsid w:val="05720B50"/>
    <w:rsid w:val="057F150D"/>
    <w:rsid w:val="065A6178"/>
    <w:rsid w:val="081050AA"/>
    <w:rsid w:val="082029DB"/>
    <w:rsid w:val="0A5B7E63"/>
    <w:rsid w:val="0C3E2AE5"/>
    <w:rsid w:val="0C87121B"/>
    <w:rsid w:val="0D86163D"/>
    <w:rsid w:val="0DF702FE"/>
    <w:rsid w:val="0E990EFC"/>
    <w:rsid w:val="0E9A1095"/>
    <w:rsid w:val="0F790FAA"/>
    <w:rsid w:val="0F816ACD"/>
    <w:rsid w:val="0FF705D0"/>
    <w:rsid w:val="104233D7"/>
    <w:rsid w:val="10CE10F1"/>
    <w:rsid w:val="10F90651"/>
    <w:rsid w:val="10FC16EA"/>
    <w:rsid w:val="118963A1"/>
    <w:rsid w:val="127723A9"/>
    <w:rsid w:val="127C6248"/>
    <w:rsid w:val="13072A44"/>
    <w:rsid w:val="14086EC2"/>
    <w:rsid w:val="140E4CDF"/>
    <w:rsid w:val="142A23DE"/>
    <w:rsid w:val="14962140"/>
    <w:rsid w:val="15E854FA"/>
    <w:rsid w:val="16661756"/>
    <w:rsid w:val="16BC1824"/>
    <w:rsid w:val="16EC31A2"/>
    <w:rsid w:val="18912E67"/>
    <w:rsid w:val="19B32CDE"/>
    <w:rsid w:val="1A564531"/>
    <w:rsid w:val="1A772D4C"/>
    <w:rsid w:val="1AD908F3"/>
    <w:rsid w:val="1AF20BEF"/>
    <w:rsid w:val="1B2A271F"/>
    <w:rsid w:val="1B900ADB"/>
    <w:rsid w:val="1C631F5D"/>
    <w:rsid w:val="1D266CE1"/>
    <w:rsid w:val="1D3963AF"/>
    <w:rsid w:val="1E3D79F0"/>
    <w:rsid w:val="1E5B7150"/>
    <w:rsid w:val="1E714A66"/>
    <w:rsid w:val="1E85324A"/>
    <w:rsid w:val="1EB74622"/>
    <w:rsid w:val="1F6317DE"/>
    <w:rsid w:val="1F9D27DB"/>
    <w:rsid w:val="1FE868A9"/>
    <w:rsid w:val="213276BA"/>
    <w:rsid w:val="21F961C3"/>
    <w:rsid w:val="23434EA5"/>
    <w:rsid w:val="23E3611D"/>
    <w:rsid w:val="2403533D"/>
    <w:rsid w:val="243F1608"/>
    <w:rsid w:val="25111243"/>
    <w:rsid w:val="25707998"/>
    <w:rsid w:val="25932478"/>
    <w:rsid w:val="25CB3688"/>
    <w:rsid w:val="266E25C2"/>
    <w:rsid w:val="27742D86"/>
    <w:rsid w:val="28EA3250"/>
    <w:rsid w:val="28F8755B"/>
    <w:rsid w:val="29F008B0"/>
    <w:rsid w:val="2AAE60F2"/>
    <w:rsid w:val="2B895624"/>
    <w:rsid w:val="2BB10CD0"/>
    <w:rsid w:val="2C0E2AD1"/>
    <w:rsid w:val="2CCC36B6"/>
    <w:rsid w:val="2D03547A"/>
    <w:rsid w:val="2D457B2F"/>
    <w:rsid w:val="2DD15014"/>
    <w:rsid w:val="2E8F473D"/>
    <w:rsid w:val="2F383ADF"/>
    <w:rsid w:val="2F9061DA"/>
    <w:rsid w:val="2F983071"/>
    <w:rsid w:val="2FD25781"/>
    <w:rsid w:val="302A3B86"/>
    <w:rsid w:val="319C6071"/>
    <w:rsid w:val="31B41A25"/>
    <w:rsid w:val="32FF13C6"/>
    <w:rsid w:val="334B0167"/>
    <w:rsid w:val="342E63AB"/>
    <w:rsid w:val="35C1627D"/>
    <w:rsid w:val="363B0967"/>
    <w:rsid w:val="364F3BB1"/>
    <w:rsid w:val="364F4412"/>
    <w:rsid w:val="365302AE"/>
    <w:rsid w:val="37CF1362"/>
    <w:rsid w:val="38074E65"/>
    <w:rsid w:val="38C00A50"/>
    <w:rsid w:val="3A561EB2"/>
    <w:rsid w:val="3BC56193"/>
    <w:rsid w:val="3BDD0770"/>
    <w:rsid w:val="3C5F759A"/>
    <w:rsid w:val="3C605679"/>
    <w:rsid w:val="3D574DF1"/>
    <w:rsid w:val="3DBC05DF"/>
    <w:rsid w:val="3E0F28DF"/>
    <w:rsid w:val="3E524A9F"/>
    <w:rsid w:val="3ECD4126"/>
    <w:rsid w:val="3FE7581E"/>
    <w:rsid w:val="3FE80680"/>
    <w:rsid w:val="409C2719"/>
    <w:rsid w:val="41771E1A"/>
    <w:rsid w:val="41A072C1"/>
    <w:rsid w:val="41C757A4"/>
    <w:rsid w:val="42E1381E"/>
    <w:rsid w:val="43665590"/>
    <w:rsid w:val="43AB064E"/>
    <w:rsid w:val="45B133E5"/>
    <w:rsid w:val="45FB0210"/>
    <w:rsid w:val="467C6E51"/>
    <w:rsid w:val="478D04F6"/>
    <w:rsid w:val="47973F6B"/>
    <w:rsid w:val="48802AFC"/>
    <w:rsid w:val="48895BD3"/>
    <w:rsid w:val="49E37317"/>
    <w:rsid w:val="4A1E07F3"/>
    <w:rsid w:val="4AC40AD3"/>
    <w:rsid w:val="4C7B78B7"/>
    <w:rsid w:val="4C7C0FA7"/>
    <w:rsid w:val="4CF82CB6"/>
    <w:rsid w:val="4D32587A"/>
    <w:rsid w:val="4DA806B7"/>
    <w:rsid w:val="4DED0811"/>
    <w:rsid w:val="4E6C4202"/>
    <w:rsid w:val="4F1025FE"/>
    <w:rsid w:val="4F4B6F82"/>
    <w:rsid w:val="4FD531A2"/>
    <w:rsid w:val="50586B5C"/>
    <w:rsid w:val="50615D05"/>
    <w:rsid w:val="50A55FAA"/>
    <w:rsid w:val="51A0432A"/>
    <w:rsid w:val="52A96B6F"/>
    <w:rsid w:val="545D0864"/>
    <w:rsid w:val="54C3004D"/>
    <w:rsid w:val="550764A4"/>
    <w:rsid w:val="55AD2460"/>
    <w:rsid w:val="56A71A30"/>
    <w:rsid w:val="57057D15"/>
    <w:rsid w:val="573468C0"/>
    <w:rsid w:val="579D76DE"/>
    <w:rsid w:val="58AE4F0C"/>
    <w:rsid w:val="59D16D68"/>
    <w:rsid w:val="5A0F3C8E"/>
    <w:rsid w:val="5A2A7C7B"/>
    <w:rsid w:val="5B1647AE"/>
    <w:rsid w:val="5B231846"/>
    <w:rsid w:val="5B41386F"/>
    <w:rsid w:val="5B9540A9"/>
    <w:rsid w:val="5BF55428"/>
    <w:rsid w:val="5C80234E"/>
    <w:rsid w:val="5CB53D34"/>
    <w:rsid w:val="5D525E46"/>
    <w:rsid w:val="5D5B401E"/>
    <w:rsid w:val="5E261785"/>
    <w:rsid w:val="5E730B83"/>
    <w:rsid w:val="5EDF01CA"/>
    <w:rsid w:val="5F011E9E"/>
    <w:rsid w:val="5F1529A6"/>
    <w:rsid w:val="5F4C3A68"/>
    <w:rsid w:val="5FCC5339"/>
    <w:rsid w:val="5FEB4131"/>
    <w:rsid w:val="61054A27"/>
    <w:rsid w:val="611D2366"/>
    <w:rsid w:val="616D55C9"/>
    <w:rsid w:val="618E0A7A"/>
    <w:rsid w:val="62885958"/>
    <w:rsid w:val="62947DB4"/>
    <w:rsid w:val="62C66BE4"/>
    <w:rsid w:val="62D11FD8"/>
    <w:rsid w:val="63E61662"/>
    <w:rsid w:val="64CE2EAA"/>
    <w:rsid w:val="652A7C78"/>
    <w:rsid w:val="65403FC6"/>
    <w:rsid w:val="662E75B1"/>
    <w:rsid w:val="66342C2E"/>
    <w:rsid w:val="663E784C"/>
    <w:rsid w:val="66977CD4"/>
    <w:rsid w:val="68BD3010"/>
    <w:rsid w:val="69456BF2"/>
    <w:rsid w:val="6958521B"/>
    <w:rsid w:val="69652C93"/>
    <w:rsid w:val="69684F4F"/>
    <w:rsid w:val="6A831096"/>
    <w:rsid w:val="6B517D09"/>
    <w:rsid w:val="6BED1D9C"/>
    <w:rsid w:val="6C8B341D"/>
    <w:rsid w:val="6CFF58D7"/>
    <w:rsid w:val="6D75048C"/>
    <w:rsid w:val="6DF818E5"/>
    <w:rsid w:val="6E5F273D"/>
    <w:rsid w:val="6E6E55BC"/>
    <w:rsid w:val="6E8E12EF"/>
    <w:rsid w:val="6F7B2553"/>
    <w:rsid w:val="704E619F"/>
    <w:rsid w:val="7120378C"/>
    <w:rsid w:val="71B21F4E"/>
    <w:rsid w:val="71D43752"/>
    <w:rsid w:val="71E116BB"/>
    <w:rsid w:val="72097D64"/>
    <w:rsid w:val="72F24B59"/>
    <w:rsid w:val="732F7275"/>
    <w:rsid w:val="73486A55"/>
    <w:rsid w:val="73BF5D42"/>
    <w:rsid w:val="746815A4"/>
    <w:rsid w:val="746E713D"/>
    <w:rsid w:val="749C4185"/>
    <w:rsid w:val="7557361C"/>
    <w:rsid w:val="757E71D5"/>
    <w:rsid w:val="75DA2C18"/>
    <w:rsid w:val="7688184B"/>
    <w:rsid w:val="77705F3A"/>
    <w:rsid w:val="788C697F"/>
    <w:rsid w:val="7A0B340F"/>
    <w:rsid w:val="7A3F3423"/>
    <w:rsid w:val="7A4D5B40"/>
    <w:rsid w:val="7A67303B"/>
    <w:rsid w:val="7A8F31CB"/>
    <w:rsid w:val="7AAB1D04"/>
    <w:rsid w:val="7ABA4368"/>
    <w:rsid w:val="7AE838FA"/>
    <w:rsid w:val="7B257FFD"/>
    <w:rsid w:val="7C384407"/>
    <w:rsid w:val="7CBE7304"/>
    <w:rsid w:val="7CEC7892"/>
    <w:rsid w:val="7DFC2BC5"/>
    <w:rsid w:val="7EB7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4"/>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4"/>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7"/>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2"/>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8"/>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2"/>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5"/>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8"/>
    <w:qFormat/>
    <w:uiPriority w:val="99"/>
    <w:pPr>
      <w:jc w:val="left"/>
    </w:pPr>
  </w:style>
  <w:style w:type="paragraph" w:styleId="20">
    <w:name w:val="Salutation"/>
    <w:basedOn w:val="1"/>
    <w:next w:val="1"/>
    <w:link w:val="213"/>
    <w:qFormat/>
    <w:uiPriority w:val="0"/>
    <w:rPr>
      <w:rFonts w:ascii="仿宋_GB2312" w:eastAsia="仿宋_GB2312"/>
      <w:sz w:val="28"/>
      <w:szCs w:val="20"/>
    </w:rPr>
  </w:style>
  <w:style w:type="paragraph" w:styleId="21">
    <w:name w:val="Body Text 3"/>
    <w:basedOn w:val="1"/>
    <w:link w:val="186"/>
    <w:qFormat/>
    <w:uiPriority w:val="0"/>
    <w:pPr>
      <w:jc w:val="center"/>
    </w:pPr>
    <w:rPr>
      <w:szCs w:val="20"/>
    </w:rPr>
  </w:style>
  <w:style w:type="paragraph" w:styleId="22">
    <w:name w:val="Body Text"/>
    <w:basedOn w:val="1"/>
    <w:next w:val="1"/>
    <w:link w:val="122"/>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10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5"/>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32"/>
    <w:link w:val="224"/>
    <w:qFormat/>
    <w:uiPriority w:val="0"/>
    <w:rPr>
      <w:rFonts w:ascii="宋体" w:hAnsi="Courier New"/>
      <w:szCs w:val="20"/>
    </w:rPr>
  </w:style>
  <w:style w:type="paragraph" w:styleId="32">
    <w:name w:val="Date"/>
    <w:basedOn w:val="1"/>
    <w:next w:val="1"/>
    <w:link w:val="211"/>
    <w:qFormat/>
    <w:uiPriority w:val="0"/>
    <w:pPr>
      <w:ind w:left="100" w:leftChars="2500"/>
    </w:pPr>
    <w:rPr>
      <w:rFonts w:ascii="宋体"/>
      <w:sz w:val="24"/>
      <w:szCs w:val="21"/>
      <w:lang w:val="zh-CN"/>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Body Text Indent 2"/>
    <w:basedOn w:val="1"/>
    <w:link w:val="83"/>
    <w:qFormat/>
    <w:uiPriority w:val="0"/>
    <w:pPr>
      <w:spacing w:line="360" w:lineRule="auto"/>
      <w:ind w:firstLine="601"/>
      <w:textAlignment w:val="baseline"/>
    </w:pPr>
    <w:rPr>
      <w:rFonts w:ascii="宋体"/>
      <w:kern w:val="0"/>
      <w:sz w:val="28"/>
      <w:szCs w:val="20"/>
    </w:rPr>
  </w:style>
  <w:style w:type="paragraph" w:styleId="36">
    <w:name w:val="Balloon Text"/>
    <w:basedOn w:val="1"/>
    <w:link w:val="249"/>
    <w:semiHidden/>
    <w:qFormat/>
    <w:uiPriority w:val="0"/>
    <w:rPr>
      <w:sz w:val="18"/>
      <w:szCs w:val="18"/>
    </w:rPr>
  </w:style>
  <w:style w:type="paragraph" w:styleId="37">
    <w:name w:val="footer"/>
    <w:basedOn w:val="1"/>
    <w:link w:val="630"/>
    <w:qFormat/>
    <w:uiPriority w:val="99"/>
    <w:pPr>
      <w:tabs>
        <w:tab w:val="center" w:pos="4153"/>
        <w:tab w:val="right" w:pos="8306"/>
      </w:tabs>
      <w:snapToGrid w:val="0"/>
      <w:jc w:val="left"/>
    </w:pPr>
    <w:rPr>
      <w:sz w:val="18"/>
      <w:szCs w:val="18"/>
    </w:rPr>
  </w:style>
  <w:style w:type="paragraph" w:styleId="38">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58"/>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10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238"/>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195"/>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135"/>
    <w:qFormat/>
    <w:uiPriority w:val="0"/>
    <w:pPr>
      <w:ind w:firstLine="420"/>
    </w:pPr>
    <w:rPr>
      <w:szCs w:val="20"/>
    </w:rPr>
  </w:style>
  <w:style w:type="paragraph" w:styleId="59">
    <w:name w:val="Body Text First Indent 2"/>
    <w:basedOn w:val="23"/>
    <w:next w:val="1"/>
    <w:link w:val="246"/>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HTML Sample"/>
    <w:basedOn w:val="62"/>
    <w:qFormat/>
    <w:uiPriority w:val="0"/>
    <w:rPr>
      <w:rFonts w:ascii="Courier New" w:hAnsi="Courier New"/>
    </w:rPr>
  </w:style>
  <w:style w:type="character" w:customStyle="1" w:styleId="72">
    <w:name w:val="标题 2 Char"/>
    <w:qFormat/>
    <w:uiPriority w:val="0"/>
    <w:rPr>
      <w:rFonts w:ascii="Arial" w:hAnsi="Arial" w:eastAsia="黑体"/>
      <w:b/>
      <w:kern w:val="2"/>
      <w:sz w:val="32"/>
      <w:lang w:val="en-US" w:eastAsia="zh-CN"/>
    </w:rPr>
  </w:style>
  <w:style w:type="paragraph" w:customStyle="1" w:styleId="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4">
    <w:name w:val="solutionfonts"/>
    <w:qFormat/>
    <w:uiPriority w:val="0"/>
  </w:style>
  <w:style w:type="character" w:customStyle="1" w:styleId="75">
    <w:name w:val="Font Style82"/>
    <w:qFormat/>
    <w:uiPriority w:val="99"/>
    <w:rPr>
      <w:rFonts w:ascii="宋体" w:eastAsia="宋体" w:cs="宋体"/>
      <w:color w:val="000000"/>
      <w:sz w:val="14"/>
      <w:szCs w:val="14"/>
    </w:rPr>
  </w:style>
  <w:style w:type="character" w:customStyle="1" w:styleId="76">
    <w:name w:val="此正文 Char"/>
    <w:link w:val="77"/>
    <w:qFormat/>
    <w:uiPriority w:val="0"/>
    <w:rPr>
      <w:kern w:val="2"/>
      <w:sz w:val="24"/>
      <w:szCs w:val="24"/>
    </w:rPr>
  </w:style>
  <w:style w:type="paragraph" w:customStyle="1" w:styleId="77">
    <w:name w:val="此正文"/>
    <w:basedOn w:val="1"/>
    <w:link w:val="76"/>
    <w:qFormat/>
    <w:uiPriority w:val="0"/>
    <w:pPr>
      <w:adjustRightInd/>
      <w:spacing w:line="360" w:lineRule="auto"/>
      <w:ind w:firstLine="200" w:firstLineChars="200"/>
    </w:pPr>
    <w:rPr>
      <w:sz w:val="24"/>
    </w:rPr>
  </w:style>
  <w:style w:type="character" w:customStyle="1" w:styleId="78">
    <w:name w:val="Char Char10"/>
    <w:semiHidden/>
    <w:qFormat/>
    <w:uiPriority w:val="0"/>
    <w:rPr>
      <w:rFonts w:ascii="宋体" w:hAnsi="宋体"/>
      <w:kern w:val="2"/>
      <w:sz w:val="21"/>
      <w:szCs w:val="24"/>
      <w:lang w:val="en-US" w:eastAsia="zh-CN"/>
    </w:rPr>
  </w:style>
  <w:style w:type="character" w:customStyle="1" w:styleId="79">
    <w:name w:val="h Char Char"/>
    <w:qFormat/>
    <w:uiPriority w:val="0"/>
    <w:rPr>
      <w:rFonts w:eastAsia="宋体"/>
      <w:kern w:val="2"/>
      <w:sz w:val="18"/>
      <w:lang w:val="en-US" w:eastAsia="zh-CN" w:bidi="ar-SA"/>
    </w:rPr>
  </w:style>
  <w:style w:type="character" w:customStyle="1" w:styleId="80">
    <w:name w:val="Bold"/>
    <w:qFormat/>
    <w:uiPriority w:val="0"/>
    <w:rPr>
      <w:rFonts w:ascii="Arial" w:hAnsi="Arial" w:eastAsia="黑体" w:cs="Times New Roman"/>
      <w:b/>
      <w:kern w:val="2"/>
      <w:sz w:val="32"/>
      <w:szCs w:val="32"/>
      <w:lang w:val="en-US" w:eastAsia="zh-CN" w:bidi="ar-SA"/>
    </w:rPr>
  </w:style>
  <w:style w:type="character" w:customStyle="1" w:styleId="81">
    <w:name w:val="Ò³Ã¼ Char Char"/>
    <w:qFormat/>
    <w:uiPriority w:val="0"/>
    <w:rPr>
      <w:rFonts w:eastAsia="宋体"/>
      <w:kern w:val="2"/>
      <w:sz w:val="18"/>
      <w:lang w:val="en-US" w:eastAsia="zh-CN" w:bidi="ar-SA"/>
    </w:rPr>
  </w:style>
  <w:style w:type="character" w:customStyle="1" w:styleId="82">
    <w:name w:val="标准正文格式 Char"/>
    <w:qFormat/>
    <w:uiPriority w:val="0"/>
    <w:rPr>
      <w:rFonts w:ascii="宋体" w:eastAsia="仿宋_GB2312" w:cs="宋体"/>
      <w:color w:val="000000"/>
      <w:sz w:val="24"/>
      <w:lang w:val="en-US" w:eastAsia="zh-CN" w:bidi="ar-SA"/>
    </w:rPr>
  </w:style>
  <w:style w:type="character" w:customStyle="1" w:styleId="83">
    <w:name w:val="正文文本缩进 2 字符"/>
    <w:link w:val="35"/>
    <w:qFormat/>
    <w:uiPriority w:val="0"/>
    <w:rPr>
      <w:rFonts w:ascii="宋体"/>
      <w:sz w:val="28"/>
    </w:rPr>
  </w:style>
  <w:style w:type="character" w:customStyle="1" w:styleId="84">
    <w:name w:val="Char Char8"/>
    <w:qFormat/>
    <w:uiPriority w:val="0"/>
    <w:rPr>
      <w:rFonts w:eastAsia="宋体"/>
      <w:b/>
      <w:sz w:val="24"/>
      <w:lang w:val="en-GB" w:eastAsia="zh-CN"/>
    </w:rPr>
  </w:style>
  <w:style w:type="character" w:customStyle="1" w:styleId="85">
    <w:name w:val="No Spacing Char"/>
    <w:link w:val="86"/>
    <w:qFormat/>
    <w:uiPriority w:val="1"/>
    <w:rPr>
      <w:rFonts w:ascii="Calibri" w:hAnsi="Calibri"/>
      <w:sz w:val="22"/>
      <w:szCs w:val="22"/>
      <w:lang w:val="en-US" w:eastAsia="zh-CN" w:bidi="ar-SA"/>
    </w:rPr>
  </w:style>
  <w:style w:type="paragraph" w:customStyle="1" w:styleId="86">
    <w:name w:val="无间隔1"/>
    <w:link w:val="85"/>
    <w:qFormat/>
    <w:uiPriority w:val="1"/>
    <w:rPr>
      <w:rFonts w:ascii="Calibri" w:hAnsi="Calibri" w:eastAsia="宋体" w:cs="Times New Roman"/>
      <w:sz w:val="22"/>
      <w:szCs w:val="22"/>
      <w:lang w:val="en-US" w:eastAsia="zh-CN" w:bidi="ar-SA"/>
    </w:rPr>
  </w:style>
  <w:style w:type="character" w:customStyle="1" w:styleId="87">
    <w:name w:val="blue1"/>
    <w:basedOn w:val="62"/>
    <w:qFormat/>
    <w:uiPriority w:val="0"/>
    <w:rPr>
      <w:rFonts w:ascii="Arial" w:hAnsi="Arial" w:eastAsia="黑体" w:cs="Arial"/>
      <w:snapToGrid w:val="0"/>
      <w:kern w:val="0"/>
      <w:szCs w:val="21"/>
    </w:rPr>
  </w:style>
  <w:style w:type="character" w:customStyle="1" w:styleId="88">
    <w:name w:val="highlight1"/>
    <w:qFormat/>
    <w:uiPriority w:val="0"/>
    <w:rPr>
      <w:rFonts w:ascii="仿宋_GB2312" w:eastAsia="微软雅黑"/>
      <w:b/>
      <w:kern w:val="2"/>
      <w:sz w:val="23"/>
      <w:szCs w:val="23"/>
      <w:lang w:val="en-US" w:eastAsia="zh-CN" w:bidi="ar-SA"/>
    </w:rPr>
  </w:style>
  <w:style w:type="character" w:customStyle="1" w:styleId="89">
    <w:name w:val="ca-131"/>
    <w:qFormat/>
    <w:uiPriority w:val="0"/>
    <w:rPr>
      <w:rFonts w:hint="eastAsia" w:ascii="仿宋_GB2312" w:eastAsia="仿宋_GB2312"/>
      <w:b/>
      <w:bCs/>
      <w:color w:val="000000"/>
      <w:spacing w:val="-20"/>
      <w:sz w:val="24"/>
      <w:szCs w:val="24"/>
    </w:rPr>
  </w:style>
  <w:style w:type="character" w:customStyle="1" w:styleId="90">
    <w:name w:val="h3 Char"/>
    <w:qFormat/>
    <w:uiPriority w:val="0"/>
    <w:rPr>
      <w:rFonts w:eastAsia="宋体"/>
      <w:b/>
      <w:kern w:val="2"/>
      <w:sz w:val="32"/>
      <w:lang w:val="en-US" w:eastAsia="zh-CN" w:bidi="ar-SA"/>
    </w:rPr>
  </w:style>
  <w:style w:type="character" w:customStyle="1" w:styleId="91">
    <w:name w:val="Char Char12"/>
    <w:qFormat/>
    <w:uiPriority w:val="0"/>
    <w:rPr>
      <w:rFonts w:ascii="仿宋_GB2312" w:eastAsia="仿宋_GB2312"/>
      <w:b/>
      <w:bCs/>
      <w:kern w:val="2"/>
      <w:sz w:val="24"/>
      <w:szCs w:val="24"/>
      <w:lang w:val="zh-CN" w:eastAsia="zh-CN" w:bidi="ar-SA"/>
    </w:rPr>
  </w:style>
  <w:style w:type="character" w:customStyle="1" w:styleId="92">
    <w:name w:val="Comment Text Char"/>
    <w:semiHidden/>
    <w:qFormat/>
    <w:locked/>
    <w:uiPriority w:val="0"/>
    <w:rPr>
      <w:rFonts w:ascii="宋体" w:hAnsi="宋体" w:eastAsia="宋体"/>
      <w:kern w:val="2"/>
      <w:sz w:val="24"/>
      <w:lang w:val="en-US" w:eastAsia="zh-CN" w:bidi="ar-SA"/>
    </w:rPr>
  </w:style>
  <w:style w:type="character" w:customStyle="1" w:styleId="93">
    <w:name w:val="批注文字 Char"/>
    <w:qFormat/>
    <w:uiPriority w:val="99"/>
    <w:rPr>
      <w:kern w:val="2"/>
      <w:sz w:val="21"/>
      <w:szCs w:val="24"/>
    </w:rPr>
  </w:style>
  <w:style w:type="character" w:customStyle="1" w:styleId="94">
    <w:name w:val="仿宋正文 Char"/>
    <w:link w:val="95"/>
    <w:qFormat/>
    <w:uiPriority w:val="0"/>
    <w:rPr>
      <w:rFonts w:ascii="仿宋_GB2312" w:eastAsia="仿宋_GB2312"/>
      <w:kern w:val="2"/>
      <w:sz w:val="24"/>
      <w:lang w:val="en-US" w:eastAsia="zh-CN" w:bidi="ar-SA"/>
    </w:rPr>
  </w:style>
  <w:style w:type="paragraph" w:customStyle="1" w:styleId="95">
    <w:name w:val="仿宋正文"/>
    <w:basedOn w:val="1"/>
    <w:link w:val="94"/>
    <w:qFormat/>
    <w:uiPriority w:val="0"/>
    <w:pPr>
      <w:adjustRightInd/>
      <w:spacing w:line="360" w:lineRule="auto"/>
      <w:ind w:firstLine="480" w:firstLineChars="200"/>
    </w:pPr>
    <w:rPr>
      <w:rFonts w:ascii="仿宋_GB2312" w:eastAsia="仿宋_GB2312"/>
      <w:sz w:val="24"/>
      <w:szCs w:val="20"/>
    </w:rPr>
  </w:style>
  <w:style w:type="character" w:customStyle="1" w:styleId="96">
    <w:name w:val="style91"/>
    <w:qFormat/>
    <w:uiPriority w:val="0"/>
    <w:rPr>
      <w:color w:val="333333"/>
    </w:rPr>
  </w:style>
  <w:style w:type="character" w:customStyle="1" w:styleId="97">
    <w:name w:val="Char Char4"/>
    <w:qFormat/>
    <w:uiPriority w:val="0"/>
    <w:rPr>
      <w:rFonts w:eastAsia="宋体"/>
      <w:b/>
      <w:sz w:val="24"/>
      <w:lang w:val="en-GB" w:eastAsia="zh-CN" w:bidi="ar-SA"/>
    </w:rPr>
  </w:style>
  <w:style w:type="character" w:customStyle="1" w:styleId="98">
    <w:name w:val="Char Char2"/>
    <w:qFormat/>
    <w:uiPriority w:val="0"/>
    <w:rPr>
      <w:rFonts w:eastAsia="宋体"/>
      <w:b/>
      <w:bCs/>
      <w:kern w:val="2"/>
      <w:sz w:val="21"/>
      <w:szCs w:val="24"/>
      <w:lang w:val="en-US" w:eastAsia="zh-CN" w:bidi="ar-SA"/>
    </w:rPr>
  </w:style>
  <w:style w:type="character" w:customStyle="1" w:styleId="99">
    <w:name w:val="正文 项目2 Char"/>
    <w:basedOn w:val="100"/>
    <w:qFormat/>
    <w:uiPriority w:val="0"/>
    <w:rPr>
      <w:rFonts w:ascii="仿宋_GB2312" w:hAnsi="仿宋_GB2312" w:eastAsia="仿宋_GB2312"/>
      <w:kern w:val="2"/>
      <w:sz w:val="24"/>
      <w:lang w:bidi="ar-SA"/>
    </w:rPr>
  </w:style>
  <w:style w:type="character" w:customStyle="1" w:styleId="100">
    <w:name w:val="正文 项目 Char"/>
    <w:qFormat/>
    <w:uiPriority w:val="0"/>
    <w:rPr>
      <w:rFonts w:ascii="仿宋_GB2312" w:hAnsi="仿宋_GB2312" w:eastAsia="仿宋_GB2312"/>
      <w:kern w:val="2"/>
      <w:sz w:val="24"/>
      <w:lang w:bidi="ar-SA"/>
    </w:rPr>
  </w:style>
  <w:style w:type="character" w:customStyle="1" w:styleId="101">
    <w:name w:val="页眉 Char1"/>
    <w:qFormat/>
    <w:uiPriority w:val="0"/>
    <w:rPr>
      <w:rFonts w:eastAsia="宋体"/>
      <w:kern w:val="2"/>
      <w:sz w:val="18"/>
      <w:szCs w:val="18"/>
      <w:lang w:val="en-US" w:eastAsia="zh-CN" w:bidi="ar-SA"/>
    </w:rPr>
  </w:style>
  <w:style w:type="character" w:customStyle="1" w:styleId="102">
    <w:name w:val="副标题 字符"/>
    <w:link w:val="44"/>
    <w:qFormat/>
    <w:uiPriority w:val="0"/>
    <w:rPr>
      <w:rFonts w:ascii="Arial" w:hAnsi="Arial" w:eastAsia="隶书"/>
      <w:b/>
      <w:bCs/>
      <w:kern w:val="28"/>
      <w:sz w:val="44"/>
      <w:szCs w:val="32"/>
      <w:lang w:val="en-US" w:eastAsia="zh-CN" w:bidi="ar-SA"/>
    </w:rPr>
  </w:style>
  <w:style w:type="character" w:customStyle="1" w:styleId="103">
    <w:name w:val="正文文本缩进 字符1"/>
    <w:link w:val="23"/>
    <w:qFormat/>
    <w:uiPriority w:val="0"/>
    <w:rPr>
      <w:rFonts w:ascii="宋体" w:hAnsi="宋体"/>
      <w:kern w:val="2"/>
      <w:sz w:val="24"/>
      <w:szCs w:val="24"/>
    </w:rPr>
  </w:style>
  <w:style w:type="character" w:customStyle="1" w:styleId="104">
    <w:name w:val="big1"/>
    <w:qFormat/>
    <w:uiPriority w:val="0"/>
    <w:rPr>
      <w:rFonts w:hint="eastAsia" w:ascii="宋体" w:hAnsi="宋体" w:eastAsia="宋体"/>
      <w:color w:val="333333"/>
      <w:sz w:val="22"/>
      <w:szCs w:val="22"/>
    </w:rPr>
  </w:style>
  <w:style w:type="character" w:customStyle="1" w:styleId="105">
    <w:name w:val="h Char Char1"/>
    <w:qFormat/>
    <w:uiPriority w:val="0"/>
    <w:rPr>
      <w:rFonts w:eastAsia="宋体"/>
      <w:kern w:val="2"/>
      <w:sz w:val="18"/>
      <w:szCs w:val="18"/>
      <w:lang w:val="en-US" w:eastAsia="zh-CN" w:bidi="ar-SA"/>
    </w:rPr>
  </w:style>
  <w:style w:type="character" w:customStyle="1" w:styleId="106">
    <w:name w:val="样式8 Char"/>
    <w:qFormat/>
    <w:uiPriority w:val="0"/>
    <w:rPr>
      <w:rFonts w:ascii="仿宋_GB2312" w:hAnsi="宋体" w:eastAsia="仿宋_GB2312"/>
      <w:b/>
      <w:bCs/>
      <w:kern w:val="2"/>
      <w:sz w:val="24"/>
      <w:szCs w:val="24"/>
    </w:rPr>
  </w:style>
  <w:style w:type="character" w:customStyle="1" w:styleId="107">
    <w:name w:val="HTML 预设格式 字符"/>
    <w:link w:val="54"/>
    <w:qFormat/>
    <w:uiPriority w:val="0"/>
    <w:rPr>
      <w:rFonts w:ascii="黑体" w:hAnsi="Courier New" w:eastAsia="黑体"/>
    </w:rPr>
  </w:style>
  <w:style w:type="character" w:customStyle="1" w:styleId="108">
    <w:name w:val="页脚 Char1"/>
    <w:qFormat/>
    <w:uiPriority w:val="0"/>
    <w:rPr>
      <w:rFonts w:eastAsia="宋体"/>
      <w:kern w:val="2"/>
      <w:sz w:val="18"/>
      <w:szCs w:val="18"/>
      <w:lang w:val="en-US" w:eastAsia="zh-CN" w:bidi="ar-SA"/>
    </w:rPr>
  </w:style>
  <w:style w:type="character" w:customStyle="1" w:styleId="109">
    <w:name w:val="myp11"/>
    <w:qFormat/>
    <w:uiPriority w:val="0"/>
    <w:rPr>
      <w:rFonts w:ascii="仿宋_GB2312" w:eastAsia="微软雅黑"/>
      <w:b/>
      <w:kern w:val="2"/>
      <w:sz w:val="32"/>
      <w:szCs w:val="32"/>
      <w:lang w:val="en-US" w:eastAsia="zh-CN" w:bidi="ar-SA"/>
    </w:rPr>
  </w:style>
  <w:style w:type="character" w:customStyle="1" w:styleId="110">
    <w:name w:val="正文文本 2 Char"/>
    <w:qFormat/>
    <w:uiPriority w:val="0"/>
    <w:rPr>
      <w:rFonts w:eastAsia="宋体"/>
      <w:kern w:val="2"/>
      <w:sz w:val="21"/>
      <w:szCs w:val="24"/>
      <w:lang w:val="en-US" w:eastAsia="zh-CN" w:bidi="ar-SA"/>
    </w:rPr>
  </w:style>
  <w:style w:type="character" w:customStyle="1" w:styleId="111">
    <w:name w:val="tw4winTerm"/>
    <w:qFormat/>
    <w:uiPriority w:val="0"/>
    <w:rPr>
      <w:color w:val="0000FF"/>
    </w:rPr>
  </w:style>
  <w:style w:type="character" w:customStyle="1" w:styleId="112">
    <w:name w:val="标题 8 字符"/>
    <w:link w:val="9"/>
    <w:qFormat/>
    <w:uiPriority w:val="0"/>
    <w:rPr>
      <w:rFonts w:ascii="Arial" w:hAnsi="Arial" w:eastAsia="黑体"/>
      <w:kern w:val="2"/>
      <w:sz w:val="24"/>
      <w:szCs w:val="24"/>
    </w:rPr>
  </w:style>
  <w:style w:type="character" w:customStyle="1" w:styleId="113">
    <w:name w:val="标题 2 Char Char"/>
    <w:qFormat/>
    <w:uiPriority w:val="0"/>
    <w:rPr>
      <w:rFonts w:ascii="楷体_GB2312" w:hAnsi="Arial" w:eastAsia="楷体_GB2312"/>
      <w:b/>
      <w:bCs/>
      <w:kern w:val="2"/>
      <w:sz w:val="24"/>
      <w:szCs w:val="32"/>
      <w:lang w:val="en-US" w:eastAsia="zh-CN" w:bidi="ar-SA"/>
    </w:rPr>
  </w:style>
  <w:style w:type="character" w:customStyle="1" w:styleId="114">
    <w:name w:val="hei16b1"/>
    <w:qFormat/>
    <w:uiPriority w:val="0"/>
    <w:rPr>
      <w:rFonts w:hint="default" w:ascii="Arial" w:hAnsi="Arial" w:cs="Arial"/>
      <w:b/>
      <w:bCs/>
      <w:color w:val="000000"/>
      <w:sz w:val="24"/>
      <w:szCs w:val="24"/>
    </w:rPr>
  </w:style>
  <w:style w:type="character" w:customStyle="1" w:styleId="115">
    <w:name w:val="Heading 7 Char"/>
    <w:qFormat/>
    <w:locked/>
    <w:uiPriority w:val="0"/>
    <w:rPr>
      <w:rFonts w:ascii="宋体" w:hAnsi="宋体" w:eastAsia="宋体"/>
      <w:b/>
      <w:bCs/>
      <w:kern w:val="2"/>
      <w:sz w:val="24"/>
      <w:szCs w:val="24"/>
      <w:lang w:val="en-US" w:eastAsia="zh-CN" w:bidi="ar-SA"/>
    </w:rPr>
  </w:style>
  <w:style w:type="character" w:customStyle="1" w:styleId="116">
    <w:name w:val="Char Char6"/>
    <w:qFormat/>
    <w:uiPriority w:val="0"/>
    <w:rPr>
      <w:rFonts w:eastAsia="宋体"/>
      <w:kern w:val="2"/>
      <w:sz w:val="21"/>
      <w:szCs w:val="24"/>
      <w:lang w:val="en-US" w:eastAsia="zh-CN" w:bidi="ar-SA"/>
    </w:rPr>
  </w:style>
  <w:style w:type="character" w:customStyle="1" w:styleId="117">
    <w:name w:val="哈哈正文 Char"/>
    <w:link w:val="118"/>
    <w:qFormat/>
    <w:uiPriority w:val="0"/>
    <w:rPr>
      <w:rFonts w:ascii="宋体" w:hAnsi="宋体" w:eastAsia="宋体"/>
      <w:kern w:val="2"/>
      <w:sz w:val="24"/>
      <w:lang w:bidi="ar-SA"/>
    </w:rPr>
  </w:style>
  <w:style w:type="paragraph" w:customStyle="1" w:styleId="118">
    <w:name w:val="哈哈正文"/>
    <w:basedOn w:val="1"/>
    <w:link w:val="117"/>
    <w:qFormat/>
    <w:uiPriority w:val="0"/>
    <w:pPr>
      <w:adjustRightInd/>
      <w:spacing w:line="360" w:lineRule="auto"/>
      <w:ind w:firstLine="200" w:firstLineChars="200"/>
    </w:pPr>
    <w:rPr>
      <w:rFonts w:ascii="宋体" w:hAnsi="宋体"/>
      <w:sz w:val="24"/>
      <w:szCs w:val="20"/>
    </w:rPr>
  </w:style>
  <w:style w:type="character" w:customStyle="1" w:styleId="119">
    <w:name w:val="pt141"/>
    <w:qFormat/>
    <w:uiPriority w:val="0"/>
    <w:rPr>
      <w:color w:val="330066"/>
      <w:sz w:val="22"/>
      <w:szCs w:val="22"/>
    </w:rPr>
  </w:style>
  <w:style w:type="character" w:customStyle="1" w:styleId="120">
    <w:name w:val="普通文字 Char3"/>
    <w:qFormat/>
    <w:uiPriority w:val="0"/>
    <w:rPr>
      <w:rFonts w:ascii="宋体" w:hAnsi="Courier New" w:eastAsia="宋体"/>
      <w:kern w:val="2"/>
      <w:sz w:val="21"/>
      <w:lang w:val="en-US" w:eastAsia="zh-CN" w:bidi="ar-SA"/>
    </w:rPr>
  </w:style>
  <w:style w:type="character" w:customStyle="1" w:styleId="12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2">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3">
    <w:name w:val="正文2 Char"/>
    <w:qFormat/>
    <w:uiPriority w:val="0"/>
    <w:rPr>
      <w:rFonts w:eastAsia="宋体"/>
      <w:kern w:val="2"/>
      <w:sz w:val="24"/>
      <w:lang w:val="en-US" w:eastAsia="zh-CN" w:bidi="ar-SA"/>
    </w:rPr>
  </w:style>
  <w:style w:type="character" w:customStyle="1" w:styleId="124">
    <w:name w:val="普通文字 Char1"/>
    <w:qFormat/>
    <w:uiPriority w:val="0"/>
    <w:rPr>
      <w:rFonts w:ascii="宋体" w:hAnsi="Courier New" w:eastAsia="宋体"/>
      <w:kern w:val="2"/>
      <w:sz w:val="21"/>
      <w:lang w:val="en-US" w:eastAsia="zh-CN"/>
    </w:rPr>
  </w:style>
  <w:style w:type="character" w:customStyle="1" w:styleId="125">
    <w:name w:val="标题 9 字符"/>
    <w:link w:val="10"/>
    <w:qFormat/>
    <w:uiPriority w:val="0"/>
    <w:rPr>
      <w:rFonts w:ascii="Arial" w:hAnsi="Arial" w:eastAsia="黑体"/>
      <w:kern w:val="2"/>
      <w:sz w:val="21"/>
      <w:szCs w:val="21"/>
    </w:rPr>
  </w:style>
  <w:style w:type="character" w:customStyle="1" w:styleId="126">
    <w:name w:val="Header Char"/>
    <w:semiHidden/>
    <w:qFormat/>
    <w:locked/>
    <w:uiPriority w:val="0"/>
    <w:rPr>
      <w:rFonts w:eastAsia="宋体"/>
      <w:kern w:val="2"/>
      <w:sz w:val="18"/>
      <w:szCs w:val="18"/>
      <w:lang w:val="en-US" w:eastAsia="zh-CN" w:bidi="ar-SA"/>
    </w:rPr>
  </w:style>
  <w:style w:type="character" w:customStyle="1" w:styleId="127">
    <w:name w:val="Footer-Even Char1"/>
    <w:qFormat/>
    <w:uiPriority w:val="0"/>
    <w:rPr>
      <w:rFonts w:eastAsia="宋体"/>
      <w:kern w:val="2"/>
      <w:sz w:val="18"/>
      <w:szCs w:val="18"/>
      <w:lang w:val="en-US" w:eastAsia="zh-CN" w:bidi="ar-SA"/>
    </w:rPr>
  </w:style>
  <w:style w:type="character" w:customStyle="1" w:styleId="128">
    <w:name w:val="unnamed31"/>
    <w:qFormat/>
    <w:uiPriority w:val="0"/>
    <w:rPr>
      <w:rFonts w:ascii="Tahoma" w:hAnsi="Tahoma" w:eastAsia="宋体"/>
      <w:b/>
      <w:kern w:val="2"/>
      <w:sz w:val="24"/>
      <w:szCs w:val="32"/>
      <w:u w:val="none"/>
      <w:lang w:val="en-US" w:eastAsia="zh-CN" w:bidi="ar-SA"/>
    </w:rPr>
  </w:style>
  <w:style w:type="character" w:customStyle="1" w:styleId="129">
    <w:name w:val="纯文本 Char Char Char"/>
    <w:qFormat/>
    <w:uiPriority w:val="0"/>
    <w:rPr>
      <w:rFonts w:ascii="宋体" w:hAnsi="Courier New" w:eastAsia="宋体"/>
      <w:kern w:val="2"/>
      <w:sz w:val="21"/>
      <w:lang w:val="en-US" w:eastAsia="zh-CN" w:bidi="ar-SA"/>
    </w:rPr>
  </w:style>
  <w:style w:type="character" w:customStyle="1" w:styleId="130">
    <w:name w:val="Body Text(ch) Char Char"/>
    <w:qFormat/>
    <w:uiPriority w:val="0"/>
    <w:rPr>
      <w:rFonts w:ascii="宋体"/>
      <w:kern w:val="2"/>
      <w:sz w:val="24"/>
      <w:szCs w:val="21"/>
      <w:lang w:val="zh-CN"/>
    </w:rPr>
  </w:style>
  <w:style w:type="character" w:customStyle="1" w:styleId="131">
    <w:name w:val="插图说明 Char"/>
    <w:qFormat/>
    <w:uiPriority w:val="0"/>
    <w:rPr>
      <w:rFonts w:eastAsia="黑体"/>
      <w:sz w:val="24"/>
      <w:lang w:val="en-US" w:eastAsia="zh-CN"/>
    </w:rPr>
  </w:style>
  <w:style w:type="character" w:customStyle="1" w:styleId="132">
    <w:name w:val="tw4winExternal"/>
    <w:qFormat/>
    <w:uiPriority w:val="0"/>
    <w:rPr>
      <w:rFonts w:ascii="Courier New" w:hAnsi="Courier New" w:cs="Courier New"/>
      <w:color w:val="808080"/>
      <w:lang w:val="en-US" w:eastAsia="zh-CN"/>
    </w:rPr>
  </w:style>
  <w:style w:type="character" w:customStyle="1" w:styleId="133">
    <w:name w:val="font21"/>
    <w:qFormat/>
    <w:uiPriority w:val="0"/>
    <w:rPr>
      <w:rFonts w:hint="eastAsia" w:ascii="宋体" w:hAnsi="宋体" w:eastAsia="宋体"/>
      <w:kern w:val="2"/>
      <w:sz w:val="28"/>
      <w:szCs w:val="28"/>
      <w:lang w:val="en-US" w:eastAsia="zh-CN" w:bidi="ar-SA"/>
    </w:rPr>
  </w:style>
  <w:style w:type="character" w:customStyle="1" w:styleId="134">
    <w:name w:val="标书正文格式 Char"/>
    <w:qFormat/>
    <w:uiPriority w:val="0"/>
    <w:rPr>
      <w:rFonts w:eastAsia="楷体_GB2312"/>
      <w:kern w:val="2"/>
      <w:sz w:val="24"/>
      <w:szCs w:val="24"/>
      <w:lang w:bidi="ar-SA"/>
    </w:rPr>
  </w:style>
  <w:style w:type="character" w:customStyle="1" w:styleId="135">
    <w:name w:val="正文文本首行缩进 字符"/>
    <w:link w:val="58"/>
    <w:qFormat/>
    <w:uiPriority w:val="0"/>
    <w:rPr>
      <w:rFonts w:ascii="宋体"/>
      <w:kern w:val="2"/>
      <w:sz w:val="24"/>
      <w:lang w:val="zh-CN"/>
    </w:rPr>
  </w:style>
  <w:style w:type="character" w:customStyle="1" w:styleId="136">
    <w:name w:val="javascript"/>
    <w:qFormat/>
    <w:uiPriority w:val="0"/>
  </w:style>
  <w:style w:type="character" w:customStyle="1" w:styleId="137">
    <w:name w:val="Balloon Text Char"/>
    <w:semiHidden/>
    <w:qFormat/>
    <w:locked/>
    <w:uiPriority w:val="0"/>
    <w:rPr>
      <w:rFonts w:eastAsia="宋体"/>
      <w:kern w:val="2"/>
      <w:sz w:val="18"/>
      <w:szCs w:val="18"/>
      <w:lang w:val="en-US" w:eastAsia="zh-CN" w:bidi="ar-SA"/>
    </w:rPr>
  </w:style>
  <w:style w:type="character" w:customStyle="1" w:styleId="138">
    <w:name w:val="Char Char5"/>
    <w:qFormat/>
    <w:uiPriority w:val="0"/>
    <w:rPr>
      <w:rFonts w:ascii="宋体" w:hAnsi="Courier New" w:eastAsia="宋体"/>
      <w:kern w:val="2"/>
      <w:sz w:val="21"/>
      <w:lang w:val="en-US" w:eastAsia="zh-CN"/>
    </w:rPr>
  </w:style>
  <w:style w:type="character" w:customStyle="1" w:styleId="139">
    <w:name w:val="Char Char"/>
    <w:qFormat/>
    <w:uiPriority w:val="0"/>
    <w:rPr>
      <w:rFonts w:ascii="宋体" w:hAnsi="Courier New" w:eastAsia="宋体"/>
      <w:kern w:val="2"/>
      <w:sz w:val="21"/>
      <w:lang w:val="en-US" w:eastAsia="zh-CN" w:bidi="ar-SA"/>
    </w:rPr>
  </w:style>
  <w:style w:type="character" w:customStyle="1" w:styleId="140">
    <w:name w:val="mdeck"/>
    <w:qFormat/>
    <w:uiPriority w:val="0"/>
    <w:rPr>
      <w:rFonts w:ascii="仿宋_GB2312" w:eastAsia="微软雅黑"/>
      <w:b/>
      <w:kern w:val="2"/>
      <w:sz w:val="32"/>
      <w:szCs w:val="32"/>
      <w:lang w:val="en-US" w:eastAsia="zh-CN" w:bidi="ar-SA"/>
    </w:rPr>
  </w:style>
  <w:style w:type="character" w:customStyle="1" w:styleId="141">
    <w:name w:val="content"/>
    <w:qFormat/>
    <w:uiPriority w:val="0"/>
  </w:style>
  <w:style w:type="character" w:customStyle="1" w:styleId="142">
    <w:name w:val="Char Char3"/>
    <w:qFormat/>
    <w:uiPriority w:val="0"/>
    <w:rPr>
      <w:rFonts w:eastAsia="宋体"/>
      <w:kern w:val="2"/>
      <w:sz w:val="21"/>
      <w:szCs w:val="24"/>
      <w:lang w:val="en-US" w:eastAsia="zh-CN" w:bidi="ar-SA"/>
    </w:rPr>
  </w:style>
  <w:style w:type="character" w:customStyle="1" w:styleId="143">
    <w:name w:val="Char Char81"/>
    <w:qFormat/>
    <w:uiPriority w:val="6"/>
    <w:rPr>
      <w:rFonts w:eastAsia="宋体"/>
      <w:b/>
      <w:sz w:val="24"/>
      <w:lang w:val="en-GB" w:eastAsia="zh-CN"/>
    </w:rPr>
  </w:style>
  <w:style w:type="character" w:customStyle="1" w:styleId="144">
    <w:name w:val="标题 1 字符"/>
    <w:link w:val="3"/>
    <w:qFormat/>
    <w:uiPriority w:val="0"/>
    <w:rPr>
      <w:rFonts w:ascii="仿宋" w:hAnsi="仿宋" w:eastAsia="仿宋" w:cs="仿宋_GB2312"/>
      <w:b/>
      <w:color w:val="000000"/>
      <w:kern w:val="2"/>
      <w:sz w:val="36"/>
      <w:szCs w:val="36"/>
    </w:rPr>
  </w:style>
  <w:style w:type="character" w:customStyle="1" w:styleId="145">
    <w:name w:val="页眉 Char"/>
    <w:qFormat/>
    <w:uiPriority w:val="99"/>
    <w:rPr>
      <w:rFonts w:eastAsia="仿宋_GB2312"/>
      <w:kern w:val="2"/>
      <w:sz w:val="18"/>
      <w:lang w:val="en-US" w:eastAsia="zh-CN"/>
    </w:rPr>
  </w:style>
  <w:style w:type="character" w:customStyle="1" w:styleId="146">
    <w:name w:val="b11_01b Char"/>
    <w:link w:val="147"/>
    <w:qFormat/>
    <w:uiPriority w:val="0"/>
    <w:rPr>
      <w:rFonts w:ascii="Verdana" w:hAnsi="Verdana"/>
      <w:b/>
      <w:bCs/>
      <w:color w:val="4A82CA"/>
      <w:sz w:val="17"/>
      <w:szCs w:val="17"/>
    </w:rPr>
  </w:style>
  <w:style w:type="paragraph" w:customStyle="1" w:styleId="147">
    <w:name w:val="b11_01b"/>
    <w:basedOn w:val="1"/>
    <w:next w:val="1"/>
    <w:link w:val="1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8">
    <w:name w:val="标题4-dyf Char"/>
    <w:link w:val="149"/>
    <w:qFormat/>
    <w:uiPriority w:val="0"/>
    <w:rPr>
      <w:rFonts w:ascii="Cambria" w:hAnsi="Cambria"/>
      <w:b/>
      <w:bCs/>
      <w:color w:val="000000"/>
      <w:kern w:val="2"/>
      <w:sz w:val="21"/>
      <w:szCs w:val="21"/>
    </w:rPr>
  </w:style>
  <w:style w:type="paragraph" w:customStyle="1" w:styleId="149">
    <w:name w:val="标题4-dyf"/>
    <w:basedOn w:val="5"/>
    <w:link w:val="148"/>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0">
    <w:name w:val="批注主题 Char"/>
    <w:qFormat/>
    <w:uiPriority w:val="0"/>
    <w:rPr>
      <w:rFonts w:eastAsia="宋体"/>
      <w:b/>
      <w:bCs/>
      <w:kern w:val="2"/>
      <w:sz w:val="21"/>
      <w:szCs w:val="24"/>
      <w:lang w:val="en-US" w:eastAsia="zh-CN" w:bidi="ar-SA"/>
    </w:rPr>
  </w:style>
  <w:style w:type="character" w:customStyle="1" w:styleId="15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2">
    <w:name w:val="标题 3 Char2"/>
    <w:qFormat/>
    <w:uiPriority w:val="0"/>
    <w:rPr>
      <w:rFonts w:eastAsia="宋体"/>
      <w:b/>
      <w:bCs/>
      <w:kern w:val="2"/>
      <w:sz w:val="32"/>
      <w:szCs w:val="32"/>
      <w:lang w:val="en-US" w:eastAsia="zh-CN" w:bidi="ar-SA"/>
    </w:rPr>
  </w:style>
  <w:style w:type="character" w:customStyle="1" w:styleId="153">
    <w:name w:val="gray6"/>
    <w:basedOn w:val="62"/>
    <w:qFormat/>
    <w:uiPriority w:val="0"/>
    <w:rPr>
      <w:rFonts w:ascii="Arial" w:hAnsi="Arial" w:eastAsia="黑体" w:cs="Arial"/>
      <w:snapToGrid w:val="0"/>
      <w:kern w:val="0"/>
      <w:szCs w:val="21"/>
    </w:rPr>
  </w:style>
  <w:style w:type="character" w:customStyle="1" w:styleId="154">
    <w:name w:val="正文首行缩进两字 Char"/>
    <w:qFormat/>
    <w:uiPriority w:val="0"/>
    <w:rPr>
      <w:sz w:val="24"/>
      <w:szCs w:val="24"/>
      <w:lang w:val="en-US" w:eastAsia="zh-CN" w:bidi="ar-SA"/>
    </w:rPr>
  </w:style>
  <w:style w:type="character" w:customStyle="1" w:styleId="155">
    <w:name w:val="Char Char51"/>
    <w:qFormat/>
    <w:uiPriority w:val="0"/>
    <w:rPr>
      <w:rFonts w:ascii="宋体" w:hAnsi="Courier New" w:eastAsia="宋体"/>
      <w:kern w:val="2"/>
      <w:sz w:val="21"/>
      <w:lang w:val="en-US" w:eastAsia="zh-CN"/>
    </w:rPr>
  </w:style>
  <w:style w:type="character" w:customStyle="1" w:styleId="156">
    <w:name w:val="带编号样式 Char"/>
    <w:qFormat/>
    <w:uiPriority w:val="0"/>
    <w:rPr>
      <w:rFonts w:ascii="仿宋_GB2312" w:eastAsia="仿宋_GB2312"/>
      <w:color w:val="000000"/>
      <w:sz w:val="24"/>
      <w:lang w:bidi="ar-SA"/>
    </w:rPr>
  </w:style>
  <w:style w:type="character" w:customStyle="1" w:styleId="157">
    <w:name w:val="Footer-Even Char"/>
    <w:qFormat/>
    <w:uiPriority w:val="0"/>
    <w:rPr>
      <w:rFonts w:eastAsia="宋体"/>
      <w:kern w:val="2"/>
      <w:sz w:val="18"/>
      <w:lang w:val="en-US" w:eastAsia="zh-CN" w:bidi="ar-SA"/>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样式 标题 4h4H4Fab-4T5Ref Heading 1rh1Heading sqlsect 1.2.3.... Char"/>
    <w:link w:val="160"/>
    <w:qFormat/>
    <w:uiPriority w:val="0"/>
    <w:rPr>
      <w:rFonts w:ascii="微软雅黑" w:hAnsi="微软雅黑" w:eastAsia="微软雅黑"/>
      <w:b/>
      <w:bCs/>
      <w:kern w:val="2"/>
      <w:sz w:val="24"/>
      <w:szCs w:val="28"/>
    </w:rPr>
  </w:style>
  <w:style w:type="paragraph" w:customStyle="1" w:styleId="160">
    <w:name w:val="样式 标题 4h4H4Fab-4T5Ref Heading 1rh1Heading sqlsect 1.2.3...."/>
    <w:basedOn w:val="5"/>
    <w:link w:val="15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1">
    <w:name w:val="dandyren_title1"/>
    <w:qFormat/>
    <w:uiPriority w:val="0"/>
    <w:rPr>
      <w:b/>
      <w:bCs/>
      <w:color w:val="FF6633"/>
      <w:sz w:val="18"/>
      <w:szCs w:val="18"/>
    </w:rPr>
  </w:style>
  <w:style w:type="character" w:customStyle="1" w:styleId="162">
    <w:name w:val="普通文字 Char Char1"/>
    <w:qFormat/>
    <w:uiPriority w:val="0"/>
    <w:rPr>
      <w:rFonts w:ascii="宋体" w:hAnsi="Courier New"/>
      <w:kern w:val="2"/>
      <w:sz w:val="21"/>
    </w:rPr>
  </w:style>
  <w:style w:type="character" w:customStyle="1" w:styleId="163">
    <w:name w:val="PI Char"/>
    <w:qFormat/>
    <w:uiPriority w:val="0"/>
    <w:rPr>
      <w:rFonts w:ascii="宋体" w:hAnsi="宋体" w:eastAsia="宋体"/>
      <w:kern w:val="2"/>
      <w:sz w:val="24"/>
      <w:szCs w:val="24"/>
      <w:lang w:val="en-US" w:eastAsia="zh-CN" w:bidi="ar-SA"/>
    </w:rPr>
  </w:style>
  <w:style w:type="character" w:customStyle="1" w:styleId="164">
    <w:name w:val="Char Char11"/>
    <w:qFormat/>
    <w:locked/>
    <w:uiPriority w:val="0"/>
    <w:rPr>
      <w:rFonts w:ascii="宋体" w:hAnsi="宋体" w:eastAsia="宋体"/>
      <w:b/>
      <w:kern w:val="2"/>
      <w:sz w:val="24"/>
      <w:szCs w:val="24"/>
      <w:lang w:val="en-US" w:eastAsia="zh-CN" w:bidi="ar-SA"/>
    </w:rPr>
  </w:style>
  <w:style w:type="character" w:customStyle="1" w:styleId="16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6">
    <w:name w:val="Document Map Char"/>
    <w:semiHidden/>
    <w:qFormat/>
    <w:locked/>
    <w:uiPriority w:val="0"/>
    <w:rPr>
      <w:rFonts w:eastAsia="宋体"/>
      <w:kern w:val="2"/>
      <w:sz w:val="21"/>
      <w:szCs w:val="24"/>
      <w:lang w:val="en-US" w:eastAsia="zh-CN" w:bidi="ar-SA"/>
    </w:rPr>
  </w:style>
  <w:style w:type="character" w:customStyle="1" w:styleId="167">
    <w:name w:val="正文文本缩进 Char"/>
    <w:qFormat/>
    <w:uiPriority w:val="0"/>
    <w:rPr>
      <w:rFonts w:ascii="宋体" w:hAnsi="宋体"/>
      <w:kern w:val="2"/>
      <w:sz w:val="24"/>
      <w:szCs w:val="24"/>
    </w:rPr>
  </w:style>
  <w:style w:type="character" w:customStyle="1" w:styleId="168">
    <w:name w:val="文本正文 Char Char"/>
    <w:qFormat/>
    <w:locked/>
    <w:uiPriority w:val="0"/>
    <w:rPr>
      <w:sz w:val="24"/>
      <w:lang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样式3 Char"/>
    <w:basedOn w:val="171"/>
    <w:qFormat/>
    <w:uiPriority w:val="0"/>
    <w:rPr>
      <w:rFonts w:ascii="仿宋_GB2312" w:hAnsi="仿宋" w:eastAsia="仿宋_GB2312" w:cs="仿宋_GB2312"/>
      <w:sz w:val="32"/>
      <w:szCs w:val="30"/>
      <w:lang w:val="zh-CN"/>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二级标题 Char Char"/>
    <w:qFormat/>
    <w:uiPriority w:val="0"/>
    <w:rPr>
      <w:rFonts w:ascii="宋体" w:hAnsi="宋体" w:eastAsia="宋体"/>
      <w:b/>
      <w:snapToGrid w:val="0"/>
      <w:kern w:val="2"/>
      <w:sz w:val="24"/>
      <w:szCs w:val="24"/>
      <w:lang w:val="en-US" w:eastAsia="zh-CN" w:bidi="ar-SA"/>
    </w:rPr>
  </w:style>
  <w:style w:type="character" w:customStyle="1" w:styleId="173">
    <w:name w:val="Table Text Char1"/>
    <w:qFormat/>
    <w:uiPriority w:val="0"/>
    <w:rPr>
      <w:rFonts w:eastAsia="宋体"/>
      <w:sz w:val="24"/>
      <w:szCs w:val="24"/>
      <w:lang w:val="en-US" w:eastAsia="zh-CN" w:bidi="ar-SA"/>
    </w:rPr>
  </w:style>
  <w:style w:type="character" w:customStyle="1" w:styleId="174">
    <w:name w:val="shadow11"/>
    <w:qFormat/>
    <w:uiPriority w:val="0"/>
    <w:rPr>
      <w:color w:val="000000"/>
      <w:sz w:val="21"/>
    </w:rPr>
  </w:style>
  <w:style w:type="character" w:customStyle="1" w:styleId="175">
    <w:name w:val="HTML 地址 字符"/>
    <w:link w:val="28"/>
    <w:qFormat/>
    <w:uiPriority w:val="0"/>
    <w:rPr>
      <w:rFonts w:ascii="宋体" w:hAnsi="宋体"/>
      <w:i/>
      <w:iCs/>
      <w:sz w:val="24"/>
      <w:szCs w:val="24"/>
    </w:rPr>
  </w:style>
  <w:style w:type="character" w:customStyle="1" w:styleId="176">
    <w:name w:val="Char Char21"/>
    <w:qFormat/>
    <w:uiPriority w:val="0"/>
    <w:rPr>
      <w:rFonts w:eastAsia="宋体"/>
      <w:b/>
      <w:bCs/>
      <w:kern w:val="2"/>
      <w:sz w:val="21"/>
      <w:szCs w:val="24"/>
      <w:lang w:val="en-US" w:eastAsia="zh-CN" w:bidi="ar-SA"/>
    </w:rPr>
  </w:style>
  <w:style w:type="character" w:customStyle="1" w:styleId="177">
    <w:name w:val="标题 5 字符"/>
    <w:link w:val="6"/>
    <w:qFormat/>
    <w:uiPriority w:val="0"/>
    <w:rPr>
      <w:b/>
      <w:bCs/>
      <w:kern w:val="2"/>
      <w:sz w:val="28"/>
      <w:szCs w:val="28"/>
    </w:rPr>
  </w:style>
  <w:style w:type="character" w:customStyle="1" w:styleId="178">
    <w:name w:val="h3 Char1"/>
    <w:qFormat/>
    <w:uiPriority w:val="0"/>
    <w:rPr>
      <w:rFonts w:eastAsia="宋体"/>
      <w:b/>
      <w:bCs/>
      <w:kern w:val="2"/>
      <w:sz w:val="32"/>
      <w:szCs w:val="32"/>
      <w:lang w:bidi="ar-SA"/>
    </w:rPr>
  </w:style>
  <w:style w:type="character" w:customStyle="1" w:styleId="179">
    <w:name w:val="FA正文 Char Char"/>
    <w:qFormat/>
    <w:uiPriority w:val="0"/>
    <w:rPr>
      <w:rFonts w:hAnsi="宋体"/>
      <w:kern w:val="2"/>
      <w:sz w:val="24"/>
      <w:lang w:bidi="ar-SA"/>
    </w:rPr>
  </w:style>
  <w:style w:type="character" w:customStyle="1" w:styleId="180">
    <w:name w:val="首行缩进 Char"/>
    <w:qFormat/>
    <w:uiPriority w:val="0"/>
    <w:rPr>
      <w:rFonts w:ascii="宋体" w:eastAsia="宋体"/>
      <w:kern w:val="2"/>
      <w:sz w:val="24"/>
      <w:lang w:val="en-US" w:eastAsia="zh-CN" w:bidi="ar-SA"/>
    </w:rPr>
  </w:style>
  <w:style w:type="character" w:customStyle="1" w:styleId="181">
    <w:name w:val="Char Char7"/>
    <w:semiHidden/>
    <w:qFormat/>
    <w:uiPriority w:val="0"/>
    <w:rPr>
      <w:rFonts w:eastAsia="宋体"/>
      <w:kern w:val="2"/>
      <w:sz w:val="21"/>
      <w:szCs w:val="24"/>
      <w:lang w:val="en-US" w:eastAsia="zh-CN" w:bidi="ar-SA"/>
    </w:rPr>
  </w:style>
  <w:style w:type="character" w:customStyle="1" w:styleId="182">
    <w:name w:val="hui"/>
    <w:basedOn w:val="62"/>
    <w:qFormat/>
    <w:uiPriority w:val="0"/>
    <w:rPr>
      <w:rFonts w:ascii="Arial" w:hAnsi="Arial" w:eastAsia="黑体" w:cs="Arial"/>
      <w:snapToGrid w:val="0"/>
      <w:kern w:val="0"/>
      <w:szCs w:val="21"/>
    </w:rPr>
  </w:style>
  <w:style w:type="character" w:customStyle="1" w:styleId="183">
    <w:name w:val="正文缩进 Char"/>
    <w:qFormat/>
    <w:uiPriority w:val="0"/>
    <w:rPr>
      <w:rFonts w:eastAsia="宋体"/>
      <w:kern w:val="2"/>
      <w:sz w:val="21"/>
      <w:lang w:val="en-US" w:eastAsia="zh-CN"/>
    </w:rPr>
  </w:style>
  <w:style w:type="character" w:customStyle="1" w:styleId="184">
    <w:name w:val="正文1 Char"/>
    <w:qFormat/>
    <w:uiPriority w:val="0"/>
    <w:rPr>
      <w:rFonts w:ascii="宋体" w:eastAsia="宋体"/>
      <w:snapToGrid w:val="0"/>
      <w:color w:val="000000"/>
      <w:kern w:val="28"/>
      <w:sz w:val="28"/>
      <w:lang w:val="en-US" w:eastAsia="zh-CN" w:bidi="ar-SA"/>
    </w:rPr>
  </w:style>
  <w:style w:type="character" w:customStyle="1" w:styleId="185">
    <w:name w:val="Char Char61"/>
    <w:qFormat/>
    <w:uiPriority w:val="0"/>
    <w:rPr>
      <w:rFonts w:eastAsia="宋体"/>
      <w:kern w:val="2"/>
      <w:sz w:val="21"/>
      <w:szCs w:val="24"/>
      <w:lang w:val="en-US" w:eastAsia="zh-CN" w:bidi="ar-SA"/>
    </w:rPr>
  </w:style>
  <w:style w:type="character" w:customStyle="1" w:styleId="186">
    <w:name w:val="正文文本 3 字符"/>
    <w:link w:val="21"/>
    <w:qFormat/>
    <w:uiPriority w:val="0"/>
    <w:rPr>
      <w:kern w:val="2"/>
      <w:sz w:val="21"/>
    </w:rPr>
  </w:style>
  <w:style w:type="character" w:customStyle="1" w:styleId="187">
    <w:name w:val="message1"/>
    <w:qFormat/>
    <w:uiPriority w:val="0"/>
    <w:rPr>
      <w:rFonts w:hint="default" w:ascii="Tahoma" w:hAnsi="Tahoma" w:cs="Tahoma"/>
      <w:sz w:val="18"/>
      <w:szCs w:val="18"/>
    </w:rPr>
  </w:style>
  <w:style w:type="character" w:customStyle="1" w:styleId="188">
    <w:name w:val="Heading 2 Hidden Char"/>
    <w:qFormat/>
    <w:uiPriority w:val="0"/>
    <w:rPr>
      <w:rFonts w:ascii="仿宋_GB2312" w:eastAsia="仿宋_GB2312"/>
      <w:b/>
      <w:bCs/>
      <w:kern w:val="2"/>
      <w:sz w:val="24"/>
      <w:szCs w:val="24"/>
      <w:lang w:val="zh-CN" w:eastAsia="zh-CN" w:bidi="ar-SA"/>
    </w:rPr>
  </w:style>
  <w:style w:type="character" w:customStyle="1" w:styleId="189">
    <w:name w:val="DO_NOT_TRANSLATE"/>
    <w:qFormat/>
    <w:uiPriority w:val="0"/>
    <w:rPr>
      <w:rFonts w:ascii="Courier New" w:hAnsi="Courier New" w:cs="Courier New"/>
      <w:color w:val="800000"/>
      <w:lang w:val="en-US" w:eastAsia="zh-CN"/>
    </w:rPr>
  </w:style>
  <w:style w:type="character" w:customStyle="1" w:styleId="190">
    <w:name w:val="unnamed11"/>
    <w:qFormat/>
    <w:uiPriority w:val="0"/>
    <w:rPr>
      <w:sz w:val="20"/>
      <w:szCs w:val="20"/>
    </w:rPr>
  </w:style>
  <w:style w:type="character" w:customStyle="1" w:styleId="191">
    <w:name w:val="tw4winInternal"/>
    <w:qFormat/>
    <w:uiPriority w:val="0"/>
    <w:rPr>
      <w:rFonts w:ascii="Courier New" w:hAnsi="Courier New" w:cs="Courier New"/>
      <w:color w:val="FF0000"/>
      <w:lang w:val="en-US" w:eastAsia="zh-CN"/>
    </w:rPr>
  </w:style>
  <w:style w:type="character" w:customStyle="1" w:styleId="192">
    <w:name w:val="正文（缩进2汉字） Char"/>
    <w:link w:val="193"/>
    <w:qFormat/>
    <w:uiPriority w:val="0"/>
    <w:rPr>
      <w:rFonts w:ascii="宋体"/>
    </w:rPr>
  </w:style>
  <w:style w:type="paragraph" w:customStyle="1" w:styleId="193">
    <w:name w:val="正文（缩进2汉字）"/>
    <w:basedOn w:val="1"/>
    <w:link w:val="1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4">
    <w:name w:val="页脚 Char"/>
    <w:qFormat/>
    <w:uiPriority w:val="99"/>
    <w:rPr>
      <w:rFonts w:eastAsia="仿宋_GB2312"/>
      <w:kern w:val="2"/>
      <w:sz w:val="18"/>
      <w:lang w:val="en-US" w:eastAsia="zh-CN"/>
    </w:rPr>
  </w:style>
  <w:style w:type="character" w:customStyle="1" w:styleId="195">
    <w:name w:val="正文文本缩进 3 字符"/>
    <w:link w:val="50"/>
    <w:qFormat/>
    <w:uiPriority w:val="0"/>
    <w:rPr>
      <w:kern w:val="2"/>
      <w:sz w:val="24"/>
    </w:rPr>
  </w:style>
  <w:style w:type="character" w:customStyle="1" w:styleId="196">
    <w:name w:val="正文缩进 Char1"/>
    <w:qFormat/>
    <w:uiPriority w:val="0"/>
    <w:rPr>
      <w:rFonts w:ascii="宋体" w:eastAsia="宋体"/>
      <w:snapToGrid w:val="0"/>
      <w:color w:val="000000"/>
      <w:kern w:val="28"/>
      <w:sz w:val="28"/>
      <w:lang w:val="en-US" w:eastAsia="zh-CN" w:bidi="ar-SA"/>
    </w:rPr>
  </w:style>
  <w:style w:type="character" w:customStyle="1" w:styleId="197">
    <w:name w:val="正文文本 Char"/>
    <w:qFormat/>
    <w:uiPriority w:val="0"/>
    <w:rPr>
      <w:rFonts w:eastAsia="宋体"/>
      <w:kern w:val="2"/>
      <w:sz w:val="24"/>
      <w:szCs w:val="24"/>
      <w:lang w:val="en-US" w:eastAsia="zh-CN" w:bidi="ar-SA"/>
    </w:rPr>
  </w:style>
  <w:style w:type="character" w:customStyle="1" w:styleId="198">
    <w:name w:val="style36"/>
    <w:basedOn w:val="62"/>
    <w:qFormat/>
    <w:uiPriority w:val="0"/>
    <w:rPr>
      <w:rFonts w:ascii="Arial" w:hAnsi="Arial" w:eastAsia="黑体" w:cs="Arial"/>
      <w:snapToGrid w:val="0"/>
      <w:kern w:val="0"/>
      <w:szCs w:val="21"/>
    </w:rPr>
  </w:style>
  <w:style w:type="character" w:customStyle="1" w:styleId="199">
    <w:name w:val="hui3"/>
    <w:qFormat/>
    <w:uiPriority w:val="0"/>
    <w:rPr>
      <w:color w:val="333333"/>
    </w:rPr>
  </w:style>
  <w:style w:type="character" w:customStyle="1" w:styleId="200">
    <w:name w:val="方案正文 Char"/>
    <w:qFormat/>
    <w:uiPriority w:val="0"/>
    <w:rPr>
      <w:rFonts w:ascii="仿宋_GB2312" w:eastAsia="仿宋_GB2312"/>
      <w:b/>
      <w:color w:val="000000"/>
      <w:kern w:val="2"/>
      <w:sz w:val="24"/>
      <w:lang w:val="en-US" w:eastAsia="zh-CN" w:bidi="ar-SA"/>
    </w:rPr>
  </w:style>
  <w:style w:type="character" w:customStyle="1" w:styleId="201">
    <w:name w:val="apple-converted-space"/>
    <w:qFormat/>
    <w:uiPriority w:val="0"/>
  </w:style>
  <w:style w:type="character" w:customStyle="1" w:styleId="202">
    <w:name w:val="文档结构图 Char"/>
    <w:qFormat/>
    <w:uiPriority w:val="0"/>
    <w:rPr>
      <w:rFonts w:eastAsia="宋体"/>
      <w:kern w:val="2"/>
      <w:sz w:val="21"/>
      <w:szCs w:val="24"/>
      <w:lang w:val="en-US" w:eastAsia="zh-CN" w:bidi="ar-SA"/>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dectext1"/>
    <w:qFormat/>
    <w:uiPriority w:val="0"/>
    <w:rPr>
      <w:rFonts w:ascii="宋体" w:hAnsi="宋体" w:eastAsia="宋体"/>
      <w:color w:val="333333"/>
      <w:sz w:val="21"/>
      <w:szCs w:val="21"/>
      <w:u w:val="none"/>
    </w:rPr>
  </w:style>
  <w:style w:type="character" w:customStyle="1" w:styleId="205">
    <w:name w:val="t21"/>
    <w:qFormat/>
    <w:uiPriority w:val="0"/>
    <w:rPr>
      <w:rFonts w:ascii="仿宋_GB2312" w:eastAsia="微软雅黑"/>
      <w:b/>
      <w:kern w:val="2"/>
      <w:sz w:val="23"/>
      <w:szCs w:val="23"/>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px14"/>
    <w:qFormat/>
    <w:uiPriority w:val="0"/>
    <w:rPr>
      <w:rFonts w:ascii="仿宋_GB2312" w:eastAsia="微软雅黑" w:cs="Times New Roman"/>
      <w:b/>
      <w:kern w:val="2"/>
      <w:sz w:val="32"/>
      <w:szCs w:val="32"/>
      <w:lang w:val="en-US" w:eastAsia="zh-CN" w:bidi="ar-SA"/>
    </w:rPr>
  </w:style>
  <w:style w:type="character" w:customStyle="1" w:styleId="208">
    <w:name w:val="标题 7 字符"/>
    <w:link w:val="8"/>
    <w:qFormat/>
    <w:uiPriority w:val="0"/>
    <w:rPr>
      <w:b/>
      <w:bCs/>
      <w:kern w:val="2"/>
      <w:sz w:val="24"/>
      <w:szCs w:val="24"/>
    </w:rPr>
  </w:style>
  <w:style w:type="character" w:customStyle="1" w:styleId="209">
    <w:name w:val="Normal Indent Char Char"/>
    <w:qFormat/>
    <w:uiPriority w:val="0"/>
    <w:rPr>
      <w:rFonts w:eastAsia="宋体"/>
      <w:kern w:val="2"/>
      <w:sz w:val="21"/>
      <w:lang w:val="en-US" w:eastAsia="zh-CN"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日期 字符"/>
    <w:link w:val="32"/>
    <w:qFormat/>
    <w:uiPriority w:val="0"/>
    <w:rPr>
      <w:rFonts w:ascii="宋体"/>
      <w:kern w:val="2"/>
      <w:sz w:val="24"/>
      <w:szCs w:val="21"/>
      <w:lang w:val="zh-CN"/>
    </w:rPr>
  </w:style>
  <w:style w:type="character" w:customStyle="1" w:styleId="212">
    <w:name w:val="myp1111"/>
    <w:qFormat/>
    <w:uiPriority w:val="0"/>
    <w:rPr>
      <w:rFonts w:hint="default" w:ascii="ˎ̥" w:hAnsi="ˎ̥"/>
      <w:color w:val="000000"/>
      <w:sz w:val="20"/>
      <w:szCs w:val="20"/>
      <w:u w:val="none"/>
    </w:rPr>
  </w:style>
  <w:style w:type="character" w:customStyle="1" w:styleId="213">
    <w:name w:val="称呼 字符"/>
    <w:link w:val="20"/>
    <w:qFormat/>
    <w:uiPriority w:val="0"/>
    <w:rPr>
      <w:rFonts w:ascii="仿宋_GB2312" w:eastAsia="仿宋_GB2312"/>
      <w:kern w:val="2"/>
      <w:sz w:val="28"/>
    </w:rPr>
  </w:style>
  <w:style w:type="character" w:customStyle="1" w:styleId="214">
    <w:name w:val="标题 4 字符"/>
    <w:link w:val="5"/>
    <w:qFormat/>
    <w:uiPriority w:val="0"/>
    <w:rPr>
      <w:rFonts w:ascii="Arial" w:hAnsi="Arial" w:eastAsia="黑体"/>
      <w:b/>
      <w:bCs/>
      <w:kern w:val="2"/>
      <w:sz w:val="28"/>
      <w:szCs w:val="28"/>
      <w:lang w:val="zh-CN"/>
    </w:rPr>
  </w:style>
  <w:style w:type="character" w:customStyle="1" w:styleId="215">
    <w:name w:val="标书1 Char"/>
    <w:qFormat/>
    <w:uiPriority w:val="0"/>
    <w:rPr>
      <w:rFonts w:eastAsia="宋体"/>
      <w:b/>
      <w:bCs/>
      <w:kern w:val="44"/>
      <w:sz w:val="44"/>
      <w:szCs w:val="44"/>
      <w:lang w:val="en-US" w:eastAsia="zh-CN" w:bidi="ar-SA"/>
    </w:rPr>
  </w:style>
  <w:style w:type="character" w:customStyle="1" w:styleId="216">
    <w:name w:val="链接"/>
    <w:qFormat/>
    <w:uiPriority w:val="0"/>
    <w:rPr>
      <w:color w:val="0000FF"/>
      <w:sz w:val="21"/>
      <w:szCs w:val="21"/>
      <w:u w:val="single"/>
    </w:rPr>
  </w:style>
  <w:style w:type="character" w:customStyle="1" w:styleId="217">
    <w:name w:val="正文首行缩进 Char Char Char Char Char Char"/>
    <w:qFormat/>
    <w:uiPriority w:val="0"/>
    <w:rPr>
      <w:rFonts w:ascii="宋体" w:eastAsia="宋体"/>
      <w:kern w:val="2"/>
      <w:sz w:val="24"/>
      <w:lang w:val="zh-CN" w:bidi="ar-SA"/>
    </w:rPr>
  </w:style>
  <w:style w:type="character" w:customStyle="1" w:styleId="218">
    <w:name w:val="正文2 Char Char"/>
    <w:link w:val="219"/>
    <w:qFormat/>
    <w:uiPriority w:val="0"/>
    <w:rPr>
      <w:rFonts w:eastAsia="宋体"/>
      <w:kern w:val="2"/>
      <w:sz w:val="24"/>
      <w:lang w:val="en-US" w:eastAsia="zh-CN" w:bidi="ar-SA"/>
    </w:rPr>
  </w:style>
  <w:style w:type="paragraph" w:customStyle="1" w:styleId="219">
    <w:name w:val="正文2"/>
    <w:basedOn w:val="1"/>
    <w:link w:val="218"/>
    <w:qFormat/>
    <w:uiPriority w:val="0"/>
    <w:pPr>
      <w:spacing w:before="156" w:line="360" w:lineRule="auto"/>
      <w:ind w:firstLine="510" w:firstLineChars="200"/>
    </w:pPr>
    <w:rPr>
      <w:sz w:val="24"/>
      <w:szCs w:val="20"/>
    </w:rPr>
  </w:style>
  <w:style w:type="character" w:customStyle="1" w:styleId="220">
    <w:name w:val="tw4winError"/>
    <w:qFormat/>
    <w:uiPriority w:val="0"/>
    <w:rPr>
      <w:rFonts w:ascii="Courier New" w:hAnsi="Courier New" w:cs="Courier New"/>
      <w:color w:val="00FF00"/>
      <w:sz w:val="40"/>
      <w:szCs w:val="40"/>
    </w:rPr>
  </w:style>
  <w:style w:type="character" w:customStyle="1" w:styleId="221">
    <w:name w:val="正文1 Char1"/>
    <w:qFormat/>
    <w:uiPriority w:val="0"/>
    <w:rPr>
      <w:rFonts w:ascii="仿宋_GB2312" w:hAnsi="Courier New" w:eastAsia="仿宋_GB2312"/>
      <w:kern w:val="28"/>
      <w:sz w:val="24"/>
      <w:szCs w:val="24"/>
      <w:lang w:val="en-US" w:eastAsia="zh-CN"/>
    </w:rPr>
  </w:style>
  <w:style w:type="character" w:customStyle="1" w:styleId="222">
    <w:name w:val="Used by Word for text of Help footnotes Char Char"/>
    <w:semiHidden/>
    <w:qFormat/>
    <w:uiPriority w:val="0"/>
    <w:rPr>
      <w:rFonts w:ascii="Times New Roman" w:hAnsi="Times New Roman" w:eastAsia="宋体" w:cs="Times New Roman"/>
      <w:sz w:val="20"/>
      <w:szCs w:val="20"/>
    </w:rPr>
  </w:style>
  <w:style w:type="character" w:customStyle="1" w:styleId="223">
    <w:name w:val="c7 style3"/>
    <w:qFormat/>
    <w:uiPriority w:val="0"/>
  </w:style>
  <w:style w:type="character" w:customStyle="1" w:styleId="224">
    <w:name w:val="纯文本 字符1"/>
    <w:link w:val="31"/>
    <w:qFormat/>
    <w:uiPriority w:val="0"/>
    <w:rPr>
      <w:rFonts w:ascii="宋体" w:hAnsi="Courier New" w:eastAsia="宋体" w:cs="Arial"/>
      <w:snapToGrid w:val="0"/>
      <w:kern w:val="2"/>
      <w:sz w:val="21"/>
      <w:szCs w:val="21"/>
      <w:lang w:val="en-US" w:eastAsia="zh-CN" w:bidi="ar-SA"/>
    </w:rPr>
  </w:style>
  <w:style w:type="character" w:customStyle="1" w:styleId="22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6">
    <w:name w:val="表正文 Char"/>
    <w:qFormat/>
    <w:uiPriority w:val="0"/>
    <w:rPr>
      <w:rFonts w:ascii="宋体" w:eastAsia="宋体"/>
      <w:snapToGrid w:val="0"/>
      <w:color w:val="000000"/>
      <w:kern w:val="28"/>
      <w:sz w:val="28"/>
      <w:lang w:val="en-US" w:eastAsia="zh-CN" w:bidi="ar-SA"/>
    </w:rPr>
  </w:style>
  <w:style w:type="character" w:customStyle="1" w:styleId="227">
    <w:name w:val="普通文字 Char1 Char"/>
    <w:qFormat/>
    <w:uiPriority w:val="0"/>
    <w:rPr>
      <w:rFonts w:ascii="宋体" w:hAnsi="Courier New" w:eastAsia="宋体"/>
      <w:kern w:val="2"/>
      <w:sz w:val="21"/>
      <w:szCs w:val="24"/>
      <w:lang w:val="en-US" w:eastAsia="zh-CN" w:bidi="ar-SA"/>
    </w:rPr>
  </w:style>
  <w:style w:type="character" w:customStyle="1" w:styleId="228">
    <w:name w:val="pt9"/>
    <w:qFormat/>
    <w:uiPriority w:val="0"/>
    <w:rPr>
      <w:rFonts w:ascii="仿宋_GB2312" w:eastAsia="微软雅黑"/>
      <w:b/>
      <w:kern w:val="2"/>
      <w:sz w:val="32"/>
      <w:szCs w:val="32"/>
      <w:lang w:val="en-US" w:eastAsia="zh-CN" w:bidi="ar-SA"/>
    </w:rPr>
  </w:style>
  <w:style w:type="character" w:customStyle="1" w:styleId="229">
    <w:name w:val="表正文 Char1"/>
    <w:qFormat/>
    <w:uiPriority w:val="0"/>
    <w:rPr>
      <w:rFonts w:ascii="宋体" w:eastAsia="宋体"/>
      <w:snapToGrid w:val="0"/>
      <w:color w:val="000000"/>
      <w:kern w:val="28"/>
      <w:sz w:val="28"/>
    </w:rPr>
  </w:style>
  <w:style w:type="character" w:customStyle="1" w:styleId="230">
    <w:name w:val="正文非缩进 Char"/>
    <w:qFormat/>
    <w:uiPriority w:val="0"/>
    <w:rPr>
      <w:rFonts w:ascii="宋体" w:eastAsia="宋体"/>
      <w:snapToGrid w:val="0"/>
      <w:color w:val="000000"/>
      <w:kern w:val="28"/>
      <w:sz w:val="28"/>
      <w:lang w:val="en-US" w:eastAsia="zh-CN" w:bidi="ar-SA"/>
    </w:rPr>
  </w:style>
  <w:style w:type="character" w:customStyle="1" w:styleId="231">
    <w:name w:val="冯广丽 Char"/>
    <w:link w:val="232"/>
    <w:qFormat/>
    <w:uiPriority w:val="0"/>
    <w:rPr>
      <w:rFonts w:ascii="宋体" w:hAnsi="宋体"/>
      <w:kern w:val="2"/>
      <w:sz w:val="24"/>
      <w:szCs w:val="22"/>
    </w:rPr>
  </w:style>
  <w:style w:type="paragraph" w:customStyle="1" w:styleId="232">
    <w:name w:val="冯广丽"/>
    <w:basedOn w:val="1"/>
    <w:link w:val="231"/>
    <w:qFormat/>
    <w:uiPriority w:val="0"/>
    <w:pPr>
      <w:adjustRightInd/>
      <w:spacing w:line="360" w:lineRule="auto"/>
      <w:ind w:firstLine="480" w:firstLineChars="200"/>
    </w:pPr>
    <w:rPr>
      <w:rFonts w:ascii="宋体" w:hAnsi="宋体"/>
      <w:sz w:val="24"/>
      <w:szCs w:val="22"/>
    </w:rPr>
  </w:style>
  <w:style w:type="character" w:customStyle="1" w:styleId="233">
    <w:name w:val="large1"/>
    <w:qFormat/>
    <w:uiPriority w:val="0"/>
    <w:rPr>
      <w:rFonts w:hint="eastAsia" w:ascii="宋体" w:hAnsi="宋体" w:eastAsia="宋体"/>
      <w:sz w:val="21"/>
      <w:szCs w:val="21"/>
    </w:rPr>
  </w:style>
  <w:style w:type="character" w:customStyle="1" w:styleId="234">
    <w:name w:val="样式 样式 标题 4h4H4Fab-4T5Ref Heading 1rh1Heading sqlsect 1.2.3.... +... Char"/>
    <w:link w:val="235"/>
    <w:qFormat/>
    <w:uiPriority w:val="0"/>
    <w:rPr>
      <w:rFonts w:ascii="微软雅黑" w:hAnsi="微软雅黑" w:eastAsia="微软雅黑"/>
      <w:b/>
      <w:bCs/>
      <w:kern w:val="2"/>
      <w:sz w:val="24"/>
      <w:szCs w:val="28"/>
    </w:rPr>
  </w:style>
  <w:style w:type="paragraph" w:customStyle="1" w:styleId="235">
    <w:name w:val="样式 样式 标题 4h4H4Fab-4T5Ref Heading 1rh1Heading sqlsect 1.2.3.... +..."/>
    <w:basedOn w:val="160"/>
    <w:link w:val="234"/>
    <w:qFormat/>
    <w:uiPriority w:val="0"/>
  </w:style>
  <w:style w:type="character" w:customStyle="1" w:styleId="236">
    <w:name w:val="标题 1 Char Char"/>
    <w:qFormat/>
    <w:uiPriority w:val="0"/>
    <w:rPr>
      <w:rFonts w:hint="eastAsia" w:ascii="宋体" w:hAnsi="宋体" w:eastAsia="宋体"/>
      <w:b/>
      <w:spacing w:val="-2"/>
      <w:sz w:val="24"/>
      <w:lang w:val="en-US" w:eastAsia="zh-CN" w:bidi="ar-SA"/>
    </w:rPr>
  </w:style>
  <w:style w:type="character" w:customStyle="1" w:styleId="237">
    <w:name w:val="标题 4 Char1"/>
    <w:semiHidden/>
    <w:qFormat/>
    <w:uiPriority w:val="9"/>
    <w:rPr>
      <w:rFonts w:ascii="Cambria" w:hAnsi="Cambria" w:eastAsia="宋体" w:cs="Times New Roman"/>
      <w:b/>
      <w:bCs/>
      <w:kern w:val="2"/>
      <w:sz w:val="28"/>
      <w:szCs w:val="28"/>
    </w:rPr>
  </w:style>
  <w:style w:type="character" w:customStyle="1" w:styleId="238">
    <w:name w:val="脚注文本 字符"/>
    <w:link w:val="47"/>
    <w:qFormat/>
    <w:uiPriority w:val="0"/>
    <w:rPr>
      <w:color w:val="0000FF"/>
      <w:sz w:val="21"/>
    </w:rPr>
  </w:style>
  <w:style w:type="character" w:customStyle="1" w:styleId="239">
    <w:name w:val="zbggmain style9"/>
    <w:qFormat/>
    <w:uiPriority w:val="0"/>
  </w:style>
  <w:style w:type="character" w:customStyle="1" w:styleId="240">
    <w:name w:val="tw4winMark"/>
    <w:qFormat/>
    <w:uiPriority w:val="0"/>
    <w:rPr>
      <w:rFonts w:ascii="Courier New" w:hAnsi="Courier New" w:cs="Courier New"/>
      <w:vanish/>
      <w:color w:val="800080"/>
      <w:sz w:val="24"/>
      <w:szCs w:val="24"/>
      <w:vertAlign w:val="subscript"/>
    </w:rPr>
  </w:style>
  <w:style w:type="character" w:customStyle="1" w:styleId="241">
    <w:name w:val="tw4winPopup"/>
    <w:qFormat/>
    <w:uiPriority w:val="0"/>
    <w:rPr>
      <w:rFonts w:ascii="Courier New" w:hAnsi="Courier New" w:cs="Courier New"/>
      <w:color w:val="008000"/>
      <w:lang w:val="en-US" w:eastAsia="zh-CN"/>
    </w:rPr>
  </w:style>
  <w:style w:type="character" w:customStyle="1" w:styleId="242">
    <w:name w:val="标题 6 字符"/>
    <w:link w:val="7"/>
    <w:qFormat/>
    <w:uiPriority w:val="0"/>
    <w:rPr>
      <w:rFonts w:ascii="Arial" w:hAnsi="Arial" w:eastAsia="黑体"/>
      <w:b/>
      <w:bCs/>
      <w:kern w:val="2"/>
      <w:sz w:val="24"/>
      <w:szCs w:val="24"/>
    </w:rPr>
  </w:style>
  <w:style w:type="character" w:customStyle="1" w:styleId="243">
    <w:name w:val="样式 宋体"/>
    <w:qFormat/>
    <w:uiPriority w:val="0"/>
    <w:rPr>
      <w:rFonts w:ascii="宋体" w:hAnsi="宋体"/>
      <w:sz w:val="24"/>
    </w:rPr>
  </w:style>
  <w:style w:type="character" w:customStyle="1" w:styleId="244">
    <w:name w:val="正文缩进 字符1"/>
    <w:link w:val="15"/>
    <w:qFormat/>
    <w:uiPriority w:val="0"/>
    <w:rPr>
      <w:rFonts w:ascii="宋体" w:eastAsia="宋体"/>
      <w:snapToGrid w:val="0"/>
      <w:color w:val="000000"/>
      <w:kern w:val="28"/>
      <w:sz w:val="28"/>
      <w:lang w:val="en-US" w:eastAsia="zh-CN" w:bidi="ar-SA"/>
    </w:rPr>
  </w:style>
  <w:style w:type="character" w:customStyle="1" w:styleId="245">
    <w:name w:val="标题 Char"/>
    <w:qFormat/>
    <w:uiPriority w:val="0"/>
    <w:rPr>
      <w:rFonts w:eastAsia="宋体"/>
      <w:b/>
      <w:sz w:val="24"/>
      <w:lang w:val="en-GB" w:eastAsia="zh-CN" w:bidi="ar-SA"/>
    </w:rPr>
  </w:style>
  <w:style w:type="character" w:customStyle="1" w:styleId="246">
    <w:name w:val="正文文本首行缩进 2 字符"/>
    <w:link w:val="59"/>
    <w:qFormat/>
    <w:uiPriority w:val="0"/>
    <w:rPr>
      <w:rFonts w:ascii="宋体" w:hAnsi="宋体"/>
      <w:kern w:val="2"/>
      <w:sz w:val="21"/>
      <w:szCs w:val="24"/>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批注文字 字符"/>
    <w:link w:val="19"/>
    <w:qFormat/>
    <w:uiPriority w:val="0"/>
    <w:rPr>
      <w:kern w:val="2"/>
      <w:sz w:val="21"/>
      <w:szCs w:val="24"/>
    </w:rPr>
  </w:style>
  <w:style w:type="character" w:customStyle="1" w:styleId="249">
    <w:name w:val="批注框文本 字符"/>
    <w:link w:val="36"/>
    <w:semiHidden/>
    <w:qFormat/>
    <w:uiPriority w:val="0"/>
    <w:rPr>
      <w:kern w:val="2"/>
      <w:sz w:val="18"/>
      <w:szCs w:val="18"/>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Footer Char"/>
    <w:qFormat/>
    <w:locked/>
    <w:uiPriority w:val="0"/>
    <w:rPr>
      <w:rFonts w:eastAsia="宋体"/>
      <w:kern w:val="2"/>
      <w:sz w:val="18"/>
      <w:lang w:val="en-US" w:eastAsia="zh-CN" w:bidi="ar-SA"/>
    </w:rPr>
  </w:style>
  <w:style w:type="character" w:customStyle="1" w:styleId="252">
    <w:name w:val="Char Char41"/>
    <w:qFormat/>
    <w:uiPriority w:val="0"/>
    <w:rPr>
      <w:rFonts w:eastAsia="宋体"/>
      <w:b/>
      <w:sz w:val="24"/>
      <w:lang w:val="en-GB" w:eastAsia="zh-CN" w:bidi="ar-SA"/>
    </w:rPr>
  </w:style>
  <w:style w:type="character" w:customStyle="1" w:styleId="253">
    <w:name w:val="Char Char91"/>
    <w:qFormat/>
    <w:uiPriority w:val="0"/>
    <w:rPr>
      <w:rFonts w:eastAsia="宋体"/>
      <w:kern w:val="2"/>
      <w:sz w:val="18"/>
      <w:szCs w:val="18"/>
      <w:lang w:val="en-US" w:eastAsia="zh-CN" w:bidi="ar-SA"/>
    </w:rPr>
  </w:style>
  <w:style w:type="character" w:customStyle="1" w:styleId="254">
    <w:name w:val="列出段落 Char"/>
    <w:qFormat/>
    <w:uiPriority w:val="34"/>
    <w:rPr>
      <w:rFonts w:eastAsia="楷体_GB2312" w:cs="Lucida Sans"/>
      <w:kern w:val="2"/>
      <w:sz w:val="24"/>
      <w:szCs w:val="24"/>
      <w:lang w:val="en-US" w:eastAsia="zh-CN" w:bidi="ar-SA"/>
    </w:rPr>
  </w:style>
  <w:style w:type="character" w:customStyle="1" w:styleId="255">
    <w:name w:val="gf正文1 Char"/>
    <w:qFormat/>
    <w:uiPriority w:val="0"/>
    <w:rPr>
      <w:rFonts w:ascii="宋体" w:hAnsi="宋体" w:eastAsia="宋体" w:cs="宋体"/>
      <w:kern w:val="2"/>
      <w:sz w:val="24"/>
      <w:szCs w:val="24"/>
      <w:lang w:val="en-US" w:eastAsia="zh-CN" w:bidi="ar-SA"/>
    </w:rPr>
  </w:style>
  <w:style w:type="character" w:customStyle="1" w:styleId="256">
    <w:name w:val="标书表格字体格式 Char"/>
    <w:qFormat/>
    <w:uiPriority w:val="0"/>
    <w:rPr>
      <w:kern w:val="2"/>
      <w:sz w:val="21"/>
      <w:szCs w:val="24"/>
      <w:lang w:bidi="ar-SA"/>
    </w:rPr>
  </w:style>
  <w:style w:type="character" w:customStyle="1" w:styleId="257">
    <w:name w:val="样式6 Char"/>
    <w:qFormat/>
    <w:uiPriority w:val="0"/>
    <w:rPr>
      <w:rFonts w:ascii="仿宋_GB2312" w:hAnsi="宋体" w:eastAsia="仿宋_GB2312"/>
      <w:b/>
      <w:bCs/>
      <w:kern w:val="2"/>
      <w:sz w:val="24"/>
      <w:szCs w:val="24"/>
      <w:lang w:val="en-US" w:eastAsia="zh-CN" w:bidi="ar-SA"/>
    </w:rPr>
  </w:style>
  <w:style w:type="character" w:customStyle="1" w:styleId="258">
    <w:name w:val="签名 字符"/>
    <w:link w:val="39"/>
    <w:qFormat/>
    <w:uiPriority w:val="0"/>
    <w:rPr>
      <w:rFonts w:eastAsia="仿宋_GB2312"/>
      <w:sz w:val="24"/>
    </w:rPr>
  </w:style>
  <w:style w:type="character" w:customStyle="1" w:styleId="259">
    <w:name w:val="冯 Char"/>
    <w:link w:val="260"/>
    <w:qFormat/>
    <w:uiPriority w:val="0"/>
    <w:rPr>
      <w:rFonts w:ascii="宋体" w:hAnsi="宋体"/>
      <w:color w:val="000000"/>
      <w:sz w:val="24"/>
      <w:szCs w:val="24"/>
    </w:rPr>
  </w:style>
  <w:style w:type="paragraph" w:customStyle="1" w:styleId="260">
    <w:name w:val="冯"/>
    <w:basedOn w:val="1"/>
    <w:link w:val="259"/>
    <w:qFormat/>
    <w:uiPriority w:val="0"/>
    <w:pPr>
      <w:widowControl/>
      <w:adjustRightInd/>
      <w:spacing w:line="360" w:lineRule="auto"/>
      <w:ind w:firstLine="480" w:firstLineChars="200"/>
    </w:pPr>
    <w:rPr>
      <w:rFonts w:ascii="宋体" w:hAnsi="宋体"/>
      <w:color w:val="000000"/>
      <w:kern w:val="0"/>
      <w:sz w:val="24"/>
    </w:rPr>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md"/>
    <w:basedOn w:val="62"/>
    <w:qFormat/>
    <w:uiPriority w:val="0"/>
    <w:rPr>
      <w:rFonts w:ascii="Arial" w:hAnsi="Arial" w:eastAsia="黑体" w:cs="Arial"/>
      <w:snapToGrid w:val="0"/>
      <w:kern w:val="0"/>
      <w:szCs w:val="21"/>
    </w:rPr>
  </w:style>
  <w:style w:type="character" w:customStyle="1" w:styleId="263">
    <w:name w:val="样式5 Char"/>
    <w:qFormat/>
    <w:uiPriority w:val="0"/>
    <w:rPr>
      <w:rFonts w:ascii="仿宋_GB2312" w:hAnsi="仿宋" w:eastAsia="仿宋_GB2312"/>
      <w:kern w:val="2"/>
      <w:sz w:val="24"/>
      <w:szCs w:val="24"/>
    </w:rPr>
  </w:style>
  <w:style w:type="character" w:customStyle="1" w:styleId="264">
    <w:name w:val="表格 Char Char"/>
    <w:qFormat/>
    <w:uiPriority w:val="0"/>
    <w:rPr>
      <w:rFonts w:ascii="宋体" w:hAnsi="宋体" w:eastAsia="宋体"/>
      <w:lang w:bidi="ar-SA"/>
    </w:rPr>
  </w:style>
  <w:style w:type="character" w:customStyle="1" w:styleId="265">
    <w:name w:val="font12gray1"/>
    <w:qFormat/>
    <w:uiPriority w:val="0"/>
    <w:rPr>
      <w:rFonts w:ascii="仿宋_GB2312" w:eastAsia="微软雅黑"/>
      <w:b/>
      <w:spacing w:val="300"/>
      <w:kern w:val="2"/>
      <w:sz w:val="18"/>
      <w:szCs w:val="18"/>
      <w:lang w:val="en-US" w:eastAsia="zh-CN" w:bidi="ar-SA"/>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tw4winJump"/>
    <w:qFormat/>
    <w:uiPriority w:val="0"/>
    <w:rPr>
      <w:rFonts w:ascii="Courier New" w:hAnsi="Courier New" w:cs="Courier New"/>
      <w:color w:val="008080"/>
      <w:lang w:val="en-US" w:eastAsia="zh-CN"/>
    </w:rPr>
  </w:style>
  <w:style w:type="character" w:customStyle="1" w:styleId="268">
    <w:name w:val="Item List Char"/>
    <w:link w:val="269"/>
    <w:qFormat/>
    <w:uiPriority w:val="0"/>
    <w:rPr>
      <w:rFonts w:ascii="Arial"/>
      <w:bCs/>
      <w:sz w:val="21"/>
      <w:szCs w:val="21"/>
      <w:lang w:val="en-US" w:eastAsia="zh-CN" w:bidi="ar-SA"/>
    </w:rPr>
  </w:style>
  <w:style w:type="paragraph" w:customStyle="1" w:styleId="269">
    <w:name w:val="Item List"/>
    <w:link w:val="26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0">
    <w:name w:val="Char Char121"/>
    <w:qFormat/>
    <w:uiPriority w:val="0"/>
    <w:rPr>
      <w:rFonts w:ascii="仿宋_GB2312" w:eastAsia="仿宋_GB2312"/>
      <w:b/>
      <w:bCs/>
      <w:kern w:val="2"/>
      <w:sz w:val="24"/>
      <w:szCs w:val="24"/>
      <w:lang w:val="zh-CN" w:eastAsia="zh-CN" w:bidi="ar-SA"/>
    </w:rPr>
  </w:style>
  <w:style w:type="paragraph" w:customStyle="1" w:styleId="27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3">
    <w:name w:val="4"/>
    <w:basedOn w:val="1"/>
    <w:next w:val="35"/>
    <w:qFormat/>
    <w:uiPriority w:val="0"/>
    <w:pPr>
      <w:spacing w:after="120" w:line="480" w:lineRule="auto"/>
      <w:ind w:left="420" w:leftChars="200"/>
    </w:pPr>
    <w:rPr>
      <w:sz w:val="24"/>
      <w:szCs w:val="20"/>
    </w:rPr>
  </w:style>
  <w:style w:type="paragraph" w:customStyle="1" w:styleId="274">
    <w:name w:val="Char Char1"/>
    <w:basedOn w:val="1"/>
    <w:qFormat/>
    <w:uiPriority w:val="0"/>
    <w:pPr>
      <w:widowControl/>
      <w:spacing w:after="160" w:line="240" w:lineRule="exact"/>
      <w:jc w:val="left"/>
    </w:pPr>
    <w:rPr>
      <w:rFonts w:eastAsia="仿宋_GB2312"/>
      <w:sz w:val="28"/>
    </w:rPr>
  </w:style>
  <w:style w:type="paragraph" w:customStyle="1" w:styleId="27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7">
    <w:name w:val="默认段落样式"/>
    <w:basedOn w:val="219"/>
    <w:qFormat/>
    <w:uiPriority w:val="0"/>
    <w:pPr>
      <w:spacing w:before="0"/>
      <w:ind w:firstLine="480"/>
      <w:outlineLvl w:val="2"/>
    </w:pPr>
    <w:rPr>
      <w:rFonts w:ascii="仿宋_GB2312" w:hAnsi="宋体" w:eastAsia="仿宋_GB2312"/>
      <w:color w:val="000000"/>
      <w:szCs w:val="24"/>
    </w:rPr>
  </w:style>
  <w:style w:type="paragraph" w:customStyle="1" w:styleId="278">
    <w:name w:val="Char Char1 Char Char Char Char Char Char"/>
    <w:basedOn w:val="1"/>
    <w:qFormat/>
    <w:uiPriority w:val="0"/>
    <w:rPr>
      <w:rFonts w:ascii="仿宋_GB2312" w:eastAsia="仿宋_GB2312"/>
      <w:b/>
      <w:sz w:val="32"/>
      <w:szCs w:val="20"/>
    </w:rPr>
  </w:style>
  <w:style w:type="paragraph" w:customStyle="1" w:styleId="27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1">
    <w:name w:val="文本正文 Char"/>
    <w:basedOn w:val="1"/>
    <w:qFormat/>
    <w:uiPriority w:val="0"/>
    <w:pPr>
      <w:spacing w:line="360" w:lineRule="auto"/>
      <w:ind w:firstLine="200" w:firstLineChars="200"/>
    </w:pPr>
    <w:rPr>
      <w:kern w:val="0"/>
      <w:sz w:val="24"/>
      <w:szCs w:val="20"/>
    </w:rPr>
  </w:style>
  <w:style w:type="paragraph" w:customStyle="1" w:styleId="2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文章标题"/>
    <w:next w:val="2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5">
    <w:name w:val="封面公司名"/>
    <w:qFormat/>
    <w:uiPriority w:val="0"/>
    <w:pPr>
      <w:jc w:val="center"/>
    </w:pPr>
    <w:rPr>
      <w:rFonts w:ascii="Arial" w:hAnsi="Arial" w:eastAsia="楷体_GB2312" w:cs="宋体"/>
      <w:bCs/>
      <w:kern w:val="2"/>
      <w:sz w:val="28"/>
      <w:lang w:val="en-US" w:eastAsia="zh-CN" w:bidi="ar-SA"/>
    </w:rPr>
  </w:style>
  <w:style w:type="paragraph" w:customStyle="1" w:styleId="286">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7">
    <w:name w:val="默认段落字体 Para Char Char Char Char Char Char Char"/>
    <w:basedOn w:val="1"/>
    <w:qFormat/>
    <w:uiPriority w:val="0"/>
    <w:rPr>
      <w:rFonts w:eastAsia="仿宋_GB2312"/>
      <w:sz w:val="28"/>
      <w:szCs w:val="20"/>
    </w:rPr>
  </w:style>
  <w:style w:type="paragraph" w:customStyle="1" w:styleId="28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0">
    <w:name w:val="trademark"/>
    <w:qFormat/>
    <w:uiPriority w:val="0"/>
    <w:pPr>
      <w:spacing w:after="60"/>
    </w:pPr>
    <w:rPr>
      <w:rFonts w:ascii="Futura Bk" w:hAnsi="Futura Bk" w:eastAsia="宋体" w:cs="Times New Roman"/>
      <w:sz w:val="15"/>
      <w:lang w:val="en-US" w:eastAsia="en-US" w:bidi="ar-SA"/>
    </w:rPr>
  </w:style>
  <w:style w:type="paragraph" w:customStyle="1" w:styleId="2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默认段落字体 Para Char"/>
    <w:basedOn w:val="1"/>
    <w:qFormat/>
    <w:uiPriority w:val="0"/>
    <w:rPr>
      <w:rFonts w:ascii="Tahoma" w:hAnsi="Tahoma"/>
      <w:sz w:val="24"/>
      <w:szCs w:val="20"/>
    </w:rPr>
  </w:style>
  <w:style w:type="paragraph" w:customStyle="1" w:styleId="29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Char Char Char Char Char Char Char Char Char Char Char Char1 Char"/>
    <w:basedOn w:val="1"/>
    <w:qFormat/>
    <w:uiPriority w:val="0"/>
    <w:rPr>
      <w:rFonts w:ascii="Tahoma" w:hAnsi="Tahoma" w:cs="仿宋_GB2312"/>
      <w:sz w:val="24"/>
      <w:szCs w:val="20"/>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0">
    <w:name w:val="Char Char11 Char Char Char Char Char Char Char Char Char"/>
    <w:basedOn w:val="1"/>
    <w:qFormat/>
    <w:uiPriority w:val="0"/>
    <w:pPr>
      <w:spacing w:line="360" w:lineRule="auto"/>
    </w:pPr>
    <w:rPr>
      <w:szCs w:val="20"/>
    </w:rPr>
  </w:style>
  <w:style w:type="paragraph" w:customStyle="1" w:styleId="3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3">
    <w:name w:val="左对齐表格文字"/>
    <w:basedOn w:val="1"/>
    <w:qFormat/>
    <w:uiPriority w:val="0"/>
    <w:pPr>
      <w:adjustRightInd/>
      <w:ind w:firstLine="200" w:firstLineChars="200"/>
      <w:jc w:val="right"/>
    </w:pPr>
  </w:style>
  <w:style w:type="paragraph" w:customStyle="1" w:styleId="304">
    <w:name w:val="Char31"/>
    <w:basedOn w:val="1"/>
    <w:qFormat/>
    <w:uiPriority w:val="0"/>
    <w:pPr>
      <w:adjustRightInd/>
      <w:ind w:firstLine="200" w:firstLineChars="200"/>
    </w:pPr>
    <w:rPr>
      <w:rFonts w:ascii="Tahoma" w:hAnsi="Tahoma"/>
      <w:sz w:val="24"/>
      <w:szCs w:val="20"/>
    </w:rPr>
  </w:style>
  <w:style w:type="paragraph" w:customStyle="1" w:styleId="30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8">
    <w:name w:val="彩色列表 - 强调文字颜色 11"/>
    <w:basedOn w:val="1"/>
    <w:qFormat/>
    <w:uiPriority w:val="0"/>
    <w:pPr>
      <w:adjustRightInd/>
      <w:ind w:firstLine="420" w:firstLineChars="200"/>
    </w:pPr>
    <w:rPr>
      <w:rFonts w:ascii="Calibri" w:hAnsi="Calibri"/>
      <w:szCs w:val="22"/>
    </w:rPr>
  </w:style>
  <w:style w:type="paragraph" w:customStyle="1" w:styleId="30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0">
    <w:name w:val="MM Topic 3"/>
    <w:basedOn w:val="2"/>
    <w:qFormat/>
    <w:uiPriority w:val="0"/>
    <w:pPr>
      <w:numPr>
        <w:numId w:val="4"/>
      </w:numPr>
      <w:tabs>
        <w:tab w:val="left" w:pos="840"/>
        <w:tab w:val="left" w:pos="1680"/>
      </w:tabs>
      <w:adjustRightInd/>
    </w:pPr>
  </w:style>
  <w:style w:type="paragraph" w:customStyle="1" w:styleId="311">
    <w:name w:val="Normal0"/>
    <w:qFormat/>
    <w:uiPriority w:val="0"/>
    <w:rPr>
      <w:rFonts w:ascii="Times New Roman" w:hAnsi="Times New Roman" w:eastAsia="宋体" w:cs="Times New Roman"/>
      <w:lang w:val="en-US" w:eastAsia="en-US" w:bidi="ar-SA"/>
    </w:rPr>
  </w:style>
  <w:style w:type="paragraph" w:customStyle="1" w:styleId="312">
    <w:name w:val="Char Char Char Char Char Char Char"/>
    <w:basedOn w:val="1"/>
    <w:qFormat/>
    <w:uiPriority w:val="0"/>
    <w:rPr>
      <w:rFonts w:ascii="仿宋_GB2312" w:eastAsia="仿宋_GB2312"/>
      <w:b/>
      <w:sz w:val="32"/>
      <w:szCs w:val="32"/>
    </w:rPr>
  </w:style>
  <w:style w:type="paragraph" w:customStyle="1" w:styleId="31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Char2"/>
    <w:basedOn w:val="1"/>
    <w:qFormat/>
    <w:uiPriority w:val="0"/>
    <w:rPr>
      <w:rFonts w:ascii="仿宋_GB2312" w:eastAsia="仿宋_GB2312"/>
      <w:b/>
      <w:sz w:val="32"/>
      <w:szCs w:val="32"/>
    </w:rPr>
  </w:style>
  <w:style w:type="paragraph" w:customStyle="1" w:styleId="32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2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6">
    <w:name w:val="Char Char Char"/>
    <w:basedOn w:val="1"/>
    <w:qFormat/>
    <w:uiPriority w:val="0"/>
    <w:rPr>
      <w:rFonts w:ascii="Tahoma" w:hAnsi="Tahoma"/>
      <w:sz w:val="24"/>
      <w:szCs w:val="20"/>
    </w:rPr>
  </w:style>
  <w:style w:type="paragraph" w:customStyle="1" w:styleId="327">
    <w:name w:val="MM Topic 4"/>
    <w:basedOn w:val="5"/>
    <w:qFormat/>
    <w:uiPriority w:val="0"/>
    <w:pPr>
      <w:numPr>
        <w:numId w:val="4"/>
      </w:numPr>
      <w:tabs>
        <w:tab w:val="left" w:pos="840"/>
        <w:tab w:val="left" w:pos="2100"/>
      </w:tabs>
      <w:adjustRightInd/>
    </w:pPr>
    <w:rPr>
      <w:lang w:val="en-US"/>
    </w:rPr>
  </w:style>
  <w:style w:type="paragraph" w:customStyle="1" w:styleId="328">
    <w:name w:val="标准小四"/>
    <w:basedOn w:val="1"/>
    <w:qFormat/>
    <w:uiPriority w:val="0"/>
    <w:pPr>
      <w:spacing w:line="360" w:lineRule="auto"/>
      <w:ind w:firstLine="480" w:firstLineChars="200"/>
    </w:pPr>
    <w:rPr>
      <w:rFonts w:ascii="Arial" w:hAnsi="Arial"/>
      <w:sz w:val="24"/>
      <w:szCs w:val="21"/>
    </w:rPr>
  </w:style>
  <w:style w:type="paragraph" w:customStyle="1" w:styleId="329">
    <w:name w:val="MM Topic 2"/>
    <w:basedOn w:val="4"/>
    <w:qFormat/>
    <w:uiPriority w:val="0"/>
    <w:pPr>
      <w:numPr>
        <w:ilvl w:val="1"/>
        <w:numId w:val="4"/>
      </w:numPr>
    </w:pPr>
    <w:rPr>
      <w:rFonts w:ascii="Arial" w:hAnsi="Arial" w:eastAsia="黑体"/>
      <w:lang w:val="en-US"/>
    </w:rPr>
  </w:style>
  <w:style w:type="paragraph" w:customStyle="1" w:styleId="330">
    <w:name w:val="表格标题2"/>
    <w:basedOn w:val="331"/>
    <w:qFormat/>
    <w:uiPriority w:val="0"/>
    <w:rPr>
      <w:b/>
    </w:rPr>
  </w:style>
  <w:style w:type="paragraph" w:customStyle="1" w:styleId="331">
    <w:name w:val="表格内文"/>
    <w:basedOn w:val="1"/>
    <w:qFormat/>
    <w:uiPriority w:val="0"/>
    <w:pPr>
      <w:adjustRightInd/>
      <w:spacing w:line="360" w:lineRule="auto"/>
    </w:pPr>
    <w:rPr>
      <w:rFonts w:ascii="宋体" w:hAnsi="宋体" w:cs="宋体"/>
      <w:color w:val="000000"/>
      <w:szCs w:val="20"/>
    </w:rPr>
  </w:style>
  <w:style w:type="paragraph" w:customStyle="1" w:styleId="33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4">
    <w:name w:val="Char Char11 Char Char Char Char Char Char Char Char Char1"/>
    <w:basedOn w:val="1"/>
    <w:qFormat/>
    <w:uiPriority w:val="0"/>
    <w:pPr>
      <w:spacing w:line="360" w:lineRule="auto"/>
    </w:pPr>
    <w:rPr>
      <w:szCs w:val="20"/>
    </w:rPr>
  </w:style>
  <w:style w:type="paragraph" w:customStyle="1" w:styleId="335">
    <w:name w:val="Char Char Char Char Char Char Char Char Char Char Char1 Char"/>
    <w:basedOn w:val="1"/>
    <w:qFormat/>
    <w:uiPriority w:val="0"/>
    <w:pPr>
      <w:adjustRightInd/>
    </w:pPr>
    <w:rPr>
      <w:rFonts w:ascii="Tahoma" w:hAnsi="Tahoma"/>
      <w:sz w:val="24"/>
    </w:rPr>
  </w:style>
  <w:style w:type="paragraph" w:customStyle="1" w:styleId="33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9">
    <w:name w:val="Char"/>
    <w:basedOn w:val="1"/>
    <w:qFormat/>
    <w:uiPriority w:val="0"/>
    <w:rPr>
      <w:rFonts w:ascii="仿宋_GB2312" w:eastAsia="仿宋_GB2312"/>
      <w:b/>
      <w:sz w:val="32"/>
      <w:szCs w:val="32"/>
    </w:rPr>
  </w:style>
  <w:style w:type="paragraph" w:customStyle="1" w:styleId="34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2">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4">
    <w:name w:val="Char3 Char Char Char"/>
    <w:basedOn w:val="1"/>
    <w:qFormat/>
    <w:uiPriority w:val="0"/>
    <w:pPr>
      <w:widowControl/>
      <w:adjustRightInd/>
      <w:spacing w:after="160" w:line="240" w:lineRule="exact"/>
      <w:jc w:val="left"/>
    </w:pPr>
    <w:rPr>
      <w:szCs w:val="20"/>
    </w:rPr>
  </w:style>
  <w:style w:type="paragraph" w:customStyle="1" w:styleId="3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6"/>
    <w:next w:val="1"/>
    <w:qFormat/>
    <w:uiPriority w:val="0"/>
    <w:pPr>
      <w:numPr>
        <w:numId w:val="5"/>
      </w:numPr>
      <w:tabs>
        <w:tab w:val="left" w:pos="480"/>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1">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6"/>
    <w:qFormat/>
    <w:uiPriority w:val="0"/>
    <w:pPr>
      <w:numPr>
        <w:numId w:val="4"/>
      </w:numPr>
      <w:tabs>
        <w:tab w:val="left" w:pos="840"/>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2"/>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4"/>
    <w:next w:val="1"/>
    <w:qFormat/>
    <w:uiPriority w:val="0"/>
    <w:pPr>
      <w:numPr>
        <w:ilvl w:val="1"/>
        <w:numId w:val="5"/>
      </w:numPr>
    </w:pPr>
    <w:rPr>
      <w:rFonts w:ascii="Times New Roman" w:eastAsia="宋体"/>
      <w:i/>
      <w:sz w:val="36"/>
      <w:szCs w:val="36"/>
      <w:lang w:val="en-US"/>
    </w:rPr>
  </w:style>
  <w:style w:type="paragraph" w:customStyle="1" w:styleId="451">
    <w:name w:val="小节"/>
    <w:basedOn w:val="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7"/>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0" w:beforeLines="0" w:after="0" w:afterLines="0"/>
      <w:ind w:left="1680"/>
      <w:outlineLvl w:val="2"/>
    </w:pPr>
  </w:style>
  <w:style w:type="paragraph" w:customStyle="1" w:styleId="467">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styleId="503">
    <w:name w:val="List Paragraph"/>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2"/>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3"/>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0"/>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3"/>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2"/>
    <w:next w:val="422"/>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1"/>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字符"/>
    <w:link w:val="37"/>
    <w:qFormat/>
    <w:locked/>
    <w:uiPriority w:val="99"/>
    <w:rPr>
      <w:kern w:val="2"/>
      <w:sz w:val="18"/>
      <w:szCs w:val="18"/>
    </w:rPr>
  </w:style>
  <w:style w:type="character" w:customStyle="1" w:styleId="631">
    <w:name w:val="页眉 字符"/>
    <w:link w:val="38"/>
    <w:qFormat/>
    <w:uiPriority w:val="99"/>
    <w:rPr>
      <w:kern w:val="2"/>
      <w:sz w:val="18"/>
      <w:szCs w:val="18"/>
    </w:rPr>
  </w:style>
  <w:style w:type="paragraph" w:customStyle="1" w:styleId="632">
    <w:name w:val="封面第一行"/>
    <w:basedOn w:val="1"/>
    <w:qFormat/>
    <w:uiPriority w:val="0"/>
    <w:pPr>
      <w:spacing w:line="360" w:lineRule="auto"/>
      <w:jc w:val="center"/>
    </w:pPr>
    <w:rPr>
      <w:rFonts w:ascii="黑体" w:hAnsi="宋体" w:eastAsia="黑体" w:cs="宋体"/>
      <w:sz w:val="56"/>
      <w:szCs w:val="20"/>
    </w:rPr>
  </w:style>
  <w:style w:type="paragraph" w:customStyle="1" w:styleId="633">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4">
    <w:name w:val="NormalCharacter"/>
    <w:semiHidden/>
    <w:qFormat/>
    <w:uiPriority w:val="0"/>
  </w:style>
  <w:style w:type="paragraph" w:customStyle="1" w:styleId="635">
    <w:name w:val="BodyText1I2"/>
    <w:basedOn w:val="636"/>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qFormat/>
    <w:uiPriority w:val="0"/>
    <w:pPr>
      <w:spacing w:after="120"/>
      <w:ind w:left="420" w:leftChars="200"/>
    </w:pPr>
  </w:style>
  <w:style w:type="paragraph" w:customStyle="1" w:styleId="637">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46</Pages>
  <Words>393</Words>
  <Characters>466</Characters>
  <Lines>157</Lines>
  <Paragraphs>44</Paragraphs>
  <TotalTime>0</TotalTime>
  <ScaleCrop>false</ScaleCrop>
  <LinksUpToDate>false</LinksUpToDate>
  <CharactersWithSpaces>514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2022-06-25T05:36:00Z</dcterms:created>
  <dc:creator>玥</dc:creator>
  <cp:lastModifiedBy>浙江筑脸全过程工程咨询有限公司</cp:lastModifiedBy>
  <cp:lastPrinted>2021-04-01T06:48:00Z</cp:lastPrinted>
  <dcterms:modified xsi:type="dcterms:W3CDTF">2025-06-20T02:26:56Z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DF7780116AFB4989A7D19C347954C1D5</vt:lpwstr>
  </property>
  <property fmtid="{D5CDD505-2E9C-101B-9397-08002B2CF9AE}" pid="4" name="KSOTemplateDocerSaveRecord">
    <vt:lpwstr>eyJoZGlkIjoiZDA3ZDQwMmNiOWFlYzZjYTcwOWJiZGQ0YTA5ODBmZGUifQ==</vt:lpwstr>
  </property>
</Properties>
</file>