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F5054">
      <w:pPr>
        <w:spacing w:line="360" w:lineRule="auto"/>
        <w:jc w:val="center"/>
        <w:rPr>
          <w:rFonts w:hint="eastAsia" w:ascii="宋体" w:hAnsi="宋体" w:cs="宋体"/>
          <w:b/>
          <w:color w:val="auto"/>
          <w:sz w:val="24"/>
          <w:highlight w:val="none"/>
        </w:rPr>
      </w:pPr>
    </w:p>
    <w:p w14:paraId="7DAE5A3B">
      <w:pPr>
        <w:spacing w:line="360" w:lineRule="auto"/>
        <w:jc w:val="center"/>
        <w:rPr>
          <w:rFonts w:hint="eastAsia" w:ascii="宋体" w:hAnsi="宋体" w:cs="宋体"/>
          <w:b/>
          <w:color w:val="auto"/>
          <w:sz w:val="24"/>
          <w:highlight w:val="none"/>
        </w:rPr>
      </w:pPr>
    </w:p>
    <w:p w14:paraId="05A08422">
      <w:pPr>
        <w:adjustRightInd/>
        <w:spacing w:line="360" w:lineRule="auto"/>
        <w:jc w:val="center"/>
        <w:rPr>
          <w:rFonts w:hint="eastAsia" w:ascii="宋体" w:hAnsi="宋体" w:cs="宋体"/>
          <w:b/>
          <w:color w:val="auto"/>
          <w:sz w:val="44"/>
          <w:szCs w:val="44"/>
          <w:highlight w:val="none"/>
        </w:rPr>
      </w:pPr>
    </w:p>
    <w:p w14:paraId="70E3459B">
      <w:pPr>
        <w:spacing w:line="360" w:lineRule="auto"/>
        <w:jc w:val="center"/>
        <w:rPr>
          <w:rFonts w:hint="eastAsia" w:ascii="宋体" w:hAnsi="宋体" w:cs="宋体"/>
          <w:b/>
          <w:color w:val="auto"/>
          <w:sz w:val="44"/>
          <w:szCs w:val="44"/>
          <w:highlight w:val="none"/>
        </w:rPr>
      </w:pPr>
      <w:r>
        <w:rPr>
          <w:rFonts w:hint="eastAsia" w:ascii="宋体" w:hAnsi="宋体" w:cs="宋体"/>
          <w:color w:val="auto"/>
          <w:kern w:val="0"/>
          <w:sz w:val="44"/>
          <w:szCs w:val="44"/>
          <w:highlight w:val="none"/>
        </w:rPr>
        <w:drawing>
          <wp:inline distT="0" distB="0" distL="114300" distR="114300">
            <wp:extent cx="1575435" cy="1575435"/>
            <wp:effectExtent l="0" t="0" r="9525" b="9525"/>
            <wp:docPr id="1"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
                    <pic:cNvPicPr>
                      <a:picLocks noChangeAspect="1"/>
                    </pic:cNvPicPr>
                  </pic:nvPicPr>
                  <pic:blipFill>
                    <a:blip r:embed="rId26"/>
                    <a:stretch>
                      <a:fillRect/>
                    </a:stretch>
                  </pic:blipFill>
                  <pic:spPr>
                    <a:xfrm>
                      <a:off x="0" y="0"/>
                      <a:ext cx="1575435" cy="1575435"/>
                    </a:xfrm>
                    <a:prstGeom prst="rect">
                      <a:avLst/>
                    </a:prstGeom>
                    <a:noFill/>
                    <a:ln>
                      <a:noFill/>
                    </a:ln>
                  </pic:spPr>
                </pic:pic>
              </a:graphicData>
            </a:graphic>
          </wp:inline>
        </w:drawing>
      </w:r>
    </w:p>
    <w:p w14:paraId="3DB2C170">
      <w:pPr>
        <w:adjustRightInd/>
        <w:spacing w:line="360" w:lineRule="auto"/>
        <w:jc w:val="center"/>
        <w:rPr>
          <w:rFonts w:hint="eastAsia" w:ascii="宋体" w:hAnsi="宋体" w:cs="宋体"/>
          <w:b/>
          <w:color w:val="auto"/>
          <w:sz w:val="48"/>
          <w:szCs w:val="48"/>
          <w:highlight w:val="none"/>
        </w:rPr>
      </w:pPr>
    </w:p>
    <w:p w14:paraId="674F37C5">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杭州市旅游职业学校葵巷校区智慧教室建设</w:t>
      </w:r>
    </w:p>
    <w:p w14:paraId="58000AB2">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7CDDB48">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DD27BE0">
      <w:pPr>
        <w:snapToGrid w:val="0"/>
        <w:spacing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编号:HLZ-2025-014</w:t>
      </w:r>
    </w:p>
    <w:p w14:paraId="6EE686F4">
      <w:pPr>
        <w:adjustRightInd/>
        <w:spacing w:line="360" w:lineRule="auto"/>
        <w:rPr>
          <w:rFonts w:hint="eastAsia" w:ascii="宋体" w:hAnsi="宋体" w:cs="宋体"/>
          <w:color w:val="auto"/>
          <w:sz w:val="28"/>
          <w:szCs w:val="20"/>
          <w:highlight w:val="none"/>
        </w:rPr>
      </w:pPr>
    </w:p>
    <w:p w14:paraId="0BD3EB4E">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6D673583">
      <w:pPr>
        <w:spacing w:line="360" w:lineRule="auto"/>
        <w:jc w:val="center"/>
        <w:rPr>
          <w:rFonts w:hint="eastAsia" w:ascii="宋体" w:hAnsi="宋体" w:cs="宋体"/>
          <w:color w:val="auto"/>
          <w:sz w:val="24"/>
          <w:highlight w:val="none"/>
        </w:rPr>
      </w:pPr>
    </w:p>
    <w:p w14:paraId="352208B2">
      <w:pPr>
        <w:spacing w:line="360" w:lineRule="auto"/>
        <w:rPr>
          <w:rFonts w:hint="eastAsia" w:ascii="宋体" w:hAnsi="宋体" w:cs="宋体"/>
          <w:color w:val="auto"/>
          <w:sz w:val="32"/>
          <w:szCs w:val="32"/>
          <w:highlight w:val="none"/>
        </w:rPr>
      </w:pPr>
    </w:p>
    <w:p w14:paraId="7FFE4AFE">
      <w:pPr>
        <w:snapToGrid w:val="0"/>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杭州市旅游职业学校 </w:t>
      </w:r>
    </w:p>
    <w:p w14:paraId="623050F7">
      <w:pPr>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浙江中通通信有限公司</w:t>
      </w:r>
    </w:p>
    <w:p w14:paraId="38F65B44">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二〇二五年</w:t>
      </w:r>
      <w:r>
        <w:rPr>
          <w:rFonts w:hint="eastAsia" w:ascii="宋体" w:hAnsi="宋体" w:cs="宋体"/>
          <w:bCs/>
          <w:color w:val="auto"/>
          <w:sz w:val="32"/>
          <w:szCs w:val="32"/>
          <w:highlight w:val="none"/>
        </w:rPr>
        <w:t>七月十二日</w:t>
      </w:r>
    </w:p>
    <w:p w14:paraId="74548DD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F9C2E21">
      <w:pPr>
        <w:spacing w:line="360" w:lineRule="auto"/>
        <w:jc w:val="center"/>
        <w:rPr>
          <w:rFonts w:hint="eastAsia" w:ascii="宋体" w:hAnsi="宋体" w:cs="宋体"/>
          <w:color w:val="auto"/>
          <w:sz w:val="24"/>
          <w:highlight w:val="none"/>
        </w:rPr>
      </w:pPr>
    </w:p>
    <w:p w14:paraId="6B8A5152">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489A9BD0">
      <w:pPr>
        <w:spacing w:line="360" w:lineRule="auto"/>
        <w:rPr>
          <w:rFonts w:hint="eastAsia" w:ascii="宋体" w:hAnsi="宋体" w:cs="宋体"/>
          <w:color w:val="auto"/>
          <w:sz w:val="32"/>
          <w:szCs w:val="32"/>
          <w:highlight w:val="none"/>
        </w:rPr>
      </w:pPr>
    </w:p>
    <w:p w14:paraId="39310043">
      <w:pPr>
        <w:spacing w:line="360" w:lineRule="auto"/>
        <w:rPr>
          <w:rFonts w:hint="eastAsia" w:ascii="宋体" w:hAnsi="宋体" w:cs="宋体"/>
          <w:color w:val="auto"/>
          <w:sz w:val="32"/>
          <w:szCs w:val="32"/>
          <w:highlight w:val="none"/>
        </w:rPr>
      </w:pPr>
    </w:p>
    <w:p w14:paraId="3E1E250B">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1E1D4E6">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05F3E80">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36CAFA1">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C804E4A">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65806D2">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96C02C7">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33190393">
      <w:pPr>
        <w:spacing w:line="360" w:lineRule="auto"/>
        <w:ind w:firstLine="549" w:firstLineChars="229"/>
        <w:rPr>
          <w:rFonts w:hint="eastAsia" w:ascii="宋体" w:hAnsi="宋体" w:cs="宋体"/>
          <w:color w:val="auto"/>
          <w:sz w:val="24"/>
          <w:highlight w:val="none"/>
        </w:rPr>
      </w:pPr>
    </w:p>
    <w:p w14:paraId="62671EFF">
      <w:pPr>
        <w:spacing w:line="360" w:lineRule="auto"/>
        <w:ind w:firstLine="549" w:firstLineChars="229"/>
        <w:rPr>
          <w:rFonts w:hint="eastAsia" w:ascii="宋体" w:hAnsi="宋体" w:cs="宋体"/>
          <w:color w:val="auto"/>
          <w:sz w:val="24"/>
          <w:highlight w:val="none"/>
        </w:rPr>
      </w:pPr>
    </w:p>
    <w:p w14:paraId="73672AC6">
      <w:pPr>
        <w:spacing w:line="360" w:lineRule="auto"/>
        <w:ind w:firstLine="549" w:firstLineChars="229"/>
        <w:rPr>
          <w:rFonts w:hint="eastAsia" w:ascii="宋体" w:hAnsi="宋体" w:cs="宋体"/>
          <w:color w:val="auto"/>
          <w:sz w:val="24"/>
          <w:highlight w:val="none"/>
        </w:rPr>
      </w:pPr>
    </w:p>
    <w:p w14:paraId="075E3567">
      <w:pPr>
        <w:spacing w:line="360" w:lineRule="auto"/>
        <w:ind w:firstLine="549" w:firstLineChars="229"/>
        <w:rPr>
          <w:rFonts w:hint="eastAsia" w:ascii="宋体" w:hAnsi="宋体" w:cs="宋体"/>
          <w:color w:val="auto"/>
          <w:sz w:val="24"/>
          <w:highlight w:val="none"/>
        </w:rPr>
      </w:pPr>
    </w:p>
    <w:p w14:paraId="00CAD937">
      <w:pPr>
        <w:spacing w:line="360" w:lineRule="auto"/>
        <w:ind w:firstLine="549" w:firstLineChars="229"/>
        <w:rPr>
          <w:rFonts w:hint="eastAsia" w:ascii="宋体" w:hAnsi="宋体" w:cs="宋体"/>
          <w:color w:val="auto"/>
          <w:sz w:val="24"/>
          <w:highlight w:val="none"/>
        </w:rPr>
      </w:pPr>
    </w:p>
    <w:p w14:paraId="3E95B8A5">
      <w:pPr>
        <w:spacing w:line="360" w:lineRule="auto"/>
        <w:ind w:firstLine="549" w:firstLineChars="229"/>
        <w:rPr>
          <w:rFonts w:hint="eastAsia" w:ascii="宋体" w:hAnsi="宋体" w:cs="宋体"/>
          <w:color w:val="auto"/>
          <w:sz w:val="24"/>
          <w:highlight w:val="none"/>
        </w:rPr>
      </w:pPr>
    </w:p>
    <w:p w14:paraId="50070A86">
      <w:pPr>
        <w:spacing w:line="360" w:lineRule="auto"/>
        <w:ind w:firstLine="549" w:firstLineChars="229"/>
        <w:rPr>
          <w:rFonts w:hint="eastAsia" w:ascii="宋体" w:hAnsi="宋体" w:cs="宋体"/>
          <w:color w:val="auto"/>
          <w:sz w:val="24"/>
          <w:highlight w:val="none"/>
        </w:rPr>
      </w:pPr>
    </w:p>
    <w:p w14:paraId="74012B10">
      <w:pPr>
        <w:spacing w:line="360" w:lineRule="auto"/>
        <w:ind w:firstLine="549" w:firstLineChars="229"/>
        <w:rPr>
          <w:rFonts w:hint="eastAsia" w:ascii="宋体" w:hAnsi="宋体" w:cs="宋体"/>
          <w:color w:val="auto"/>
          <w:sz w:val="24"/>
          <w:highlight w:val="none"/>
        </w:rPr>
      </w:pPr>
    </w:p>
    <w:p w14:paraId="7897C8E2">
      <w:pPr>
        <w:spacing w:line="360" w:lineRule="auto"/>
        <w:ind w:firstLine="549" w:firstLineChars="229"/>
        <w:rPr>
          <w:rFonts w:hint="eastAsia" w:ascii="宋体" w:hAnsi="宋体" w:cs="宋体"/>
          <w:color w:val="auto"/>
          <w:sz w:val="24"/>
          <w:highlight w:val="none"/>
        </w:rPr>
      </w:pPr>
    </w:p>
    <w:p w14:paraId="1C9D0826">
      <w:pPr>
        <w:spacing w:line="360" w:lineRule="auto"/>
        <w:ind w:firstLine="549" w:firstLineChars="229"/>
        <w:rPr>
          <w:rFonts w:hint="eastAsia" w:ascii="宋体" w:hAnsi="宋体" w:cs="宋体"/>
          <w:color w:val="auto"/>
          <w:sz w:val="24"/>
          <w:highlight w:val="none"/>
        </w:rPr>
      </w:pPr>
    </w:p>
    <w:p w14:paraId="24943F00">
      <w:pPr>
        <w:spacing w:line="360" w:lineRule="auto"/>
        <w:ind w:firstLine="549" w:firstLineChars="229"/>
        <w:rPr>
          <w:rFonts w:hint="eastAsia" w:ascii="宋体" w:hAnsi="宋体" w:cs="宋体"/>
          <w:color w:val="auto"/>
          <w:sz w:val="24"/>
          <w:highlight w:val="none"/>
        </w:rPr>
      </w:pPr>
    </w:p>
    <w:p w14:paraId="77D3AFFF">
      <w:pPr>
        <w:spacing w:line="360" w:lineRule="auto"/>
        <w:ind w:firstLine="549" w:firstLineChars="229"/>
        <w:rPr>
          <w:rFonts w:hint="eastAsia" w:ascii="宋体" w:hAnsi="宋体" w:cs="宋体"/>
          <w:color w:val="auto"/>
          <w:sz w:val="24"/>
          <w:highlight w:val="none"/>
        </w:rPr>
      </w:pPr>
    </w:p>
    <w:p w14:paraId="0DC7F393">
      <w:pPr>
        <w:adjustRightInd/>
        <w:spacing w:line="360" w:lineRule="auto"/>
        <w:jc w:val="center"/>
        <w:outlineLvl w:val="0"/>
        <w:rPr>
          <w:rFonts w:hint="eastAsia"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7F4AD63B">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239DDD45">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 xml:space="preserve">杭州市旅游职业学校葵巷校区智慧教室建设 </w:t>
      </w:r>
      <w:r>
        <w:rPr>
          <w:rFonts w:hint="eastAsia" w:asciiTheme="minorEastAsia" w:hAnsiTheme="minorEastAsia" w:eastAsiaTheme="minorEastAsia"/>
          <w:color w:val="auto"/>
          <w:sz w:val="24"/>
          <w:highlight w:val="none"/>
        </w:rPr>
        <w:t>采购项目的潜在供应商应在</w:t>
      </w:r>
      <w:r>
        <w:rPr>
          <w:rFonts w:hint="eastAsia" w:asciiTheme="minorEastAsia" w:hAnsiTheme="minorEastAsia" w:eastAsiaTheme="minorEastAsia"/>
          <w:color w:val="auto"/>
          <w:sz w:val="24"/>
          <w:highlight w:val="none"/>
          <w:u w:val="single"/>
        </w:rPr>
        <w:t xml:space="preserve">杭州市教育局非依法招标（小额）项目平台（https://hzjyg.lecaiyun.com） </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rPr>
        <w:t>2025年8月04日09点10分00秒</w:t>
      </w:r>
      <w:r>
        <w:rPr>
          <w:rFonts w:hint="eastAsia" w:asciiTheme="minorEastAsia" w:hAnsiTheme="minorEastAsia" w:eastAsiaTheme="minorEastAsia"/>
          <w:color w:val="auto"/>
          <w:sz w:val="24"/>
          <w:highlight w:val="none"/>
        </w:rPr>
        <w:t>（北京时间）前提交（上传）响应文件。</w:t>
      </w:r>
    </w:p>
    <w:p w14:paraId="4463AFE1">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175D3A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HLZ-2025-014</w:t>
      </w:r>
    </w:p>
    <w:p w14:paraId="4155E44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杭州市旅游职业学校葵巷校区智慧教室建设</w:t>
      </w:r>
    </w:p>
    <w:p w14:paraId="038FAFF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rPr>
        <w:t>600000</w:t>
      </w:r>
    </w:p>
    <w:p w14:paraId="664174EC">
      <w:pPr>
        <w:spacing w:line="360" w:lineRule="auto"/>
        <w:ind w:firstLine="480"/>
        <w:rPr>
          <w:rFonts w:hint="eastAsia"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rPr>
        <w:t xml:space="preserve">600000 </w:t>
      </w:r>
    </w:p>
    <w:p w14:paraId="5B41C99A">
      <w:pPr>
        <w:pStyle w:val="16"/>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杭州市旅游职业学校葵巷校区智慧教室建设，</w:t>
      </w:r>
      <w:r>
        <w:rPr>
          <w:rFonts w:hint="eastAsia" w:hAnsi="宋体" w:cs="宋体"/>
          <w:bCs/>
          <w:snapToGrid/>
          <w:color w:val="auto"/>
          <w:kern w:val="2"/>
          <w:sz w:val="24"/>
          <w:szCs w:val="24"/>
          <w:highlight w:val="none"/>
        </w:rPr>
        <w:t>主要内容包括智能录播系统、互动教学系统，教学行为AI大数据人工智能分析系统等。</w:t>
      </w:r>
      <w:r>
        <w:rPr>
          <w:rFonts w:hint="eastAsia" w:asciiTheme="minorEastAsia" w:hAnsiTheme="minorEastAsia" w:eastAsiaTheme="minorEastAsia"/>
          <w:snapToGrid/>
          <w:color w:val="auto"/>
          <w:kern w:val="2"/>
          <w:sz w:val="24"/>
          <w:szCs w:val="24"/>
          <w:highlight w:val="none"/>
        </w:rPr>
        <w:t>具体以招标文件第三部分采购需求为准。</w:t>
      </w:r>
    </w:p>
    <w:p w14:paraId="510EBA74">
      <w:pPr>
        <w:pStyle w:val="134"/>
        <w:ind w:firstLine="482"/>
        <w:outlineLvl w:val="2"/>
        <w:rPr>
          <w:rFonts w:hint="eastAsia" w:ascii="宋体" w:hAnsi="宋体" w:cs="宋体"/>
          <w:bCs/>
          <w:color w:val="auto"/>
          <w:highlight w:val="none"/>
        </w:rPr>
      </w:pPr>
      <w:r>
        <w:rPr>
          <w:rFonts w:hint="eastAsia" w:ascii="宋体" w:hAnsi="宋体" w:cs="宋体"/>
          <w:b/>
          <w:color w:val="auto"/>
          <w:highlight w:val="none"/>
        </w:rPr>
        <w:t>合同履约期限：</w:t>
      </w:r>
      <w:r>
        <w:rPr>
          <w:rFonts w:hint="eastAsia" w:ascii="宋体" w:hAnsi="宋体" w:cs="宋体"/>
          <w:bCs/>
          <w:color w:val="auto"/>
          <w:highlight w:val="none"/>
        </w:rPr>
        <w:t>合同签订接校方开工通知后25天内完成安装调试。试运行后完成验收。地点由采购人指定。</w:t>
      </w:r>
    </w:p>
    <w:p w14:paraId="43F20924">
      <w:pPr>
        <w:pStyle w:val="16"/>
        <w:spacing w:line="360" w:lineRule="auto"/>
        <w:ind w:firstLine="480"/>
        <w:rPr>
          <w:rFonts w:hint="eastAsia"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B29313F">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59FFA480">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F9F0325">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2.落实政府采购政策需满足的资格要求：</w:t>
      </w:r>
    </w:p>
    <w:p w14:paraId="6C201491">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4C79E10F">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95714562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526CE6F">
      <w:pPr>
        <w:spacing w:line="360" w:lineRule="auto"/>
        <w:ind w:firstLine="897" w:firstLineChars="374"/>
        <w:rPr>
          <w:rFonts w:hint="eastAsia" w:ascii="宋体" w:hAnsi="宋体" w:cs="宋体"/>
          <w:color w:val="auto"/>
          <w:sz w:val="24"/>
          <w:highlight w:val="none"/>
          <w:u w:val="single"/>
        </w:rPr>
      </w:pPr>
      <w:sdt>
        <w:sdtPr>
          <w:rPr>
            <w:rFonts w:hint="eastAsia" w:ascii="宋体" w:hAnsi="宋体" w:cs="宋体"/>
            <w:color w:val="auto"/>
            <w:kern w:val="0"/>
            <w:sz w:val="24"/>
            <w:highlight w:val="none"/>
          </w:rPr>
          <w:id w:val="35430367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sz w:val="24"/>
          <w:highlight w:val="none"/>
        </w:rPr>
        <w:t>货物全部由符合政策要求的中小企业制造，提供中小企业声明函；</w:t>
      </w:r>
    </w:p>
    <w:p w14:paraId="6687E698">
      <w:pPr>
        <w:spacing w:line="360" w:lineRule="auto"/>
        <w:ind w:firstLine="897" w:firstLineChars="374"/>
        <w:rPr>
          <w:rFonts w:hint="eastAsia" w:ascii="宋体" w:hAnsi="宋体" w:cs="宋体"/>
          <w:color w:val="auto"/>
          <w:sz w:val="24"/>
          <w:highlight w:val="none"/>
        </w:rPr>
      </w:pPr>
      <w:sdt>
        <w:sdtPr>
          <w:rPr>
            <w:rFonts w:hint="eastAsia" w:ascii="宋体" w:hAnsi="宋体" w:cs="宋体"/>
            <w:color w:val="auto"/>
            <w:kern w:val="0"/>
            <w:sz w:val="24"/>
            <w:highlight w:val="none"/>
          </w:rPr>
          <w:id w:val="31349175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4C0D77A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3.本项目的特定资格要求：</w:t>
      </w:r>
      <w:r>
        <w:rPr>
          <w:rFonts w:hint="eastAsia" w:ascii="宋体" w:hAnsi="宋体" w:cs="宋体"/>
          <w:color w:val="auto"/>
          <w:kern w:val="0"/>
          <w:sz w:val="24"/>
          <w:highlight w:val="none"/>
        </w:rPr>
        <w:t>无。</w:t>
      </w:r>
    </w:p>
    <w:p w14:paraId="6DA40C3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CA6C74">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1126F1D">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u w:val="single"/>
        </w:rPr>
        <w:t>2025年07月12日</w:t>
      </w:r>
      <w:r>
        <w:rPr>
          <w:rFonts w:hint="eastAsia" w:ascii="宋体" w:hAnsi="宋体" w:cs="宋体"/>
          <w:color w:val="auto"/>
          <w:sz w:val="24"/>
          <w:highlight w:val="none"/>
        </w:rPr>
        <w:t>至</w:t>
      </w:r>
      <w:r>
        <w:rPr>
          <w:rFonts w:hint="eastAsia" w:ascii="宋体" w:hAnsi="宋体" w:cs="宋体"/>
          <w:color w:val="auto"/>
          <w:sz w:val="24"/>
          <w:highlight w:val="none"/>
          <w:u w:val="single"/>
        </w:rPr>
        <w:t>2025年08月04日</w:t>
      </w:r>
      <w:r>
        <w:rPr>
          <w:rFonts w:hint="eastAsia" w:ascii="宋体" w:hAnsi="宋体" w:cs="宋体"/>
          <w:color w:val="auto"/>
          <w:sz w:val="24"/>
          <w:highlight w:val="none"/>
        </w:rPr>
        <w:t>，</w:t>
      </w:r>
      <w:r>
        <w:rPr>
          <w:rFonts w:hint="eastAsia" w:ascii="宋体" w:hAnsi="宋体" w:cs="宋体"/>
          <w:color w:val="auto"/>
          <w:sz w:val="24"/>
          <w:highlight w:val="none"/>
        </w:rPr>
        <w:t>（北京时间，线上获取法定节假日均可，线下获取文件法定节假日除外）</w:t>
      </w:r>
    </w:p>
    <w:p w14:paraId="706CD969">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杭州市教育局非依法招标（小额）项目平台（https://hzjyg.lecaiyun.com） </w:t>
      </w:r>
    </w:p>
    <w:p w14:paraId="22C9124E">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供应商登录杭州市教育局非依法招标（小额）项目平台（https://hzjyg.lecaiyun.com） 在线申请获取采购文件（进入“项目采购”应用，在获取采购文件菜单中选择项目，申请获取采购文件）。 </w:t>
      </w:r>
    </w:p>
    <w:p w14:paraId="08918975">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48C6DE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0240387">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2025年8月04日09点10分00秒</w:t>
      </w:r>
      <w:r>
        <w:rPr>
          <w:rFonts w:hint="eastAsia" w:ascii="宋体" w:hAnsi="宋体" w:cs="宋体"/>
          <w:color w:val="auto"/>
          <w:sz w:val="24"/>
          <w:highlight w:val="none"/>
        </w:rPr>
        <w:t>（北京时间）</w:t>
      </w:r>
    </w:p>
    <w:p w14:paraId="13933AAA">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杭州市教育局非依法招标（小额）项目平台（https://hzjyg.lecaiyun.com） </w:t>
      </w:r>
    </w:p>
    <w:p w14:paraId="581157A2">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 xml:space="preserve"> 2025年8月04日09点10分00秒</w:t>
      </w:r>
    </w:p>
    <w:p w14:paraId="6659827D">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杭州市教育局非依法招标（小额）项目平台（https://hzjyg.lecaiyun.com）</w:t>
      </w:r>
    </w:p>
    <w:p w14:paraId="11469AEF">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1A44348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1AE1381B">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六、电子招投标说明:</w:t>
      </w:r>
    </w:p>
    <w:p w14:paraId="05EFFFE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电子招投标：本项目以数据电文形式，依托“乐采云平台（https://hzjyg.lecaiyun.com）”进行招投标活动，不接受纸质投标文件；②投标准备：注册账号--点击“商家入驻”，进行采购供应商资料填写；申领CA数字证书---申领流程详见“浙江政府采购网-下载专区-电子交易客户端-CA驱动和申领流程”；安装“乐采云电子交易客户端”----前往“浙江政府采购网-下载专区-电子交易客户端”进行下载并安装；③招标文件的获取：使用账号登录或者使用CA登录杭州市教育局非依法招标（小额）项目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杭州市教育局非依法招标（小额）项目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供应商在投标截止时间前将加密的投标文件上传至乐采云平台，还可以在投标截止时间前直接提交或者以邮政快递方式递交备份投标文件1份。备份投标文件的制作、存储、密封详见招标文件第二章第17点—“备份响应文件”；⑨投标文件的解密：投标供应商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供应商仅提交备份投标文件，没有在电子交易平台传输递交投标文件的，投标无效；⑩具体操作指南：详见杭州市教育局非依法招标（小额）项目平台“服务中心-帮助文档-项目采购-操作流程-电子招投标-采购项目电子交易管理操作指南-供应商”。</w:t>
      </w:r>
    </w:p>
    <w:p w14:paraId="1FF02CAE">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18E787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1.采购人信息</w:t>
      </w:r>
    </w:p>
    <w:p w14:paraId="66CFA58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称：杭州市旅游职业学校  </w:t>
      </w:r>
    </w:p>
    <w:p w14:paraId="76B055D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址：杭州市滨江区滨兴路209号       </w:t>
      </w:r>
    </w:p>
    <w:p w14:paraId="2AD3E7F3">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 /</w:t>
      </w:r>
    </w:p>
    <w:p w14:paraId="2913E5BD">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项目联系人（询问）：谢老师  </w:t>
      </w:r>
    </w:p>
    <w:p w14:paraId="052071A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项目联系方式（询问）：0571- 86625289</w:t>
      </w:r>
    </w:p>
    <w:p w14:paraId="748B88B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质疑联系人：郭老师 </w:t>
      </w:r>
    </w:p>
    <w:p w14:paraId="2C73466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质疑联系方式：0571-86625303</w:t>
      </w:r>
    </w:p>
    <w:p w14:paraId="0201B0C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2747930">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称：浙江中通通信有限公司</w:t>
      </w:r>
    </w:p>
    <w:p w14:paraId="5ABEB33D">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址：杭州市拱墅区河东路215号</w:t>
      </w:r>
    </w:p>
    <w:p w14:paraId="4CF3C89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 </w:t>
      </w:r>
    </w:p>
    <w:p w14:paraId="71E4C39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项目联系人（询问）：干祥平 </w:t>
      </w:r>
    </w:p>
    <w:p w14:paraId="2CB4E50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项目联系方式（询问）：15068155620 </w:t>
      </w:r>
    </w:p>
    <w:p w14:paraId="0824AAF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质疑联系人：杨玲华 </w:t>
      </w:r>
    </w:p>
    <w:p w14:paraId="26BE3253">
      <w:pPr>
        <w:spacing w:line="360" w:lineRule="auto"/>
        <w:rPr>
          <w:rFonts w:hint="eastAsia" w:hAnsi="宋体" w:cs="宋体"/>
          <w:b/>
          <w:color w:val="auto"/>
          <w:sz w:val="36"/>
          <w:szCs w:val="20"/>
          <w:highlight w:val="none"/>
        </w:rPr>
      </w:pPr>
      <w:r>
        <w:rPr>
          <w:rFonts w:hint="eastAsia" w:ascii="宋体" w:hAnsi="宋体" w:cs="宋体"/>
          <w:color w:val="auto"/>
          <w:sz w:val="24"/>
          <w:highlight w:val="none"/>
        </w:rPr>
        <w:t xml:space="preserve">    质疑联系方式：13386521846</w:t>
      </w: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7128F987">
      <w:pPr>
        <w:adjustRightInd/>
        <w:spacing w:line="360" w:lineRule="auto"/>
        <w:jc w:val="center"/>
        <w:outlineLvl w:val="0"/>
        <w:rPr>
          <w:rFonts w:hint="eastAsia" w:ascii="宋体" w:hAnsi="宋体" w:cs="宋体"/>
          <w:b/>
          <w:color w:val="auto"/>
          <w:sz w:val="36"/>
          <w:szCs w:val="20"/>
          <w:highlight w:val="none"/>
        </w:rPr>
        <w:sectPr>
          <w:headerReference r:id="rId4" w:type="first"/>
          <w:footerReference r:id="rId7" w:type="first"/>
          <w:headerReference r:id="rId3" w:type="default"/>
          <w:footerReference r:id="rId5" w:type="default"/>
          <w:footerReference r:id="rId6" w:type="even"/>
          <w:pgSz w:w="11906" w:h="16838"/>
          <w:pgMar w:top="1417" w:right="1248" w:bottom="1417" w:left="1418" w:header="851" w:footer="992" w:gutter="0"/>
          <w:cols w:space="720" w:num="1"/>
          <w:titlePg/>
          <w:docGrid w:linePitch="312" w:charSpace="0"/>
        </w:sectPr>
      </w:pPr>
    </w:p>
    <w:p w14:paraId="7AE15874">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600F2F9">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4F72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7ECAE5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B31F6AD">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B9B7672">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5EA89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006F6482">
            <w:pPr>
              <w:snapToGrid w:val="0"/>
              <w:spacing w:line="360" w:lineRule="auto"/>
              <w:jc w:val="center"/>
              <w:rPr>
                <w:rFonts w:hint="eastAsia" w:ascii="宋体" w:hAnsi="宋体" w:cs="宋体"/>
                <w:color w:val="auto"/>
                <w:sz w:val="24"/>
                <w:highlight w:val="none"/>
              </w:rPr>
            </w:pPr>
          </w:p>
          <w:p w14:paraId="350B682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7DE185F">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7F95BB0">
            <w:pPr>
              <w:spacing w:line="360" w:lineRule="auto"/>
              <w:rPr>
                <w:rFonts w:hint="eastAsia"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智慧教育录播主机  </w:t>
            </w:r>
            <w:r>
              <w:rPr>
                <w:rFonts w:hint="eastAsia" w:ascii="宋体" w:hAnsi="宋体" w:cs="宋体"/>
                <w:color w:val="auto"/>
                <w:sz w:val="24"/>
                <w:highlight w:val="none"/>
              </w:rPr>
              <w:t>。</w:t>
            </w:r>
          </w:p>
          <w:p w14:paraId="2F38B51D">
            <w:pPr>
              <w:spacing w:line="360" w:lineRule="auto"/>
              <w:rPr>
                <w:rFonts w:hint="eastAsia" w:ascii="宋体" w:hAnsi="宋体" w:cs="宋体"/>
                <w:color w:val="auto"/>
                <w:sz w:val="24"/>
                <w:highlight w:val="none"/>
              </w:rPr>
            </w:pPr>
          </w:p>
        </w:tc>
      </w:tr>
      <w:tr w14:paraId="1B5C6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4B8B0B0">
            <w:pPr>
              <w:snapToGrid w:val="0"/>
              <w:spacing w:line="360" w:lineRule="auto"/>
              <w:jc w:val="center"/>
              <w:rPr>
                <w:rFonts w:hint="eastAsia" w:ascii="宋体" w:hAnsi="宋体" w:cs="宋体"/>
                <w:color w:val="auto"/>
                <w:sz w:val="24"/>
                <w:highlight w:val="none"/>
              </w:rPr>
            </w:pPr>
          </w:p>
          <w:p w14:paraId="308E231E">
            <w:pPr>
              <w:snapToGrid w:val="0"/>
              <w:spacing w:line="360" w:lineRule="auto"/>
              <w:jc w:val="center"/>
              <w:rPr>
                <w:rFonts w:hint="eastAsia" w:ascii="宋体" w:hAnsi="宋体" w:cs="宋体"/>
                <w:color w:val="auto"/>
                <w:sz w:val="24"/>
                <w:highlight w:val="none"/>
              </w:rPr>
            </w:pPr>
          </w:p>
          <w:p w14:paraId="5C072986">
            <w:pPr>
              <w:snapToGrid w:val="0"/>
              <w:spacing w:line="360" w:lineRule="auto"/>
              <w:jc w:val="center"/>
              <w:rPr>
                <w:rFonts w:hint="eastAsia" w:ascii="宋体" w:hAnsi="宋体" w:cs="宋体"/>
                <w:color w:val="auto"/>
                <w:sz w:val="24"/>
                <w:highlight w:val="none"/>
              </w:rPr>
            </w:pPr>
          </w:p>
          <w:p w14:paraId="5A84F2F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6CA49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330CDE5">
            <w:pPr>
              <w:numPr>
                <w:ilvl w:val="0"/>
                <w:numId w:val="1"/>
              </w:num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杭州市旅游职业学校葵巷校区智慧教室建设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工业  </w:t>
            </w:r>
            <w:r>
              <w:rPr>
                <w:rFonts w:hint="eastAsia" w:ascii="宋体" w:hAnsi="宋体" w:cs="宋体"/>
                <w:color w:val="auto"/>
                <w:kern w:val="0"/>
                <w:sz w:val="24"/>
                <w:highlight w:val="none"/>
              </w:rPr>
              <w:t>行业；</w:t>
            </w:r>
          </w:p>
          <w:p w14:paraId="1994D902">
            <w:pPr>
              <w:pStyle w:val="4"/>
              <w:ind w:left="0" w:firstLine="0"/>
              <w:rPr>
                <w:rFonts w:hint="eastAsia" w:ascii="宋体" w:hAnsi="宋体" w:cs="宋体"/>
                <w:color w:val="auto"/>
                <w:highlight w:val="none"/>
                <w:lang w:val="en-US"/>
              </w:rPr>
            </w:pPr>
            <w:r>
              <w:rPr>
                <w:rFonts w:hint="eastAsia" w:ascii="宋体" w:hAnsi="宋体" w:eastAsia="宋体" w:cs="宋体"/>
                <w:b w:val="0"/>
                <w:bCs w:val="0"/>
                <w:color w:val="auto"/>
                <w:kern w:val="0"/>
                <w:sz w:val="24"/>
                <w:szCs w:val="24"/>
                <w:highlight w:val="none"/>
                <w:lang w:val="en-US"/>
              </w:rPr>
              <w:t>根据《关于印发中小企业划型标准规定的通知》（工信部联企业〔2011〕300号）第四条规定：</w:t>
            </w:r>
            <w:r>
              <w:rPr>
                <w:rFonts w:hint="eastAsia" w:ascii="宋体" w:hAnsi="宋体" w:eastAsia="宋体" w:cs="宋体"/>
                <w:b w:val="0"/>
                <w:bCs w:val="0"/>
                <w:color w:val="auto"/>
                <w:kern w:val="0"/>
                <w:sz w:val="24"/>
                <w:szCs w:val="24"/>
                <w:highlight w:val="none"/>
                <w:u w:val="single"/>
                <w:lang w:val="en-US"/>
              </w:rPr>
              <w:t>工业</w:t>
            </w:r>
            <w:r>
              <w:rPr>
                <w:rFonts w:hint="eastAsia" w:ascii="宋体" w:hAnsi="宋体" w:eastAsia="宋体" w:cs="宋体"/>
                <w:b w:val="0"/>
                <w:bCs w:val="0"/>
                <w:color w:val="auto"/>
                <w:kern w:val="0"/>
                <w:sz w:val="24"/>
                <w:szCs w:val="24"/>
                <w:highlight w:val="none"/>
                <w:lang w:val="en-US"/>
              </w:rPr>
              <w:t>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15B2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3" w:hRule="atLeast"/>
          <w:tblHeader/>
        </w:trPr>
        <w:tc>
          <w:tcPr>
            <w:tcW w:w="629" w:type="dxa"/>
            <w:tcBorders>
              <w:top w:val="single" w:color="auto" w:sz="4" w:space="0"/>
              <w:left w:val="single" w:color="auto" w:sz="4" w:space="0"/>
              <w:bottom w:val="single" w:color="auto" w:sz="4" w:space="0"/>
              <w:right w:val="single" w:color="auto" w:sz="4" w:space="0"/>
            </w:tcBorders>
          </w:tcPr>
          <w:p w14:paraId="34F8B664">
            <w:pPr>
              <w:snapToGrid w:val="0"/>
              <w:spacing w:line="360" w:lineRule="auto"/>
              <w:jc w:val="center"/>
              <w:rPr>
                <w:rFonts w:hint="eastAsia" w:ascii="宋体" w:hAnsi="宋体" w:cs="宋体"/>
                <w:color w:val="auto"/>
                <w:sz w:val="24"/>
                <w:highlight w:val="none"/>
              </w:rPr>
            </w:pPr>
          </w:p>
          <w:p w14:paraId="20C143AE">
            <w:pPr>
              <w:snapToGrid w:val="0"/>
              <w:spacing w:line="360" w:lineRule="auto"/>
              <w:jc w:val="center"/>
              <w:rPr>
                <w:rFonts w:hint="eastAsia" w:ascii="宋体" w:hAnsi="宋体" w:cs="宋体"/>
                <w:color w:val="auto"/>
                <w:sz w:val="24"/>
                <w:highlight w:val="none"/>
              </w:rPr>
            </w:pPr>
          </w:p>
          <w:p w14:paraId="497936F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89C547">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492E7D2">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67230354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AC14EB7">
            <w:pPr>
              <w:spacing w:line="360" w:lineRule="auto"/>
              <w:rPr>
                <w:rFonts w:hint="eastAsia" w:ascii="宋体" w:hAnsi="宋体" w:cs="宋体"/>
                <w:color w:val="auto"/>
                <w:highlight w:val="none"/>
              </w:rPr>
            </w:pPr>
            <w:sdt>
              <w:sdtPr>
                <w:rPr>
                  <w:rFonts w:hint="eastAsia" w:ascii="宋体" w:hAnsi="宋体" w:cs="宋体"/>
                  <w:color w:val="auto"/>
                  <w:kern w:val="0"/>
                  <w:sz w:val="24"/>
                  <w:highlight w:val="none"/>
                </w:rPr>
                <w:id w:val="1729059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B4B0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5876C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26992F5">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6D71B1D">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64481890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66A1F240">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2428070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cs="宋体"/>
                    <w:color w:val="auto"/>
                    <w:kern w:val="0"/>
                    <w:sz w:val="24"/>
                    <w:highlight w:val="none"/>
                  </w:rPr>
                  <w:sym w:font="Wingdings" w:char="F0FE"/>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6DA644B">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01B0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1569473">
            <w:pPr>
              <w:snapToGrid w:val="0"/>
              <w:spacing w:line="360" w:lineRule="auto"/>
              <w:jc w:val="center"/>
              <w:rPr>
                <w:rFonts w:hint="eastAsia" w:ascii="宋体" w:hAnsi="宋体" w:cs="宋体"/>
                <w:color w:val="auto"/>
                <w:sz w:val="24"/>
                <w:highlight w:val="none"/>
              </w:rPr>
            </w:pPr>
          </w:p>
          <w:p w14:paraId="0DF1FFC4">
            <w:pPr>
              <w:snapToGrid w:val="0"/>
              <w:spacing w:line="360" w:lineRule="auto"/>
              <w:jc w:val="center"/>
              <w:rPr>
                <w:rFonts w:hint="eastAsia" w:ascii="宋体" w:hAnsi="宋体" w:cs="宋体"/>
                <w:color w:val="auto"/>
                <w:sz w:val="24"/>
                <w:highlight w:val="none"/>
              </w:rPr>
            </w:pPr>
          </w:p>
          <w:p w14:paraId="6E05F3E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39B9B47">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B51780E">
            <w:pPr>
              <w:spacing w:line="360" w:lineRule="auto"/>
              <w:rPr>
                <w:color w:val="auto"/>
                <w:sz w:val="24"/>
                <w:szCs w:val="32"/>
                <w:highlight w:val="none"/>
              </w:rPr>
            </w:pPr>
            <w:sdt>
              <w:sdtPr>
                <w:rPr>
                  <w:rFonts w:hint="eastAsia"/>
                  <w:color w:val="auto"/>
                  <w:highlight w:val="none"/>
                </w:rPr>
                <w:id w:val="681833070"/>
                <w14:checkbox>
                  <w14:checked w14:val="1"/>
                  <w14:checkedState w14:val="00FE" w14:font="Wingdings"/>
                  <w14:uncheckedState w14:val="2610" w14:font="MS Gothic"/>
                </w14:checkbox>
              </w:sdtPr>
              <w:sdtEndPr>
                <w:rPr>
                  <w:rFonts w:hint="eastAsia"/>
                  <w:color w:val="auto"/>
                  <w:sz w:val="24"/>
                  <w:szCs w:val="32"/>
                  <w:highlight w:val="none"/>
                </w:rPr>
              </w:sdtEndPr>
              <w:sdtContent>
                <w:r>
                  <w:rPr>
                    <w:rFonts w:hint="eastAsia" w:ascii="Wingdings" w:hAnsi="Wingdings"/>
                    <w:color w:val="auto"/>
                    <w:sz w:val="24"/>
                    <w:szCs w:val="32"/>
                    <w:highlight w:val="none"/>
                  </w:rPr>
                  <w:t>þ</w:t>
                </w:r>
              </w:sdtContent>
            </w:sdt>
            <w:r>
              <w:rPr>
                <w:rFonts w:hint="eastAsia"/>
                <w:color w:val="auto"/>
                <w:sz w:val="24"/>
                <w:szCs w:val="32"/>
                <w:highlight w:val="none"/>
              </w:rPr>
              <w:t>A不组织。</w:t>
            </w:r>
          </w:p>
          <w:p w14:paraId="5680BDFC">
            <w:pPr>
              <w:spacing w:line="360" w:lineRule="auto"/>
              <w:rPr>
                <w:color w:val="auto"/>
                <w:sz w:val="24"/>
                <w:szCs w:val="32"/>
                <w:highlight w:val="none"/>
              </w:rPr>
            </w:pPr>
            <w:sdt>
              <w:sdtPr>
                <w:rPr>
                  <w:rFonts w:hint="eastAsia"/>
                  <w:color w:val="auto"/>
                  <w:sz w:val="24"/>
                  <w:szCs w:val="32"/>
                  <w:highlight w:val="none"/>
                </w:rPr>
                <w:id w:val="238790731"/>
                <w14:checkbox>
                  <w14:checked w14:val="0"/>
                  <w14:checkedState w14:val="00FE" w14:font="Wingdings"/>
                  <w14:uncheckedState w14:val="2610" w14:font="MS Gothic"/>
                </w14:checkbox>
              </w:sdtPr>
              <w:sdtEndPr>
                <w:rPr>
                  <w:rFonts w:hint="eastAsia"/>
                  <w:color w:val="auto"/>
                  <w:sz w:val="24"/>
                  <w:szCs w:val="32"/>
                  <w:highlight w:val="none"/>
                </w:rPr>
              </w:sdtEndPr>
              <w:sdtContent>
                <w:r>
                  <w:rPr>
                    <w:rFonts w:hint="eastAsia"/>
                    <w:color w:val="auto"/>
                    <w:sz w:val="24"/>
                    <w:szCs w:val="32"/>
                    <w:highlight w:val="none"/>
                  </w:rPr>
                  <w:t>☐</w:t>
                </w:r>
              </w:sdtContent>
            </w:sdt>
            <w:r>
              <w:rPr>
                <w:rFonts w:hint="eastAsia"/>
                <w:color w:val="auto"/>
                <w:sz w:val="24"/>
                <w:szCs w:val="32"/>
                <w:highlight w:val="none"/>
              </w:rPr>
              <w:t>B组织，时间：      ,地点：      ，联系人：      ，联系方式：      。</w:t>
            </w:r>
          </w:p>
          <w:p w14:paraId="478D25F3">
            <w:pPr>
              <w:pStyle w:val="2"/>
              <w:ind w:firstLine="0" w:firstLineChars="0"/>
              <w:rPr>
                <w:rFonts w:ascii="Times New Roman" w:hAnsi="Times New Roman" w:eastAsia="宋体" w:cs="Times New Roman"/>
                <w:color w:val="auto"/>
                <w:kern w:val="2"/>
                <w:sz w:val="24"/>
                <w:szCs w:val="32"/>
                <w:highlight w:val="none"/>
              </w:rPr>
            </w:pPr>
            <w:r>
              <w:rPr>
                <w:rFonts w:hint="eastAsia" w:ascii="Times New Roman" w:hAnsi="Times New Roman" w:eastAsia="宋体" w:cs="Times New Roman"/>
                <w:color w:val="auto"/>
                <w:kern w:val="2"/>
                <w:sz w:val="24"/>
                <w:szCs w:val="32"/>
                <w:highlight w:val="none"/>
              </w:rPr>
              <w:t>☐C不统一组织，供应商在获取采购文件后，自行至项目现场考察。地点： ，联系人： ，联系方式： 。</w:t>
            </w:r>
          </w:p>
          <w:p w14:paraId="16525BDF">
            <w:pPr>
              <w:pStyle w:val="2"/>
              <w:rPr>
                <w:rFonts w:hint="eastAsia"/>
                <w:color w:val="auto"/>
                <w:highlight w:val="none"/>
              </w:rPr>
            </w:pPr>
          </w:p>
        </w:tc>
      </w:tr>
      <w:tr w14:paraId="7587D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F66D88">
            <w:pPr>
              <w:snapToGrid w:val="0"/>
              <w:spacing w:line="360" w:lineRule="auto"/>
              <w:jc w:val="center"/>
              <w:rPr>
                <w:rFonts w:hint="eastAsia" w:ascii="宋体" w:hAnsi="宋体" w:cs="宋体"/>
                <w:color w:val="auto"/>
                <w:sz w:val="24"/>
                <w:highlight w:val="none"/>
              </w:rPr>
            </w:pPr>
          </w:p>
          <w:p w14:paraId="4E416ADF">
            <w:pPr>
              <w:snapToGrid w:val="0"/>
              <w:spacing w:line="360" w:lineRule="auto"/>
              <w:jc w:val="center"/>
              <w:rPr>
                <w:rFonts w:hint="eastAsia" w:ascii="宋体" w:hAnsi="宋体" w:cs="宋体"/>
                <w:color w:val="auto"/>
                <w:sz w:val="24"/>
                <w:highlight w:val="none"/>
              </w:rPr>
            </w:pPr>
          </w:p>
          <w:p w14:paraId="7407F42E">
            <w:pPr>
              <w:snapToGrid w:val="0"/>
              <w:spacing w:line="360" w:lineRule="auto"/>
              <w:jc w:val="center"/>
              <w:rPr>
                <w:rFonts w:hint="eastAsia" w:ascii="宋体" w:hAnsi="宋体" w:cs="宋体"/>
                <w:color w:val="auto"/>
                <w:sz w:val="24"/>
                <w:highlight w:val="none"/>
              </w:rPr>
            </w:pPr>
          </w:p>
          <w:p w14:paraId="0733AC2A">
            <w:pPr>
              <w:snapToGrid w:val="0"/>
              <w:spacing w:line="360" w:lineRule="auto"/>
              <w:jc w:val="center"/>
              <w:rPr>
                <w:rFonts w:hint="eastAsia" w:ascii="宋体" w:hAnsi="宋体" w:cs="宋体"/>
                <w:color w:val="auto"/>
                <w:sz w:val="24"/>
                <w:highlight w:val="none"/>
              </w:rPr>
            </w:pPr>
          </w:p>
          <w:p w14:paraId="49982C6B">
            <w:pPr>
              <w:snapToGrid w:val="0"/>
              <w:spacing w:line="360" w:lineRule="auto"/>
              <w:jc w:val="center"/>
              <w:rPr>
                <w:rFonts w:hint="eastAsia" w:ascii="宋体" w:hAnsi="宋体" w:cs="宋体"/>
                <w:color w:val="auto"/>
                <w:sz w:val="24"/>
                <w:highlight w:val="none"/>
              </w:rPr>
            </w:pPr>
          </w:p>
          <w:p w14:paraId="1F292D77">
            <w:pPr>
              <w:snapToGrid w:val="0"/>
              <w:spacing w:line="360" w:lineRule="auto"/>
              <w:jc w:val="center"/>
              <w:rPr>
                <w:rFonts w:hint="eastAsia" w:ascii="宋体" w:hAnsi="宋体" w:cs="宋体"/>
                <w:color w:val="auto"/>
                <w:sz w:val="24"/>
                <w:highlight w:val="none"/>
              </w:rPr>
            </w:pPr>
          </w:p>
          <w:p w14:paraId="306BA2FE">
            <w:pPr>
              <w:snapToGrid w:val="0"/>
              <w:spacing w:line="360" w:lineRule="auto"/>
              <w:jc w:val="center"/>
              <w:rPr>
                <w:rFonts w:hint="eastAsia" w:ascii="宋体" w:hAnsi="宋体" w:cs="宋体"/>
                <w:color w:val="auto"/>
                <w:sz w:val="24"/>
                <w:highlight w:val="none"/>
              </w:rPr>
            </w:pPr>
          </w:p>
          <w:p w14:paraId="79F258EB">
            <w:pPr>
              <w:snapToGrid w:val="0"/>
              <w:spacing w:line="360" w:lineRule="auto"/>
              <w:jc w:val="center"/>
              <w:rPr>
                <w:rFonts w:hint="eastAsia" w:ascii="宋体" w:hAnsi="宋体" w:cs="宋体"/>
                <w:color w:val="auto"/>
                <w:sz w:val="24"/>
                <w:highlight w:val="none"/>
              </w:rPr>
            </w:pPr>
          </w:p>
          <w:p w14:paraId="6525D4D6">
            <w:pPr>
              <w:snapToGrid w:val="0"/>
              <w:spacing w:line="360" w:lineRule="auto"/>
              <w:jc w:val="center"/>
              <w:rPr>
                <w:rFonts w:hint="eastAsia" w:ascii="宋体" w:hAnsi="宋体" w:cs="宋体"/>
                <w:color w:val="auto"/>
                <w:sz w:val="24"/>
                <w:highlight w:val="none"/>
              </w:rPr>
            </w:pPr>
          </w:p>
          <w:p w14:paraId="5FBF991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8738C1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7306AC8">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3527626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0BD7B74">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0FD77061">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3007066">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具体以招标文件第三部分采购需求为准 </w:t>
            </w:r>
            <w:r>
              <w:rPr>
                <w:rFonts w:hint="eastAsia" w:ascii="宋体" w:hAnsi="宋体" w:cs="宋体"/>
                <w:color w:val="auto"/>
                <w:kern w:val="0"/>
                <w:sz w:val="24"/>
                <w:highlight w:val="none"/>
              </w:rPr>
              <w:t>；</w:t>
            </w:r>
          </w:p>
          <w:p w14:paraId="094729C1">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5A227F1">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D99AFDD">
            <w:pPr>
              <w:spacing w:line="360" w:lineRule="auto"/>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97F78A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08B8E94">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74DD9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ADB14E9">
            <w:pPr>
              <w:snapToGrid w:val="0"/>
              <w:spacing w:line="360" w:lineRule="auto"/>
              <w:jc w:val="center"/>
              <w:rPr>
                <w:rFonts w:hint="eastAsia" w:ascii="宋体" w:hAnsi="宋体" w:cs="宋体"/>
                <w:color w:val="auto"/>
                <w:sz w:val="24"/>
                <w:highlight w:val="none"/>
              </w:rPr>
            </w:pPr>
          </w:p>
          <w:p w14:paraId="1172DCF3">
            <w:pPr>
              <w:snapToGrid w:val="0"/>
              <w:spacing w:line="360" w:lineRule="auto"/>
              <w:jc w:val="center"/>
              <w:rPr>
                <w:rFonts w:hint="eastAsia" w:ascii="宋体" w:hAnsi="宋体" w:cs="宋体"/>
                <w:color w:val="auto"/>
                <w:sz w:val="24"/>
                <w:highlight w:val="none"/>
              </w:rPr>
            </w:pPr>
          </w:p>
          <w:p w14:paraId="2BFACA7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058DD3D7">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A2C71F7">
            <w:pPr>
              <w:snapToGrid w:val="0"/>
              <w:spacing w:line="360" w:lineRule="auto"/>
              <w:rPr>
                <w:color w:val="auto"/>
                <w:sz w:val="24"/>
                <w:highlight w:val="none"/>
              </w:rPr>
            </w:pPr>
            <w:r>
              <w:rPr>
                <w:rFonts w:hint="eastAsia"/>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27713249">
            <w:pPr>
              <w:snapToGrid w:val="0"/>
              <w:spacing w:line="360" w:lineRule="auto"/>
              <w:rPr>
                <w:color w:val="auto"/>
                <w:sz w:val="24"/>
                <w:highlight w:val="none"/>
              </w:rPr>
            </w:pPr>
            <w:sdt>
              <w:sdtPr>
                <w:rPr>
                  <w:rFonts w:hint="eastAsia"/>
                  <w:color w:val="auto"/>
                  <w:sz w:val="24"/>
                  <w:highlight w:val="none"/>
                </w:rPr>
                <w:id w:val="147461840"/>
                <w14:checkbox>
                  <w14:checked w14:val="0"/>
                  <w14:checkedState w14:val="00FE" w14:font="Wingdings"/>
                  <w14:uncheckedState w14:val="2610" w14:font="MS Gothic"/>
                </w14:checkbox>
              </w:sdtPr>
              <w:sdtEndPr>
                <w:rPr>
                  <w:rFonts w:hint="eastAsia"/>
                  <w:color w:val="auto"/>
                  <w:sz w:val="24"/>
                  <w:highlight w:val="none"/>
                </w:rPr>
              </w:sdtEndPr>
              <w:sdtContent>
                <w:r>
                  <w:rPr>
                    <w:rFonts w:hint="eastAsia" w:ascii="MS Gothic" w:hAnsi="MS Gothic"/>
                    <w:color w:val="auto"/>
                    <w:sz w:val="24"/>
                    <w:highlight w:val="none"/>
                  </w:rPr>
                  <w:t>☐</w:t>
                </w:r>
              </w:sdtContent>
            </w:sdt>
            <w:r>
              <w:rPr>
                <w:rFonts w:hint="eastAsia"/>
                <w:color w:val="auto"/>
                <w:sz w:val="24"/>
                <w:highlight w:val="none"/>
              </w:rPr>
              <w:t>强制采购节能采购。产品：</w:t>
            </w:r>
          </w:p>
          <w:p w14:paraId="3002CF9E">
            <w:pPr>
              <w:snapToGrid w:val="0"/>
              <w:spacing w:line="360" w:lineRule="auto"/>
              <w:rPr>
                <w:color w:val="auto"/>
                <w:sz w:val="24"/>
                <w:highlight w:val="none"/>
              </w:rPr>
            </w:pPr>
            <w:r>
              <w:rPr>
                <w:rFonts w:hint="eastAsia"/>
                <w:color w:val="auto"/>
                <w:sz w:val="24"/>
                <w:highlight w:val="none"/>
              </w:rPr>
              <w:t xml:space="preserve">□优先采购节能产品。产品：   </w:t>
            </w:r>
          </w:p>
          <w:p w14:paraId="76782679">
            <w:pPr>
              <w:snapToGrid w:val="0"/>
              <w:spacing w:line="360" w:lineRule="auto"/>
              <w:rPr>
                <w:color w:val="auto"/>
                <w:sz w:val="24"/>
                <w:highlight w:val="none"/>
              </w:rPr>
            </w:pPr>
            <w:r>
              <w:rPr>
                <w:rFonts w:hint="eastAsia"/>
                <w:color w:val="auto"/>
                <w:sz w:val="24"/>
                <w:highlight w:val="none"/>
              </w:rPr>
              <w:t xml:space="preserve">□优先采购环保产品。产品：   </w:t>
            </w:r>
          </w:p>
          <w:p w14:paraId="328AE59B">
            <w:pPr>
              <w:snapToGrid w:val="0"/>
              <w:spacing w:line="360" w:lineRule="auto"/>
              <w:rPr>
                <w:rFonts w:hint="eastAsia" w:ascii="宋体" w:hAnsi="宋体" w:cs="宋体"/>
                <w:color w:val="auto"/>
                <w:kern w:val="0"/>
                <w:sz w:val="24"/>
                <w:highlight w:val="none"/>
              </w:rPr>
            </w:pPr>
            <w:r>
              <w:rPr>
                <w:rFonts w:hint="eastAsia"/>
                <w:color w:val="auto"/>
                <w:sz w:val="24"/>
                <w:highlight w:val="none"/>
              </w:rPr>
              <w:t>□无</w:t>
            </w:r>
          </w:p>
        </w:tc>
      </w:tr>
      <w:tr w14:paraId="55EFE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59DC6D2">
            <w:pPr>
              <w:snapToGrid w:val="0"/>
              <w:spacing w:line="360" w:lineRule="auto"/>
              <w:jc w:val="center"/>
              <w:rPr>
                <w:rFonts w:hint="eastAsia" w:ascii="宋体" w:hAnsi="宋体" w:cs="宋体"/>
                <w:color w:val="auto"/>
                <w:sz w:val="24"/>
                <w:highlight w:val="none"/>
              </w:rPr>
            </w:pPr>
          </w:p>
          <w:p w14:paraId="102D3E49">
            <w:pPr>
              <w:snapToGrid w:val="0"/>
              <w:spacing w:line="360" w:lineRule="auto"/>
              <w:jc w:val="center"/>
              <w:rPr>
                <w:rFonts w:hint="eastAsia" w:ascii="宋体" w:hAnsi="宋体" w:cs="宋体"/>
                <w:color w:val="auto"/>
                <w:sz w:val="24"/>
                <w:highlight w:val="none"/>
              </w:rPr>
            </w:pPr>
          </w:p>
          <w:p w14:paraId="608E02A7">
            <w:pPr>
              <w:snapToGrid w:val="0"/>
              <w:spacing w:line="360" w:lineRule="auto"/>
              <w:jc w:val="center"/>
              <w:rPr>
                <w:rFonts w:hint="eastAsia" w:ascii="宋体" w:hAnsi="宋体" w:cs="宋体"/>
                <w:color w:val="auto"/>
                <w:sz w:val="24"/>
                <w:highlight w:val="none"/>
              </w:rPr>
            </w:pPr>
          </w:p>
          <w:p w14:paraId="4C1F8313">
            <w:pPr>
              <w:snapToGrid w:val="0"/>
              <w:spacing w:line="360" w:lineRule="auto"/>
              <w:jc w:val="center"/>
              <w:rPr>
                <w:rFonts w:hint="eastAsia" w:ascii="宋体" w:hAnsi="宋体" w:cs="宋体"/>
                <w:color w:val="auto"/>
                <w:sz w:val="24"/>
                <w:highlight w:val="none"/>
              </w:rPr>
            </w:pPr>
          </w:p>
          <w:p w14:paraId="711081F9">
            <w:pPr>
              <w:snapToGrid w:val="0"/>
              <w:spacing w:line="360" w:lineRule="auto"/>
              <w:jc w:val="center"/>
              <w:rPr>
                <w:rFonts w:hint="eastAsia" w:ascii="宋体" w:hAnsi="宋体" w:cs="宋体"/>
                <w:color w:val="auto"/>
                <w:sz w:val="24"/>
                <w:highlight w:val="none"/>
              </w:rPr>
            </w:pPr>
          </w:p>
          <w:p w14:paraId="5986CF8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7AACA9A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41761C6">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开标一览表（报价表）是报价的唯一载体，如投标人在乐采云平台填写的投标报价与投标文件报价文件中开标一览表（报价表）不一致的，以报价文件中开标一览表（报价表）为准。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1A249B0">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5E61381">
            <w:pPr>
              <w:snapToGrid w:val="0"/>
              <w:spacing w:line="360"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32A77DD">
            <w:pPr>
              <w:snapToGrid w:val="0"/>
              <w:spacing w:line="360" w:lineRule="auto"/>
              <w:ind w:firstLine="241" w:firstLineChars="100"/>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2673554">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42341A4">
            <w:pPr>
              <w:spacing w:line="360" w:lineRule="auto"/>
              <w:ind w:firstLine="241" w:firstLineChars="100"/>
              <w:rPr>
                <w:rFonts w:hint="eastAsia"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6A544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3DF35377">
            <w:pPr>
              <w:snapToGrid w:val="0"/>
              <w:spacing w:line="360" w:lineRule="auto"/>
              <w:jc w:val="center"/>
              <w:rPr>
                <w:rFonts w:hint="eastAsia" w:ascii="宋体" w:hAnsi="宋体" w:cs="宋体"/>
                <w:color w:val="auto"/>
                <w:sz w:val="24"/>
                <w:highlight w:val="none"/>
              </w:rPr>
            </w:pPr>
          </w:p>
          <w:p w14:paraId="21710219">
            <w:pPr>
              <w:snapToGrid w:val="0"/>
              <w:spacing w:line="360" w:lineRule="auto"/>
              <w:jc w:val="center"/>
              <w:rPr>
                <w:rFonts w:hint="eastAsia" w:ascii="宋体" w:hAnsi="宋体" w:cs="宋体"/>
                <w:color w:val="auto"/>
                <w:sz w:val="24"/>
                <w:highlight w:val="none"/>
              </w:rPr>
            </w:pPr>
          </w:p>
          <w:p w14:paraId="749EA12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4FF224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B0F9068">
            <w:pPr>
              <w:pStyle w:val="33"/>
              <w:spacing w:line="360" w:lineRule="auto"/>
              <w:rPr>
                <w:rFonts w:hint="eastAsia"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杭州市拱墅区河东路215号D楼一楼西侧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蒋亦文13968192050  </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eastAsia" w:ascii="宋体" w:hAnsi="宋体" w:cs="宋体"/>
                <w:color w:val="auto"/>
                <w:sz w:val="24"/>
                <w:highlight w:val="none"/>
              </w:rPr>
            </w:pPr>
            <w:bookmarkStart w:id="12" w:name="_Toc164416483"/>
            <w:bookmarkStart w:id="13" w:name="第三部分"/>
            <w:r>
              <w:rPr>
                <w:rFonts w:hint="eastAsia" w:ascii="宋体" w:hAnsi="宋体" w:cs="宋体"/>
                <w:color w:val="auto"/>
                <w:sz w:val="24"/>
                <w:highlight w:val="none"/>
              </w:rPr>
              <w:t>10</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中标</w:t>
            </w:r>
            <w:r>
              <w:rPr>
                <w:rFonts w:hint="eastAsia" w:cs="仿宋_GB2312" w:asciiTheme="minorEastAsia" w:hAnsiTheme="minorEastAsia" w:eastAsiaTheme="minorEastAsia"/>
                <w:b/>
                <w:color w:val="auto"/>
                <w:sz w:val="24"/>
                <w:highlight w:val="none"/>
                <w:lang w:val="en"/>
              </w:rPr>
              <w:t>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cs="宋体"/>
                <w:color w:val="auto"/>
                <w:kern w:val="0"/>
                <w:sz w:val="24"/>
                <w:highlight w:val="none"/>
                <w:lang w:val="en"/>
              </w:rPr>
            </w:pPr>
            <w:r>
              <w:rPr>
                <w:rFonts w:hint="eastAsia" w:ascii="宋体" w:hAnsi="宋体" w:cs="宋体"/>
                <w:color w:val="auto"/>
                <w:kern w:val="0"/>
                <w:sz w:val="24"/>
                <w:highlight w:val="none"/>
                <w:lang w:val="en"/>
              </w:rPr>
              <w:t>本项目推荐的</w:t>
            </w:r>
            <w:r>
              <w:rPr>
                <w:rFonts w:hint="eastAsia" w:ascii="宋体" w:hAnsi="宋体" w:cs="宋体"/>
                <w:color w:val="auto"/>
                <w:kern w:val="0"/>
                <w:sz w:val="24"/>
                <w:highlight w:val="none"/>
              </w:rPr>
              <w:t>中标</w:t>
            </w:r>
            <w:r>
              <w:rPr>
                <w:rFonts w:hint="eastAsia" w:ascii="宋体" w:hAnsi="宋体" w:cs="宋体"/>
                <w:color w:val="auto"/>
                <w:kern w:val="0"/>
                <w:sz w:val="24"/>
                <w:highlight w:val="none"/>
                <w:lang w:val="en"/>
              </w:rPr>
              <w:t>候选人数量：</w:t>
            </w:r>
            <w:r>
              <w:rPr>
                <w:rFonts w:hint="eastAsia" w:ascii="宋体" w:hAnsi="宋体" w:cs="宋体"/>
                <w:color w:val="auto"/>
                <w:kern w:val="0"/>
                <w:sz w:val="24"/>
                <w:highlight w:val="none"/>
                <w:u w:val="single"/>
              </w:rPr>
              <w:t xml:space="preserve">  3家 </w:t>
            </w:r>
            <w:r>
              <w:rPr>
                <w:rFonts w:hint="eastAsia" w:ascii="宋体" w:hAnsi="宋体" w:cs="宋体"/>
                <w:color w:val="auto"/>
                <w:kern w:val="0"/>
                <w:sz w:val="24"/>
                <w:highlight w:val="none"/>
                <w:lang w:val="en"/>
              </w:rPr>
              <w:t>。</w:t>
            </w:r>
          </w:p>
        </w:tc>
      </w:tr>
      <w:tr w14:paraId="0BCB5B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2C32D53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auto" w:sz="4" w:space="0"/>
              <w:left w:val="single" w:color="000000" w:sz="2" w:space="0"/>
              <w:bottom w:val="single" w:color="auto" w:sz="4" w:space="0"/>
              <w:right w:val="single" w:color="000000" w:sz="8" w:space="0"/>
            </w:tcBorders>
            <w:vAlign w:val="center"/>
          </w:tcPr>
          <w:p w14:paraId="699B0540">
            <w:pPr>
              <w:pStyle w:val="725"/>
              <w:spacing w:line="360" w:lineRule="auto"/>
              <w:ind w:firstLine="0"/>
              <w:jc w:val="center"/>
              <w:rPr>
                <w:rFonts w:hint="eastAsia" w:cs="仿宋_GB2312" w:asciiTheme="minorEastAsia" w:hAnsiTheme="minorEastAsia" w:eastAsiaTheme="minorEastAsia"/>
                <w:b/>
                <w:color w:val="auto"/>
                <w:highlight w:val="none"/>
              </w:rPr>
            </w:pPr>
            <w:r>
              <w:rPr>
                <w:rFonts w:hint="eastAsia" w:cs="宋体"/>
                <w:color w:val="auto"/>
                <w:highlight w:val="none"/>
              </w:rPr>
              <w:t>▲质保期</w:t>
            </w:r>
          </w:p>
        </w:tc>
        <w:tc>
          <w:tcPr>
            <w:tcW w:w="6095" w:type="dxa"/>
            <w:tcBorders>
              <w:top w:val="single" w:color="auto" w:sz="4" w:space="0"/>
              <w:left w:val="single" w:color="000000" w:sz="2" w:space="0"/>
              <w:bottom w:val="single" w:color="000000" w:sz="8" w:space="0"/>
              <w:right w:val="single" w:color="auto" w:sz="4" w:space="0"/>
            </w:tcBorders>
            <w:vAlign w:val="center"/>
          </w:tcPr>
          <w:p w14:paraId="4FAD112F">
            <w:pPr>
              <w:pStyle w:val="725"/>
              <w:tabs>
                <w:tab w:val="center" w:pos="3012"/>
                <w:tab w:val="clear" w:pos="1212"/>
                <w:tab w:val="clear" w:pos="3888"/>
              </w:tabs>
              <w:spacing w:line="360" w:lineRule="auto"/>
              <w:ind w:firstLine="0"/>
              <w:rPr>
                <w:rFonts w:hint="eastAsia" w:cs="宋体"/>
                <w:color w:val="auto"/>
                <w:highlight w:val="none"/>
                <w:lang w:val="en"/>
              </w:rPr>
            </w:pPr>
            <w:r>
              <w:rPr>
                <w:rFonts w:hint="eastAsia" w:cs="宋体"/>
                <w:color w:val="auto"/>
                <w:highlight w:val="none"/>
              </w:rPr>
              <w:t>自货物验收合格之日起不低于3年。</w:t>
            </w:r>
          </w:p>
        </w:tc>
      </w:tr>
      <w:tr w14:paraId="13DD8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24E5D8E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auto" w:sz="4" w:space="0"/>
              <w:left w:val="single" w:color="000000" w:sz="2" w:space="0"/>
              <w:bottom w:val="single" w:color="auto" w:sz="4" w:space="0"/>
              <w:right w:val="single" w:color="000000" w:sz="8" w:space="0"/>
            </w:tcBorders>
            <w:vAlign w:val="center"/>
          </w:tcPr>
          <w:p w14:paraId="560F30FB">
            <w:pPr>
              <w:pStyle w:val="725"/>
              <w:spacing w:line="360" w:lineRule="auto"/>
              <w:ind w:firstLine="0"/>
              <w:jc w:val="center"/>
              <w:rPr>
                <w:rFonts w:hint="eastAsia" w:cs="仿宋_GB2312" w:asciiTheme="minorEastAsia" w:hAnsiTheme="minorEastAsia" w:eastAsiaTheme="minorEastAsia"/>
                <w:b/>
                <w:color w:val="auto"/>
                <w:highlight w:val="none"/>
              </w:rPr>
            </w:pPr>
            <w:r>
              <w:rPr>
                <w:rFonts w:hint="eastAsia" w:cs="宋体"/>
                <w:color w:val="auto"/>
                <w:highlight w:val="none"/>
              </w:rPr>
              <w:t>▲供货及安装地点</w:t>
            </w:r>
          </w:p>
        </w:tc>
        <w:tc>
          <w:tcPr>
            <w:tcW w:w="6095" w:type="dxa"/>
            <w:tcBorders>
              <w:top w:val="single" w:color="auto" w:sz="4" w:space="0"/>
              <w:left w:val="single" w:color="000000" w:sz="2" w:space="0"/>
              <w:bottom w:val="single" w:color="000000" w:sz="8" w:space="0"/>
              <w:right w:val="single" w:color="auto" w:sz="4" w:space="0"/>
            </w:tcBorders>
            <w:vAlign w:val="center"/>
          </w:tcPr>
          <w:p w14:paraId="1AD51D89">
            <w:pPr>
              <w:pStyle w:val="725"/>
              <w:tabs>
                <w:tab w:val="center" w:pos="3012"/>
                <w:tab w:val="clear" w:pos="1212"/>
                <w:tab w:val="clear" w:pos="3888"/>
              </w:tabs>
              <w:spacing w:line="360" w:lineRule="auto"/>
              <w:ind w:firstLine="0"/>
              <w:rPr>
                <w:rFonts w:hint="eastAsia" w:cs="宋体"/>
                <w:color w:val="auto"/>
                <w:highlight w:val="none"/>
                <w:lang w:val="en"/>
              </w:rPr>
            </w:pPr>
            <w:r>
              <w:rPr>
                <w:rFonts w:hint="eastAsia" w:cs="宋体"/>
                <w:color w:val="auto"/>
                <w:highlight w:val="none"/>
              </w:rPr>
              <w:t>负责将采购人实际采购物资运至项目实施地。</w:t>
            </w:r>
          </w:p>
        </w:tc>
      </w:tr>
      <w:tr w14:paraId="1008A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22CEDE3B">
            <w:pPr>
              <w:snapToGrid w:val="0"/>
              <w:spacing w:line="360" w:lineRule="auto"/>
              <w:jc w:val="center"/>
              <w:rPr>
                <w:rFonts w:hint="eastAsia" w:ascii="宋体" w:hAnsi="宋体" w:cs="宋体"/>
                <w:color w:val="auto"/>
                <w:sz w:val="24"/>
                <w:highlight w:val="none"/>
              </w:rPr>
            </w:pPr>
          </w:p>
          <w:p w14:paraId="6D9BE41F">
            <w:pPr>
              <w:snapToGrid w:val="0"/>
              <w:spacing w:line="360" w:lineRule="auto"/>
              <w:jc w:val="center"/>
              <w:rPr>
                <w:rFonts w:hint="eastAsia" w:ascii="宋体" w:hAnsi="宋体" w:cs="宋体"/>
                <w:color w:val="auto"/>
                <w:sz w:val="24"/>
                <w:highlight w:val="none"/>
              </w:rPr>
            </w:pPr>
          </w:p>
          <w:p w14:paraId="60B63BD4">
            <w:pPr>
              <w:snapToGrid w:val="0"/>
              <w:spacing w:line="360" w:lineRule="auto"/>
              <w:jc w:val="center"/>
              <w:rPr>
                <w:rFonts w:hint="eastAsia" w:ascii="宋体" w:hAnsi="宋体" w:cs="宋体"/>
                <w:color w:val="auto"/>
                <w:sz w:val="24"/>
                <w:highlight w:val="none"/>
              </w:rPr>
            </w:pPr>
          </w:p>
          <w:p w14:paraId="1E433A2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tcBorders>
              <w:top w:val="single" w:color="auto" w:sz="4" w:space="0"/>
              <w:left w:val="single" w:color="000000" w:sz="2" w:space="0"/>
              <w:bottom w:val="single" w:color="auto" w:sz="4" w:space="0"/>
              <w:right w:val="single" w:color="000000" w:sz="8" w:space="0"/>
            </w:tcBorders>
            <w:vAlign w:val="center"/>
          </w:tcPr>
          <w:p w14:paraId="45BE9570">
            <w:pPr>
              <w:pStyle w:val="725"/>
              <w:widowControl w:val="0"/>
              <w:adjustRightInd/>
              <w:spacing w:line="360" w:lineRule="auto"/>
              <w:ind w:firstLine="0"/>
              <w:rPr>
                <w:rFonts w:hint="eastAsia" w:cs="宋体"/>
                <w:color w:val="auto"/>
                <w:highlight w:val="none"/>
              </w:rPr>
            </w:pPr>
            <w:r>
              <w:rPr>
                <w:rFonts w:hint="eastAsia" w:cs="宋体"/>
                <w:b/>
                <w:bCs/>
                <w:color w:val="auto"/>
                <w:highlight w:val="none"/>
              </w:rPr>
              <w:t>签订合同的政府采购要求</w:t>
            </w:r>
          </w:p>
        </w:tc>
        <w:tc>
          <w:tcPr>
            <w:tcW w:w="6095" w:type="dxa"/>
            <w:tcBorders>
              <w:top w:val="single" w:color="auto" w:sz="4" w:space="0"/>
              <w:left w:val="single" w:color="000000" w:sz="2" w:space="0"/>
              <w:bottom w:val="single" w:color="000000" w:sz="8" w:space="0"/>
              <w:right w:val="single" w:color="auto" w:sz="4" w:space="0"/>
            </w:tcBorders>
            <w:vAlign w:val="center"/>
          </w:tcPr>
          <w:p w14:paraId="482B4CCB">
            <w:pPr>
              <w:pStyle w:val="725"/>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采购人与中标、成交供应商应当在中标、成交通知书发出之日起三十日内，按照采购文件确定的事项签订政府采购合同。超过三十日未签订合同的，采购人有权取消中标资格。</w:t>
            </w:r>
          </w:p>
          <w:p w14:paraId="7C0327A8">
            <w:pPr>
              <w:pStyle w:val="725"/>
              <w:widowControl w:val="0"/>
              <w:adjustRightInd/>
              <w:spacing w:line="360" w:lineRule="auto"/>
              <w:ind w:firstLine="480" w:firstLineChars="200"/>
              <w:rPr>
                <w:rFonts w:hint="eastAsia" w:cs="宋体"/>
                <w:color w:val="auto"/>
                <w:highlight w:val="none"/>
              </w:rPr>
            </w:pPr>
            <w:r>
              <w:rPr>
                <w:rFonts w:hint="eastAsia" w:ascii="宋体" w:hAnsi="宋体" w:eastAsia="宋体" w:cs="宋体"/>
                <w:color w:val="auto"/>
                <w:highlight w:val="none"/>
                <w:lang w:val="en-US" w:eastAsia="zh-CN"/>
              </w:rPr>
              <w:t>中标、成交通知书对采购人和中标、成交供应商均具有法律效力。中标、成交通知书发出后，采购人改变中标、成交结果的，或者中标、成交供应商放弃中标、成交项目的，应当依法承担法律责任。</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0FB7B49D">
            <w:pPr>
              <w:snapToGrid w:val="0"/>
              <w:spacing w:line="360" w:lineRule="auto"/>
              <w:jc w:val="center"/>
              <w:rPr>
                <w:rFonts w:hint="eastAsia" w:ascii="宋体" w:hAnsi="宋体" w:cs="宋体"/>
                <w:color w:val="auto"/>
                <w:sz w:val="24"/>
                <w:highlight w:val="none"/>
              </w:rPr>
            </w:pPr>
          </w:p>
          <w:p w14:paraId="1049F11A">
            <w:pPr>
              <w:snapToGrid w:val="0"/>
              <w:spacing w:line="360" w:lineRule="auto"/>
              <w:jc w:val="center"/>
              <w:rPr>
                <w:rFonts w:hint="eastAsia" w:ascii="宋体" w:hAnsi="宋体" w:cs="宋体"/>
                <w:color w:val="auto"/>
                <w:sz w:val="24"/>
                <w:highlight w:val="none"/>
              </w:rPr>
            </w:pPr>
          </w:p>
          <w:p w14:paraId="754D822E">
            <w:pPr>
              <w:snapToGrid w:val="0"/>
              <w:spacing w:line="360" w:lineRule="auto"/>
              <w:jc w:val="center"/>
              <w:rPr>
                <w:rFonts w:hint="eastAsia" w:ascii="宋体" w:hAnsi="宋体" w:cs="宋体"/>
                <w:color w:val="auto"/>
                <w:sz w:val="24"/>
                <w:highlight w:val="none"/>
              </w:rPr>
            </w:pPr>
          </w:p>
          <w:p w14:paraId="7D09EDA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lang w:val="e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0E7809F4">
            <w:pPr>
              <w:pStyle w:val="725"/>
              <w:spacing w:line="360" w:lineRule="auto"/>
              <w:ind w:firstLine="0"/>
              <w:rPr>
                <w:rFonts w:hint="eastAsia" w:cs="宋体"/>
                <w:color w:val="auto"/>
                <w:szCs w:val="24"/>
                <w:highlight w:val="none"/>
              </w:rPr>
            </w:pPr>
            <w:r>
              <w:rPr>
                <w:rFonts w:hint="eastAsia" w:cs="宋体"/>
                <w:color w:val="auto"/>
                <w:szCs w:val="24"/>
                <w:highlight w:val="none"/>
              </w:rPr>
              <w:t>本项目采购代理服务费和造价咨询费由中标人支付给采购代理机构。各响应供应商在报价时应计入此费用。</w:t>
            </w:r>
          </w:p>
          <w:p w14:paraId="470D2D82">
            <w:pPr>
              <w:pStyle w:val="725"/>
              <w:spacing w:line="360" w:lineRule="auto"/>
              <w:ind w:firstLine="0"/>
              <w:rPr>
                <w:rFonts w:hint="eastAsia" w:cs="宋体"/>
                <w:color w:val="auto"/>
                <w:szCs w:val="24"/>
                <w:highlight w:val="none"/>
              </w:rPr>
            </w:pPr>
            <w:r>
              <w:rPr>
                <w:rFonts w:hint="eastAsia" w:cs="宋体"/>
                <w:color w:val="auto"/>
                <w:szCs w:val="24"/>
                <w:highlight w:val="none"/>
              </w:rPr>
              <w:t>1、采购代理服务费以中标金额为基数按【2002】1980号文《招标代理服务收费管理办法》规定收费标准80%计取，不足5000元时按5000元计取，计入报价中；</w:t>
            </w:r>
          </w:p>
          <w:p w14:paraId="1D874E8B">
            <w:pPr>
              <w:pStyle w:val="725"/>
              <w:spacing w:line="360" w:lineRule="auto"/>
              <w:ind w:firstLine="0"/>
              <w:rPr>
                <w:rFonts w:hint="eastAsia" w:cs="宋体"/>
                <w:color w:val="auto"/>
                <w:szCs w:val="24"/>
                <w:highlight w:val="none"/>
              </w:rPr>
            </w:pPr>
            <w:r>
              <w:rPr>
                <w:rFonts w:hint="eastAsia" w:cs="宋体"/>
                <w:color w:val="auto"/>
                <w:szCs w:val="24"/>
                <w:highlight w:val="none"/>
              </w:rPr>
              <w:t>以上费用由中标人在收到中标通知书后7个工作日内支付给采购代理机构。</w:t>
            </w:r>
          </w:p>
          <w:p w14:paraId="08F2F546">
            <w:pPr>
              <w:pStyle w:val="725"/>
              <w:spacing w:line="360" w:lineRule="auto"/>
              <w:ind w:firstLine="0"/>
              <w:rPr>
                <w:rFonts w:hint="eastAsia" w:cs="宋体"/>
                <w:color w:val="auto"/>
                <w:szCs w:val="24"/>
                <w:highlight w:val="none"/>
              </w:rPr>
            </w:pPr>
            <w:r>
              <w:rPr>
                <w:rFonts w:hint="eastAsia" w:cs="宋体"/>
                <w:color w:val="auto"/>
                <w:szCs w:val="24"/>
                <w:highlight w:val="none"/>
              </w:rPr>
              <w:t>汇入以下账户：</w:t>
            </w:r>
          </w:p>
          <w:p w14:paraId="531692EB">
            <w:pPr>
              <w:pStyle w:val="725"/>
              <w:spacing w:line="360" w:lineRule="auto"/>
              <w:ind w:firstLine="0"/>
              <w:rPr>
                <w:rFonts w:hint="eastAsia" w:cs="宋体"/>
                <w:color w:val="auto"/>
                <w:szCs w:val="24"/>
                <w:highlight w:val="none"/>
              </w:rPr>
            </w:pPr>
            <w:r>
              <w:rPr>
                <w:rFonts w:hint="eastAsia" w:cs="宋体"/>
                <w:color w:val="auto"/>
                <w:szCs w:val="24"/>
                <w:highlight w:val="none"/>
              </w:rPr>
              <w:t>户名：浙江中通通信有限公司</w:t>
            </w:r>
          </w:p>
          <w:p w14:paraId="6DD80CEE">
            <w:pPr>
              <w:pStyle w:val="725"/>
              <w:spacing w:line="360" w:lineRule="auto"/>
              <w:ind w:firstLine="0"/>
              <w:rPr>
                <w:rFonts w:hint="eastAsia" w:cs="宋体"/>
                <w:color w:val="auto"/>
                <w:szCs w:val="24"/>
                <w:highlight w:val="none"/>
              </w:rPr>
            </w:pPr>
            <w:r>
              <w:rPr>
                <w:rFonts w:hint="eastAsia" w:cs="宋体"/>
                <w:color w:val="auto"/>
                <w:szCs w:val="24"/>
                <w:highlight w:val="none"/>
              </w:rPr>
              <w:t>开户：中信银行杭州天水支行</w:t>
            </w:r>
          </w:p>
          <w:p w14:paraId="7A022B06">
            <w:pPr>
              <w:spacing w:line="360" w:lineRule="auto"/>
              <w:rPr>
                <w:rFonts w:hint="eastAsia" w:ascii="宋体" w:hAnsi="宋体" w:cs="宋体"/>
                <w:color w:val="auto"/>
                <w:kern w:val="0"/>
                <w:sz w:val="24"/>
                <w:highlight w:val="none"/>
                <w:lang w:val="en"/>
              </w:rPr>
            </w:pPr>
            <w:r>
              <w:rPr>
                <w:rFonts w:hint="eastAsia" w:ascii="宋体" w:hAnsi="宋体" w:cs="宋体"/>
                <w:color w:val="auto"/>
                <w:sz w:val="24"/>
                <w:highlight w:val="none"/>
              </w:rPr>
              <w:t>账号：3110830019310022847</w:t>
            </w:r>
          </w:p>
        </w:tc>
      </w:tr>
      <w:bookmarkEnd w:id="10"/>
    </w:tbl>
    <w:p w14:paraId="4E066ECD">
      <w:pPr>
        <w:adjustRightInd/>
        <w:spacing w:line="360" w:lineRule="auto"/>
        <w:ind w:firstLine="3845" w:firstLineChars="1197"/>
        <w:outlineLvl w:val="0"/>
        <w:rPr>
          <w:rFonts w:hint="eastAsia" w:ascii="宋体" w:hAnsi="宋体" w:cs="宋体"/>
          <w:b/>
          <w:color w:val="auto"/>
          <w:sz w:val="32"/>
          <w:szCs w:val="20"/>
          <w:highlight w:val="none"/>
        </w:rPr>
        <w:sectPr>
          <w:pgSz w:w="11906" w:h="16838"/>
          <w:pgMar w:top="1417" w:right="1248" w:bottom="1417" w:left="1418" w:header="851" w:footer="992" w:gutter="0"/>
          <w:cols w:space="720" w:num="1"/>
          <w:titlePg/>
          <w:docGrid w:linePitch="312" w:charSpace="0"/>
        </w:sectPr>
      </w:pPr>
    </w:p>
    <w:p w14:paraId="7F2CD110">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03C8993D">
      <w:pPr>
        <w:snapToGrid w:val="0"/>
        <w:spacing w:line="360" w:lineRule="auto"/>
        <w:ind w:firstLine="361" w:firstLineChars="150"/>
        <w:jc w:val="left"/>
        <w:outlineLvl w:val="1"/>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5082BB95">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9E10204">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14:paraId="49EABD7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06F444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1E0A55A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4378406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30E4A4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0E7A1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2.6“电子交易平台”系指杭州市教育局非依法招标（小额）项目平台https://hzjyg.lecaiyun.com/。</w:t>
      </w:r>
    </w:p>
    <w:p w14:paraId="598254F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05741CC">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F7388B1">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w:t>
      </w:r>
    </w:p>
    <w:p w14:paraId="46C47595">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46D54878">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76D3A4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CF7638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509CB0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w:t>
      </w:r>
      <w:bookmarkEnd w:id="14"/>
    </w:p>
    <w:p w14:paraId="745673C8">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2E62B53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0E7C6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8AC36A1">
      <w:pPr>
        <w:widowControl/>
        <w:spacing w:line="360" w:lineRule="auto"/>
        <w:ind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AB65111">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以联合体形式参加采购活动，联合体各方均为中小企业的，联合体视同中小企业。其中，联合体各方均为小微企业的，联合体视同小微企业。</w:t>
      </w:r>
    </w:p>
    <w:p w14:paraId="6AA787E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3.3.3符合《关于促进残疾人就业政府采购政策的通知》（财库〔2017〕141号）规定的条件并提供《残疾人福利性单位声明函》（附件1）的残疾人福利性单位视同小型、微型企业；</w:t>
      </w:r>
    </w:p>
    <w:p w14:paraId="35880AB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政府采购支持监狱企业发展有关问题的通知》（财库[2014]68号）规定的监狱企业并提供由省级以上监狱管理局、戒毒管理局（含新疆生产建设兵团）出具的属于监狱企业证明文件的，视同为小型、微型企业。</w:t>
      </w:r>
    </w:p>
    <w:p w14:paraId="3D24E0F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w:t>
      </w:r>
      <w:r>
        <w:rPr>
          <w:rFonts w:hint="eastAsia" w:ascii="宋体" w:hAnsi="宋体" w:cs="宋体"/>
          <w:color w:val="auto"/>
          <w:sz w:val="24"/>
          <w:highlight w:val="none"/>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6036F37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3.3.6中小企业享受扶持政策获得政府采购合同的，小微企业不得将合同分包给大中型企业，中型企业不得将合同分包给大型企业。</w:t>
      </w:r>
    </w:p>
    <w:p w14:paraId="28068007">
      <w:pPr>
        <w:spacing w:line="360" w:lineRule="auto"/>
        <w:ind w:firstLine="482" w:firstLineChars="200"/>
        <w:rPr>
          <w:b/>
          <w:color w:val="auto"/>
          <w:highlight w:val="none"/>
        </w:rPr>
      </w:pPr>
      <w:r>
        <w:rPr>
          <w:rFonts w:hint="eastAsia" w:ascii="宋体" w:hAnsi="宋体" w:cs="宋体"/>
          <w:b/>
          <w:color w:val="auto"/>
          <w:sz w:val="24"/>
          <w:highlight w:val="none"/>
        </w:rPr>
        <w:t>4. 询问、质疑、投诉</w:t>
      </w:r>
    </w:p>
    <w:p w14:paraId="032B910E">
      <w:pPr>
        <w:pStyle w:val="890"/>
        <w:snapToGrid w:val="0"/>
        <w:spacing w:after="240" w:afterAutospacing="0" w:line="360" w:lineRule="auto"/>
        <w:ind w:firstLine="400"/>
        <w:contextualSpacing/>
        <w:rPr>
          <w:rFonts w:hint="eastAsia"/>
          <w:color w:val="auto"/>
          <w:highlight w:val="none"/>
          <w:lang w:val="zh-CN"/>
        </w:rPr>
      </w:pPr>
      <w:r>
        <w:rPr>
          <w:rFonts w:hint="eastAsia"/>
          <w:color w:val="auto"/>
          <w:highlight w:val="none"/>
          <w:lang w:val="zh-CN"/>
        </w:rPr>
        <w:t>4.1在线询问、质疑、投诉</w:t>
      </w:r>
    </w:p>
    <w:p w14:paraId="3D939082">
      <w:pPr>
        <w:pStyle w:val="890"/>
        <w:snapToGrid w:val="0"/>
        <w:spacing w:after="240" w:afterAutospacing="0" w:line="360" w:lineRule="auto"/>
        <w:ind w:firstLine="400"/>
        <w:contextualSpacing/>
        <w:rPr>
          <w:rFonts w:hint="eastAsia"/>
          <w:color w:val="auto"/>
          <w:highlight w:val="none"/>
          <w:lang w:val="zh-CN"/>
        </w:rPr>
      </w:pPr>
      <w:r>
        <w:rPr>
          <w:rFonts w:hint="eastAsia"/>
          <w:color w:val="auto"/>
          <w:highlight w:val="none"/>
          <w:lang w:val="zh-CN"/>
        </w:rPr>
        <w:t>鼓励供应商在线提起质疑，质疑供应商对在线质疑答复不满意的，可在线提起投诉。</w:t>
      </w:r>
    </w:p>
    <w:p w14:paraId="45137357">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06DC73B">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A844D5">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4137EF2">
      <w:pPr>
        <w:pStyle w:val="33"/>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742BDDA">
      <w:pPr>
        <w:pStyle w:val="33"/>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3874D25">
      <w:pPr>
        <w:pStyle w:val="16"/>
        <w:spacing w:line="360" w:lineRule="auto"/>
        <w:ind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5B8D9F1">
      <w:pPr>
        <w:pStyle w:val="33"/>
        <w:spacing w:line="360"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BCCA019">
      <w:pPr>
        <w:pStyle w:val="33"/>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3ABDF08">
      <w:pPr>
        <w:pStyle w:val="33"/>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5A0BF13">
      <w:pPr>
        <w:pStyle w:val="33"/>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B76A334">
      <w:pPr>
        <w:pStyle w:val="33"/>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5EC4982">
      <w:pPr>
        <w:pStyle w:val="33"/>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B4CB822">
      <w:pPr>
        <w:pStyle w:val="33"/>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D99C5A5">
      <w:pPr>
        <w:pStyle w:val="33"/>
        <w:spacing w:line="360"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08D3C49">
      <w:pPr>
        <w:pStyle w:val="890"/>
        <w:snapToGrid w:val="0"/>
        <w:spacing w:after="240" w:afterAutospacing="0" w:line="360" w:lineRule="auto"/>
        <w:ind w:firstLine="400"/>
        <w:contextualSpacing/>
        <w:rPr>
          <w:rFonts w:hint="eastAsia"/>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5D45052">
      <w:pPr>
        <w:pStyle w:val="890"/>
        <w:snapToGrid w:val="0"/>
        <w:spacing w:after="240" w:afterAutospacing="0" w:line="360" w:lineRule="auto"/>
        <w:ind w:firstLine="400"/>
        <w:contextualSpacing/>
        <w:rPr>
          <w:rFonts w:hint="eastAsia"/>
          <w:color w:val="auto"/>
          <w:highlight w:val="none"/>
        </w:rPr>
      </w:pPr>
      <w:r>
        <w:rPr>
          <w:rFonts w:hint="eastAsia"/>
          <w:color w:val="auto"/>
          <w:highlight w:val="none"/>
        </w:rPr>
        <w:t>质疑函范本及制作说明详见附件2。</w:t>
      </w:r>
    </w:p>
    <w:p w14:paraId="0237D51E">
      <w:pPr>
        <w:pStyle w:val="890"/>
        <w:snapToGrid w:val="0"/>
        <w:spacing w:after="240" w:afterAutospacing="0" w:line="360" w:lineRule="auto"/>
        <w:ind w:firstLine="400"/>
        <w:contextualSpacing/>
        <w:rPr>
          <w:rFonts w:hint="eastAsia"/>
          <w:color w:val="auto"/>
          <w:highlight w:val="none"/>
        </w:rPr>
      </w:pPr>
      <w:r>
        <w:rPr>
          <w:rFonts w:hint="eastAsia"/>
          <w:color w:val="auto"/>
          <w:highlight w:val="none"/>
        </w:rPr>
        <w:t>4.3.4对同一采购程序环节的质疑，供应商须在法定质疑期内一次性提出。</w:t>
      </w:r>
    </w:p>
    <w:p w14:paraId="380CE679">
      <w:pPr>
        <w:pStyle w:val="890"/>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.5采购人或者采购代理机构应当在收到供应商的书面质疑后七个工作日内作出答复，并以书面形式通知质疑供应商和其他与质疑处理结果有利害关系的采购当事人，但答复的内容不得涉及商业秘密。</w:t>
      </w:r>
    </w:p>
    <w:p w14:paraId="5C002C7F">
      <w:pPr>
        <w:pStyle w:val="890"/>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F600D92">
      <w:pPr>
        <w:pStyle w:val="890"/>
        <w:snapToGrid w:val="0"/>
        <w:spacing w:after="240" w:afterAutospacing="0" w:line="360" w:lineRule="auto"/>
        <w:ind w:firstLine="480" w:firstLineChars="200"/>
        <w:contextualSpacing/>
        <w:rPr>
          <w:rFonts w:hint="eastAsia"/>
          <w:color w:val="auto"/>
          <w:highlight w:val="none"/>
          <w:lang w:val="zh-CN"/>
        </w:rPr>
      </w:pPr>
      <w:r>
        <w:rPr>
          <w:rFonts w:hint="eastAsia"/>
          <w:color w:val="auto"/>
          <w:highlight w:val="none"/>
          <w:lang w:val="zh-CN"/>
        </w:rPr>
        <w:t>4.4供应商投诉</w:t>
      </w:r>
    </w:p>
    <w:p w14:paraId="02A4E969">
      <w:pPr>
        <w:pStyle w:val="890"/>
        <w:snapToGrid w:val="0"/>
        <w:spacing w:after="240" w:afterAutospacing="0" w:line="360" w:lineRule="auto"/>
        <w:ind w:firstLine="400"/>
        <w:contextualSpacing/>
        <w:rPr>
          <w:rFonts w:hint="eastAsia"/>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4.4.1质疑供应商对采购人、采购代理机构的答复不满意或者采购人、采购代理机构未在规定的时间内作出答复的，可以在答复期满后十五个工作日内向学校采购监督管理部门提出投诉。</w:t>
      </w:r>
    </w:p>
    <w:p w14:paraId="6CDBB873">
      <w:pPr>
        <w:pStyle w:val="890"/>
        <w:snapToGrid w:val="0"/>
        <w:spacing w:after="240" w:afterAutospacing="0" w:line="360" w:lineRule="auto"/>
        <w:ind w:firstLine="400"/>
        <w:contextualSpacing/>
        <w:rPr>
          <w:rFonts w:hint="eastAsia"/>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83881BB">
      <w:pPr>
        <w:pStyle w:val="890"/>
        <w:snapToGrid w:val="0"/>
        <w:spacing w:after="240" w:afterAutospacing="0" w:line="360" w:lineRule="auto"/>
        <w:ind w:firstLine="400"/>
        <w:contextualSpacing/>
        <w:rPr>
          <w:rFonts w:hint="eastAsia"/>
          <w:color w:val="auto"/>
          <w:highlight w:val="none"/>
        </w:rPr>
      </w:pPr>
      <w:r>
        <w:rPr>
          <w:rFonts w:hint="eastAsia"/>
          <w:color w:val="auto"/>
          <w:highlight w:val="none"/>
        </w:rPr>
        <w:t>4.4.3供应商投诉应当有明确的请求和必要的证明材料。</w:t>
      </w:r>
    </w:p>
    <w:p w14:paraId="547D563B">
      <w:pPr>
        <w:pStyle w:val="890"/>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692B0A4F">
      <w:pPr>
        <w:pStyle w:val="134"/>
        <w:snapToGrid w:val="0"/>
        <w:spacing w:before="0"/>
        <w:ind w:firstLine="360"/>
        <w:rPr>
          <w:rFonts w:hint="eastAsia" w:ascii="宋体" w:hAnsi="宋体" w:cs="宋体"/>
          <w:color w:val="auto"/>
          <w:sz w:val="18"/>
          <w:szCs w:val="18"/>
          <w:highlight w:val="none"/>
        </w:rPr>
      </w:pPr>
    </w:p>
    <w:p w14:paraId="1A9A4886">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09F9E09">
      <w:pPr>
        <w:pStyle w:val="33"/>
        <w:spacing w:line="360"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31AF93C4">
      <w:pPr>
        <w:pStyle w:val="3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0E30BDDD">
      <w:pPr>
        <w:pStyle w:val="33"/>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673E2A4C">
      <w:pPr>
        <w:pStyle w:val="33"/>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5939F94E">
      <w:pPr>
        <w:pStyle w:val="33"/>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256E69AE">
      <w:pPr>
        <w:pStyle w:val="33"/>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46F2B43F">
      <w:pPr>
        <w:pStyle w:val="33"/>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7547734B">
      <w:pPr>
        <w:pStyle w:val="33"/>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E9D93D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94F1EDB">
      <w:pPr>
        <w:pStyle w:val="33"/>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5DB04917">
      <w:pPr>
        <w:pStyle w:val="134"/>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7C5502DC">
      <w:pPr>
        <w:pStyle w:val="134"/>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18EE57">
      <w:pPr>
        <w:pStyle w:val="24"/>
        <w:rPr>
          <w:rFonts w:hint="eastAsia" w:hAnsi="宋体" w:cs="宋体"/>
          <w:color w:val="auto"/>
          <w:sz w:val="18"/>
          <w:szCs w:val="18"/>
          <w:highlight w:val="none"/>
          <w:lang w:val="en-US"/>
        </w:rPr>
      </w:pPr>
      <w:r>
        <w:rPr>
          <w:rFonts w:hint="eastAsia" w:hAnsi="宋体" w:cs="宋体"/>
          <w:color w:val="auto"/>
          <w:szCs w:val="24"/>
          <w:highlight w:val="none"/>
          <w:lang w:val="en-US"/>
        </w:rPr>
        <w:t xml:space="preserve">    </w:t>
      </w:r>
    </w:p>
    <w:p w14:paraId="24363B83">
      <w:pPr>
        <w:adjustRightInd/>
        <w:spacing w:line="360" w:lineRule="auto"/>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三、投标</w:t>
      </w:r>
    </w:p>
    <w:p w14:paraId="667B5DCB">
      <w:pPr>
        <w:pStyle w:val="33"/>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22794C82">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4248BCF">
      <w:pPr>
        <w:pStyle w:val="33"/>
        <w:spacing w:line="360"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797CCA56">
      <w:pPr>
        <w:pStyle w:val="3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4F86F7D">
      <w:pPr>
        <w:pStyle w:val="33"/>
        <w:spacing w:line="360" w:lineRule="auto"/>
        <w:rPr>
          <w:rFonts w:hint="eastAsia" w:hAnsi="宋体" w:cs="宋体"/>
          <w:b/>
          <w:color w:val="auto"/>
          <w:szCs w:val="24"/>
          <w:highlight w:val="none"/>
        </w:rPr>
      </w:pPr>
      <w:r>
        <w:rPr>
          <w:rFonts w:hint="eastAsia" w:hAnsi="宋体" w:cs="宋体"/>
          <w:b/>
          <w:color w:val="auto"/>
          <w:kern w:val="28"/>
          <w:sz w:val="24"/>
          <w:szCs w:val="24"/>
          <w:highlight w:val="none"/>
        </w:rPr>
        <w:t>9.投标保证金</w:t>
      </w:r>
    </w:p>
    <w:p w14:paraId="0D6D5BFB">
      <w:pPr>
        <w:pStyle w:val="16"/>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7D2D1559">
      <w:pPr>
        <w:pStyle w:val="33"/>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51440259">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406D963">
      <w:pPr>
        <w:pStyle w:val="33"/>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57D6155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F8A058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11.1.1符合参加采购活动应当具备的一般条件的承诺函；</w:t>
      </w:r>
    </w:p>
    <w:p w14:paraId="2B49608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5" w:name="_Hlk101259339"/>
      <w:r>
        <w:rPr>
          <w:rFonts w:hint="eastAsia" w:ascii="宋体" w:hAnsi="宋体" w:cs="宋体"/>
          <w:snapToGrid w:val="0"/>
          <w:color w:val="auto"/>
          <w:kern w:val="28"/>
          <w:sz w:val="24"/>
          <w:szCs w:val="20"/>
          <w:highlight w:val="none"/>
        </w:rPr>
        <w:t>联合协议</w:t>
      </w:r>
      <w:bookmarkEnd w:id="15"/>
      <w:r>
        <w:rPr>
          <w:rFonts w:hint="eastAsia" w:ascii="宋体" w:hAnsi="宋体" w:cs="宋体"/>
          <w:snapToGrid w:val="0"/>
          <w:color w:val="auto"/>
          <w:kern w:val="28"/>
          <w:sz w:val="24"/>
          <w:szCs w:val="20"/>
          <w:highlight w:val="none"/>
        </w:rPr>
        <w:t>（如果有)；</w:t>
      </w:r>
    </w:p>
    <w:p w14:paraId="753FEF4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24A3B9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EAE8B30">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A7D64B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AD86B2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2E51DE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D2DFD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C628A52">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DC358D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C9BB2ED">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779C7E9">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3981EC99">
      <w:pPr>
        <w:snapToGrid w:val="0"/>
        <w:spacing w:line="360"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93289FC">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3BEB8D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11.3.2 中小企业声明函。（如果有）</w:t>
      </w:r>
    </w:p>
    <w:p w14:paraId="15B66280">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7E65CE8">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highlight w:val="none"/>
          <w:shd w:val="clear" w:color="auto" w:fill="FFFFFF"/>
        </w:rPr>
        <w:t>投标人应对投标文件中材料的真实性、合法性负责。投标人可事先在公开官网查询、核对相关证书和报告内容，确保投标（响应）文件资料准确无误。</w:t>
      </w:r>
    </w:p>
    <w:p w14:paraId="1DA528ED">
      <w:pPr>
        <w:pStyle w:val="134"/>
        <w:snapToGrid w:val="0"/>
        <w:spacing w:before="0"/>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1B2F704">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913A28">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12.2投标人进行电子投标应安装客户端软件—“乐采云电子交易客户端”，并按照招标文件和电子交易平台的要求编制并加密投标文件。投标人未按规定加密的投标文件，电子交易平台将拒收并提示。</w:t>
      </w:r>
    </w:p>
    <w:p w14:paraId="398481BC">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12.3使用“乐采云电子交易客户端”需要提前申领CA数字证书。</w:t>
      </w:r>
    </w:p>
    <w:p w14:paraId="6991D487">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14:paraId="6935B9C8">
      <w:pPr>
        <w:pStyle w:val="134"/>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91A42AD">
      <w:pPr>
        <w:pStyle w:val="134"/>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13.2为确保网上操作合法、有效和安全，投标人应当在投标截止时间前完成在“乐采云平台（https://hzjyg.lecaiyun.com）”的身份认证，确保在电子投标过程中能够对相关数据电文进行加密和使用电子签名。</w:t>
      </w:r>
    </w:p>
    <w:p w14:paraId="2A48D051">
      <w:pPr>
        <w:pStyle w:val="134"/>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37DE754">
      <w:pPr>
        <w:pStyle w:val="134"/>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A7C4C96">
      <w:pPr>
        <w:pStyle w:val="134"/>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832FD1">
      <w:pPr>
        <w:pStyle w:val="134"/>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92A94E">
      <w:pPr>
        <w:pStyle w:val="134"/>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846C6CE">
      <w:pPr>
        <w:pStyle w:val="33"/>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15.备份投标文件</w:t>
      </w:r>
    </w:p>
    <w:p w14:paraId="5565B193">
      <w:pPr>
        <w:pStyle w:val="33"/>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14AA246D">
      <w:pPr>
        <w:pStyle w:val="33"/>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15.2备份投标文件须在“乐采云投标客户端”制作生成，并储存在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F4FA8A2">
      <w:pPr>
        <w:pStyle w:val="3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318CFC34">
      <w:pPr>
        <w:pStyle w:val="3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04A054F7">
      <w:pPr>
        <w:pStyle w:val="33"/>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5B384D2">
      <w:pPr>
        <w:pStyle w:val="134"/>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14:paraId="516E8FAB">
      <w:pPr>
        <w:pStyle w:val="25"/>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503ABA9D">
      <w:pPr>
        <w:pStyle w:val="134"/>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14:paraId="19385DC2">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F54A5E9">
      <w:pPr>
        <w:pStyle w:val="134"/>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8857F02">
      <w:pPr>
        <w:pStyle w:val="134"/>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A2CADFF">
      <w:pPr>
        <w:pStyle w:val="134"/>
        <w:spacing w:before="0"/>
        <w:ind w:firstLine="643"/>
        <w:rPr>
          <w:rFonts w:hint="eastAsia" w:ascii="宋体" w:hAnsi="宋体" w:cs="宋体"/>
          <w:b/>
          <w:color w:val="auto"/>
          <w:sz w:val="32"/>
          <w:highlight w:val="none"/>
        </w:rPr>
      </w:pPr>
    </w:p>
    <w:p w14:paraId="3FC344E9">
      <w:pPr>
        <w:pStyle w:val="134"/>
        <w:spacing w:before="0"/>
        <w:ind w:firstLine="1928" w:firstLineChars="600"/>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6BACAED">
      <w:pPr>
        <w:pStyle w:val="560"/>
        <w:spacing w:before="0" w:line="360"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5A39951">
      <w:pPr>
        <w:pStyle w:val="560"/>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5C2F0D75">
      <w:pPr>
        <w:pStyle w:val="560"/>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023DA0CD">
      <w:pPr>
        <w:pStyle w:val="560"/>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C713F2E">
      <w:pPr>
        <w:widowControl/>
        <w:spacing w:before="100" w:beforeAutospacing="1" w:after="240" w:line="360"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7534FAC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55780E59">
      <w:pPr>
        <w:pStyle w:val="134"/>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7740D03">
      <w:pPr>
        <w:pStyle w:val="134"/>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36204D5C">
      <w:pPr>
        <w:pStyle w:val="134"/>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3AEFAA21">
      <w:pPr>
        <w:pStyle w:val="134"/>
        <w:spacing w:before="0"/>
        <w:ind w:firstLine="482"/>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14:paraId="406D4098">
      <w:pPr>
        <w:pStyle w:val="134"/>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20.1信用信息查询渠道及截止时间：采购代理机构将在资格审查时通过“信用中国”网站(www.creditchina.gov.cn)、中国政府采购网(www.ccgp.gov.cn)渠道查询投标人的信用记录。</w:t>
      </w:r>
    </w:p>
    <w:p w14:paraId="6E01082B">
      <w:pPr>
        <w:pStyle w:val="134"/>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6523A05">
      <w:pPr>
        <w:pStyle w:val="134"/>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20.3信用信息的使用规则：经查询列入失信被执行人名单、重大税收违法案件当事人名单、政府采购严重违法失信行为记录名单的投标人将被拒绝参与采购活动。</w:t>
      </w:r>
    </w:p>
    <w:p w14:paraId="5615D96C">
      <w:pPr>
        <w:pStyle w:val="134"/>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D84EBD2">
      <w:pPr>
        <w:pStyle w:val="134"/>
        <w:spacing w:before="0"/>
        <w:ind w:firstLine="0" w:firstLineChars="0"/>
        <w:rPr>
          <w:rFonts w:hint="eastAsia" w:ascii="宋体" w:hAnsi="宋体" w:cs="宋体"/>
          <w:color w:val="auto"/>
          <w:kern w:val="0"/>
          <w:szCs w:val="24"/>
          <w:highlight w:val="none"/>
        </w:rPr>
      </w:pPr>
    </w:p>
    <w:p w14:paraId="276C656E">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五、评标</w:t>
      </w:r>
    </w:p>
    <w:p w14:paraId="69134EA1">
      <w:pPr>
        <w:spacing w:line="360" w:lineRule="auto"/>
        <w:rPr>
          <w:rFonts w:hint="eastAsia" w:ascii="宋体" w:hAnsi="宋体" w:cs="宋体"/>
          <w:b/>
          <w:color w:val="auto"/>
          <w:sz w:val="24"/>
          <w:highlight w:val="none"/>
        </w:rPr>
      </w:pPr>
      <w:bookmarkStart w:id="16"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A5CC671">
      <w:pPr>
        <w:spacing w:line="360" w:lineRule="auto"/>
        <w:rPr>
          <w:rFonts w:hint="eastAsia" w:ascii="宋体" w:hAnsi="宋体" w:cs="宋体"/>
          <w:b/>
          <w:color w:val="auto"/>
          <w:sz w:val="24"/>
          <w:highlight w:val="none"/>
        </w:rPr>
      </w:pPr>
    </w:p>
    <w:p w14:paraId="1129FEFB">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六、定 标</w:t>
      </w:r>
    </w:p>
    <w:p w14:paraId="1B7F8CCB">
      <w:pPr>
        <w:pStyle w:val="25"/>
        <w:spacing w:line="360" w:lineRule="auto"/>
        <w:ind w:left="479" w:hanging="479" w:hangingChars="199"/>
        <w:rPr>
          <w:rFonts w:hint="eastAsia" w:cs="宋体"/>
          <w:b/>
          <w:color w:val="auto"/>
          <w:highlight w:val="none"/>
        </w:rPr>
      </w:pPr>
      <w:r>
        <w:rPr>
          <w:rFonts w:hint="eastAsia" w:cs="宋体"/>
          <w:b/>
          <w:color w:val="auto"/>
          <w:highlight w:val="none"/>
        </w:rPr>
        <w:t>22. 确定中标供应商</w:t>
      </w:r>
    </w:p>
    <w:p w14:paraId="05199F66">
      <w:pPr>
        <w:pStyle w:val="134"/>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71A6999A">
      <w:pPr>
        <w:pStyle w:val="134"/>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4A8B373">
      <w:pPr>
        <w:widowControl/>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1F7930C7">
      <w:pPr>
        <w:widowControl/>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23.2公告期限为1个工作日。</w:t>
      </w:r>
    </w:p>
    <w:p w14:paraId="71C8692B">
      <w:pPr>
        <w:pStyle w:val="134"/>
        <w:snapToGrid w:val="0"/>
        <w:spacing w:before="0"/>
        <w:ind w:firstLine="482"/>
        <w:rPr>
          <w:rStyle w:val="79"/>
          <w:color w:val="auto"/>
          <w:highlight w:val="none"/>
        </w:rPr>
      </w:pPr>
      <w:r>
        <w:rPr>
          <w:rFonts w:hint="eastAsia" w:ascii="宋体" w:hAnsi="宋体" w:cs="宋体"/>
          <w:b/>
          <w:color w:val="auto"/>
          <w:szCs w:val="24"/>
          <w:highlight w:val="none"/>
        </w:rPr>
        <w:t xml:space="preserve">23.4 </w:t>
      </w:r>
      <w:r>
        <w:rPr>
          <w:rFonts w:hint="eastAsia" w:ascii="宋体" w:hAnsi="宋体" w:eastAsia="宋体" w:cs="宋体"/>
          <w:b w:val="0"/>
          <w:color w:val="auto"/>
          <w:szCs w:val="24"/>
          <w:highlight w:val="none"/>
        </w:rPr>
        <w:t>由于中标、成交供应商原因导致重新采购的，应当承担支付代理费和专家评审费等费用在内的赔偿责任。</w:t>
      </w:r>
    </w:p>
    <w:p w14:paraId="7348C08A">
      <w:pPr>
        <w:pStyle w:val="83"/>
        <w:rPr>
          <w:rFonts w:hint="eastAsia"/>
          <w:color w:val="auto"/>
          <w:highlight w:val="none"/>
        </w:rPr>
      </w:pPr>
    </w:p>
    <w:p w14:paraId="3F892EC8">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七、合同授予</w:t>
      </w:r>
    </w:p>
    <w:p w14:paraId="154262E3">
      <w:pPr>
        <w:pStyle w:val="25"/>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74AEA59">
      <w:pPr>
        <w:pStyle w:val="25"/>
        <w:spacing w:line="360" w:lineRule="auto"/>
        <w:ind w:left="479" w:hanging="479" w:hangingChars="199"/>
        <w:rPr>
          <w:rFonts w:hint="eastAsia" w:cs="宋体"/>
          <w:b/>
          <w:color w:val="auto"/>
          <w:highlight w:val="none"/>
        </w:rPr>
      </w:pPr>
      <w:r>
        <w:rPr>
          <w:rFonts w:hint="eastAsia" w:cs="宋体"/>
          <w:b/>
          <w:color w:val="auto"/>
          <w:highlight w:val="none"/>
        </w:rPr>
        <w:t>25. 合同的签订</w:t>
      </w:r>
    </w:p>
    <w:p w14:paraId="4C922F52">
      <w:pPr>
        <w:widowControl/>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采购人与中标人应当通过电子交易平台在中标通知书发出之日起三十日内，按照招标文件确定的事项签订采购合同。</w:t>
      </w:r>
    </w:p>
    <w:p w14:paraId="6781FE01">
      <w:pPr>
        <w:pStyle w:val="134"/>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9781E9">
      <w:pPr>
        <w:pStyle w:val="134"/>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0375778">
      <w:pPr>
        <w:pStyle w:val="134"/>
        <w:snapToGrid w:val="0"/>
        <w:spacing w:before="0"/>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25.4中标供应商拒绝与采购人签订合同的，采购人可以按照评审报告推荐的中标或者成交候选人名单排序，确定下一候选人为中标供应商，也可以重新开展采购活动。</w:t>
      </w:r>
    </w:p>
    <w:p w14:paraId="616C5122">
      <w:pPr>
        <w:pStyle w:val="134"/>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25.5采购合同由采购人与中标供应商根据招标文件、投标文件等内容进行签订，备案。</w:t>
      </w:r>
    </w:p>
    <w:p w14:paraId="65DE1F11">
      <w:pPr>
        <w:pStyle w:val="25"/>
        <w:spacing w:line="360" w:lineRule="auto"/>
        <w:ind w:left="479" w:hanging="479" w:hangingChars="199"/>
        <w:rPr>
          <w:rFonts w:hint="eastAsia" w:cs="宋体"/>
          <w:b/>
          <w:color w:val="auto"/>
          <w:highlight w:val="none"/>
        </w:rPr>
      </w:pPr>
      <w:r>
        <w:rPr>
          <w:rFonts w:hint="eastAsia" w:cs="宋体"/>
          <w:b/>
          <w:color w:val="auto"/>
          <w:highlight w:val="none"/>
        </w:rPr>
        <w:t>26. 履约保证金</w:t>
      </w:r>
    </w:p>
    <w:p w14:paraId="076C145E">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C131172">
      <w:pPr>
        <w:pStyle w:val="4"/>
        <w:rPr>
          <w:rFonts w:hint="eastAsia"/>
          <w:color w:val="auto"/>
          <w:highlight w:val="none"/>
        </w:rPr>
      </w:pPr>
      <w:r>
        <w:rPr>
          <w:rFonts w:ascii="宋体" w:hAnsi="宋体" w:eastAsia="宋体"/>
          <w:color w:val="auto"/>
          <w:sz w:val="24"/>
          <w:highlight w:val="none"/>
          <w:lang w:val="en-US"/>
        </w:rPr>
        <w:t>27.预付款</w:t>
      </w:r>
    </w:p>
    <w:p w14:paraId="33A3201E">
      <w:pPr>
        <w:adjustRightInd/>
        <w:spacing w:line="360" w:lineRule="auto"/>
        <w:ind w:firstLine="480" w:firstLineChars="200"/>
        <w:rPr>
          <w:color w:val="auto"/>
          <w:highlight w:val="none"/>
        </w:rPr>
      </w:pPr>
      <w:r>
        <w:rPr>
          <w:rFonts w:hint="eastAsia" w:ascii="宋体" w:hAnsi="宋体"/>
          <w:color w:val="auto"/>
          <w:sz w:val="24"/>
          <w:highlight w:val="none"/>
        </w:rPr>
        <w:t>采购单位应当在采购合同中约定预付款，对中小企业合同预付款比例原则上不低于合同金额的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w:t>
      </w:r>
    </w:p>
    <w:p w14:paraId="6E0BC2DC">
      <w:pPr>
        <w:rPr>
          <w:color w:val="auto"/>
          <w:highlight w:val="none"/>
        </w:rPr>
      </w:pPr>
    </w:p>
    <w:p w14:paraId="37B51C06">
      <w:pPr>
        <w:snapToGrid w:val="0"/>
        <w:spacing w:line="360" w:lineRule="auto"/>
        <w:ind w:firstLine="3357" w:firstLineChars="1045"/>
        <w:rPr>
          <w:rFonts w:hint="eastAsia" w:ascii="宋体" w:hAnsi="宋体" w:cs="宋体"/>
          <w:b/>
          <w:color w:val="auto"/>
          <w:sz w:val="32"/>
          <w:highlight w:val="none"/>
        </w:rPr>
      </w:pPr>
    </w:p>
    <w:p w14:paraId="481E8A98">
      <w:pPr>
        <w:snapToGrid w:val="0"/>
        <w:spacing w:line="360" w:lineRule="auto"/>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14:paraId="73E8DF1F">
      <w:pPr>
        <w:pStyle w:val="134"/>
        <w:snapToGrid w:val="0"/>
        <w:spacing w:before="0"/>
        <w:ind w:firstLine="0" w:firstLineChars="0"/>
        <w:rPr>
          <w:rFonts w:hint="eastAsia"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245A1E2B">
      <w:pPr>
        <w:pStyle w:val="134"/>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06C9582">
      <w:pPr>
        <w:pStyle w:val="134"/>
        <w:snapToGrid w:val="0"/>
        <w:spacing w:before="0"/>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57711D6">
      <w:pPr>
        <w:pStyle w:val="134"/>
        <w:snapToGrid w:val="0"/>
        <w:spacing w:before="0"/>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61EE8DB">
      <w:pPr>
        <w:pStyle w:val="134"/>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403BCD4">
      <w:pPr>
        <w:pStyle w:val="134"/>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942080B">
      <w:pPr>
        <w:pStyle w:val="134"/>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89E3579">
      <w:pPr>
        <w:tabs>
          <w:tab w:val="left" w:pos="0"/>
        </w:tabs>
        <w:spacing w:line="360" w:lineRule="auto"/>
        <w:ind w:firstLine="480"/>
        <w:rPr>
          <w:rFonts w:hint="eastAsia" w:ascii="宋体" w:hAnsi="宋体" w:cs="宋体"/>
          <w:color w:val="auto"/>
          <w:sz w:val="24"/>
          <w:highlight w:val="none"/>
        </w:rPr>
      </w:pPr>
    </w:p>
    <w:p w14:paraId="73AA1853">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九、验收</w:t>
      </w:r>
    </w:p>
    <w:p w14:paraId="3FF2944E">
      <w:pPr>
        <w:pStyle w:val="25"/>
        <w:spacing w:line="360" w:lineRule="auto"/>
        <w:ind w:firstLine="0" w:firstLineChars="0"/>
        <w:rPr>
          <w:rFonts w:hint="eastAsia" w:cs="宋体"/>
          <w:b/>
          <w:color w:val="auto"/>
          <w:highlight w:val="none"/>
        </w:rPr>
      </w:pPr>
      <w:r>
        <w:rPr>
          <w:rFonts w:hint="eastAsia" w:cs="宋体"/>
          <w:b/>
          <w:color w:val="auto"/>
          <w:highlight w:val="none"/>
        </w:rPr>
        <w:t>30.验收</w:t>
      </w:r>
    </w:p>
    <w:p w14:paraId="0574A862">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E65B63">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9311B46">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278DD6">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6"/>
      <w:bookmarkStart w:id="17" w:name="_Hlt74707468"/>
      <w:bookmarkEnd w:id="17"/>
      <w:bookmarkStart w:id="18" w:name="_Hlt74730295"/>
      <w:bookmarkEnd w:id="18"/>
      <w:bookmarkStart w:id="19" w:name="_Hlt74714665"/>
      <w:bookmarkEnd w:id="19"/>
      <w:bookmarkStart w:id="20" w:name="_Hlt75236290"/>
      <w:bookmarkEnd w:id="20"/>
      <w:bookmarkStart w:id="21" w:name="_Hlt75236101"/>
      <w:bookmarkEnd w:id="21"/>
      <w:bookmarkStart w:id="22" w:name="_Hlt68403820"/>
      <w:bookmarkEnd w:id="22"/>
      <w:bookmarkStart w:id="23" w:name="_Hlt74729768"/>
      <w:bookmarkEnd w:id="23"/>
      <w:bookmarkStart w:id="24" w:name="_Hlt68073093"/>
      <w:bookmarkEnd w:id="24"/>
      <w:bookmarkStart w:id="25" w:name="_Hlt68057669"/>
      <w:bookmarkEnd w:id="25"/>
      <w:bookmarkStart w:id="26" w:name="_Hlt68072998"/>
      <w:bookmarkEnd w:id="26"/>
      <w:bookmarkStart w:id="27" w:name="_Hlt68072990"/>
      <w:bookmarkEnd w:id="27"/>
      <w:bookmarkStart w:id="28" w:name="_Hlt75236011"/>
      <w:bookmarkEnd w:id="28"/>
    </w:p>
    <w:p w14:paraId="33C9DCFA">
      <w:pPr>
        <w:pStyle w:val="83"/>
        <w:rPr>
          <w:rFonts w:hint="eastAsia"/>
          <w:color w:val="auto"/>
          <w:highlight w:val="none"/>
        </w:rPr>
        <w:sectPr>
          <w:pgSz w:w="11906" w:h="16838"/>
          <w:pgMar w:top="1417" w:right="1418" w:bottom="1417" w:left="1418" w:header="851" w:footer="992" w:gutter="0"/>
          <w:cols w:space="720" w:num="1"/>
          <w:titlePg/>
          <w:docGrid w:linePitch="312" w:charSpace="0"/>
        </w:sectPr>
      </w:pPr>
    </w:p>
    <w:bookmarkEnd w:id="12"/>
    <w:bookmarkEnd w:id="13"/>
    <w:p w14:paraId="75C644A7">
      <w:pPr>
        <w:spacing w:line="360" w:lineRule="auto"/>
        <w:jc w:val="center"/>
        <w:outlineLvl w:val="0"/>
        <w:rPr>
          <w:rFonts w:hint="eastAsia" w:ascii="宋体" w:hAnsi="宋体" w:cs="宋体"/>
          <w:b/>
          <w:color w:val="auto"/>
          <w:sz w:val="36"/>
          <w:szCs w:val="36"/>
          <w:highlight w:val="none"/>
        </w:rPr>
      </w:pPr>
      <w:bookmarkStart w:id="29" w:name="第四部分"/>
      <w:r>
        <w:rPr>
          <w:rFonts w:hint="eastAsia" w:ascii="宋体" w:hAnsi="宋体" w:cs="宋体"/>
          <w:b/>
          <w:color w:val="auto"/>
          <w:sz w:val="36"/>
          <w:szCs w:val="36"/>
          <w:highlight w:val="none"/>
        </w:rPr>
        <w:t>第三部分   采购需求</w:t>
      </w:r>
    </w:p>
    <w:p w14:paraId="1DE1F22F">
      <w:pPr>
        <w:rPr>
          <w:rFonts w:hint="eastAsia" w:ascii="宋体" w:hAnsi="宋体" w:cs="宋体"/>
          <w:color w:val="auto"/>
          <w:sz w:val="24"/>
          <w:highlight w:val="none"/>
        </w:rPr>
      </w:pPr>
    </w:p>
    <w:p w14:paraId="16DC0D68">
      <w:pPr>
        <w:pStyle w:val="5"/>
        <w:spacing w:before="0" w:after="0" w:line="360" w:lineRule="auto"/>
        <w:rPr>
          <w:color w:val="auto"/>
          <w:sz w:val="24"/>
          <w:szCs w:val="24"/>
          <w:highlight w:val="none"/>
        </w:rPr>
      </w:pPr>
      <w:r>
        <w:rPr>
          <w:rFonts w:hint="eastAsia"/>
          <w:color w:val="auto"/>
          <w:sz w:val="24"/>
          <w:szCs w:val="24"/>
          <w:highlight w:val="none"/>
        </w:rPr>
        <w:t>一、项目概况</w:t>
      </w:r>
    </w:p>
    <w:p w14:paraId="12FB1511">
      <w:pPr>
        <w:spacing w:line="360" w:lineRule="auto"/>
        <w:ind w:firstLine="480" w:firstLineChars="200"/>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在信息技术飞速发展的当下，教育领域正面临深刻变革。国家对教育信息化高度重视，相关政策不断推动教育现代化、个性化、智能化发展。人工智能（AI）技术在教育中的应用日益广泛，为教学模式革新带来新契机。在此背景下，建设 AI 智慧教室具有紧迫性与重要性。</w:t>
      </w:r>
    </w:p>
    <w:p w14:paraId="4563EF30">
      <w:pPr>
        <w:spacing w:line="360" w:lineRule="auto"/>
        <w:ind w:firstLine="480" w:firstLineChars="200"/>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本次</w:t>
      </w:r>
      <w:r>
        <w:rPr>
          <w:rFonts w:hint="eastAsia" w:ascii="宋体" w:hAnsi="宋体" w:cs="宋体"/>
          <w:color w:val="auto"/>
          <w:sz w:val="24"/>
          <w:highlight w:val="none"/>
          <w:shd w:val="clear" w:color="auto" w:fill="FFFFFF"/>
          <w:lang w:val="zh-CN"/>
        </w:rPr>
        <w:t>葵巷校区智慧教室建设项目</w:t>
      </w:r>
      <w:r>
        <w:rPr>
          <w:rFonts w:hint="eastAsia" w:ascii="宋体" w:hAnsi="宋体" w:cs="宋体"/>
          <w:color w:val="auto"/>
          <w:sz w:val="24"/>
          <w:highlight w:val="none"/>
          <w:shd w:val="clear" w:color="auto" w:fill="FFFFFF"/>
        </w:rPr>
        <w:t>，主要内容包括智能录播系统、互动教学系统，教学行为AI大数据人工智能分析系统等。建设地点位于我校葵巷校区，总使用面积为131方左右，分为录播教室和观摩室两块区域，面积约102平方和29平方左右。建成后，主要用于精品课程录播、师生互动课堂和教师课堂教学AI行为分析，为师生的日常教学提供智能化的教学辅助，为教师针对学生的教育指导提供客观真实的数据参考，以此提升教师教学能力和信息化应用水平。同时该项目的建设，将优化学校优质课程资源的保存、共享和</w:t>
      </w:r>
      <w:r>
        <w:rPr>
          <w:rFonts w:hint="eastAsia" w:ascii="宋体" w:hAnsi="宋体" w:cs="宋体"/>
          <w:color w:val="auto"/>
          <w:sz w:val="24"/>
          <w:highlight w:val="none"/>
          <w:shd w:val="clear" w:color="auto" w:fill="FFFFFF"/>
        </w:rPr>
        <w:fldChar w:fldCharType="begin"/>
      </w:r>
      <w:r>
        <w:rPr>
          <w:rFonts w:hint="eastAsia" w:ascii="宋体" w:hAnsi="宋体" w:cs="宋体"/>
          <w:color w:val="auto"/>
          <w:sz w:val="24"/>
          <w:highlight w:val="none"/>
          <w:shd w:val="clear" w:color="auto" w:fill="FFFFFF"/>
        </w:rPr>
        <w:instrText xml:space="preserve"> HYPERLINK "http://sell.hc360.com/offer/3FDD12AB7497F7F6.html" \t "_blank" </w:instrText>
      </w:r>
      <w:r>
        <w:rPr>
          <w:rFonts w:hint="eastAsia" w:ascii="宋体" w:hAnsi="宋体" w:cs="宋体"/>
          <w:color w:val="auto"/>
          <w:sz w:val="24"/>
          <w:highlight w:val="none"/>
          <w:shd w:val="clear" w:color="auto" w:fill="FFFFFF"/>
        </w:rPr>
        <w:fldChar w:fldCharType="separate"/>
      </w:r>
      <w:r>
        <w:rPr>
          <w:rFonts w:hint="eastAsia" w:ascii="宋体" w:hAnsi="宋体" w:cs="宋体"/>
          <w:color w:val="auto"/>
          <w:sz w:val="24"/>
          <w:highlight w:val="none"/>
          <w:shd w:val="clear" w:color="auto" w:fill="FFFFFF"/>
        </w:rPr>
        <w:t>存储</w:t>
      </w:r>
      <w:r>
        <w:rPr>
          <w:rFonts w:hint="eastAsia" w:ascii="宋体" w:hAnsi="宋体" w:cs="宋体"/>
          <w:color w:val="auto"/>
          <w:sz w:val="24"/>
          <w:highlight w:val="none"/>
          <w:shd w:val="clear" w:color="auto" w:fill="FFFFFF"/>
        </w:rPr>
        <w:fldChar w:fldCharType="end"/>
      </w:r>
      <w:r>
        <w:rPr>
          <w:rFonts w:hint="eastAsia" w:ascii="宋体" w:hAnsi="宋体" w:cs="宋体"/>
          <w:color w:val="auto"/>
          <w:sz w:val="24"/>
          <w:highlight w:val="none"/>
          <w:shd w:val="clear" w:color="auto" w:fill="FFFFFF"/>
        </w:rPr>
        <w:t>，聚集优质教育资源，提供学生丰富的学习资源，提高学习效率。</w:t>
      </w:r>
    </w:p>
    <w:p w14:paraId="25DBDF41">
      <w:pPr>
        <w:pStyle w:val="5"/>
        <w:spacing w:before="0" w:after="0" w:line="360" w:lineRule="auto"/>
        <w:rPr>
          <w:color w:val="auto"/>
          <w:sz w:val="24"/>
          <w:szCs w:val="24"/>
          <w:highlight w:val="none"/>
        </w:rPr>
      </w:pPr>
      <w:r>
        <w:rPr>
          <w:rFonts w:hint="eastAsia"/>
          <w:color w:val="auto"/>
          <w:sz w:val="24"/>
          <w:szCs w:val="24"/>
          <w:highlight w:val="none"/>
        </w:rPr>
        <w:t>二、建设要求</w:t>
      </w:r>
    </w:p>
    <w:p w14:paraId="7F1079C8">
      <w:pPr>
        <w:spacing w:line="360" w:lineRule="auto"/>
        <w:ind w:firstLine="547" w:firstLineChars="228"/>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系统整体要求稳定可靠、使用便捷，并具有一定的扩展性、兼容性和开放性。</w:t>
      </w:r>
    </w:p>
    <w:p w14:paraId="361CDE33">
      <w:pPr>
        <w:spacing w:line="360" w:lineRule="auto"/>
        <w:rPr>
          <w:rFonts w:hint="eastAsia" w:ascii="宋体" w:hAnsi="宋体" w:cs="宋体"/>
          <w:b/>
          <w:bCs/>
          <w:color w:val="auto"/>
          <w:sz w:val="24"/>
          <w:highlight w:val="none"/>
          <w:shd w:val="clear" w:color="auto" w:fill="FFFFFF"/>
        </w:rPr>
      </w:pPr>
      <w:r>
        <w:rPr>
          <w:rFonts w:hint="eastAsia" w:ascii="宋体" w:hAnsi="宋体" w:cs="宋体"/>
          <w:b/>
          <w:bCs/>
          <w:color w:val="auto"/>
          <w:sz w:val="24"/>
          <w:highlight w:val="none"/>
          <w:shd w:val="clear" w:color="auto" w:fill="FFFFFF"/>
        </w:rPr>
        <w:t>（一）主要功能要求</w:t>
      </w:r>
    </w:p>
    <w:p w14:paraId="0C851DC7">
      <w:pPr>
        <w:spacing w:line="360" w:lineRule="auto"/>
        <w:ind w:firstLine="547" w:firstLineChars="228"/>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项目由精品录播（上课区、观摩区）高清智能录播系统、师生有线及无线互动课堂系统、教学行为AI大数据人工智能分析系统、智慧物联管控系统、远程互动教学等5部分组成。</w:t>
      </w:r>
    </w:p>
    <w:p w14:paraId="69D40733">
      <w:pPr>
        <w:pStyle w:val="261"/>
        <w:numPr>
          <w:ilvl w:val="0"/>
          <w:numId w:val="2"/>
        </w:numPr>
        <w:tabs>
          <w:tab w:val="left" w:pos="420"/>
        </w:tabs>
        <w:ind w:hanging="907" w:firstLineChars="0"/>
        <w:rPr>
          <w:rFonts w:hint="eastAsia" w:ascii="宋体" w:hAnsi="宋体" w:cs="宋体"/>
          <w:b/>
          <w:bCs/>
          <w:color w:val="auto"/>
          <w:highlight w:val="none"/>
        </w:rPr>
      </w:pPr>
      <w:r>
        <w:rPr>
          <w:rFonts w:hint="eastAsia" w:ascii="宋体" w:hAnsi="宋体" w:cs="宋体"/>
          <w:b/>
          <w:bCs/>
          <w:color w:val="auto"/>
          <w:highlight w:val="none"/>
        </w:rPr>
        <w:t>智能录播系统</w:t>
      </w:r>
    </w:p>
    <w:p w14:paraId="06251A4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本次项目建设</w:t>
      </w:r>
      <w:r>
        <w:rPr>
          <w:rFonts w:hint="eastAsia" w:ascii="宋体" w:hAnsi="宋体" w:cs="宋体"/>
          <w:color w:val="auto"/>
          <w:sz w:val="24"/>
          <w:highlight w:val="none"/>
        </w:rPr>
        <w:t>一间高清录播课室，录播教室的作用在于对教师行为、学生行为、教师电脑的高清信号进行采集。要求在全自动的模式下，老师、学生只需正常上课即可，无需佩戴任何设备</w:t>
      </w:r>
      <w:r>
        <w:rPr>
          <w:rFonts w:hint="eastAsia" w:ascii="宋体" w:hAnsi="宋体" w:cs="宋体"/>
          <w:color w:val="auto"/>
          <w:kern w:val="0"/>
          <w:sz w:val="24"/>
          <w:highlight w:val="none"/>
        </w:rPr>
        <w:t>，搭建一个具备高清录播功能的智慧教室，提供稳定、快捷、方便的软硬件环境。</w:t>
      </w:r>
    </w:p>
    <w:p w14:paraId="586ECF9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（1）必须是具备能够多机位自动化实时录制，要求视频清晰度达到1080P@25以上。</w:t>
      </w:r>
    </w:p>
    <w:p w14:paraId="2E1EC8F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（2）必须实现对师生特写的全方位、多角度自动化拍摄，拒绝任何的人工干预，要求视频转换自然，符合教学特点，能够随课堂进程而自动转换观看焦点。</w:t>
      </w:r>
      <w:r>
        <w:rPr>
          <w:rFonts w:hint="eastAsia" w:ascii="宋体" w:hAnsi="宋体" w:cs="宋体"/>
          <w:color w:val="auto"/>
          <w:sz w:val="24"/>
          <w:highlight w:val="none"/>
        </w:rPr>
        <w:t>在直播过程中，对教学进行远程观摩和评估，可以进行实时点评，教师上课的案例课件，教师可以登陆学校平台实现观看及下载学习。</w:t>
      </w:r>
    </w:p>
    <w:p w14:paraId="6E10A84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（3）必须实现学生和教师声音的高清晰全程录制，声音还原清晰、自然、真实，拒绝采用全向性监控、监听级的拾音器，要求采用专业录音级的具备指向性的电容话筒。</w:t>
      </w:r>
    </w:p>
    <w:p w14:paraId="1013E7D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（4）编码及录播设备必须采用稳定可靠的纯硬件设备，减少系统部署的复杂度，并有效保证系统的稳定性和可靠性，所有设备必须能够被学校已有的云资源管理平台进行统一管理。</w:t>
      </w:r>
    </w:p>
    <w:p w14:paraId="66B1B9F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必须实现的功能：自动导播、录制、生成精品课程视频的同时，要求在录播服务器上保留每一路原始视频素材，即同时生成4路1080P原始视频、1路VGA原始视频和1路自动导播生成的高清1080P电影模式视频，且所有的视频素材要求保存在同一文件夹中，便于查找和检索和后期制作使用；要求系统同时生成自动导播电影模式课件和分屏资源模式课件，满足不同观看需求。要求同时实现电影模式和分屏资源模式两种方式的同步直播和点播功能。</w:t>
      </w:r>
    </w:p>
    <w:p w14:paraId="4B37D53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6）能在教学活动过程中进行自动（一键录播）及手动拍摄、录制和存储，同时能够对教学过程进行网上实时直播和回放点播。授课教师在讲课的同时，网络上的用户即可以方便地观看授课教师的直播课堂内容。直播视频清晰流畅，音频清晰连贯，并与图像同步。应支持直播并发用户数不小于200个，后期可按需扩展。</w:t>
      </w:r>
    </w:p>
    <w:p w14:paraId="37FB06A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（7）支持变速跟踪，摄像机自动根据目标的移动速度调整跟踪策略，自动切换到教师全景，教师站立不动时再切换到教师特写，无需人工干涉。学生跟踪无身高要求。</w:t>
      </w:r>
    </w:p>
    <w:p w14:paraId="343A270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（8）当教师触摸到黑板区域，就实现准确的板书跟踪，支持电子白板区域屏蔽，也支持整块黑板跟踪，即实现黑板的左边跟踪到黑板右边。</w:t>
      </w:r>
    </w:p>
    <w:p w14:paraId="35F9126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（9）支持远程键盘控制：支持鼠标在图像上点击后，用专用远程键盘控制摄像机云台进行拍摄，并调整焦距等细节，方便电教老师进行手动拍摄。</w:t>
      </w:r>
    </w:p>
    <w:p w14:paraId="2F4332B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10）系统必须具有完备的互联网接入能力，能够与学校微信公众号进行对接，通过扫码及朋友圈分享等方式，实现快速的视频资源分享，不受终端类型（IOS、安卓、windows等）限制，在线点直播观看智慧教室上课过程。</w:t>
      </w:r>
    </w:p>
    <w:p w14:paraId="3FFC51C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（12)系统须具备第三方平台的直播推流功能，且具备强大的视频转码能力。</w:t>
      </w:r>
    </w:p>
    <w:p w14:paraId="4DDABA0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（13）系统必须开放对接接口，实现与旅游职校现有的校园网应用系统等的对接，实现用户统一登陆认证和资源的互通。</w:t>
      </w:r>
    </w:p>
    <w:p w14:paraId="5B1E895C">
      <w:pPr>
        <w:pStyle w:val="261"/>
        <w:numPr>
          <w:ilvl w:val="0"/>
          <w:numId w:val="2"/>
        </w:numPr>
        <w:tabs>
          <w:tab w:val="left" w:pos="420"/>
        </w:tabs>
        <w:ind w:hanging="907" w:firstLineChars="0"/>
        <w:rPr>
          <w:rFonts w:hint="eastAsia" w:ascii="宋体" w:hAnsi="宋体" w:cs="宋体"/>
          <w:b/>
          <w:bCs/>
          <w:color w:val="auto"/>
          <w:highlight w:val="none"/>
        </w:rPr>
      </w:pPr>
      <w:r>
        <w:rPr>
          <w:rFonts w:hint="eastAsia" w:ascii="宋体" w:hAnsi="宋体" w:cs="宋体"/>
          <w:b/>
          <w:bCs/>
          <w:color w:val="auto"/>
          <w:highlight w:val="none"/>
        </w:rPr>
        <w:t>师生互动课堂系统</w:t>
      </w:r>
    </w:p>
    <w:p w14:paraId="3D8875D3">
      <w:pPr>
        <w:spacing w:line="360" w:lineRule="auto"/>
        <w:ind w:firstLine="420"/>
        <w:rPr>
          <w:rFonts w:hint="eastAsia" w:ascii="宋体" w:hAnsi="宋体" w:cs="宋体"/>
          <w:color w:val="auto"/>
          <w:sz w:val="24"/>
          <w:highlight w:val="none"/>
        </w:rPr>
      </w:pPr>
      <w:r>
        <w:rPr>
          <w:rFonts w:hint="eastAsia" w:ascii="宋体" w:hAnsi="宋体" w:cs="宋体"/>
          <w:color w:val="auto"/>
          <w:kern w:val="0"/>
          <w:sz w:val="24"/>
          <w:highlight w:val="none"/>
        </w:rPr>
        <w:t>教师讲台处配置一台智能教学终端系统，系统集成教师机主显示屏、互动显示屏双屏显示，</w:t>
      </w:r>
      <w:r>
        <w:rPr>
          <w:rFonts w:hint="eastAsia" w:ascii="宋体" w:hAnsi="宋体" w:cs="宋体"/>
          <w:color w:val="auto"/>
          <w:sz w:val="24"/>
          <w:highlight w:val="none"/>
        </w:rPr>
        <w:t>为了能让教师方便使用分成三大区块：功能入口区、高频操作区、内容切换区。功能入口区：展示课程信息，考勤、学生表现、课堂数据、提问墙、消息推送等功能按键。高频操作区：应用软件缩略图（PPT、图片、视频）展示与控制，互动功能快捷控制（批注、截图下发、出题、白板、提问等）。切换区：应用软件切换（PPT、文档、表格等），界面控制功能切换（课堂教学、设备控制），其中教室设备控制（常用信号源切换）、环境设备控制（录播、环控）、互动控制（多屏交互）等。</w:t>
      </w:r>
    </w:p>
    <w:p w14:paraId="371CEC9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配置6台学生小组互动一体机用于学生分组讨论呈现内容。支持4K超高清画质传输，支持无线、有线两种投屏方式。教学过程由教师全权掌控，一键实现教学广播、分组学习、小组示范，双控制模式（双向批注、双向板书）。广播模式实现教师将教师端屏幕显示的教学内容或书写白板内容分享给每一个小组或单独任意小组屏上。分组教学实现自由讨论模式，学生自带的笔记本电脑、平板电脑、手机等，可通过扫码、投屏码等方式快速的将内容投屏至小组屏中进行实时展示，小组屏中最多可同时展示4个投屏画面。小组示范实现教师可以将任意小组的讨论内容抓取到教师屏中进行2至4画面的多屏比对。小组分组学习状态下，每个小组具备 WIFY 无线同屏连接热点，支持学生使用手平板、笔记本电脑等交互学习。同时系统内置书写白板及双向触控批注功能，实现教师屏板书与各小组共享，实现双向同步书写，双向批注，保存等功能。</w:t>
      </w:r>
    </w:p>
    <w:p w14:paraId="6BADBEB0">
      <w:pPr>
        <w:pStyle w:val="261"/>
        <w:numPr>
          <w:ilvl w:val="0"/>
          <w:numId w:val="2"/>
        </w:numPr>
        <w:tabs>
          <w:tab w:val="left" w:pos="420"/>
        </w:tabs>
        <w:ind w:hanging="907" w:firstLineChars="0"/>
        <w:rPr>
          <w:rFonts w:hint="eastAsia" w:ascii="宋体" w:hAnsi="宋体" w:cs="宋体"/>
          <w:b/>
          <w:bCs/>
          <w:color w:val="auto"/>
          <w:highlight w:val="none"/>
        </w:rPr>
      </w:pPr>
      <w:r>
        <w:rPr>
          <w:rFonts w:hint="eastAsia" w:ascii="宋体" w:hAnsi="宋体" w:cs="宋体"/>
          <w:b/>
          <w:bCs/>
          <w:color w:val="auto"/>
          <w:highlight w:val="none"/>
        </w:rPr>
        <w:t>AI大数据人工智能教学行为分析系统</w:t>
      </w:r>
    </w:p>
    <w:p w14:paraId="0379519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构建AI高清录播系统：通过对教师特写、教师全景、学生特写、学生全景等多个画面的视频高清采集、录制，以及教学过程中师生音频的高清采集、录制， 生成教学过程最基础的音视频数据，作为AI分析的初始数据；同时配置教室内的AI分析终端和学生AI面部识别相机，通过内置的AI算力芯片和算法，对教学全过程数据进行初步加工处理，并实时与学校教育资源管理平台中的AI教学评估督导系统及教学AI多模态分析系统进行无缝对接。实现以下功能：</w:t>
      </w:r>
    </w:p>
    <w:p w14:paraId="603CA84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实现课堂教学行为包括AI分析系统能自动识别的教师和学生行为,(讲授、巡视、演示、提问、板书、学生听讲、学生读写、学生举手、学生站立、师生互动等多种行为，可对各类动作进行实时检测，通过图表和表格形象展示一节课堂中各类动作的学生人数和占比；</w:t>
      </w:r>
    </w:p>
    <w:p w14:paraId="120FDCF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教学行为分析：实现弗兰德斯教学行为分析法（S-T），系统根据图像识别全自动跟踪数据生成S-T曲线图，帮助用户进行教学技能提升和评估；让老师更清楚自己上课的类型，如：授课型、练习型、对话型、混合型；</w:t>
      </w:r>
    </w:p>
    <w:p w14:paraId="059CECA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3、实现按照时间维度，可查看全班学生的课堂注意力趋势数据，以便调整自己的课堂节奏和教学进度；支持进行学生注意力检测，生成曲线图表展示一节课堂不同时间抬头学生数量在全班学生的占比；</w:t>
      </w:r>
    </w:p>
    <w:p w14:paraId="702EFB2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4、实现课堂学生抬头率，前排就坐率、到课率等AI识别及统计；</w:t>
      </w:r>
    </w:p>
    <w:p w14:paraId="55672F5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5、实现课堂老师、学生各种教学行为占比统计、支持老师教学、学生听课行为走势时间轴统计显示；支持学生各行为峰值统计；</w:t>
      </w:r>
    </w:p>
    <w:p w14:paraId="728FDA6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6、实现课堂师生互动热力图时间轴统计显示，并可显示各个时间段师生互动的次数数据；</w:t>
      </w:r>
    </w:p>
    <w:p w14:paraId="13BB357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7、实现老师课堂巡视轨迹热力图显示，支持巡视次数，巡视时长统计；</w:t>
      </w:r>
    </w:p>
    <w:p w14:paraId="0FFE834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实现内置语音转写应用，支持普通话识别准确率不低于90%；支持跟资源平台对接实现直播及视频字幕叠加功能，将识别的文字叠加到视频播放窗口中；支持后期编辑，对于识别错误的内容，如同音字词、专用词汇进行修订实现更准确的转写应用；支持批量修改；支持智能断句，只是按时间节点进行转写内容标识，便于后期进行视频字幕编辑；支持中文数字混合转写；支持敏感词管理，单台设备支持不少于10000个敏感词管理，并可生成敏感词分析报告，对视频中的敏感词在转写时按策略屏蔽；支持知识点提取，通过视频中课程PPT内容或语音转写进行关键知识点内容提取和编辑，并同步在视频播放页面呈现，点击知识点即可快速跳转到该知识点的片段，方便学习观看；支持与督导巡课系统对接，实现转写内容、转写分析报告与督导评课数据同步呈现；</w:t>
      </w:r>
    </w:p>
    <w:p w14:paraId="31FEEFF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9、实现支持语速语调识别分析，支持课程老师发言总字数、平均每分钟字数、单次最长发言时间长度识别分析，支持语调丰富性、活力评价；支持老师语音音量大小的曲线图统计；</w:t>
      </w:r>
    </w:p>
    <w:p w14:paraId="1C49BBC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10、实现支持高频词识别，以及最高频次词语的标识，支持对所有高频词进行筛选并显示每个高频词出现的次数；</w:t>
      </w:r>
    </w:p>
    <w:p w14:paraId="53B5158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11、实现支持敏感词识别，以及敏感词出现频率最高的词语进行标识，支持对所有敏感词进行筛选并显示每个敏感词出现的次数；</w:t>
      </w:r>
    </w:p>
    <w:p w14:paraId="6507FF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实现支持布鲁姆提问分析如记忆型、评价型、创造型、理解型、分析型、应用型等维度的雷达图统计显示，支持对课堂提问次数统计，并将提问进行分类如高级认知问题、基础认知问题等，并将课堂提问进行分析评价，如记忆型或评价型提问；并可统计提问频率较高的时间分布；</w:t>
      </w:r>
    </w:p>
    <w:p w14:paraId="7EE5F18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13、实现支持4MAT提问分析，对是何、若何、为何、如何等维度进行雷达图统计显示，支持是何、若何、为何、如何提问次数统计，并给出课堂提问建议；</w:t>
      </w:r>
    </w:p>
    <w:p w14:paraId="566F39B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14、实现弗兰德斯互动分析，如启发指导比、教师提问比、学生稳态比、学生发言比、教学内容比的雷达图统计显示，并支持根据分析数据对课堂互动进行评价建议；</w:t>
      </w:r>
    </w:p>
    <w:p w14:paraId="0406A09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15、实现课堂氛围数据统计如老师情绪，学生情绪等，老师学生情绪包含开心、惊喜、中立、悲伤、愤怒、厌恶、害怕等，并支持老师情绪的时间轴统计显示，学生情绪支持时间轴情绪次数的统计显示</w:t>
      </w:r>
    </w:p>
    <w:p w14:paraId="0D4C6D2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实现课堂秩序数据统计如正常语音、高质量音频、鼓掌、噪声、笑声、打喷嚏、咳嗽、呼吸、唱歌、背景音乐、哭声等声音分析，支持对声音进行分类统计如教学交流类、积极反馈类、干扰意外类、特殊活动类等；</w:t>
      </w:r>
    </w:p>
    <w:p w14:paraId="4804E50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实现课堂考勤功能，支持人数考勤和人脸考勤两种应用；基于人脸识别的自动考勤功能需支持实时统计学生出勤情况，包括应出席人数、实际出席人数、迟到人数等，检测间隔为10秒，并生成曲线图；支持基于与学生人脸数据库的精细对比，准确检测出席学生的对应姓名；</w:t>
      </w:r>
    </w:p>
    <w:p w14:paraId="7ED4538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实现老师画像和班级画像，支持按组织架构、学期、老师姓名进行筛选，支持按评分、到课率、课堂活跃度，学生专注度等进行排序；支持老师教情、学情、督导评分、平均到课率、平均活跃度、平均专注度数据统计；支持班级到课率均值、活跃度均值、专注度均值统计；</w:t>
      </w:r>
    </w:p>
    <w:p w14:paraId="32945AA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19、实现平台支持管理员依据平台提供教学行为分析类型进行筛选，可依据选择的行为分析类型进行对应分析数据的统计与呈现；</w:t>
      </w:r>
    </w:p>
    <w:p w14:paraId="0066639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20、实现校教学管理者可参看各科教师的课堂观察分析报告，该报告支持在线预览和导出，为教研点评提供客观数据；</w:t>
      </w:r>
    </w:p>
    <w:p w14:paraId="7307E7D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21、实现校教学管理者可以任选两位教师的授课情况进行同课异构对比，可以查看两位教师的授课过程中的行为数据，S-T和授课类型的对比分析；</w:t>
      </w:r>
    </w:p>
    <w:p w14:paraId="11569F6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22、实现AI语音助手工具，支持通过语音对话方式将平台相关分析数据进行调取方便分析数据导出应用；</w:t>
      </w:r>
    </w:p>
    <w:p w14:paraId="432D97AB">
      <w:pPr>
        <w:spacing w:line="360" w:lineRule="auto"/>
        <w:rPr>
          <w:rFonts w:hint="eastAsia" w:ascii="宋体" w:hAnsi="宋体" w:cs="宋体"/>
          <w:b/>
          <w:bCs/>
          <w:color w:val="auto"/>
          <w:sz w:val="24"/>
          <w:highlight w:val="none"/>
          <w:shd w:val="clear" w:color="auto" w:fill="FFFFFF"/>
        </w:rPr>
      </w:pPr>
      <w:r>
        <w:rPr>
          <w:rFonts w:hint="eastAsia" w:ascii="宋体" w:hAnsi="宋体" w:cs="宋体"/>
          <w:b/>
          <w:bCs/>
          <w:color w:val="auto"/>
          <w:sz w:val="24"/>
          <w:highlight w:val="none"/>
          <w:shd w:val="clear" w:color="auto" w:fill="FFFFFF"/>
        </w:rPr>
        <w:t>4、智慧物联系统：</w:t>
      </w:r>
    </w:p>
    <w:p w14:paraId="47205AE1">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建设智慧教室智慧物联系统，在不改变原有设备的控制方式，通过技术改造，增加设备的网络远程控制方式，提高设备使用及管理的便捷性实时性。在本地通过控制面板实现本地空调、窗帘、灯光等操作，省去用遥控器或是在各设备按钮上的操作。 也可以通过网络在客户端实现对灯光、空调，窗帘的远程操作监测灯光、空调，窗帘等设备的开关状态，可实现远程操作和管理。</w:t>
      </w:r>
    </w:p>
    <w:p w14:paraId="3F4B48D3">
      <w:pPr>
        <w:spacing w:line="360" w:lineRule="auto"/>
        <w:rPr>
          <w:rFonts w:hint="eastAsia" w:ascii="宋体" w:hAnsi="宋体" w:cs="宋体"/>
          <w:b/>
          <w:bCs/>
          <w:color w:val="auto"/>
          <w:sz w:val="24"/>
          <w:highlight w:val="none"/>
          <w:shd w:val="clear" w:color="auto" w:fill="FFFFFF"/>
        </w:rPr>
      </w:pPr>
      <w:r>
        <w:rPr>
          <w:rFonts w:hint="eastAsia" w:ascii="宋体" w:hAnsi="宋体" w:cs="宋体"/>
          <w:b/>
          <w:bCs/>
          <w:color w:val="auto"/>
          <w:sz w:val="24"/>
          <w:highlight w:val="none"/>
          <w:shd w:val="clear" w:color="auto" w:fill="FFFFFF"/>
        </w:rPr>
        <w:t>5、远程互动教学系统：</w:t>
      </w:r>
    </w:p>
    <w:p w14:paraId="46358D62">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本次智慧教室的录播主机需要内置音视频互动模块，通过杭州市旅游职业学校滨江与葵巷两校区智慧教室内的互动录播主机及平台，实现校区间的远程互动教学功能，前期滨江校区智慧教室的建设的录播主机已经内置互动模块，因此本次滨江校区无需额外增加视频互动终端，就实现多台交互录播主机之间可实现多点音视频互动。</w:t>
      </w:r>
    </w:p>
    <w:p w14:paraId="4940B8AA">
      <w:pPr>
        <w:spacing w:line="360" w:lineRule="auto"/>
        <w:rPr>
          <w:rFonts w:hint="eastAsia" w:ascii="宋体" w:hAnsi="宋体" w:cs="宋体"/>
          <w:b/>
          <w:bCs/>
          <w:color w:val="auto"/>
          <w:sz w:val="24"/>
          <w:highlight w:val="none"/>
          <w:shd w:val="clear" w:color="auto" w:fill="FFFFFF"/>
        </w:rPr>
      </w:pPr>
      <w:r>
        <w:rPr>
          <w:rFonts w:hint="eastAsia" w:ascii="宋体" w:hAnsi="宋体" w:cs="宋体"/>
          <w:b/>
          <w:bCs/>
          <w:color w:val="auto"/>
          <w:sz w:val="24"/>
          <w:highlight w:val="none"/>
          <w:shd w:val="clear" w:color="auto" w:fill="FFFFFF"/>
        </w:rPr>
        <w:t>（二）环境设计要求</w:t>
      </w:r>
    </w:p>
    <w:p w14:paraId="52F9368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原教室为一间毛胚房。现对该房间做</w:t>
      </w:r>
      <w:r>
        <w:rPr>
          <w:rFonts w:hint="eastAsia" w:ascii="宋体" w:hAnsi="宋体" w:cs="宋体"/>
          <w:color w:val="auto"/>
          <w:sz w:val="24"/>
          <w:highlight w:val="none"/>
          <w:lang w:val="zh-CN"/>
        </w:rPr>
        <w:t>智慧教室</w:t>
      </w:r>
      <w:r>
        <w:rPr>
          <w:rFonts w:hint="eastAsia" w:ascii="宋体" w:hAnsi="宋体" w:cs="宋体"/>
          <w:color w:val="auto"/>
          <w:sz w:val="24"/>
          <w:highlight w:val="none"/>
        </w:rPr>
        <w:t>的环境设计，需隔断二个区域，其中一个区域设计为全自动录播及AI采集教室，另一间为观摩室。</w:t>
      </w:r>
      <w:r>
        <w:rPr>
          <w:rFonts w:hint="eastAsia" w:ascii="宋体" w:hAnsi="宋体" w:cs="宋体"/>
          <w:color w:val="auto"/>
          <w:sz w:val="24"/>
          <w:highlight w:val="none"/>
        </w:rPr>
        <w:t>环境设计</w:t>
      </w:r>
      <w:r>
        <w:rPr>
          <w:rFonts w:hint="eastAsia" w:ascii="宋体" w:hAnsi="宋体" w:cs="宋体"/>
          <w:color w:val="auto"/>
          <w:sz w:val="24"/>
          <w:highlight w:val="none"/>
        </w:rPr>
        <w:t>需要对原有房间内堆积的设备拆除和搬离等工作。要求在投标时提供三维效果图，环境建设要充分考虑周边环境和教室的本身特点，从整体环境、声学环境、灯光光源、电路线路等多个方面考虑，隔声门窗、噪声控制、防火、环保等要依据国家相关标准来设计。</w:t>
      </w:r>
    </w:p>
    <w:p w14:paraId="3DAC9B7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灯光照明系统尽量使用室内照明，以免室外和室内光线的色温不一致造成偏红或偏蓝色调。为了使拍摄的教师及学生画面风格统一，建议所有光源均采用色温一致的灯管。另外窗户选装窗帘，安装遮光层，避免不同色温的光源混合。</w:t>
      </w:r>
      <w:r>
        <w:rPr>
          <w:rFonts w:hint="eastAsia" w:ascii="宋体" w:hAnsi="宋体" w:cs="宋体"/>
          <w:color w:val="auto"/>
          <w:sz w:val="24"/>
          <w:highlight w:val="none"/>
        </w:rPr>
        <w:t>环境设计完成</w:t>
      </w:r>
      <w:r>
        <w:rPr>
          <w:rFonts w:hint="eastAsia" w:ascii="宋体" w:hAnsi="宋体" w:cs="宋体"/>
          <w:color w:val="auto"/>
          <w:sz w:val="24"/>
          <w:highlight w:val="none"/>
        </w:rPr>
        <w:t>后，经摄像机试镜，如灯光色温与环境装修不匹配而影响到拍摄效果，应更换灯管直至达到最佳的灯光效果。灯具尽量选用内嵌式灯具，整体美观一致，内嵌灯具选用进口电子高频镇流器，不得选用通用电磁镇流器，以免给摄像造成频闪。多路开关控制灯光，以满足不同情况下对灯光需求。</w:t>
      </w:r>
    </w:p>
    <w:p w14:paraId="21D55C0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为保证教室供电系统的安全可靠，以减少经电源途径带来的电气串扰，至少应采用9个回路。分别为主设备机柜、讲台、充电柜、录播教室墙面插座、照明3路、空调2路等，其中机柜、空调供电选用主线线径为4平方及以上；其他回路线径为2.5平方及以上；供电系统总容量应大于实际容量的1至1.5倍。强电穿管，一般使用DJG管或PVC材质，弱电布线需要与强电布线的管线隔开。插座面板的位置、规格、数量等根据整体设计方案确定。</w:t>
      </w:r>
    </w:p>
    <w:p w14:paraId="1138680A">
      <w:pPr>
        <w:spacing w:line="312"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所有用料必须是环保材料，验收前实施方需要对项目现场进行环境治理，并聘请有资质的第三方测评机构进行甲醛、苯、TVOC等环保测评，根据《民用建筑工程室内环境污染控制规范（GB 50325-2010）》执行，符合I类民用建筑工程达标标准，</w:t>
      </w:r>
      <w:r>
        <w:rPr>
          <w:rFonts w:hint="eastAsia" w:ascii="宋体" w:hAnsi="宋体" w:cs="宋体"/>
          <w:b/>
          <w:bCs/>
          <w:color w:val="auto"/>
          <w:sz w:val="24"/>
          <w:highlight w:val="none"/>
        </w:rPr>
        <w:t>相关费用包含在投标报价中。</w:t>
      </w:r>
    </w:p>
    <w:p w14:paraId="3BFC05E6">
      <w:pPr>
        <w:spacing w:line="360" w:lineRule="auto"/>
        <w:ind w:firstLine="480" w:firstLineChars="200"/>
        <w:rPr>
          <w:rFonts w:hint="eastAsia" w:ascii="宋体" w:hAnsi="宋体" w:cs="宋体"/>
          <w:color w:val="auto"/>
          <w:sz w:val="24"/>
          <w:highlight w:val="none"/>
        </w:rPr>
      </w:pPr>
    </w:p>
    <w:p w14:paraId="4E7B2038">
      <w:pPr>
        <w:pStyle w:val="5"/>
        <w:spacing w:before="0" w:after="0" w:line="360" w:lineRule="auto"/>
        <w:rPr>
          <w:color w:val="auto"/>
          <w:sz w:val="24"/>
          <w:szCs w:val="24"/>
          <w:highlight w:val="none"/>
        </w:rPr>
      </w:pPr>
      <w:r>
        <w:rPr>
          <w:rFonts w:hint="eastAsia"/>
          <w:color w:val="auto"/>
          <w:sz w:val="24"/>
          <w:szCs w:val="24"/>
          <w:highlight w:val="none"/>
        </w:rPr>
        <w:t>三、原始平面图</w:t>
      </w:r>
    </w:p>
    <w:p w14:paraId="648FF21D">
      <w:pPr>
        <w:rPr>
          <w:rFonts w:hint="eastAsia" w:ascii="宋体" w:hAnsi="宋体" w:cs="宋体"/>
          <w:color w:val="auto"/>
          <w:highlight w:val="none"/>
        </w:rPr>
      </w:pPr>
    </w:p>
    <w:p w14:paraId="01482059">
      <w:pPr>
        <w:rPr>
          <w:rFonts w:hint="eastAsia" w:ascii="宋体" w:hAnsi="宋体" w:cs="宋体"/>
          <w:color w:val="auto"/>
          <w:highlight w:val="none"/>
        </w:rPr>
      </w:pPr>
      <w:r>
        <w:rPr>
          <w:color w:val="auto"/>
          <w:highlight w:val="none"/>
        </w:rPr>
        <w:drawing>
          <wp:inline distT="0" distB="0" distL="114300" distR="114300">
            <wp:extent cx="5263515" cy="3070225"/>
            <wp:effectExtent l="0" t="0" r="13335" b="158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7"/>
                    <a:stretch>
                      <a:fillRect/>
                    </a:stretch>
                  </pic:blipFill>
                  <pic:spPr>
                    <a:xfrm>
                      <a:off x="0" y="0"/>
                      <a:ext cx="5263515" cy="3070225"/>
                    </a:xfrm>
                    <a:prstGeom prst="rect">
                      <a:avLst/>
                    </a:prstGeom>
                    <a:noFill/>
                    <a:ln>
                      <a:noFill/>
                    </a:ln>
                  </pic:spPr>
                </pic:pic>
              </a:graphicData>
            </a:graphic>
          </wp:inline>
        </w:drawing>
      </w:r>
    </w:p>
    <w:p w14:paraId="470DB9B1">
      <w:pPr>
        <w:rPr>
          <w:rFonts w:hint="eastAsia" w:ascii="宋体" w:hAnsi="宋体" w:cs="宋体"/>
          <w:color w:val="auto"/>
          <w:highlight w:val="none"/>
        </w:rPr>
      </w:pPr>
    </w:p>
    <w:p w14:paraId="7499A074">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注：</w:t>
      </w:r>
    </w:p>
    <w:p w14:paraId="44AD6FB0">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本次项目必须能够与学校原有的教育资源管理平台及该平台中的AI教学评估及教学AI多模态分析模块</w:t>
      </w:r>
      <w:r>
        <w:rPr>
          <w:rFonts w:hint="eastAsia" w:ascii="宋体" w:hAnsi="宋体" w:cs="宋体"/>
          <w:color w:val="auto"/>
          <w:sz w:val="24"/>
          <w:highlight w:val="none"/>
        </w:rPr>
        <w:t>无缝对接</w:t>
      </w:r>
      <w:r>
        <w:rPr>
          <w:rFonts w:hint="eastAsia" w:ascii="宋体" w:hAnsi="宋体" w:cs="宋体"/>
          <w:bCs/>
          <w:color w:val="auto"/>
          <w:sz w:val="24"/>
          <w:highlight w:val="none"/>
        </w:rPr>
        <w:t>。现有平台</w:t>
      </w:r>
      <w:r>
        <w:rPr>
          <w:rFonts w:hint="eastAsia"/>
          <w:color w:val="auto"/>
          <w:sz w:val="24"/>
          <w:highlight w:val="none"/>
        </w:rPr>
        <w:t>提供了统一的管理和用户访问入口，具备设备管理、用户管理、视频资源管理、流媒体发布管理、AI教学评估督导、教学AI多模态分析等功能模块，并满足大规模网络直播点播的需要。主要功能为：</w:t>
      </w:r>
    </w:p>
    <w:tbl>
      <w:tblPr>
        <w:tblStyle w:val="6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3"/>
        <w:gridCol w:w="7190"/>
      </w:tblGrid>
      <w:tr w14:paraId="71405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pct"/>
            <w:vAlign w:val="center"/>
          </w:tcPr>
          <w:p w14:paraId="4CA27BFE">
            <w:pPr>
              <w:jc w:val="center"/>
              <w:rPr>
                <w:color w:val="auto"/>
                <w:highlight w:val="none"/>
              </w:rPr>
            </w:pPr>
            <w:r>
              <w:rPr>
                <w:rFonts w:hint="eastAsia"/>
                <w:color w:val="auto"/>
                <w:highlight w:val="none"/>
              </w:rPr>
              <w:t>教育动态</w:t>
            </w:r>
          </w:p>
        </w:tc>
        <w:tc>
          <w:tcPr>
            <w:tcW w:w="4222" w:type="pct"/>
          </w:tcPr>
          <w:p w14:paraId="107B9CF0">
            <w:pPr>
              <w:rPr>
                <w:color w:val="auto"/>
                <w:highlight w:val="none"/>
              </w:rPr>
            </w:pPr>
            <w:r>
              <w:rPr>
                <w:rFonts w:hint="eastAsia"/>
                <w:color w:val="auto"/>
                <w:highlight w:val="none"/>
              </w:rPr>
              <w:t>系统首页展示教育动态、视频资源等模块，支持资讯列表（含标题、发布者、关键词、时间及浏览量），提供两级分类管理，并开放用户评论及管理员审核回复功能。</w:t>
            </w:r>
          </w:p>
        </w:tc>
      </w:tr>
      <w:tr w14:paraId="0C01E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pct"/>
            <w:vAlign w:val="center"/>
          </w:tcPr>
          <w:p w14:paraId="4C944611">
            <w:pPr>
              <w:jc w:val="center"/>
              <w:rPr>
                <w:color w:val="auto"/>
                <w:highlight w:val="none"/>
              </w:rPr>
            </w:pPr>
            <w:r>
              <w:rPr>
                <w:rFonts w:hint="eastAsia"/>
                <w:color w:val="auto"/>
                <w:highlight w:val="none"/>
              </w:rPr>
              <w:t>课程管理</w:t>
            </w:r>
          </w:p>
        </w:tc>
        <w:tc>
          <w:tcPr>
            <w:tcW w:w="4222" w:type="pct"/>
          </w:tcPr>
          <w:p w14:paraId="6F50DB81">
            <w:pPr>
              <w:rPr>
                <w:color w:val="auto"/>
                <w:highlight w:val="none"/>
              </w:rPr>
            </w:pPr>
            <w:r>
              <w:rPr>
                <w:rFonts w:hint="eastAsia"/>
                <w:color w:val="auto"/>
                <w:highlight w:val="none"/>
              </w:rPr>
              <w:t>系统支持精品课程分类检索（学科/学段/年级等），可上传课件供下载，提供视频收藏及评论功能（管理员可设置审核开关）。</w:t>
            </w:r>
          </w:p>
        </w:tc>
      </w:tr>
      <w:tr w14:paraId="5C7FF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pct"/>
            <w:vAlign w:val="center"/>
          </w:tcPr>
          <w:p w14:paraId="3F4F553B">
            <w:pPr>
              <w:jc w:val="center"/>
              <w:rPr>
                <w:color w:val="auto"/>
                <w:highlight w:val="none"/>
              </w:rPr>
            </w:pPr>
            <w:r>
              <w:rPr>
                <w:rFonts w:hint="eastAsia"/>
                <w:color w:val="auto"/>
                <w:highlight w:val="none"/>
              </w:rPr>
              <w:t>专辑管理</w:t>
            </w:r>
          </w:p>
        </w:tc>
        <w:tc>
          <w:tcPr>
            <w:tcW w:w="4222" w:type="pct"/>
          </w:tcPr>
          <w:p w14:paraId="618593B2">
            <w:pPr>
              <w:rPr>
                <w:color w:val="auto"/>
                <w:highlight w:val="none"/>
              </w:rPr>
            </w:pPr>
            <w:r>
              <w:rPr>
                <w:rFonts w:hint="eastAsia"/>
                <w:color w:val="auto"/>
                <w:highlight w:val="none"/>
              </w:rPr>
              <w:t>平台支持创建视频专辑（可自定义名称、设置权限及分类），提供数据统计、一键播放、多布局切换功能，并支持按发布时间/播放量自动排序。</w:t>
            </w:r>
          </w:p>
        </w:tc>
      </w:tr>
      <w:tr w14:paraId="75EAD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7" w:type="pct"/>
            <w:vAlign w:val="center"/>
          </w:tcPr>
          <w:p w14:paraId="3425EFC2">
            <w:pPr>
              <w:jc w:val="center"/>
              <w:rPr>
                <w:color w:val="auto"/>
                <w:highlight w:val="none"/>
              </w:rPr>
            </w:pPr>
            <w:r>
              <w:rPr>
                <w:rFonts w:hint="eastAsia"/>
                <w:color w:val="auto"/>
                <w:highlight w:val="none"/>
              </w:rPr>
              <w:t>优课评比</w:t>
            </w:r>
          </w:p>
        </w:tc>
        <w:tc>
          <w:tcPr>
            <w:tcW w:w="4222" w:type="pct"/>
          </w:tcPr>
          <w:p w14:paraId="2E6BBAD2">
            <w:pPr>
              <w:rPr>
                <w:color w:val="auto"/>
                <w:highlight w:val="none"/>
              </w:rPr>
            </w:pPr>
            <w:r>
              <w:rPr>
                <w:rFonts w:hint="eastAsia"/>
                <w:color w:val="auto"/>
                <w:highlight w:val="none"/>
              </w:rPr>
              <w:t>平台支持优课评比活动，管理员可指定参赛教师和评审专家，自定义评分项及权重，教师自选参赛视频，专家在线评审。</w:t>
            </w:r>
          </w:p>
        </w:tc>
      </w:tr>
      <w:tr w14:paraId="7D357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pct"/>
            <w:vAlign w:val="center"/>
          </w:tcPr>
          <w:p w14:paraId="4E9ABF08">
            <w:pPr>
              <w:jc w:val="center"/>
              <w:rPr>
                <w:color w:val="auto"/>
                <w:highlight w:val="none"/>
              </w:rPr>
            </w:pPr>
            <w:r>
              <w:rPr>
                <w:rFonts w:hint="eastAsia"/>
                <w:color w:val="auto"/>
                <w:highlight w:val="none"/>
              </w:rPr>
              <w:t>微课展示</w:t>
            </w:r>
          </w:p>
        </w:tc>
        <w:tc>
          <w:tcPr>
            <w:tcW w:w="4222" w:type="pct"/>
          </w:tcPr>
          <w:p w14:paraId="219F7418">
            <w:pPr>
              <w:rPr>
                <w:color w:val="auto"/>
                <w:highlight w:val="none"/>
              </w:rPr>
            </w:pPr>
            <w:r>
              <w:rPr>
                <w:rFonts w:hint="eastAsia"/>
                <w:color w:val="auto"/>
                <w:highlight w:val="none"/>
              </w:rPr>
              <w:t>平台支持在线剪辑微课，可添加片头/片尾，按时间轴标记知识点，并按学科/学段分类。支持上传配套文档（Word/Excel/PPT等格式）。</w:t>
            </w:r>
          </w:p>
        </w:tc>
      </w:tr>
      <w:tr w14:paraId="79480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pct"/>
            <w:vAlign w:val="center"/>
          </w:tcPr>
          <w:p w14:paraId="07F84A80">
            <w:pPr>
              <w:jc w:val="center"/>
              <w:rPr>
                <w:color w:val="auto"/>
                <w:highlight w:val="none"/>
              </w:rPr>
            </w:pPr>
            <w:r>
              <w:rPr>
                <w:rFonts w:hint="eastAsia"/>
                <w:color w:val="auto"/>
                <w:highlight w:val="none"/>
              </w:rPr>
              <w:t>名师讲堂</w:t>
            </w:r>
          </w:p>
        </w:tc>
        <w:tc>
          <w:tcPr>
            <w:tcW w:w="4222" w:type="pct"/>
          </w:tcPr>
          <w:p w14:paraId="5B4ECE2A">
            <w:pPr>
              <w:rPr>
                <w:color w:val="auto"/>
                <w:highlight w:val="none"/>
              </w:rPr>
            </w:pPr>
            <w:r>
              <w:rPr>
                <w:rFonts w:hint="eastAsia"/>
                <w:color w:val="auto"/>
                <w:highlight w:val="none"/>
              </w:rPr>
              <w:t>平台名师讲堂功能展示名师列表、视频专辑及播放数据，支持排行与点播统计。</w:t>
            </w:r>
          </w:p>
        </w:tc>
      </w:tr>
      <w:tr w14:paraId="4E312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pct"/>
            <w:vAlign w:val="center"/>
          </w:tcPr>
          <w:p w14:paraId="5C4A3F4B">
            <w:pPr>
              <w:jc w:val="center"/>
              <w:rPr>
                <w:color w:val="auto"/>
                <w:highlight w:val="none"/>
              </w:rPr>
            </w:pPr>
            <w:r>
              <w:rPr>
                <w:rFonts w:hint="eastAsia"/>
                <w:color w:val="auto"/>
                <w:highlight w:val="none"/>
              </w:rPr>
              <w:t>排行榜</w:t>
            </w:r>
          </w:p>
        </w:tc>
        <w:tc>
          <w:tcPr>
            <w:tcW w:w="4222" w:type="pct"/>
          </w:tcPr>
          <w:p w14:paraId="276AFB23">
            <w:pPr>
              <w:rPr>
                <w:color w:val="auto"/>
                <w:highlight w:val="none"/>
              </w:rPr>
            </w:pPr>
            <w:r>
              <w:rPr>
                <w:rFonts w:hint="eastAsia"/>
                <w:color w:val="auto"/>
                <w:highlight w:val="none"/>
              </w:rPr>
              <w:t>平台视频排行榜支持精品课、优课、微课、名师分类及自动排名。</w:t>
            </w:r>
          </w:p>
        </w:tc>
      </w:tr>
      <w:tr w14:paraId="13D5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pct"/>
            <w:vAlign w:val="center"/>
          </w:tcPr>
          <w:p w14:paraId="4FB8F09E">
            <w:pPr>
              <w:jc w:val="center"/>
              <w:rPr>
                <w:color w:val="auto"/>
                <w:highlight w:val="none"/>
              </w:rPr>
            </w:pPr>
            <w:r>
              <w:rPr>
                <w:rFonts w:hint="eastAsia"/>
                <w:color w:val="auto"/>
                <w:highlight w:val="none"/>
              </w:rPr>
              <w:t>个人应用</w:t>
            </w:r>
          </w:p>
        </w:tc>
        <w:tc>
          <w:tcPr>
            <w:tcW w:w="4222" w:type="pct"/>
          </w:tcPr>
          <w:p w14:paraId="04F3B0DF">
            <w:pPr>
              <w:rPr>
                <w:color w:val="auto"/>
                <w:highlight w:val="none"/>
              </w:rPr>
            </w:pPr>
            <w:r>
              <w:rPr>
                <w:rFonts w:hint="eastAsia"/>
                <w:color w:val="auto"/>
                <w:highlight w:val="none"/>
              </w:rPr>
              <w:t>个人中心支持视频上传/编辑/分类，可关联文档，查看互动、收藏及优课评比，含教室预约功能。</w:t>
            </w:r>
          </w:p>
        </w:tc>
      </w:tr>
      <w:tr w14:paraId="44BE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pct"/>
            <w:vAlign w:val="center"/>
          </w:tcPr>
          <w:p w14:paraId="71994C0F">
            <w:pPr>
              <w:jc w:val="center"/>
              <w:rPr>
                <w:color w:val="auto"/>
                <w:highlight w:val="none"/>
              </w:rPr>
            </w:pPr>
            <w:r>
              <w:rPr>
                <w:rFonts w:hint="eastAsia"/>
                <w:color w:val="auto"/>
                <w:highlight w:val="none"/>
              </w:rPr>
              <w:t>用户管理</w:t>
            </w:r>
          </w:p>
        </w:tc>
        <w:tc>
          <w:tcPr>
            <w:tcW w:w="4222" w:type="pct"/>
          </w:tcPr>
          <w:p w14:paraId="2107D68F">
            <w:pPr>
              <w:rPr>
                <w:color w:val="auto"/>
                <w:highlight w:val="none"/>
              </w:rPr>
            </w:pPr>
            <w:r>
              <w:rPr>
                <w:color w:val="auto"/>
                <w:highlight w:val="none"/>
              </w:rPr>
              <w:t>平台支持用户注册/批量导入，管理员可审核权限、管理账户，并支持组织架构分组。</w:t>
            </w:r>
          </w:p>
        </w:tc>
      </w:tr>
      <w:tr w14:paraId="7211E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pct"/>
            <w:vAlign w:val="center"/>
          </w:tcPr>
          <w:p w14:paraId="6C120D4C">
            <w:pPr>
              <w:jc w:val="center"/>
              <w:rPr>
                <w:color w:val="auto"/>
                <w:highlight w:val="none"/>
              </w:rPr>
            </w:pPr>
            <w:r>
              <w:rPr>
                <w:rFonts w:hint="eastAsia"/>
                <w:color w:val="auto"/>
                <w:highlight w:val="none"/>
              </w:rPr>
              <w:t>录播管理</w:t>
            </w:r>
          </w:p>
        </w:tc>
        <w:tc>
          <w:tcPr>
            <w:tcW w:w="4222" w:type="pct"/>
          </w:tcPr>
          <w:p w14:paraId="0B9519F8">
            <w:pPr>
              <w:rPr>
                <w:color w:val="auto"/>
                <w:highlight w:val="none"/>
              </w:rPr>
            </w:pPr>
            <w:r>
              <w:rPr>
                <w:rFonts w:hint="eastAsia"/>
                <w:color w:val="auto"/>
                <w:highlight w:val="none"/>
              </w:rPr>
              <w:t>支持多级教室分类、远程录播管理、课表联动自动录制及批量课程导入功能。</w:t>
            </w:r>
          </w:p>
        </w:tc>
      </w:tr>
      <w:tr w14:paraId="1D14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pct"/>
            <w:vAlign w:val="center"/>
          </w:tcPr>
          <w:p w14:paraId="34ECE436">
            <w:pPr>
              <w:jc w:val="center"/>
              <w:rPr>
                <w:color w:val="auto"/>
                <w:highlight w:val="none"/>
              </w:rPr>
            </w:pPr>
            <w:r>
              <w:rPr>
                <w:rFonts w:hint="eastAsia"/>
                <w:color w:val="auto"/>
                <w:highlight w:val="none"/>
              </w:rPr>
              <w:t>直播管理</w:t>
            </w:r>
          </w:p>
        </w:tc>
        <w:tc>
          <w:tcPr>
            <w:tcW w:w="4222" w:type="pct"/>
          </w:tcPr>
          <w:p w14:paraId="7EFBCDD8">
            <w:pPr>
              <w:rPr>
                <w:color w:val="auto"/>
                <w:highlight w:val="none"/>
              </w:rPr>
            </w:pPr>
            <w:r>
              <w:rPr>
                <w:rFonts w:hint="eastAsia"/>
                <w:color w:val="auto"/>
                <w:highlight w:val="none"/>
              </w:rPr>
              <w:t>支持自定义直播频道、多模式选择及权限管理，可灵活控制直播状态与互动设置。</w:t>
            </w:r>
          </w:p>
        </w:tc>
      </w:tr>
      <w:tr w14:paraId="3C5DA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pct"/>
            <w:vAlign w:val="center"/>
          </w:tcPr>
          <w:p w14:paraId="44634AA4">
            <w:pPr>
              <w:jc w:val="center"/>
              <w:rPr>
                <w:color w:val="auto"/>
                <w:highlight w:val="none"/>
              </w:rPr>
            </w:pPr>
            <w:r>
              <w:rPr>
                <w:rFonts w:hint="eastAsia"/>
                <w:color w:val="auto"/>
                <w:highlight w:val="none"/>
              </w:rPr>
              <w:t>视频管理</w:t>
            </w:r>
          </w:p>
        </w:tc>
        <w:tc>
          <w:tcPr>
            <w:tcW w:w="4222" w:type="pct"/>
          </w:tcPr>
          <w:p w14:paraId="30335556">
            <w:pPr>
              <w:rPr>
                <w:color w:val="auto"/>
                <w:highlight w:val="none"/>
              </w:rPr>
            </w:pPr>
            <w:r>
              <w:rPr>
                <w:rFonts w:hint="eastAsia"/>
                <w:color w:val="auto"/>
                <w:highlight w:val="none"/>
              </w:rPr>
              <w:t>支持视频分类编目、审核管理及评论互动，可自定义内容项与批量操作。</w:t>
            </w:r>
          </w:p>
        </w:tc>
      </w:tr>
      <w:tr w14:paraId="55AEA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pct"/>
            <w:vAlign w:val="center"/>
          </w:tcPr>
          <w:p w14:paraId="6F4F943F">
            <w:pPr>
              <w:jc w:val="center"/>
              <w:rPr>
                <w:color w:val="auto"/>
                <w:highlight w:val="none"/>
              </w:rPr>
            </w:pPr>
            <w:r>
              <w:rPr>
                <w:rFonts w:hint="eastAsia"/>
                <w:color w:val="auto"/>
                <w:highlight w:val="none"/>
              </w:rPr>
              <w:t>报表统计</w:t>
            </w:r>
          </w:p>
        </w:tc>
        <w:tc>
          <w:tcPr>
            <w:tcW w:w="4222" w:type="pct"/>
          </w:tcPr>
          <w:p w14:paraId="5AF720B5">
            <w:pPr>
              <w:rPr>
                <w:color w:val="auto"/>
                <w:highlight w:val="none"/>
              </w:rPr>
            </w:pPr>
            <w:r>
              <w:rPr>
                <w:rFonts w:hint="eastAsia"/>
                <w:color w:val="auto"/>
                <w:highlight w:val="none"/>
              </w:rPr>
              <w:t>支持直播数据可视化统计（峰值图表、用户分布地图），记录观看行为（IP/时长/设备），并提供视频多维分析（播放量/时长/排行），便于教学管理。</w:t>
            </w:r>
          </w:p>
        </w:tc>
      </w:tr>
      <w:tr w14:paraId="01A16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vAlign w:val="center"/>
          </w:tcPr>
          <w:p w14:paraId="287A948B">
            <w:pPr>
              <w:jc w:val="left"/>
              <w:rPr>
                <w:rFonts w:eastAsiaTheme="minorEastAsia"/>
                <w:color w:val="auto"/>
                <w:highlight w:val="none"/>
              </w:rPr>
            </w:pPr>
            <w:r>
              <w:rPr>
                <w:rFonts w:hint="eastAsia"/>
                <w:b/>
                <w:bCs/>
                <w:color w:val="auto"/>
                <w:highlight w:val="none"/>
              </w:rPr>
              <w:t>AI分析功能</w:t>
            </w:r>
          </w:p>
        </w:tc>
      </w:tr>
      <w:tr w14:paraId="5467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pct"/>
            <w:vAlign w:val="center"/>
          </w:tcPr>
          <w:p w14:paraId="294A6350">
            <w:pPr>
              <w:jc w:val="center"/>
              <w:rPr>
                <w:color w:val="auto"/>
                <w:highlight w:val="none"/>
              </w:rPr>
            </w:pPr>
            <w:r>
              <w:rPr>
                <w:color w:val="auto"/>
                <w:highlight w:val="none"/>
              </w:rPr>
              <w:t>课堂教学行为</w:t>
            </w:r>
            <w:r>
              <w:rPr>
                <w:rFonts w:hint="eastAsia"/>
                <w:color w:val="auto"/>
                <w:highlight w:val="none"/>
              </w:rPr>
              <w:t>分析</w:t>
            </w:r>
          </w:p>
        </w:tc>
        <w:tc>
          <w:tcPr>
            <w:tcW w:w="4222" w:type="pct"/>
          </w:tcPr>
          <w:p w14:paraId="25D0C01E">
            <w:pPr>
              <w:rPr>
                <w:color w:val="auto"/>
                <w:highlight w:val="none"/>
              </w:rPr>
            </w:pPr>
            <w:r>
              <w:rPr>
                <w:rFonts w:hint="eastAsia"/>
                <w:color w:val="auto"/>
                <w:highlight w:val="none"/>
              </w:rPr>
              <w:t>支持</w:t>
            </w:r>
            <w:r>
              <w:rPr>
                <w:color w:val="auto"/>
                <w:highlight w:val="none"/>
              </w:rPr>
              <w:t>实时识别师生动作（讲授、巡视、提问、听讲、读写等），统计人数占比并以图表可视化，优化教学评估。</w:t>
            </w:r>
          </w:p>
        </w:tc>
      </w:tr>
      <w:tr w14:paraId="51AD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pct"/>
            <w:vAlign w:val="center"/>
          </w:tcPr>
          <w:p w14:paraId="103FE284">
            <w:pPr>
              <w:jc w:val="center"/>
              <w:rPr>
                <w:color w:val="auto"/>
                <w:highlight w:val="none"/>
              </w:rPr>
            </w:pPr>
            <w:r>
              <w:rPr>
                <w:rFonts w:hint="eastAsia"/>
                <w:color w:val="auto"/>
                <w:highlight w:val="none"/>
              </w:rPr>
              <w:t>教师行为分析</w:t>
            </w:r>
          </w:p>
        </w:tc>
        <w:tc>
          <w:tcPr>
            <w:tcW w:w="4222" w:type="pct"/>
          </w:tcPr>
          <w:p w14:paraId="7DE1920E">
            <w:pPr>
              <w:rPr>
                <w:color w:val="auto"/>
                <w:highlight w:val="none"/>
              </w:rPr>
            </w:pPr>
            <w:r>
              <w:rPr>
                <w:rFonts w:hint="eastAsia"/>
                <w:color w:val="auto"/>
                <w:highlight w:val="none"/>
              </w:rPr>
              <w:t>支持弗兰德斯（S-T）行为分析，自动生成S-T曲线及授课类型（讲授/练习/对话/混合型）</w:t>
            </w:r>
            <w:r>
              <w:rPr>
                <w:color w:val="auto"/>
                <w:highlight w:val="none"/>
              </w:rPr>
              <w:t>；可统计教师巡视轨迹热力图、次数及时长；实时分析语速、字数、语调活力及音量曲线；通过雷达图量化师生互动指标（提问比/发言比等）并生成改进建议；支持管理者进行同课异构多维度对比。</w:t>
            </w:r>
          </w:p>
        </w:tc>
      </w:tr>
      <w:tr w14:paraId="215F1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pct"/>
            <w:vAlign w:val="center"/>
          </w:tcPr>
          <w:p w14:paraId="77F6793C">
            <w:pPr>
              <w:jc w:val="center"/>
              <w:rPr>
                <w:color w:val="auto"/>
                <w:highlight w:val="none"/>
              </w:rPr>
            </w:pPr>
            <w:r>
              <w:rPr>
                <w:rFonts w:hint="eastAsia"/>
                <w:color w:val="auto"/>
                <w:highlight w:val="none"/>
              </w:rPr>
              <w:t>师生互动分析</w:t>
            </w:r>
          </w:p>
        </w:tc>
        <w:tc>
          <w:tcPr>
            <w:tcW w:w="4222" w:type="pct"/>
          </w:tcPr>
          <w:p w14:paraId="4595DD7F">
            <w:pPr>
              <w:rPr>
                <w:color w:val="auto"/>
                <w:highlight w:val="none"/>
              </w:rPr>
            </w:pPr>
            <w:r>
              <w:rPr>
                <w:rFonts w:hint="eastAsia"/>
                <w:color w:val="auto"/>
                <w:highlight w:val="none"/>
              </w:rPr>
              <w:t>支持实时监测学生注意力趋势（抬头率/占比曲线）</w:t>
            </w:r>
            <w:r>
              <w:rPr>
                <w:color w:val="auto"/>
                <w:highlight w:val="none"/>
              </w:rPr>
              <w:t>、行为统计（师生互动热力图/行为峰值）及到课率等数据；可识别高频词/敏感词并统计频次，支持布鲁姆提问分类（记忆/评价型等）及雷达图分析；自动生成情绪时间轴（师生开心/愤怒等）和声音分类统计（掌声/噪音等）；提供教师/班级画像多维排序（活跃度/专注度等）</w:t>
            </w:r>
            <w:r>
              <w:rPr>
                <w:rFonts w:hint="eastAsia"/>
                <w:color w:val="auto"/>
                <w:highlight w:val="none"/>
              </w:rPr>
              <w:t>。</w:t>
            </w:r>
          </w:p>
        </w:tc>
      </w:tr>
      <w:tr w14:paraId="36333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77" w:type="pct"/>
            <w:vAlign w:val="center"/>
          </w:tcPr>
          <w:p w14:paraId="5906A141">
            <w:pPr>
              <w:jc w:val="center"/>
              <w:rPr>
                <w:color w:val="auto"/>
                <w:highlight w:val="none"/>
              </w:rPr>
            </w:pPr>
            <w:r>
              <w:rPr>
                <w:rFonts w:hint="eastAsia"/>
                <w:color w:val="auto"/>
                <w:highlight w:val="none"/>
              </w:rPr>
              <w:t>智能语音转写</w:t>
            </w:r>
          </w:p>
        </w:tc>
        <w:tc>
          <w:tcPr>
            <w:tcW w:w="4222" w:type="pct"/>
          </w:tcPr>
          <w:p w14:paraId="6E651067">
            <w:pPr>
              <w:rPr>
                <w:color w:val="auto"/>
                <w:highlight w:val="none"/>
              </w:rPr>
            </w:pPr>
            <w:r>
              <w:rPr>
                <w:rFonts w:hint="eastAsia"/>
                <w:color w:val="auto"/>
                <w:highlight w:val="none"/>
              </w:rPr>
              <w:t>支持普通话转写≥90%准确率</w:t>
            </w:r>
            <w:r>
              <w:rPr>
                <w:color w:val="auto"/>
                <w:highlight w:val="none"/>
              </w:rPr>
              <w:t>，</w:t>
            </w:r>
            <w:r>
              <w:rPr>
                <w:rFonts w:hint="eastAsia"/>
                <w:color w:val="auto"/>
                <w:highlight w:val="none"/>
              </w:rPr>
              <w:t>支持敏感词过滤/知识点打点/语速分析，对接督导评课系统</w:t>
            </w:r>
          </w:p>
        </w:tc>
      </w:tr>
      <w:tr w14:paraId="2EA73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pct"/>
            <w:vAlign w:val="center"/>
          </w:tcPr>
          <w:p w14:paraId="66FCE9DB">
            <w:pPr>
              <w:jc w:val="center"/>
              <w:rPr>
                <w:color w:val="auto"/>
                <w:highlight w:val="none"/>
              </w:rPr>
            </w:pPr>
            <w:r>
              <w:rPr>
                <w:color w:val="auto"/>
                <w:highlight w:val="none"/>
              </w:rPr>
              <w:t>课堂考勤功能</w:t>
            </w:r>
          </w:p>
        </w:tc>
        <w:tc>
          <w:tcPr>
            <w:tcW w:w="4222" w:type="pct"/>
          </w:tcPr>
          <w:p w14:paraId="0FA456EB">
            <w:pPr>
              <w:rPr>
                <w:color w:val="auto"/>
                <w:highlight w:val="none"/>
              </w:rPr>
            </w:pPr>
            <w:r>
              <w:rPr>
                <w:rFonts w:hint="eastAsia"/>
                <w:color w:val="auto"/>
                <w:highlight w:val="none"/>
              </w:rPr>
              <w:t>支持人脸/人数双模式考勤，10秒实时检测出勤率、迟到人数并生成曲线，精准匹配学生姓名库。</w:t>
            </w:r>
          </w:p>
        </w:tc>
      </w:tr>
      <w:tr w14:paraId="123C2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pct"/>
            <w:vAlign w:val="center"/>
          </w:tcPr>
          <w:p w14:paraId="613AF772">
            <w:pPr>
              <w:jc w:val="center"/>
              <w:rPr>
                <w:color w:val="auto"/>
                <w:highlight w:val="none"/>
              </w:rPr>
            </w:pPr>
            <w:r>
              <w:rPr>
                <w:color w:val="auto"/>
                <w:highlight w:val="none"/>
              </w:rPr>
              <w:t>AI语音助手</w:t>
            </w:r>
          </w:p>
        </w:tc>
        <w:tc>
          <w:tcPr>
            <w:tcW w:w="4222" w:type="pct"/>
          </w:tcPr>
          <w:p w14:paraId="2E33BF3C">
            <w:pPr>
              <w:rPr>
                <w:color w:val="auto"/>
                <w:highlight w:val="none"/>
              </w:rPr>
            </w:pPr>
            <w:r>
              <w:rPr>
                <w:color w:val="auto"/>
                <w:highlight w:val="none"/>
              </w:rPr>
              <w:t>支持通过语音对话方式将平台相关分析数据进行调取方便分析数据导出应用</w:t>
            </w:r>
            <w:r>
              <w:rPr>
                <w:rFonts w:hint="eastAsia"/>
                <w:color w:val="auto"/>
                <w:highlight w:val="none"/>
              </w:rPr>
              <w:t>；</w:t>
            </w:r>
          </w:p>
        </w:tc>
      </w:tr>
      <w:tr w14:paraId="153D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vAlign w:val="center"/>
          </w:tcPr>
          <w:p w14:paraId="299A084C">
            <w:pPr>
              <w:jc w:val="left"/>
              <w:rPr>
                <w:b/>
                <w:bCs/>
                <w:color w:val="auto"/>
                <w:highlight w:val="none"/>
              </w:rPr>
            </w:pPr>
            <w:r>
              <w:rPr>
                <w:rFonts w:hint="eastAsia"/>
                <w:b/>
                <w:bCs/>
                <w:color w:val="auto"/>
                <w:highlight w:val="none"/>
              </w:rPr>
              <w:t>督导系统功能</w:t>
            </w:r>
          </w:p>
        </w:tc>
      </w:tr>
      <w:tr w14:paraId="07AA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pct"/>
            <w:vAlign w:val="center"/>
          </w:tcPr>
          <w:p w14:paraId="628E0415">
            <w:pPr>
              <w:jc w:val="center"/>
              <w:rPr>
                <w:color w:val="auto"/>
                <w:highlight w:val="none"/>
              </w:rPr>
            </w:pPr>
            <w:r>
              <w:rPr>
                <w:rFonts w:hint="eastAsia"/>
                <w:color w:val="auto"/>
                <w:highlight w:val="none"/>
              </w:rPr>
              <w:t>督导计划管理</w:t>
            </w:r>
            <w:r>
              <w:rPr>
                <w:color w:val="auto"/>
                <w:highlight w:val="none"/>
              </w:rPr>
              <w:t>‌</w:t>
            </w:r>
          </w:p>
        </w:tc>
        <w:tc>
          <w:tcPr>
            <w:tcW w:w="4222" w:type="pct"/>
          </w:tcPr>
          <w:p w14:paraId="7D3F7CFB">
            <w:pPr>
              <w:rPr>
                <w:color w:val="auto"/>
                <w:highlight w:val="none"/>
              </w:rPr>
            </w:pPr>
            <w:r>
              <w:rPr>
                <w:rFonts w:hint="eastAsia"/>
                <w:color w:val="auto"/>
                <w:highlight w:val="none"/>
              </w:rPr>
              <w:t>自定义计划信息，批量关联课程/专家，实现多角色评课（含专家/学生模式）</w:t>
            </w:r>
          </w:p>
        </w:tc>
      </w:tr>
      <w:tr w14:paraId="0BA81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pct"/>
            <w:vAlign w:val="center"/>
          </w:tcPr>
          <w:p w14:paraId="385C5648">
            <w:pPr>
              <w:jc w:val="center"/>
              <w:rPr>
                <w:color w:val="auto"/>
                <w:highlight w:val="none"/>
              </w:rPr>
            </w:pPr>
            <w:r>
              <w:rPr>
                <w:rFonts w:hint="eastAsia"/>
                <w:color w:val="auto"/>
                <w:highlight w:val="none"/>
              </w:rPr>
              <w:t>优课活动管理</w:t>
            </w:r>
          </w:p>
        </w:tc>
        <w:tc>
          <w:tcPr>
            <w:tcW w:w="4222" w:type="pct"/>
          </w:tcPr>
          <w:p w14:paraId="4966E691">
            <w:pPr>
              <w:rPr>
                <w:color w:val="auto"/>
                <w:highlight w:val="none"/>
              </w:rPr>
            </w:pPr>
            <w:r>
              <w:rPr>
                <w:rFonts w:hint="eastAsia"/>
                <w:color w:val="auto"/>
                <w:highlight w:val="none"/>
              </w:rPr>
              <w:t>创建活动+评价模板，教师报名参赛，多维检索（学期/状态/名称），附件上传</w:t>
            </w:r>
          </w:p>
        </w:tc>
      </w:tr>
      <w:tr w14:paraId="2DF3B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pct"/>
            <w:vAlign w:val="center"/>
          </w:tcPr>
          <w:p w14:paraId="4B7D7C6B">
            <w:pPr>
              <w:jc w:val="center"/>
              <w:rPr>
                <w:color w:val="auto"/>
                <w:highlight w:val="none"/>
              </w:rPr>
            </w:pPr>
            <w:r>
              <w:rPr>
                <w:rFonts w:hint="eastAsia"/>
                <w:color w:val="auto"/>
                <w:highlight w:val="none"/>
              </w:rPr>
              <w:t>智能巡课系统</w:t>
            </w:r>
          </w:p>
        </w:tc>
        <w:tc>
          <w:tcPr>
            <w:tcW w:w="4222" w:type="pct"/>
          </w:tcPr>
          <w:p w14:paraId="281AF9F3">
            <w:pPr>
              <w:rPr>
                <w:color w:val="auto"/>
                <w:highlight w:val="none"/>
              </w:rPr>
            </w:pPr>
            <w:r>
              <w:rPr>
                <w:rFonts w:hint="eastAsia"/>
                <w:color w:val="auto"/>
                <w:highlight w:val="none"/>
              </w:rPr>
              <w:t>教室/课表双模式巡课，4/9/16画面多屏监控，支持直播录制控制、AI预警（前排就坐率/缺勤检测）</w:t>
            </w:r>
          </w:p>
        </w:tc>
      </w:tr>
      <w:tr w14:paraId="585A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pct"/>
            <w:vAlign w:val="center"/>
          </w:tcPr>
          <w:p w14:paraId="7A42635E">
            <w:pPr>
              <w:jc w:val="center"/>
              <w:rPr>
                <w:color w:val="auto"/>
                <w:highlight w:val="none"/>
              </w:rPr>
            </w:pPr>
            <w:r>
              <w:rPr>
                <w:rFonts w:hint="eastAsia"/>
                <w:color w:val="auto"/>
                <w:highlight w:val="none"/>
              </w:rPr>
              <w:t>多维度评价</w:t>
            </w:r>
          </w:p>
        </w:tc>
        <w:tc>
          <w:tcPr>
            <w:tcW w:w="4222" w:type="pct"/>
          </w:tcPr>
          <w:p w14:paraId="5FEB1391">
            <w:pPr>
              <w:rPr>
                <w:color w:val="auto"/>
                <w:highlight w:val="none"/>
              </w:rPr>
            </w:pPr>
            <w:r>
              <w:rPr>
                <w:rFonts w:hint="eastAsia"/>
                <w:color w:val="auto"/>
                <w:highlight w:val="none"/>
              </w:rPr>
              <w:t>两级评价项+权重配置，自定义模板（五星/单选/附件等），按教师/院系等生成统计报表</w:t>
            </w:r>
          </w:p>
        </w:tc>
      </w:tr>
      <w:tr w14:paraId="7697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pct"/>
            <w:vAlign w:val="center"/>
          </w:tcPr>
          <w:p w14:paraId="273D8F35">
            <w:pPr>
              <w:jc w:val="center"/>
              <w:rPr>
                <w:color w:val="auto"/>
                <w:highlight w:val="none"/>
              </w:rPr>
            </w:pPr>
            <w:r>
              <w:rPr>
                <w:rFonts w:hint="eastAsia"/>
                <w:color w:val="auto"/>
                <w:highlight w:val="none"/>
              </w:rPr>
              <w:t>‌</w:t>
            </w:r>
            <w:r>
              <w:rPr>
                <w:color w:val="auto"/>
                <w:highlight w:val="none"/>
              </w:rPr>
              <w:t>数据联动‌</w:t>
            </w:r>
          </w:p>
        </w:tc>
        <w:tc>
          <w:tcPr>
            <w:tcW w:w="4222" w:type="pct"/>
          </w:tcPr>
          <w:p w14:paraId="7FABA2F7">
            <w:pPr>
              <w:rPr>
                <w:color w:val="auto"/>
                <w:highlight w:val="none"/>
              </w:rPr>
            </w:pPr>
            <w:r>
              <w:rPr>
                <w:rFonts w:hint="eastAsia"/>
                <w:color w:val="auto"/>
                <w:highlight w:val="none"/>
              </w:rPr>
              <w:t>课表自动同步设备课程，统一页面汇聚视频/AI/考勤/评价数据，支持移动端督导巡课</w:t>
            </w:r>
          </w:p>
        </w:tc>
      </w:tr>
      <w:tr w14:paraId="24987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77" w:type="pct"/>
            <w:vAlign w:val="center"/>
          </w:tcPr>
          <w:p w14:paraId="3B5AC94C">
            <w:pPr>
              <w:jc w:val="center"/>
              <w:rPr>
                <w:color w:val="auto"/>
                <w:highlight w:val="none"/>
              </w:rPr>
            </w:pPr>
            <w:r>
              <w:rPr>
                <w:rFonts w:hint="eastAsia"/>
                <w:color w:val="auto"/>
                <w:highlight w:val="none"/>
              </w:rPr>
              <w:t>‌</w:t>
            </w:r>
            <w:r>
              <w:rPr>
                <w:color w:val="auto"/>
                <w:highlight w:val="none"/>
              </w:rPr>
              <w:t>AI课堂辅助</w:t>
            </w:r>
          </w:p>
        </w:tc>
        <w:tc>
          <w:tcPr>
            <w:tcW w:w="4222" w:type="pct"/>
          </w:tcPr>
          <w:p w14:paraId="24E948BF">
            <w:pPr>
              <w:rPr>
                <w:color w:val="auto"/>
                <w:highlight w:val="none"/>
              </w:rPr>
            </w:pPr>
            <w:r>
              <w:rPr>
                <w:rFonts w:hint="eastAsia"/>
                <w:color w:val="auto"/>
                <w:highlight w:val="none"/>
              </w:rPr>
              <w:t>人脸库增量训练提升精度，课表导入触发行为分析，支持敏感词/到课率等阈值预警</w:t>
            </w:r>
          </w:p>
        </w:tc>
      </w:tr>
    </w:tbl>
    <w:p w14:paraId="08F05EFC">
      <w:pPr>
        <w:spacing w:line="360"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该平台是基于Linux系统开发，采用MySQL数据库和Nginx流媒体服务器构建，现运行于学校中心机房一台intel架构DELL服务器硬件平台上，既是校本资源统一管理的平台，也是提供校本资源共享访问的平台。流媒体直</w:t>
      </w:r>
      <w:r>
        <w:rPr>
          <w:rFonts w:hint="eastAsia" w:ascii="宋体" w:hAnsi="宋体" w:cs="宋体"/>
          <w:color w:val="auto"/>
          <w:sz w:val="24"/>
          <w:highlight w:val="none"/>
        </w:rPr>
        <w:t>播必须通过标准的rtsp、rtmp协议传送数据流到平台，同时实现通过平台对教室前端录播设备的接入和管理，实现课表预约、视频自动上传等必备的核心功能。</w:t>
      </w:r>
    </w:p>
    <w:p w14:paraId="0878B0E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各投标单位根据自身产品特点，提供本项目解决方案及与平台的对接，并承担有可能产生的对接相关费用,对接需要实现的基本功能如下：</w:t>
      </w:r>
    </w:p>
    <w:p w14:paraId="19267E95">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（1）统一账号登陆、管理和权限统一认证；</w:t>
      </w:r>
    </w:p>
    <w:p w14:paraId="74D2E19C">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（2）远程教室管理和设备管理；</w:t>
      </w:r>
    </w:p>
    <w:p w14:paraId="59260273">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（3）通过平台课表导入，自动或手动开启录播和直播；</w:t>
      </w:r>
    </w:p>
    <w:p w14:paraId="2238DB75">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（4）本项目的终端录制自动上传到平台，具备断点自动续传功能，并能够自动编目管理；</w:t>
      </w:r>
    </w:p>
    <w:p w14:paraId="7A47DDA2">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（5）通过终端视频自动推流到平台，实现直播转发和控制；</w:t>
      </w:r>
    </w:p>
    <w:p w14:paraId="320E90A8">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（6）通过平台实现视频课件在线编辑与发布，可保留原始课件；</w:t>
      </w:r>
    </w:p>
    <w:p w14:paraId="73D039CC">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（7）通过平台页面直接实现远程导播控制；</w:t>
      </w:r>
    </w:p>
    <w:p w14:paraId="16462CDD">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（8）通过平台实现微格点评和打分功能；</w:t>
      </w:r>
    </w:p>
    <w:p w14:paraId="7C51A27C">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lang w:bidi="ar"/>
        </w:rPr>
        <w:t>（9）实现平台内AI教学评估督导、教学AI多模态分析等功能；</w:t>
      </w:r>
    </w:p>
    <w:p w14:paraId="1D33E78A">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（10）用户正常使用所要求达到的其它功能。</w:t>
      </w:r>
    </w:p>
    <w:p w14:paraId="6B465705">
      <w:pPr>
        <w:pStyle w:val="37"/>
        <w:ind w:firstLine="727"/>
        <w:rPr>
          <w:rFonts w:hint="eastAsia" w:hAnsi="宋体"/>
          <w:bCs/>
          <w:color w:val="auto"/>
          <w:sz w:val="24"/>
          <w:szCs w:val="24"/>
          <w:highlight w:val="none"/>
        </w:rPr>
      </w:pPr>
      <w:r>
        <w:rPr>
          <w:rFonts w:hint="eastAsia" w:hAnsi="宋体"/>
          <w:color w:val="auto"/>
          <w:sz w:val="24"/>
          <w:szCs w:val="24"/>
          <w:highlight w:val="none"/>
        </w:rPr>
        <w:t>本次录播教室录制下来的音视频数据，需保存至学校原有的存储设备中，学校现存储型号为DELL MD3400，存储容量为32TB。对本项目中的视频资源单独划出一个子目录及空间来存放该资源。</w:t>
      </w:r>
    </w:p>
    <w:p w14:paraId="04855C5F">
      <w:pPr>
        <w:pStyle w:val="37"/>
        <w:ind w:firstLine="727"/>
        <w:rPr>
          <w:rFonts w:hint="eastAsia" w:hAnsi="宋体"/>
          <w:bCs/>
          <w:color w:val="auto"/>
          <w:sz w:val="24"/>
          <w:szCs w:val="24"/>
          <w:highlight w:val="none"/>
        </w:rPr>
        <w:sectPr>
          <w:pgSz w:w="11906" w:h="16838"/>
          <w:pgMar w:top="1440" w:right="1800" w:bottom="1440" w:left="1800" w:header="851" w:footer="992" w:gutter="0"/>
          <w:cols w:space="425" w:num="1"/>
          <w:docGrid w:type="lines" w:linePitch="312" w:charSpace="0"/>
        </w:sectPr>
      </w:pPr>
    </w:p>
    <w:p w14:paraId="0B355E3D">
      <w:pPr>
        <w:pStyle w:val="5"/>
        <w:spacing w:before="0" w:after="0" w:line="360" w:lineRule="auto"/>
        <w:rPr>
          <w:color w:val="auto"/>
          <w:sz w:val="24"/>
          <w:szCs w:val="24"/>
          <w:highlight w:val="none"/>
        </w:rPr>
      </w:pPr>
      <w:r>
        <w:rPr>
          <w:rFonts w:hint="eastAsia"/>
          <w:color w:val="auto"/>
          <w:sz w:val="24"/>
          <w:szCs w:val="24"/>
          <w:highlight w:val="none"/>
        </w:rPr>
        <w:t>四、项目设备清单</w:t>
      </w:r>
    </w:p>
    <w:tbl>
      <w:tblPr>
        <w:tblStyle w:val="63"/>
        <w:tblW w:w="0" w:type="auto"/>
        <w:tblInd w:w="96" w:type="dxa"/>
        <w:tblLayout w:type="fixed"/>
        <w:tblCellMar>
          <w:top w:w="0" w:type="dxa"/>
          <w:left w:w="108" w:type="dxa"/>
          <w:bottom w:w="0" w:type="dxa"/>
          <w:right w:w="108" w:type="dxa"/>
        </w:tblCellMar>
      </w:tblPr>
      <w:tblGrid>
        <w:gridCol w:w="635"/>
        <w:gridCol w:w="1800"/>
        <w:gridCol w:w="5400"/>
        <w:gridCol w:w="708"/>
        <w:gridCol w:w="647"/>
      </w:tblGrid>
      <w:tr w14:paraId="0199D4CE">
        <w:tblPrEx>
          <w:tblCellMar>
            <w:top w:w="0" w:type="dxa"/>
            <w:left w:w="108" w:type="dxa"/>
            <w:bottom w:w="0" w:type="dxa"/>
            <w:right w:w="108" w:type="dxa"/>
          </w:tblCellMar>
        </w:tblPrEx>
        <w:trPr>
          <w:trHeight w:val="2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ADD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F59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产品名称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DBC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功能参数描述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FA8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数量</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F4A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单位</w:t>
            </w:r>
          </w:p>
        </w:tc>
      </w:tr>
      <w:tr w14:paraId="3376292D">
        <w:tblPrEx>
          <w:tblCellMar>
            <w:top w:w="0" w:type="dxa"/>
            <w:left w:w="108" w:type="dxa"/>
            <w:bottom w:w="0" w:type="dxa"/>
            <w:right w:w="108" w:type="dxa"/>
          </w:tblCellMar>
        </w:tblPrEx>
        <w:trPr>
          <w:trHeight w:val="240" w:hRule="atLeast"/>
        </w:trPr>
        <w:tc>
          <w:tcPr>
            <w:tcW w:w="2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B490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1、智能录播系统教室端</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429C">
            <w:pPr>
              <w:jc w:val="left"/>
              <w:rPr>
                <w:rFonts w:hint="eastAsia" w:ascii="宋体" w:hAnsi="宋体" w:cs="宋体"/>
                <w:color w:val="auto"/>
                <w:sz w:val="20"/>
                <w:szCs w:val="20"/>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F720">
            <w:pPr>
              <w:jc w:val="center"/>
              <w:rPr>
                <w:rFonts w:hint="eastAsia" w:ascii="宋体" w:hAnsi="宋体" w:cs="宋体"/>
                <w:color w:val="auto"/>
                <w:sz w:val="20"/>
                <w:szCs w:val="20"/>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983E">
            <w:pPr>
              <w:jc w:val="center"/>
              <w:rPr>
                <w:rFonts w:hint="eastAsia" w:ascii="宋体" w:hAnsi="宋体" w:cs="宋体"/>
                <w:color w:val="auto"/>
                <w:sz w:val="20"/>
                <w:szCs w:val="20"/>
                <w:highlight w:val="none"/>
              </w:rPr>
            </w:pPr>
          </w:p>
        </w:tc>
      </w:tr>
      <w:tr w14:paraId="23EE721F">
        <w:tblPrEx>
          <w:tblCellMar>
            <w:top w:w="0" w:type="dxa"/>
            <w:left w:w="108" w:type="dxa"/>
            <w:bottom w:w="0" w:type="dxa"/>
            <w:right w:w="108" w:type="dxa"/>
          </w:tblCellMar>
        </w:tblPrEx>
        <w:trPr>
          <w:trHeight w:val="60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DFE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366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双屏四拼智慧黑板</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644B">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1.智慧黑板采用双屏四拼结构，左右二边为≥1000*1202(mm)书搪瓷书写互联记忆白板，中间为两块≥86英寸一体机。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二台一体机屏幕表面采用防眩光全钢化玻璃，显示比例16:9，分辨率：≥3840(H)×2160(V)，对比度≥4000：本次配标准可拔插式电脑OPS模块二块，采用国产自主可控CPU，工作主频≥2.8GHz，物理核心数≥8核，线程数≥16，三级缓存≥16MB，兼容独显/核显;CPU兼容≥16GB DDR4内存，最高内存频率≥3200MHz；集成声卡；固态硬盘≥256GB，兼容M.2接口（NVMe格式）和SATA3.0；</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互联记忆白板：★板面材料：≥0.4mm搪瓷面材，颜色为白色；板面硬度＞4H。书写板夹心材料采用：高强度铝蜂窝板材，板材厚度≥15mm。★板书记录：支持对书写板面内的板书轨迹进行电子化记录，可自动识别板擦和笔，无需人工选择设置，不改变老师的使用习惯。课程录制：可对电脑桌面，板书画面、拾音器一键录制，录制好的文件可在微信内直接线上观看，观看中可任意点击电脑画面、板书画面进行放大观看也可二分屏观看。一键清屏：支持在书写板面通过清屏图标对板书记录界面一键清屏。一键切换：支持在书写板面通过切换图标对板书记录界面和桌面之间进行循环切换。板书笔迹颜色选择：可以通过功能按钮选择板书数字化后的颜色，分为蓝色、红色、黑色，方便老师根据上课内容有差别的进行重点显示。★板书自动弹出：当进行板书时，无须进行任何手动切换，能够直接弹出并显示当前书写板的板书界面。板书后台记录：无须用户手动开启记录功能，在电脑启动后将自动进行板书记录。★板书回放：书写板上记录的板书内容可以随时按照书写的时间顺序进行回放，方便教师重新讲解和批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B9B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E58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r>
      <w:tr w14:paraId="5F6F6910">
        <w:tblPrEx>
          <w:tblCellMar>
            <w:top w:w="0" w:type="dxa"/>
            <w:left w:w="108" w:type="dxa"/>
            <w:bottom w:w="0" w:type="dxa"/>
            <w:right w:w="108" w:type="dxa"/>
          </w:tblCellMar>
        </w:tblPrEx>
        <w:trPr>
          <w:trHeight w:val="269"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1B1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A6C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智慧教育录播主机</w:t>
            </w:r>
          </w:p>
        </w:tc>
        <w:tc>
          <w:tcPr>
            <w:tcW w:w="5400" w:type="dxa"/>
            <w:tcBorders>
              <w:top w:val="single" w:color="000000" w:sz="4" w:space="0"/>
              <w:left w:val="single" w:color="000000" w:sz="4" w:space="0"/>
              <w:bottom w:val="single" w:color="000000" w:sz="4" w:space="0"/>
              <w:right w:val="nil"/>
            </w:tcBorders>
            <w:shd w:val="clear" w:color="auto" w:fill="auto"/>
            <w:vAlign w:val="center"/>
          </w:tcPr>
          <w:p w14:paraId="5D48E1A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1、要求录播主机必须采用嵌入式硬件设计，内置Linux操作系统，支持7*24小时工作；不接受PC架构以及服务器设计方式；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2、系统要求集成录播系统、音频处理、编解码技术为一体，更符合信息化行业有关产品发展微小型化、低功耗、智能化和高可靠性需求；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★3、支持不小于4路高清3G-SDI、支持不小于2路HDMI输入接口；不小于3路HDMI接口视频输出；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4、为了满足部分双教学大屏场景，要求2路HDMI输入接口支持同时接入，能够实现两路HDMI信号采集、其中一路最高支持4K分辨率接入，并支持老师教学过程中大屏操作的全自动跟踪切换；</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★5、主机内含不少于6口交换机，其中支持不少于4口POE供电，满足老师特写、讲台全景、学生特写、学生全景信号接入需求；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6、为满足不同音频输入需求，主机音频支持不少于1路莲花（RCA）MIC IN接口、1路凤凰端子MIC IN接口、1路凤凰LINE IN接口可选，同时，主机应支持不少于1路凤凰端子、1路双莲花LINE OUT可选；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7、录播主机要求支持本地导播功能，接上鼠标、标准键盘与显示器就可实现无延时本地导播，可以扩展硬件导播台；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8、为了便于录播主机连接键鼠、导播控制键盘、USB移动存储设备，要求录播主机支持不小于3路USB接口；</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9、主机包含Reset按键，可以实现出厂设置恢复，能够实时初始化系统状态；</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10、主机前面板要求配置液晶屏，支持显示主机版本、IP地址等信息，实现清晰管理设备操控；</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★11、控制接口不小6路，可用于控制摄像机云台与控制面板等设备，其中一路带供电，可直接对接控制面板、无需额外给控制面板提供电源；</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12、系统要求内置跟踪功能，无需额外配置跟踪主机即可实现智能图像识别跟踪分析与处理功能，跟踪对象不需要佩戴任何辅助装置，便可对老师和学生的动作、移动进行准确定位、跟踪，清楚的记录整个教学活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13、系统要求内置不小于2T存储空间，支持双硬盘接入，最大支持不少于16T硬盘存储空间，录制文件既可存储在本地硬盘，可以上传到云资源管理平台或第三方FTP服务器；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14、要求支持H.323、SIP协议，能够对接第三方视频会议终端，实现互动场景录制。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15、为了便于录播设备及资源的统一管理，新搭建的录播系统可支持接入到现有的教育云资源管理平台，同时实现通过平台对教室前端设备的接入和管理，实现课表预约、录制、直播、视频自动上传等必须的核心功能，中标后提供所投产品与现有旅职教育资源平台对接厂家书面承诺函，在中标通知书发出之后10个工作日内提供，逾期将取消中标资格。</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D5C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342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r>
      <w:tr w14:paraId="3E9BF4C0">
        <w:tblPrEx>
          <w:tblCellMar>
            <w:top w:w="0" w:type="dxa"/>
            <w:left w:w="108" w:type="dxa"/>
            <w:bottom w:w="0" w:type="dxa"/>
            <w:right w:w="108" w:type="dxa"/>
          </w:tblCellMar>
        </w:tblPrEx>
        <w:trPr>
          <w:trHeight w:val="99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552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1DF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录播管理系统软件</w:t>
            </w:r>
          </w:p>
        </w:tc>
        <w:tc>
          <w:tcPr>
            <w:tcW w:w="5400" w:type="dxa"/>
            <w:tcBorders>
              <w:top w:val="single" w:color="000000" w:sz="4" w:space="0"/>
              <w:left w:val="single" w:color="000000" w:sz="4" w:space="0"/>
              <w:bottom w:val="single" w:color="000000" w:sz="4" w:space="0"/>
              <w:right w:val="nil"/>
            </w:tcBorders>
            <w:shd w:val="clear" w:color="auto" w:fill="auto"/>
            <w:vAlign w:val="center"/>
          </w:tcPr>
          <w:p w14:paraId="03238B6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1、录播主机系统软件须出厂即安装于录播主机内，要求支持网络导播与本地导播两种导播方式、网络导播需支持web和客户端两种方式；且网络导播客户端软件及web均支持windows以及国产操作系统、如UOS等；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2、为了更清楚了解系统状态，系统应支持版本信息、序列号、设备型号、硬盘空间、剩余硬盘空间、跟踪机位信息、网络连接、平台接入信息等显示；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3、系统要求支持视频文件上传、下载、异常修复、本地点播、删除等基本功能，支持通过状态标记自动检测课件上传是否成功，对于状态标记上传失败的课件资源支持人工手动续传；</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4、系统要求支持插入外接移动存储设备一键拷贝下载功能，并可选择多路外接移动设备；</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5、系统要求支持异常课件修复和课件列表修复功能，在录制过程中或其他不可抗拒因素导致设备突然断电使录制的课件异常时，可通过录播主机管理页面一键修复功能，修复异常课件为正常课件资源；</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6、系统要求支持输入音视频信号状态显示，如分辨率等；支持音频输入接口自由选择；</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7、要求支持跟踪机位设置，支持根据具体配置选择系统状态，如四机位、三机位等模式选择，实现不同的跟踪录制效果；</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8、要求支持主机HDMI输出设定，支持分辨率、频率设置，支持HDMI输出音频开关；</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9、要求支持教室属性设置，如常规录播教室、互动教室；并可对互动协议进行自由选择，支持H.323\SIP等标准协议，同时支持厂家私有协议互动；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10、录播系统要求支持双流、单流模式互动：单流互动时要求听讲教室一个屏幕即可显示主讲教室的人物视频主流画面与PPT或板书的辅流画面，并支持对主辅流合成布局进行设置；双流互动时，听讲教室使用两台显示器，分别显示主流老师画面与副流电脑PPT、板书画面；</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11、主讲教室可根据需要切换互动模式，如自由讨论、课间休息、对讲模式等，各互动教室录播设备跟随互动模式变化，切换为对应的画面输出效果。</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12、支持与厂家小组研讨协作教学系统联动，实现更精细化的研讨型教学课程录制效果；</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13、支持web端发起互动教学，包括呼叫、挂断等，可实时显示互动教学连接状态，方便管理；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14、支持不少于6路流媒体图像设置，每一路均支持RTSP、RTMP、HTTP等协议自由选择，并可自由选择流媒体具体内容，如电影模式，老师特写/全景，学生特写/全景，电脑信号等；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15、支持IPv4、IPv6协议、支持DHCP或手动设置IP地址，支持将设备映射到公网、设置公网IP；支持网络状态检测、如上下行速度、网络抖动、丢包率等；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16、提供管理员和访客两种用户管理，支持对用户进行密码修改设定，不同的用户是相同的后台操作应用；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17、要求支持中控对接，可选串口中控和网络中控；支持物联网MQTT标准协议，无缝对接物联网集控平台，将设备信息、状态以及基本的控制操作对接到物联网集控平台，如录制控制、直播开关等；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18、要求支持对接厂家资源管理平台，实现录播集中管理，包括录制、直播、设备开关机状态、视频资源管理等应用；支持标准的FTP协议将文件上传到第三方FTP服务器进行文件统一管理；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19、要求支持远程升级、时间同步、以及EDID设置，以便兼容不同设备的接入；</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20、要求系统支持英文、简体、繁体三语版本切换，满足不同用户的应用需求；</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CE4C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D070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r>
      <w:tr w14:paraId="74CC2642">
        <w:tblPrEx>
          <w:tblCellMar>
            <w:top w:w="0" w:type="dxa"/>
            <w:left w:w="108" w:type="dxa"/>
            <w:bottom w:w="0" w:type="dxa"/>
            <w:right w:w="108" w:type="dxa"/>
          </w:tblCellMar>
        </w:tblPrEx>
        <w:trPr>
          <w:trHeight w:val="1248"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2DA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C70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多媒体导播控制平台</w:t>
            </w:r>
          </w:p>
        </w:tc>
        <w:tc>
          <w:tcPr>
            <w:tcW w:w="5400" w:type="dxa"/>
            <w:tcBorders>
              <w:top w:val="single" w:color="000000" w:sz="4" w:space="0"/>
              <w:left w:val="single" w:color="000000" w:sz="4" w:space="0"/>
              <w:bottom w:val="single" w:color="000000" w:sz="4" w:space="0"/>
              <w:right w:val="nil"/>
            </w:tcBorders>
            <w:shd w:val="clear" w:color="auto" w:fill="auto"/>
            <w:vAlign w:val="center"/>
          </w:tcPr>
          <w:p w14:paraId="556E8B2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要求支持手动导播、自动导播、半自动导播三种导播切换方式；可通过设置电脑快捷键纯手动导播控制，可根据教学场景对老师、学生、VGA画面进行自动导播，并且配合自动跟踪系统实现教师、学生跟踪过程中的人工切换实现半自动导播。</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2、要求实现所有录制画面的预监，声音监听，导播控制延时小于1S。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3、要求支持摄像机预置位设置与云台控制，方便在手动录制过程中快速调用。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4、要求支持教师特写、讲台全景、学生特写、学生全景、板书特写、VGA画面和第三方互动画面多路可视化信号的导播控制切换功能，切换输出的画面支持实时预监，支持高清标清的混合录制。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5、在常规录播教室模式下进行授课过程录制时，支持2画面、3画面、4画面合成，并且支持不少于两种6画面自定义合成模式。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6、要求支持不少于14种画面切换特效，包含擦除、覆盖、推进、扩展等主流切换特效，支持特效切换时间自定义，支持0.5s、0.8s、1.0、1.2s选择。</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7、要求支持语言切换，支持不少于中文简体，繁体，以及英文的切换，本地导播系统界面支持虚拟软键盘，无需外接键盘即可进行文字输入。</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8、要求支持PVM和PGM窗口，录制时可以再PVM通道完成对视频的编辑，支持添加字幕、台标、设置画中画、片头片尾等，设置完成后可在PVM通道预览效果，然后知己推送到PGM通道进行录制和直播。</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9、系统支持操作员手动跟踪切换过程中，为满足快速调用，支持不少于10个预置设置，通过预设置可直接调取主讲人相关场景。</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10、本地导播界面下可以直接通过鼠标拖动通道画面即可实现多分屏布局设置。</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11、要求提供多媒体导播控制平台软件著作权证书。</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12、要求多媒体导播控制平台软件支持国产操作系统。</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096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E58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r>
      <w:tr w14:paraId="1BFE48CF">
        <w:tblPrEx>
          <w:tblCellMar>
            <w:top w:w="0" w:type="dxa"/>
            <w:left w:w="108" w:type="dxa"/>
            <w:bottom w:w="0" w:type="dxa"/>
            <w:right w:w="108" w:type="dxa"/>
          </w:tblCellMar>
        </w:tblPrEx>
        <w:trPr>
          <w:trHeight w:val="10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D20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1F31">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双目教师摄像机</w:t>
            </w:r>
          </w:p>
        </w:tc>
        <w:tc>
          <w:tcPr>
            <w:tcW w:w="5400" w:type="dxa"/>
            <w:tcBorders>
              <w:top w:val="single" w:color="000000" w:sz="4" w:space="0"/>
              <w:left w:val="single" w:color="000000" w:sz="4" w:space="0"/>
              <w:bottom w:val="single" w:color="000000" w:sz="4" w:space="0"/>
              <w:right w:val="nil"/>
            </w:tcBorders>
            <w:shd w:val="clear" w:color="auto" w:fill="auto"/>
            <w:vAlign w:val="center"/>
          </w:tcPr>
          <w:p w14:paraId="4B0EE168">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一、硬件部分：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1、全景和特写双镜头结构，全景采用枪型定焦，特写采用云台方案；</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2、要求支持LAN网络视频输出；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3、要求支持HDMI2.0和3G-SDI，支持USB视频输出；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4、要求内置麦克风、拾音距离不小于6米；支持一路Line in输入；</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5、特写镜头支持≥12倍光学变焦，≥16倍数字变焦；</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6、云台支持水平270°、垂直60°的转动范围；</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7、传感器采用不低于1/2.5英寸CMOS、有效像素≥851万；</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8、最低照度不高于0.5Lux；</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9、快门速度：1/30~1/10000S。</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二、高清摄像机系统软件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1、要求支持H.265、H.264、MJPEG等编码算法，支持4K@30fps,4K@25fps,1080P@30fps,1080P@25fps,720P@30fps,720P@25fps信号格式输出；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2、要求支持自动、室内、室外等自动白平衡模式，并可进行手动设置；</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3、要求支持背光补偿、支持2D&amp;3D降噪处理，支持倒装。</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4、要求支持UVC1.1~1.5标准，支持USB音频，支持UVC PTZ控制；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5、要求支持双路网络流视频输出，最高支持4K分辨率输出；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6、要求视频编码支持32Kbps~51200Kbps可调；</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7、要求支持AAC音频算法，码率48Kbps、64Kbps、96Kbps、128Kbps可调；</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8、要求支持TCP/IP, HTTP, RTSP, RTMP, Onvif, DHCP, 组播等。</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276A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1FD5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r>
      <w:tr w14:paraId="28983C9A">
        <w:tblPrEx>
          <w:tblCellMar>
            <w:top w:w="0" w:type="dxa"/>
            <w:left w:w="108" w:type="dxa"/>
            <w:bottom w:w="0" w:type="dxa"/>
            <w:right w:w="108" w:type="dxa"/>
          </w:tblCellMar>
        </w:tblPrEx>
        <w:trPr>
          <w:trHeight w:val="1164"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A11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345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双目学生摄像机</w:t>
            </w:r>
          </w:p>
        </w:tc>
        <w:tc>
          <w:tcPr>
            <w:tcW w:w="5400" w:type="dxa"/>
            <w:tcBorders>
              <w:top w:val="single" w:color="000000" w:sz="4" w:space="0"/>
              <w:left w:val="single" w:color="000000" w:sz="4" w:space="0"/>
              <w:bottom w:val="single" w:color="000000" w:sz="4" w:space="0"/>
              <w:right w:val="nil"/>
            </w:tcBorders>
            <w:shd w:val="clear" w:color="auto" w:fill="auto"/>
            <w:vAlign w:val="center"/>
          </w:tcPr>
          <w:p w14:paraId="0F620E0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一、硬件部分：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1、全景和特写双镜头结构，全景采用枪型定焦，特写采用云台方案；</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2、要求支持LAN网络视频输出；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3、要求支持HDMI2.0和3G-SDI，支持USB视频输出；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4、要求内置麦克风、拾音距离不小于6米；支持一路Line in输入；</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5、特写镜头支持≥12倍光学变焦，≥16倍数字变焦；</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6、云台支持水平270°、垂直60°的转动范围；</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7、传感器采用不低于1/2.5英寸CMOS、有效像素≥851万；</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8、最低照度不高于0.5Lux；</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9、快门速度：1/30~1/10000S。</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二、高清摄像机系统软件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1、要求支持H.265、H.264、MJPEG等编码算法，支持4K@30fps,4K@25fps,1080P@30fps,1080P@25fps,720P@30fps,720P@25fps信号格式输出；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2、要求支持自动、室内、室外等自动白平衡模式，并可进行手动设置；</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3、要求支持背光补偿、支持2D&amp;3D降噪处理，支持倒装。</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4、要求支持UVC1.1~1.5标准，支持USB音频，支持UVC PTZ控制；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5、要求支持双路网络流视频输出，最高支持4K分辨率输出；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6、要求视频编码支持32Kbps~51200Kbps可调；</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7、要求支持AAC音频算法，码率48Kbps、64Kbps、96Kbps、128Kbps可调；</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8、要求支持TCP/IP, HTTP, RTSP, RTMP, Onvif, DHCP, 组播等。</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64FB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B7D0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r>
      <w:tr w14:paraId="493F4455">
        <w:tblPrEx>
          <w:tblCellMar>
            <w:top w:w="0" w:type="dxa"/>
            <w:left w:w="108" w:type="dxa"/>
            <w:bottom w:w="0" w:type="dxa"/>
            <w:right w:w="108" w:type="dxa"/>
          </w:tblCellMar>
        </w:tblPrEx>
        <w:trPr>
          <w:trHeight w:val="792"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768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D0E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智能音频处理器</w:t>
            </w:r>
          </w:p>
        </w:tc>
        <w:tc>
          <w:tcPr>
            <w:tcW w:w="5400" w:type="dxa"/>
            <w:tcBorders>
              <w:top w:val="single" w:color="000000" w:sz="4" w:space="0"/>
              <w:left w:val="single" w:color="000000" w:sz="4" w:space="0"/>
              <w:bottom w:val="single" w:color="000000" w:sz="4" w:space="0"/>
              <w:right w:val="nil"/>
            </w:tcBorders>
            <w:shd w:val="clear" w:color="auto" w:fill="auto"/>
            <w:vAlign w:val="center"/>
          </w:tcPr>
          <w:p w14:paraId="5369E82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1、支持≥8路标准麦克风输入，支持48V幻象供电，采用凤凰端子；</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2、支持≥4路线路输入，采用凤凰端子；</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3、支持≥6路线路输出，采用凤凰端子；</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4、支持≥1个3.5mm外接无线麦接口；</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5、支持≥1个3.5mm监听耳机接口；</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6、支持≥1个用于第三方远程控制的RS-232接口；</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7、支持去混响功能，去混响效果明显；</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8、支持全频带全双工自适应回声消除技术，回音消除尾音长度：≥512ms；</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9、全频带动态自适应降噪技术，降噪电平最高达18dB；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10、信噪比≥100dB；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11、信号处理延时：&lt;8ms；无故障运行时间：(MTBF): ≥60000小时；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12、智能混音和话筒优选技术；</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13、采样率32kHz，A/D和D/A、24-bit；</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14、提供RMS 均值和Peak 峰值两种电平表，监测当前音频信号幅度；</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15、输入输出独立10段均衡器调节声音；</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16、≥6路输出均支持延时器功能。</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B93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C9A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r>
      <w:tr w14:paraId="5F1DF02C">
        <w:tblPrEx>
          <w:tblCellMar>
            <w:top w:w="0" w:type="dxa"/>
            <w:left w:w="108" w:type="dxa"/>
            <w:bottom w:w="0" w:type="dxa"/>
            <w:right w:w="108" w:type="dxa"/>
          </w:tblCellMar>
        </w:tblPrEx>
        <w:trPr>
          <w:trHeight w:val="216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6AE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1BE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指向性麦克风</w:t>
            </w:r>
          </w:p>
        </w:tc>
        <w:tc>
          <w:tcPr>
            <w:tcW w:w="5400" w:type="dxa"/>
            <w:tcBorders>
              <w:top w:val="single" w:color="000000" w:sz="4" w:space="0"/>
              <w:left w:val="single" w:color="000000" w:sz="4" w:space="0"/>
              <w:bottom w:val="single" w:color="000000" w:sz="4" w:space="0"/>
              <w:right w:val="nil"/>
            </w:tcBorders>
            <w:shd w:val="clear" w:color="auto" w:fill="auto"/>
            <w:vAlign w:val="center"/>
          </w:tcPr>
          <w:p w14:paraId="06038A7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1、频率范围：40~18000Hz；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2、灵敏度：-38dB(18mV/Pa)；</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3、指向性：超心型指向；</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4、最大声压级：132dB；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5、阻抗：200Ω；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6、工作电压：48V；</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7、工作信噪比：&gt;95dB；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8、最远拾音距离：&gt;2m；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9、安装方式：金属吊杆安装。</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D71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6736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支</w:t>
            </w:r>
          </w:p>
        </w:tc>
      </w:tr>
      <w:tr w14:paraId="3AD901D8">
        <w:tblPrEx>
          <w:tblCellMar>
            <w:top w:w="0" w:type="dxa"/>
            <w:left w:w="108" w:type="dxa"/>
            <w:bottom w:w="0" w:type="dxa"/>
            <w:right w:w="108" w:type="dxa"/>
          </w:tblCellMar>
        </w:tblPrEx>
        <w:trPr>
          <w:trHeight w:val="768"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41E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DE7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远程导播控制键盘</w:t>
            </w:r>
          </w:p>
        </w:tc>
        <w:tc>
          <w:tcPr>
            <w:tcW w:w="5400" w:type="dxa"/>
            <w:tcBorders>
              <w:top w:val="single" w:color="000000" w:sz="4" w:space="0"/>
              <w:left w:val="single" w:color="000000" w:sz="4" w:space="0"/>
              <w:bottom w:val="single" w:color="000000" w:sz="4" w:space="0"/>
              <w:right w:val="nil"/>
            </w:tcBorders>
            <w:shd w:val="clear" w:color="auto" w:fill="auto"/>
            <w:vAlign w:val="center"/>
          </w:tcPr>
          <w:p w14:paraId="5A7D25C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1、要求采用基于USB线缆传输的硬件导播控制键盘，本地导播可直连录播主机，远端导播直连导播电脑即可，即插即用，不需要安装驱动以及任何插件；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2、导播控制键盘要求支持课件录制的开始、暂停、停止，可针对导播进行手动、自动、半自动的模式切换；</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3、导播控制键盘支持不少于5种画面布局的按键切换，支持不少于4种特效的按键切换；</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4、导播控制键盘要求支持导播画面的主流输出与预监输出的切换；</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5、导播键盘支持不少于6路视频预置位存储与调用；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6、导播控制键盘要求支持六轴操纵杆，手柄上有云台控制、镜头变焦、导播切换功能 ，控制按键采用橡胶+微动方式，使用寿命可达≥100万次；</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7、导播控制键盘要求含LED背光，当按下功能键，相对应背光会亮起。</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098C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81A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r>
      <w:tr w14:paraId="54743AB9">
        <w:tblPrEx>
          <w:tblCellMar>
            <w:top w:w="0" w:type="dxa"/>
            <w:left w:w="108" w:type="dxa"/>
            <w:bottom w:w="0" w:type="dxa"/>
            <w:right w:w="108" w:type="dxa"/>
          </w:tblCellMar>
        </w:tblPrEx>
        <w:trPr>
          <w:trHeight w:val="9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B48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0E5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移动式视频示范车</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338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车体参数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1、设备高度需不低于1.80m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2、臂展长度不少于1.10m，吊臂的垂直角度为可上扬调节20°，下沉调节50°</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3、设备需支持立柱布线，可将主要线路隐藏在立柱内布线</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4、车内设备需整体供电，具有总电源开关、DC12V供电接口</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近景拍摄功能参数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5、分辨率需达到1920×1080（25fps/30fps/50fps/60fps）。</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6、需具有10倍光学变倍</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7、近距离拍摄：需支持对15cm处物体进行聚焦。</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8、需具有H.264、H.265视频压缩标准设置选项。</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9、需具有功能按键，支持手动变焦、聚焦、设置白平衡等画面参数功能。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全景拍摄参数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10、需支持拍摄分辨率1920×1080（25fps/30fps/50fps/60fps）</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11、需不低于20倍光学变倍，16倍数字变倍</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12、垂直旋转范围：-30°～90°；水平旋转范围：0°～350°</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13、需具有自动聚焦、半自动聚焦、手动聚焦设置选项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音视频录制功能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14、需具备21.5英寸屏幕且显示分辨率不低于1920×1080</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15、设备至少具有1个RJ45网口、1个RS-485接口、一个RS-232接口、1个USB 3.0接口、1和USB 2.0接口、1路HDMI输入接口、1路HDMI输出接口、1路SDI接口、1路音频输入/1路音频输出接口、2个扬声器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16、设备需具有功能按键，支持一键录像、通道切换、屏幕调节、待机控制功能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17、设备需支持4K/30fps接入、4K/60fps输出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18、需支持H.264、H.265编码格式，编码分辨率CIF～4K可设，码率32Kbps～16Mbps可设</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19、需具有AAC等编码格式设置选项，采样率为48KHz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20、设备需支持音视频存储管理操作，可手动新建文档管理和自动新建文档管理。可自定义名称和添加备注。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21、需支持录像策略设置，包括存储路径、需要录像的通道。存储路径包括本地硬盘、U盘。</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22、需支持云台控制功能，可对全局摄像机进行上下、左右、变倍、变焦等功能进行控制。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23、需支持字符叠加</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24、需支持画面融合功能，可设置显示/录制多通道画面。不少于5种显示模式。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25、需支持同步录制PPT播放画面和操作过程预览画面</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26、需支持视频画面遮蔽功能，可设置遮蔽区域的大小、形状和位置。</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27、设备至少需支持1TB录像存储和回放。</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28、需支持USB外部存储介质录像导出功能，支持通用播放器播放</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29、★支持大文件录像存储，单文件时长（30～600）分钟可设（要求提供该功能软件截图）</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30、需支持远程搜索录像、远程回放并下载录像片段，支持远程搜索预览图片并下载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31、需支持通过浏览器预览视频画面</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32、在浏览器下，需支持通过用户名和密码登录并访问样机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33、需支持接入无线网络，并可保存多个无线AP的连接密码，且显示无线连接状态。</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34、需支持RTMP、RTSP直播功能</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CBB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B06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r>
      <w:tr w14:paraId="5CC80AE4">
        <w:tblPrEx>
          <w:tblCellMar>
            <w:top w:w="0" w:type="dxa"/>
            <w:left w:w="108" w:type="dxa"/>
            <w:bottom w:w="0" w:type="dxa"/>
            <w:right w:w="108" w:type="dxa"/>
          </w:tblCellMar>
        </w:tblPrEx>
        <w:trPr>
          <w:trHeight w:val="768"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923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43A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配套不间断电源</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E918">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不间断UPS功能，要求满充状态下连续使用6-7小时不断电：输出功率：≥500W；峰值功率：≥1000W；输出电压：AC 纯正弦波 220V/50HZ 或 AC 110V/60HZ、DC 8.4V~12.6V 10A；电池容量：11.1V 41.6AH；电池类型：锂离子电芯；使用寿命：70%@1000cycle；充电时间：6 ~ 7 H（内置充电器）；充电电压和电流：DC12.6V 10A；保护功能：过压、过温、过载、交流短路保护，自动恢复；工作环境：-20℃ ~ 60℃；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C1E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214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r>
      <w:tr w14:paraId="0C38BD94">
        <w:tblPrEx>
          <w:tblCellMar>
            <w:top w:w="0" w:type="dxa"/>
            <w:left w:w="108" w:type="dxa"/>
            <w:bottom w:w="0" w:type="dxa"/>
            <w:right w:w="108" w:type="dxa"/>
          </w:tblCellMar>
        </w:tblPrEx>
        <w:trPr>
          <w:trHeight w:val="62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447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23D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无线图传分屏器</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E37F">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1发1接收，分辨率1080P 100米无障碍传输</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B53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D82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对</w:t>
            </w:r>
          </w:p>
        </w:tc>
      </w:tr>
      <w:tr w14:paraId="69C9B593">
        <w:tblPrEx>
          <w:tblCellMar>
            <w:top w:w="0" w:type="dxa"/>
            <w:left w:w="108" w:type="dxa"/>
            <w:bottom w:w="0" w:type="dxa"/>
            <w:right w:w="108" w:type="dxa"/>
          </w:tblCellMar>
        </w:tblPrEx>
        <w:trPr>
          <w:trHeight w:val="56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3C6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53C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多媒体音箱</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472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单元：LF：8"*1 ；HF：1"*1；阻抗：8Ω；灵敏度：95dB；额定功率：80W；最大声压：120dB</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2CC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FB6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r>
      <w:tr w14:paraId="4CAF6FFA">
        <w:tblPrEx>
          <w:tblCellMar>
            <w:top w:w="0" w:type="dxa"/>
            <w:left w:w="108" w:type="dxa"/>
            <w:bottom w:w="0" w:type="dxa"/>
            <w:right w:w="108" w:type="dxa"/>
          </w:tblCellMar>
        </w:tblPrEx>
        <w:trPr>
          <w:trHeight w:val="638"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5E8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E4D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功放</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E04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设有USB/蓝牙播放器；2、功率(8欧)：250W*2 ；频率响应：20HZ-20KHZ；信噪比：82DB；6、输入灵敏度：0.25V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0D3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15C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r>
      <w:tr w14:paraId="58EADA66">
        <w:tblPrEx>
          <w:tblCellMar>
            <w:top w:w="0" w:type="dxa"/>
            <w:left w:w="108" w:type="dxa"/>
            <w:bottom w:w="0" w:type="dxa"/>
            <w:right w:w="108" w:type="dxa"/>
          </w:tblCellMar>
        </w:tblPrEx>
        <w:trPr>
          <w:trHeight w:val="10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FA7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CFC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无线一拖二话筒</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FE6C">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配置不低于以下要求：</w:t>
            </w:r>
          </w:p>
          <w:p w14:paraId="03A9E950">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1、一个手持、一个领夹，腰包自由切换和显示。</w:t>
            </w:r>
          </w:p>
          <w:p w14:paraId="7515FF9E">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2、真分集话筒，不少于320个UHF频点可选用</w:t>
            </w:r>
          </w:p>
          <w:p w14:paraId="4F0F37FA">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3、频道组数：双通道；</w:t>
            </w:r>
          </w:p>
          <w:p w14:paraId="0DD293A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4、载波频段：UHF 513～ 558MHz / 615-665MHz/ 780-820MHz；10、发射话筒：载波频段：UHF 513～ 558MHz / 615-665MHz/ 780-820MHz；谐波辐射：&lt; -63dBm；频带宽度：80MHz；最大偏移度：± 45KHz；频率响应：50Hz~18KHz；最大输入声压：130dB SPL；音头：动圈式</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6C8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491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r>
      <w:tr w14:paraId="3C23FAD6">
        <w:tblPrEx>
          <w:tblCellMar>
            <w:top w:w="0" w:type="dxa"/>
            <w:left w:w="108" w:type="dxa"/>
            <w:bottom w:w="0" w:type="dxa"/>
            <w:right w:w="108" w:type="dxa"/>
          </w:tblCellMar>
        </w:tblPrEx>
        <w:trPr>
          <w:trHeight w:val="240" w:hRule="atLeast"/>
        </w:trPr>
        <w:tc>
          <w:tcPr>
            <w:tcW w:w="2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C028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2、AI分析系统前端设备</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2ACB">
            <w:pPr>
              <w:jc w:val="left"/>
              <w:rPr>
                <w:rFonts w:hint="eastAsia" w:ascii="宋体" w:hAnsi="宋体" w:cs="宋体"/>
                <w:color w:val="auto"/>
                <w:sz w:val="20"/>
                <w:szCs w:val="20"/>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5653">
            <w:pPr>
              <w:jc w:val="center"/>
              <w:rPr>
                <w:rFonts w:hint="eastAsia" w:ascii="宋体" w:hAnsi="宋体" w:cs="宋体"/>
                <w:color w:val="auto"/>
                <w:sz w:val="20"/>
                <w:szCs w:val="20"/>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995C">
            <w:pPr>
              <w:jc w:val="center"/>
              <w:rPr>
                <w:rFonts w:hint="eastAsia" w:ascii="宋体" w:hAnsi="宋体" w:cs="宋体"/>
                <w:color w:val="auto"/>
                <w:sz w:val="20"/>
                <w:szCs w:val="20"/>
                <w:highlight w:val="none"/>
              </w:rPr>
            </w:pPr>
          </w:p>
        </w:tc>
      </w:tr>
      <w:tr w14:paraId="442F2FBB">
        <w:tblPrEx>
          <w:tblCellMar>
            <w:top w:w="0" w:type="dxa"/>
            <w:left w:w="108" w:type="dxa"/>
            <w:bottom w:w="0" w:type="dxa"/>
            <w:right w:w="108" w:type="dxa"/>
          </w:tblCellMar>
        </w:tblPrEx>
        <w:trPr>
          <w:trHeight w:val="24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FB7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19B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AI考勤摄像机</w:t>
            </w:r>
          </w:p>
        </w:tc>
        <w:tc>
          <w:tcPr>
            <w:tcW w:w="5400" w:type="dxa"/>
            <w:tcBorders>
              <w:top w:val="single" w:color="000000" w:sz="4" w:space="0"/>
              <w:left w:val="single" w:color="000000" w:sz="4" w:space="0"/>
              <w:bottom w:val="single" w:color="000000" w:sz="4" w:space="0"/>
              <w:right w:val="nil"/>
            </w:tcBorders>
            <w:shd w:val="clear" w:color="auto" w:fill="auto"/>
            <w:vAlign w:val="center"/>
          </w:tcPr>
          <w:p w14:paraId="55A6CAF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1、采用不小于1/2.8英寸cmos、不低于400万像素；</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2、支持≥12倍光学变焦和16倍数字变焦；</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3、要求支持断电状态记忆功能；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4、要求支持DC12V/ POE（802.3AF标准）；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5、要求支持低码率、ROI感兴趣区域增强编码；</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6、要求支持三维智能定位功能，配合NVR/客户端软件/IE可实现点击跟踪和放大；</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7、要求支持视频信号异常、区域入侵、警戒线、逆行等智能分析；</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8、要求支持网络协议：IPv4/IPv6、RTSP/RTP/RTCP、TCP/UDP、HTTPS。</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0B6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FD6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r>
      <w:tr w14:paraId="20EB8C39">
        <w:tblPrEx>
          <w:tblCellMar>
            <w:top w:w="0" w:type="dxa"/>
            <w:left w:w="108" w:type="dxa"/>
            <w:bottom w:w="0" w:type="dxa"/>
            <w:right w:w="108" w:type="dxa"/>
          </w:tblCellMar>
        </w:tblPrEx>
        <w:trPr>
          <w:trHeight w:val="681"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BC0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220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AI行为分析终端</w:t>
            </w:r>
          </w:p>
        </w:tc>
        <w:tc>
          <w:tcPr>
            <w:tcW w:w="5400" w:type="dxa"/>
            <w:tcBorders>
              <w:top w:val="single" w:color="000000" w:sz="4" w:space="0"/>
              <w:left w:val="single" w:color="000000" w:sz="4" w:space="0"/>
              <w:bottom w:val="single" w:color="000000" w:sz="4" w:space="0"/>
              <w:right w:val="nil"/>
            </w:tcBorders>
            <w:shd w:val="clear" w:color="auto" w:fill="auto"/>
            <w:vAlign w:val="center"/>
          </w:tcPr>
          <w:p w14:paraId="790D075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1、设备要求采用嵌入式软硬件架构，安全稳定，支持7*24小时运行工作；</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2、要求支持设备运行状态指示灯，如电源、运行状态，告警等，方便的查看了解设备状态；</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3、支持≥一路HDMI 输出接口，≥一路RJ45网络接口；</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4、支持对接≥一路AI考勤摄像机，实现教学考勤统计；</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5、要求支持客户端进行设备配置如连接录播设备，连接考勤设备等，支持设备IP等基础信息配置；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要求支持查看课堂AI实时分析结果，包括老师行为和学生行为；其中老师行为包括板书时长、演示时长、讲授时长、巡视时长、师生互动次数等内容；学生行为需包括：认真听讲人数、举手人数、交头接耳人数、以及读写状态人数；所有数据可实时显示，当有数据更新时实时显示更新；可配置学生分析数据和老师行为数据以不同的颜色显示，叠加在教室的实时预览图像上；（要求提供该功能软件截图）。</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7、要求支持教室AI分析图像预览，支持行为数据显示开启或关闭；支持行为动作分析轮廓数据开启或关闭；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8、要求支持考勤摄像机云台控制上下左右，变焦等；支持不少于30个预置位设置，满足覆盖整个教室区域；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9、要求支持考勤摄像机巡查设置，可设置巡查开始位置和结束位置，实现更精准的考勤数据；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10、要求支持基于人脸识别实现自动考勤功能，支持实时统计学生出勤情况，包括应出席人数、实际出席人数，并生成曲线图；支持基于与学生人脸数据库的精细对比，准确检测出席学生的对应姓名；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11、人脸识别像素:从眉毛到下巴的正方形，应≥100×100像素数。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2A2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962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r>
      <w:tr w14:paraId="3031DEEC">
        <w:tblPrEx>
          <w:tblCellMar>
            <w:top w:w="0" w:type="dxa"/>
            <w:left w:w="108" w:type="dxa"/>
            <w:bottom w:w="0" w:type="dxa"/>
            <w:right w:w="108" w:type="dxa"/>
          </w:tblCellMar>
        </w:tblPrEx>
        <w:trPr>
          <w:trHeight w:val="240" w:hRule="atLeast"/>
        </w:trPr>
        <w:tc>
          <w:tcPr>
            <w:tcW w:w="2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B9991">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3、观摩区域</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26DF">
            <w:pPr>
              <w:jc w:val="left"/>
              <w:rPr>
                <w:rFonts w:hint="eastAsia" w:ascii="宋体" w:hAnsi="宋体" w:cs="宋体"/>
                <w:color w:val="auto"/>
                <w:sz w:val="20"/>
                <w:szCs w:val="20"/>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EED2">
            <w:pPr>
              <w:jc w:val="center"/>
              <w:rPr>
                <w:rFonts w:hint="eastAsia" w:ascii="宋体" w:hAnsi="宋体" w:cs="宋体"/>
                <w:color w:val="auto"/>
                <w:sz w:val="20"/>
                <w:szCs w:val="20"/>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8C21">
            <w:pPr>
              <w:jc w:val="center"/>
              <w:rPr>
                <w:rFonts w:hint="eastAsia" w:ascii="宋体" w:hAnsi="宋体" w:cs="宋体"/>
                <w:color w:val="auto"/>
                <w:sz w:val="20"/>
                <w:szCs w:val="20"/>
                <w:highlight w:val="none"/>
              </w:rPr>
            </w:pPr>
          </w:p>
        </w:tc>
      </w:tr>
      <w:tr w14:paraId="48F6A804">
        <w:tblPrEx>
          <w:tblCellMar>
            <w:top w:w="0" w:type="dxa"/>
            <w:left w:w="108" w:type="dxa"/>
            <w:bottom w:w="0" w:type="dxa"/>
            <w:right w:w="108" w:type="dxa"/>
          </w:tblCellMar>
        </w:tblPrEx>
        <w:trPr>
          <w:trHeight w:val="648"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1EE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800" w:type="dxa"/>
            <w:tcBorders>
              <w:top w:val="single" w:color="000000" w:sz="4" w:space="0"/>
              <w:left w:val="single" w:color="000000" w:sz="4" w:space="0"/>
              <w:bottom w:val="nil"/>
              <w:right w:val="single" w:color="000000" w:sz="4" w:space="0"/>
            </w:tcBorders>
            <w:shd w:val="clear" w:color="auto" w:fill="auto"/>
            <w:noWrap/>
            <w:vAlign w:val="center"/>
          </w:tcPr>
          <w:p w14:paraId="6AA9FF5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观摩室音箱</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538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单元：LF：6"*1 ；HF：1"*1；阻抗：8Ω；灵敏度：95dB；额定功率：60W；最大声压：110dB</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911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B78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r>
      <w:tr w14:paraId="49CFC4B3">
        <w:tblPrEx>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766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32F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观摩室功放</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83E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设有USB/蓝牙播放器；2、功率(8欧)：250W*2 ；频率响应：20HZ-20KHZ；信噪比：82DB；6、输入灵敏度：0.25V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BE5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240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r>
      <w:tr w14:paraId="33C25B3C">
        <w:tblPrEx>
          <w:tblCellMar>
            <w:top w:w="0" w:type="dxa"/>
            <w:left w:w="108" w:type="dxa"/>
            <w:bottom w:w="0" w:type="dxa"/>
            <w:right w:w="108" w:type="dxa"/>
          </w:tblCellMar>
        </w:tblPrEx>
        <w:trPr>
          <w:trHeight w:val="240" w:hRule="atLeast"/>
        </w:trPr>
        <w:tc>
          <w:tcPr>
            <w:tcW w:w="2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9CC08">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4、互动系统</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8B45">
            <w:pPr>
              <w:rPr>
                <w:rFonts w:hint="eastAsia" w:ascii="宋体" w:hAnsi="宋体" w:cs="宋体"/>
                <w:color w:val="auto"/>
                <w:sz w:val="20"/>
                <w:szCs w:val="20"/>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F655">
            <w:pPr>
              <w:jc w:val="center"/>
              <w:rPr>
                <w:rFonts w:hint="eastAsia" w:ascii="宋体" w:hAnsi="宋体" w:cs="宋体"/>
                <w:color w:val="auto"/>
                <w:sz w:val="20"/>
                <w:szCs w:val="20"/>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5AB1">
            <w:pPr>
              <w:jc w:val="center"/>
              <w:rPr>
                <w:rFonts w:hint="eastAsia" w:ascii="宋体" w:hAnsi="宋体" w:cs="宋体"/>
                <w:color w:val="auto"/>
                <w:sz w:val="20"/>
                <w:szCs w:val="20"/>
                <w:highlight w:val="none"/>
              </w:rPr>
            </w:pPr>
          </w:p>
        </w:tc>
      </w:tr>
      <w:tr w14:paraId="384BCB72">
        <w:tblPrEx>
          <w:tblCellMar>
            <w:top w:w="0" w:type="dxa"/>
            <w:left w:w="108" w:type="dxa"/>
            <w:bottom w:w="0" w:type="dxa"/>
            <w:right w:w="108" w:type="dxa"/>
          </w:tblCellMar>
        </w:tblPrEx>
        <w:trPr>
          <w:trHeight w:val="216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A4C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C58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智能讲台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7868">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1.木质桌面，规格≥140*60*2.5cm，台面配显示器支架、线路套管；</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2.脚：Q235脚管，Φ70*≥2mm厚三节升降；底脚：235钢板折弯+60*20*≥1.5mm厚铁管加固；横梁：25*50*≥1.5mm厚Q235方管内加铝型材可伸缩横梁；ABS脚盖、ABS脚垫；连接螺丝：45#钢定做粗牙加硬，与铝型材连接且不易滑牙；</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3.设备控制柜：≥60*60*90cm，钢木结构，内设4层设备架构，内置走线槽及通风口；</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4.含显示屏电动角度调整支架。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40C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415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r>
      <w:tr w14:paraId="15A591F2">
        <w:tblPrEx>
          <w:tblCellMar>
            <w:top w:w="0" w:type="dxa"/>
            <w:left w:w="108" w:type="dxa"/>
            <w:bottom w:w="0" w:type="dxa"/>
            <w:right w:w="108" w:type="dxa"/>
          </w:tblCellMar>
        </w:tblPrEx>
        <w:trPr>
          <w:trHeight w:val="126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D10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3AF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智能互动控制器（含互动控制软件）</w:t>
            </w:r>
          </w:p>
        </w:tc>
        <w:tc>
          <w:tcPr>
            <w:tcW w:w="5400" w:type="dxa"/>
            <w:tcBorders>
              <w:top w:val="single" w:color="000000" w:sz="4" w:space="0"/>
              <w:left w:val="single" w:color="000000" w:sz="4" w:space="0"/>
              <w:bottom w:val="single" w:color="000000" w:sz="4" w:space="0"/>
              <w:right w:val="nil"/>
            </w:tcBorders>
            <w:shd w:val="clear" w:color="auto" w:fill="auto"/>
            <w:vAlign w:val="center"/>
          </w:tcPr>
          <w:p w14:paraId="123E7589">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1、智能互动终端外观小巧易安装，具有≥1路HDMI输出接口，≥1路HDMI输入接口，≥3路USB接口支持U盘读写播放多种格式课件，≥1路10/100/1000M自适应Lan口。</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2、具有双向操作功能，软硬件结合，可通过融合控制中控液晶控制屏和电脑桌面软件同步控制操作，让教师在讲台或者大屏位置都能随时操作，多种状态一键切换：教学广播、分组学习、小组示范等功能。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★3、支持4K超高清画质传输，支持无线、有线两种投屏方式。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★4、具有小组互动功能，可对任意小组进行预览该组、授课该组、示范该组、展示该组四种菜单操作。（投标文件中提供功能截图证明资料）</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5、具有≥8组画面预览显示，并支持选择任意小组进行单画面、双画面、三画面、四画面对比展示。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★6、具有跟据教室场景设置功能，可直接进行关联小组画面设置，窗口模式、全屏模式选择，画面数量选择，教师双屏模式扩展屏展示小组选择等多种场景设置。（投标文件中提供功能截图证明资料）</w:t>
            </w:r>
          </w:p>
          <w:p w14:paraId="52CCDEB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7、支持主流操作系统通过wifi的无线传屏。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8、移动控制器：尺寸：≥10.95英寸，分辨率：≥1920×1200；主频：≥2.0GHz；3.内存容量：≥6GB；存储容量：≥256GB</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E76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C1F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r>
      <w:tr w14:paraId="0BD41494">
        <w:tblPrEx>
          <w:tblCellMar>
            <w:top w:w="0" w:type="dxa"/>
            <w:left w:w="108" w:type="dxa"/>
            <w:bottom w:w="0" w:type="dxa"/>
            <w:right w:w="108" w:type="dxa"/>
          </w:tblCellMar>
        </w:tblPrEx>
        <w:trPr>
          <w:trHeight w:val="1452"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F45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70D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多媒体网络中央控制器</w:t>
            </w:r>
          </w:p>
        </w:tc>
        <w:tc>
          <w:tcPr>
            <w:tcW w:w="5400" w:type="dxa"/>
            <w:tcBorders>
              <w:top w:val="single" w:color="000000" w:sz="4" w:space="0"/>
              <w:left w:val="single" w:color="000000" w:sz="4" w:space="0"/>
              <w:bottom w:val="single" w:color="000000" w:sz="4" w:space="0"/>
              <w:right w:val="nil"/>
            </w:tcBorders>
            <w:shd w:val="clear" w:color="auto" w:fill="auto"/>
            <w:vAlign w:val="center"/>
          </w:tcPr>
          <w:p w14:paraId="3DE0442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网络中控采用嵌入式设计，模块化总线结构，多路电源独立时序控制，具有四种输入源选择，控制面板可四键或自定义加密并可远程批量设置。2、具有≥3进2出HDMI接口；3、内置≥7口千兆网络接口，I/O接口≥9路，环境检测通讯接口≥1路，RS232双向通讯接口≥8路，单刀触点开关≥3路，3.5mm音频3进1出端口，3.5mm高清音频剥离输出接口≥1路，MIC信号输入≥1路，强电控制端口≥4路，单刀双掷控制端口≥3路。4、系统可实现定教室，定人、定时启用，具有IC卡远程授权功能。5、有网络远程控制功能。6、可按照课表安排教室内设备的定时开关，能对教室设备工作状态进行实时监测。7、具备教务管理功能，系统详细记录了教师的所授课时、所用设备、时间等内容，具有时间志、实名志记录查询功能。8、与学校的教务排课系统无缝对接，可根据课表批量限制呼入。</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CE6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D10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r>
      <w:tr w14:paraId="34AEE598">
        <w:tblPrEx>
          <w:tblCellMar>
            <w:top w:w="0" w:type="dxa"/>
            <w:left w:w="108" w:type="dxa"/>
            <w:bottom w:w="0" w:type="dxa"/>
            <w:right w:w="108" w:type="dxa"/>
          </w:tblCellMar>
        </w:tblPrEx>
        <w:trPr>
          <w:trHeight w:val="9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D29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2AA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智能双屏教学终端</w:t>
            </w:r>
          </w:p>
        </w:tc>
        <w:tc>
          <w:tcPr>
            <w:tcW w:w="5400" w:type="dxa"/>
            <w:tcBorders>
              <w:top w:val="single" w:color="000000" w:sz="4" w:space="0"/>
              <w:left w:val="single" w:color="000000" w:sz="4" w:space="0"/>
              <w:bottom w:val="single" w:color="000000" w:sz="4" w:space="0"/>
              <w:right w:val="nil"/>
            </w:tcBorders>
            <w:shd w:val="clear" w:color="auto" w:fill="auto"/>
            <w:vAlign w:val="center"/>
          </w:tcPr>
          <w:p w14:paraId="79377D4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硬件结构：集成教师机主显示屏、互动显示屏双屏显示，支持手指、电磁笔双重触控书写方式及10点触控触摸（含电磁笔1支），集成网络中控控制面板、刷卡开机、IP对讲、双目摄像头、电动支架，教学过程数据采集软硬件一体化。</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1.1 主显示屏≥23英寸、互动显示屏≥10.1英寸；</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1.2 电容触摸：电容（G+G）触摸，点数10点；</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1.3 电磁触摸：电磁笔触控；</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1.4 双目摄像头：≥200万像素；</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1.5 IP对讲：内置（非电话机形式）语音对讲网络功能；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1.6 设备控制：常用多媒体设备控制、环境控制、录播控制及互动教学设备广播、示范、转播。</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2.客户端软件（固定内置于互动显示屏中，非侧边栏形式）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★2.1 互动显示屏功能区块划分:基础数据/教室信息、课程相关信息展示（课程、状态、下课时间）、课堂互动信息入口（AI课堂数据、提问墙、消息推送）、应用软件缩略状态（当前打开应用播放与切换）、应用软件操作控制（PPT控制、视频控制）、互动功能快捷方式（大屏批注、截图、提问）、应用软件快捷方式（幻灯片、文档、表格）、界面控制功能切换（课堂教学/设备控制）；（投标时提供功能截图）</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★2.2 学生平板学生号签到登入到对应课程：主显示屏提供签到发起状态，互动屏实时显示学生签到情况，系统实时与教务系统课表对接，签到人数实时同步到教师端，教师可直接查看签到人数、签到详情、已签到或未签到学生姓名；（投标时提供产品实物照片及功能截图）</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2.3 课堂出题：截图出题、主观题、客观题，发送到学生手机端；</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2.4 答题统计：主显示屏提示学生作答状态、整体统计展现分析，互动屏具体名单查阅操作、展现学生答题情况，选择正确答案与自动加分分值实时下发到学生手机端；</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2.5 课堂提问：随机抽选学生进行提问，灵活设置不同人数，滚动抽选效果，回答完成可即时进行加分操作、数据实时录入；</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2.6 提问墙：学生通过手机端提问内容在互动屏体现，当老师认为有必要回答讲解时切换到主显示屏展示；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2.7 课堂数据分析：教师可将教学过程中生成的数据（包括签到、众答、随机点名、提问墙、学生截图等数据）等以图表形式形成“学情分析”及以列表形式形成“成绩管理”记录下来，教师可导出excel表格数据，可根据数据形成行为分析看板，记录本学期、本学年课堂总体情况；</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★2.8 应用缩略图展示及第三方软件应用：互动屏联动操控控制主显示屏显示内容，包括放映PPT、WORD文档、视频等，快捷切换，根据教学应用不同智能显示不同功能按键。（投标时提供功能截图）</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3.移动端软件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★3.1 学生自主截屏：学生通过平板页面中截屏功能自主截屏，可通过截屏功能保存教师课件PPT、利用截屏功能记录重点知识；（投标时提供功能截图）</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3.2 基于教务课表系统实时对接，学生在手机端可实时查询课表、参与课堂实时互动及接收教师下发的批注、截图、测试题，课后按课程查询历史截图批注记录。</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47F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E0E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r>
      <w:tr w14:paraId="235DA103">
        <w:tblPrEx>
          <w:tblCellMar>
            <w:top w:w="0" w:type="dxa"/>
            <w:left w:w="108" w:type="dxa"/>
            <w:bottom w:w="0" w:type="dxa"/>
            <w:right w:w="108" w:type="dxa"/>
          </w:tblCellMar>
        </w:tblPrEx>
        <w:trPr>
          <w:trHeight w:val="948"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F37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C7C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专用路由器（含软件）</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875B">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1、9口全千兆路由器，提供2.4G、5G两个不同频段的无线信号双频并发，无线速率高达1167MbPs。</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502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B58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r>
      <w:tr w14:paraId="481ACF80">
        <w:tblPrEx>
          <w:tblCellMar>
            <w:top w:w="0" w:type="dxa"/>
            <w:left w:w="108" w:type="dxa"/>
            <w:bottom w:w="0" w:type="dxa"/>
            <w:right w:w="108" w:type="dxa"/>
          </w:tblCellMar>
        </w:tblPrEx>
        <w:trPr>
          <w:trHeight w:val="948"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D03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865B">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物联控制器</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9ADF">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1.实时监测灯光、空调，窗帘等设备的开关状态，可实现远程操作管理。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2.通过控制面板实现本地空调开关、温度加减、模式设定等操作，省去用遥控器或是在主机按钮上的操作。</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3.通过网络在客户端实现对灯光、空调，窗帘的远程操作。</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4.不改变原有设备的控制方式，通过技术改造，增加客户设备的网络远程控制方式，增加设备使用及管理的便捷性。</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5.通过管理平台进行统一设备控制、数据收集、状态监测、数据统计分析。</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6.支持自动运行和手动控制两种工作模式。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7.具有运行数据暂存和数据实时上传功能，可以记录设备在全部使用周期内的所有运行数据，为客户进行设备管理提供大数据分析的支持。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221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4DA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r>
      <w:tr w14:paraId="7DC0C286">
        <w:tblPrEx>
          <w:tblCellMar>
            <w:top w:w="0" w:type="dxa"/>
            <w:left w:w="108" w:type="dxa"/>
            <w:bottom w:w="0" w:type="dxa"/>
            <w:right w:w="108" w:type="dxa"/>
          </w:tblCellMar>
        </w:tblPrEx>
        <w:trPr>
          <w:trHeight w:val="7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AAA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8981">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墙体灯光窗帘控制面板</w:t>
            </w:r>
          </w:p>
        </w:tc>
        <w:tc>
          <w:tcPr>
            <w:tcW w:w="5400" w:type="dxa"/>
            <w:tcBorders>
              <w:top w:val="single" w:color="000000" w:sz="4" w:space="0"/>
              <w:left w:val="single" w:color="000000" w:sz="4" w:space="0"/>
              <w:bottom w:val="single" w:color="000000" w:sz="4" w:space="0"/>
              <w:right w:val="nil"/>
            </w:tcBorders>
            <w:shd w:val="clear" w:color="auto" w:fill="auto"/>
            <w:vAlign w:val="center"/>
          </w:tcPr>
          <w:p w14:paraId="06E01A0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1、6按键灯光与窗帘多功能混合控制面板。2、3个按键可独立控制3路灯光开关。3、3个按键可独立控制窗帘开、关、暂停操作。4、同时支持双开关协同灯控，并于桌面触摸控制一体机协同控制。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23A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190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r>
      <w:tr w14:paraId="163B4DD5">
        <w:tblPrEx>
          <w:tblCellMar>
            <w:top w:w="0" w:type="dxa"/>
            <w:left w:w="108" w:type="dxa"/>
            <w:bottom w:w="0" w:type="dxa"/>
            <w:right w:w="108" w:type="dxa"/>
          </w:tblCellMar>
        </w:tblPrEx>
        <w:trPr>
          <w:trHeight w:val="12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EEE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9FC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嵌入式高拍仪</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947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 产品外壳材质：塑料。</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 镜头规格：定焦镜头，≥1600万像素。</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 拍摄画幅：≥A3幅面。</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 安装方式：桌面隐藏式安装，不用时，展台可隐藏桌面下方；使用时从桌面上手动抽提起来使用。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C32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CE0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r>
      <w:tr w14:paraId="2D57AD88">
        <w:tblPrEx>
          <w:tblCellMar>
            <w:top w:w="0" w:type="dxa"/>
            <w:left w:w="108" w:type="dxa"/>
            <w:bottom w:w="0" w:type="dxa"/>
            <w:right w:w="108" w:type="dxa"/>
          </w:tblCellMar>
        </w:tblPrEx>
        <w:trPr>
          <w:trHeight w:val="48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8A6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A20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多合一空气质量分析仪</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2948">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支持PM2.5、PM10、温度、湿度、光照检测，支持在中控面板上显示，以及远程控制平台显示。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D1E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3A2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r>
      <w:tr w14:paraId="488C75BB">
        <w:tblPrEx>
          <w:tblCellMar>
            <w:top w:w="0" w:type="dxa"/>
            <w:left w:w="108" w:type="dxa"/>
            <w:bottom w:w="0" w:type="dxa"/>
            <w:right w:w="108" w:type="dxa"/>
          </w:tblCellMar>
        </w:tblPrEx>
        <w:trPr>
          <w:trHeight w:val="9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1D2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DA71">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学生小组互动一体机</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4C3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r>
              <w:rPr>
                <w:rFonts w:hint="eastAsia" w:ascii="宋体" w:hAnsi="宋体" w:cs="宋体"/>
                <w:color w:val="auto"/>
                <w:kern w:val="0"/>
                <w:sz w:val="20"/>
                <w:szCs w:val="20"/>
                <w:highlight w:val="none"/>
                <w:lang w:bidi="ar"/>
              </w:rPr>
              <w:t xml:space="preserve">屏体类型：LED背光源，≥65英寸液晶屏，屏幕表面采用防眩光全钢化玻璃。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2、显示比例16:9，分辨率：≥3840(H)×2160(V)，对比度≥4000：</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3、可视角度≥178°,喇叭输出功率：≥15瓦x2.电脑模块1套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★4.采用红外触控技术，支持Windows系统中进行40点或以上触控，支持在Android系统中进行40点或以上触控。</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★5.内置通过整机麦克风监测教室中学生音量大小，当学生音量大于阈值时，屏幕自动弹窗提醒进行自习纪律干预。</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★6、整机支持超声波信号，智能手机通过麦克风接收后，智能手机与整机无需在同一局域网内，可实现配对，一键投屏，用户无需手动输入投屏码或扫码获取投屏码；</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7、标准可拔插式电脑OPS模块，可推拉式插入整机，实现无单独接线的插拔;</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8、国产自主可控CPU，符合国家《安全可靠测评结果公告》要求。工作主频≥2.8GHz，最高加速频率智能频率可提升至≥3.0GHz；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9、物理核心数≥8核，线程数≥16，三级缓存≥16MB，兼容独显/核显;</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10、CPU兼容≥16GB DDR4内存，最高内存频率≥3200MHz；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11、固态硬盘≥256GB，兼容M.2接口（NVMe格式）和SATA3.0；10、与整机的连接采用万兆级网口，传输速率≥10Gbps;</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12、与整机的连接接口针脚数≤40pin；</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13、具有独立非外拓展的电脑USB接口；至少具有3个USB3.0接口，至少具有1个USB2.0接口；至少具有1个HDMI out 接口；至少具有一个RJ45接口；</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C9D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45F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r>
      <w:tr w14:paraId="2145C5EC">
        <w:tblPrEx>
          <w:tblCellMar>
            <w:top w:w="0" w:type="dxa"/>
            <w:left w:w="108" w:type="dxa"/>
            <w:bottom w:w="0" w:type="dxa"/>
            <w:right w:w="108" w:type="dxa"/>
          </w:tblCellMar>
        </w:tblPrEx>
        <w:trPr>
          <w:trHeight w:val="5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973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64D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学生互动屏移动设备支架</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90F3">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与互动一体机配套，钢架结构，带轮</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8DB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A7C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r>
      <w:tr w14:paraId="66118DE2">
        <w:tblPrEx>
          <w:tblCellMar>
            <w:top w:w="0" w:type="dxa"/>
            <w:left w:w="108" w:type="dxa"/>
            <w:bottom w:w="0" w:type="dxa"/>
            <w:right w:w="108" w:type="dxa"/>
          </w:tblCellMar>
        </w:tblPrEx>
        <w:trPr>
          <w:trHeight w:val="2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F62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201B">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HDMI音频分离器</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225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HDMI音频分离</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43C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B47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r>
      <w:tr w14:paraId="714E6E88">
        <w:tblPrEx>
          <w:tblCellMar>
            <w:top w:w="0" w:type="dxa"/>
            <w:left w:w="108" w:type="dxa"/>
            <w:bottom w:w="0" w:type="dxa"/>
            <w:right w:w="108" w:type="dxa"/>
          </w:tblCellMar>
        </w:tblPrEx>
        <w:trPr>
          <w:trHeight w:val="48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BFB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085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HDMI长线驱动器</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0DB8">
            <w:pPr>
              <w:widowControl/>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HDMI延长传输；TCP/IP技术；≥60米传输；高清1080P;无驱动，防水防雷防尘。</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FBF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793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对</w:t>
            </w:r>
          </w:p>
        </w:tc>
      </w:tr>
      <w:tr w14:paraId="37812B8B">
        <w:tblPrEx>
          <w:tblCellMar>
            <w:top w:w="0" w:type="dxa"/>
            <w:left w:w="108" w:type="dxa"/>
            <w:bottom w:w="0" w:type="dxa"/>
            <w:right w:w="108" w:type="dxa"/>
          </w:tblCellMar>
        </w:tblPrEx>
        <w:trPr>
          <w:trHeight w:val="48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1D0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14E1">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HDMI分辨率调节转换器</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C0C8">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4K转1080P EDID分辨率调节器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2BA2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287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r>
      <w:tr w14:paraId="499824C2">
        <w:tblPrEx>
          <w:tblCellMar>
            <w:top w:w="0" w:type="dxa"/>
            <w:left w:w="108" w:type="dxa"/>
            <w:bottom w:w="0" w:type="dxa"/>
            <w:right w:w="108" w:type="dxa"/>
          </w:tblCellMar>
        </w:tblPrEx>
        <w:trPr>
          <w:trHeight w:val="240" w:hRule="atLeast"/>
        </w:trPr>
        <w:tc>
          <w:tcPr>
            <w:tcW w:w="2435" w:type="dxa"/>
            <w:gridSpan w:val="2"/>
            <w:tcBorders>
              <w:top w:val="single" w:color="000000" w:sz="4" w:space="0"/>
              <w:left w:val="single" w:color="000000" w:sz="4" w:space="0"/>
              <w:bottom w:val="single" w:color="000000" w:sz="4" w:space="0"/>
              <w:right w:val="nil"/>
            </w:tcBorders>
            <w:shd w:val="clear" w:color="auto" w:fill="auto"/>
            <w:vAlign w:val="center"/>
          </w:tcPr>
          <w:p w14:paraId="01B64C4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5、教室网络等部分</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2606">
            <w:pPr>
              <w:jc w:val="left"/>
              <w:rPr>
                <w:rFonts w:hint="eastAsia" w:ascii="宋体" w:hAnsi="宋体" w:cs="宋体"/>
                <w:color w:val="auto"/>
                <w:sz w:val="20"/>
                <w:szCs w:val="20"/>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D08E">
            <w:pPr>
              <w:jc w:val="center"/>
              <w:rPr>
                <w:rFonts w:hint="eastAsia" w:ascii="宋体" w:hAnsi="宋体" w:cs="宋体"/>
                <w:color w:val="auto"/>
                <w:sz w:val="20"/>
                <w:szCs w:val="20"/>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2946">
            <w:pPr>
              <w:jc w:val="center"/>
              <w:rPr>
                <w:rFonts w:hint="eastAsia" w:ascii="宋体" w:hAnsi="宋体" w:cs="宋体"/>
                <w:color w:val="auto"/>
                <w:sz w:val="20"/>
                <w:szCs w:val="20"/>
                <w:highlight w:val="none"/>
              </w:rPr>
            </w:pPr>
          </w:p>
        </w:tc>
      </w:tr>
      <w:tr w14:paraId="34D3C5BD">
        <w:tblPrEx>
          <w:tblCellMar>
            <w:top w:w="0" w:type="dxa"/>
            <w:left w:w="108" w:type="dxa"/>
            <w:bottom w:w="0" w:type="dxa"/>
            <w:right w:w="108" w:type="dxa"/>
          </w:tblCellMar>
        </w:tblPrEx>
        <w:trPr>
          <w:trHeight w:val="96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3B5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8C03">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无线AP</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967B">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双频4流设计，整机接入速率最高可达1.775Gbps，其中5GHz射频采用2条空间流设计，支持1.2Gbps接入速率；2.4GHz射频采用2条空间流设计，支持0.575Gbps接入速率，1个100/1000M电口；支持802.3af兼容供电。</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9BF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DAA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r>
      <w:tr w14:paraId="3644E415">
        <w:tblPrEx>
          <w:tblCellMar>
            <w:top w:w="0" w:type="dxa"/>
            <w:left w:w="108" w:type="dxa"/>
            <w:bottom w:w="0" w:type="dxa"/>
            <w:right w:w="108" w:type="dxa"/>
          </w:tblCellMar>
        </w:tblPrEx>
        <w:trPr>
          <w:trHeight w:val="7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C17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81DF">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24口全千兆交换机</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FC03">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交换容量：336Gbps/3.36Tbps，包转发率：108/126Mpps；24*10/100/1000TX+4*SFP</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35F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FE1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r>
      <w:tr w14:paraId="2DC5E5A7">
        <w:tblPrEx>
          <w:tblCellMar>
            <w:top w:w="0" w:type="dxa"/>
            <w:left w:w="108" w:type="dxa"/>
            <w:bottom w:w="0" w:type="dxa"/>
            <w:right w:w="108" w:type="dxa"/>
          </w:tblCellMar>
        </w:tblPrEx>
        <w:trPr>
          <w:trHeight w:val="7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CAC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87A8">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电源时序器</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66A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额定输出电压：交流220V，50HZ；额定输出电流20A；可控制≥电源8路（可连接8×n路电源，n=1，2，3）；每路动作延时时间1S；RS232接口。</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C50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434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r>
      <w:tr w14:paraId="7332CB5A">
        <w:tblPrEx>
          <w:tblCellMar>
            <w:top w:w="0" w:type="dxa"/>
            <w:left w:w="108" w:type="dxa"/>
            <w:bottom w:w="0" w:type="dxa"/>
            <w:right w:w="108" w:type="dxa"/>
          </w:tblCellMar>
        </w:tblPrEx>
        <w:trPr>
          <w:trHeight w:val="3864"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C8B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6EDF">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门禁一体机（含平台系统对接费）</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688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配置不低于以下要求：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≥双核A7，1.5GHz  操作系统Linux 4.19；显示屏≥4寸 TFT 高清屏(分辨率≥480*800)；亮度≥400cd/㎡；电源：DC12V-2A ；盖章温度：</w:t>
            </w:r>
            <w:r>
              <w:rPr>
                <w:color w:val="auto"/>
                <w:kern w:val="0"/>
                <w:sz w:val="20"/>
                <w:szCs w:val="20"/>
                <w:highlight w:val="none"/>
                <w:lang w:bidi="ar"/>
              </w:rPr>
              <w:t>⁃</w:t>
            </w:r>
            <w:r>
              <w:rPr>
                <w:rFonts w:hint="eastAsia" w:ascii="宋体" w:hAnsi="宋体" w:cs="宋体"/>
                <w:color w:val="auto"/>
                <w:kern w:val="0"/>
                <w:sz w:val="20"/>
                <w:szCs w:val="20"/>
                <w:highlight w:val="none"/>
                <w:lang w:bidi="ar"/>
              </w:rPr>
              <w:t>20℃~+60℃， 工作湿度;湿度10%-90%，无冷凝;支持看门狗，遇故障可自动重启;额定功率：＜10W;继电器接口 支持NO,NC,COM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RJ45接口 支持,485接口 支持,韦根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GPIO接口 支持三路扩展（门磁、开门按钮、火警）</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不低于200万高清摄像头,人脸识别：最大支持人数：≥2万人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识别距离：最佳识别距离1米，最远达到2米；</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识别角度：上仰35度，下仰35度，左仰30度，右仰30度，平面旋转35度</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活体检测：支持活体</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支持M1/CPU，0.1s读卡，读卡距离：2.5-5cm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★设备接入学校现有一卡通系统平台，采用校园卡和一卡通采集人脸认证。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585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A61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r>
      <w:tr w14:paraId="7CF7C1EC">
        <w:tblPrEx>
          <w:tblCellMar>
            <w:top w:w="0" w:type="dxa"/>
            <w:left w:w="108" w:type="dxa"/>
            <w:bottom w:w="0" w:type="dxa"/>
            <w:right w:w="108" w:type="dxa"/>
          </w:tblCellMar>
        </w:tblPrEx>
        <w:trPr>
          <w:trHeight w:val="2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EF5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E0D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门禁专用电源</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50F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DC 12V/8.5A</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FF5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B2D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r>
      <w:tr w14:paraId="242B1251">
        <w:tblPrEx>
          <w:tblCellMar>
            <w:top w:w="0" w:type="dxa"/>
            <w:left w:w="108" w:type="dxa"/>
            <w:bottom w:w="0" w:type="dxa"/>
            <w:right w:w="108" w:type="dxa"/>
          </w:tblCellMar>
        </w:tblPrEx>
        <w:trPr>
          <w:trHeight w:val="2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3F4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DBF6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电源控制箱</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8C0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20*30 铁质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393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116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r>
      <w:tr w14:paraId="3CA72E3E">
        <w:tblPrEx>
          <w:tblCellMar>
            <w:top w:w="0" w:type="dxa"/>
            <w:left w:w="108" w:type="dxa"/>
            <w:bottom w:w="0" w:type="dxa"/>
            <w:right w:w="108" w:type="dxa"/>
          </w:tblCellMar>
        </w:tblPrEx>
        <w:trPr>
          <w:trHeight w:val="109"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154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D851">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双门磁力锁</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DC58">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通电上锁</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无残磁、无机械磨损、双门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锁状态信号NO/NC输出、LED指示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适用于90度开的任何有框门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无框门或内推门可选择配件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内置反向电流保护装置（MOV）</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防残磁设计，防磨损材料制造</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铝外壳采用高强度合金材料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双重锁体绝缘处理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完全电磁吸力工作，不存在机械故障</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电压：DC12V/24V输入</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工作电流：1000mA/500mA</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抗拉力：&gt;=2*270kg</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182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B8F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r>
      <w:tr w14:paraId="1D10A45D">
        <w:tblPrEx>
          <w:tblCellMar>
            <w:top w:w="0" w:type="dxa"/>
            <w:left w:w="108" w:type="dxa"/>
            <w:bottom w:w="0" w:type="dxa"/>
            <w:right w:w="108" w:type="dxa"/>
          </w:tblCellMar>
        </w:tblPrEx>
        <w:trPr>
          <w:trHeight w:val="48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DD4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71661">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双门磁力锁支架</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B17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磁力锁配套辅件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C57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E0B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r>
      <w:tr w14:paraId="1CF0FE17">
        <w:tblPrEx>
          <w:tblCellMar>
            <w:top w:w="0" w:type="dxa"/>
            <w:left w:w="108" w:type="dxa"/>
            <w:bottom w:w="0" w:type="dxa"/>
            <w:right w:w="108" w:type="dxa"/>
          </w:tblCellMar>
        </w:tblPrEx>
        <w:trPr>
          <w:trHeight w:val="3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883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C2E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开门按钮</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6F8F">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尺寸：长86x宽86；结构：塑料面板；输出：常开</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B56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EA5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r>
      <w:tr w14:paraId="441AD074">
        <w:tblPrEx>
          <w:tblCellMar>
            <w:top w:w="0" w:type="dxa"/>
            <w:left w:w="108" w:type="dxa"/>
            <w:bottom w:w="0" w:type="dxa"/>
            <w:right w:w="108" w:type="dxa"/>
          </w:tblCellMar>
        </w:tblPrEx>
        <w:trPr>
          <w:trHeight w:val="240" w:hRule="atLeast"/>
        </w:trPr>
        <w:tc>
          <w:tcPr>
            <w:tcW w:w="2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CAA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6、其他</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164F">
            <w:pPr>
              <w:jc w:val="left"/>
              <w:rPr>
                <w:rFonts w:hint="eastAsia" w:ascii="宋体" w:hAnsi="宋体" w:cs="宋体"/>
                <w:color w:val="auto"/>
                <w:sz w:val="20"/>
                <w:szCs w:val="20"/>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D4AE">
            <w:pPr>
              <w:jc w:val="center"/>
              <w:rPr>
                <w:rFonts w:hint="eastAsia" w:ascii="宋体" w:hAnsi="宋体" w:cs="宋体"/>
                <w:color w:val="auto"/>
                <w:sz w:val="20"/>
                <w:szCs w:val="20"/>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596E">
            <w:pPr>
              <w:jc w:val="center"/>
              <w:rPr>
                <w:rFonts w:hint="eastAsia" w:ascii="宋体" w:hAnsi="宋体" w:cs="宋体"/>
                <w:color w:val="auto"/>
                <w:sz w:val="20"/>
                <w:szCs w:val="20"/>
                <w:highlight w:val="none"/>
              </w:rPr>
            </w:pPr>
          </w:p>
        </w:tc>
      </w:tr>
      <w:tr w14:paraId="0A06E21A">
        <w:tblPrEx>
          <w:tblCellMar>
            <w:top w:w="0" w:type="dxa"/>
            <w:left w:w="108" w:type="dxa"/>
            <w:bottom w:w="0" w:type="dxa"/>
            <w:right w:w="108" w:type="dxa"/>
          </w:tblCellMar>
        </w:tblPrEx>
        <w:trPr>
          <w:trHeight w:val="7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A73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A07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学生长条桌</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79D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1.木板：采用国家E0级标准免漆多层实木板，厚度≥25MM ；2.台架整体表面采用高温静电喷涂处理；3.脚轮：采用≥φ50MM优质尼龙材质，万向带刹车轮；4.尺寸：≥长边1200，宽500，高度750MM</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8E5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28</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592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r>
      <w:tr w14:paraId="699C1689">
        <w:tblPrEx>
          <w:tblCellMar>
            <w:top w:w="0" w:type="dxa"/>
            <w:left w:w="108" w:type="dxa"/>
            <w:bottom w:w="0" w:type="dxa"/>
            <w:right w:w="108" w:type="dxa"/>
          </w:tblCellMar>
        </w:tblPrEx>
        <w:trPr>
          <w:trHeight w:val="48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933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BBE1">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学生椅</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71A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尺寸：≥48*47*79cm，≥12mm实心铁架支撑，全新环保pp材料靠背和坐垫，坐高45cm，可叠放</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ED4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BD3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r>
      <w:tr w14:paraId="1128D698">
        <w:tblPrEx>
          <w:tblCellMar>
            <w:top w:w="0" w:type="dxa"/>
            <w:left w:w="108" w:type="dxa"/>
            <w:bottom w:w="0" w:type="dxa"/>
            <w:right w:w="108" w:type="dxa"/>
          </w:tblCellMar>
        </w:tblPrEx>
        <w:trPr>
          <w:trHeight w:val="7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DF7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3CB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观摩椅</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4B0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专业办公网布饰面；PP背架+扶手(国标测试)PP加纤 塑料写字板 连接处是铝合金材质；≥28管1.2厚架子；双层包裹海棉软硬适中回弹性能好；≥1.2公分厚板</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713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12</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4B6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张</w:t>
            </w:r>
          </w:p>
        </w:tc>
      </w:tr>
      <w:tr w14:paraId="425416CE">
        <w:tblPrEx>
          <w:tblCellMar>
            <w:top w:w="0" w:type="dxa"/>
            <w:left w:w="108" w:type="dxa"/>
            <w:bottom w:w="0" w:type="dxa"/>
            <w:right w:w="108" w:type="dxa"/>
          </w:tblCellMar>
        </w:tblPrEx>
        <w:trPr>
          <w:trHeight w:val="2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9B5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348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移动讲台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201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移动,升降，无档位高度升降715-1090mm顺滑升降</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8E0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B69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张</w:t>
            </w:r>
          </w:p>
        </w:tc>
      </w:tr>
      <w:tr w14:paraId="0585C432">
        <w:tblPrEx>
          <w:tblCellMar>
            <w:top w:w="0" w:type="dxa"/>
            <w:left w:w="108" w:type="dxa"/>
            <w:bottom w:w="0" w:type="dxa"/>
            <w:right w:w="108" w:type="dxa"/>
          </w:tblCellMar>
        </w:tblPrEx>
        <w:trPr>
          <w:trHeight w:val="2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0BD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5CDF">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配套线缆</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B61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各类线缆及电源线等</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EC8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B20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r>
      <w:tr w14:paraId="5A1AF934">
        <w:tblPrEx>
          <w:tblCellMar>
            <w:top w:w="0" w:type="dxa"/>
            <w:left w:w="108" w:type="dxa"/>
            <w:bottom w:w="0" w:type="dxa"/>
            <w:right w:w="108" w:type="dxa"/>
          </w:tblCellMar>
        </w:tblPrEx>
        <w:trPr>
          <w:trHeight w:val="48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723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7658">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设备机柜</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7EC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优质冷扎钢板制作；厚度：方孔条2.0mm，托盘2.0mm，骨架和安装梁1.5mm，其他1.2mm;。尺寸：600*600*2000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BB0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470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r>
      <w:tr w14:paraId="518D7B74">
        <w:tblPrEx>
          <w:tblCellMar>
            <w:top w:w="0" w:type="dxa"/>
            <w:left w:w="108" w:type="dxa"/>
            <w:bottom w:w="0" w:type="dxa"/>
            <w:right w:w="108" w:type="dxa"/>
          </w:tblCellMar>
        </w:tblPrEx>
        <w:trPr>
          <w:trHeight w:val="24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CC7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F14F">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系统对接</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1E88">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本次项目须与学校原有的教育资源管理平台及该平台中的AI教学评估及教学AI多模态分析模块无缝对接。实现（1）统一账号登陆、管理和权限统一认证；（2）远程教室管理和设备管理；（3）通过平台课表导入，自动或手动开启录播和直播；（4）视频经录播服务器录制自动上传到平台，具备断点自动续传功能，并能够自动编目管理；（5）通过录播服务器视频自动推流到平台，实现直播转发和控制；（6）通过平台实现视频课件在线编辑与发布，可保留原始课件；（7）通过平台页面直接实现远程导播控制；（8）通过平台实现微格点评和打分功能；（9）实现平台内AI教学评估督导、教学AI多模态分析等功能（10）用户正常使用所要求达到的其它功能。</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23C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FA0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项</w:t>
            </w:r>
          </w:p>
        </w:tc>
      </w:tr>
      <w:tr w14:paraId="6E904168">
        <w:tblPrEx>
          <w:tblCellMar>
            <w:top w:w="0" w:type="dxa"/>
            <w:left w:w="108" w:type="dxa"/>
            <w:bottom w:w="0" w:type="dxa"/>
            <w:right w:w="108" w:type="dxa"/>
          </w:tblCellMar>
        </w:tblPrEx>
        <w:trPr>
          <w:trHeight w:val="2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7FE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6098">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安装调试费</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8697">
            <w:pPr>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安装、调试、人工、集成等一切费用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DD7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DBE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项</w:t>
            </w:r>
          </w:p>
        </w:tc>
      </w:tr>
      <w:tr w14:paraId="5F8FA973">
        <w:tblPrEx>
          <w:tblCellMar>
            <w:top w:w="0" w:type="dxa"/>
            <w:left w:w="108" w:type="dxa"/>
            <w:bottom w:w="0" w:type="dxa"/>
            <w:right w:w="108" w:type="dxa"/>
          </w:tblCellMar>
        </w:tblPrEx>
        <w:trPr>
          <w:trHeight w:val="240" w:hRule="atLeast"/>
        </w:trPr>
        <w:tc>
          <w:tcPr>
            <w:tcW w:w="78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794A3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二、教室基础环境设计建设</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C96D">
            <w:pPr>
              <w:jc w:val="center"/>
              <w:rPr>
                <w:rFonts w:hint="eastAsia" w:ascii="宋体" w:hAnsi="宋体" w:cs="宋体"/>
                <w:color w:val="auto"/>
                <w:sz w:val="20"/>
                <w:szCs w:val="20"/>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6534">
            <w:pPr>
              <w:jc w:val="center"/>
              <w:rPr>
                <w:rFonts w:hint="eastAsia" w:ascii="宋体" w:hAnsi="宋体" w:cs="宋体"/>
                <w:color w:val="auto"/>
                <w:sz w:val="20"/>
                <w:szCs w:val="20"/>
                <w:highlight w:val="none"/>
              </w:rPr>
            </w:pPr>
          </w:p>
        </w:tc>
      </w:tr>
      <w:tr w14:paraId="21DEAC80">
        <w:tblPrEx>
          <w:tblCellMar>
            <w:top w:w="0" w:type="dxa"/>
            <w:left w:w="108" w:type="dxa"/>
            <w:bottom w:w="0" w:type="dxa"/>
            <w:right w:w="108" w:type="dxa"/>
          </w:tblCellMar>
        </w:tblPrEx>
        <w:trPr>
          <w:trHeight w:val="48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FC3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7EE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墙面粉刷</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9CB8">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墙面一般抹灰1公分厚粉刷石灰膏砂浆分层抹平。2、素水泥浆一道(内掺建筑胶)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173E">
            <w:pPr>
              <w:widowControl/>
              <w:jc w:val="center"/>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50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7999">
            <w:pPr>
              <w:widowControl/>
              <w:jc w:val="center"/>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M</w:t>
            </w:r>
            <w:r>
              <w:rPr>
                <w:rStyle w:val="968"/>
                <w:rFonts w:hint="default"/>
                <w:color w:val="auto"/>
                <w:highlight w:val="none"/>
                <w:lang w:bidi="ar"/>
              </w:rPr>
              <w:t>2</w:t>
            </w:r>
          </w:p>
        </w:tc>
      </w:tr>
      <w:tr w14:paraId="54B2B5CA">
        <w:tblPrEx>
          <w:tblCellMar>
            <w:top w:w="0" w:type="dxa"/>
            <w:left w:w="108" w:type="dxa"/>
            <w:bottom w:w="0" w:type="dxa"/>
            <w:right w:w="108" w:type="dxa"/>
          </w:tblCellMar>
        </w:tblPrEx>
        <w:trPr>
          <w:trHeight w:val="2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995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C47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封门洞</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8604">
            <w:pPr>
              <w:widowControl/>
              <w:jc w:val="left"/>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原教室门封堵、瓷砖</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DF87">
            <w:pPr>
              <w:widowControl/>
              <w:jc w:val="center"/>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2</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9A3D">
            <w:pPr>
              <w:widowControl/>
              <w:jc w:val="center"/>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个</w:t>
            </w:r>
          </w:p>
        </w:tc>
      </w:tr>
      <w:tr w14:paraId="1044B0E5">
        <w:tblPrEx>
          <w:tblCellMar>
            <w:top w:w="0" w:type="dxa"/>
            <w:left w:w="108" w:type="dxa"/>
            <w:bottom w:w="0" w:type="dxa"/>
            <w:right w:w="108" w:type="dxa"/>
          </w:tblCellMar>
        </w:tblPrEx>
        <w:trPr>
          <w:trHeight w:val="288"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992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F898">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一体机墙面基础</w:t>
            </w:r>
          </w:p>
        </w:tc>
        <w:tc>
          <w:tcPr>
            <w:tcW w:w="5400" w:type="dxa"/>
            <w:tcBorders>
              <w:top w:val="nil"/>
              <w:left w:val="nil"/>
              <w:bottom w:val="nil"/>
              <w:right w:val="nil"/>
            </w:tcBorders>
            <w:shd w:val="clear" w:color="auto" w:fill="auto"/>
            <w:noWrap/>
            <w:vAlign w:val="center"/>
          </w:tcPr>
          <w:p w14:paraId="2D76D64E">
            <w:pPr>
              <w:widowControl/>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≥75MM龙骨、9MM厚阻燃板</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08C2">
            <w:pPr>
              <w:widowControl/>
              <w:jc w:val="center"/>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521E">
            <w:pPr>
              <w:widowControl/>
              <w:jc w:val="center"/>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M</w:t>
            </w:r>
            <w:r>
              <w:rPr>
                <w:rStyle w:val="968"/>
                <w:rFonts w:hint="default"/>
                <w:color w:val="auto"/>
                <w:highlight w:val="none"/>
                <w:lang w:bidi="ar"/>
              </w:rPr>
              <w:t>2</w:t>
            </w:r>
          </w:p>
        </w:tc>
      </w:tr>
      <w:tr w14:paraId="61770529">
        <w:tblPrEx>
          <w:tblCellMar>
            <w:top w:w="0" w:type="dxa"/>
            <w:left w:w="108" w:type="dxa"/>
            <w:bottom w:w="0" w:type="dxa"/>
            <w:right w:w="108" w:type="dxa"/>
          </w:tblCellMar>
        </w:tblPrEx>
        <w:trPr>
          <w:trHeight w:val="48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9C1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778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多层实木复合地板</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AAF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≥12MM环保型</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E368">
            <w:pPr>
              <w:widowControl/>
              <w:jc w:val="center"/>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135</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6858">
            <w:pPr>
              <w:widowControl/>
              <w:jc w:val="center"/>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M</w:t>
            </w:r>
            <w:r>
              <w:rPr>
                <w:rStyle w:val="968"/>
                <w:rFonts w:hint="default"/>
                <w:color w:val="auto"/>
                <w:highlight w:val="none"/>
                <w:lang w:bidi="ar"/>
              </w:rPr>
              <w:t>2</w:t>
            </w:r>
          </w:p>
        </w:tc>
      </w:tr>
      <w:tr w14:paraId="73758753">
        <w:tblPrEx>
          <w:tblCellMar>
            <w:top w:w="0" w:type="dxa"/>
            <w:left w:w="108" w:type="dxa"/>
            <w:bottom w:w="0" w:type="dxa"/>
            <w:right w:w="108" w:type="dxa"/>
          </w:tblCellMar>
        </w:tblPrEx>
        <w:trPr>
          <w:trHeight w:val="2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9ED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A02F">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实木多层复合门</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8093">
            <w:pPr>
              <w:widowControl/>
              <w:jc w:val="left"/>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w:t>
            </w:r>
            <w:r>
              <w:rPr>
                <w:rFonts w:hint="eastAsia" w:ascii="宋体" w:hAnsi="宋体" w:cs="宋体"/>
                <w:color w:val="auto"/>
                <w:kern w:val="0"/>
                <w:sz w:val="20"/>
                <w:szCs w:val="20"/>
                <w:highlight w:val="none"/>
                <w:lang w:bidi="ar"/>
              </w:rPr>
              <w:t>宽度900MM,高度与走廊其他教室门齐高</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5387">
            <w:pPr>
              <w:widowControl/>
              <w:jc w:val="center"/>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47EF">
            <w:pPr>
              <w:widowControl/>
              <w:jc w:val="center"/>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套</w:t>
            </w:r>
          </w:p>
        </w:tc>
      </w:tr>
      <w:tr w14:paraId="64A2EF83">
        <w:tblPrEx>
          <w:tblCellMar>
            <w:top w:w="0" w:type="dxa"/>
            <w:left w:w="108" w:type="dxa"/>
            <w:bottom w:w="0" w:type="dxa"/>
            <w:right w:w="108" w:type="dxa"/>
          </w:tblCellMar>
        </w:tblPrEx>
        <w:trPr>
          <w:trHeight w:val="288"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81C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CA5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墙面基础</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229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≥30*40MM木龙骨、9MM石膏板</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AE32">
            <w:pPr>
              <w:widowControl/>
              <w:jc w:val="center"/>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87</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17D1">
            <w:pPr>
              <w:widowControl/>
              <w:jc w:val="center"/>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M</w:t>
            </w:r>
            <w:r>
              <w:rPr>
                <w:rStyle w:val="968"/>
                <w:rFonts w:hint="default"/>
                <w:color w:val="auto"/>
                <w:highlight w:val="none"/>
                <w:lang w:bidi="ar"/>
              </w:rPr>
              <w:t>2</w:t>
            </w:r>
          </w:p>
        </w:tc>
      </w:tr>
      <w:tr w14:paraId="450ECDBD">
        <w:tblPrEx>
          <w:tblCellMar>
            <w:top w:w="0" w:type="dxa"/>
            <w:left w:w="108" w:type="dxa"/>
            <w:bottom w:w="0" w:type="dxa"/>
            <w:right w:w="108" w:type="dxa"/>
          </w:tblCellMar>
        </w:tblPrEx>
        <w:trPr>
          <w:trHeight w:val="288"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225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07B3">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竹木纤维板</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B5A5">
            <w:pPr>
              <w:widowControl/>
              <w:jc w:val="left"/>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墙面厚度≥9MM竹木纤维板</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78DD">
            <w:pPr>
              <w:widowControl/>
              <w:jc w:val="center"/>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45</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B4AE">
            <w:pPr>
              <w:widowControl/>
              <w:jc w:val="center"/>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M</w:t>
            </w:r>
            <w:r>
              <w:rPr>
                <w:rStyle w:val="968"/>
                <w:rFonts w:hint="default"/>
                <w:color w:val="auto"/>
                <w:highlight w:val="none"/>
                <w:lang w:bidi="ar"/>
              </w:rPr>
              <w:t>2</w:t>
            </w:r>
          </w:p>
        </w:tc>
      </w:tr>
      <w:tr w14:paraId="6F4D6D3E">
        <w:tblPrEx>
          <w:tblCellMar>
            <w:top w:w="0" w:type="dxa"/>
            <w:left w:w="108" w:type="dxa"/>
            <w:bottom w:w="0" w:type="dxa"/>
            <w:right w:w="108" w:type="dxa"/>
          </w:tblCellMar>
        </w:tblPrEx>
        <w:trPr>
          <w:trHeight w:val="48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F58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3A4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观摩室隔墙</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6867">
            <w:pPr>
              <w:widowControl/>
              <w:jc w:val="left"/>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≥100MM龙骨9阻燃板</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CCC6">
            <w:pPr>
              <w:widowControl/>
              <w:jc w:val="center"/>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24</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E6E2">
            <w:pPr>
              <w:widowControl/>
              <w:jc w:val="center"/>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M</w:t>
            </w:r>
            <w:r>
              <w:rPr>
                <w:rStyle w:val="968"/>
                <w:rFonts w:hint="default"/>
                <w:color w:val="auto"/>
                <w:highlight w:val="none"/>
                <w:lang w:bidi="ar"/>
              </w:rPr>
              <w:t>2</w:t>
            </w:r>
          </w:p>
        </w:tc>
      </w:tr>
      <w:tr w14:paraId="2138C334">
        <w:tblPrEx>
          <w:tblCellMar>
            <w:top w:w="0" w:type="dxa"/>
            <w:left w:w="108" w:type="dxa"/>
            <w:bottom w:w="0" w:type="dxa"/>
            <w:right w:w="108" w:type="dxa"/>
          </w:tblCellMar>
        </w:tblPrEx>
        <w:trPr>
          <w:trHeight w:val="288"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51E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F5B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观摩室玻璃</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8CA6">
            <w:pPr>
              <w:widowControl/>
              <w:jc w:val="left"/>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≥12MM厚钢化</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6F57">
            <w:pPr>
              <w:widowControl/>
              <w:jc w:val="center"/>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7</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C411">
            <w:pPr>
              <w:widowControl/>
              <w:jc w:val="center"/>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M</w:t>
            </w:r>
            <w:r>
              <w:rPr>
                <w:rStyle w:val="968"/>
                <w:rFonts w:hint="default"/>
                <w:color w:val="auto"/>
                <w:highlight w:val="none"/>
                <w:lang w:bidi="ar"/>
              </w:rPr>
              <w:t>2</w:t>
            </w:r>
          </w:p>
        </w:tc>
      </w:tr>
      <w:tr w14:paraId="504B16AF">
        <w:tblPrEx>
          <w:tblCellMar>
            <w:top w:w="0" w:type="dxa"/>
            <w:left w:w="108" w:type="dxa"/>
            <w:bottom w:w="0" w:type="dxa"/>
            <w:right w:w="108" w:type="dxa"/>
          </w:tblCellMar>
        </w:tblPrEx>
        <w:trPr>
          <w:trHeight w:val="288"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E96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906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石膏板吊顶</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3FD4">
            <w:pPr>
              <w:widowControl/>
              <w:jc w:val="left"/>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≥50MM轻钢龙骨，≥12MM吸音石膏板</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4B56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176</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740E">
            <w:pPr>
              <w:widowControl/>
              <w:jc w:val="center"/>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M</w:t>
            </w:r>
            <w:r>
              <w:rPr>
                <w:rStyle w:val="968"/>
                <w:rFonts w:hint="default"/>
                <w:color w:val="auto"/>
                <w:highlight w:val="none"/>
                <w:lang w:bidi="ar"/>
              </w:rPr>
              <w:t>2</w:t>
            </w:r>
          </w:p>
        </w:tc>
      </w:tr>
      <w:tr w14:paraId="243C4BD3">
        <w:tblPrEx>
          <w:tblCellMar>
            <w:top w:w="0" w:type="dxa"/>
            <w:left w:w="108" w:type="dxa"/>
            <w:bottom w:w="0" w:type="dxa"/>
            <w:right w:w="108" w:type="dxa"/>
          </w:tblCellMar>
        </w:tblPrEx>
        <w:trPr>
          <w:trHeight w:val="2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B05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5093">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踢脚线</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13A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不锈钢304</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C1E0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72</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CED8">
            <w:pPr>
              <w:widowControl/>
              <w:jc w:val="center"/>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米</w:t>
            </w:r>
          </w:p>
        </w:tc>
      </w:tr>
      <w:tr w14:paraId="48EEA107">
        <w:tblPrEx>
          <w:tblCellMar>
            <w:top w:w="0" w:type="dxa"/>
            <w:left w:w="108" w:type="dxa"/>
            <w:bottom w:w="0" w:type="dxa"/>
            <w:right w:w="108" w:type="dxa"/>
          </w:tblCellMar>
        </w:tblPrEx>
        <w:trPr>
          <w:trHeight w:val="288"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16A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4732">
            <w:pPr>
              <w:widowControl/>
              <w:jc w:val="left"/>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吸音板</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9BDB">
            <w:pPr>
              <w:widowControl/>
              <w:jc w:val="left"/>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厚度≥12MM陶铝吸音板</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DDD9">
            <w:pPr>
              <w:widowControl/>
              <w:jc w:val="center"/>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31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3A03">
            <w:pPr>
              <w:widowControl/>
              <w:jc w:val="center"/>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M</w:t>
            </w:r>
            <w:r>
              <w:rPr>
                <w:rStyle w:val="968"/>
                <w:rFonts w:hint="default"/>
                <w:color w:val="auto"/>
                <w:highlight w:val="none"/>
                <w:lang w:bidi="ar"/>
              </w:rPr>
              <w:t>2</w:t>
            </w:r>
          </w:p>
        </w:tc>
      </w:tr>
      <w:tr w14:paraId="19A3D9E4">
        <w:tblPrEx>
          <w:tblCellMar>
            <w:top w:w="0" w:type="dxa"/>
            <w:left w:w="108" w:type="dxa"/>
            <w:bottom w:w="0" w:type="dxa"/>
            <w:right w:w="108" w:type="dxa"/>
          </w:tblCellMar>
        </w:tblPrEx>
        <w:trPr>
          <w:trHeight w:val="288"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F2E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BA9F">
            <w:pPr>
              <w:widowControl/>
              <w:jc w:val="left"/>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吊顶乳胶漆</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E22B">
            <w:pPr>
              <w:widowControl/>
              <w:jc w:val="left"/>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点锈、腻子、找平、一底、二面</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5901">
            <w:pPr>
              <w:widowControl/>
              <w:jc w:val="center"/>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177</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E51C">
            <w:pPr>
              <w:widowControl/>
              <w:jc w:val="center"/>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M</w:t>
            </w:r>
            <w:r>
              <w:rPr>
                <w:rStyle w:val="968"/>
                <w:rFonts w:hint="default"/>
                <w:color w:val="auto"/>
                <w:highlight w:val="none"/>
                <w:lang w:bidi="ar"/>
              </w:rPr>
              <w:t>2</w:t>
            </w:r>
          </w:p>
        </w:tc>
      </w:tr>
      <w:tr w14:paraId="61CFB9B9">
        <w:tblPrEx>
          <w:tblCellMar>
            <w:top w:w="0" w:type="dxa"/>
            <w:left w:w="108" w:type="dxa"/>
            <w:bottom w:w="0" w:type="dxa"/>
            <w:right w:w="108" w:type="dxa"/>
          </w:tblCellMar>
        </w:tblPrEx>
        <w:trPr>
          <w:trHeight w:val="288"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FB3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EFAC">
            <w:pPr>
              <w:widowControl/>
              <w:jc w:val="left"/>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强电铺设</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45F7">
            <w:pPr>
              <w:widowControl/>
              <w:jc w:val="left"/>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≥DJGQ20管、BV4平方、2.5平方米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3692">
            <w:pPr>
              <w:widowControl/>
              <w:jc w:val="center"/>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135</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5944">
            <w:pPr>
              <w:widowControl/>
              <w:jc w:val="center"/>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M</w:t>
            </w:r>
            <w:r>
              <w:rPr>
                <w:rStyle w:val="968"/>
                <w:rFonts w:hint="default"/>
                <w:color w:val="auto"/>
                <w:highlight w:val="none"/>
                <w:lang w:bidi="ar"/>
              </w:rPr>
              <w:t>2</w:t>
            </w:r>
          </w:p>
        </w:tc>
      </w:tr>
      <w:tr w14:paraId="1A82D779">
        <w:tblPrEx>
          <w:tblCellMar>
            <w:top w:w="0" w:type="dxa"/>
            <w:left w:w="108" w:type="dxa"/>
            <w:bottom w:w="0" w:type="dxa"/>
            <w:right w:w="108" w:type="dxa"/>
          </w:tblCellMar>
        </w:tblPrEx>
        <w:trPr>
          <w:trHeight w:val="2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543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C45B">
            <w:pPr>
              <w:widowControl/>
              <w:jc w:val="left"/>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开关插座电箱</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6088">
            <w:pPr>
              <w:widowControl/>
              <w:jc w:val="left"/>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≥500*700MM配电箱含空开、漏保等</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5F0D">
            <w:pPr>
              <w:widowControl/>
              <w:jc w:val="center"/>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D8A4">
            <w:pPr>
              <w:widowControl/>
              <w:jc w:val="center"/>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项</w:t>
            </w:r>
          </w:p>
        </w:tc>
      </w:tr>
      <w:tr w14:paraId="4785CCA9">
        <w:tblPrEx>
          <w:tblCellMar>
            <w:top w:w="0" w:type="dxa"/>
            <w:left w:w="108" w:type="dxa"/>
            <w:bottom w:w="0" w:type="dxa"/>
            <w:right w:w="108" w:type="dxa"/>
          </w:tblCellMar>
        </w:tblPrEx>
        <w:trPr>
          <w:trHeight w:val="2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6D9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169D">
            <w:pPr>
              <w:widowControl/>
              <w:jc w:val="left"/>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灯具</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99A8">
            <w:pPr>
              <w:widowControl/>
              <w:jc w:val="left"/>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铝材LED条形灯、灯带、射灯等</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8EFB">
            <w:pPr>
              <w:widowControl/>
              <w:jc w:val="center"/>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0ED8">
            <w:pPr>
              <w:widowControl/>
              <w:jc w:val="center"/>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项</w:t>
            </w:r>
          </w:p>
        </w:tc>
      </w:tr>
      <w:tr w14:paraId="6914FEDA">
        <w:tblPrEx>
          <w:tblCellMar>
            <w:top w:w="0" w:type="dxa"/>
            <w:left w:w="108" w:type="dxa"/>
            <w:bottom w:w="0" w:type="dxa"/>
            <w:right w:w="108" w:type="dxa"/>
          </w:tblCellMar>
        </w:tblPrEx>
        <w:trPr>
          <w:trHeight w:val="2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79C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48F5">
            <w:pPr>
              <w:widowControl/>
              <w:jc w:val="left"/>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窗帘盒</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5CF1">
            <w:pPr>
              <w:widowControl/>
              <w:jc w:val="left"/>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≥15mm厚阻燃板.9厚石膏板</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86A7">
            <w:pPr>
              <w:widowControl/>
              <w:jc w:val="center"/>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17</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1F8F">
            <w:pPr>
              <w:widowControl/>
              <w:jc w:val="center"/>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米</w:t>
            </w:r>
          </w:p>
        </w:tc>
      </w:tr>
      <w:tr w14:paraId="2A533AF3">
        <w:tblPrEx>
          <w:tblCellMar>
            <w:top w:w="0" w:type="dxa"/>
            <w:left w:w="108" w:type="dxa"/>
            <w:bottom w:w="0" w:type="dxa"/>
            <w:right w:w="108" w:type="dxa"/>
          </w:tblCellMar>
        </w:tblPrEx>
        <w:trPr>
          <w:trHeight w:val="288"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C2E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E2AF">
            <w:pPr>
              <w:widowControl/>
              <w:jc w:val="left"/>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窗帘</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0990">
            <w:pPr>
              <w:widowControl/>
              <w:jc w:val="left"/>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布质面料，离地20公分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C04D">
            <w:pPr>
              <w:widowControl/>
              <w:jc w:val="center"/>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44</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44FF">
            <w:pPr>
              <w:widowControl/>
              <w:jc w:val="center"/>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M</w:t>
            </w:r>
            <w:r>
              <w:rPr>
                <w:rStyle w:val="968"/>
                <w:rFonts w:hint="default"/>
                <w:color w:val="auto"/>
                <w:highlight w:val="none"/>
                <w:lang w:bidi="ar"/>
              </w:rPr>
              <w:t>2</w:t>
            </w:r>
          </w:p>
        </w:tc>
      </w:tr>
      <w:tr w14:paraId="0AA44FC5">
        <w:tblPrEx>
          <w:tblCellMar>
            <w:top w:w="0" w:type="dxa"/>
            <w:left w:w="108" w:type="dxa"/>
            <w:bottom w:w="0" w:type="dxa"/>
            <w:right w:w="108" w:type="dxa"/>
          </w:tblCellMar>
        </w:tblPrEx>
        <w:trPr>
          <w:trHeight w:val="288"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F3A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E158">
            <w:pPr>
              <w:widowControl/>
              <w:jc w:val="left"/>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地面找平</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8922">
            <w:pPr>
              <w:widowControl/>
              <w:jc w:val="left"/>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1：3水泥沙浆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77A4">
            <w:pPr>
              <w:widowControl/>
              <w:jc w:val="center"/>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135</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0B8E">
            <w:pPr>
              <w:widowControl/>
              <w:jc w:val="center"/>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M</w:t>
            </w:r>
            <w:r>
              <w:rPr>
                <w:rStyle w:val="968"/>
                <w:rFonts w:hint="default"/>
                <w:color w:val="auto"/>
                <w:highlight w:val="none"/>
                <w:lang w:bidi="ar"/>
              </w:rPr>
              <w:t>2</w:t>
            </w:r>
          </w:p>
        </w:tc>
      </w:tr>
      <w:tr w14:paraId="52903CFC">
        <w:tblPrEx>
          <w:tblCellMar>
            <w:top w:w="0" w:type="dxa"/>
            <w:left w:w="108" w:type="dxa"/>
            <w:bottom w:w="0" w:type="dxa"/>
            <w:right w:w="108" w:type="dxa"/>
          </w:tblCellMar>
        </w:tblPrEx>
        <w:trPr>
          <w:trHeight w:val="288"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D13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9F4E">
            <w:pPr>
              <w:widowControl/>
              <w:jc w:val="left"/>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墙面乳胶漆</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EF3D">
            <w:pPr>
              <w:widowControl/>
              <w:jc w:val="left"/>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点锈、腻子、找平、一底、二面.压光</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C4FB">
            <w:pPr>
              <w:widowControl/>
              <w:jc w:val="center"/>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103</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BFCE">
            <w:pPr>
              <w:widowControl/>
              <w:jc w:val="center"/>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M</w:t>
            </w:r>
            <w:r>
              <w:rPr>
                <w:rStyle w:val="968"/>
                <w:rFonts w:hint="default"/>
                <w:color w:val="auto"/>
                <w:highlight w:val="none"/>
                <w:lang w:bidi="ar"/>
              </w:rPr>
              <w:t>2</w:t>
            </w:r>
          </w:p>
        </w:tc>
      </w:tr>
      <w:tr w14:paraId="09EC1640">
        <w:tblPrEx>
          <w:tblCellMar>
            <w:top w:w="0" w:type="dxa"/>
            <w:left w:w="108" w:type="dxa"/>
            <w:bottom w:w="0" w:type="dxa"/>
            <w:right w:w="108" w:type="dxa"/>
          </w:tblCellMar>
        </w:tblPrEx>
        <w:trPr>
          <w:trHeight w:val="288"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F63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F22D">
            <w:pPr>
              <w:widowControl/>
              <w:jc w:val="left"/>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观摩室吊顶</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14B8">
            <w:pPr>
              <w:widowControl/>
              <w:jc w:val="left"/>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≥600*600mm吸音微孔硅钙板</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957C">
            <w:pPr>
              <w:widowControl/>
              <w:jc w:val="center"/>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31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3509">
            <w:pPr>
              <w:widowControl/>
              <w:jc w:val="center"/>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M</w:t>
            </w:r>
            <w:r>
              <w:rPr>
                <w:rStyle w:val="968"/>
                <w:rFonts w:hint="default"/>
                <w:color w:val="auto"/>
                <w:highlight w:val="none"/>
                <w:lang w:bidi="ar"/>
              </w:rPr>
              <w:t>2</w:t>
            </w:r>
          </w:p>
        </w:tc>
      </w:tr>
      <w:tr w14:paraId="1C2A04A2">
        <w:tblPrEx>
          <w:tblCellMar>
            <w:top w:w="0" w:type="dxa"/>
            <w:left w:w="108" w:type="dxa"/>
            <w:bottom w:w="0" w:type="dxa"/>
            <w:right w:w="108" w:type="dxa"/>
          </w:tblCellMar>
        </w:tblPrEx>
        <w:trPr>
          <w:trHeight w:val="2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A34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B614">
            <w:pPr>
              <w:widowControl/>
              <w:jc w:val="left"/>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电机及轨道</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1FD5">
            <w:pPr>
              <w:widowControl/>
              <w:jc w:val="left"/>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根据实际尺寸定制，长度≥1700MM</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4FE2">
            <w:pPr>
              <w:widowControl/>
              <w:jc w:val="center"/>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4</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0E1B">
            <w:pPr>
              <w:widowControl/>
              <w:jc w:val="center"/>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套</w:t>
            </w:r>
          </w:p>
        </w:tc>
      </w:tr>
      <w:tr w14:paraId="7EA7294E">
        <w:tblPrEx>
          <w:tblCellMar>
            <w:top w:w="0" w:type="dxa"/>
            <w:left w:w="108" w:type="dxa"/>
            <w:bottom w:w="0" w:type="dxa"/>
            <w:right w:w="108" w:type="dxa"/>
          </w:tblCellMar>
        </w:tblPrEx>
        <w:trPr>
          <w:trHeight w:val="2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E30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6D1B">
            <w:pPr>
              <w:widowControl/>
              <w:jc w:val="left"/>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消防改造</w:t>
            </w:r>
          </w:p>
        </w:tc>
        <w:tc>
          <w:tcPr>
            <w:tcW w:w="5400" w:type="dxa"/>
            <w:tcBorders>
              <w:top w:val="nil"/>
              <w:left w:val="nil"/>
              <w:bottom w:val="nil"/>
              <w:right w:val="nil"/>
            </w:tcBorders>
            <w:shd w:val="clear" w:color="auto" w:fill="auto"/>
            <w:noWrap/>
            <w:vAlign w:val="center"/>
          </w:tcPr>
          <w:p w14:paraId="0CDEB31F">
            <w:pPr>
              <w:widowControl/>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消防喷头改造及烟感改造</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E2EC">
            <w:pPr>
              <w:widowControl/>
              <w:jc w:val="center"/>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CED2">
            <w:pPr>
              <w:widowControl/>
              <w:jc w:val="center"/>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项</w:t>
            </w:r>
          </w:p>
        </w:tc>
      </w:tr>
      <w:tr w14:paraId="1FFD0160">
        <w:tblPrEx>
          <w:tblCellMar>
            <w:top w:w="0" w:type="dxa"/>
            <w:left w:w="108" w:type="dxa"/>
            <w:bottom w:w="0" w:type="dxa"/>
            <w:right w:w="108" w:type="dxa"/>
          </w:tblCellMar>
        </w:tblPrEx>
        <w:trPr>
          <w:trHeight w:val="2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8B8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34A1">
            <w:pPr>
              <w:widowControl/>
              <w:jc w:val="left"/>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垃圾清理外运</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10F6">
            <w:pPr>
              <w:jc w:val="left"/>
              <w:rPr>
                <w:rFonts w:hint="eastAsia" w:ascii="新宋体" w:hAnsi="新宋体" w:eastAsia="新宋体" w:cs="新宋体"/>
                <w:color w:val="auto"/>
                <w:sz w:val="20"/>
                <w:szCs w:val="20"/>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227A">
            <w:pPr>
              <w:widowControl/>
              <w:jc w:val="center"/>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CB1C">
            <w:pPr>
              <w:widowControl/>
              <w:jc w:val="center"/>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项</w:t>
            </w:r>
          </w:p>
        </w:tc>
      </w:tr>
    </w:tbl>
    <w:p w14:paraId="464460D7">
      <w:pPr>
        <w:tabs>
          <w:tab w:val="left" w:pos="840"/>
        </w:tabs>
        <w:spacing w:before="120" w:beforeLines="50" w:after="120" w:afterLines="50" w:line="400" w:lineRule="exact"/>
        <w:jc w:val="left"/>
        <w:rPr>
          <w:rFonts w:hint="eastAsia" w:ascii="宋体" w:hAnsi="宋体" w:cs="宋体"/>
          <w:color w:val="auto"/>
          <w:sz w:val="24"/>
          <w:highlight w:val="none"/>
        </w:rPr>
      </w:pPr>
      <w:r>
        <w:rPr>
          <w:rFonts w:hint="eastAsia" w:ascii="宋体" w:hAnsi="宋体" w:cs="宋体"/>
          <w:color w:val="auto"/>
          <w:sz w:val="24"/>
          <w:highlight w:val="none"/>
        </w:rPr>
        <w:t>注：1表中所指出材质说明、品牌等方面的资料如涉及特定品牌、型号规格或制造商的信息，则仅系产品需求描述而并非进行限制。供应商可提出替代响应产品，但该替代产品应相当于或优于采购内容及需求的规定，以满足本次采购要求并使采购人可以接受。</w:t>
      </w:r>
    </w:p>
    <w:p w14:paraId="30B30AF9">
      <w:pPr>
        <w:tabs>
          <w:tab w:val="left" w:pos="840"/>
        </w:tabs>
        <w:spacing w:before="120" w:beforeLines="50" w:after="120" w:afterLines="50"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2、本项目的所有软、硬件(如线缆、管线、软件、硬件、模块等，包括未列出而系统实施又必需的软件、硬件)需配齐以构成一套完整实用系统，如有任何遗漏，由中标人补齐（相关费用包含在总价内）。</w:t>
      </w:r>
    </w:p>
    <w:p w14:paraId="69930CD9">
      <w:pPr>
        <w:tabs>
          <w:tab w:val="left" w:pos="840"/>
        </w:tabs>
        <w:spacing w:before="120" w:beforeLines="50" w:after="120" w:afterLines="50"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3.投标方案中的硬件设备如需使用特别接头、插座等，由投标人提供（相关费用包含在总价内），投标总价应包括运抵学校的运费及安装调试费等。</w:t>
      </w:r>
    </w:p>
    <w:p w14:paraId="760F65A1">
      <w:pPr>
        <w:tabs>
          <w:tab w:val="left" w:pos="840"/>
        </w:tabs>
        <w:spacing w:before="120" w:beforeLines="50" w:after="120" w:afterLines="50"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所投产品需为原厂全新产品，2025年1月份后生产的符合国家技术规格和质量标准的出厂合格产品，通过国家有关部门检测合格的原产地产品，未曾开箱使用，能够与学校现有设备正常连接；设备安装调试完毕后，能在其功能范围内保障用户的系统安全、稳定运行。</w:t>
      </w:r>
    </w:p>
    <w:p w14:paraId="6CB71663">
      <w:pPr>
        <w:tabs>
          <w:tab w:val="left" w:pos="840"/>
        </w:tabs>
        <w:spacing w:before="120" w:beforeLines="50" w:after="120" w:afterLines="50"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5.所投产品及主要部件均须非停产设备，并提供备件、附件和耗材的供应。</w:t>
      </w:r>
    </w:p>
    <w:p w14:paraId="4D17360D">
      <w:pPr>
        <w:tabs>
          <w:tab w:val="left" w:pos="840"/>
        </w:tabs>
        <w:spacing w:before="120" w:beforeLines="50" w:after="120" w:afterLines="50" w:line="400" w:lineRule="exact"/>
        <w:ind w:left="0" w:leftChars="0" w:firstLine="480" w:firstLineChars="200"/>
        <w:jc w:val="left"/>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6.其它施工过程中需注意事项</w:t>
      </w:r>
    </w:p>
    <w:p w14:paraId="7E8901BF">
      <w:pPr>
        <w:spacing w:line="360" w:lineRule="auto"/>
        <w:ind w:firstLine="42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本工程在项目实施期间，中标人应注意保护好采购人周边现有成品，如有损坏，须无条件修复至采购人满意。</w:t>
      </w:r>
    </w:p>
    <w:p w14:paraId="2E9A39A9">
      <w:pPr>
        <w:spacing w:line="360" w:lineRule="auto"/>
        <w:ind w:firstLine="42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①废弃材料不得丢弃或随意堆放在校园内，清理产生的拆除费、搬运费、交通运输费等各项费用均由中标人自行考虑并计入响应总价且一次性包干</w:t>
      </w:r>
    </w:p>
    <w:p w14:paraId="24406FB8">
      <w:pPr>
        <w:spacing w:line="360" w:lineRule="auto"/>
        <w:ind w:firstLine="42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②项目完工后，中标人需对施工现场进行全面的清洁工作。 </w:t>
      </w:r>
    </w:p>
    <w:p w14:paraId="2E28C089">
      <w:pPr>
        <w:spacing w:line="360" w:lineRule="auto"/>
        <w:ind w:firstLine="42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③本项目如需土方外运，中标人应根据《关于发布杭州市工程渣土消纳市场信息价的通知》（杭渣土领【2020】1号 ）及《关于明确杭州市工程渣土运输及消纳项目计价清单和报价口径的通知》等相关文件精神并结合项目方案实际合理报价，中标人须按照杭城管【2022】39号《关于进一步规范建筑垃圾审批管理和执法工作的通知》办理好相关备案手续。</w:t>
      </w:r>
    </w:p>
    <w:p w14:paraId="34FD8F38">
      <w:pPr>
        <w:pStyle w:val="5"/>
        <w:spacing w:before="0" w:after="0" w:line="360" w:lineRule="auto"/>
        <w:rPr>
          <w:color w:val="auto"/>
          <w:sz w:val="24"/>
          <w:szCs w:val="24"/>
          <w:highlight w:val="none"/>
        </w:rPr>
      </w:pPr>
      <w:r>
        <w:rPr>
          <w:rFonts w:hint="eastAsia"/>
          <w:color w:val="auto"/>
          <w:sz w:val="24"/>
          <w:szCs w:val="24"/>
          <w:highlight w:val="none"/>
        </w:rPr>
        <w:t>五、商务要求</w:t>
      </w:r>
    </w:p>
    <w:p w14:paraId="289E6F40">
      <w:pPr>
        <w:tabs>
          <w:tab w:val="left" w:pos="0"/>
        </w:tabs>
        <w:spacing w:line="360" w:lineRule="auto"/>
        <w:ind w:firstLine="480" w:firstLineChars="200"/>
        <w:rPr>
          <w:rFonts w:hint="eastAsia" w:ascii="宋体" w:hAnsi="宋体" w:cs="宋体"/>
          <w:color w:val="auto"/>
          <w:sz w:val="24"/>
          <w:highlight w:val="none"/>
        </w:rPr>
      </w:pPr>
      <w:bookmarkStart w:id="30" w:name="_Toc27854"/>
      <w:bookmarkStart w:id="31" w:name="_Toc13918"/>
      <w:r>
        <w:rPr>
          <w:rFonts w:hint="eastAsia" w:ascii="宋体" w:hAnsi="宋体" w:cs="宋体"/>
          <w:color w:val="auto"/>
          <w:sz w:val="24"/>
          <w:highlight w:val="none"/>
        </w:rPr>
        <w:t>1.供货、安装、调试、验收</w:t>
      </w:r>
      <w:bookmarkEnd w:id="30"/>
      <w:bookmarkEnd w:id="31"/>
      <w:r>
        <w:rPr>
          <w:rFonts w:hint="eastAsia" w:ascii="宋体" w:hAnsi="宋体" w:cs="宋体"/>
          <w:color w:val="auto"/>
          <w:sz w:val="24"/>
          <w:highlight w:val="none"/>
        </w:rPr>
        <w:t>。</w:t>
      </w:r>
    </w:p>
    <w:p w14:paraId="7A75EA31">
      <w:pPr>
        <w:tabs>
          <w:tab w:val="left" w:pos="0"/>
        </w:tabs>
        <w:spacing w:line="360" w:lineRule="auto"/>
        <w:ind w:firstLine="480" w:firstLineChars="200"/>
        <w:rPr>
          <w:rFonts w:hint="eastAsia" w:ascii="宋体" w:hAnsi="宋体" w:cs="宋体"/>
          <w:color w:val="auto"/>
          <w:sz w:val="24"/>
          <w:highlight w:val="none"/>
        </w:rPr>
      </w:pPr>
      <w:bookmarkStart w:id="32" w:name="_Toc11200"/>
      <w:bookmarkStart w:id="33" w:name="_Toc11029"/>
      <w:r>
        <w:rPr>
          <w:rFonts w:hint="eastAsia" w:ascii="宋体" w:hAnsi="宋体" w:cs="宋体"/>
          <w:color w:val="auto"/>
          <w:sz w:val="24"/>
          <w:highlight w:val="none"/>
        </w:rPr>
        <w:t>1.1供货期：</w:t>
      </w:r>
      <w:r>
        <w:rPr>
          <w:rFonts w:hint="eastAsia" w:ascii="宋体" w:hAnsi="宋体" w:cs="宋体"/>
          <w:color w:val="auto"/>
          <w:sz w:val="24"/>
          <w:highlight w:val="none"/>
        </w:rPr>
        <w:t>合同签订接校方开工通知后</w:t>
      </w:r>
      <w:r>
        <w:rPr>
          <w:rFonts w:hint="eastAsia" w:ascii="宋体" w:hAnsi="宋体" w:cs="宋体"/>
          <w:color w:val="auto"/>
          <w:sz w:val="24"/>
          <w:highlight w:val="none"/>
          <w:u w:val="single"/>
        </w:rPr>
        <w:t xml:space="preserve">  25  </w:t>
      </w:r>
      <w:r>
        <w:rPr>
          <w:rFonts w:hint="eastAsia" w:ascii="宋体" w:hAnsi="宋体" w:cs="宋体"/>
          <w:color w:val="auto"/>
          <w:sz w:val="24"/>
          <w:highlight w:val="none"/>
        </w:rPr>
        <w:t>天内完成安装调试。试运行后完成验收。地点由采购人指定。</w:t>
      </w:r>
    </w:p>
    <w:p w14:paraId="49710EC5">
      <w:pPr>
        <w:tabs>
          <w:tab w:val="left" w:pos="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1.2安装地点：负责将采购人实际采购物资运至项目实施地。</w:t>
      </w:r>
    </w:p>
    <w:p w14:paraId="6B5DD4DA">
      <w:pPr>
        <w:tabs>
          <w:tab w:val="left" w:pos="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安装标准：符合我国国家有关技术规范要求和技术标准。安装过程中发生的费用由中标人负责。供应商应在投标文件中提供其安装调试过程中需采购人配合的内容。同时中标人应派经采购人认可的有经验和能力、具有相应资质的技术人员，负责安装工作，在安装期间应充分了解安装进度要求，保证施工质量，解决施工中出现的技术问题。</w:t>
      </w:r>
    </w:p>
    <w:p w14:paraId="73146D15">
      <w:pPr>
        <w:tabs>
          <w:tab w:val="left" w:pos="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 中标人应提供货物的有效检验文件，经采购人认可后，与合同和投标文件一起作为货物验收标准。验收合格后，由双方共同签署验收文件。验收中发现货物达不到验收标准或规定的性能指标，中标人必须更换，并承担由此给用户造成的损失。</w:t>
      </w:r>
    </w:p>
    <w:bookmarkEnd w:id="32"/>
    <w:bookmarkEnd w:id="33"/>
    <w:p w14:paraId="1DEAD8D2">
      <w:pPr>
        <w:tabs>
          <w:tab w:val="left" w:pos="0"/>
        </w:tabs>
        <w:spacing w:line="360" w:lineRule="auto"/>
        <w:ind w:firstLine="480" w:firstLineChars="200"/>
        <w:rPr>
          <w:rFonts w:hint="eastAsia" w:ascii="宋体" w:hAnsi="宋体" w:cs="宋体"/>
          <w:color w:val="auto"/>
          <w:sz w:val="24"/>
          <w:highlight w:val="none"/>
        </w:rPr>
      </w:pPr>
      <w:bookmarkStart w:id="34" w:name="_Toc10606"/>
      <w:bookmarkStart w:id="35" w:name="_Toc31243"/>
      <w:r>
        <w:rPr>
          <w:rFonts w:hint="eastAsia" w:ascii="宋体" w:hAnsi="宋体" w:cs="宋体"/>
          <w:color w:val="auto"/>
          <w:sz w:val="24"/>
          <w:highlight w:val="none"/>
        </w:rPr>
        <w:t>2、包装、运输及保险</w:t>
      </w:r>
    </w:p>
    <w:p w14:paraId="2A334D6E">
      <w:pPr>
        <w:tabs>
          <w:tab w:val="left" w:pos="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2.1中标人提供的中标物品，必须符合招标文件（含样品）要求，原包装送达采购单位；如有不符，采购人可以无条件退货，所造成的损失由中标人承担。更换后的零部件质保期按更换日起顺延。</w:t>
      </w:r>
      <w:bookmarkEnd w:id="34"/>
      <w:bookmarkEnd w:id="35"/>
    </w:p>
    <w:p w14:paraId="37A799E0">
      <w:pPr>
        <w:tabs>
          <w:tab w:val="left" w:pos="0"/>
        </w:tabs>
        <w:spacing w:line="360" w:lineRule="auto"/>
        <w:ind w:firstLine="480" w:firstLineChars="200"/>
        <w:rPr>
          <w:rFonts w:hint="eastAsia" w:ascii="宋体" w:hAnsi="宋体" w:cs="宋体"/>
          <w:color w:val="auto"/>
          <w:sz w:val="24"/>
          <w:highlight w:val="none"/>
        </w:rPr>
      </w:pPr>
      <w:bookmarkStart w:id="36" w:name="_Toc705"/>
      <w:bookmarkStart w:id="37" w:name="_Toc27783"/>
      <w:r>
        <w:rPr>
          <w:rFonts w:hint="eastAsia" w:ascii="宋体" w:hAnsi="宋体" w:cs="宋体"/>
          <w:color w:val="auto"/>
          <w:sz w:val="24"/>
          <w:highlight w:val="none"/>
        </w:rPr>
        <w:t>2.2中标人应在货物发运前对其进行满足运输距离、防潮、防震、防锈和防破损装卸等要求包装，以保证货物安全运达采购人指定地点。</w:t>
      </w:r>
    </w:p>
    <w:p w14:paraId="1652C848">
      <w:pPr>
        <w:tabs>
          <w:tab w:val="left" w:pos="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2.3使用说明书、产品合格证、质量检验证明书、随配附件和工具以及清单一并附于货物内。</w:t>
      </w:r>
    </w:p>
    <w:p w14:paraId="731E426F">
      <w:pPr>
        <w:tabs>
          <w:tab w:val="left" w:pos="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2.4中标人在货物发运手续办理完毕后24小时内或货到甲方48小时前通知采购人，以准备接货。</w:t>
      </w:r>
    </w:p>
    <w:p w14:paraId="3DB2A926">
      <w:pPr>
        <w:tabs>
          <w:tab w:val="left" w:pos="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2.5货物在交付采购人前发生的风险均由中标人负责。</w:t>
      </w:r>
    </w:p>
    <w:p w14:paraId="36EEFF58">
      <w:pPr>
        <w:tabs>
          <w:tab w:val="left" w:pos="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2.6货物在规定的交付期限内由中标人送达采购人指定的地点视为交付，中标人同时需通知采购人货物已送达。</w:t>
      </w:r>
    </w:p>
    <w:p w14:paraId="74BA1B3B">
      <w:pPr>
        <w:tabs>
          <w:tab w:val="left" w:pos="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2.7中标人需提供货物运输保险。</w:t>
      </w:r>
    </w:p>
    <w:p w14:paraId="4B0EE6D3">
      <w:pPr>
        <w:tabs>
          <w:tab w:val="left" w:pos="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3.质量保证期及售后服务</w:t>
      </w:r>
      <w:bookmarkEnd w:id="36"/>
      <w:bookmarkEnd w:id="37"/>
    </w:p>
    <w:p w14:paraId="4DACA015">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3.1质保期：整体质保不低于3年（采购需求中另有要求的除外）。终身提供维护维修，配件按市场价格收取，免收差旅费。</w:t>
      </w:r>
    </w:p>
    <w:p w14:paraId="0CC7185E">
      <w:pPr>
        <w:tabs>
          <w:tab w:val="left" w:pos="0"/>
        </w:tabs>
        <w:spacing w:line="360" w:lineRule="auto"/>
        <w:ind w:firstLine="480" w:firstLineChars="200"/>
        <w:rPr>
          <w:rFonts w:hint="eastAsia" w:ascii="宋体" w:hAnsi="宋体" w:cs="宋体"/>
          <w:color w:val="auto"/>
          <w:sz w:val="24"/>
          <w:highlight w:val="none"/>
        </w:rPr>
      </w:pPr>
      <w:bookmarkStart w:id="38" w:name="_Toc20746"/>
      <w:bookmarkStart w:id="39" w:name="_Toc27583"/>
      <w:r>
        <w:rPr>
          <w:rFonts w:hint="eastAsia" w:ascii="宋体" w:hAnsi="宋体" w:cs="宋体"/>
          <w:color w:val="auto"/>
          <w:sz w:val="24"/>
          <w:highlight w:val="none"/>
        </w:rPr>
        <w:t>3.2质量保证期内提供免费上门维护，如出现故障，中标人在接到电话后，7*24小时内响应，1小时快速上门服务，现场不能修复的，必须采取无偿提供采购物品的备品等措施，保证用户单位的正常使用。</w:t>
      </w:r>
      <w:bookmarkEnd w:id="38"/>
      <w:bookmarkEnd w:id="39"/>
    </w:p>
    <w:p w14:paraId="580CBD52">
      <w:pPr>
        <w:tabs>
          <w:tab w:val="left" w:pos="0"/>
        </w:tabs>
        <w:spacing w:line="360" w:lineRule="auto"/>
        <w:ind w:firstLine="480" w:firstLineChars="200"/>
        <w:rPr>
          <w:rFonts w:hint="eastAsia" w:ascii="宋体" w:hAnsi="宋体" w:cs="宋体"/>
          <w:color w:val="auto"/>
          <w:sz w:val="24"/>
          <w:highlight w:val="none"/>
        </w:rPr>
      </w:pPr>
      <w:bookmarkStart w:id="40" w:name="_Toc9055"/>
      <w:bookmarkStart w:id="41" w:name="_Toc19387"/>
      <w:r>
        <w:rPr>
          <w:rFonts w:hint="eastAsia" w:ascii="宋体" w:hAnsi="宋体" w:cs="宋体"/>
          <w:color w:val="auto"/>
          <w:sz w:val="24"/>
          <w:highlight w:val="none"/>
        </w:rPr>
        <w:t>3.3应提供技术支持方案，内容由供应商根据实际选择以下要点：服务机构（维保点）的地址、人员状况、维修能力、联系方式、营业执照、公司资质材料、相关案例等。</w:t>
      </w:r>
      <w:bookmarkEnd w:id="40"/>
      <w:bookmarkEnd w:id="41"/>
    </w:p>
    <w:p w14:paraId="55AF209C">
      <w:pPr>
        <w:tabs>
          <w:tab w:val="left" w:pos="0"/>
        </w:tabs>
        <w:spacing w:line="360" w:lineRule="auto"/>
        <w:ind w:firstLine="480" w:firstLineChars="200"/>
        <w:rPr>
          <w:rFonts w:hint="eastAsia" w:ascii="宋体" w:hAnsi="宋体" w:cs="宋体"/>
          <w:color w:val="auto"/>
          <w:sz w:val="24"/>
          <w:highlight w:val="none"/>
        </w:rPr>
      </w:pPr>
      <w:bookmarkStart w:id="42" w:name="_Toc20866"/>
      <w:bookmarkStart w:id="43" w:name="_Toc11596"/>
      <w:r>
        <w:rPr>
          <w:rFonts w:hint="eastAsia" w:ascii="宋体" w:hAnsi="宋体" w:cs="宋体"/>
          <w:color w:val="auto"/>
          <w:sz w:val="24"/>
          <w:highlight w:val="none"/>
        </w:rPr>
        <w:t>3.4完整准确地表述原厂家的标准售后服务承诺（范围、标准及期限等）、供应商可能增加的服务承诺等。</w:t>
      </w:r>
      <w:bookmarkEnd w:id="42"/>
      <w:bookmarkEnd w:id="43"/>
    </w:p>
    <w:p w14:paraId="15A04E2B">
      <w:pPr>
        <w:tabs>
          <w:tab w:val="left" w:pos="0"/>
        </w:tabs>
        <w:spacing w:line="360" w:lineRule="auto"/>
        <w:ind w:firstLine="480" w:firstLineChars="200"/>
        <w:rPr>
          <w:rFonts w:hint="eastAsia" w:ascii="宋体" w:hAnsi="宋体" w:cs="宋体"/>
          <w:color w:val="auto"/>
          <w:sz w:val="24"/>
          <w:highlight w:val="none"/>
        </w:rPr>
      </w:pPr>
      <w:bookmarkStart w:id="44" w:name="_Toc29884"/>
      <w:bookmarkStart w:id="45" w:name="_Toc421"/>
      <w:r>
        <w:rPr>
          <w:rFonts w:hint="eastAsia" w:ascii="宋体" w:hAnsi="宋体" w:cs="宋体"/>
          <w:color w:val="auto"/>
          <w:sz w:val="24"/>
          <w:highlight w:val="none"/>
        </w:rPr>
        <w:t>3.5供应商应在投标文件中详细说明其在质保期及整个使用期内的服务计划及收费标准（包括主要配件及人工的价格），否则将被认为是无条件和免费的。</w:t>
      </w:r>
      <w:bookmarkEnd w:id="44"/>
      <w:bookmarkEnd w:id="45"/>
    </w:p>
    <w:p w14:paraId="40024F96">
      <w:pPr>
        <w:tabs>
          <w:tab w:val="left" w:pos="0"/>
        </w:tabs>
        <w:spacing w:line="360" w:lineRule="auto"/>
        <w:ind w:firstLine="480" w:firstLineChars="200"/>
        <w:rPr>
          <w:rFonts w:hint="eastAsia" w:ascii="宋体" w:hAnsi="宋体" w:cs="宋体"/>
          <w:color w:val="auto"/>
          <w:sz w:val="24"/>
          <w:highlight w:val="none"/>
        </w:rPr>
      </w:pPr>
      <w:bookmarkStart w:id="46" w:name="_Toc16151"/>
      <w:bookmarkStart w:id="47" w:name="_Toc18407"/>
      <w:r>
        <w:rPr>
          <w:rFonts w:hint="eastAsia" w:ascii="宋体" w:hAnsi="宋体" w:cs="宋体"/>
          <w:color w:val="auto"/>
          <w:sz w:val="24"/>
          <w:highlight w:val="none"/>
        </w:rPr>
        <w:t>4.项目保修维修</w:t>
      </w:r>
      <w:bookmarkEnd w:id="46"/>
      <w:bookmarkEnd w:id="47"/>
      <w:r>
        <w:rPr>
          <w:rFonts w:hint="eastAsia" w:ascii="宋体" w:hAnsi="宋体" w:cs="宋体"/>
          <w:color w:val="auto"/>
          <w:sz w:val="24"/>
          <w:highlight w:val="none"/>
        </w:rPr>
        <w:t xml:space="preserve"> </w:t>
      </w:r>
    </w:p>
    <w:p w14:paraId="03AB5B1E">
      <w:pPr>
        <w:tabs>
          <w:tab w:val="left" w:pos="0"/>
        </w:tabs>
        <w:spacing w:line="360" w:lineRule="auto"/>
        <w:ind w:firstLine="480" w:firstLineChars="200"/>
        <w:rPr>
          <w:rFonts w:hint="eastAsia" w:ascii="宋体" w:hAnsi="宋体" w:cs="宋体"/>
          <w:color w:val="auto"/>
          <w:sz w:val="24"/>
          <w:highlight w:val="none"/>
        </w:rPr>
      </w:pPr>
      <w:bookmarkStart w:id="48" w:name="_Toc14514"/>
      <w:bookmarkStart w:id="49" w:name="_Toc7074"/>
      <w:r>
        <w:rPr>
          <w:rFonts w:hint="eastAsia" w:ascii="宋体" w:hAnsi="宋体" w:cs="宋体"/>
          <w:color w:val="auto"/>
          <w:sz w:val="24"/>
          <w:highlight w:val="none"/>
        </w:rPr>
        <w:t>4.1采购的物品，均按国家三包规定实行保修（除标项内已有说明外）。</w:t>
      </w:r>
      <w:bookmarkEnd w:id="48"/>
      <w:bookmarkEnd w:id="49"/>
    </w:p>
    <w:p w14:paraId="29E0DB7A">
      <w:pPr>
        <w:tabs>
          <w:tab w:val="left" w:pos="0"/>
        </w:tabs>
        <w:spacing w:line="360" w:lineRule="auto"/>
        <w:ind w:firstLine="480" w:firstLineChars="200"/>
        <w:rPr>
          <w:rFonts w:hint="eastAsia" w:ascii="宋体" w:hAnsi="宋体" w:cs="宋体"/>
          <w:color w:val="auto"/>
          <w:sz w:val="24"/>
          <w:highlight w:val="none"/>
        </w:rPr>
      </w:pPr>
      <w:bookmarkStart w:id="50" w:name="_Toc8109"/>
      <w:bookmarkStart w:id="51" w:name="_Toc15374"/>
      <w:r>
        <w:rPr>
          <w:rFonts w:hint="eastAsia" w:ascii="宋体" w:hAnsi="宋体" w:cs="宋体"/>
          <w:color w:val="auto"/>
          <w:sz w:val="24"/>
          <w:highlight w:val="none"/>
        </w:rPr>
        <w:t>4.2在质保维保期外响应时间同前。</w:t>
      </w:r>
      <w:bookmarkEnd w:id="50"/>
      <w:bookmarkEnd w:id="51"/>
    </w:p>
    <w:p w14:paraId="0AC656C3">
      <w:pPr>
        <w:tabs>
          <w:tab w:val="left" w:pos="0"/>
        </w:tabs>
        <w:spacing w:line="360" w:lineRule="auto"/>
        <w:ind w:firstLine="480" w:firstLineChars="200"/>
        <w:rPr>
          <w:rFonts w:hint="eastAsia" w:ascii="宋体" w:hAnsi="宋体" w:cs="宋体"/>
          <w:color w:val="auto"/>
          <w:sz w:val="24"/>
          <w:highlight w:val="none"/>
        </w:rPr>
      </w:pPr>
      <w:bookmarkStart w:id="52" w:name="_Toc14268"/>
      <w:bookmarkStart w:id="53" w:name="_Toc31152"/>
      <w:r>
        <w:rPr>
          <w:rFonts w:hint="eastAsia" w:ascii="宋体" w:hAnsi="宋体" w:cs="宋体"/>
          <w:color w:val="auto"/>
          <w:sz w:val="24"/>
          <w:highlight w:val="none"/>
        </w:rPr>
        <w:t>4.3终身提供维修。</w:t>
      </w:r>
      <w:bookmarkEnd w:id="52"/>
      <w:bookmarkEnd w:id="53"/>
    </w:p>
    <w:p w14:paraId="60A188BE">
      <w:pPr>
        <w:tabs>
          <w:tab w:val="left" w:pos="0"/>
        </w:tabs>
        <w:spacing w:line="360" w:lineRule="auto"/>
        <w:ind w:firstLine="480" w:firstLineChars="200"/>
        <w:rPr>
          <w:rFonts w:hint="eastAsia" w:ascii="宋体" w:hAnsi="宋体" w:cs="宋体"/>
          <w:color w:val="auto"/>
          <w:sz w:val="24"/>
          <w:highlight w:val="none"/>
        </w:rPr>
      </w:pPr>
      <w:bookmarkStart w:id="54" w:name="_Toc28526"/>
      <w:bookmarkStart w:id="55" w:name="_Toc20180"/>
      <w:r>
        <w:rPr>
          <w:rFonts w:hint="eastAsia" w:ascii="宋体" w:hAnsi="宋体" w:cs="宋体"/>
          <w:color w:val="auto"/>
          <w:sz w:val="24"/>
          <w:highlight w:val="none"/>
        </w:rPr>
        <w:t>5.项目实施计划</w:t>
      </w:r>
      <w:bookmarkEnd w:id="54"/>
      <w:bookmarkEnd w:id="55"/>
    </w:p>
    <w:p w14:paraId="22B903E0">
      <w:pPr>
        <w:tabs>
          <w:tab w:val="left" w:pos="0"/>
        </w:tabs>
        <w:spacing w:line="360" w:lineRule="auto"/>
        <w:ind w:firstLine="480" w:firstLineChars="200"/>
        <w:rPr>
          <w:rFonts w:hint="eastAsia" w:ascii="宋体" w:hAnsi="宋体" w:cs="宋体"/>
          <w:color w:val="auto"/>
          <w:sz w:val="24"/>
          <w:highlight w:val="none"/>
        </w:rPr>
      </w:pPr>
      <w:bookmarkStart w:id="56" w:name="_Toc13757"/>
      <w:bookmarkStart w:id="57" w:name="_Toc17257"/>
      <w:r>
        <w:rPr>
          <w:rFonts w:hint="eastAsia" w:ascii="宋体" w:hAnsi="宋体" w:cs="宋体"/>
          <w:color w:val="auto"/>
          <w:sz w:val="24"/>
          <w:highlight w:val="none"/>
        </w:rPr>
        <w:t>项目实施的组织工作方案：工作时间进度表、工作程序或步骤、管理和协调方法等。送货方案。</w:t>
      </w:r>
      <w:bookmarkEnd w:id="56"/>
      <w:bookmarkEnd w:id="57"/>
    </w:p>
    <w:p w14:paraId="4AD1EDB5">
      <w:pPr>
        <w:tabs>
          <w:tab w:val="left" w:pos="0"/>
        </w:tabs>
        <w:spacing w:line="360" w:lineRule="auto"/>
        <w:ind w:firstLine="480" w:firstLineChars="200"/>
        <w:rPr>
          <w:rFonts w:hint="eastAsia" w:ascii="宋体" w:hAnsi="宋体" w:cs="宋体"/>
          <w:color w:val="auto"/>
          <w:sz w:val="24"/>
          <w:highlight w:val="none"/>
        </w:rPr>
      </w:pPr>
      <w:bookmarkStart w:id="58" w:name="_Toc9775"/>
      <w:bookmarkStart w:id="59" w:name="_Toc23735"/>
      <w:r>
        <w:rPr>
          <w:rFonts w:hint="eastAsia" w:ascii="宋体" w:hAnsi="宋体" w:cs="宋体"/>
          <w:color w:val="auto"/>
          <w:sz w:val="24"/>
          <w:highlight w:val="none"/>
        </w:rPr>
        <w:t>6.培训计划</w:t>
      </w:r>
      <w:bookmarkEnd w:id="58"/>
      <w:bookmarkEnd w:id="59"/>
    </w:p>
    <w:p w14:paraId="26296217">
      <w:pPr>
        <w:tabs>
          <w:tab w:val="left" w:pos="0"/>
        </w:tabs>
        <w:spacing w:line="360" w:lineRule="auto"/>
        <w:ind w:firstLine="480" w:firstLineChars="200"/>
        <w:rPr>
          <w:rFonts w:hint="eastAsia" w:ascii="宋体" w:hAnsi="宋体" w:cs="宋体"/>
          <w:color w:val="auto"/>
          <w:sz w:val="24"/>
          <w:highlight w:val="none"/>
        </w:rPr>
      </w:pPr>
      <w:bookmarkStart w:id="60" w:name="_Toc26779"/>
      <w:bookmarkStart w:id="61" w:name="_Toc12778"/>
      <w:r>
        <w:rPr>
          <w:rFonts w:hint="eastAsia" w:ascii="宋体" w:hAnsi="宋体" w:cs="宋体"/>
          <w:color w:val="auto"/>
          <w:sz w:val="24"/>
          <w:highlight w:val="none"/>
        </w:rPr>
        <w:t>中标人应对用户的维修人员进行培训，使其掌握智慧教室的功能、原理、结构，并能对一般故障进行维修。中标人应对用户的所有操作人员进行培训，使其掌握智慧教室的操作和维护保养，提供操作规程。上述二种培训的方式、地点人员及费用（包含在综合单价内）供应商应在投标文件中详细说明。</w:t>
      </w:r>
      <w:bookmarkEnd w:id="60"/>
      <w:bookmarkEnd w:id="61"/>
    </w:p>
    <w:p w14:paraId="5C552531">
      <w:pPr>
        <w:numPr>
          <w:ilvl w:val="0"/>
          <w:numId w:val="3"/>
        </w:numPr>
        <w:spacing w:line="360" w:lineRule="auto"/>
        <w:ind w:left="210" w:leftChars="100"/>
        <w:jc w:val="left"/>
        <w:rPr>
          <w:color w:val="auto"/>
          <w:highlight w:val="none"/>
        </w:rPr>
      </w:pPr>
      <w:r>
        <w:rPr>
          <w:rFonts w:hint="eastAsia" w:ascii="宋体" w:hAnsi="宋体" w:cs="仿宋_GB2312"/>
          <w:color w:val="auto"/>
          <w:sz w:val="24"/>
          <w:highlight w:val="none"/>
        </w:rPr>
        <w:t>履约保证金：</w:t>
      </w:r>
    </w:p>
    <w:p w14:paraId="304C2612">
      <w:pPr>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合同签订之后，中标单位5个工作日之内缴纳履约保函，金额为合同总金额的1%计收。</w:t>
      </w:r>
    </w:p>
    <w:p w14:paraId="2ECD16EA">
      <w:pPr>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8.付款条件</w:t>
      </w:r>
    </w:p>
    <w:tbl>
      <w:tblPr>
        <w:tblStyle w:val="63"/>
        <w:tblW w:w="973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375"/>
        <w:gridCol w:w="2519"/>
        <w:gridCol w:w="5841"/>
      </w:tblGrid>
      <w:tr w14:paraId="020CCDA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shd w:val="clear" w:color="auto" w:fill="auto"/>
            <w:vAlign w:val="center"/>
          </w:tcPr>
          <w:p w14:paraId="25C475FD">
            <w:pPr>
              <w:spacing w:line="360" w:lineRule="auto"/>
              <w:jc w:val="center"/>
              <w:rPr>
                <w:rFonts w:hint="eastAsia" w:ascii="宋体" w:hAnsi="宋体" w:cs="仿宋_GB2312"/>
                <w:color w:val="auto"/>
                <w:sz w:val="24"/>
                <w:highlight w:val="none"/>
              </w:rPr>
            </w:pPr>
            <w:bookmarkStart w:id="62" w:name="_Hlk198637528"/>
            <w:r>
              <w:rPr>
                <w:rFonts w:hint="eastAsia" w:ascii="宋体" w:hAnsi="宋体" w:cs="仿宋_GB2312"/>
                <w:color w:val="auto"/>
                <w:sz w:val="24"/>
                <w:highlight w:val="none"/>
              </w:rPr>
              <w:t>序号</w:t>
            </w:r>
          </w:p>
        </w:tc>
        <w:tc>
          <w:tcPr>
            <w:tcW w:w="2519" w:type="dxa"/>
            <w:shd w:val="clear" w:color="auto" w:fill="auto"/>
            <w:vAlign w:val="center"/>
          </w:tcPr>
          <w:p w14:paraId="7CEF2128">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付款比例（%）</w:t>
            </w:r>
          </w:p>
        </w:tc>
        <w:tc>
          <w:tcPr>
            <w:tcW w:w="5841" w:type="dxa"/>
            <w:shd w:val="clear" w:color="auto" w:fill="auto"/>
            <w:vAlign w:val="center"/>
          </w:tcPr>
          <w:p w14:paraId="7CD7E8D9">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付款方式</w:t>
            </w:r>
          </w:p>
        </w:tc>
      </w:tr>
      <w:tr w14:paraId="2CABD58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1375" w:type="dxa"/>
            <w:shd w:val="clear" w:color="auto" w:fill="auto"/>
            <w:vAlign w:val="center"/>
          </w:tcPr>
          <w:p w14:paraId="4039A2FB">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1</w:t>
            </w:r>
          </w:p>
        </w:tc>
        <w:tc>
          <w:tcPr>
            <w:tcW w:w="2519" w:type="dxa"/>
            <w:shd w:val="clear" w:color="auto" w:fill="auto"/>
            <w:vAlign w:val="center"/>
          </w:tcPr>
          <w:p w14:paraId="7E2E5CEF">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60</w:t>
            </w:r>
          </w:p>
        </w:tc>
        <w:tc>
          <w:tcPr>
            <w:tcW w:w="5841" w:type="dxa"/>
            <w:shd w:val="clear" w:color="auto" w:fill="auto"/>
            <w:vAlign w:val="center"/>
          </w:tcPr>
          <w:p w14:paraId="53B0474A">
            <w:pPr>
              <w:pStyle w:val="2"/>
              <w:ind w:firstLine="480"/>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合同生效、具备实施条件后，采购人在5 个工作日内支付合同总价的60%作为预付款(因客观原因造成采购人预付款逾期支付的，不追究逾期支付违约责任，具体付款日期按实际支付时间执行)。</w:t>
            </w:r>
          </w:p>
        </w:tc>
      </w:tr>
      <w:tr w14:paraId="5395B63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739" w:hRule="atLeast"/>
        </w:trPr>
        <w:tc>
          <w:tcPr>
            <w:tcW w:w="1375" w:type="dxa"/>
            <w:shd w:val="clear" w:color="auto" w:fill="auto"/>
            <w:vAlign w:val="center"/>
          </w:tcPr>
          <w:p w14:paraId="305C8317">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2</w:t>
            </w:r>
          </w:p>
        </w:tc>
        <w:tc>
          <w:tcPr>
            <w:tcW w:w="2519" w:type="dxa"/>
            <w:shd w:val="clear" w:color="auto" w:fill="auto"/>
            <w:vAlign w:val="center"/>
          </w:tcPr>
          <w:p w14:paraId="681DE271">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40</w:t>
            </w:r>
          </w:p>
        </w:tc>
        <w:tc>
          <w:tcPr>
            <w:tcW w:w="5841" w:type="dxa"/>
            <w:shd w:val="clear" w:color="auto" w:fill="auto"/>
            <w:vAlign w:val="center"/>
          </w:tcPr>
          <w:p w14:paraId="5D850821">
            <w:pPr>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验收合格且资料归档后，支付剩余货款。</w:t>
            </w:r>
          </w:p>
        </w:tc>
      </w:tr>
      <w:bookmarkEnd w:id="62"/>
    </w:tbl>
    <w:p w14:paraId="79ED0AA1">
      <w:pPr>
        <w:tabs>
          <w:tab w:val="left" w:pos="0"/>
        </w:tabs>
        <w:spacing w:line="360" w:lineRule="auto"/>
        <w:ind w:firstLine="480" w:firstLineChars="200"/>
        <w:rPr>
          <w:rFonts w:hint="eastAsia" w:ascii="宋体" w:hAnsi="宋体" w:cs="宋体"/>
          <w:color w:val="auto"/>
          <w:sz w:val="24"/>
          <w:highlight w:val="none"/>
        </w:rPr>
      </w:pPr>
    </w:p>
    <w:p w14:paraId="001F0084">
      <w:pPr>
        <w:spacing w:line="360" w:lineRule="auto"/>
        <w:rPr>
          <w:rFonts w:hint="eastAsia" w:ascii="宋体" w:hAnsi="宋体" w:cs="宋体"/>
          <w:color w:val="auto"/>
          <w:sz w:val="24"/>
          <w:highlight w:val="none"/>
        </w:rPr>
      </w:pPr>
    </w:p>
    <w:p w14:paraId="2F9D3872">
      <w:pPr>
        <w:widowControl/>
        <w:ind w:firstLine="720" w:firstLineChars="300"/>
        <w:jc w:val="left"/>
        <w:rPr>
          <w:rFonts w:hint="eastAsia" w:ascii="宋体" w:hAnsi="宋体" w:cs="宋体"/>
          <w:bCs/>
          <w:color w:val="auto"/>
          <w:sz w:val="24"/>
          <w:highlight w:val="none"/>
        </w:rPr>
      </w:pPr>
    </w:p>
    <w:p w14:paraId="64EB0AE1">
      <w:pPr>
        <w:rPr>
          <w:rFonts w:hint="eastAsia" w:ascii="宋体" w:hAnsi="宋体" w:cs="宋体"/>
          <w:snapToGrid w:val="0"/>
          <w:color w:val="auto"/>
          <w:kern w:val="0"/>
          <w:sz w:val="24"/>
          <w:highlight w:val="none"/>
        </w:rPr>
      </w:pPr>
    </w:p>
    <w:p w14:paraId="19F2FA24">
      <w:pPr>
        <w:numPr>
          <w:ilvl w:val="0"/>
          <w:numId w:val="4"/>
        </w:num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  </w:t>
      </w:r>
      <w:bookmarkStart w:id="63" w:name="_Toc184310322"/>
      <w:bookmarkEnd w:id="63"/>
      <w:bookmarkStart w:id="64" w:name="_Toc184308096"/>
      <w:bookmarkEnd w:id="64"/>
      <w:bookmarkStart w:id="65" w:name="_Toc184314430"/>
      <w:bookmarkEnd w:id="65"/>
      <w:bookmarkStart w:id="66" w:name="_Toc184308092"/>
      <w:bookmarkEnd w:id="66"/>
      <w:bookmarkStart w:id="67" w:name="_Toc184312124"/>
      <w:bookmarkEnd w:id="67"/>
      <w:bookmarkStart w:id="68" w:name="_Toc184314443"/>
      <w:bookmarkEnd w:id="68"/>
      <w:bookmarkStart w:id="69" w:name="_Toc184308047"/>
      <w:bookmarkEnd w:id="69"/>
      <w:bookmarkStart w:id="70" w:name="_Toc184308082"/>
      <w:bookmarkEnd w:id="70"/>
      <w:bookmarkStart w:id="71" w:name="_Toc184310285"/>
      <w:bookmarkEnd w:id="71"/>
      <w:bookmarkStart w:id="72" w:name="_Toc184310291"/>
      <w:bookmarkEnd w:id="72"/>
      <w:bookmarkStart w:id="73" w:name="_Toc184312114"/>
      <w:bookmarkEnd w:id="73"/>
      <w:bookmarkStart w:id="74" w:name="_Toc184312119"/>
      <w:bookmarkEnd w:id="74"/>
      <w:bookmarkStart w:id="75" w:name="_Toc184310307"/>
      <w:bookmarkEnd w:id="75"/>
      <w:bookmarkStart w:id="76" w:name="_Toc184312094"/>
      <w:bookmarkEnd w:id="76"/>
      <w:bookmarkStart w:id="77" w:name="_Toc184310304"/>
      <w:bookmarkEnd w:id="77"/>
      <w:bookmarkStart w:id="78" w:name="_Toc184308053"/>
      <w:bookmarkEnd w:id="78"/>
      <w:bookmarkStart w:id="79" w:name="_Toc184313301"/>
      <w:bookmarkEnd w:id="79"/>
      <w:bookmarkStart w:id="80" w:name="_Toc184310338"/>
      <w:bookmarkEnd w:id="80"/>
      <w:bookmarkStart w:id="81" w:name="_Toc184310287"/>
      <w:bookmarkEnd w:id="81"/>
      <w:bookmarkStart w:id="82" w:name="_Toc184313276"/>
      <w:bookmarkEnd w:id="82"/>
      <w:bookmarkStart w:id="83" w:name="_Toc184313285"/>
      <w:bookmarkEnd w:id="83"/>
      <w:bookmarkStart w:id="84" w:name="_Toc184312139"/>
      <w:bookmarkEnd w:id="84"/>
      <w:bookmarkStart w:id="85" w:name="_Toc184310280"/>
      <w:bookmarkEnd w:id="85"/>
      <w:bookmarkStart w:id="86" w:name="_Toc184312083"/>
      <w:bookmarkEnd w:id="86"/>
      <w:bookmarkStart w:id="87" w:name="_Toc184314433"/>
      <w:bookmarkEnd w:id="87"/>
      <w:bookmarkStart w:id="88" w:name="_Toc184313262"/>
      <w:bookmarkEnd w:id="88"/>
      <w:bookmarkStart w:id="89" w:name="_Toc184308095"/>
      <w:bookmarkEnd w:id="89"/>
      <w:bookmarkStart w:id="90" w:name="_Toc184314439"/>
      <w:bookmarkEnd w:id="90"/>
      <w:bookmarkStart w:id="91" w:name="_Toc184312102"/>
      <w:bookmarkEnd w:id="91"/>
      <w:bookmarkStart w:id="92" w:name="_Toc184310334"/>
      <w:bookmarkEnd w:id="92"/>
      <w:bookmarkStart w:id="93" w:name="_Toc184310275"/>
      <w:bookmarkEnd w:id="93"/>
      <w:bookmarkStart w:id="94" w:name="_Toc184314464"/>
      <w:bookmarkEnd w:id="94"/>
      <w:bookmarkStart w:id="95" w:name="_Toc184312121"/>
      <w:bookmarkEnd w:id="95"/>
      <w:bookmarkStart w:id="96" w:name="_Toc184314460"/>
      <w:bookmarkEnd w:id="96"/>
      <w:bookmarkStart w:id="97" w:name="_Toc184313254"/>
      <w:bookmarkEnd w:id="97"/>
      <w:bookmarkStart w:id="98" w:name="_Toc184313292"/>
      <w:bookmarkEnd w:id="98"/>
      <w:bookmarkStart w:id="99" w:name="_Toc184313244"/>
      <w:bookmarkEnd w:id="99"/>
      <w:bookmarkStart w:id="100" w:name="_Toc184312115"/>
      <w:bookmarkEnd w:id="100"/>
      <w:bookmarkStart w:id="101" w:name="_Toc184310321"/>
      <w:bookmarkEnd w:id="101"/>
      <w:bookmarkStart w:id="102" w:name="_Toc184310277"/>
      <w:bookmarkEnd w:id="102"/>
      <w:bookmarkStart w:id="103" w:name="_Toc184308102"/>
      <w:bookmarkEnd w:id="103"/>
      <w:bookmarkStart w:id="104" w:name="_Toc184313238"/>
      <w:bookmarkEnd w:id="104"/>
      <w:bookmarkStart w:id="105" w:name="_Toc184310336"/>
      <w:bookmarkEnd w:id="105"/>
      <w:bookmarkStart w:id="106" w:name="_Toc184310303"/>
      <w:bookmarkEnd w:id="106"/>
      <w:bookmarkStart w:id="107" w:name="_Toc184313308"/>
      <w:bookmarkEnd w:id="107"/>
      <w:bookmarkStart w:id="108" w:name="_Toc184313295"/>
      <w:bookmarkEnd w:id="108"/>
      <w:bookmarkStart w:id="109" w:name="_Toc184313261"/>
      <w:bookmarkEnd w:id="109"/>
      <w:bookmarkStart w:id="110" w:name="_Toc184313288"/>
      <w:bookmarkEnd w:id="110"/>
      <w:bookmarkStart w:id="111" w:name="_Toc184308051"/>
      <w:bookmarkEnd w:id="111"/>
      <w:bookmarkStart w:id="112" w:name="_Toc184313305"/>
      <w:bookmarkEnd w:id="112"/>
      <w:bookmarkStart w:id="113" w:name="_Toc184308107"/>
      <w:bookmarkEnd w:id="113"/>
      <w:bookmarkStart w:id="114" w:name="_Toc184313239"/>
      <w:bookmarkEnd w:id="114"/>
      <w:bookmarkStart w:id="115" w:name="_Toc184313293"/>
      <w:bookmarkEnd w:id="115"/>
      <w:bookmarkStart w:id="116" w:name="_Toc184313280"/>
      <w:bookmarkEnd w:id="116"/>
      <w:bookmarkStart w:id="117" w:name="_Toc184314428"/>
      <w:bookmarkEnd w:id="117"/>
      <w:bookmarkStart w:id="118" w:name="_Toc184313257"/>
      <w:bookmarkEnd w:id="118"/>
      <w:bookmarkStart w:id="119" w:name="_Toc184310311"/>
      <w:bookmarkEnd w:id="119"/>
      <w:bookmarkStart w:id="120" w:name="_Toc184310292"/>
      <w:bookmarkEnd w:id="120"/>
      <w:bookmarkStart w:id="121" w:name="_Toc184312070"/>
      <w:bookmarkEnd w:id="121"/>
      <w:bookmarkStart w:id="122" w:name="_Toc184313245"/>
      <w:bookmarkEnd w:id="122"/>
      <w:bookmarkStart w:id="123" w:name="_Toc184313279"/>
      <w:bookmarkEnd w:id="123"/>
      <w:bookmarkStart w:id="124" w:name="_Toc184314440"/>
      <w:bookmarkEnd w:id="124"/>
      <w:bookmarkStart w:id="125" w:name="_Toc184308050"/>
      <w:bookmarkEnd w:id="125"/>
      <w:bookmarkStart w:id="126" w:name="_Toc184308083"/>
      <w:bookmarkEnd w:id="126"/>
      <w:bookmarkStart w:id="127" w:name="_Toc184313272"/>
      <w:bookmarkEnd w:id="127"/>
      <w:bookmarkStart w:id="128" w:name="_Toc184314480"/>
      <w:bookmarkEnd w:id="128"/>
      <w:bookmarkStart w:id="129" w:name="_Toc184313247"/>
      <w:bookmarkEnd w:id="129"/>
      <w:bookmarkStart w:id="130" w:name="_Toc184312133"/>
      <w:bookmarkEnd w:id="130"/>
      <w:bookmarkStart w:id="131" w:name="_Toc184314419"/>
      <w:bookmarkEnd w:id="131"/>
      <w:bookmarkStart w:id="132" w:name="_Toc184312113"/>
      <w:bookmarkEnd w:id="132"/>
      <w:bookmarkStart w:id="133" w:name="_Toc184313253"/>
      <w:bookmarkEnd w:id="133"/>
      <w:bookmarkStart w:id="134" w:name="_Toc184313278"/>
      <w:bookmarkEnd w:id="134"/>
      <w:bookmarkStart w:id="135" w:name="_Toc184313298"/>
      <w:bookmarkEnd w:id="135"/>
      <w:bookmarkStart w:id="136" w:name="_Toc184308085"/>
      <w:bookmarkEnd w:id="136"/>
      <w:bookmarkStart w:id="137" w:name="_Toc184312095"/>
      <w:bookmarkEnd w:id="137"/>
      <w:bookmarkStart w:id="138" w:name="_Toc184312137"/>
      <w:bookmarkEnd w:id="138"/>
      <w:bookmarkStart w:id="139" w:name="_Toc184310308"/>
      <w:bookmarkEnd w:id="139"/>
      <w:bookmarkStart w:id="140" w:name="_Toc184308049"/>
      <w:bookmarkEnd w:id="140"/>
      <w:bookmarkStart w:id="141" w:name="_Toc184312117"/>
      <w:bookmarkEnd w:id="141"/>
      <w:bookmarkStart w:id="142" w:name="_Toc184313248"/>
      <w:bookmarkEnd w:id="142"/>
      <w:bookmarkStart w:id="143" w:name="_Toc184313286"/>
      <w:bookmarkEnd w:id="143"/>
      <w:bookmarkStart w:id="144" w:name="_Toc184308075"/>
      <w:bookmarkEnd w:id="144"/>
      <w:bookmarkStart w:id="145" w:name="_Toc184314476"/>
      <w:bookmarkEnd w:id="145"/>
      <w:bookmarkStart w:id="146" w:name="_Toc184312125"/>
      <w:bookmarkEnd w:id="146"/>
      <w:bookmarkStart w:id="147" w:name="_Toc184313255"/>
      <w:bookmarkEnd w:id="147"/>
      <w:bookmarkStart w:id="148" w:name="_Toc184308044"/>
      <w:bookmarkEnd w:id="148"/>
      <w:bookmarkStart w:id="149" w:name="_Toc184312101"/>
      <w:bookmarkEnd w:id="149"/>
      <w:bookmarkStart w:id="150" w:name="_Toc184308084"/>
      <w:bookmarkEnd w:id="150"/>
      <w:bookmarkStart w:id="151" w:name="_Toc184314412"/>
      <w:bookmarkEnd w:id="151"/>
      <w:bookmarkStart w:id="152" w:name="_Toc184314422"/>
      <w:bookmarkEnd w:id="152"/>
      <w:bookmarkStart w:id="153" w:name="_Toc184310339"/>
      <w:bookmarkEnd w:id="153"/>
      <w:bookmarkStart w:id="154" w:name="_Toc184310273"/>
      <w:bookmarkEnd w:id="154"/>
      <w:bookmarkStart w:id="155" w:name="_Toc184312126"/>
      <w:bookmarkEnd w:id="155"/>
      <w:bookmarkStart w:id="156" w:name="_Toc184313241"/>
      <w:bookmarkEnd w:id="156"/>
      <w:bookmarkStart w:id="157" w:name="_Toc184312105"/>
      <w:bookmarkEnd w:id="157"/>
      <w:bookmarkStart w:id="158" w:name="_Toc184313270"/>
      <w:bookmarkEnd w:id="158"/>
      <w:bookmarkStart w:id="159" w:name="_Toc184314436"/>
      <w:bookmarkEnd w:id="159"/>
      <w:bookmarkStart w:id="160" w:name="_Toc184314458"/>
      <w:bookmarkEnd w:id="160"/>
      <w:bookmarkStart w:id="161" w:name="_Toc184312074"/>
      <w:bookmarkEnd w:id="161"/>
      <w:bookmarkStart w:id="162" w:name="_Toc184313263"/>
      <w:bookmarkEnd w:id="162"/>
      <w:bookmarkStart w:id="163" w:name="_Toc184310320"/>
      <w:bookmarkEnd w:id="163"/>
      <w:bookmarkStart w:id="164" w:name="_Toc184314421"/>
      <w:bookmarkEnd w:id="164"/>
      <w:bookmarkStart w:id="165" w:name="_Toc184310276"/>
      <w:bookmarkEnd w:id="165"/>
      <w:bookmarkStart w:id="166" w:name="_Toc184312108"/>
      <w:bookmarkEnd w:id="166"/>
      <w:bookmarkStart w:id="167" w:name="_Toc184314462"/>
      <w:bookmarkEnd w:id="167"/>
      <w:bookmarkStart w:id="168" w:name="_Toc184314455"/>
      <w:bookmarkEnd w:id="168"/>
      <w:bookmarkStart w:id="169" w:name="_Toc184312110"/>
      <w:bookmarkEnd w:id="169"/>
      <w:bookmarkStart w:id="170" w:name="_Toc184312120"/>
      <w:bookmarkEnd w:id="170"/>
      <w:bookmarkStart w:id="171" w:name="_Toc184310283"/>
      <w:bookmarkEnd w:id="171"/>
      <w:bookmarkStart w:id="172" w:name="_Toc184312106"/>
      <w:bookmarkEnd w:id="172"/>
      <w:bookmarkStart w:id="173" w:name="_Toc184308060"/>
      <w:bookmarkEnd w:id="173"/>
      <w:bookmarkStart w:id="174" w:name="_Toc184313309"/>
      <w:bookmarkEnd w:id="174"/>
      <w:bookmarkStart w:id="175" w:name="_Toc184314444"/>
      <w:bookmarkEnd w:id="175"/>
      <w:bookmarkStart w:id="176" w:name="_Toc184312076"/>
      <w:bookmarkEnd w:id="176"/>
      <w:bookmarkStart w:id="177" w:name="_Toc184310272"/>
      <w:bookmarkEnd w:id="177"/>
      <w:bookmarkStart w:id="178" w:name="_Toc184308086"/>
      <w:bookmarkEnd w:id="178"/>
      <w:bookmarkStart w:id="179" w:name="_Toc184314465"/>
      <w:bookmarkEnd w:id="179"/>
      <w:bookmarkStart w:id="180" w:name="_Toc184312075"/>
      <w:bookmarkEnd w:id="180"/>
      <w:bookmarkStart w:id="181" w:name="_Toc184308067"/>
      <w:bookmarkEnd w:id="181"/>
      <w:bookmarkStart w:id="182" w:name="_Toc184310284"/>
      <w:bookmarkEnd w:id="182"/>
      <w:bookmarkStart w:id="183" w:name="_Toc184308103"/>
      <w:bookmarkEnd w:id="183"/>
      <w:bookmarkStart w:id="184" w:name="_Toc184312090"/>
      <w:bookmarkEnd w:id="184"/>
      <w:bookmarkStart w:id="185" w:name="_Toc184312092"/>
      <w:bookmarkEnd w:id="185"/>
      <w:bookmarkStart w:id="186" w:name="_Toc184310305"/>
      <w:bookmarkEnd w:id="186"/>
      <w:bookmarkStart w:id="187" w:name="_Toc184308062"/>
      <w:bookmarkEnd w:id="187"/>
      <w:bookmarkStart w:id="188" w:name="_Toc184312123"/>
      <w:bookmarkEnd w:id="188"/>
      <w:bookmarkStart w:id="189" w:name="_Toc184312089"/>
      <w:bookmarkEnd w:id="189"/>
      <w:bookmarkStart w:id="190" w:name="_Toc184312135"/>
      <w:bookmarkEnd w:id="190"/>
      <w:bookmarkStart w:id="191" w:name="_Toc184314413"/>
      <w:bookmarkEnd w:id="191"/>
      <w:bookmarkStart w:id="192" w:name="_Toc184313268"/>
      <w:bookmarkEnd w:id="192"/>
      <w:bookmarkStart w:id="193" w:name="_Toc184310316"/>
      <w:bookmarkEnd w:id="193"/>
      <w:bookmarkStart w:id="194" w:name="_Toc184312091"/>
      <w:bookmarkEnd w:id="194"/>
      <w:bookmarkStart w:id="195" w:name="_Toc184312104"/>
      <w:bookmarkEnd w:id="195"/>
      <w:bookmarkStart w:id="196" w:name="_Toc184308042"/>
      <w:bookmarkEnd w:id="196"/>
      <w:bookmarkStart w:id="197" w:name="_Toc184308066"/>
      <w:bookmarkEnd w:id="197"/>
      <w:bookmarkStart w:id="198" w:name="_Toc184310301"/>
      <w:bookmarkEnd w:id="198"/>
      <w:bookmarkStart w:id="199" w:name="_Toc184312116"/>
      <w:bookmarkEnd w:id="199"/>
      <w:bookmarkStart w:id="200" w:name="_Toc184312069"/>
      <w:bookmarkEnd w:id="200"/>
      <w:bookmarkStart w:id="201" w:name="_Toc184310288"/>
      <w:bookmarkEnd w:id="201"/>
      <w:bookmarkStart w:id="202" w:name="_Toc184314459"/>
      <w:bookmarkEnd w:id="202"/>
      <w:bookmarkStart w:id="203" w:name="_Toc184314446"/>
      <w:bookmarkEnd w:id="203"/>
      <w:bookmarkStart w:id="204" w:name="_Toc184308039"/>
      <w:bookmarkEnd w:id="204"/>
      <w:bookmarkStart w:id="205" w:name="_Toc184314437"/>
      <w:bookmarkEnd w:id="205"/>
      <w:bookmarkStart w:id="206" w:name="_Toc184312129"/>
      <w:bookmarkEnd w:id="206"/>
      <w:bookmarkStart w:id="207" w:name="_Toc184308079"/>
      <w:bookmarkEnd w:id="207"/>
      <w:bookmarkStart w:id="208" w:name="_Toc184308105"/>
      <w:bookmarkEnd w:id="208"/>
      <w:bookmarkStart w:id="209" w:name="_Toc184310306"/>
      <w:bookmarkEnd w:id="209"/>
      <w:bookmarkStart w:id="210" w:name="_Toc184308074"/>
      <w:bookmarkEnd w:id="210"/>
      <w:bookmarkStart w:id="211" w:name="_Toc184310325"/>
      <w:bookmarkEnd w:id="211"/>
      <w:bookmarkStart w:id="212" w:name="_Toc184312109"/>
      <w:bookmarkEnd w:id="212"/>
      <w:bookmarkStart w:id="213" w:name="_Toc184313307"/>
      <w:bookmarkEnd w:id="213"/>
      <w:bookmarkStart w:id="214" w:name="_Toc184312099"/>
      <w:bookmarkEnd w:id="214"/>
      <w:bookmarkStart w:id="215" w:name="_Toc184313304"/>
      <w:bookmarkEnd w:id="215"/>
      <w:bookmarkStart w:id="216" w:name="_Toc184312130"/>
      <w:bookmarkEnd w:id="216"/>
      <w:bookmarkStart w:id="217" w:name="_Toc184312085"/>
      <w:bookmarkEnd w:id="217"/>
      <w:bookmarkStart w:id="218" w:name="_Toc184312079"/>
      <w:bookmarkEnd w:id="218"/>
      <w:bookmarkStart w:id="219" w:name="_Toc184314427"/>
      <w:bookmarkEnd w:id="219"/>
      <w:bookmarkStart w:id="220" w:name="_Toc184314471"/>
      <w:bookmarkEnd w:id="220"/>
      <w:bookmarkStart w:id="221" w:name="_Toc184310279"/>
      <w:bookmarkEnd w:id="221"/>
      <w:bookmarkStart w:id="222" w:name="_Toc184308072"/>
      <w:bookmarkEnd w:id="222"/>
      <w:bookmarkStart w:id="223" w:name="_Toc184313267"/>
      <w:bookmarkEnd w:id="223"/>
      <w:bookmarkStart w:id="224" w:name="_Toc184308071"/>
      <w:bookmarkEnd w:id="224"/>
      <w:bookmarkStart w:id="225" w:name="_Toc184314435"/>
      <w:bookmarkEnd w:id="225"/>
      <w:bookmarkStart w:id="226" w:name="_Toc184310328"/>
      <w:bookmarkEnd w:id="226"/>
      <w:bookmarkStart w:id="227" w:name="_Toc184314469"/>
      <w:bookmarkEnd w:id="227"/>
      <w:bookmarkStart w:id="228" w:name="_Toc184308070"/>
      <w:bookmarkEnd w:id="228"/>
      <w:bookmarkStart w:id="229" w:name="_Toc184310333"/>
      <w:bookmarkEnd w:id="229"/>
      <w:bookmarkStart w:id="230" w:name="_Toc184310281"/>
      <w:bookmarkEnd w:id="230"/>
      <w:bookmarkStart w:id="231" w:name="_Toc184313256"/>
      <w:bookmarkEnd w:id="231"/>
      <w:bookmarkStart w:id="232" w:name="_Toc184314474"/>
      <w:bookmarkEnd w:id="232"/>
      <w:bookmarkStart w:id="233" w:name="_Toc184313260"/>
      <w:bookmarkEnd w:id="233"/>
      <w:bookmarkStart w:id="234" w:name="_Toc184312111"/>
      <w:bookmarkEnd w:id="234"/>
      <w:bookmarkStart w:id="235" w:name="_Toc184310300"/>
      <w:bookmarkEnd w:id="235"/>
      <w:bookmarkStart w:id="236" w:name="_Toc184313283"/>
      <w:bookmarkEnd w:id="236"/>
      <w:bookmarkStart w:id="237" w:name="_Toc184310299"/>
      <w:bookmarkEnd w:id="237"/>
      <w:bookmarkStart w:id="238" w:name="_Toc184310297"/>
      <w:bookmarkEnd w:id="238"/>
      <w:bookmarkStart w:id="239" w:name="_Toc184314454"/>
      <w:bookmarkEnd w:id="239"/>
      <w:bookmarkStart w:id="240" w:name="_Toc184312088"/>
      <w:bookmarkEnd w:id="240"/>
      <w:bookmarkStart w:id="241" w:name="_Toc184314466"/>
      <w:bookmarkEnd w:id="241"/>
      <w:bookmarkStart w:id="242" w:name="_Toc184308104"/>
      <w:bookmarkEnd w:id="242"/>
      <w:bookmarkStart w:id="243" w:name="_Toc184314448"/>
      <w:bookmarkEnd w:id="243"/>
      <w:bookmarkStart w:id="244" w:name="_Toc184314426"/>
      <w:bookmarkEnd w:id="244"/>
      <w:bookmarkStart w:id="245" w:name="_Toc184313269"/>
      <w:bookmarkEnd w:id="245"/>
      <w:bookmarkStart w:id="246" w:name="_Toc184314453"/>
      <w:bookmarkEnd w:id="246"/>
      <w:bookmarkStart w:id="247" w:name="_Toc184314450"/>
      <w:bookmarkEnd w:id="247"/>
      <w:bookmarkStart w:id="248" w:name="_Toc184314473"/>
      <w:bookmarkEnd w:id="248"/>
      <w:bookmarkStart w:id="249" w:name="_Toc184308036"/>
      <w:bookmarkEnd w:id="249"/>
      <w:bookmarkStart w:id="250" w:name="_Toc184308037"/>
      <w:bookmarkEnd w:id="250"/>
      <w:bookmarkStart w:id="251" w:name="_Toc184312138"/>
      <w:bookmarkEnd w:id="251"/>
      <w:bookmarkStart w:id="252" w:name="_Toc184313297"/>
      <w:bookmarkEnd w:id="252"/>
      <w:bookmarkStart w:id="253" w:name="_Toc184310343"/>
      <w:bookmarkEnd w:id="253"/>
      <w:bookmarkStart w:id="254" w:name="_Toc184312081"/>
      <w:bookmarkEnd w:id="254"/>
      <w:bookmarkStart w:id="255" w:name="_Toc184308108"/>
      <w:bookmarkEnd w:id="255"/>
      <w:bookmarkStart w:id="256" w:name="_Toc184310286"/>
      <w:bookmarkEnd w:id="256"/>
      <w:bookmarkStart w:id="257" w:name="_Toc184310331"/>
      <w:bookmarkEnd w:id="257"/>
      <w:bookmarkStart w:id="258" w:name="_Toc184314417"/>
      <w:bookmarkEnd w:id="258"/>
      <w:bookmarkStart w:id="259" w:name="_Toc184314449"/>
      <w:bookmarkEnd w:id="259"/>
      <w:bookmarkStart w:id="260" w:name="_Toc184308040"/>
      <w:bookmarkEnd w:id="260"/>
      <w:bookmarkStart w:id="261" w:name="_Toc184312100"/>
      <w:bookmarkEnd w:id="261"/>
      <w:bookmarkStart w:id="262" w:name="_Toc184314442"/>
      <w:bookmarkEnd w:id="262"/>
      <w:bookmarkStart w:id="263" w:name="_Toc184314414"/>
      <w:bookmarkEnd w:id="263"/>
      <w:bookmarkStart w:id="264" w:name="_Toc184310313"/>
      <w:bookmarkEnd w:id="264"/>
      <w:bookmarkStart w:id="265" w:name="_Toc184314457"/>
      <w:bookmarkEnd w:id="265"/>
      <w:bookmarkStart w:id="266" w:name="_Toc184310302"/>
      <w:bookmarkEnd w:id="266"/>
      <w:bookmarkStart w:id="267" w:name="_Toc184312072"/>
      <w:bookmarkEnd w:id="267"/>
      <w:bookmarkStart w:id="268" w:name="_Toc184313274"/>
      <w:bookmarkEnd w:id="268"/>
      <w:bookmarkStart w:id="269" w:name="_Toc184313271"/>
      <w:bookmarkEnd w:id="269"/>
      <w:bookmarkStart w:id="270" w:name="_Toc184314438"/>
      <w:bookmarkEnd w:id="270"/>
      <w:bookmarkStart w:id="271" w:name="_Toc184312122"/>
      <w:bookmarkEnd w:id="271"/>
      <w:bookmarkStart w:id="272" w:name="_Toc184313291"/>
      <w:bookmarkEnd w:id="272"/>
      <w:bookmarkStart w:id="273" w:name="_Toc184312073"/>
      <w:bookmarkEnd w:id="273"/>
      <w:bookmarkStart w:id="274" w:name="_Toc184313265"/>
      <w:bookmarkEnd w:id="274"/>
      <w:bookmarkStart w:id="275" w:name="_Toc184310290"/>
      <w:bookmarkEnd w:id="275"/>
      <w:bookmarkStart w:id="276" w:name="_Toc184313242"/>
      <w:bookmarkEnd w:id="276"/>
      <w:bookmarkStart w:id="277" w:name="_Toc184310332"/>
      <w:bookmarkEnd w:id="277"/>
      <w:bookmarkStart w:id="278" w:name="_Toc184313240"/>
      <w:bookmarkEnd w:id="278"/>
      <w:bookmarkStart w:id="279" w:name="_Toc184308098"/>
      <w:bookmarkEnd w:id="279"/>
      <w:bookmarkStart w:id="280" w:name="_Toc184308077"/>
      <w:bookmarkEnd w:id="280"/>
      <w:bookmarkStart w:id="281" w:name="_Toc184312082"/>
      <w:bookmarkEnd w:id="281"/>
      <w:bookmarkStart w:id="282" w:name="_Toc184308088"/>
      <w:bookmarkEnd w:id="282"/>
      <w:bookmarkStart w:id="283" w:name="_Toc184312067"/>
      <w:bookmarkEnd w:id="283"/>
      <w:bookmarkStart w:id="284" w:name="_Toc184308048"/>
      <w:bookmarkEnd w:id="284"/>
      <w:bookmarkStart w:id="285" w:name="_Toc184308043"/>
      <w:bookmarkEnd w:id="285"/>
      <w:bookmarkStart w:id="286" w:name="_Toc184314432"/>
      <w:bookmarkEnd w:id="286"/>
      <w:bookmarkStart w:id="287" w:name="_Toc184310282"/>
      <w:bookmarkEnd w:id="287"/>
      <w:bookmarkStart w:id="288" w:name="_Toc184314415"/>
      <w:bookmarkEnd w:id="288"/>
      <w:bookmarkStart w:id="289" w:name="_Toc184313303"/>
      <w:bookmarkEnd w:id="289"/>
      <w:bookmarkStart w:id="290" w:name="_Toc184313252"/>
      <w:bookmarkEnd w:id="290"/>
      <w:bookmarkStart w:id="291" w:name="_Toc184312107"/>
      <w:bookmarkEnd w:id="291"/>
      <w:bookmarkStart w:id="292" w:name="_Toc184310330"/>
      <w:bookmarkEnd w:id="292"/>
      <w:bookmarkStart w:id="293" w:name="_Toc184308064"/>
      <w:bookmarkEnd w:id="293"/>
      <w:bookmarkStart w:id="294" w:name="_Toc184314431"/>
      <w:bookmarkEnd w:id="294"/>
      <w:bookmarkStart w:id="295" w:name="_Toc184313246"/>
      <w:bookmarkEnd w:id="295"/>
      <w:bookmarkStart w:id="296" w:name="_Toc184308058"/>
      <w:bookmarkEnd w:id="296"/>
      <w:bookmarkStart w:id="297" w:name="_Toc184313290"/>
      <w:bookmarkEnd w:id="297"/>
      <w:bookmarkStart w:id="298" w:name="_Toc184308097"/>
      <w:bookmarkEnd w:id="298"/>
      <w:bookmarkStart w:id="299" w:name="_Toc184314429"/>
      <w:bookmarkEnd w:id="299"/>
      <w:bookmarkStart w:id="300" w:name="_Toc184310296"/>
      <w:bookmarkEnd w:id="300"/>
      <w:bookmarkStart w:id="301" w:name="_Toc184314481"/>
      <w:bookmarkEnd w:id="301"/>
      <w:bookmarkStart w:id="302" w:name="_Toc184314418"/>
      <w:bookmarkEnd w:id="302"/>
      <w:bookmarkStart w:id="303" w:name="_Toc184314467"/>
      <w:bookmarkEnd w:id="303"/>
      <w:bookmarkStart w:id="304" w:name="_Toc184314472"/>
      <w:bookmarkEnd w:id="304"/>
      <w:bookmarkStart w:id="305" w:name="_Toc184308068"/>
      <w:bookmarkEnd w:id="305"/>
      <w:bookmarkStart w:id="306" w:name="_Toc184314445"/>
      <w:bookmarkEnd w:id="306"/>
      <w:bookmarkStart w:id="307" w:name="_Toc184314475"/>
      <w:bookmarkEnd w:id="307"/>
      <w:bookmarkStart w:id="308" w:name="_Toc184312103"/>
      <w:bookmarkEnd w:id="308"/>
      <w:bookmarkStart w:id="309" w:name="_Toc184308045"/>
      <w:bookmarkEnd w:id="309"/>
      <w:bookmarkStart w:id="310" w:name="_Toc184313296"/>
      <w:bookmarkEnd w:id="310"/>
      <w:bookmarkStart w:id="311" w:name="_Toc184312087"/>
      <w:bookmarkEnd w:id="311"/>
      <w:bookmarkStart w:id="312" w:name="_Toc184308078"/>
      <w:bookmarkEnd w:id="312"/>
      <w:bookmarkStart w:id="313" w:name="_Toc184308046"/>
      <w:bookmarkEnd w:id="313"/>
      <w:bookmarkStart w:id="314" w:name="_Toc184314451"/>
      <w:bookmarkEnd w:id="314"/>
      <w:bookmarkStart w:id="315" w:name="_Toc184310289"/>
      <w:bookmarkEnd w:id="315"/>
      <w:bookmarkStart w:id="316" w:name="_Toc184314468"/>
      <w:bookmarkEnd w:id="316"/>
      <w:bookmarkStart w:id="317" w:name="_Toc184314452"/>
      <w:bookmarkEnd w:id="317"/>
      <w:bookmarkStart w:id="318" w:name="_Toc184308065"/>
      <w:bookmarkEnd w:id="318"/>
      <w:bookmarkStart w:id="319" w:name="_Toc184314477"/>
      <w:bookmarkEnd w:id="319"/>
      <w:bookmarkStart w:id="320" w:name="_Toc184312077"/>
      <w:bookmarkEnd w:id="320"/>
      <w:bookmarkStart w:id="321" w:name="_Toc184308099"/>
      <w:bookmarkEnd w:id="321"/>
      <w:bookmarkStart w:id="322" w:name="_Toc184312096"/>
      <w:bookmarkEnd w:id="322"/>
      <w:bookmarkStart w:id="323" w:name="_Toc184313249"/>
      <w:bookmarkEnd w:id="323"/>
      <w:bookmarkStart w:id="324" w:name="_Toc184314434"/>
      <w:bookmarkEnd w:id="324"/>
      <w:bookmarkStart w:id="325" w:name="_Toc184314441"/>
      <w:bookmarkEnd w:id="325"/>
      <w:bookmarkStart w:id="326" w:name="_Toc184313287"/>
      <w:bookmarkEnd w:id="326"/>
      <w:bookmarkStart w:id="327" w:name="_Toc184312078"/>
      <w:bookmarkEnd w:id="327"/>
      <w:bookmarkStart w:id="328" w:name="_Toc184308061"/>
      <w:bookmarkEnd w:id="328"/>
      <w:bookmarkStart w:id="329" w:name="_Toc184313277"/>
      <w:bookmarkEnd w:id="329"/>
      <w:bookmarkStart w:id="330" w:name="_Toc184312080"/>
      <w:bookmarkEnd w:id="330"/>
      <w:bookmarkStart w:id="331" w:name="_Toc184314470"/>
      <w:bookmarkEnd w:id="331"/>
      <w:bookmarkStart w:id="332" w:name="_Toc184310278"/>
      <w:bookmarkEnd w:id="332"/>
      <w:bookmarkStart w:id="333" w:name="_Toc184308059"/>
      <w:bookmarkEnd w:id="333"/>
      <w:bookmarkStart w:id="334" w:name="_Toc184314479"/>
      <w:bookmarkEnd w:id="334"/>
      <w:bookmarkStart w:id="335" w:name="_Toc184308054"/>
      <w:bookmarkEnd w:id="335"/>
      <w:bookmarkStart w:id="336" w:name="_Toc184310326"/>
      <w:bookmarkEnd w:id="336"/>
      <w:bookmarkStart w:id="337" w:name="_Toc184308080"/>
      <w:bookmarkEnd w:id="337"/>
      <w:bookmarkStart w:id="338" w:name="_Toc184310327"/>
      <w:bookmarkEnd w:id="338"/>
      <w:bookmarkStart w:id="339" w:name="_Toc184313300"/>
      <w:bookmarkEnd w:id="339"/>
      <w:bookmarkStart w:id="340" w:name="_Toc184314420"/>
      <w:bookmarkEnd w:id="340"/>
      <w:bookmarkStart w:id="341" w:name="_Toc184312136"/>
      <w:bookmarkEnd w:id="341"/>
      <w:bookmarkStart w:id="342" w:name="_Toc184312127"/>
      <w:bookmarkEnd w:id="342"/>
      <w:bookmarkStart w:id="343" w:name="_Toc184310309"/>
      <w:bookmarkEnd w:id="343"/>
      <w:bookmarkStart w:id="344" w:name="_Toc184310318"/>
      <w:bookmarkEnd w:id="344"/>
      <w:bookmarkStart w:id="345" w:name="_Toc184308089"/>
      <w:bookmarkEnd w:id="345"/>
      <w:bookmarkStart w:id="346" w:name="_Toc184308081"/>
      <w:bookmarkEnd w:id="346"/>
      <w:bookmarkStart w:id="347" w:name="_Toc184310274"/>
      <w:bookmarkEnd w:id="347"/>
      <w:bookmarkStart w:id="348" w:name="_Toc184308090"/>
      <w:bookmarkEnd w:id="348"/>
      <w:bookmarkStart w:id="349" w:name="_Toc184308041"/>
      <w:bookmarkEnd w:id="349"/>
      <w:bookmarkStart w:id="350" w:name="_Toc184308101"/>
      <w:bookmarkEnd w:id="350"/>
      <w:bookmarkStart w:id="351" w:name="_Toc184312084"/>
      <w:bookmarkEnd w:id="351"/>
      <w:bookmarkStart w:id="352" w:name="_Toc184313281"/>
      <w:bookmarkEnd w:id="352"/>
      <w:bookmarkStart w:id="353" w:name="_Toc184313310"/>
      <w:bookmarkEnd w:id="353"/>
      <w:bookmarkStart w:id="354" w:name="_Toc184313302"/>
      <w:bookmarkEnd w:id="354"/>
      <w:bookmarkStart w:id="355" w:name="_Toc184308069"/>
      <w:bookmarkEnd w:id="355"/>
      <w:bookmarkStart w:id="356" w:name="_Toc184314423"/>
      <w:bookmarkEnd w:id="356"/>
      <w:bookmarkStart w:id="357" w:name="_Toc184314425"/>
      <w:bookmarkEnd w:id="357"/>
      <w:bookmarkStart w:id="358" w:name="_Toc184310298"/>
      <w:bookmarkEnd w:id="358"/>
      <w:bookmarkStart w:id="359" w:name="_Toc184313258"/>
      <w:bookmarkEnd w:id="359"/>
      <w:bookmarkStart w:id="360" w:name="_Toc184310314"/>
      <w:bookmarkEnd w:id="360"/>
      <w:bookmarkStart w:id="361" w:name="_Toc184314463"/>
      <w:bookmarkEnd w:id="361"/>
      <w:bookmarkStart w:id="362" w:name="_Toc184314482"/>
      <w:bookmarkEnd w:id="362"/>
      <w:bookmarkStart w:id="363" w:name="_Toc184313294"/>
      <w:bookmarkEnd w:id="363"/>
      <w:bookmarkStart w:id="364" w:name="_Toc184313251"/>
      <w:bookmarkEnd w:id="364"/>
      <w:bookmarkStart w:id="365" w:name="_Toc184312071"/>
      <w:bookmarkEnd w:id="365"/>
      <w:bookmarkStart w:id="366" w:name="_Toc184308057"/>
      <w:bookmarkEnd w:id="366"/>
      <w:bookmarkStart w:id="367" w:name="_Toc184314411"/>
      <w:bookmarkEnd w:id="367"/>
      <w:bookmarkStart w:id="368" w:name="_Toc184312093"/>
      <w:bookmarkEnd w:id="368"/>
      <w:bookmarkStart w:id="369" w:name="_Toc184313289"/>
      <w:bookmarkEnd w:id="369"/>
      <w:bookmarkStart w:id="370" w:name="_Toc184312131"/>
      <w:bookmarkEnd w:id="370"/>
      <w:bookmarkStart w:id="371" w:name="_Toc184308087"/>
      <w:bookmarkEnd w:id="371"/>
      <w:bookmarkStart w:id="372" w:name="_Toc184312128"/>
      <w:bookmarkEnd w:id="372"/>
      <w:bookmarkStart w:id="373" w:name="_Toc184310335"/>
      <w:bookmarkEnd w:id="373"/>
      <w:bookmarkStart w:id="374" w:name="_Toc184308038"/>
      <w:bookmarkEnd w:id="374"/>
      <w:bookmarkStart w:id="375" w:name="_Toc184308076"/>
      <w:bookmarkEnd w:id="375"/>
      <w:bookmarkStart w:id="376" w:name="_Toc184308056"/>
      <w:bookmarkEnd w:id="376"/>
      <w:bookmarkStart w:id="377" w:name="_Toc184308063"/>
      <w:bookmarkEnd w:id="377"/>
      <w:bookmarkStart w:id="378" w:name="_Toc184310319"/>
      <w:bookmarkEnd w:id="378"/>
      <w:bookmarkStart w:id="379" w:name="_Toc184308073"/>
      <w:bookmarkEnd w:id="379"/>
      <w:bookmarkStart w:id="380" w:name="_Toc184310310"/>
      <w:bookmarkEnd w:id="380"/>
      <w:bookmarkStart w:id="381" w:name="_Toc184313250"/>
      <w:bookmarkEnd w:id="381"/>
      <w:bookmarkStart w:id="382" w:name="_Toc184312134"/>
      <w:bookmarkEnd w:id="382"/>
      <w:bookmarkStart w:id="383" w:name="_Toc184308106"/>
      <w:bookmarkEnd w:id="383"/>
      <w:bookmarkStart w:id="384" w:name="_Toc184308100"/>
      <w:bookmarkEnd w:id="384"/>
      <w:bookmarkStart w:id="385" w:name="_Toc184310329"/>
      <w:bookmarkEnd w:id="385"/>
      <w:bookmarkStart w:id="386" w:name="_Toc184310324"/>
      <w:bookmarkEnd w:id="386"/>
      <w:bookmarkStart w:id="387" w:name="_Toc184313275"/>
      <w:bookmarkEnd w:id="387"/>
      <w:bookmarkStart w:id="388" w:name="_Toc184310312"/>
      <w:bookmarkEnd w:id="388"/>
      <w:bookmarkStart w:id="389" w:name="_Toc184313243"/>
      <w:bookmarkEnd w:id="389"/>
      <w:bookmarkStart w:id="390" w:name="_Toc184314416"/>
      <w:bookmarkEnd w:id="390"/>
      <w:bookmarkStart w:id="391" w:name="_Toc184313299"/>
      <w:bookmarkEnd w:id="391"/>
      <w:bookmarkStart w:id="392" w:name="_Toc184313284"/>
      <w:bookmarkEnd w:id="392"/>
      <w:bookmarkStart w:id="393" w:name="_Toc184310315"/>
      <w:bookmarkEnd w:id="393"/>
      <w:bookmarkStart w:id="394" w:name="_Toc184314478"/>
      <w:bookmarkEnd w:id="394"/>
      <w:bookmarkStart w:id="395" w:name="_Toc184312132"/>
      <w:bookmarkEnd w:id="395"/>
      <w:bookmarkStart w:id="396" w:name="_Toc184312098"/>
      <w:bookmarkEnd w:id="396"/>
      <w:bookmarkStart w:id="397" w:name="_Toc184310337"/>
      <w:bookmarkEnd w:id="397"/>
      <w:bookmarkStart w:id="398" w:name="_Toc184308094"/>
      <w:bookmarkEnd w:id="398"/>
      <w:bookmarkStart w:id="399" w:name="_Toc184310317"/>
      <w:bookmarkEnd w:id="399"/>
      <w:bookmarkStart w:id="400" w:name="_Toc184308091"/>
      <w:bookmarkEnd w:id="400"/>
      <w:bookmarkStart w:id="401" w:name="_Toc184313266"/>
      <w:bookmarkEnd w:id="401"/>
      <w:bookmarkStart w:id="402" w:name="_Toc184310340"/>
      <w:bookmarkEnd w:id="402"/>
      <w:bookmarkStart w:id="403" w:name="_Toc184313264"/>
      <w:bookmarkEnd w:id="403"/>
      <w:bookmarkStart w:id="404" w:name="_Toc184310341"/>
      <w:bookmarkEnd w:id="404"/>
      <w:bookmarkStart w:id="405" w:name="_Toc184308093"/>
      <w:bookmarkEnd w:id="405"/>
      <w:bookmarkStart w:id="406" w:name="_Toc184313306"/>
      <w:bookmarkEnd w:id="406"/>
      <w:bookmarkStart w:id="407" w:name="_Toc184310344"/>
      <w:bookmarkEnd w:id="407"/>
      <w:bookmarkStart w:id="408" w:name="_Toc184314461"/>
      <w:bookmarkEnd w:id="408"/>
      <w:bookmarkStart w:id="409" w:name="_Toc184310294"/>
      <w:bookmarkEnd w:id="409"/>
      <w:bookmarkStart w:id="410" w:name="_Toc184310323"/>
      <w:bookmarkEnd w:id="410"/>
      <w:bookmarkStart w:id="411" w:name="_Toc184314447"/>
      <w:bookmarkEnd w:id="411"/>
      <w:bookmarkStart w:id="412" w:name="_Toc184310342"/>
      <w:bookmarkEnd w:id="412"/>
      <w:bookmarkStart w:id="413" w:name="_Toc184313259"/>
      <w:bookmarkEnd w:id="413"/>
      <w:bookmarkStart w:id="414" w:name="_Toc184314456"/>
      <w:bookmarkEnd w:id="414"/>
      <w:bookmarkStart w:id="415" w:name="_Toc184310293"/>
      <w:bookmarkEnd w:id="415"/>
      <w:bookmarkStart w:id="416" w:name="_Toc184308052"/>
      <w:bookmarkEnd w:id="416"/>
      <w:bookmarkStart w:id="417" w:name="_Toc184314424"/>
      <w:bookmarkEnd w:id="417"/>
      <w:bookmarkStart w:id="418" w:name="_Toc184312112"/>
      <w:bookmarkEnd w:id="418"/>
      <w:bookmarkStart w:id="419" w:name="_Toc184314410"/>
      <w:bookmarkEnd w:id="419"/>
      <w:bookmarkStart w:id="420" w:name="_Toc184313282"/>
      <w:bookmarkEnd w:id="420"/>
      <w:bookmarkStart w:id="421" w:name="_Toc184312118"/>
      <w:bookmarkEnd w:id="421"/>
      <w:bookmarkStart w:id="422" w:name="_Toc184312097"/>
      <w:bookmarkEnd w:id="422"/>
      <w:bookmarkStart w:id="423" w:name="_Toc184312068"/>
      <w:bookmarkEnd w:id="423"/>
      <w:bookmarkStart w:id="424" w:name="_Toc184312086"/>
      <w:bookmarkEnd w:id="424"/>
      <w:bookmarkStart w:id="425" w:name="_Toc184310295"/>
      <w:bookmarkEnd w:id="425"/>
      <w:bookmarkStart w:id="426" w:name="_Toc184308055"/>
      <w:bookmarkEnd w:id="426"/>
      <w:bookmarkStart w:id="427" w:name="_Toc184313273"/>
      <w:bookmarkEnd w:id="427"/>
      <w:r>
        <w:rPr>
          <w:rFonts w:hint="eastAsia" w:ascii="宋体" w:hAnsi="宋体" w:cs="宋体"/>
          <w:b/>
          <w:color w:val="auto"/>
          <w:sz w:val="36"/>
          <w:szCs w:val="36"/>
          <w:highlight w:val="none"/>
        </w:rPr>
        <w:t>评标办法</w:t>
      </w:r>
    </w:p>
    <w:p w14:paraId="7618AAC1">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pPr w:leftFromText="180" w:rightFromText="180" w:vertAnchor="text" w:horzAnchor="page" w:tblpX="1204" w:tblpY="536"/>
        <w:tblOverlap w:val="never"/>
        <w:tblW w:w="9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6008"/>
        <w:gridCol w:w="709"/>
        <w:gridCol w:w="759"/>
        <w:gridCol w:w="984"/>
      </w:tblGrid>
      <w:tr w14:paraId="1542D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643" w:type="dxa"/>
            <w:shd w:val="clear" w:color="auto" w:fill="auto"/>
            <w:vAlign w:val="center"/>
          </w:tcPr>
          <w:p w14:paraId="10C08DBA">
            <w:pPr>
              <w:snapToGrid w:val="0"/>
              <w:spacing w:line="276"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6008" w:type="dxa"/>
            <w:shd w:val="clear" w:color="auto" w:fill="auto"/>
            <w:vAlign w:val="center"/>
          </w:tcPr>
          <w:p w14:paraId="01CD35AE">
            <w:pPr>
              <w:snapToGrid w:val="0"/>
              <w:spacing w:line="276"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评标标准</w:t>
            </w:r>
          </w:p>
        </w:tc>
        <w:tc>
          <w:tcPr>
            <w:tcW w:w="709" w:type="dxa"/>
            <w:shd w:val="clear" w:color="auto" w:fill="auto"/>
            <w:vAlign w:val="center"/>
          </w:tcPr>
          <w:p w14:paraId="042ABD5D">
            <w:pPr>
              <w:snapToGrid w:val="0"/>
              <w:spacing w:line="276"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最高分值</w:t>
            </w:r>
          </w:p>
        </w:tc>
        <w:tc>
          <w:tcPr>
            <w:tcW w:w="759" w:type="dxa"/>
            <w:shd w:val="clear" w:color="auto" w:fill="auto"/>
            <w:vAlign w:val="center"/>
          </w:tcPr>
          <w:p w14:paraId="428A7C38">
            <w:pPr>
              <w:snapToGrid w:val="0"/>
              <w:spacing w:line="276"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主观分/客观分属性</w:t>
            </w:r>
          </w:p>
        </w:tc>
        <w:tc>
          <w:tcPr>
            <w:tcW w:w="984" w:type="dxa"/>
            <w:shd w:val="clear" w:color="auto" w:fill="auto"/>
          </w:tcPr>
          <w:p w14:paraId="68200166">
            <w:pPr>
              <w:snapToGrid w:val="0"/>
              <w:spacing w:line="276"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投标文件中评标标准相应的商务技术资料目录*</w:t>
            </w:r>
          </w:p>
        </w:tc>
      </w:tr>
      <w:tr w14:paraId="61318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3" w:type="dxa"/>
            <w:shd w:val="clear" w:color="auto" w:fill="auto"/>
            <w:vAlign w:val="center"/>
          </w:tcPr>
          <w:p w14:paraId="670EAD11">
            <w:pPr>
              <w:snapToGrid w:val="0"/>
              <w:spacing w:line="276"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1</w:t>
            </w:r>
          </w:p>
        </w:tc>
        <w:tc>
          <w:tcPr>
            <w:tcW w:w="6008" w:type="dxa"/>
            <w:shd w:val="clear" w:color="auto" w:fill="auto"/>
            <w:vAlign w:val="center"/>
          </w:tcPr>
          <w:p w14:paraId="2104FD39">
            <w:pPr>
              <w:outlineLvl w:val="0"/>
              <w:rPr>
                <w:rFonts w:hint="eastAsia" w:ascii="宋体" w:hAnsi="宋体" w:cs="宋体"/>
                <w:color w:val="auto"/>
                <w:szCs w:val="21"/>
                <w:highlight w:val="none"/>
              </w:rPr>
            </w:pPr>
            <w:r>
              <w:rPr>
                <w:rFonts w:hint="eastAsia" w:ascii="宋体" w:hAnsi="宋体" w:cs="宋体"/>
                <w:color w:val="auto"/>
                <w:szCs w:val="21"/>
                <w:highlight w:val="none"/>
              </w:rPr>
              <w:t>投标人自2022年1月1日以来具有同类项目业绩的：每提供1份合同得1分，最高得3分。（提供合同扫描件或复印件加盖公章）。</w:t>
            </w:r>
          </w:p>
        </w:tc>
        <w:tc>
          <w:tcPr>
            <w:tcW w:w="709" w:type="dxa"/>
            <w:shd w:val="clear" w:color="auto" w:fill="auto"/>
          </w:tcPr>
          <w:p w14:paraId="5B9B2582">
            <w:pPr>
              <w:outlineLvl w:val="0"/>
              <w:rPr>
                <w:rFonts w:hint="eastAsia" w:ascii="宋体" w:hAnsi="宋体" w:cs="宋体"/>
                <w:color w:val="auto"/>
                <w:szCs w:val="21"/>
                <w:highlight w:val="none"/>
              </w:rPr>
            </w:pPr>
          </w:p>
          <w:p w14:paraId="7833EDDF">
            <w:pPr>
              <w:jc w:val="center"/>
              <w:outlineLvl w:val="0"/>
              <w:rPr>
                <w:rFonts w:hint="eastAsia" w:ascii="宋体" w:hAnsi="宋体" w:cs="宋体"/>
                <w:color w:val="auto"/>
                <w:szCs w:val="21"/>
                <w:highlight w:val="none"/>
              </w:rPr>
            </w:pPr>
            <w:r>
              <w:rPr>
                <w:rFonts w:hint="eastAsia" w:ascii="宋体" w:hAnsi="宋体" w:cs="宋体"/>
                <w:color w:val="auto"/>
                <w:szCs w:val="21"/>
                <w:highlight w:val="none"/>
              </w:rPr>
              <w:t>3</w:t>
            </w:r>
          </w:p>
        </w:tc>
        <w:tc>
          <w:tcPr>
            <w:tcW w:w="759" w:type="dxa"/>
            <w:shd w:val="clear" w:color="auto" w:fill="auto"/>
            <w:vAlign w:val="center"/>
          </w:tcPr>
          <w:p w14:paraId="39EED521">
            <w:pPr>
              <w:snapToGrid w:val="0"/>
              <w:spacing w:line="276" w:lineRule="auto"/>
              <w:jc w:val="center"/>
              <w:rPr>
                <w:rFonts w:hint="eastAsia" w:ascii="宋体" w:hAnsi="宋体" w:cs="宋体"/>
                <w:b/>
                <w:bCs/>
                <w:color w:val="auto"/>
                <w:szCs w:val="21"/>
                <w:highlight w:val="none"/>
              </w:rPr>
            </w:pPr>
            <w:r>
              <w:rPr>
                <w:rFonts w:hint="eastAsia" w:ascii="宋体" w:hAnsi="宋体" w:cs="宋体"/>
                <w:color w:val="auto"/>
                <w:szCs w:val="21"/>
                <w:highlight w:val="none"/>
              </w:rPr>
              <w:t>客观分</w:t>
            </w:r>
          </w:p>
        </w:tc>
        <w:tc>
          <w:tcPr>
            <w:tcW w:w="984" w:type="dxa"/>
            <w:shd w:val="clear" w:color="auto" w:fill="auto"/>
          </w:tcPr>
          <w:p w14:paraId="3213B60D">
            <w:pPr>
              <w:snapToGrid w:val="0"/>
              <w:spacing w:line="276" w:lineRule="auto"/>
              <w:jc w:val="center"/>
              <w:rPr>
                <w:rFonts w:hint="eastAsia" w:ascii="宋体" w:hAnsi="宋体" w:cs="宋体"/>
                <w:b/>
                <w:bCs/>
                <w:color w:val="auto"/>
                <w:szCs w:val="21"/>
                <w:highlight w:val="none"/>
              </w:rPr>
            </w:pPr>
          </w:p>
        </w:tc>
      </w:tr>
      <w:tr w14:paraId="09ABE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3" w:type="dxa"/>
            <w:shd w:val="clear" w:color="auto" w:fill="auto"/>
            <w:vAlign w:val="center"/>
          </w:tcPr>
          <w:p w14:paraId="4D934FDA">
            <w:pPr>
              <w:snapToGrid w:val="0"/>
              <w:spacing w:line="276"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2</w:t>
            </w:r>
          </w:p>
        </w:tc>
        <w:tc>
          <w:tcPr>
            <w:tcW w:w="6008" w:type="dxa"/>
            <w:shd w:val="clear" w:color="auto" w:fill="auto"/>
            <w:vAlign w:val="center"/>
          </w:tcPr>
          <w:p w14:paraId="762F4EEA">
            <w:pPr>
              <w:outlineLvl w:val="0"/>
              <w:rPr>
                <w:rFonts w:hint="eastAsia" w:ascii="宋体" w:hAnsi="宋体" w:cs="宋体"/>
                <w:color w:val="auto"/>
                <w:szCs w:val="21"/>
                <w:highlight w:val="none"/>
              </w:rPr>
            </w:pPr>
            <w:r>
              <w:rPr>
                <w:rFonts w:hint="eastAsia" w:ascii="宋体" w:hAnsi="宋体" w:cs="宋体"/>
                <w:color w:val="auto"/>
                <w:szCs w:val="21"/>
                <w:highlight w:val="none"/>
              </w:rPr>
              <w:t>投标人具有有效的信息安全管理体系认证或有效的</w:t>
            </w:r>
            <w:r>
              <w:rPr>
                <w:rFonts w:hint="eastAsia" w:ascii="宋体" w:hAnsi="宋体" w:cs="宋体"/>
                <w:color w:val="auto"/>
                <w:kern w:val="0"/>
                <w:szCs w:val="21"/>
                <w:highlight w:val="none"/>
              </w:rPr>
              <w:t>ISO9001</w:t>
            </w:r>
            <w:r>
              <w:rPr>
                <w:rFonts w:hint="eastAsia" w:ascii="宋体" w:hAnsi="宋体" w:cs="宋体"/>
                <w:color w:val="auto"/>
                <w:szCs w:val="21"/>
                <w:highlight w:val="none"/>
              </w:rPr>
              <w:t>质量管理体系认证证书的，得1分（需提供相关证书复印件并加盖公章）。</w:t>
            </w:r>
          </w:p>
        </w:tc>
        <w:tc>
          <w:tcPr>
            <w:tcW w:w="709" w:type="dxa"/>
            <w:shd w:val="clear" w:color="auto" w:fill="auto"/>
            <w:vAlign w:val="center"/>
          </w:tcPr>
          <w:p w14:paraId="31E25B97">
            <w:pPr>
              <w:jc w:val="center"/>
              <w:outlineLvl w:val="0"/>
              <w:rPr>
                <w:rFonts w:hint="eastAsia" w:ascii="宋体" w:hAnsi="宋体" w:cs="宋体"/>
                <w:color w:val="auto"/>
                <w:szCs w:val="21"/>
                <w:highlight w:val="none"/>
              </w:rPr>
            </w:pPr>
            <w:r>
              <w:rPr>
                <w:rFonts w:hint="eastAsia" w:ascii="宋体" w:hAnsi="宋体" w:cs="宋体"/>
                <w:color w:val="auto"/>
                <w:szCs w:val="21"/>
                <w:highlight w:val="none"/>
              </w:rPr>
              <w:t>1</w:t>
            </w:r>
          </w:p>
        </w:tc>
        <w:tc>
          <w:tcPr>
            <w:tcW w:w="759" w:type="dxa"/>
            <w:shd w:val="clear" w:color="auto" w:fill="auto"/>
            <w:vAlign w:val="center"/>
          </w:tcPr>
          <w:p w14:paraId="3C81115F">
            <w:pPr>
              <w:snapToGrid w:val="0"/>
              <w:spacing w:line="276" w:lineRule="auto"/>
              <w:jc w:val="center"/>
              <w:rPr>
                <w:rFonts w:hint="eastAsia" w:ascii="宋体" w:hAnsi="宋体" w:cs="宋体"/>
                <w:b/>
                <w:bCs/>
                <w:color w:val="auto"/>
                <w:szCs w:val="21"/>
                <w:highlight w:val="none"/>
              </w:rPr>
            </w:pPr>
            <w:r>
              <w:rPr>
                <w:rFonts w:hint="eastAsia" w:ascii="宋体" w:hAnsi="宋体" w:cs="宋体"/>
                <w:color w:val="auto"/>
                <w:szCs w:val="21"/>
                <w:highlight w:val="none"/>
              </w:rPr>
              <w:t>客观分</w:t>
            </w:r>
          </w:p>
        </w:tc>
        <w:tc>
          <w:tcPr>
            <w:tcW w:w="984" w:type="dxa"/>
            <w:shd w:val="clear" w:color="auto" w:fill="auto"/>
          </w:tcPr>
          <w:p w14:paraId="5156C4A5">
            <w:pPr>
              <w:snapToGrid w:val="0"/>
              <w:spacing w:line="276" w:lineRule="auto"/>
              <w:jc w:val="center"/>
              <w:rPr>
                <w:rFonts w:hint="eastAsia" w:ascii="宋体" w:hAnsi="宋体" w:cs="宋体"/>
                <w:b/>
                <w:bCs/>
                <w:color w:val="auto"/>
                <w:szCs w:val="21"/>
                <w:highlight w:val="none"/>
              </w:rPr>
            </w:pPr>
          </w:p>
        </w:tc>
      </w:tr>
      <w:tr w14:paraId="4A4FF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3" w:type="dxa"/>
            <w:shd w:val="clear" w:color="auto" w:fill="auto"/>
            <w:vAlign w:val="center"/>
          </w:tcPr>
          <w:p w14:paraId="7413F5EE">
            <w:pPr>
              <w:snapToGrid w:val="0"/>
              <w:spacing w:line="276"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3</w:t>
            </w:r>
          </w:p>
        </w:tc>
        <w:tc>
          <w:tcPr>
            <w:tcW w:w="6008" w:type="dxa"/>
            <w:shd w:val="clear" w:color="auto" w:fill="auto"/>
            <w:vAlign w:val="center"/>
          </w:tcPr>
          <w:p w14:paraId="08B0406F">
            <w:pPr>
              <w:outlineLvl w:val="0"/>
              <w:rPr>
                <w:rFonts w:hint="eastAsia" w:ascii="宋体" w:hAnsi="宋体" w:cs="宋体"/>
                <w:color w:val="auto"/>
                <w:szCs w:val="21"/>
                <w:highlight w:val="none"/>
              </w:rPr>
            </w:pPr>
            <w:r>
              <w:rPr>
                <w:rFonts w:hint="eastAsia" w:ascii="宋体" w:hAnsi="宋体" w:cs="宋体"/>
                <w:color w:val="auto"/>
                <w:szCs w:val="21"/>
                <w:highlight w:val="none"/>
              </w:rPr>
              <w:t>投标产品技术参数偏离情况。标▲项不允许出现负偏离，否则为无效投标；标★项技术参数和要求出现负偏离的每项扣1分，其它技术参数和要求产生负偏离的每项扣0.5分，满分20分扣完为止。须按招标文件要求提供相关证明材料（包括但不限于证书、检测报告、承诺函、截图链接等复印件或原件扫描件）。否则评标委员会认为响应不符合招标文件要求。</w:t>
            </w:r>
          </w:p>
        </w:tc>
        <w:tc>
          <w:tcPr>
            <w:tcW w:w="709" w:type="dxa"/>
            <w:shd w:val="clear" w:color="auto" w:fill="auto"/>
            <w:vAlign w:val="center"/>
          </w:tcPr>
          <w:p w14:paraId="6A0F57E1">
            <w:pPr>
              <w:jc w:val="center"/>
              <w:outlineLvl w:val="0"/>
              <w:rPr>
                <w:rFonts w:hint="eastAsia" w:ascii="宋体" w:hAnsi="宋体" w:cs="宋体"/>
                <w:color w:val="auto"/>
                <w:szCs w:val="21"/>
                <w:highlight w:val="none"/>
              </w:rPr>
            </w:pPr>
            <w:r>
              <w:rPr>
                <w:rFonts w:hint="eastAsia" w:ascii="宋体" w:hAnsi="宋体" w:cs="宋体"/>
                <w:color w:val="auto"/>
                <w:szCs w:val="21"/>
                <w:highlight w:val="none"/>
              </w:rPr>
              <w:t>20</w:t>
            </w:r>
          </w:p>
        </w:tc>
        <w:tc>
          <w:tcPr>
            <w:tcW w:w="759" w:type="dxa"/>
            <w:shd w:val="clear" w:color="auto" w:fill="auto"/>
            <w:vAlign w:val="center"/>
          </w:tcPr>
          <w:p w14:paraId="7F46FB6A">
            <w:pPr>
              <w:snapToGrid w:val="0"/>
              <w:spacing w:line="276" w:lineRule="auto"/>
              <w:jc w:val="center"/>
              <w:rPr>
                <w:rFonts w:hint="eastAsia" w:ascii="宋体" w:hAnsi="宋体" w:cs="宋体"/>
                <w:b/>
                <w:bCs/>
                <w:color w:val="auto"/>
                <w:szCs w:val="21"/>
                <w:highlight w:val="none"/>
              </w:rPr>
            </w:pPr>
            <w:r>
              <w:rPr>
                <w:rFonts w:hint="eastAsia" w:ascii="宋体" w:hAnsi="宋体" w:cs="宋体"/>
                <w:color w:val="auto"/>
                <w:szCs w:val="21"/>
                <w:highlight w:val="none"/>
              </w:rPr>
              <w:t>客观分</w:t>
            </w:r>
          </w:p>
        </w:tc>
        <w:tc>
          <w:tcPr>
            <w:tcW w:w="984" w:type="dxa"/>
            <w:shd w:val="clear" w:color="auto" w:fill="auto"/>
          </w:tcPr>
          <w:p w14:paraId="475A1C87">
            <w:pPr>
              <w:snapToGrid w:val="0"/>
              <w:spacing w:line="276" w:lineRule="auto"/>
              <w:jc w:val="center"/>
              <w:rPr>
                <w:rFonts w:hint="eastAsia" w:ascii="宋体" w:hAnsi="宋体" w:cs="宋体"/>
                <w:b/>
                <w:bCs/>
                <w:color w:val="auto"/>
                <w:szCs w:val="21"/>
                <w:highlight w:val="none"/>
              </w:rPr>
            </w:pPr>
          </w:p>
        </w:tc>
      </w:tr>
      <w:tr w14:paraId="0B03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3" w:type="dxa"/>
            <w:shd w:val="clear" w:color="auto" w:fill="auto"/>
            <w:vAlign w:val="center"/>
          </w:tcPr>
          <w:p w14:paraId="24727712">
            <w:pPr>
              <w:snapToGrid w:val="0"/>
              <w:spacing w:line="276"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4</w:t>
            </w:r>
          </w:p>
        </w:tc>
        <w:tc>
          <w:tcPr>
            <w:tcW w:w="6008" w:type="dxa"/>
            <w:shd w:val="clear" w:color="auto" w:fill="auto"/>
            <w:vAlign w:val="center"/>
          </w:tcPr>
          <w:p w14:paraId="346ADF8E">
            <w:pPr>
              <w:outlineLvl w:val="0"/>
              <w:rPr>
                <w:rFonts w:hint="eastAsia" w:ascii="宋体" w:hAnsi="宋体" w:cs="宋体"/>
                <w:color w:val="auto"/>
                <w:szCs w:val="21"/>
                <w:highlight w:val="none"/>
              </w:rPr>
            </w:pPr>
            <w:r>
              <w:rPr>
                <w:rFonts w:hint="eastAsia" w:ascii="宋体" w:hAnsi="宋体" w:cs="宋体"/>
                <w:color w:val="auto"/>
                <w:szCs w:val="21"/>
                <w:highlight w:val="none"/>
              </w:rPr>
              <w:t>在满足招标文件技术参数的前提下，根据投标产品总体技术性能、配置、功能档次以及知名度、普及度等方面进行综合比较打分。（评分范围：0，1，2，3，4，5分）</w:t>
            </w:r>
          </w:p>
        </w:tc>
        <w:tc>
          <w:tcPr>
            <w:tcW w:w="709" w:type="dxa"/>
            <w:shd w:val="clear" w:color="auto" w:fill="auto"/>
            <w:vAlign w:val="center"/>
          </w:tcPr>
          <w:p w14:paraId="06CDDE39">
            <w:pPr>
              <w:pStyle w:val="33"/>
              <w:snapToGrid w:val="0"/>
              <w:spacing w:line="300" w:lineRule="auto"/>
              <w:jc w:val="center"/>
              <w:rPr>
                <w:rFonts w:hint="eastAsia" w:hAnsi="宋体" w:cs="宋体"/>
                <w:color w:val="auto"/>
                <w:highlight w:val="none"/>
              </w:rPr>
            </w:pPr>
            <w:r>
              <w:rPr>
                <w:rFonts w:hint="eastAsia" w:hAnsi="宋体" w:cs="宋体"/>
                <w:color w:val="auto"/>
                <w:highlight w:val="none"/>
              </w:rPr>
              <w:t>5</w:t>
            </w:r>
          </w:p>
        </w:tc>
        <w:tc>
          <w:tcPr>
            <w:tcW w:w="759" w:type="dxa"/>
            <w:shd w:val="clear" w:color="auto" w:fill="auto"/>
            <w:vAlign w:val="center"/>
          </w:tcPr>
          <w:p w14:paraId="3645F903">
            <w:pPr>
              <w:snapToGrid w:val="0"/>
              <w:spacing w:line="276" w:lineRule="auto"/>
              <w:jc w:val="center"/>
              <w:rPr>
                <w:rFonts w:hint="eastAsia" w:ascii="宋体" w:hAnsi="宋体" w:cs="宋体"/>
                <w:b/>
                <w:bCs/>
                <w:color w:val="auto"/>
                <w:szCs w:val="21"/>
                <w:highlight w:val="none"/>
              </w:rPr>
            </w:pPr>
            <w:r>
              <w:rPr>
                <w:rFonts w:hint="eastAsia" w:ascii="宋体" w:hAnsi="宋体" w:cs="宋体"/>
                <w:color w:val="auto"/>
                <w:szCs w:val="21"/>
                <w:highlight w:val="none"/>
              </w:rPr>
              <w:t>主观分</w:t>
            </w:r>
          </w:p>
        </w:tc>
        <w:tc>
          <w:tcPr>
            <w:tcW w:w="984" w:type="dxa"/>
            <w:shd w:val="clear" w:color="auto" w:fill="auto"/>
          </w:tcPr>
          <w:p w14:paraId="7CD64D00">
            <w:pPr>
              <w:snapToGrid w:val="0"/>
              <w:spacing w:line="276" w:lineRule="auto"/>
              <w:jc w:val="center"/>
              <w:rPr>
                <w:rFonts w:hint="eastAsia" w:ascii="宋体" w:hAnsi="宋体" w:cs="宋体"/>
                <w:b/>
                <w:bCs/>
                <w:color w:val="auto"/>
                <w:szCs w:val="21"/>
                <w:highlight w:val="none"/>
              </w:rPr>
            </w:pPr>
          </w:p>
        </w:tc>
      </w:tr>
      <w:tr w14:paraId="4D42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3" w:type="dxa"/>
            <w:shd w:val="clear" w:color="auto" w:fill="auto"/>
            <w:vAlign w:val="center"/>
          </w:tcPr>
          <w:p w14:paraId="1F81B377">
            <w:pPr>
              <w:snapToGrid w:val="0"/>
              <w:spacing w:line="276"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5</w:t>
            </w:r>
          </w:p>
        </w:tc>
        <w:tc>
          <w:tcPr>
            <w:tcW w:w="6008" w:type="dxa"/>
            <w:shd w:val="clear" w:color="auto" w:fill="auto"/>
            <w:vAlign w:val="center"/>
          </w:tcPr>
          <w:p w14:paraId="43F7A818">
            <w:pPr>
              <w:outlineLvl w:val="0"/>
              <w:rPr>
                <w:rFonts w:hint="eastAsia" w:ascii="宋体" w:hAnsi="宋体" w:cs="宋体"/>
                <w:color w:val="auto"/>
                <w:szCs w:val="21"/>
                <w:highlight w:val="none"/>
              </w:rPr>
            </w:pPr>
            <w:r>
              <w:rPr>
                <w:rFonts w:hint="eastAsia" w:ascii="宋体" w:hAnsi="宋体" w:cs="宋体"/>
                <w:color w:val="auto"/>
                <w:szCs w:val="21"/>
                <w:highlight w:val="none"/>
                <w:lang w:val="zh-CN"/>
              </w:rPr>
              <w:t>投标方案与需求的吻合程度，包括方案的科学性、先进性、可靠性、成熟性、合理性和扩展性；方案设计的功能实现以及方案配置的合理性等方面与项目对应需求的满足程度等。</w:t>
            </w:r>
            <w:r>
              <w:rPr>
                <w:rFonts w:hint="eastAsia" w:ascii="宋体" w:hAnsi="宋体" w:cs="宋体"/>
                <w:color w:val="auto"/>
                <w:szCs w:val="21"/>
                <w:highlight w:val="none"/>
              </w:rPr>
              <w:t>（评分范围：0，1，2，3，4分）</w:t>
            </w:r>
          </w:p>
        </w:tc>
        <w:tc>
          <w:tcPr>
            <w:tcW w:w="709" w:type="dxa"/>
            <w:shd w:val="clear" w:color="auto" w:fill="auto"/>
            <w:vAlign w:val="center"/>
          </w:tcPr>
          <w:p w14:paraId="02A63DDF">
            <w:pPr>
              <w:jc w:val="center"/>
              <w:outlineLvl w:val="0"/>
              <w:rPr>
                <w:rFonts w:hint="eastAsia" w:ascii="宋体" w:hAnsi="宋体" w:cs="宋体"/>
                <w:color w:val="auto"/>
                <w:szCs w:val="21"/>
                <w:highlight w:val="none"/>
              </w:rPr>
            </w:pPr>
            <w:r>
              <w:rPr>
                <w:rFonts w:hint="eastAsia" w:ascii="宋体" w:hAnsi="宋体" w:cs="宋体"/>
                <w:color w:val="auto"/>
                <w:szCs w:val="21"/>
                <w:highlight w:val="none"/>
              </w:rPr>
              <w:t>4</w:t>
            </w:r>
          </w:p>
        </w:tc>
        <w:tc>
          <w:tcPr>
            <w:tcW w:w="759" w:type="dxa"/>
            <w:shd w:val="clear" w:color="auto" w:fill="auto"/>
            <w:vAlign w:val="center"/>
          </w:tcPr>
          <w:p w14:paraId="2A717B2A">
            <w:pPr>
              <w:snapToGrid w:val="0"/>
              <w:spacing w:line="276" w:lineRule="auto"/>
              <w:jc w:val="center"/>
              <w:rPr>
                <w:rFonts w:hint="eastAsia" w:ascii="宋体" w:hAnsi="宋体" w:cs="宋体"/>
                <w:b/>
                <w:bCs/>
                <w:color w:val="auto"/>
                <w:szCs w:val="21"/>
                <w:highlight w:val="none"/>
              </w:rPr>
            </w:pPr>
            <w:r>
              <w:rPr>
                <w:rFonts w:hint="eastAsia" w:ascii="宋体" w:hAnsi="宋体" w:cs="宋体"/>
                <w:color w:val="auto"/>
                <w:szCs w:val="21"/>
                <w:highlight w:val="none"/>
              </w:rPr>
              <w:t>主观分</w:t>
            </w:r>
          </w:p>
        </w:tc>
        <w:tc>
          <w:tcPr>
            <w:tcW w:w="984" w:type="dxa"/>
            <w:shd w:val="clear" w:color="auto" w:fill="auto"/>
          </w:tcPr>
          <w:p w14:paraId="018DF90F">
            <w:pPr>
              <w:snapToGrid w:val="0"/>
              <w:spacing w:line="276" w:lineRule="auto"/>
              <w:jc w:val="center"/>
              <w:rPr>
                <w:rFonts w:hint="eastAsia" w:ascii="宋体" w:hAnsi="宋体" w:cs="宋体"/>
                <w:b/>
                <w:bCs/>
                <w:color w:val="auto"/>
                <w:szCs w:val="21"/>
                <w:highlight w:val="none"/>
              </w:rPr>
            </w:pPr>
          </w:p>
        </w:tc>
      </w:tr>
      <w:tr w14:paraId="1EAC0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3" w:type="dxa"/>
            <w:shd w:val="clear" w:color="auto" w:fill="auto"/>
            <w:vAlign w:val="center"/>
          </w:tcPr>
          <w:p w14:paraId="4977778F">
            <w:pPr>
              <w:snapToGrid w:val="0"/>
              <w:spacing w:line="276"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6</w:t>
            </w:r>
          </w:p>
        </w:tc>
        <w:tc>
          <w:tcPr>
            <w:tcW w:w="6008" w:type="dxa"/>
            <w:shd w:val="clear" w:color="auto" w:fill="auto"/>
            <w:vAlign w:val="center"/>
          </w:tcPr>
          <w:p w14:paraId="63DA4C70">
            <w:pPr>
              <w:outlineLvl w:val="0"/>
              <w:rPr>
                <w:rFonts w:hint="eastAsia" w:ascii="宋体" w:hAnsi="宋体" w:cs="宋体"/>
                <w:color w:val="auto"/>
                <w:szCs w:val="21"/>
                <w:highlight w:val="none"/>
              </w:rPr>
            </w:pPr>
            <w:r>
              <w:rPr>
                <w:rFonts w:hint="eastAsia" w:ascii="宋体" w:hAnsi="宋体" w:cs="宋体"/>
                <w:color w:val="auto"/>
                <w:szCs w:val="21"/>
                <w:highlight w:val="none"/>
              </w:rPr>
              <w:t>提供根据智慧教室设计的电气图、照明布置图、强、弱电布置图情况综合打分。（评分范围：0，1，2，3，4分）</w:t>
            </w:r>
          </w:p>
        </w:tc>
        <w:tc>
          <w:tcPr>
            <w:tcW w:w="709" w:type="dxa"/>
            <w:shd w:val="clear" w:color="auto" w:fill="auto"/>
            <w:vAlign w:val="center"/>
          </w:tcPr>
          <w:p w14:paraId="21BE3C2A">
            <w:pPr>
              <w:jc w:val="center"/>
              <w:outlineLvl w:val="0"/>
              <w:rPr>
                <w:rFonts w:hint="eastAsia" w:ascii="宋体" w:hAnsi="宋体" w:cs="宋体"/>
                <w:color w:val="auto"/>
                <w:szCs w:val="21"/>
                <w:highlight w:val="none"/>
              </w:rPr>
            </w:pPr>
            <w:r>
              <w:rPr>
                <w:rFonts w:hint="eastAsia" w:ascii="宋体" w:hAnsi="宋体" w:cs="宋体"/>
                <w:color w:val="auto"/>
                <w:szCs w:val="21"/>
                <w:highlight w:val="none"/>
              </w:rPr>
              <w:t>4</w:t>
            </w:r>
          </w:p>
        </w:tc>
        <w:tc>
          <w:tcPr>
            <w:tcW w:w="759" w:type="dxa"/>
            <w:shd w:val="clear" w:color="auto" w:fill="auto"/>
            <w:vAlign w:val="center"/>
          </w:tcPr>
          <w:p w14:paraId="3455EAD5">
            <w:pPr>
              <w:snapToGrid w:val="0"/>
              <w:spacing w:line="276" w:lineRule="auto"/>
              <w:jc w:val="center"/>
              <w:rPr>
                <w:rFonts w:hint="eastAsia" w:ascii="宋体" w:hAnsi="宋体" w:cs="宋体"/>
                <w:b/>
                <w:bCs/>
                <w:color w:val="auto"/>
                <w:szCs w:val="21"/>
                <w:highlight w:val="none"/>
              </w:rPr>
            </w:pPr>
            <w:r>
              <w:rPr>
                <w:rFonts w:hint="eastAsia" w:ascii="宋体" w:hAnsi="宋体" w:cs="宋体"/>
                <w:color w:val="auto"/>
                <w:szCs w:val="21"/>
                <w:highlight w:val="none"/>
              </w:rPr>
              <w:t>主观分</w:t>
            </w:r>
          </w:p>
        </w:tc>
        <w:tc>
          <w:tcPr>
            <w:tcW w:w="984" w:type="dxa"/>
            <w:shd w:val="clear" w:color="auto" w:fill="auto"/>
          </w:tcPr>
          <w:p w14:paraId="6E9AC152">
            <w:pPr>
              <w:snapToGrid w:val="0"/>
              <w:spacing w:line="276" w:lineRule="auto"/>
              <w:jc w:val="center"/>
              <w:rPr>
                <w:rFonts w:hint="eastAsia" w:ascii="宋体" w:hAnsi="宋体" w:cs="宋体"/>
                <w:b/>
                <w:bCs/>
                <w:color w:val="auto"/>
                <w:szCs w:val="21"/>
                <w:highlight w:val="none"/>
              </w:rPr>
            </w:pPr>
          </w:p>
        </w:tc>
      </w:tr>
      <w:tr w14:paraId="48E0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3" w:type="dxa"/>
            <w:shd w:val="clear" w:color="auto" w:fill="auto"/>
            <w:vAlign w:val="center"/>
          </w:tcPr>
          <w:p w14:paraId="38803CC0">
            <w:pPr>
              <w:snapToGrid w:val="0"/>
              <w:spacing w:line="276"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7</w:t>
            </w:r>
          </w:p>
        </w:tc>
        <w:tc>
          <w:tcPr>
            <w:tcW w:w="6008" w:type="dxa"/>
            <w:shd w:val="clear" w:color="auto" w:fill="auto"/>
            <w:vAlign w:val="center"/>
          </w:tcPr>
          <w:p w14:paraId="51467794">
            <w:pPr>
              <w:outlineLvl w:val="0"/>
              <w:rPr>
                <w:rFonts w:hint="eastAsia" w:ascii="宋体" w:hAnsi="宋体" w:cs="宋体"/>
                <w:color w:val="auto"/>
                <w:szCs w:val="21"/>
                <w:highlight w:val="none"/>
              </w:rPr>
            </w:pPr>
            <w:r>
              <w:rPr>
                <w:rFonts w:hint="eastAsia" w:ascii="宋体" w:hAnsi="宋体" w:cs="宋体"/>
                <w:color w:val="auto"/>
                <w:szCs w:val="21"/>
                <w:highlight w:val="none"/>
              </w:rPr>
              <w:t>提供智慧教室装修设计效果图（高清渲染图）、每提供一张得1分。</w:t>
            </w:r>
          </w:p>
        </w:tc>
        <w:tc>
          <w:tcPr>
            <w:tcW w:w="709" w:type="dxa"/>
            <w:shd w:val="clear" w:color="auto" w:fill="auto"/>
            <w:vAlign w:val="center"/>
          </w:tcPr>
          <w:p w14:paraId="3E1DF57E">
            <w:pPr>
              <w:jc w:val="center"/>
              <w:outlineLvl w:val="0"/>
              <w:rPr>
                <w:rFonts w:hint="eastAsia" w:ascii="宋体" w:hAnsi="宋体" w:cs="宋体"/>
                <w:color w:val="auto"/>
                <w:szCs w:val="21"/>
                <w:highlight w:val="none"/>
              </w:rPr>
            </w:pPr>
            <w:r>
              <w:rPr>
                <w:rFonts w:hint="eastAsia" w:ascii="宋体" w:hAnsi="宋体" w:cs="宋体"/>
                <w:color w:val="auto"/>
                <w:szCs w:val="21"/>
                <w:highlight w:val="none"/>
              </w:rPr>
              <w:t>4</w:t>
            </w:r>
          </w:p>
        </w:tc>
        <w:tc>
          <w:tcPr>
            <w:tcW w:w="759" w:type="dxa"/>
            <w:shd w:val="clear" w:color="auto" w:fill="auto"/>
            <w:vAlign w:val="center"/>
          </w:tcPr>
          <w:p w14:paraId="2F64B9F6">
            <w:pPr>
              <w:snapToGrid w:val="0"/>
              <w:spacing w:line="276" w:lineRule="auto"/>
              <w:jc w:val="center"/>
              <w:rPr>
                <w:rFonts w:hint="eastAsia" w:ascii="宋体" w:hAnsi="宋体" w:cs="宋体"/>
                <w:b/>
                <w:bCs/>
                <w:color w:val="auto"/>
                <w:szCs w:val="21"/>
                <w:highlight w:val="none"/>
              </w:rPr>
            </w:pPr>
            <w:r>
              <w:rPr>
                <w:rFonts w:hint="eastAsia" w:ascii="宋体" w:hAnsi="宋体" w:cs="宋体"/>
                <w:color w:val="auto"/>
                <w:szCs w:val="21"/>
                <w:highlight w:val="none"/>
              </w:rPr>
              <w:t>客观分</w:t>
            </w:r>
          </w:p>
        </w:tc>
        <w:tc>
          <w:tcPr>
            <w:tcW w:w="984" w:type="dxa"/>
            <w:shd w:val="clear" w:color="auto" w:fill="auto"/>
          </w:tcPr>
          <w:p w14:paraId="58937260">
            <w:pPr>
              <w:snapToGrid w:val="0"/>
              <w:spacing w:line="276" w:lineRule="auto"/>
              <w:jc w:val="center"/>
              <w:rPr>
                <w:rFonts w:hint="eastAsia" w:ascii="宋体" w:hAnsi="宋体" w:cs="宋体"/>
                <w:b/>
                <w:bCs/>
                <w:color w:val="auto"/>
                <w:szCs w:val="21"/>
                <w:highlight w:val="none"/>
              </w:rPr>
            </w:pPr>
          </w:p>
        </w:tc>
      </w:tr>
      <w:tr w14:paraId="52C0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3" w:type="dxa"/>
            <w:shd w:val="clear" w:color="auto" w:fill="auto"/>
            <w:vAlign w:val="center"/>
          </w:tcPr>
          <w:p w14:paraId="3CA4CFD1">
            <w:pPr>
              <w:snapToGrid w:val="0"/>
              <w:spacing w:line="276"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8</w:t>
            </w:r>
          </w:p>
        </w:tc>
        <w:tc>
          <w:tcPr>
            <w:tcW w:w="6008" w:type="dxa"/>
            <w:shd w:val="clear" w:color="auto" w:fill="auto"/>
            <w:vAlign w:val="center"/>
          </w:tcPr>
          <w:p w14:paraId="5002E5B1">
            <w:pPr>
              <w:outlineLvl w:val="0"/>
              <w:rPr>
                <w:rFonts w:hint="eastAsia" w:ascii="宋体" w:hAnsi="宋体" w:cs="宋体"/>
                <w:color w:val="auto"/>
                <w:szCs w:val="21"/>
                <w:highlight w:val="none"/>
              </w:rPr>
            </w:pPr>
            <w:r>
              <w:rPr>
                <w:rFonts w:hint="eastAsia" w:ascii="宋体" w:hAnsi="宋体" w:cs="宋体"/>
                <w:color w:val="auto"/>
                <w:szCs w:val="21"/>
                <w:highlight w:val="none"/>
              </w:rPr>
              <w:t>根据深化设计方案情况综合评审（包括但不限于，四大类设计，如平面布置图，顶面图、地面图、立面图布置图。方案是否完整性、合理，满足项目应用需求）。（评分范围：0，1，2，3，4分）</w:t>
            </w:r>
          </w:p>
        </w:tc>
        <w:tc>
          <w:tcPr>
            <w:tcW w:w="709" w:type="dxa"/>
            <w:shd w:val="clear" w:color="auto" w:fill="auto"/>
            <w:vAlign w:val="center"/>
          </w:tcPr>
          <w:p w14:paraId="39651F53">
            <w:pPr>
              <w:jc w:val="center"/>
              <w:outlineLvl w:val="0"/>
              <w:rPr>
                <w:rFonts w:hint="eastAsia" w:ascii="宋体" w:hAnsi="宋体" w:cs="宋体"/>
                <w:color w:val="auto"/>
                <w:szCs w:val="21"/>
                <w:highlight w:val="none"/>
              </w:rPr>
            </w:pPr>
            <w:r>
              <w:rPr>
                <w:rFonts w:hint="eastAsia" w:ascii="宋体" w:hAnsi="宋体" w:cs="宋体"/>
                <w:color w:val="auto"/>
                <w:szCs w:val="21"/>
                <w:highlight w:val="none"/>
              </w:rPr>
              <w:t>4</w:t>
            </w:r>
          </w:p>
        </w:tc>
        <w:tc>
          <w:tcPr>
            <w:tcW w:w="759" w:type="dxa"/>
            <w:shd w:val="clear" w:color="auto" w:fill="auto"/>
            <w:vAlign w:val="center"/>
          </w:tcPr>
          <w:p w14:paraId="58D61C40">
            <w:pPr>
              <w:snapToGrid w:val="0"/>
              <w:spacing w:line="276" w:lineRule="auto"/>
              <w:jc w:val="center"/>
              <w:rPr>
                <w:rFonts w:hint="eastAsia" w:ascii="宋体" w:hAnsi="宋体" w:cs="宋体"/>
                <w:b/>
                <w:bCs/>
                <w:color w:val="auto"/>
                <w:szCs w:val="21"/>
                <w:highlight w:val="none"/>
              </w:rPr>
            </w:pPr>
            <w:r>
              <w:rPr>
                <w:rFonts w:hint="eastAsia" w:ascii="宋体" w:hAnsi="宋体" w:cs="宋体"/>
                <w:color w:val="auto"/>
                <w:szCs w:val="21"/>
                <w:highlight w:val="none"/>
              </w:rPr>
              <w:t>主观分</w:t>
            </w:r>
          </w:p>
        </w:tc>
        <w:tc>
          <w:tcPr>
            <w:tcW w:w="984" w:type="dxa"/>
            <w:shd w:val="clear" w:color="auto" w:fill="auto"/>
          </w:tcPr>
          <w:p w14:paraId="1858FDEB">
            <w:pPr>
              <w:snapToGrid w:val="0"/>
              <w:spacing w:line="276" w:lineRule="auto"/>
              <w:jc w:val="center"/>
              <w:rPr>
                <w:rFonts w:hint="eastAsia" w:ascii="宋体" w:hAnsi="宋体" w:cs="宋体"/>
                <w:b/>
                <w:bCs/>
                <w:color w:val="auto"/>
                <w:szCs w:val="21"/>
                <w:highlight w:val="none"/>
              </w:rPr>
            </w:pPr>
          </w:p>
        </w:tc>
      </w:tr>
      <w:tr w14:paraId="7DE7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3" w:type="dxa"/>
            <w:shd w:val="clear" w:color="auto" w:fill="auto"/>
            <w:vAlign w:val="center"/>
          </w:tcPr>
          <w:p w14:paraId="08082A65">
            <w:pPr>
              <w:snapToGrid w:val="0"/>
              <w:spacing w:line="276"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9</w:t>
            </w:r>
          </w:p>
        </w:tc>
        <w:tc>
          <w:tcPr>
            <w:tcW w:w="6008" w:type="dxa"/>
            <w:shd w:val="clear" w:color="auto" w:fill="auto"/>
            <w:vAlign w:val="center"/>
          </w:tcPr>
          <w:p w14:paraId="5F762E5C">
            <w:pPr>
              <w:outlineLvl w:val="0"/>
              <w:rPr>
                <w:rFonts w:hint="eastAsia" w:ascii="宋体" w:hAnsi="宋体" w:cs="宋体"/>
                <w:color w:val="auto"/>
                <w:szCs w:val="21"/>
                <w:highlight w:val="none"/>
              </w:rPr>
            </w:pPr>
            <w:r>
              <w:rPr>
                <w:rFonts w:hint="eastAsia" w:ascii="宋体" w:hAnsi="宋体" w:cs="宋体"/>
                <w:color w:val="auto"/>
                <w:szCs w:val="21"/>
                <w:highlight w:val="none"/>
              </w:rPr>
              <w:t>投标人组织实施方案的科学性、合理性、规范性和可操作性，具体如下：组织机构、供货时间进度表、调试、验收、工作程序和步骤、管理和协调方法、关键步骤的思路和要点等。</w:t>
            </w:r>
            <w:r>
              <w:rPr>
                <w:rFonts w:hint="eastAsia" w:ascii="宋体" w:hAnsi="宋体" w:cs="宋体"/>
                <w:color w:val="auto"/>
                <w:szCs w:val="21"/>
                <w:highlight w:val="none"/>
                <w:lang w:val="zh-CN"/>
              </w:rPr>
              <w:t>进行综合比较打分</w:t>
            </w:r>
            <w:r>
              <w:rPr>
                <w:rFonts w:hint="eastAsia" w:ascii="宋体" w:hAnsi="宋体" w:cs="宋体"/>
                <w:color w:val="auto"/>
                <w:szCs w:val="21"/>
                <w:highlight w:val="none"/>
              </w:rPr>
              <w:t>。（评分范围：0，1，2，3分）</w:t>
            </w:r>
          </w:p>
        </w:tc>
        <w:tc>
          <w:tcPr>
            <w:tcW w:w="709" w:type="dxa"/>
            <w:shd w:val="clear" w:color="auto" w:fill="auto"/>
            <w:vAlign w:val="center"/>
          </w:tcPr>
          <w:p w14:paraId="1E5F387F">
            <w:pPr>
              <w:jc w:val="center"/>
              <w:outlineLvl w:val="0"/>
              <w:rPr>
                <w:rFonts w:hint="eastAsia" w:ascii="宋体" w:hAnsi="宋体" w:cs="宋体"/>
                <w:color w:val="auto"/>
                <w:szCs w:val="21"/>
                <w:highlight w:val="none"/>
              </w:rPr>
            </w:pPr>
            <w:r>
              <w:rPr>
                <w:rFonts w:hint="eastAsia" w:ascii="宋体" w:hAnsi="宋体" w:cs="宋体"/>
                <w:color w:val="auto"/>
                <w:szCs w:val="21"/>
                <w:highlight w:val="none"/>
              </w:rPr>
              <w:t>3</w:t>
            </w:r>
          </w:p>
        </w:tc>
        <w:tc>
          <w:tcPr>
            <w:tcW w:w="759" w:type="dxa"/>
            <w:shd w:val="clear" w:color="auto" w:fill="auto"/>
            <w:vAlign w:val="center"/>
          </w:tcPr>
          <w:p w14:paraId="4FAB79ED">
            <w:pPr>
              <w:snapToGrid w:val="0"/>
              <w:spacing w:line="276" w:lineRule="auto"/>
              <w:jc w:val="center"/>
              <w:rPr>
                <w:rFonts w:hint="eastAsia" w:ascii="宋体" w:hAnsi="宋体" w:cs="宋体"/>
                <w:b/>
                <w:bCs/>
                <w:color w:val="auto"/>
                <w:szCs w:val="21"/>
                <w:highlight w:val="none"/>
              </w:rPr>
            </w:pPr>
            <w:r>
              <w:rPr>
                <w:rFonts w:hint="eastAsia" w:ascii="宋体" w:hAnsi="宋体" w:cs="宋体"/>
                <w:color w:val="auto"/>
                <w:szCs w:val="21"/>
                <w:highlight w:val="none"/>
              </w:rPr>
              <w:t>主观分</w:t>
            </w:r>
          </w:p>
        </w:tc>
        <w:tc>
          <w:tcPr>
            <w:tcW w:w="984" w:type="dxa"/>
            <w:shd w:val="clear" w:color="auto" w:fill="auto"/>
          </w:tcPr>
          <w:p w14:paraId="42604947">
            <w:pPr>
              <w:snapToGrid w:val="0"/>
              <w:spacing w:line="276" w:lineRule="auto"/>
              <w:jc w:val="center"/>
              <w:rPr>
                <w:rFonts w:hint="eastAsia" w:ascii="宋体" w:hAnsi="宋体" w:cs="宋体"/>
                <w:b/>
                <w:bCs/>
                <w:color w:val="auto"/>
                <w:szCs w:val="21"/>
                <w:highlight w:val="none"/>
              </w:rPr>
            </w:pPr>
          </w:p>
        </w:tc>
      </w:tr>
      <w:tr w14:paraId="68204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3" w:type="dxa"/>
            <w:shd w:val="clear" w:color="auto" w:fill="auto"/>
            <w:vAlign w:val="center"/>
          </w:tcPr>
          <w:p w14:paraId="5D585D56">
            <w:pPr>
              <w:snapToGrid w:val="0"/>
              <w:spacing w:line="276"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10</w:t>
            </w:r>
          </w:p>
        </w:tc>
        <w:tc>
          <w:tcPr>
            <w:tcW w:w="6008" w:type="dxa"/>
            <w:shd w:val="clear" w:color="auto" w:fill="auto"/>
            <w:vAlign w:val="center"/>
          </w:tcPr>
          <w:p w14:paraId="4DEB1E7C">
            <w:pPr>
              <w:rPr>
                <w:rFonts w:hint="eastAsia" w:ascii="宋体" w:hAnsi="宋体" w:cs="宋体"/>
                <w:color w:val="auto"/>
                <w:szCs w:val="21"/>
                <w:highlight w:val="none"/>
              </w:rPr>
            </w:pPr>
            <w:r>
              <w:rPr>
                <w:rFonts w:hint="eastAsia" w:ascii="宋体" w:hAnsi="宋体" w:cs="宋体"/>
                <w:color w:val="auto"/>
                <w:szCs w:val="21"/>
                <w:highlight w:val="none"/>
              </w:rPr>
              <w:t>质量保证方案及措施。投标人有明确的建设质量目标，质量保证措施，并具有详细可行的实施内容等进行评分。</w:t>
            </w:r>
            <w:r>
              <w:rPr>
                <w:rFonts w:hint="eastAsia" w:ascii="宋体" w:hAnsi="宋体" w:cs="宋体"/>
                <w:color w:val="auto"/>
                <w:szCs w:val="21"/>
                <w:highlight w:val="none"/>
              </w:rPr>
              <w:t>（评分范围：0，1，2，3分）</w:t>
            </w:r>
          </w:p>
        </w:tc>
        <w:tc>
          <w:tcPr>
            <w:tcW w:w="709" w:type="dxa"/>
            <w:shd w:val="clear" w:color="auto" w:fill="auto"/>
            <w:vAlign w:val="center"/>
          </w:tcPr>
          <w:p w14:paraId="7DEB0831">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759" w:type="dxa"/>
            <w:shd w:val="clear" w:color="auto" w:fill="auto"/>
            <w:vAlign w:val="center"/>
          </w:tcPr>
          <w:p w14:paraId="68AF7666">
            <w:pPr>
              <w:snapToGrid w:val="0"/>
              <w:spacing w:line="276" w:lineRule="auto"/>
              <w:jc w:val="center"/>
              <w:rPr>
                <w:rFonts w:hint="eastAsia" w:ascii="宋体" w:hAnsi="宋体" w:cs="宋体"/>
                <w:b/>
                <w:bCs/>
                <w:color w:val="auto"/>
                <w:szCs w:val="21"/>
                <w:highlight w:val="none"/>
              </w:rPr>
            </w:pPr>
            <w:r>
              <w:rPr>
                <w:rFonts w:hint="eastAsia" w:ascii="宋体" w:hAnsi="宋体" w:cs="宋体"/>
                <w:color w:val="auto"/>
                <w:szCs w:val="21"/>
                <w:highlight w:val="none"/>
              </w:rPr>
              <w:t>主观分</w:t>
            </w:r>
          </w:p>
        </w:tc>
        <w:tc>
          <w:tcPr>
            <w:tcW w:w="984" w:type="dxa"/>
            <w:shd w:val="clear" w:color="auto" w:fill="auto"/>
          </w:tcPr>
          <w:p w14:paraId="0FBA4863">
            <w:pPr>
              <w:snapToGrid w:val="0"/>
              <w:spacing w:line="276" w:lineRule="auto"/>
              <w:jc w:val="center"/>
              <w:rPr>
                <w:rFonts w:hint="eastAsia" w:ascii="宋体" w:hAnsi="宋体" w:cs="宋体"/>
                <w:b/>
                <w:bCs/>
                <w:color w:val="auto"/>
                <w:szCs w:val="21"/>
                <w:highlight w:val="none"/>
              </w:rPr>
            </w:pPr>
          </w:p>
        </w:tc>
      </w:tr>
      <w:tr w14:paraId="6F9CC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3" w:type="dxa"/>
            <w:shd w:val="clear" w:color="auto" w:fill="auto"/>
            <w:vAlign w:val="center"/>
          </w:tcPr>
          <w:p w14:paraId="5428B21F">
            <w:pPr>
              <w:snapToGrid w:val="0"/>
              <w:spacing w:line="276"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11</w:t>
            </w:r>
          </w:p>
        </w:tc>
        <w:tc>
          <w:tcPr>
            <w:tcW w:w="6008" w:type="dxa"/>
            <w:shd w:val="clear" w:color="auto" w:fill="auto"/>
            <w:vAlign w:val="center"/>
          </w:tcPr>
          <w:p w14:paraId="629E01FD">
            <w:pPr>
              <w:rPr>
                <w:rFonts w:hint="eastAsia" w:ascii="宋体" w:hAnsi="宋体" w:cs="宋体"/>
                <w:color w:val="auto"/>
                <w:szCs w:val="21"/>
                <w:highlight w:val="none"/>
              </w:rPr>
            </w:pPr>
            <w:r>
              <w:rPr>
                <w:rFonts w:hint="eastAsia" w:asciiTheme="minorEastAsia" w:hAnsiTheme="minorEastAsia" w:eastAsiaTheme="minorEastAsia" w:cstheme="minorEastAsia"/>
                <w:color w:val="auto"/>
                <w:highlight w:val="none"/>
              </w:rPr>
              <w:t>质保期在满足招标文件的规定情况下所有产品质保期每增加1年得1分，最高得</w:t>
            </w:r>
            <w:r>
              <w:rPr>
                <w:rFonts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rPr>
              <w:t>分</w:t>
            </w:r>
          </w:p>
        </w:tc>
        <w:tc>
          <w:tcPr>
            <w:tcW w:w="709" w:type="dxa"/>
            <w:shd w:val="clear" w:color="auto" w:fill="auto"/>
            <w:vAlign w:val="center"/>
          </w:tcPr>
          <w:p w14:paraId="3936116A">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759" w:type="dxa"/>
            <w:shd w:val="clear" w:color="auto" w:fill="auto"/>
            <w:vAlign w:val="center"/>
          </w:tcPr>
          <w:p w14:paraId="3B660C7B">
            <w:pPr>
              <w:snapToGrid w:val="0"/>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c>
          <w:tcPr>
            <w:tcW w:w="984" w:type="dxa"/>
            <w:shd w:val="clear" w:color="auto" w:fill="auto"/>
          </w:tcPr>
          <w:p w14:paraId="17BDDE63">
            <w:pPr>
              <w:snapToGrid w:val="0"/>
              <w:spacing w:line="276" w:lineRule="auto"/>
              <w:jc w:val="center"/>
              <w:rPr>
                <w:rFonts w:hint="eastAsia" w:ascii="宋体" w:hAnsi="宋体" w:cs="宋体"/>
                <w:b/>
                <w:bCs/>
                <w:color w:val="auto"/>
                <w:szCs w:val="21"/>
                <w:highlight w:val="none"/>
              </w:rPr>
            </w:pPr>
          </w:p>
        </w:tc>
      </w:tr>
      <w:tr w14:paraId="54066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3" w:type="dxa"/>
            <w:shd w:val="clear" w:color="auto" w:fill="auto"/>
            <w:vAlign w:val="center"/>
          </w:tcPr>
          <w:p w14:paraId="350709D0">
            <w:pPr>
              <w:snapToGrid w:val="0"/>
              <w:spacing w:line="276"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12</w:t>
            </w:r>
          </w:p>
        </w:tc>
        <w:tc>
          <w:tcPr>
            <w:tcW w:w="6008" w:type="dxa"/>
            <w:shd w:val="clear" w:color="auto" w:fill="auto"/>
            <w:vAlign w:val="center"/>
          </w:tcPr>
          <w:p w14:paraId="0011EF87">
            <w:pPr>
              <w:rPr>
                <w:rFonts w:hint="eastAsia" w:ascii="宋体" w:hAnsi="宋体" w:cs="宋体"/>
                <w:color w:val="auto"/>
                <w:szCs w:val="21"/>
                <w:highlight w:val="none"/>
              </w:rPr>
            </w:pPr>
            <w:r>
              <w:rPr>
                <w:rFonts w:hint="eastAsia" w:ascii="宋体" w:hAnsi="宋体" w:cs="宋体"/>
                <w:color w:val="auto"/>
                <w:szCs w:val="21"/>
                <w:highlight w:val="none"/>
              </w:rPr>
              <w:t>投标供应商承在接到招标人通知后，应即时给出响应，在满足采购文件要求的情况下3小时内派人赴现场处理问题并解决得3分，3-4小时内派人赴现场处理设备质量问题并解决得2分，其余不得分，未提供承诺函不得分。（提供承诺函或具体相应情况，格式自拟）</w:t>
            </w:r>
            <w:r>
              <w:rPr>
                <w:rFonts w:hint="eastAsia" w:ascii="宋体" w:hAnsi="宋体" w:cs="宋体"/>
                <w:color w:val="auto"/>
                <w:szCs w:val="21"/>
                <w:highlight w:val="none"/>
              </w:rPr>
              <w:t>（评分范围：0，1，2，3分）</w:t>
            </w:r>
          </w:p>
        </w:tc>
        <w:tc>
          <w:tcPr>
            <w:tcW w:w="709" w:type="dxa"/>
            <w:shd w:val="clear" w:color="auto" w:fill="auto"/>
            <w:vAlign w:val="center"/>
          </w:tcPr>
          <w:p w14:paraId="043961EC">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759" w:type="dxa"/>
            <w:shd w:val="clear" w:color="auto" w:fill="auto"/>
            <w:vAlign w:val="center"/>
          </w:tcPr>
          <w:p w14:paraId="4C9AB146">
            <w:pPr>
              <w:snapToGrid w:val="0"/>
              <w:spacing w:line="276" w:lineRule="auto"/>
              <w:jc w:val="center"/>
              <w:rPr>
                <w:rFonts w:hint="eastAsia" w:ascii="宋体" w:hAnsi="宋体" w:cs="宋体"/>
                <w:b/>
                <w:bCs/>
                <w:color w:val="auto"/>
                <w:szCs w:val="21"/>
                <w:highlight w:val="none"/>
              </w:rPr>
            </w:pPr>
            <w:r>
              <w:rPr>
                <w:rFonts w:hint="eastAsia" w:ascii="宋体" w:hAnsi="宋体" w:cs="宋体"/>
                <w:color w:val="auto"/>
                <w:szCs w:val="21"/>
                <w:highlight w:val="none"/>
              </w:rPr>
              <w:t>主观分</w:t>
            </w:r>
          </w:p>
        </w:tc>
        <w:tc>
          <w:tcPr>
            <w:tcW w:w="984" w:type="dxa"/>
            <w:shd w:val="clear" w:color="auto" w:fill="auto"/>
          </w:tcPr>
          <w:p w14:paraId="2589E0CC">
            <w:pPr>
              <w:snapToGrid w:val="0"/>
              <w:spacing w:line="276" w:lineRule="auto"/>
              <w:jc w:val="center"/>
              <w:rPr>
                <w:rFonts w:hint="eastAsia" w:ascii="宋体" w:hAnsi="宋体" w:cs="宋体"/>
                <w:b/>
                <w:bCs/>
                <w:color w:val="auto"/>
                <w:szCs w:val="21"/>
                <w:highlight w:val="none"/>
              </w:rPr>
            </w:pPr>
          </w:p>
        </w:tc>
      </w:tr>
      <w:tr w14:paraId="05061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3" w:type="dxa"/>
            <w:shd w:val="clear" w:color="auto" w:fill="auto"/>
            <w:vAlign w:val="center"/>
          </w:tcPr>
          <w:p w14:paraId="2AAC131F">
            <w:pPr>
              <w:snapToGrid w:val="0"/>
              <w:spacing w:line="276"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13</w:t>
            </w:r>
          </w:p>
        </w:tc>
        <w:tc>
          <w:tcPr>
            <w:tcW w:w="6008" w:type="dxa"/>
            <w:shd w:val="clear" w:color="auto" w:fill="auto"/>
            <w:vAlign w:val="center"/>
          </w:tcPr>
          <w:p w14:paraId="1B9297CD">
            <w:pPr>
              <w:rPr>
                <w:rFonts w:hint="eastAsia" w:ascii="宋体" w:hAnsi="宋体" w:cs="宋体"/>
                <w:color w:val="auto"/>
                <w:szCs w:val="21"/>
                <w:highlight w:val="none"/>
              </w:rPr>
            </w:pPr>
            <w:r>
              <w:rPr>
                <w:rFonts w:hint="eastAsia" w:ascii="宋体" w:hAnsi="宋体" w:cs="宋体"/>
                <w:color w:val="auto"/>
                <w:szCs w:val="21"/>
                <w:highlight w:val="none"/>
              </w:rPr>
              <w:t>培训服务方案。培训内容、时间、授课师资等内容完整且与项目匹配度进行评分。</w:t>
            </w:r>
            <w:r>
              <w:rPr>
                <w:rFonts w:hint="eastAsia" w:ascii="宋体" w:hAnsi="宋体" w:cs="宋体"/>
                <w:color w:val="auto"/>
                <w:szCs w:val="21"/>
                <w:highlight w:val="none"/>
              </w:rPr>
              <w:t>（评分范围：0，1，2，3分）</w:t>
            </w:r>
          </w:p>
        </w:tc>
        <w:tc>
          <w:tcPr>
            <w:tcW w:w="709" w:type="dxa"/>
            <w:shd w:val="clear" w:color="auto" w:fill="auto"/>
            <w:vAlign w:val="center"/>
          </w:tcPr>
          <w:p w14:paraId="084A7E45">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759" w:type="dxa"/>
            <w:shd w:val="clear" w:color="auto" w:fill="auto"/>
            <w:vAlign w:val="center"/>
          </w:tcPr>
          <w:p w14:paraId="33A71E34">
            <w:pPr>
              <w:snapToGrid w:val="0"/>
              <w:spacing w:line="276" w:lineRule="auto"/>
              <w:jc w:val="center"/>
              <w:rPr>
                <w:rFonts w:hint="eastAsia" w:ascii="宋体" w:hAnsi="宋体" w:cs="宋体"/>
                <w:b/>
                <w:bCs/>
                <w:color w:val="auto"/>
                <w:szCs w:val="21"/>
                <w:highlight w:val="none"/>
              </w:rPr>
            </w:pPr>
            <w:r>
              <w:rPr>
                <w:rFonts w:hint="eastAsia" w:ascii="宋体" w:hAnsi="宋体" w:cs="宋体"/>
                <w:color w:val="auto"/>
                <w:szCs w:val="21"/>
                <w:highlight w:val="none"/>
              </w:rPr>
              <w:t>主观分</w:t>
            </w:r>
          </w:p>
        </w:tc>
        <w:tc>
          <w:tcPr>
            <w:tcW w:w="984" w:type="dxa"/>
            <w:shd w:val="clear" w:color="auto" w:fill="auto"/>
          </w:tcPr>
          <w:p w14:paraId="7819336C">
            <w:pPr>
              <w:snapToGrid w:val="0"/>
              <w:spacing w:line="276" w:lineRule="auto"/>
              <w:jc w:val="center"/>
              <w:rPr>
                <w:rFonts w:hint="eastAsia" w:ascii="宋体" w:hAnsi="宋体" w:cs="宋体"/>
                <w:b/>
                <w:bCs/>
                <w:color w:val="auto"/>
                <w:szCs w:val="21"/>
                <w:highlight w:val="none"/>
              </w:rPr>
            </w:pPr>
          </w:p>
        </w:tc>
      </w:tr>
      <w:tr w14:paraId="5E12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3" w:type="dxa"/>
            <w:shd w:val="clear" w:color="auto" w:fill="auto"/>
            <w:vAlign w:val="center"/>
          </w:tcPr>
          <w:p w14:paraId="2FA4DB9B">
            <w:pPr>
              <w:snapToGrid w:val="0"/>
              <w:spacing w:line="276"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14</w:t>
            </w:r>
          </w:p>
        </w:tc>
        <w:tc>
          <w:tcPr>
            <w:tcW w:w="6008" w:type="dxa"/>
            <w:shd w:val="clear" w:color="auto" w:fill="auto"/>
            <w:vAlign w:val="center"/>
          </w:tcPr>
          <w:p w14:paraId="10D620D1">
            <w:pPr>
              <w:rPr>
                <w:rFonts w:hint="eastAsia" w:ascii="宋体" w:hAnsi="宋体" w:cs="宋体"/>
                <w:color w:val="auto"/>
                <w:szCs w:val="21"/>
                <w:highlight w:val="none"/>
              </w:rPr>
            </w:pPr>
            <w:r>
              <w:rPr>
                <w:rFonts w:hint="eastAsia" w:ascii="宋体" w:hAnsi="宋体" w:cs="宋体"/>
                <w:color w:val="auto"/>
                <w:szCs w:val="21"/>
                <w:highlight w:val="none"/>
                <w:lang w:val="zh-CN"/>
              </w:rPr>
              <w:t>投标</w:t>
            </w:r>
            <w:r>
              <w:rPr>
                <w:rFonts w:hint="eastAsia" w:ascii="宋体" w:hAnsi="宋体" w:cs="宋体"/>
                <w:color w:val="auto"/>
                <w:szCs w:val="21"/>
                <w:highlight w:val="none"/>
              </w:rPr>
              <w:t>供应商</w:t>
            </w:r>
            <w:r>
              <w:rPr>
                <w:rFonts w:hint="eastAsia" w:ascii="宋体" w:hAnsi="宋体" w:cs="宋体"/>
                <w:color w:val="auto"/>
                <w:szCs w:val="21"/>
                <w:highlight w:val="none"/>
                <w:lang w:val="zh-CN"/>
              </w:rPr>
              <w:t>提供的售后维护机构和人员等情况，售后服务承诺的可行性、完整性以及服务承诺落实的保障措施等情况；是否具有较强的本地化服务能力，</w:t>
            </w:r>
            <w:r>
              <w:rPr>
                <w:rFonts w:hint="eastAsia" w:ascii="宋体" w:hAnsi="宋体" w:cs="宋体"/>
                <w:color w:val="auto"/>
                <w:szCs w:val="21"/>
                <w:highlight w:val="none"/>
              </w:rPr>
              <w:t>包括但不限于服务网点设置情况、人员安排情况、响应保障措施等，</w:t>
            </w:r>
            <w:r>
              <w:rPr>
                <w:rFonts w:hint="eastAsia" w:ascii="宋体" w:hAnsi="宋体" w:cs="宋体"/>
                <w:color w:val="auto"/>
                <w:szCs w:val="21"/>
                <w:highlight w:val="none"/>
              </w:rPr>
              <w:t>（评分范围：0，1，2，3分）</w:t>
            </w:r>
          </w:p>
        </w:tc>
        <w:tc>
          <w:tcPr>
            <w:tcW w:w="709" w:type="dxa"/>
            <w:shd w:val="clear" w:color="auto" w:fill="auto"/>
            <w:vAlign w:val="center"/>
          </w:tcPr>
          <w:p w14:paraId="1FA06020">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759" w:type="dxa"/>
            <w:shd w:val="clear" w:color="auto" w:fill="auto"/>
            <w:vAlign w:val="center"/>
          </w:tcPr>
          <w:p w14:paraId="35F57A68">
            <w:pPr>
              <w:snapToGrid w:val="0"/>
              <w:spacing w:line="276" w:lineRule="auto"/>
              <w:jc w:val="center"/>
              <w:rPr>
                <w:rFonts w:hint="eastAsia" w:ascii="宋体" w:hAnsi="宋体" w:cs="宋体"/>
                <w:b/>
                <w:bCs/>
                <w:color w:val="auto"/>
                <w:szCs w:val="21"/>
                <w:highlight w:val="none"/>
              </w:rPr>
            </w:pPr>
            <w:r>
              <w:rPr>
                <w:rFonts w:hint="eastAsia" w:ascii="宋体" w:hAnsi="宋体" w:cs="宋体"/>
                <w:color w:val="auto"/>
                <w:szCs w:val="21"/>
                <w:highlight w:val="none"/>
              </w:rPr>
              <w:t>主观分</w:t>
            </w:r>
          </w:p>
        </w:tc>
        <w:tc>
          <w:tcPr>
            <w:tcW w:w="984" w:type="dxa"/>
            <w:shd w:val="clear" w:color="auto" w:fill="auto"/>
          </w:tcPr>
          <w:p w14:paraId="128A2C0E">
            <w:pPr>
              <w:snapToGrid w:val="0"/>
              <w:spacing w:line="276" w:lineRule="auto"/>
              <w:jc w:val="center"/>
              <w:rPr>
                <w:rFonts w:hint="eastAsia" w:ascii="宋体" w:hAnsi="宋体" w:cs="宋体"/>
                <w:b/>
                <w:bCs/>
                <w:color w:val="auto"/>
                <w:szCs w:val="21"/>
                <w:highlight w:val="none"/>
              </w:rPr>
            </w:pPr>
          </w:p>
        </w:tc>
      </w:tr>
      <w:tr w14:paraId="3DEB5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3" w:type="dxa"/>
            <w:shd w:val="clear" w:color="auto" w:fill="auto"/>
            <w:vAlign w:val="center"/>
          </w:tcPr>
          <w:p w14:paraId="42413E41">
            <w:pPr>
              <w:snapToGrid w:val="0"/>
              <w:spacing w:line="276"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15</w:t>
            </w:r>
          </w:p>
        </w:tc>
        <w:tc>
          <w:tcPr>
            <w:tcW w:w="6008" w:type="dxa"/>
            <w:shd w:val="clear" w:color="auto" w:fill="auto"/>
            <w:vAlign w:val="center"/>
          </w:tcPr>
          <w:p w14:paraId="48905270">
            <w:pPr>
              <w:rPr>
                <w:rFonts w:hint="eastAsia" w:ascii="宋体" w:hAnsi="宋体" w:cs="宋体"/>
                <w:color w:val="auto"/>
                <w:szCs w:val="21"/>
                <w:highlight w:val="none"/>
              </w:rPr>
            </w:pPr>
            <w:r>
              <w:rPr>
                <w:rFonts w:hint="eastAsia" w:ascii="宋体" w:hAnsi="宋体" w:cs="宋体"/>
                <w:color w:val="auto"/>
                <w:szCs w:val="21"/>
                <w:highlight w:val="none"/>
              </w:rPr>
              <w:t>承诺所提供的备品备件及耗材等必须是未经使用的全新的产品。</w:t>
            </w:r>
            <w:r>
              <w:rPr>
                <w:rFonts w:hint="eastAsia" w:ascii="宋体" w:hAnsi="宋体" w:cs="宋体"/>
                <w:color w:val="auto"/>
                <w:szCs w:val="21"/>
                <w:highlight w:val="none"/>
              </w:rPr>
              <w:t>（需提供</w:t>
            </w:r>
            <w:r>
              <w:rPr>
                <w:rFonts w:hint="eastAsia" w:ascii="宋体" w:hAnsi="宋体" w:cs="宋体"/>
                <w:b/>
                <w:bCs/>
                <w:color w:val="auto"/>
                <w:kern w:val="0"/>
                <w:szCs w:val="21"/>
                <w:highlight w:val="none"/>
              </w:rPr>
              <w:t>独立</w:t>
            </w:r>
            <w:r>
              <w:rPr>
                <w:rFonts w:hint="eastAsia" w:ascii="宋体" w:hAnsi="宋体" w:cs="宋体"/>
                <w:color w:val="auto"/>
                <w:szCs w:val="21"/>
                <w:highlight w:val="none"/>
              </w:rPr>
              <w:t>的承诺函并盖章，承诺函格式自拟，未提供承诺函不得分）。</w:t>
            </w:r>
          </w:p>
        </w:tc>
        <w:tc>
          <w:tcPr>
            <w:tcW w:w="709" w:type="dxa"/>
            <w:shd w:val="clear" w:color="auto" w:fill="auto"/>
            <w:vAlign w:val="center"/>
          </w:tcPr>
          <w:p w14:paraId="765C1060">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759" w:type="dxa"/>
            <w:shd w:val="clear" w:color="auto" w:fill="auto"/>
            <w:vAlign w:val="center"/>
          </w:tcPr>
          <w:p w14:paraId="688F3EB6">
            <w:pPr>
              <w:snapToGrid w:val="0"/>
              <w:spacing w:line="276" w:lineRule="auto"/>
              <w:jc w:val="center"/>
              <w:rPr>
                <w:rFonts w:hint="eastAsia" w:ascii="宋体" w:hAnsi="宋体" w:cs="宋体"/>
                <w:b/>
                <w:bCs/>
                <w:color w:val="auto"/>
                <w:szCs w:val="21"/>
                <w:highlight w:val="none"/>
              </w:rPr>
            </w:pPr>
            <w:r>
              <w:rPr>
                <w:rFonts w:hint="eastAsia" w:ascii="宋体" w:hAnsi="宋体" w:cs="宋体"/>
                <w:color w:val="auto"/>
                <w:szCs w:val="21"/>
                <w:highlight w:val="none"/>
              </w:rPr>
              <w:t>客观分</w:t>
            </w:r>
          </w:p>
        </w:tc>
        <w:tc>
          <w:tcPr>
            <w:tcW w:w="984" w:type="dxa"/>
            <w:shd w:val="clear" w:color="auto" w:fill="auto"/>
          </w:tcPr>
          <w:p w14:paraId="0608614C">
            <w:pPr>
              <w:snapToGrid w:val="0"/>
              <w:spacing w:line="276" w:lineRule="auto"/>
              <w:jc w:val="center"/>
              <w:rPr>
                <w:rFonts w:hint="eastAsia" w:ascii="宋体" w:hAnsi="宋体" w:cs="宋体"/>
                <w:b/>
                <w:bCs/>
                <w:color w:val="auto"/>
                <w:szCs w:val="21"/>
                <w:highlight w:val="none"/>
              </w:rPr>
            </w:pPr>
          </w:p>
        </w:tc>
      </w:tr>
      <w:tr w14:paraId="6C65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3" w:type="dxa"/>
            <w:shd w:val="clear" w:color="auto" w:fill="auto"/>
            <w:vAlign w:val="center"/>
          </w:tcPr>
          <w:p w14:paraId="218A2CDA">
            <w:pPr>
              <w:snapToGrid w:val="0"/>
              <w:spacing w:line="276"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16</w:t>
            </w:r>
          </w:p>
        </w:tc>
        <w:tc>
          <w:tcPr>
            <w:tcW w:w="6008" w:type="dxa"/>
            <w:shd w:val="clear" w:color="auto" w:fill="auto"/>
            <w:vAlign w:val="center"/>
          </w:tcPr>
          <w:p w14:paraId="0DA95673">
            <w:pPr>
              <w:rPr>
                <w:rFonts w:hint="eastAsia" w:ascii="宋体" w:hAnsi="宋体" w:cs="宋体"/>
                <w:color w:val="auto"/>
                <w:szCs w:val="21"/>
                <w:highlight w:val="none"/>
              </w:rPr>
            </w:pPr>
            <w:r>
              <w:rPr>
                <w:rFonts w:hint="eastAsia" w:ascii="宋体" w:hAnsi="宋体" w:cs="宋体"/>
                <w:color w:val="auto"/>
                <w:szCs w:val="21"/>
                <w:highlight w:val="none"/>
              </w:rPr>
              <w:t>投标人须承诺项目建设全过程中无版权、知识产权问题</w:t>
            </w:r>
            <w:bookmarkStart w:id="442" w:name="_GoBack"/>
            <w:bookmarkEnd w:id="442"/>
            <w:r>
              <w:rPr>
                <w:rFonts w:hint="eastAsia" w:ascii="宋体" w:hAnsi="宋体" w:cs="宋体"/>
                <w:color w:val="auto"/>
                <w:szCs w:val="21"/>
                <w:highlight w:val="none"/>
              </w:rPr>
              <w:t>，（需提供承诺函，承诺函格式自拟，未提供承诺函不得分）。</w:t>
            </w:r>
          </w:p>
        </w:tc>
        <w:tc>
          <w:tcPr>
            <w:tcW w:w="709" w:type="dxa"/>
            <w:shd w:val="clear" w:color="auto" w:fill="auto"/>
            <w:vAlign w:val="center"/>
          </w:tcPr>
          <w:p w14:paraId="6BABE5E2">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759" w:type="dxa"/>
            <w:shd w:val="clear" w:color="auto" w:fill="auto"/>
            <w:vAlign w:val="center"/>
          </w:tcPr>
          <w:p w14:paraId="46F5FF22">
            <w:pPr>
              <w:snapToGrid w:val="0"/>
              <w:spacing w:line="276" w:lineRule="auto"/>
              <w:jc w:val="center"/>
              <w:rPr>
                <w:rFonts w:hint="eastAsia" w:ascii="宋体" w:hAnsi="宋体" w:cs="宋体"/>
                <w:b/>
                <w:bCs/>
                <w:color w:val="auto"/>
                <w:szCs w:val="21"/>
                <w:highlight w:val="none"/>
              </w:rPr>
            </w:pPr>
            <w:r>
              <w:rPr>
                <w:rFonts w:hint="eastAsia" w:ascii="宋体" w:hAnsi="宋体" w:cs="宋体"/>
                <w:color w:val="auto"/>
                <w:szCs w:val="21"/>
                <w:highlight w:val="none"/>
              </w:rPr>
              <w:t>客观分</w:t>
            </w:r>
          </w:p>
        </w:tc>
        <w:tc>
          <w:tcPr>
            <w:tcW w:w="984" w:type="dxa"/>
            <w:shd w:val="clear" w:color="auto" w:fill="auto"/>
          </w:tcPr>
          <w:p w14:paraId="49BBF3BD">
            <w:pPr>
              <w:snapToGrid w:val="0"/>
              <w:spacing w:line="276" w:lineRule="auto"/>
              <w:jc w:val="center"/>
              <w:rPr>
                <w:rFonts w:hint="eastAsia" w:ascii="宋体" w:hAnsi="宋体" w:cs="宋体"/>
                <w:b/>
                <w:bCs/>
                <w:color w:val="auto"/>
                <w:szCs w:val="21"/>
                <w:highlight w:val="none"/>
              </w:rPr>
            </w:pPr>
          </w:p>
        </w:tc>
      </w:tr>
      <w:tr w14:paraId="2CA9F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3" w:type="dxa"/>
            <w:shd w:val="clear" w:color="auto" w:fill="auto"/>
            <w:vAlign w:val="center"/>
          </w:tcPr>
          <w:p w14:paraId="2E6A0207">
            <w:pPr>
              <w:snapToGrid w:val="0"/>
              <w:spacing w:line="276"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17</w:t>
            </w:r>
          </w:p>
        </w:tc>
        <w:tc>
          <w:tcPr>
            <w:tcW w:w="6008" w:type="dxa"/>
            <w:shd w:val="clear" w:color="auto" w:fill="auto"/>
            <w:vAlign w:val="center"/>
          </w:tcPr>
          <w:p w14:paraId="4E9F87FD">
            <w:pPr>
              <w:rPr>
                <w:rFonts w:hint="eastAsia" w:ascii="宋体" w:hAnsi="宋体" w:cs="宋体"/>
                <w:color w:val="auto"/>
                <w:szCs w:val="21"/>
                <w:highlight w:val="none"/>
              </w:rPr>
            </w:pPr>
            <w:r>
              <w:rPr>
                <w:rFonts w:hint="eastAsia" w:ascii="宋体" w:hAnsi="宋体" w:cs="宋体"/>
                <w:color w:val="auto"/>
                <w:szCs w:val="21"/>
                <w:highlight w:val="none"/>
              </w:rPr>
              <w:t>拟派项目负责人总体情况，包括类似工作经验介绍、获得相关证书、职称等进行综合评议。（提供履历表和相关资料）。</w:t>
            </w:r>
            <w:r>
              <w:rPr>
                <w:rFonts w:hint="eastAsia" w:ascii="宋体" w:hAnsi="宋体" w:cs="宋体"/>
                <w:color w:val="auto"/>
                <w:szCs w:val="21"/>
                <w:highlight w:val="none"/>
              </w:rPr>
              <w:t>（评分范围：0，1，2，3分）</w:t>
            </w:r>
          </w:p>
        </w:tc>
        <w:tc>
          <w:tcPr>
            <w:tcW w:w="709" w:type="dxa"/>
            <w:shd w:val="clear" w:color="auto" w:fill="auto"/>
            <w:vAlign w:val="center"/>
          </w:tcPr>
          <w:p w14:paraId="567EB6C2">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759" w:type="dxa"/>
            <w:shd w:val="clear" w:color="auto" w:fill="auto"/>
            <w:vAlign w:val="center"/>
          </w:tcPr>
          <w:p w14:paraId="35A62AB3">
            <w:pPr>
              <w:snapToGrid w:val="0"/>
              <w:spacing w:line="276" w:lineRule="auto"/>
              <w:jc w:val="center"/>
              <w:rPr>
                <w:rFonts w:hint="eastAsia" w:ascii="宋体" w:hAnsi="宋体" w:cs="宋体"/>
                <w:b/>
                <w:bCs/>
                <w:color w:val="auto"/>
                <w:szCs w:val="21"/>
                <w:highlight w:val="none"/>
              </w:rPr>
            </w:pPr>
            <w:r>
              <w:rPr>
                <w:rFonts w:hint="eastAsia" w:ascii="宋体" w:hAnsi="宋体" w:cs="宋体"/>
                <w:color w:val="auto"/>
                <w:szCs w:val="21"/>
                <w:highlight w:val="none"/>
              </w:rPr>
              <w:t>主观分</w:t>
            </w:r>
          </w:p>
        </w:tc>
        <w:tc>
          <w:tcPr>
            <w:tcW w:w="984" w:type="dxa"/>
            <w:shd w:val="clear" w:color="auto" w:fill="auto"/>
          </w:tcPr>
          <w:p w14:paraId="16F96DA7">
            <w:pPr>
              <w:snapToGrid w:val="0"/>
              <w:spacing w:line="276" w:lineRule="auto"/>
              <w:jc w:val="center"/>
              <w:rPr>
                <w:rFonts w:hint="eastAsia" w:ascii="宋体" w:hAnsi="宋体" w:cs="宋体"/>
                <w:b/>
                <w:bCs/>
                <w:color w:val="auto"/>
                <w:szCs w:val="21"/>
                <w:highlight w:val="none"/>
              </w:rPr>
            </w:pPr>
          </w:p>
        </w:tc>
      </w:tr>
      <w:tr w14:paraId="138C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3" w:type="dxa"/>
            <w:shd w:val="clear" w:color="auto" w:fill="auto"/>
            <w:vAlign w:val="center"/>
          </w:tcPr>
          <w:p w14:paraId="34DF8AA9">
            <w:pPr>
              <w:snapToGrid w:val="0"/>
              <w:spacing w:line="276"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18</w:t>
            </w:r>
          </w:p>
        </w:tc>
        <w:tc>
          <w:tcPr>
            <w:tcW w:w="6008" w:type="dxa"/>
            <w:shd w:val="clear" w:color="auto" w:fill="auto"/>
            <w:vAlign w:val="center"/>
          </w:tcPr>
          <w:p w14:paraId="153BED6B">
            <w:pPr>
              <w:rPr>
                <w:rFonts w:hint="eastAsia" w:ascii="宋体" w:hAnsi="宋体" w:cs="宋体"/>
                <w:color w:val="auto"/>
                <w:szCs w:val="21"/>
                <w:highlight w:val="none"/>
              </w:rPr>
            </w:pPr>
            <w:r>
              <w:rPr>
                <w:rFonts w:hint="eastAsia" w:ascii="宋体" w:hAnsi="宋体" w:cs="宋体"/>
                <w:color w:val="auto"/>
                <w:szCs w:val="21"/>
                <w:highlight w:val="none"/>
              </w:rPr>
              <w:t>拟投入本项目的项目团队（除项目负责人）整体能力情况（各人员工作履历、职称、学历、技术能力等情况介绍）及人员配置合理性等进行评分。</w:t>
            </w:r>
            <w:r>
              <w:rPr>
                <w:rFonts w:hint="eastAsia" w:ascii="宋体" w:hAnsi="宋体" w:cs="宋体"/>
                <w:color w:val="auto"/>
                <w:szCs w:val="21"/>
                <w:highlight w:val="none"/>
              </w:rPr>
              <w:t>（评分范围：0，1，2，3分）</w:t>
            </w:r>
          </w:p>
        </w:tc>
        <w:tc>
          <w:tcPr>
            <w:tcW w:w="709" w:type="dxa"/>
            <w:shd w:val="clear" w:color="auto" w:fill="auto"/>
            <w:vAlign w:val="center"/>
          </w:tcPr>
          <w:p w14:paraId="66436931">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759" w:type="dxa"/>
            <w:shd w:val="clear" w:color="auto" w:fill="auto"/>
            <w:vAlign w:val="center"/>
          </w:tcPr>
          <w:p w14:paraId="1D7090D4">
            <w:pPr>
              <w:snapToGrid w:val="0"/>
              <w:spacing w:line="276" w:lineRule="auto"/>
              <w:jc w:val="center"/>
              <w:rPr>
                <w:rFonts w:hint="eastAsia" w:ascii="宋体" w:hAnsi="宋体" w:cs="宋体"/>
                <w:b/>
                <w:bCs/>
                <w:color w:val="auto"/>
                <w:szCs w:val="21"/>
                <w:highlight w:val="none"/>
              </w:rPr>
            </w:pPr>
            <w:r>
              <w:rPr>
                <w:rFonts w:hint="eastAsia" w:ascii="宋体" w:hAnsi="宋体" w:cs="宋体"/>
                <w:color w:val="auto"/>
                <w:szCs w:val="21"/>
                <w:highlight w:val="none"/>
              </w:rPr>
              <w:t>主观分</w:t>
            </w:r>
          </w:p>
        </w:tc>
        <w:tc>
          <w:tcPr>
            <w:tcW w:w="984" w:type="dxa"/>
            <w:shd w:val="clear" w:color="auto" w:fill="auto"/>
          </w:tcPr>
          <w:p w14:paraId="286929E6">
            <w:pPr>
              <w:snapToGrid w:val="0"/>
              <w:spacing w:line="276" w:lineRule="auto"/>
              <w:jc w:val="center"/>
              <w:rPr>
                <w:rFonts w:hint="eastAsia" w:ascii="宋体" w:hAnsi="宋体" w:cs="宋体"/>
                <w:b/>
                <w:bCs/>
                <w:color w:val="auto"/>
                <w:szCs w:val="21"/>
                <w:highlight w:val="none"/>
              </w:rPr>
            </w:pPr>
          </w:p>
        </w:tc>
      </w:tr>
      <w:tr w14:paraId="2F22F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shd w:val="clear" w:color="auto" w:fill="auto"/>
            <w:vAlign w:val="center"/>
          </w:tcPr>
          <w:p w14:paraId="6217F749">
            <w:pPr>
              <w:snapToGrid w:val="0"/>
              <w:spacing w:line="276"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19</w:t>
            </w:r>
          </w:p>
        </w:tc>
        <w:tc>
          <w:tcPr>
            <w:tcW w:w="6008" w:type="dxa"/>
            <w:shd w:val="clear" w:color="auto" w:fill="auto"/>
          </w:tcPr>
          <w:p w14:paraId="40010ABE">
            <w:pPr>
              <w:rPr>
                <w:rFonts w:hint="eastAsia" w:ascii="宋体" w:hAnsi="宋体" w:cs="宋体"/>
                <w:color w:val="auto"/>
                <w:szCs w:val="21"/>
                <w:highlight w:val="none"/>
              </w:rPr>
            </w:pPr>
            <w:r>
              <w:rPr>
                <w:rFonts w:hint="eastAsia" w:ascii="宋体" w:hAnsi="宋体" w:cs="宋体"/>
                <w:color w:val="auto"/>
                <w:szCs w:val="21"/>
                <w:highlight w:val="none"/>
              </w:rPr>
              <w:t>有效投标报价的最低价作为评标基准价，其最低报价为满分；按［投标报价得分=（评标基准价/投标报价）*30］的计算公式计算。</w:t>
            </w:r>
          </w:p>
          <w:p w14:paraId="6E6B7316">
            <w:pPr>
              <w:rPr>
                <w:rFonts w:hint="eastAsia" w:ascii="宋体" w:hAnsi="宋体" w:cs="宋体"/>
                <w:color w:val="auto"/>
                <w:szCs w:val="21"/>
                <w:highlight w:val="none"/>
              </w:rPr>
            </w:pPr>
            <w:r>
              <w:rPr>
                <w:rFonts w:hint="eastAsia" w:ascii="宋体" w:hAnsi="宋体" w:cs="宋体"/>
                <w:color w:val="auto"/>
                <w:szCs w:val="21"/>
                <w:highlight w:val="none"/>
              </w:rPr>
              <w:t>评标过程中，不得去掉报价中的最高报价和最低报价。</w:t>
            </w:r>
          </w:p>
        </w:tc>
        <w:tc>
          <w:tcPr>
            <w:tcW w:w="709" w:type="dxa"/>
            <w:shd w:val="clear" w:color="auto" w:fill="auto"/>
            <w:vAlign w:val="center"/>
          </w:tcPr>
          <w:p w14:paraId="405B55DF">
            <w:pPr>
              <w:jc w:val="center"/>
              <w:rPr>
                <w:rFonts w:hint="eastAsia" w:ascii="宋体" w:hAnsi="宋体" w:cs="宋体"/>
                <w:color w:val="auto"/>
                <w:szCs w:val="21"/>
                <w:highlight w:val="none"/>
              </w:rPr>
            </w:pPr>
            <w:r>
              <w:rPr>
                <w:rFonts w:hint="eastAsia" w:ascii="宋体" w:hAnsi="宋体" w:cs="宋体"/>
                <w:color w:val="auto"/>
                <w:szCs w:val="21"/>
                <w:highlight w:val="none"/>
              </w:rPr>
              <w:t>30</w:t>
            </w:r>
          </w:p>
        </w:tc>
        <w:tc>
          <w:tcPr>
            <w:tcW w:w="759" w:type="dxa"/>
            <w:shd w:val="clear" w:color="auto" w:fill="auto"/>
            <w:vAlign w:val="center"/>
          </w:tcPr>
          <w:p w14:paraId="21242FCA">
            <w:pPr>
              <w:spacing w:line="276" w:lineRule="auto"/>
              <w:jc w:val="center"/>
              <w:outlineLvl w:val="0"/>
              <w:rPr>
                <w:rFonts w:hint="eastAsia" w:ascii="宋体" w:hAnsi="宋体" w:cs="宋体"/>
                <w:b/>
                <w:color w:val="auto"/>
                <w:szCs w:val="21"/>
                <w:highlight w:val="none"/>
              </w:rPr>
            </w:pPr>
            <w:r>
              <w:rPr>
                <w:rFonts w:hint="eastAsia" w:ascii="宋体" w:hAnsi="宋体" w:cs="宋体"/>
                <w:b/>
                <w:color w:val="auto"/>
                <w:szCs w:val="21"/>
                <w:highlight w:val="none"/>
              </w:rPr>
              <w:t>/</w:t>
            </w:r>
          </w:p>
        </w:tc>
        <w:tc>
          <w:tcPr>
            <w:tcW w:w="984" w:type="dxa"/>
            <w:shd w:val="clear" w:color="auto" w:fill="auto"/>
            <w:vAlign w:val="center"/>
          </w:tcPr>
          <w:p w14:paraId="655544B6">
            <w:pPr>
              <w:spacing w:line="276" w:lineRule="auto"/>
              <w:jc w:val="center"/>
              <w:outlineLvl w:val="0"/>
              <w:rPr>
                <w:rFonts w:hint="eastAsia" w:ascii="宋体" w:hAnsi="宋体" w:cs="宋体"/>
                <w:b/>
                <w:color w:val="auto"/>
                <w:szCs w:val="21"/>
                <w:highlight w:val="none"/>
              </w:rPr>
            </w:pPr>
            <w:r>
              <w:rPr>
                <w:rFonts w:hint="eastAsia" w:ascii="宋体" w:hAnsi="宋体" w:cs="宋体"/>
                <w:b/>
                <w:color w:val="auto"/>
                <w:szCs w:val="21"/>
                <w:highlight w:val="none"/>
              </w:rPr>
              <w:t>价格分</w:t>
            </w:r>
          </w:p>
        </w:tc>
      </w:tr>
    </w:tbl>
    <w:p w14:paraId="5A68A02B">
      <w:pPr>
        <w:rPr>
          <w:color w:val="auto"/>
          <w:highlight w:val="none"/>
        </w:rPr>
      </w:pPr>
    </w:p>
    <w:p w14:paraId="1949477C">
      <w:pPr>
        <w:pStyle w:val="4"/>
        <w:rPr>
          <w:rFonts w:hint="eastAsia"/>
          <w:color w:val="auto"/>
          <w:highlight w:val="none"/>
        </w:rPr>
      </w:pPr>
    </w:p>
    <w:p w14:paraId="4A626B1E">
      <w:pPr>
        <w:snapToGrid w:val="0"/>
        <w:spacing w:line="360" w:lineRule="auto"/>
        <w:rPr>
          <w:rFonts w:hint="eastAsia"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EF02117">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14:paraId="12C72B70">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06A8944">
      <w:pPr>
        <w:adjustRightInd/>
        <w:spacing w:line="360" w:lineRule="auto"/>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44941C5F">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7586F92">
      <w:pPr>
        <w:spacing w:line="360" w:lineRule="auto"/>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7BE35FF">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30D1A5E">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628E2D3">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C596E85">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0FAF29A">
      <w:pPr>
        <w:pStyle w:val="134"/>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535C7A6">
      <w:pPr>
        <w:pStyle w:val="134"/>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9B9E60E">
      <w:pPr>
        <w:pStyle w:val="134"/>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2B9590E">
      <w:pPr>
        <w:pStyle w:val="134"/>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8822CD4">
      <w:pPr>
        <w:pStyle w:val="134"/>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67BE078">
      <w:pPr>
        <w:pStyle w:val="134"/>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16543DA">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3B3E2B5">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C0F0831">
      <w:pPr>
        <w:pStyle w:val="134"/>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78AAB60">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rPr>
        <w:t>本项目推荐的中标候选人数量：</w:t>
      </w:r>
      <w:r>
        <w:rPr>
          <w:rFonts w:hint="eastAsia" w:ascii="宋体" w:hAnsi="宋体" w:cs="宋体"/>
          <w:color w:val="auto"/>
          <w:kern w:val="0"/>
          <w:sz w:val="24"/>
          <w:highlight w:val="none"/>
          <w:u w:val="single"/>
        </w:rPr>
        <w:t xml:space="preserve"> 3家</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
        </w:rPr>
        <w:t>。</w:t>
      </w:r>
    </w:p>
    <w:p w14:paraId="26D0A81B">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1BAECD">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580455">
      <w:pPr>
        <w:widowControl/>
        <w:adjustRightInd/>
        <w:spacing w:after="225" w:line="315" w:lineRule="atLeast"/>
        <w:jc w:val="left"/>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4171BF8C">
      <w:pPr>
        <w:pStyle w:val="134"/>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0FDF55">
      <w:pPr>
        <w:pStyle w:val="25"/>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5AFFF1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EF5B6A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71AA06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674D5A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3BE895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24EB4A8">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22EDD7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63B74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4.2.8投标人对根据修正原则修正后的报价不确认的；</w:t>
      </w:r>
    </w:p>
    <w:p w14:paraId="6EF8FB5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4.2.9投标人提供虚假材料投标的；</w:t>
      </w:r>
    </w:p>
    <w:p w14:paraId="069FCD77">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4.2.10投标人有恶意串通、妨碍其他投标人的竞争行为、损害采购人或者其他投标人的合法权益情形的；</w:t>
      </w:r>
    </w:p>
    <w:p w14:paraId="198057B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4035CC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143D4D9E">
      <w:pPr>
        <w:pStyle w:val="4"/>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443E8DF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78901B3C">
      <w:pPr>
        <w:pStyle w:val="25"/>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5706347">
      <w:pPr>
        <w:pStyle w:val="25"/>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1357C910">
      <w:pPr>
        <w:pStyle w:val="25"/>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5DE39949">
      <w:pPr>
        <w:pStyle w:val="25"/>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10DFEF37">
      <w:pPr>
        <w:pStyle w:val="25"/>
        <w:snapToGrid w:val="0"/>
        <w:spacing w:line="360" w:lineRule="auto"/>
        <w:rPr>
          <w:rFonts w:hint="eastAsia" w:cs="宋体"/>
          <w:color w:val="auto"/>
          <w:highlight w:val="none"/>
        </w:rPr>
      </w:pPr>
      <w:r>
        <w:rPr>
          <w:rFonts w:hint="eastAsia" w:cs="宋体"/>
          <w:color w:val="auto"/>
          <w:highlight w:val="none"/>
        </w:rPr>
        <w:t>5.4因重大变故，采购任务取消的。</w:t>
      </w:r>
    </w:p>
    <w:p w14:paraId="3FF7C98D">
      <w:pPr>
        <w:pStyle w:val="25"/>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14:paraId="4FAB6630">
      <w:pPr>
        <w:pStyle w:val="25"/>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5FEB146">
      <w:pPr>
        <w:pStyle w:val="25"/>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B68F5AF">
      <w:pPr>
        <w:pStyle w:val="25"/>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6E45217E">
      <w:pPr>
        <w:pStyle w:val="25"/>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D4A74BD">
      <w:pPr>
        <w:pStyle w:val="25"/>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8973869">
      <w:pPr>
        <w:pStyle w:val="25"/>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1E00B229">
      <w:pPr>
        <w:pStyle w:val="25"/>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E110A73">
      <w:pPr>
        <w:pStyle w:val="25"/>
        <w:snapToGrid w:val="0"/>
        <w:spacing w:line="360" w:lineRule="auto"/>
        <w:ind w:firstLine="0" w:firstLineChars="0"/>
        <w:rPr>
          <w:rFonts w:hint="eastAsia" w:cs="宋体"/>
          <w:color w:val="auto"/>
          <w:highlight w:val="none"/>
        </w:rPr>
      </w:pPr>
    </w:p>
    <w:bookmarkEnd w:id="29"/>
    <w:p w14:paraId="4723A345">
      <w:pPr>
        <w:spacing w:line="360" w:lineRule="auto"/>
        <w:ind w:left="720" w:leftChars="343" w:firstLine="1084" w:firstLineChars="300"/>
        <w:outlineLvl w:val="0"/>
        <w:rPr>
          <w:rFonts w:hint="eastAsia" w:ascii="宋体" w:hAnsi="宋体" w:cs="宋体"/>
          <w:b/>
          <w:color w:val="auto"/>
          <w:sz w:val="36"/>
          <w:szCs w:val="36"/>
          <w:highlight w:val="none"/>
        </w:rPr>
      </w:pPr>
      <w:bookmarkStart w:id="428" w:name="第五部分"/>
      <w:bookmarkStart w:id="429" w:name="_Toc86217003"/>
    </w:p>
    <w:p w14:paraId="2ABB40F8">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442CB77E">
      <w:pPr>
        <w:rPr>
          <w:rFonts w:hint="eastAsia" w:ascii="宋体" w:hAnsi="宋体" w:cs="宋体"/>
          <w:b/>
          <w:color w:val="auto"/>
          <w:sz w:val="36"/>
          <w:szCs w:val="36"/>
          <w:highlight w:val="none"/>
        </w:rPr>
      </w:pPr>
      <w:r>
        <w:rPr>
          <w:rFonts w:ascii="宋体" w:hAnsi="宋体" w:cs="宋体"/>
          <w:b/>
          <w:color w:val="auto"/>
          <w:sz w:val="36"/>
          <w:szCs w:val="36"/>
          <w:highlight w:val="none"/>
        </w:rPr>
        <w:br w:type="page"/>
      </w:r>
    </w:p>
    <w:p w14:paraId="3AD94684">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703F1E3">
      <w:pPr>
        <w:spacing w:line="480" w:lineRule="auto"/>
        <w:jc w:val="center"/>
        <w:rPr>
          <w:rFonts w:hint="eastAsia" w:ascii="宋体" w:hAnsi="宋体" w:cs="宋体"/>
          <w:b/>
          <w:color w:val="auto"/>
          <w:sz w:val="28"/>
          <w:szCs w:val="28"/>
          <w:highlight w:val="none"/>
        </w:rPr>
      </w:pPr>
    </w:p>
    <w:p w14:paraId="5F528D83">
      <w:pPr>
        <w:adjustRightInd/>
        <w:spacing w:line="360" w:lineRule="auto"/>
        <w:rPr>
          <w:rFonts w:hint="eastAsia" w:ascii="宋体" w:hAnsi="宋体" w:cs="宋体"/>
          <w:color w:val="auto"/>
          <w:szCs w:val="21"/>
          <w:highlight w:val="none"/>
        </w:rPr>
      </w:pPr>
      <w:bookmarkStart w:id="430" w:name="_Toc20313"/>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杭州市旅游职业学校葵巷校区智慧教室建设 </w:t>
      </w:r>
      <w:r>
        <w:rPr>
          <w:rFonts w:hint="eastAsia" w:ascii="宋体" w:hAnsi="宋体" w:cs="宋体"/>
          <w:color w:val="auto"/>
          <w:szCs w:val="21"/>
          <w:highlight w:val="none"/>
        </w:rPr>
        <w:t xml:space="preserve">                                      </w:t>
      </w:r>
    </w:p>
    <w:p w14:paraId="5B4EBAEC">
      <w:pPr>
        <w:adjustRightInd/>
        <w:spacing w:line="360" w:lineRule="auto"/>
        <w:rPr>
          <w:rFonts w:hint="eastAsia"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HLZ-2025-014                               </w:t>
      </w:r>
    </w:p>
    <w:p w14:paraId="31D756CF">
      <w:pPr>
        <w:adjustRightInd/>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甲    方：</w:t>
      </w:r>
      <w:r>
        <w:rPr>
          <w:rFonts w:hint="eastAsia" w:ascii="宋体" w:hAnsi="宋体" w:cs="宋体"/>
          <w:color w:val="auto"/>
          <w:szCs w:val="21"/>
          <w:highlight w:val="none"/>
          <w:u w:val="single"/>
        </w:rPr>
        <w:t xml:space="preserve">杭州市旅游职业学校                            </w:t>
      </w:r>
    </w:p>
    <w:p w14:paraId="7C159DCB">
      <w:pPr>
        <w:adjustRightInd/>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乙    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b/>
          <w:color w:val="auto"/>
          <w:szCs w:val="21"/>
          <w:highlight w:val="none"/>
        </w:rPr>
        <w:t xml:space="preserve">  </w:t>
      </w:r>
    </w:p>
    <w:p w14:paraId="715E0573">
      <w:pPr>
        <w:pStyle w:val="33"/>
        <w:adjustRightInd/>
        <w:snapToGrid w:val="0"/>
        <w:spacing w:line="360" w:lineRule="auto"/>
        <w:ind w:firstLine="420" w:firstLineChars="200"/>
        <w:rPr>
          <w:rFonts w:hint="eastAsia" w:hAnsi="宋体" w:cs="宋体"/>
          <w:b/>
          <w:color w:val="auto"/>
          <w:highlight w:val="none"/>
        </w:rPr>
      </w:pPr>
      <w:r>
        <w:rPr>
          <w:rFonts w:hint="eastAsia" w:hAnsi="宋体" w:cs="宋体"/>
          <w:color w:val="auto"/>
          <w:highlight w:val="none"/>
        </w:rPr>
        <w:t>甲、乙双方根据</w:t>
      </w:r>
      <w:r>
        <w:rPr>
          <w:rFonts w:hint="eastAsia" w:hAnsi="宋体" w:cs="宋体"/>
          <w:color w:val="auto"/>
          <w:highlight w:val="none"/>
          <w:u w:val="single"/>
        </w:rPr>
        <w:t>杭州市旅游职业学校</w:t>
      </w:r>
      <w:r>
        <w:rPr>
          <w:rFonts w:hint="eastAsia" w:hAnsi="宋体" w:cs="宋体"/>
          <w:color w:val="auto"/>
          <w:highlight w:val="none"/>
        </w:rPr>
        <w:t>关于</w:t>
      </w:r>
      <w:r>
        <w:rPr>
          <w:rFonts w:hint="eastAsia" w:hAnsi="宋体" w:cs="宋体"/>
          <w:color w:val="auto"/>
          <w:highlight w:val="none"/>
          <w:u w:val="single"/>
        </w:rPr>
        <w:t xml:space="preserve">杭州市旅游职业学校葵巷校区智慧教室建设  </w:t>
      </w:r>
      <w:r>
        <w:rPr>
          <w:rFonts w:hint="eastAsia" w:hAnsi="宋体" w:cs="宋体"/>
          <w:color w:val="auto"/>
          <w:highlight w:val="none"/>
        </w:rPr>
        <w:t>的招标结果，签署本合同。</w:t>
      </w:r>
    </w:p>
    <w:p w14:paraId="27EBD8C1">
      <w:pPr>
        <w:tabs>
          <w:tab w:val="left" w:pos="2505"/>
        </w:tabs>
        <w:adjustRightInd/>
        <w:spacing w:line="360" w:lineRule="auto"/>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 xml:space="preserve">一、合同文件： </w:t>
      </w:r>
      <w:r>
        <w:rPr>
          <w:rFonts w:hint="eastAsia" w:ascii="宋体" w:hAnsi="宋体" w:cs="宋体"/>
          <w:b/>
          <w:bCs/>
          <w:color w:val="auto"/>
          <w:szCs w:val="21"/>
          <w:highlight w:val="none"/>
          <w:lang w:val="zh-CN"/>
        </w:rPr>
        <w:tab/>
      </w:r>
    </w:p>
    <w:p w14:paraId="1DB9DF5B">
      <w:pPr>
        <w:adjustRightInd/>
        <w:spacing w:line="360" w:lineRule="auto"/>
        <w:ind w:firstLine="411" w:firstLineChars="196"/>
        <w:rPr>
          <w:rFonts w:hint="eastAsia" w:ascii="宋体" w:hAnsi="宋体" w:cs="宋体"/>
          <w:color w:val="auto"/>
          <w:szCs w:val="21"/>
          <w:highlight w:val="none"/>
          <w:lang w:val="zh-CN"/>
        </w:rPr>
      </w:pPr>
      <w:r>
        <w:rPr>
          <w:rFonts w:hint="eastAsia" w:ascii="宋体" w:hAnsi="宋体" w:cs="宋体"/>
          <w:color w:val="auto"/>
          <w:szCs w:val="21"/>
          <w:highlight w:val="none"/>
          <w:lang w:val="zh-CN"/>
        </w:rPr>
        <w:t>1.合同条款。</w:t>
      </w:r>
    </w:p>
    <w:p w14:paraId="32A278B4">
      <w:pPr>
        <w:adjustRightInd/>
        <w:spacing w:line="360" w:lineRule="auto"/>
        <w:ind w:firstLine="411" w:firstLineChars="196"/>
        <w:rPr>
          <w:rFonts w:hint="eastAsia" w:ascii="宋体" w:hAnsi="宋体" w:cs="宋体"/>
          <w:color w:val="auto"/>
          <w:szCs w:val="21"/>
          <w:highlight w:val="none"/>
          <w:lang w:val="zh-CN"/>
        </w:rPr>
      </w:pPr>
      <w:r>
        <w:rPr>
          <w:rFonts w:hint="eastAsia" w:ascii="宋体" w:hAnsi="宋体" w:cs="宋体"/>
          <w:color w:val="auto"/>
          <w:szCs w:val="21"/>
          <w:highlight w:val="none"/>
          <w:lang w:val="zh-CN"/>
        </w:rPr>
        <w:t>2.</w:t>
      </w:r>
      <w:r>
        <w:rPr>
          <w:rFonts w:hint="eastAsia" w:ascii="宋体" w:hAnsi="宋体" w:cs="宋体"/>
          <w:color w:val="auto"/>
          <w:szCs w:val="21"/>
          <w:highlight w:val="none"/>
        </w:rPr>
        <w:t>中标通知书</w:t>
      </w:r>
      <w:r>
        <w:rPr>
          <w:rFonts w:hint="eastAsia" w:ascii="宋体" w:hAnsi="宋体" w:cs="宋体"/>
          <w:color w:val="auto"/>
          <w:szCs w:val="21"/>
          <w:highlight w:val="none"/>
          <w:lang w:val="zh-CN"/>
        </w:rPr>
        <w:t>。</w:t>
      </w:r>
    </w:p>
    <w:p w14:paraId="35E91A98">
      <w:pPr>
        <w:adjustRightInd/>
        <w:spacing w:line="360" w:lineRule="auto"/>
        <w:ind w:firstLine="411" w:firstLineChars="196"/>
        <w:rPr>
          <w:rFonts w:hint="eastAsia" w:ascii="宋体" w:hAnsi="宋体" w:cs="宋体"/>
          <w:color w:val="auto"/>
          <w:szCs w:val="21"/>
          <w:highlight w:val="none"/>
          <w:lang w:val="zh-CN"/>
        </w:rPr>
      </w:pPr>
      <w:r>
        <w:rPr>
          <w:rFonts w:hint="eastAsia" w:ascii="宋体" w:hAnsi="宋体" w:cs="宋体"/>
          <w:color w:val="auto"/>
          <w:szCs w:val="21"/>
          <w:highlight w:val="none"/>
          <w:lang w:val="zh-CN"/>
        </w:rPr>
        <w:t>3.更正补充文件（</w:t>
      </w:r>
      <w:r>
        <w:rPr>
          <w:rFonts w:hint="eastAsia" w:ascii="宋体" w:hAnsi="宋体" w:cs="宋体"/>
          <w:color w:val="auto"/>
          <w:szCs w:val="21"/>
          <w:highlight w:val="none"/>
        </w:rPr>
        <w:t>如有）</w:t>
      </w:r>
      <w:r>
        <w:rPr>
          <w:rFonts w:hint="eastAsia" w:ascii="宋体" w:hAnsi="宋体" w:cs="宋体"/>
          <w:color w:val="auto"/>
          <w:szCs w:val="21"/>
          <w:highlight w:val="none"/>
          <w:lang w:val="zh-CN"/>
        </w:rPr>
        <w:t>。</w:t>
      </w:r>
    </w:p>
    <w:p w14:paraId="6CDC5BE5">
      <w:pPr>
        <w:adjustRightInd/>
        <w:spacing w:line="360" w:lineRule="auto"/>
        <w:ind w:firstLine="411" w:firstLineChars="196"/>
        <w:rPr>
          <w:rFonts w:hint="eastAsia" w:ascii="宋体" w:hAnsi="宋体" w:cs="宋体"/>
          <w:color w:val="auto"/>
          <w:szCs w:val="21"/>
          <w:highlight w:val="none"/>
          <w:lang w:val="zh-CN"/>
        </w:rPr>
      </w:pPr>
      <w:r>
        <w:rPr>
          <w:rFonts w:hint="eastAsia" w:ascii="宋体" w:hAnsi="宋体" w:cs="宋体"/>
          <w:color w:val="auto"/>
          <w:szCs w:val="21"/>
          <w:highlight w:val="none"/>
          <w:lang w:val="zh-CN"/>
        </w:rPr>
        <w:t>4.招标文件。</w:t>
      </w:r>
    </w:p>
    <w:p w14:paraId="07E9A045">
      <w:pPr>
        <w:adjustRightInd/>
        <w:spacing w:line="360" w:lineRule="auto"/>
        <w:ind w:firstLine="411" w:firstLineChars="196"/>
        <w:rPr>
          <w:rFonts w:hint="eastAsia" w:ascii="宋体" w:hAnsi="宋体" w:cs="宋体"/>
          <w:color w:val="auto"/>
          <w:szCs w:val="21"/>
          <w:highlight w:val="none"/>
          <w:lang w:val="zh-CN"/>
        </w:rPr>
      </w:pPr>
      <w:r>
        <w:rPr>
          <w:rFonts w:hint="eastAsia" w:ascii="宋体" w:hAnsi="宋体" w:cs="宋体"/>
          <w:color w:val="auto"/>
          <w:szCs w:val="21"/>
          <w:highlight w:val="none"/>
          <w:lang w:val="zh-CN"/>
        </w:rPr>
        <w:t>5.投标文件。</w:t>
      </w:r>
    </w:p>
    <w:p w14:paraId="4B206AE0">
      <w:pPr>
        <w:adjustRightInd/>
        <w:spacing w:line="360" w:lineRule="auto"/>
        <w:ind w:firstLine="411" w:firstLineChars="196"/>
        <w:rPr>
          <w:rFonts w:hint="eastAsia" w:ascii="宋体" w:hAnsi="宋体" w:cs="宋体"/>
          <w:color w:val="auto"/>
          <w:szCs w:val="21"/>
          <w:highlight w:val="none"/>
          <w:lang w:val="zh-CN"/>
        </w:rPr>
      </w:pPr>
      <w:r>
        <w:rPr>
          <w:rFonts w:hint="eastAsia" w:ascii="宋体" w:hAnsi="宋体" w:cs="宋体"/>
          <w:color w:val="auto"/>
          <w:szCs w:val="21"/>
          <w:highlight w:val="none"/>
          <w:lang w:val="zh-CN"/>
        </w:rPr>
        <w:t>6.其他。</w:t>
      </w:r>
    </w:p>
    <w:p w14:paraId="29636E9C">
      <w:pPr>
        <w:adjustRightInd/>
        <w:spacing w:line="360" w:lineRule="auto"/>
        <w:ind w:firstLine="411" w:firstLineChars="196"/>
        <w:rPr>
          <w:rFonts w:hint="eastAsia" w:ascii="宋体" w:hAnsi="宋体" w:cs="宋体"/>
          <w:color w:val="auto"/>
          <w:szCs w:val="21"/>
          <w:highlight w:val="none"/>
          <w:lang w:val="zh-CN"/>
        </w:rPr>
      </w:pPr>
      <w:r>
        <w:rPr>
          <w:rFonts w:hint="eastAsia" w:ascii="宋体" w:hAnsi="宋体" w:cs="宋体"/>
          <w:color w:val="auto"/>
          <w:szCs w:val="21"/>
          <w:highlight w:val="none"/>
          <w:lang w:val="zh-CN"/>
        </w:rPr>
        <w:t>上述所指合同文件应认为是互相补充和解释的，但是有模棱两可或互相矛盾之处，以其所列内容顺序为准。</w:t>
      </w:r>
    </w:p>
    <w:p w14:paraId="69D30E67">
      <w:pPr>
        <w:adjustRightInd/>
        <w:spacing w:line="360" w:lineRule="auto"/>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二、货物内容</w:t>
      </w:r>
    </w:p>
    <w:tbl>
      <w:tblPr>
        <w:tblStyle w:val="63"/>
        <w:tblW w:w="9398"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254"/>
        <w:gridCol w:w="3332"/>
        <w:gridCol w:w="1414"/>
        <w:gridCol w:w="1525"/>
        <w:gridCol w:w="1161"/>
      </w:tblGrid>
      <w:tr w14:paraId="4C01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2" w:type="dxa"/>
            <w:tcBorders>
              <w:tl2br w:val="nil"/>
              <w:tr2bl w:val="nil"/>
            </w:tcBorders>
            <w:vAlign w:val="center"/>
          </w:tcPr>
          <w:p w14:paraId="07E534FD">
            <w:pPr>
              <w:widowControl/>
              <w:adjustRightInd/>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1254" w:type="dxa"/>
            <w:tcBorders>
              <w:tl2br w:val="nil"/>
              <w:tr2bl w:val="nil"/>
            </w:tcBorders>
            <w:vAlign w:val="center"/>
          </w:tcPr>
          <w:p w14:paraId="31590E0F">
            <w:pPr>
              <w:widowControl/>
              <w:adjustRightInd/>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名称</w:t>
            </w:r>
          </w:p>
        </w:tc>
        <w:tc>
          <w:tcPr>
            <w:tcW w:w="3332" w:type="dxa"/>
            <w:tcBorders>
              <w:tl2br w:val="nil"/>
              <w:tr2bl w:val="nil"/>
            </w:tcBorders>
            <w:vAlign w:val="center"/>
          </w:tcPr>
          <w:p w14:paraId="6FF512B2">
            <w:pPr>
              <w:widowControl/>
              <w:adjustRightInd/>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技术参数要求</w:t>
            </w:r>
          </w:p>
        </w:tc>
        <w:tc>
          <w:tcPr>
            <w:tcW w:w="1414" w:type="dxa"/>
            <w:tcBorders>
              <w:tl2br w:val="nil"/>
              <w:tr2bl w:val="nil"/>
            </w:tcBorders>
            <w:vAlign w:val="center"/>
          </w:tcPr>
          <w:p w14:paraId="61C8D502">
            <w:pPr>
              <w:widowControl/>
              <w:adjustRightInd/>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数量</w:t>
            </w:r>
          </w:p>
        </w:tc>
        <w:tc>
          <w:tcPr>
            <w:tcW w:w="1525" w:type="dxa"/>
            <w:tcBorders>
              <w:tl2br w:val="nil"/>
              <w:tr2bl w:val="nil"/>
            </w:tcBorders>
            <w:vAlign w:val="center"/>
          </w:tcPr>
          <w:p w14:paraId="02022DA2">
            <w:pPr>
              <w:widowControl/>
              <w:adjustRightInd/>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中标单价（元）</w:t>
            </w:r>
          </w:p>
        </w:tc>
        <w:tc>
          <w:tcPr>
            <w:tcW w:w="1161" w:type="dxa"/>
            <w:tcBorders>
              <w:tl2br w:val="nil"/>
              <w:tr2bl w:val="nil"/>
            </w:tcBorders>
            <w:vAlign w:val="center"/>
          </w:tcPr>
          <w:p w14:paraId="2A1D9929">
            <w:pPr>
              <w:widowControl/>
              <w:adjustRightInd/>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合计（元）</w:t>
            </w:r>
          </w:p>
        </w:tc>
      </w:tr>
      <w:tr w14:paraId="21FF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12" w:type="dxa"/>
            <w:tcBorders>
              <w:tl2br w:val="nil"/>
              <w:tr2bl w:val="nil"/>
            </w:tcBorders>
            <w:vAlign w:val="center"/>
          </w:tcPr>
          <w:p w14:paraId="0E498BC0">
            <w:pPr>
              <w:widowControl/>
              <w:adjustRightInd/>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254" w:type="dxa"/>
            <w:tcBorders>
              <w:tl2br w:val="nil"/>
              <w:tr2bl w:val="nil"/>
            </w:tcBorders>
            <w:vAlign w:val="center"/>
          </w:tcPr>
          <w:p w14:paraId="7EDE61AC">
            <w:pPr>
              <w:widowControl/>
              <w:adjustRightInd/>
              <w:spacing w:line="360" w:lineRule="auto"/>
              <w:jc w:val="center"/>
              <w:rPr>
                <w:rFonts w:hint="eastAsia" w:ascii="宋体" w:hAnsi="宋体" w:cs="宋体"/>
                <w:color w:val="auto"/>
                <w:kern w:val="0"/>
                <w:szCs w:val="21"/>
                <w:highlight w:val="none"/>
              </w:rPr>
            </w:pPr>
          </w:p>
        </w:tc>
        <w:tc>
          <w:tcPr>
            <w:tcW w:w="3332" w:type="dxa"/>
            <w:tcBorders>
              <w:tl2br w:val="nil"/>
              <w:tr2bl w:val="nil"/>
            </w:tcBorders>
            <w:vAlign w:val="center"/>
          </w:tcPr>
          <w:p w14:paraId="05D524EE">
            <w:pPr>
              <w:widowControl/>
              <w:adjustRightInd/>
              <w:spacing w:line="360" w:lineRule="auto"/>
              <w:jc w:val="center"/>
              <w:rPr>
                <w:rFonts w:hint="eastAsia" w:ascii="宋体" w:hAnsi="宋体" w:cs="宋体"/>
                <w:color w:val="auto"/>
                <w:szCs w:val="21"/>
                <w:highlight w:val="none"/>
              </w:rPr>
            </w:pPr>
          </w:p>
        </w:tc>
        <w:tc>
          <w:tcPr>
            <w:tcW w:w="1414" w:type="dxa"/>
            <w:tcBorders>
              <w:tl2br w:val="nil"/>
              <w:tr2bl w:val="nil"/>
            </w:tcBorders>
            <w:vAlign w:val="center"/>
          </w:tcPr>
          <w:p w14:paraId="1D030A96">
            <w:pPr>
              <w:widowControl/>
              <w:adjustRightInd/>
              <w:spacing w:line="360" w:lineRule="auto"/>
              <w:jc w:val="center"/>
              <w:rPr>
                <w:rFonts w:hint="eastAsia" w:ascii="宋体" w:hAnsi="宋体" w:cs="宋体"/>
                <w:color w:val="auto"/>
                <w:szCs w:val="21"/>
                <w:highlight w:val="none"/>
              </w:rPr>
            </w:pPr>
          </w:p>
        </w:tc>
        <w:tc>
          <w:tcPr>
            <w:tcW w:w="1525" w:type="dxa"/>
            <w:tcBorders>
              <w:tl2br w:val="nil"/>
              <w:tr2bl w:val="nil"/>
            </w:tcBorders>
            <w:vAlign w:val="center"/>
          </w:tcPr>
          <w:p w14:paraId="1334CFFE">
            <w:pPr>
              <w:widowControl/>
              <w:adjustRightInd/>
              <w:spacing w:line="360" w:lineRule="auto"/>
              <w:jc w:val="center"/>
              <w:rPr>
                <w:rFonts w:hint="eastAsia" w:ascii="宋体" w:hAnsi="宋体" w:cs="宋体"/>
                <w:color w:val="auto"/>
                <w:szCs w:val="21"/>
                <w:highlight w:val="none"/>
              </w:rPr>
            </w:pPr>
          </w:p>
        </w:tc>
        <w:tc>
          <w:tcPr>
            <w:tcW w:w="1161" w:type="dxa"/>
            <w:tcBorders>
              <w:tl2br w:val="nil"/>
              <w:tr2bl w:val="nil"/>
            </w:tcBorders>
            <w:vAlign w:val="center"/>
          </w:tcPr>
          <w:p w14:paraId="1F794784">
            <w:pPr>
              <w:widowControl/>
              <w:adjustRightInd/>
              <w:spacing w:line="360" w:lineRule="auto"/>
              <w:jc w:val="center"/>
              <w:rPr>
                <w:rFonts w:hint="eastAsia" w:ascii="宋体" w:hAnsi="宋体" w:cs="宋体"/>
                <w:color w:val="auto"/>
                <w:szCs w:val="21"/>
                <w:highlight w:val="none"/>
              </w:rPr>
            </w:pPr>
          </w:p>
        </w:tc>
      </w:tr>
      <w:tr w14:paraId="3DBB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12" w:type="dxa"/>
            <w:tcBorders>
              <w:tl2br w:val="nil"/>
              <w:tr2bl w:val="nil"/>
            </w:tcBorders>
            <w:vAlign w:val="center"/>
          </w:tcPr>
          <w:p w14:paraId="1200095C">
            <w:pPr>
              <w:widowControl/>
              <w:adjustRightInd/>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254" w:type="dxa"/>
            <w:tcBorders>
              <w:tl2br w:val="nil"/>
              <w:tr2bl w:val="nil"/>
            </w:tcBorders>
            <w:vAlign w:val="center"/>
          </w:tcPr>
          <w:p w14:paraId="38FDBC83">
            <w:pPr>
              <w:widowControl/>
              <w:adjustRightInd/>
              <w:spacing w:line="360" w:lineRule="auto"/>
              <w:jc w:val="center"/>
              <w:rPr>
                <w:rFonts w:hint="eastAsia" w:ascii="宋体" w:hAnsi="宋体" w:cs="宋体"/>
                <w:color w:val="auto"/>
                <w:kern w:val="0"/>
                <w:szCs w:val="21"/>
                <w:highlight w:val="none"/>
              </w:rPr>
            </w:pPr>
          </w:p>
        </w:tc>
        <w:tc>
          <w:tcPr>
            <w:tcW w:w="3332" w:type="dxa"/>
            <w:tcBorders>
              <w:tl2br w:val="nil"/>
              <w:tr2bl w:val="nil"/>
            </w:tcBorders>
            <w:vAlign w:val="center"/>
          </w:tcPr>
          <w:p w14:paraId="35BADE93">
            <w:pPr>
              <w:widowControl/>
              <w:adjustRightInd/>
              <w:spacing w:line="360" w:lineRule="auto"/>
              <w:jc w:val="center"/>
              <w:rPr>
                <w:rFonts w:hint="eastAsia" w:ascii="宋体" w:hAnsi="宋体" w:cs="宋体"/>
                <w:color w:val="auto"/>
                <w:szCs w:val="21"/>
                <w:highlight w:val="none"/>
              </w:rPr>
            </w:pPr>
          </w:p>
        </w:tc>
        <w:tc>
          <w:tcPr>
            <w:tcW w:w="1414" w:type="dxa"/>
            <w:tcBorders>
              <w:tl2br w:val="nil"/>
              <w:tr2bl w:val="nil"/>
            </w:tcBorders>
            <w:vAlign w:val="center"/>
          </w:tcPr>
          <w:p w14:paraId="0B0B0B17">
            <w:pPr>
              <w:widowControl/>
              <w:adjustRightInd/>
              <w:spacing w:line="360" w:lineRule="auto"/>
              <w:jc w:val="center"/>
              <w:rPr>
                <w:rFonts w:hint="eastAsia" w:ascii="宋体" w:hAnsi="宋体" w:cs="宋体"/>
                <w:color w:val="auto"/>
                <w:szCs w:val="21"/>
                <w:highlight w:val="none"/>
              </w:rPr>
            </w:pPr>
          </w:p>
        </w:tc>
        <w:tc>
          <w:tcPr>
            <w:tcW w:w="1525" w:type="dxa"/>
            <w:tcBorders>
              <w:tl2br w:val="nil"/>
              <w:tr2bl w:val="nil"/>
            </w:tcBorders>
            <w:vAlign w:val="center"/>
          </w:tcPr>
          <w:p w14:paraId="5F81339A">
            <w:pPr>
              <w:widowControl/>
              <w:adjustRightInd/>
              <w:spacing w:line="360" w:lineRule="auto"/>
              <w:jc w:val="center"/>
              <w:rPr>
                <w:rFonts w:hint="eastAsia" w:ascii="宋体" w:hAnsi="宋体" w:cs="宋体"/>
                <w:color w:val="auto"/>
                <w:szCs w:val="21"/>
                <w:highlight w:val="none"/>
              </w:rPr>
            </w:pPr>
          </w:p>
        </w:tc>
        <w:tc>
          <w:tcPr>
            <w:tcW w:w="1161" w:type="dxa"/>
            <w:tcBorders>
              <w:tl2br w:val="nil"/>
              <w:tr2bl w:val="nil"/>
            </w:tcBorders>
            <w:vAlign w:val="center"/>
          </w:tcPr>
          <w:p w14:paraId="49874B73">
            <w:pPr>
              <w:widowControl/>
              <w:adjustRightInd/>
              <w:spacing w:line="360" w:lineRule="auto"/>
              <w:jc w:val="center"/>
              <w:rPr>
                <w:rFonts w:hint="eastAsia" w:ascii="宋体" w:hAnsi="宋体" w:cs="宋体"/>
                <w:color w:val="auto"/>
                <w:szCs w:val="21"/>
                <w:highlight w:val="none"/>
              </w:rPr>
            </w:pPr>
          </w:p>
        </w:tc>
      </w:tr>
      <w:tr w14:paraId="26989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12" w:type="dxa"/>
            <w:tcBorders>
              <w:tl2br w:val="nil"/>
              <w:tr2bl w:val="nil"/>
            </w:tcBorders>
            <w:vAlign w:val="center"/>
          </w:tcPr>
          <w:p w14:paraId="7B0AADE1">
            <w:pPr>
              <w:widowControl/>
              <w:adjustRightInd/>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1254" w:type="dxa"/>
            <w:tcBorders>
              <w:tl2br w:val="nil"/>
              <w:tr2bl w:val="nil"/>
            </w:tcBorders>
            <w:vAlign w:val="center"/>
          </w:tcPr>
          <w:p w14:paraId="5EC1EF21">
            <w:pPr>
              <w:widowControl/>
              <w:adjustRightInd/>
              <w:spacing w:line="360" w:lineRule="auto"/>
              <w:jc w:val="center"/>
              <w:rPr>
                <w:rFonts w:hint="eastAsia" w:ascii="宋体" w:hAnsi="宋体" w:cs="宋体"/>
                <w:color w:val="auto"/>
                <w:kern w:val="0"/>
                <w:szCs w:val="21"/>
                <w:highlight w:val="none"/>
              </w:rPr>
            </w:pPr>
          </w:p>
        </w:tc>
        <w:tc>
          <w:tcPr>
            <w:tcW w:w="3332" w:type="dxa"/>
            <w:tcBorders>
              <w:tl2br w:val="nil"/>
              <w:tr2bl w:val="nil"/>
            </w:tcBorders>
            <w:vAlign w:val="center"/>
          </w:tcPr>
          <w:p w14:paraId="681B862E">
            <w:pPr>
              <w:widowControl/>
              <w:adjustRightInd/>
              <w:spacing w:line="360" w:lineRule="auto"/>
              <w:jc w:val="center"/>
              <w:rPr>
                <w:rFonts w:hint="eastAsia" w:ascii="宋体" w:hAnsi="宋体" w:cs="宋体"/>
                <w:color w:val="auto"/>
                <w:szCs w:val="21"/>
                <w:highlight w:val="none"/>
              </w:rPr>
            </w:pPr>
          </w:p>
        </w:tc>
        <w:tc>
          <w:tcPr>
            <w:tcW w:w="1414" w:type="dxa"/>
            <w:tcBorders>
              <w:tl2br w:val="nil"/>
              <w:tr2bl w:val="nil"/>
            </w:tcBorders>
            <w:vAlign w:val="center"/>
          </w:tcPr>
          <w:p w14:paraId="3067B662">
            <w:pPr>
              <w:widowControl/>
              <w:adjustRightInd/>
              <w:spacing w:line="360" w:lineRule="auto"/>
              <w:jc w:val="center"/>
              <w:rPr>
                <w:rFonts w:hint="eastAsia" w:ascii="宋体" w:hAnsi="宋体" w:cs="宋体"/>
                <w:color w:val="auto"/>
                <w:szCs w:val="21"/>
                <w:highlight w:val="none"/>
              </w:rPr>
            </w:pPr>
          </w:p>
        </w:tc>
        <w:tc>
          <w:tcPr>
            <w:tcW w:w="1525" w:type="dxa"/>
            <w:tcBorders>
              <w:tl2br w:val="nil"/>
              <w:tr2bl w:val="nil"/>
            </w:tcBorders>
            <w:vAlign w:val="center"/>
          </w:tcPr>
          <w:p w14:paraId="44C2A506">
            <w:pPr>
              <w:widowControl/>
              <w:adjustRightInd/>
              <w:spacing w:line="360" w:lineRule="auto"/>
              <w:jc w:val="center"/>
              <w:rPr>
                <w:rFonts w:hint="eastAsia" w:ascii="宋体" w:hAnsi="宋体" w:cs="宋体"/>
                <w:color w:val="auto"/>
                <w:szCs w:val="21"/>
                <w:highlight w:val="none"/>
              </w:rPr>
            </w:pPr>
          </w:p>
        </w:tc>
        <w:tc>
          <w:tcPr>
            <w:tcW w:w="1161" w:type="dxa"/>
            <w:tcBorders>
              <w:tl2br w:val="nil"/>
              <w:tr2bl w:val="nil"/>
            </w:tcBorders>
            <w:vAlign w:val="center"/>
          </w:tcPr>
          <w:p w14:paraId="5014C2B8">
            <w:pPr>
              <w:widowControl/>
              <w:adjustRightInd/>
              <w:spacing w:line="360" w:lineRule="auto"/>
              <w:jc w:val="center"/>
              <w:rPr>
                <w:rFonts w:hint="eastAsia" w:ascii="宋体" w:hAnsi="宋体" w:cs="宋体"/>
                <w:color w:val="auto"/>
                <w:szCs w:val="21"/>
                <w:highlight w:val="none"/>
              </w:rPr>
            </w:pPr>
          </w:p>
        </w:tc>
      </w:tr>
      <w:tr w14:paraId="3B9CE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12" w:type="dxa"/>
            <w:tcBorders>
              <w:tl2br w:val="nil"/>
              <w:tr2bl w:val="nil"/>
            </w:tcBorders>
            <w:vAlign w:val="center"/>
          </w:tcPr>
          <w:p w14:paraId="330F32D2">
            <w:pPr>
              <w:widowControl/>
              <w:adjustRightInd/>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254" w:type="dxa"/>
            <w:tcBorders>
              <w:tl2br w:val="nil"/>
              <w:tr2bl w:val="nil"/>
            </w:tcBorders>
            <w:vAlign w:val="center"/>
          </w:tcPr>
          <w:p w14:paraId="7E3A85A0">
            <w:pPr>
              <w:widowControl/>
              <w:adjustRightInd/>
              <w:spacing w:line="360" w:lineRule="auto"/>
              <w:jc w:val="center"/>
              <w:rPr>
                <w:rFonts w:hint="eastAsia" w:ascii="宋体" w:hAnsi="宋体" w:cs="宋体"/>
                <w:color w:val="auto"/>
                <w:kern w:val="0"/>
                <w:szCs w:val="21"/>
                <w:highlight w:val="none"/>
              </w:rPr>
            </w:pPr>
          </w:p>
        </w:tc>
        <w:tc>
          <w:tcPr>
            <w:tcW w:w="3332" w:type="dxa"/>
            <w:tcBorders>
              <w:tl2br w:val="nil"/>
              <w:tr2bl w:val="nil"/>
            </w:tcBorders>
            <w:vAlign w:val="center"/>
          </w:tcPr>
          <w:p w14:paraId="63A3FF27">
            <w:pPr>
              <w:widowControl/>
              <w:adjustRightInd/>
              <w:spacing w:line="360" w:lineRule="auto"/>
              <w:jc w:val="center"/>
              <w:rPr>
                <w:rFonts w:hint="eastAsia" w:ascii="宋体" w:hAnsi="宋体" w:cs="宋体"/>
                <w:color w:val="auto"/>
                <w:szCs w:val="21"/>
                <w:highlight w:val="none"/>
              </w:rPr>
            </w:pPr>
          </w:p>
        </w:tc>
        <w:tc>
          <w:tcPr>
            <w:tcW w:w="1414" w:type="dxa"/>
            <w:tcBorders>
              <w:tl2br w:val="nil"/>
              <w:tr2bl w:val="nil"/>
            </w:tcBorders>
            <w:vAlign w:val="center"/>
          </w:tcPr>
          <w:p w14:paraId="67288B39">
            <w:pPr>
              <w:widowControl/>
              <w:adjustRightInd/>
              <w:spacing w:line="360" w:lineRule="auto"/>
              <w:jc w:val="center"/>
              <w:rPr>
                <w:rFonts w:hint="eastAsia" w:ascii="宋体" w:hAnsi="宋体" w:cs="宋体"/>
                <w:color w:val="auto"/>
                <w:szCs w:val="21"/>
                <w:highlight w:val="none"/>
              </w:rPr>
            </w:pPr>
          </w:p>
        </w:tc>
        <w:tc>
          <w:tcPr>
            <w:tcW w:w="1525" w:type="dxa"/>
            <w:tcBorders>
              <w:tl2br w:val="nil"/>
              <w:tr2bl w:val="nil"/>
            </w:tcBorders>
            <w:vAlign w:val="center"/>
          </w:tcPr>
          <w:p w14:paraId="2EEAC0B7">
            <w:pPr>
              <w:widowControl/>
              <w:adjustRightInd/>
              <w:spacing w:line="360" w:lineRule="auto"/>
              <w:jc w:val="center"/>
              <w:rPr>
                <w:rFonts w:hint="eastAsia" w:ascii="宋体" w:hAnsi="宋体" w:cs="宋体"/>
                <w:color w:val="auto"/>
                <w:szCs w:val="21"/>
                <w:highlight w:val="none"/>
              </w:rPr>
            </w:pPr>
          </w:p>
        </w:tc>
        <w:tc>
          <w:tcPr>
            <w:tcW w:w="1161" w:type="dxa"/>
            <w:tcBorders>
              <w:tl2br w:val="nil"/>
              <w:tr2bl w:val="nil"/>
            </w:tcBorders>
            <w:vAlign w:val="center"/>
          </w:tcPr>
          <w:p w14:paraId="0909A12A">
            <w:pPr>
              <w:widowControl/>
              <w:adjustRightInd/>
              <w:spacing w:line="360" w:lineRule="auto"/>
              <w:jc w:val="center"/>
              <w:rPr>
                <w:rFonts w:hint="eastAsia" w:ascii="宋体" w:hAnsi="宋体" w:cs="宋体"/>
                <w:color w:val="auto"/>
                <w:szCs w:val="21"/>
                <w:highlight w:val="none"/>
              </w:rPr>
            </w:pPr>
          </w:p>
        </w:tc>
      </w:tr>
      <w:tr w14:paraId="0AC6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12" w:type="dxa"/>
            <w:tcBorders>
              <w:tl2br w:val="nil"/>
              <w:tr2bl w:val="nil"/>
            </w:tcBorders>
            <w:vAlign w:val="center"/>
          </w:tcPr>
          <w:p w14:paraId="23E57CA9">
            <w:pPr>
              <w:widowControl/>
              <w:adjustRightInd/>
              <w:spacing w:line="360" w:lineRule="auto"/>
              <w:jc w:val="center"/>
              <w:rPr>
                <w:rFonts w:hint="eastAsia" w:ascii="宋体" w:hAnsi="宋体" w:cs="宋体"/>
                <w:color w:val="auto"/>
                <w:kern w:val="0"/>
                <w:szCs w:val="21"/>
                <w:highlight w:val="none"/>
              </w:rPr>
            </w:pPr>
          </w:p>
        </w:tc>
        <w:tc>
          <w:tcPr>
            <w:tcW w:w="1254" w:type="dxa"/>
            <w:tcBorders>
              <w:tl2br w:val="nil"/>
              <w:tr2bl w:val="nil"/>
            </w:tcBorders>
            <w:vAlign w:val="center"/>
          </w:tcPr>
          <w:p w14:paraId="5F8578DF">
            <w:pPr>
              <w:widowControl/>
              <w:adjustRightInd/>
              <w:spacing w:line="360" w:lineRule="auto"/>
              <w:jc w:val="center"/>
              <w:rPr>
                <w:rFonts w:hint="eastAsia" w:ascii="宋体" w:hAnsi="宋体" w:cs="宋体"/>
                <w:color w:val="auto"/>
                <w:kern w:val="0"/>
                <w:szCs w:val="21"/>
                <w:highlight w:val="none"/>
              </w:rPr>
            </w:pPr>
          </w:p>
        </w:tc>
        <w:tc>
          <w:tcPr>
            <w:tcW w:w="3332" w:type="dxa"/>
            <w:tcBorders>
              <w:tl2br w:val="nil"/>
              <w:tr2bl w:val="nil"/>
            </w:tcBorders>
            <w:vAlign w:val="center"/>
          </w:tcPr>
          <w:p w14:paraId="256568FA">
            <w:pPr>
              <w:widowControl/>
              <w:adjustRightInd/>
              <w:spacing w:line="360" w:lineRule="auto"/>
              <w:jc w:val="center"/>
              <w:rPr>
                <w:rFonts w:hint="eastAsia" w:ascii="宋体" w:hAnsi="宋体" w:cs="宋体"/>
                <w:color w:val="auto"/>
                <w:szCs w:val="21"/>
                <w:highlight w:val="none"/>
              </w:rPr>
            </w:pPr>
          </w:p>
        </w:tc>
        <w:tc>
          <w:tcPr>
            <w:tcW w:w="1414" w:type="dxa"/>
            <w:tcBorders>
              <w:tl2br w:val="nil"/>
              <w:tr2bl w:val="nil"/>
            </w:tcBorders>
            <w:vAlign w:val="center"/>
          </w:tcPr>
          <w:p w14:paraId="15F63ABB">
            <w:pPr>
              <w:widowControl/>
              <w:adjustRightInd/>
              <w:spacing w:line="360" w:lineRule="auto"/>
              <w:jc w:val="center"/>
              <w:rPr>
                <w:rFonts w:hint="eastAsia" w:ascii="宋体" w:hAnsi="宋体" w:cs="宋体"/>
                <w:color w:val="auto"/>
                <w:szCs w:val="21"/>
                <w:highlight w:val="none"/>
              </w:rPr>
            </w:pPr>
          </w:p>
        </w:tc>
        <w:tc>
          <w:tcPr>
            <w:tcW w:w="1525" w:type="dxa"/>
            <w:tcBorders>
              <w:tl2br w:val="nil"/>
              <w:tr2bl w:val="nil"/>
            </w:tcBorders>
            <w:vAlign w:val="center"/>
          </w:tcPr>
          <w:p w14:paraId="71558AC4">
            <w:pPr>
              <w:widowControl/>
              <w:adjustRightInd/>
              <w:spacing w:line="360" w:lineRule="auto"/>
              <w:jc w:val="center"/>
              <w:rPr>
                <w:rFonts w:hint="eastAsia" w:ascii="宋体" w:hAnsi="宋体" w:cs="宋体"/>
                <w:color w:val="auto"/>
                <w:szCs w:val="21"/>
                <w:highlight w:val="none"/>
              </w:rPr>
            </w:pPr>
          </w:p>
        </w:tc>
        <w:tc>
          <w:tcPr>
            <w:tcW w:w="1161" w:type="dxa"/>
            <w:tcBorders>
              <w:tl2br w:val="nil"/>
              <w:tr2bl w:val="nil"/>
            </w:tcBorders>
            <w:vAlign w:val="center"/>
          </w:tcPr>
          <w:p w14:paraId="60D6FC4A">
            <w:pPr>
              <w:widowControl/>
              <w:adjustRightInd/>
              <w:spacing w:line="360" w:lineRule="auto"/>
              <w:jc w:val="center"/>
              <w:rPr>
                <w:rFonts w:hint="eastAsia" w:ascii="宋体" w:hAnsi="宋体" w:cs="宋体"/>
                <w:color w:val="auto"/>
                <w:szCs w:val="21"/>
                <w:highlight w:val="none"/>
              </w:rPr>
            </w:pPr>
          </w:p>
        </w:tc>
      </w:tr>
    </w:tbl>
    <w:p w14:paraId="7DF67F81">
      <w:pPr>
        <w:pStyle w:val="61"/>
        <w:rPr>
          <w:color w:val="auto"/>
          <w:highlight w:val="none"/>
        </w:rPr>
      </w:pPr>
    </w:p>
    <w:p w14:paraId="02ACF7A4">
      <w:pPr>
        <w:adjustRightInd/>
        <w:spacing w:line="360" w:lineRule="auto"/>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三、合同金额</w:t>
      </w:r>
    </w:p>
    <w:p w14:paraId="47B28894">
      <w:pPr>
        <w:adjustRightInd/>
        <w:spacing w:line="360" w:lineRule="auto"/>
        <w:ind w:firstLine="411" w:firstLineChars="196"/>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本合同</w:t>
      </w:r>
      <w:r>
        <w:rPr>
          <w:rFonts w:hint="eastAsia" w:ascii="宋体" w:hAnsi="宋体" w:cs="宋体"/>
          <w:color w:val="auto"/>
          <w:szCs w:val="21"/>
          <w:highlight w:val="none"/>
        </w:rPr>
        <w:t>总价</w:t>
      </w:r>
      <w:r>
        <w:rPr>
          <w:rFonts w:hint="eastAsia" w:ascii="宋体" w:hAnsi="宋体" w:cs="宋体"/>
          <w:color w:val="auto"/>
          <w:szCs w:val="21"/>
          <w:highlight w:val="none"/>
          <w:lang w:val="zh-CN"/>
        </w:rPr>
        <w:t>金额为（大写）：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val="zh-CN"/>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val="zh-CN"/>
        </w:rPr>
        <w:t>元）人民币。</w:t>
      </w:r>
    </w:p>
    <w:p w14:paraId="0B808567">
      <w:pPr>
        <w:adjustRightInd/>
        <w:spacing w:line="360" w:lineRule="auto"/>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四、技术资料</w:t>
      </w:r>
    </w:p>
    <w:p w14:paraId="20E46FBD">
      <w:pPr>
        <w:adjustRightInd/>
        <w:spacing w:line="360" w:lineRule="auto"/>
        <w:ind w:firstLine="411" w:firstLineChars="196"/>
        <w:rPr>
          <w:rFonts w:hint="eastAsia" w:ascii="宋体" w:hAnsi="宋体" w:cs="宋体"/>
          <w:color w:val="auto"/>
          <w:szCs w:val="21"/>
          <w:highlight w:val="none"/>
          <w:lang w:val="zh-CN"/>
        </w:rPr>
      </w:pPr>
      <w:r>
        <w:rPr>
          <w:rFonts w:hint="eastAsia" w:ascii="宋体" w:hAnsi="宋体" w:cs="宋体"/>
          <w:color w:val="auto"/>
          <w:szCs w:val="21"/>
          <w:highlight w:val="none"/>
          <w:lang w:val="zh-CN"/>
        </w:rPr>
        <w:t>1.乙方应按招标文件规定的时间向甲方提供使用货物的有关技术资料。</w:t>
      </w:r>
    </w:p>
    <w:p w14:paraId="15D91DDA">
      <w:pPr>
        <w:adjustRightInd/>
        <w:spacing w:line="360" w:lineRule="auto"/>
        <w:ind w:firstLine="411" w:firstLineChars="196"/>
        <w:rPr>
          <w:rFonts w:hint="eastAsia" w:ascii="宋体" w:hAnsi="宋体" w:cs="宋体"/>
          <w:color w:val="auto"/>
          <w:szCs w:val="21"/>
          <w:highlight w:val="none"/>
          <w:lang w:val="zh-CN"/>
        </w:rPr>
      </w:pPr>
      <w:r>
        <w:rPr>
          <w:rFonts w:hint="eastAsia" w:ascii="宋体" w:hAnsi="宋体" w:cs="宋体"/>
          <w:color w:val="auto"/>
          <w:szCs w:val="21"/>
          <w:highlight w:val="none"/>
          <w:lang w:val="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7A094C0">
      <w:pPr>
        <w:adjustRightInd/>
        <w:spacing w:line="360" w:lineRule="auto"/>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五、知识产权</w:t>
      </w:r>
    </w:p>
    <w:p w14:paraId="31B6FF74">
      <w:pPr>
        <w:adjustRightInd/>
        <w:spacing w:line="360" w:lineRule="auto"/>
        <w:ind w:firstLine="411" w:firstLineChars="196"/>
        <w:rPr>
          <w:rFonts w:hint="eastAsia" w:ascii="宋体" w:hAnsi="宋体" w:cs="宋体"/>
          <w:color w:val="auto"/>
          <w:szCs w:val="21"/>
          <w:highlight w:val="none"/>
          <w:lang w:val="zh-CN"/>
        </w:rPr>
      </w:pPr>
      <w:r>
        <w:rPr>
          <w:rFonts w:hint="eastAsia" w:ascii="宋体" w:hAnsi="宋体" w:cs="宋体"/>
          <w:color w:val="auto"/>
          <w:szCs w:val="21"/>
          <w:highlight w:val="none"/>
          <w:lang w:val="zh-CN"/>
        </w:rPr>
        <w:t>1.乙方应保证所提供的货物或其任何一部分均不会侵犯任何第三方的知识产权。</w:t>
      </w:r>
    </w:p>
    <w:p w14:paraId="05358F48">
      <w:pPr>
        <w:adjustRightInd/>
        <w:spacing w:line="360" w:lineRule="auto"/>
        <w:ind w:firstLine="411" w:firstLineChars="196"/>
        <w:rPr>
          <w:rFonts w:hint="eastAsia" w:ascii="宋体" w:hAnsi="宋体" w:cs="宋体"/>
          <w:color w:val="auto"/>
          <w:szCs w:val="21"/>
          <w:highlight w:val="none"/>
          <w:lang w:val="zh-CN"/>
        </w:rPr>
      </w:pPr>
      <w:r>
        <w:rPr>
          <w:rFonts w:hint="eastAsia" w:ascii="宋体" w:hAnsi="宋体" w:cs="宋体"/>
          <w:color w:val="auto"/>
          <w:szCs w:val="21"/>
          <w:highlight w:val="none"/>
          <w:lang w:val="zh-CN"/>
        </w:rPr>
        <w:t>2.若侵犯,由乙方赔偿甲方因此遭受的损失（包括但不限于应对及追偿过程中所支付的律师费、差旅费、诉讼费、保全费、鉴定费、评估费等）。</w:t>
      </w:r>
    </w:p>
    <w:p w14:paraId="16C67D7A">
      <w:pPr>
        <w:adjustRightInd/>
        <w:spacing w:line="360" w:lineRule="auto"/>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六、产权担保</w:t>
      </w:r>
    </w:p>
    <w:p w14:paraId="365A1A5A">
      <w:pPr>
        <w:adjustRightInd/>
        <w:spacing w:line="360" w:lineRule="auto"/>
        <w:ind w:firstLine="411" w:firstLineChars="196"/>
        <w:rPr>
          <w:rFonts w:hint="eastAsia" w:ascii="宋体" w:hAnsi="宋体" w:cs="宋体"/>
          <w:color w:val="auto"/>
          <w:szCs w:val="21"/>
          <w:highlight w:val="none"/>
          <w:lang w:val="zh-CN"/>
        </w:rPr>
      </w:pPr>
      <w:r>
        <w:rPr>
          <w:rFonts w:hint="eastAsia" w:ascii="宋体" w:hAnsi="宋体" w:cs="宋体"/>
          <w:color w:val="auto"/>
          <w:szCs w:val="21"/>
          <w:highlight w:val="none"/>
          <w:lang w:val="zh-CN"/>
        </w:rPr>
        <w:t>乙方保证所交付的货物的所有权完全属于乙方且无任何抵押、查封等产权瑕疵。</w:t>
      </w:r>
    </w:p>
    <w:p w14:paraId="237186F0">
      <w:pPr>
        <w:adjustRightInd/>
        <w:spacing w:line="360" w:lineRule="auto"/>
        <w:rPr>
          <w:rFonts w:hint="eastAsia" w:ascii="宋体" w:hAnsi="宋体" w:cs="宋体"/>
          <w:b/>
          <w:bCs/>
          <w:color w:val="auto"/>
          <w:szCs w:val="21"/>
          <w:highlight w:val="none"/>
          <w:lang w:val="zh-CN"/>
        </w:rPr>
      </w:pPr>
      <w:r>
        <w:rPr>
          <w:rFonts w:hint="eastAsia" w:ascii="宋体" w:hAnsi="宋体" w:cs="宋体"/>
          <w:b/>
          <w:bCs/>
          <w:color w:val="auto"/>
          <w:szCs w:val="21"/>
          <w:highlight w:val="none"/>
        </w:rPr>
        <w:t>七、</w:t>
      </w:r>
      <w:r>
        <w:rPr>
          <w:rFonts w:hint="eastAsia" w:ascii="宋体" w:hAnsi="宋体" w:cs="宋体"/>
          <w:b/>
          <w:bCs/>
          <w:color w:val="auto"/>
          <w:szCs w:val="21"/>
          <w:highlight w:val="none"/>
          <w:lang w:val="zh-CN"/>
        </w:rPr>
        <w:t>转包或分包</w:t>
      </w:r>
    </w:p>
    <w:p w14:paraId="4C96B799">
      <w:pPr>
        <w:adjustRightInd/>
        <w:spacing w:line="360" w:lineRule="auto"/>
        <w:ind w:firstLine="411" w:firstLineChars="196"/>
        <w:rPr>
          <w:rFonts w:hint="eastAsia" w:ascii="宋体" w:hAnsi="宋体" w:cs="宋体"/>
          <w:color w:val="auto"/>
          <w:szCs w:val="21"/>
          <w:highlight w:val="none"/>
          <w:lang w:val="zh-CN"/>
        </w:rPr>
      </w:pPr>
      <w:r>
        <w:rPr>
          <w:rFonts w:hint="eastAsia" w:ascii="宋体" w:hAnsi="宋体" w:cs="宋体"/>
          <w:color w:val="auto"/>
          <w:szCs w:val="21"/>
          <w:highlight w:val="none"/>
          <w:lang w:val="zh-CN"/>
        </w:rPr>
        <w:t>1.本合同范围的货物，应由乙方直接供应，不得转让他人供应；</w:t>
      </w:r>
    </w:p>
    <w:p w14:paraId="469002CE">
      <w:pPr>
        <w:adjustRightInd/>
        <w:spacing w:line="360" w:lineRule="auto"/>
        <w:ind w:firstLine="411" w:firstLineChars="196"/>
        <w:rPr>
          <w:rFonts w:hint="eastAsia" w:ascii="宋体" w:hAnsi="宋体" w:cs="宋体"/>
          <w:color w:val="auto"/>
          <w:szCs w:val="21"/>
          <w:highlight w:val="none"/>
          <w:lang w:val="zh-CN"/>
        </w:rPr>
      </w:pPr>
      <w:r>
        <w:rPr>
          <w:rFonts w:hint="eastAsia" w:ascii="宋体" w:hAnsi="宋体" w:cs="宋体"/>
          <w:color w:val="auto"/>
          <w:szCs w:val="21"/>
          <w:highlight w:val="none"/>
          <w:lang w:val="zh-CN"/>
        </w:rPr>
        <w:t>2.除非得到甲方的书面同意，乙方不得将本合同范围的货物全部或部分分包给他人供应；</w:t>
      </w:r>
    </w:p>
    <w:p w14:paraId="1802E8B0">
      <w:pPr>
        <w:adjustRightInd/>
        <w:spacing w:line="360" w:lineRule="auto"/>
        <w:ind w:firstLine="411" w:firstLineChars="196"/>
        <w:rPr>
          <w:rFonts w:hint="eastAsia" w:ascii="宋体" w:hAnsi="宋体" w:cs="宋体"/>
          <w:color w:val="auto"/>
          <w:szCs w:val="21"/>
          <w:highlight w:val="none"/>
          <w:lang w:val="zh-CN"/>
        </w:rPr>
      </w:pPr>
      <w:r>
        <w:rPr>
          <w:rFonts w:hint="eastAsia" w:ascii="宋体" w:hAnsi="宋体" w:cs="宋体"/>
          <w:color w:val="auto"/>
          <w:szCs w:val="21"/>
          <w:highlight w:val="none"/>
          <w:lang w:val="zh-CN"/>
        </w:rPr>
        <w:t>3.如有转让和未经甲方同意的分包行为，甲方有权解除合同，没收履约保证金并追究乙方的违约责任。</w:t>
      </w:r>
    </w:p>
    <w:p w14:paraId="78D57D31">
      <w:pPr>
        <w:adjustRightInd/>
        <w:spacing w:line="360" w:lineRule="auto"/>
        <w:rPr>
          <w:rFonts w:hint="eastAsia" w:ascii="宋体" w:hAnsi="宋体" w:cs="宋体"/>
          <w:b/>
          <w:bCs/>
          <w:color w:val="auto"/>
          <w:szCs w:val="21"/>
          <w:highlight w:val="none"/>
          <w:lang w:val="zh-CN"/>
        </w:rPr>
      </w:pPr>
      <w:r>
        <w:rPr>
          <w:rFonts w:hint="eastAsia" w:ascii="宋体" w:hAnsi="宋体" w:cs="宋体"/>
          <w:b/>
          <w:bCs/>
          <w:color w:val="auto"/>
          <w:szCs w:val="21"/>
          <w:highlight w:val="none"/>
        </w:rPr>
        <w:t>八</w:t>
      </w:r>
      <w:r>
        <w:rPr>
          <w:rFonts w:hint="eastAsia" w:ascii="宋体" w:hAnsi="宋体" w:cs="宋体"/>
          <w:b/>
          <w:bCs/>
          <w:color w:val="auto"/>
          <w:szCs w:val="21"/>
          <w:highlight w:val="none"/>
          <w:lang w:val="zh-CN"/>
        </w:rPr>
        <w:t>、质保期</w:t>
      </w:r>
    </w:p>
    <w:p w14:paraId="0586CD7D">
      <w:pPr>
        <w:adjustRightInd/>
        <w:spacing w:line="360" w:lineRule="auto"/>
        <w:ind w:firstLine="411" w:firstLineChars="196"/>
        <w:rPr>
          <w:rFonts w:hint="eastAsia" w:ascii="宋体" w:hAnsi="宋体" w:cs="宋体"/>
          <w:color w:val="auto"/>
          <w:szCs w:val="21"/>
          <w:highlight w:val="none"/>
          <w:lang w:val="zh-CN"/>
        </w:rPr>
      </w:pPr>
      <w:r>
        <w:rPr>
          <w:rFonts w:hint="eastAsia" w:ascii="宋体" w:hAnsi="宋体" w:cs="宋体"/>
          <w:color w:val="auto"/>
          <w:szCs w:val="21"/>
          <w:highlight w:val="none"/>
          <w:lang w:val="zh-CN"/>
        </w:rPr>
        <w:t>1.质保期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val="zh-CN"/>
        </w:rPr>
        <w:t>年。（自交货验收合格之日起计）</w:t>
      </w:r>
    </w:p>
    <w:p w14:paraId="5910B4BB">
      <w:pPr>
        <w:adjustRightInd/>
        <w:spacing w:line="360" w:lineRule="auto"/>
        <w:rPr>
          <w:rFonts w:hint="eastAsia" w:ascii="宋体" w:hAnsi="宋体" w:cs="宋体"/>
          <w:b/>
          <w:bCs/>
          <w:color w:val="auto"/>
          <w:szCs w:val="21"/>
          <w:highlight w:val="none"/>
          <w:lang w:val="zh-CN"/>
        </w:rPr>
      </w:pPr>
      <w:r>
        <w:rPr>
          <w:rFonts w:hint="eastAsia" w:ascii="宋体" w:hAnsi="宋体" w:cs="宋体"/>
          <w:b/>
          <w:bCs/>
          <w:color w:val="auto"/>
          <w:szCs w:val="21"/>
          <w:highlight w:val="none"/>
        </w:rPr>
        <w:t>九</w:t>
      </w:r>
      <w:r>
        <w:rPr>
          <w:rFonts w:hint="eastAsia" w:ascii="宋体" w:hAnsi="宋体" w:cs="宋体"/>
          <w:b/>
          <w:bCs/>
          <w:color w:val="auto"/>
          <w:szCs w:val="21"/>
          <w:highlight w:val="none"/>
          <w:lang w:val="zh-CN"/>
        </w:rPr>
        <w:t>、交货期、交货方式及交货地点</w:t>
      </w:r>
    </w:p>
    <w:p w14:paraId="54430C21">
      <w:pPr>
        <w:adjustRightInd/>
        <w:spacing w:line="360" w:lineRule="auto"/>
        <w:ind w:firstLine="411" w:firstLineChars="196"/>
        <w:rPr>
          <w:rFonts w:hint="eastAsia" w:ascii="宋体" w:hAnsi="宋体" w:cs="宋体"/>
          <w:color w:val="auto"/>
          <w:szCs w:val="21"/>
          <w:highlight w:val="none"/>
          <w:lang w:val="zh-CN"/>
        </w:rPr>
      </w:pPr>
      <w:r>
        <w:rPr>
          <w:rFonts w:hint="eastAsia" w:ascii="宋体" w:hAnsi="宋体" w:cs="宋体"/>
          <w:color w:val="auto"/>
          <w:szCs w:val="21"/>
          <w:highlight w:val="none"/>
          <w:lang w:val="zh-CN"/>
        </w:rPr>
        <w:t>1.供货</w:t>
      </w:r>
      <w:r>
        <w:rPr>
          <w:rFonts w:hint="eastAsia" w:ascii="宋体" w:hAnsi="宋体" w:cs="宋体"/>
          <w:color w:val="auto"/>
          <w:szCs w:val="21"/>
          <w:highlight w:val="none"/>
        </w:rPr>
        <w:t>及安装</w:t>
      </w:r>
      <w:r>
        <w:rPr>
          <w:rFonts w:hint="eastAsia" w:ascii="宋体" w:hAnsi="宋体" w:cs="宋体"/>
          <w:color w:val="auto"/>
          <w:szCs w:val="21"/>
          <w:highlight w:val="none"/>
          <w:lang w:val="zh-CN"/>
        </w:rPr>
        <w:t>期：</w:t>
      </w:r>
    </w:p>
    <w:p w14:paraId="67E450C1">
      <w:pPr>
        <w:adjustRightInd/>
        <w:spacing w:line="360" w:lineRule="auto"/>
        <w:ind w:firstLine="411" w:firstLineChars="196"/>
        <w:rPr>
          <w:rFonts w:hint="eastAsia" w:ascii="宋体" w:hAnsi="宋体" w:cs="宋体"/>
          <w:color w:val="auto"/>
          <w:szCs w:val="21"/>
          <w:highlight w:val="none"/>
        </w:rPr>
      </w:pPr>
      <w:r>
        <w:rPr>
          <w:rFonts w:hint="eastAsia" w:ascii="宋体" w:hAnsi="宋体" w:cs="宋体"/>
          <w:color w:val="auto"/>
          <w:szCs w:val="21"/>
          <w:highlight w:val="none"/>
          <w:lang w:val="zh-CN"/>
        </w:rPr>
        <w:t>2.交货</w:t>
      </w:r>
      <w:r>
        <w:rPr>
          <w:rFonts w:hint="eastAsia" w:ascii="宋体" w:hAnsi="宋体" w:cs="宋体"/>
          <w:color w:val="auto"/>
          <w:szCs w:val="21"/>
          <w:highlight w:val="none"/>
        </w:rPr>
        <w:t>方式</w:t>
      </w:r>
      <w:r>
        <w:rPr>
          <w:rFonts w:hint="eastAsia" w:ascii="宋体" w:hAnsi="宋体" w:cs="宋体"/>
          <w:color w:val="auto"/>
          <w:szCs w:val="21"/>
          <w:highlight w:val="none"/>
          <w:lang w:val="zh-CN"/>
        </w:rPr>
        <w:t>：</w:t>
      </w:r>
      <w:r>
        <w:rPr>
          <w:rFonts w:hint="eastAsia" w:ascii="宋体" w:hAnsi="宋体" w:cs="宋体"/>
          <w:color w:val="auto"/>
          <w:szCs w:val="21"/>
          <w:highlight w:val="none"/>
        </w:rPr>
        <w:t>根据甲方要求。</w:t>
      </w:r>
    </w:p>
    <w:p w14:paraId="54BB4C79">
      <w:pPr>
        <w:adjustRightInd/>
        <w:spacing w:line="360" w:lineRule="auto"/>
        <w:ind w:firstLine="411" w:firstLineChars="196"/>
        <w:rPr>
          <w:rFonts w:hint="eastAsia" w:ascii="宋体" w:hAnsi="宋体" w:cs="宋体"/>
          <w:color w:val="auto"/>
          <w:szCs w:val="21"/>
          <w:highlight w:val="none"/>
          <w:lang w:val="zh-CN"/>
        </w:rPr>
      </w:pPr>
      <w:r>
        <w:rPr>
          <w:rFonts w:hint="eastAsia" w:ascii="宋体" w:hAnsi="宋体" w:cs="宋体"/>
          <w:color w:val="auto"/>
          <w:szCs w:val="21"/>
          <w:highlight w:val="none"/>
          <w:lang w:val="zh-CN"/>
        </w:rPr>
        <w:t>3.交货地点：甲方指定地点。</w:t>
      </w:r>
    </w:p>
    <w:p w14:paraId="4378A9EC">
      <w:pPr>
        <w:adjustRightInd/>
        <w:spacing w:line="360" w:lineRule="auto"/>
        <w:ind w:firstLine="411" w:firstLineChars="196"/>
        <w:rPr>
          <w:rFonts w:hint="eastAsia" w:ascii="宋体" w:hAnsi="宋体" w:cs="宋体"/>
          <w:color w:val="auto"/>
          <w:szCs w:val="21"/>
          <w:highlight w:val="none"/>
          <w:lang w:val="zh-CN"/>
        </w:rPr>
      </w:pPr>
      <w:r>
        <w:rPr>
          <w:rFonts w:hint="eastAsia" w:ascii="宋体" w:hAnsi="宋体" w:cs="宋体"/>
          <w:color w:val="auto"/>
          <w:szCs w:val="21"/>
          <w:highlight w:val="none"/>
        </w:rPr>
        <w:t>4</w:t>
      </w:r>
      <w:r>
        <w:rPr>
          <w:rFonts w:hint="eastAsia" w:ascii="宋体" w:hAnsi="宋体" w:cs="宋体"/>
          <w:color w:val="auto"/>
          <w:szCs w:val="21"/>
          <w:highlight w:val="none"/>
          <w:lang w:val="zh-CN"/>
        </w:rPr>
        <w:t>.交货</w:t>
      </w:r>
      <w:r>
        <w:rPr>
          <w:rFonts w:hint="eastAsia" w:ascii="宋体" w:hAnsi="宋体" w:cs="宋体"/>
          <w:color w:val="auto"/>
          <w:szCs w:val="21"/>
          <w:highlight w:val="none"/>
        </w:rPr>
        <w:t>数量</w:t>
      </w:r>
      <w:r>
        <w:rPr>
          <w:rFonts w:hint="eastAsia" w:ascii="宋体" w:hAnsi="宋体" w:cs="宋体"/>
          <w:color w:val="auto"/>
          <w:szCs w:val="21"/>
          <w:highlight w:val="none"/>
          <w:lang w:val="zh-CN"/>
        </w:rPr>
        <w:t>：</w:t>
      </w:r>
      <w:r>
        <w:rPr>
          <w:rFonts w:hint="eastAsia" w:ascii="宋体" w:hAnsi="宋体" w:cs="宋体"/>
          <w:color w:val="auto"/>
          <w:szCs w:val="21"/>
          <w:highlight w:val="none"/>
        </w:rPr>
        <w:t>以</w:t>
      </w:r>
      <w:r>
        <w:rPr>
          <w:rFonts w:hint="eastAsia" w:ascii="宋体" w:hAnsi="宋体" w:cs="宋体"/>
          <w:color w:val="auto"/>
          <w:szCs w:val="21"/>
          <w:highlight w:val="none"/>
          <w:lang w:val="zh-CN"/>
        </w:rPr>
        <w:t>甲方</w:t>
      </w:r>
      <w:r>
        <w:rPr>
          <w:rFonts w:hint="eastAsia" w:ascii="宋体" w:hAnsi="宋体" w:cs="宋体"/>
          <w:color w:val="auto"/>
          <w:szCs w:val="21"/>
          <w:highlight w:val="none"/>
        </w:rPr>
        <w:t>实际采购数量为准</w:t>
      </w:r>
      <w:r>
        <w:rPr>
          <w:rFonts w:hint="eastAsia" w:ascii="宋体" w:hAnsi="宋体" w:cs="宋体"/>
          <w:color w:val="auto"/>
          <w:szCs w:val="21"/>
          <w:highlight w:val="none"/>
          <w:lang w:val="zh-CN"/>
        </w:rPr>
        <w:t>。</w:t>
      </w:r>
    </w:p>
    <w:p w14:paraId="1A6EF829">
      <w:pPr>
        <w:adjustRightInd/>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lang w:val="zh-CN"/>
        </w:rPr>
        <w:t>十、履约保证金、货款支付</w:t>
      </w:r>
      <w:r>
        <w:rPr>
          <w:rFonts w:hint="eastAsia" w:ascii="宋体" w:hAnsi="宋体" w:cs="宋体"/>
          <w:b/>
          <w:bCs/>
          <w:color w:val="auto"/>
          <w:szCs w:val="21"/>
          <w:highlight w:val="none"/>
        </w:rPr>
        <w:t>和验收要求</w:t>
      </w:r>
    </w:p>
    <w:p w14:paraId="7167156A">
      <w:pPr>
        <w:adjustRightInd/>
        <w:spacing w:line="360" w:lineRule="auto"/>
        <w:ind w:firstLine="411" w:firstLineChars="196"/>
        <w:rPr>
          <w:rFonts w:hint="eastAsia" w:ascii="宋体" w:hAnsi="宋体" w:cs="宋体"/>
          <w:color w:val="auto"/>
          <w:szCs w:val="21"/>
          <w:highlight w:val="none"/>
          <w:lang w:val="zh-CN"/>
        </w:rPr>
      </w:pPr>
      <w:r>
        <w:rPr>
          <w:rFonts w:hint="eastAsia" w:ascii="宋体" w:hAnsi="宋体" w:cs="宋体"/>
          <w:color w:val="auto"/>
          <w:szCs w:val="21"/>
          <w:highlight w:val="none"/>
          <w:lang w:val="zh-CN"/>
        </w:rPr>
        <w:t>1、乙方应</w:t>
      </w:r>
      <w:r>
        <w:rPr>
          <w:rFonts w:hint="eastAsia" w:ascii="宋体" w:hAnsi="宋体" w:cs="宋体"/>
          <w:color w:val="auto"/>
          <w:szCs w:val="21"/>
          <w:highlight w:val="none"/>
        </w:rPr>
        <w:t>在合同签订后5个工作日之内向</w:t>
      </w:r>
      <w:r>
        <w:rPr>
          <w:rFonts w:hint="eastAsia" w:ascii="宋体" w:hAnsi="宋体" w:cs="宋体"/>
          <w:color w:val="auto"/>
          <w:szCs w:val="21"/>
          <w:highlight w:val="none"/>
          <w:lang w:val="zh-CN"/>
        </w:rPr>
        <w:t>甲方缴纳合同总金额的</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rPr>
        <w:t>1</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%作为履约保证金，履约保证金</w:t>
      </w:r>
      <w:r>
        <w:rPr>
          <w:rFonts w:hint="eastAsia" w:ascii="宋体" w:hAnsi="宋体" w:cs="宋体"/>
          <w:color w:val="auto"/>
          <w:szCs w:val="21"/>
          <w:highlight w:val="none"/>
        </w:rPr>
        <w:t>缴纳形式可以为保函，</w:t>
      </w:r>
      <w:r>
        <w:rPr>
          <w:rFonts w:hint="eastAsia" w:ascii="宋体" w:hAnsi="宋体" w:cs="宋体"/>
          <w:color w:val="auto"/>
          <w:szCs w:val="21"/>
          <w:highlight w:val="none"/>
          <w:lang w:val="zh-CN"/>
        </w:rPr>
        <w:t>履约保证金自项目验收合格后，由甲方确认乙方合同主要义务履行完毕后无息退还。</w:t>
      </w:r>
    </w:p>
    <w:p w14:paraId="0E6B86B8">
      <w:pPr>
        <w:adjustRightInd/>
        <w:spacing w:line="360" w:lineRule="auto"/>
        <w:ind w:firstLine="411" w:firstLineChars="196"/>
        <w:rPr>
          <w:rFonts w:hint="eastAsia" w:ascii="宋体" w:hAnsi="宋体" w:cs="宋体"/>
          <w:color w:val="auto"/>
          <w:szCs w:val="21"/>
          <w:highlight w:val="none"/>
          <w:lang w:val="zh-CN"/>
        </w:rPr>
      </w:pPr>
      <w:r>
        <w:rPr>
          <w:rFonts w:hint="eastAsia" w:ascii="宋体" w:hAnsi="宋体" w:cs="宋体"/>
          <w:color w:val="auto"/>
          <w:szCs w:val="21"/>
          <w:highlight w:val="none"/>
          <w:lang w:val="zh-CN"/>
        </w:rPr>
        <w:t>2、乙方未按合同约定严格履行合同义务的，甲方有权视情况没收全部或部分履约保证金，并按约定追究乙方其他相应违约责任。乙方应在收到甲方书面通知补足履约保证金之日起七个工作日内无条件补足履约保证金，否则应以应补足的履约保证金为基数按日万分之五向甲方支付迟延交付履约保证金违约金。</w:t>
      </w:r>
    </w:p>
    <w:p w14:paraId="641665C4">
      <w:pPr>
        <w:tabs>
          <w:tab w:val="left" w:pos="0"/>
        </w:tabs>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3、货款支付</w:t>
      </w:r>
      <w:r>
        <w:rPr>
          <w:rFonts w:hint="eastAsia" w:ascii="宋体" w:hAnsi="宋体" w:cs="宋体"/>
          <w:color w:val="auto"/>
          <w:szCs w:val="21"/>
          <w:highlight w:val="none"/>
          <w:lang w:val="zh-CN"/>
        </w:rPr>
        <w:t>：合同生效、具备实施条件后，</w:t>
      </w:r>
      <w:r>
        <w:rPr>
          <w:rFonts w:hint="eastAsia" w:ascii="宋体" w:hAnsi="宋体" w:cs="宋体"/>
          <w:color w:val="auto"/>
          <w:szCs w:val="21"/>
          <w:highlight w:val="none"/>
        </w:rPr>
        <w:t>甲方</w:t>
      </w:r>
      <w:r>
        <w:rPr>
          <w:rFonts w:hint="eastAsia" w:ascii="宋体" w:hAnsi="宋体" w:cs="宋体"/>
          <w:color w:val="auto"/>
          <w:szCs w:val="21"/>
          <w:highlight w:val="none"/>
          <w:lang w:val="zh-CN"/>
        </w:rPr>
        <w:t>在5 个工作日内支付合同总价的</w:t>
      </w:r>
      <w:r>
        <w:rPr>
          <w:rFonts w:hint="eastAsia" w:ascii="宋体" w:hAnsi="宋体" w:cs="宋体"/>
          <w:color w:val="auto"/>
          <w:szCs w:val="21"/>
          <w:highlight w:val="none"/>
        </w:rPr>
        <w:t>6</w:t>
      </w:r>
      <w:r>
        <w:rPr>
          <w:rFonts w:hint="eastAsia" w:ascii="宋体" w:hAnsi="宋体" w:cs="宋体"/>
          <w:color w:val="auto"/>
          <w:szCs w:val="21"/>
          <w:highlight w:val="none"/>
          <w:lang w:val="zh-CN"/>
        </w:rPr>
        <w:t>0%作为预付款(因客观原因造成采购人预付款逾期支付的，不追究逾期支付违约责任，具体付款日期按实际支付时间执行)。</w:t>
      </w:r>
      <w:r>
        <w:rPr>
          <w:rFonts w:hint="eastAsia" w:ascii="宋体" w:hAnsi="宋体" w:cs="宋体"/>
          <w:color w:val="auto"/>
          <w:szCs w:val="21"/>
          <w:highlight w:val="none"/>
        </w:rPr>
        <w:t>验收合格</w:t>
      </w:r>
      <w:r>
        <w:rPr>
          <w:rFonts w:hint="eastAsia" w:ascii="宋体" w:hAnsi="宋体" w:cs="宋体"/>
          <w:color w:val="auto"/>
          <w:szCs w:val="21"/>
          <w:highlight w:val="none"/>
          <w:lang w:val="zh-CN"/>
        </w:rPr>
        <w:t>且资料归档后，</w:t>
      </w:r>
      <w:r>
        <w:rPr>
          <w:rFonts w:hint="eastAsia" w:ascii="宋体" w:hAnsi="宋体" w:cs="宋体"/>
          <w:color w:val="auto"/>
          <w:szCs w:val="21"/>
          <w:highlight w:val="none"/>
        </w:rPr>
        <w:t>支付剩余货款</w:t>
      </w:r>
      <w:r>
        <w:rPr>
          <w:rFonts w:hint="eastAsia" w:ascii="宋体" w:hAnsi="宋体" w:cs="宋体"/>
          <w:color w:val="auto"/>
          <w:szCs w:val="21"/>
          <w:highlight w:val="none"/>
          <w:lang w:val="zh-CN"/>
        </w:rPr>
        <w:t>。</w:t>
      </w:r>
    </w:p>
    <w:p w14:paraId="40A59D1F">
      <w:pPr>
        <w:tabs>
          <w:tab w:val="left" w:pos="0"/>
        </w:tabs>
        <w:spacing w:line="360" w:lineRule="auto"/>
        <w:ind w:firstLine="420" w:firstLineChars="200"/>
        <w:rPr>
          <w:color w:val="auto"/>
          <w:highlight w:val="none"/>
        </w:rPr>
      </w:pPr>
      <w:r>
        <w:rPr>
          <w:rFonts w:hint="eastAsia" w:ascii="宋体" w:hAnsi="宋体" w:cs="宋体"/>
          <w:color w:val="auto"/>
          <w:szCs w:val="21"/>
          <w:highlight w:val="none"/>
        </w:rPr>
        <w:t>4、验收要求：乙方应提供货物的有效检验文件，经甲方认可后，与合同和投标文件一起作为智慧教室的验收标准。验收合格后，由双方共同签署验收文件。验收中发现达不到验收标准或规定的性能指标，乙方必须更换，并承担由此给用户造成的损失。</w:t>
      </w:r>
    </w:p>
    <w:p w14:paraId="3693E170">
      <w:pPr>
        <w:adjustRightInd/>
        <w:spacing w:line="360" w:lineRule="auto"/>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十</w:t>
      </w:r>
      <w:r>
        <w:rPr>
          <w:rFonts w:hint="eastAsia" w:ascii="宋体" w:hAnsi="宋体" w:cs="宋体"/>
          <w:b/>
          <w:bCs/>
          <w:color w:val="auto"/>
          <w:szCs w:val="21"/>
          <w:highlight w:val="none"/>
        </w:rPr>
        <w:t>一</w:t>
      </w:r>
      <w:r>
        <w:rPr>
          <w:rFonts w:hint="eastAsia" w:ascii="宋体" w:hAnsi="宋体" w:cs="宋体"/>
          <w:b/>
          <w:bCs/>
          <w:color w:val="auto"/>
          <w:szCs w:val="21"/>
          <w:highlight w:val="none"/>
          <w:lang w:val="zh-CN"/>
        </w:rPr>
        <w:t>、税费</w:t>
      </w:r>
    </w:p>
    <w:p w14:paraId="11262863">
      <w:pPr>
        <w:adjustRightInd/>
        <w:spacing w:line="360" w:lineRule="auto"/>
        <w:ind w:firstLine="411" w:firstLineChars="196"/>
        <w:rPr>
          <w:rFonts w:hint="eastAsia" w:ascii="宋体" w:hAnsi="宋体" w:cs="宋体"/>
          <w:color w:val="auto"/>
          <w:szCs w:val="21"/>
          <w:highlight w:val="none"/>
          <w:lang w:val="zh-CN"/>
        </w:rPr>
      </w:pPr>
      <w:r>
        <w:rPr>
          <w:rFonts w:hint="eastAsia" w:ascii="宋体" w:hAnsi="宋体" w:cs="宋体"/>
          <w:color w:val="auto"/>
          <w:szCs w:val="21"/>
          <w:highlight w:val="none"/>
          <w:lang w:val="zh-CN"/>
        </w:rPr>
        <w:t>本合同执行中相关的一切税费均由乙方负担。</w:t>
      </w:r>
    </w:p>
    <w:p w14:paraId="64135BC5">
      <w:pPr>
        <w:adjustRightInd/>
        <w:spacing w:line="360" w:lineRule="auto"/>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十</w:t>
      </w:r>
      <w:r>
        <w:rPr>
          <w:rFonts w:hint="eastAsia" w:ascii="宋体" w:hAnsi="宋体" w:cs="宋体"/>
          <w:b/>
          <w:bCs/>
          <w:color w:val="auto"/>
          <w:szCs w:val="21"/>
          <w:highlight w:val="none"/>
        </w:rPr>
        <w:t>二</w:t>
      </w:r>
      <w:r>
        <w:rPr>
          <w:rFonts w:hint="eastAsia" w:ascii="宋体" w:hAnsi="宋体" w:cs="宋体"/>
          <w:b/>
          <w:bCs/>
          <w:color w:val="auto"/>
          <w:szCs w:val="21"/>
          <w:highlight w:val="none"/>
          <w:lang w:val="zh-CN"/>
        </w:rPr>
        <w:t>、质量保证及售后服务</w:t>
      </w:r>
    </w:p>
    <w:p w14:paraId="1C5EAE7E">
      <w:pPr>
        <w:adjustRightInd/>
        <w:spacing w:line="360" w:lineRule="auto"/>
        <w:ind w:firstLine="411" w:firstLineChars="196"/>
        <w:rPr>
          <w:rFonts w:hint="eastAsia" w:ascii="宋体" w:hAnsi="宋体" w:cs="宋体"/>
          <w:color w:val="auto"/>
          <w:szCs w:val="21"/>
          <w:highlight w:val="none"/>
          <w:lang w:val="zh-CN"/>
        </w:rPr>
      </w:pPr>
      <w:r>
        <w:rPr>
          <w:rFonts w:hint="eastAsia" w:ascii="宋体" w:hAnsi="宋体" w:cs="宋体"/>
          <w:color w:val="auto"/>
          <w:szCs w:val="21"/>
          <w:highlight w:val="none"/>
          <w:lang w:val="zh-CN"/>
        </w:rPr>
        <w:t>1.乙方应按招标文件规定的货物性能、技术要求、质量标准向甲方提供未经使用的全新产品。</w:t>
      </w:r>
    </w:p>
    <w:p w14:paraId="360C1C9A">
      <w:pPr>
        <w:adjustRightInd/>
        <w:spacing w:line="360" w:lineRule="auto"/>
        <w:ind w:firstLine="411" w:firstLineChars="196"/>
        <w:rPr>
          <w:rFonts w:hint="eastAsia" w:ascii="宋体" w:hAnsi="宋体" w:cs="宋体"/>
          <w:color w:val="auto"/>
          <w:szCs w:val="21"/>
          <w:highlight w:val="none"/>
          <w:lang w:val="zh-CN"/>
        </w:rPr>
      </w:pPr>
      <w:r>
        <w:rPr>
          <w:rFonts w:hint="eastAsia" w:ascii="宋体" w:hAnsi="宋体" w:cs="宋体"/>
          <w:color w:val="auto"/>
          <w:szCs w:val="21"/>
          <w:highlight w:val="none"/>
          <w:lang w:val="zh-CN"/>
        </w:rPr>
        <w:t>2.乙方提供的货物在质保期内因货物本身的质量问题发生故障，乙方应负责免费更换。对达不到技术要求者，根据实际情况，经双方协商，可按以下办法处理：</w:t>
      </w:r>
    </w:p>
    <w:p w14:paraId="3B833501">
      <w:pPr>
        <w:adjustRightInd/>
        <w:spacing w:line="360" w:lineRule="auto"/>
        <w:ind w:firstLine="411" w:firstLineChars="196"/>
        <w:rPr>
          <w:rFonts w:hint="eastAsia" w:ascii="宋体" w:hAnsi="宋体" w:cs="宋体"/>
          <w:color w:val="auto"/>
          <w:szCs w:val="21"/>
          <w:highlight w:val="none"/>
          <w:lang w:val="zh-CN"/>
        </w:rPr>
      </w:pPr>
      <w:r>
        <w:rPr>
          <w:rFonts w:hint="eastAsia" w:ascii="宋体" w:hAnsi="宋体" w:cs="宋体"/>
          <w:color w:val="auto"/>
          <w:szCs w:val="21"/>
          <w:highlight w:val="none"/>
          <w:lang w:val="zh-CN"/>
        </w:rPr>
        <w:t>⑴更换：由乙方承担所发生的全部费用。</w:t>
      </w:r>
    </w:p>
    <w:p w14:paraId="2A9ECD0B">
      <w:pPr>
        <w:adjustRightInd/>
        <w:spacing w:line="360" w:lineRule="auto"/>
        <w:ind w:firstLine="411" w:firstLineChars="196"/>
        <w:rPr>
          <w:rFonts w:hint="eastAsia" w:ascii="宋体" w:hAnsi="宋体" w:cs="宋体"/>
          <w:color w:val="auto"/>
          <w:szCs w:val="21"/>
          <w:highlight w:val="none"/>
          <w:lang w:val="zh-CN"/>
        </w:rPr>
      </w:pPr>
      <w:r>
        <w:rPr>
          <w:rFonts w:hint="eastAsia" w:ascii="宋体" w:hAnsi="宋体" w:cs="宋体"/>
          <w:color w:val="auto"/>
          <w:szCs w:val="21"/>
          <w:highlight w:val="none"/>
          <w:lang w:val="zh-CN"/>
        </w:rPr>
        <w:t>⑵贬值处理：由甲乙双方合议定价。</w:t>
      </w:r>
    </w:p>
    <w:p w14:paraId="6A39AAF3">
      <w:pPr>
        <w:adjustRightInd/>
        <w:spacing w:line="360" w:lineRule="auto"/>
        <w:ind w:firstLine="411" w:firstLineChars="196"/>
        <w:rPr>
          <w:rFonts w:hint="eastAsia" w:ascii="宋体" w:hAnsi="宋体" w:cs="宋体"/>
          <w:color w:val="auto"/>
          <w:szCs w:val="21"/>
          <w:highlight w:val="none"/>
          <w:lang w:val="zh-CN"/>
        </w:rPr>
      </w:pPr>
      <w:r>
        <w:rPr>
          <w:rFonts w:hint="eastAsia" w:ascii="宋体" w:hAnsi="宋体" w:cs="宋体"/>
          <w:color w:val="auto"/>
          <w:szCs w:val="21"/>
          <w:highlight w:val="none"/>
          <w:lang w:val="zh-CN"/>
        </w:rPr>
        <w:t>⑶退货处理：乙方应退还甲方支付的合同款，同时应承担该货物的直接费用（运输、保险、检验、货款利息及银行手续费等）。</w:t>
      </w:r>
    </w:p>
    <w:p w14:paraId="24855CBF">
      <w:pPr>
        <w:adjustRightInd/>
        <w:spacing w:line="360" w:lineRule="auto"/>
        <w:ind w:firstLine="411" w:firstLineChars="196"/>
        <w:rPr>
          <w:rFonts w:hint="eastAsia" w:ascii="宋体" w:hAnsi="宋体" w:cs="宋体"/>
          <w:color w:val="auto"/>
          <w:szCs w:val="21"/>
          <w:highlight w:val="none"/>
          <w:lang w:val="zh-CN"/>
        </w:rPr>
      </w:pPr>
      <w:r>
        <w:rPr>
          <w:rFonts w:hint="eastAsia" w:ascii="宋体" w:hAnsi="宋体" w:cs="宋体"/>
          <w:color w:val="auto"/>
          <w:szCs w:val="21"/>
          <w:highlight w:val="none"/>
          <w:lang w:val="zh-CN"/>
        </w:rPr>
        <w:t>3.如在使用过程中发生质量问题，乙方在接到甲方通知后在小时内到达甲方现场。</w:t>
      </w:r>
    </w:p>
    <w:p w14:paraId="47A10C48">
      <w:pPr>
        <w:adjustRightInd/>
        <w:spacing w:line="360" w:lineRule="auto"/>
        <w:ind w:firstLine="411" w:firstLineChars="196"/>
        <w:rPr>
          <w:rFonts w:hint="eastAsia" w:ascii="宋体" w:hAnsi="宋体" w:cs="宋体"/>
          <w:color w:val="auto"/>
          <w:szCs w:val="21"/>
          <w:highlight w:val="none"/>
          <w:lang w:val="zh-CN"/>
        </w:rPr>
      </w:pPr>
      <w:r>
        <w:rPr>
          <w:rFonts w:hint="eastAsia" w:ascii="宋体" w:hAnsi="宋体" w:cs="宋体"/>
          <w:color w:val="auto"/>
          <w:szCs w:val="21"/>
          <w:highlight w:val="none"/>
          <w:lang w:val="zh-CN"/>
        </w:rPr>
        <w:t>4.在质保期内，乙方应对货物出现的质量及安全问题负责处理解决并承担一切费用。</w:t>
      </w:r>
    </w:p>
    <w:p w14:paraId="0669ADDB">
      <w:pPr>
        <w:adjustRightInd/>
        <w:spacing w:line="360" w:lineRule="auto"/>
        <w:ind w:firstLine="411" w:firstLineChars="196"/>
        <w:rPr>
          <w:rFonts w:hint="eastAsia" w:ascii="宋体" w:hAnsi="宋体" w:cs="宋体"/>
          <w:color w:val="auto"/>
          <w:szCs w:val="21"/>
          <w:highlight w:val="none"/>
          <w:lang w:val="zh-CN"/>
        </w:rPr>
      </w:pPr>
      <w:r>
        <w:rPr>
          <w:rFonts w:hint="eastAsia" w:ascii="宋体" w:hAnsi="宋体" w:cs="宋体"/>
          <w:color w:val="auto"/>
          <w:szCs w:val="21"/>
          <w:highlight w:val="none"/>
          <w:lang w:val="zh-CN"/>
        </w:rPr>
        <w:t>5.上述的货物免费保修期为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val="zh-CN"/>
        </w:rPr>
        <w:t>年，因人为因素出现的故障不在免费保修范围内。</w:t>
      </w:r>
    </w:p>
    <w:p w14:paraId="353187B3">
      <w:pPr>
        <w:adjustRightInd/>
        <w:spacing w:line="360" w:lineRule="auto"/>
        <w:ind w:firstLine="413" w:firstLineChars="196"/>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十</w:t>
      </w:r>
      <w:r>
        <w:rPr>
          <w:rFonts w:hint="eastAsia" w:ascii="宋体" w:hAnsi="宋体" w:cs="宋体"/>
          <w:b/>
          <w:bCs/>
          <w:color w:val="auto"/>
          <w:szCs w:val="21"/>
          <w:highlight w:val="none"/>
        </w:rPr>
        <w:t>三</w:t>
      </w:r>
      <w:r>
        <w:rPr>
          <w:rFonts w:hint="eastAsia" w:ascii="宋体" w:hAnsi="宋体" w:cs="宋体"/>
          <w:b/>
          <w:bCs/>
          <w:color w:val="auto"/>
          <w:szCs w:val="21"/>
          <w:highlight w:val="none"/>
          <w:lang w:val="zh-CN"/>
        </w:rPr>
        <w:t>、货物包装、发运及运输</w:t>
      </w:r>
    </w:p>
    <w:p w14:paraId="6ACC5909">
      <w:pPr>
        <w:adjustRightInd/>
        <w:spacing w:line="360" w:lineRule="auto"/>
        <w:ind w:firstLine="411" w:firstLineChars="196"/>
        <w:rPr>
          <w:rFonts w:hint="eastAsia" w:ascii="宋体" w:hAnsi="宋体" w:cs="宋体"/>
          <w:color w:val="auto"/>
          <w:szCs w:val="21"/>
          <w:highlight w:val="none"/>
          <w:lang w:val="zh-CN"/>
        </w:rPr>
      </w:pPr>
      <w:r>
        <w:rPr>
          <w:rFonts w:hint="eastAsia" w:ascii="宋体" w:hAnsi="宋体" w:cs="宋体"/>
          <w:color w:val="auto"/>
          <w:szCs w:val="21"/>
          <w:highlight w:val="none"/>
          <w:lang w:val="zh-CN"/>
        </w:rPr>
        <w:t>1.乙方应在货物发运前对其进行满足运输距离、防潮、防震、防锈和防破损装卸等要求包装，以保证货物安全运达甲方指定地点。</w:t>
      </w:r>
    </w:p>
    <w:p w14:paraId="18C78EE3">
      <w:pPr>
        <w:adjustRightInd/>
        <w:spacing w:line="360" w:lineRule="auto"/>
        <w:ind w:firstLine="411" w:firstLineChars="196"/>
        <w:rPr>
          <w:rFonts w:hint="eastAsia" w:ascii="宋体" w:hAnsi="宋体" w:cs="宋体"/>
          <w:color w:val="auto"/>
          <w:szCs w:val="21"/>
          <w:highlight w:val="none"/>
          <w:lang w:val="zh-CN"/>
        </w:rPr>
      </w:pPr>
      <w:r>
        <w:rPr>
          <w:rFonts w:hint="eastAsia" w:ascii="宋体" w:hAnsi="宋体" w:cs="宋体"/>
          <w:color w:val="auto"/>
          <w:szCs w:val="21"/>
          <w:highlight w:val="none"/>
          <w:lang w:val="zh-CN"/>
        </w:rPr>
        <w:t>2.使用说明书、质量检验证明书、随配附件和工具以及清单一并附于货物内。</w:t>
      </w:r>
    </w:p>
    <w:p w14:paraId="16E546FE">
      <w:pPr>
        <w:adjustRightInd/>
        <w:spacing w:line="360" w:lineRule="auto"/>
        <w:ind w:firstLine="411" w:firstLineChars="196"/>
        <w:rPr>
          <w:rFonts w:hint="eastAsia" w:ascii="宋体" w:hAnsi="宋体" w:cs="宋体"/>
          <w:color w:val="auto"/>
          <w:szCs w:val="21"/>
          <w:highlight w:val="none"/>
          <w:lang w:val="zh-CN"/>
        </w:rPr>
      </w:pPr>
      <w:r>
        <w:rPr>
          <w:rFonts w:hint="eastAsia" w:ascii="宋体" w:hAnsi="宋体" w:cs="宋体"/>
          <w:color w:val="auto"/>
          <w:szCs w:val="21"/>
          <w:highlight w:val="none"/>
          <w:lang w:val="zh-CN"/>
        </w:rPr>
        <w:t>3.乙方在货物发运手续办理完毕后24小时内或货到甲方48小时前通知甲方，以准备接货。</w:t>
      </w:r>
    </w:p>
    <w:p w14:paraId="00A805C4">
      <w:pPr>
        <w:adjustRightInd/>
        <w:spacing w:line="360" w:lineRule="auto"/>
        <w:ind w:firstLine="411" w:firstLineChars="196"/>
        <w:rPr>
          <w:rFonts w:hint="eastAsia" w:ascii="宋体" w:hAnsi="宋体" w:cs="宋体"/>
          <w:color w:val="auto"/>
          <w:szCs w:val="21"/>
          <w:highlight w:val="none"/>
          <w:lang w:val="zh-CN"/>
        </w:rPr>
      </w:pPr>
      <w:r>
        <w:rPr>
          <w:rFonts w:hint="eastAsia" w:ascii="宋体" w:hAnsi="宋体" w:cs="宋体"/>
          <w:color w:val="auto"/>
          <w:szCs w:val="21"/>
          <w:highlight w:val="none"/>
          <w:lang w:val="zh-CN"/>
        </w:rPr>
        <w:t>4.货物在交付甲方前发生的风险均由乙方负责。</w:t>
      </w:r>
    </w:p>
    <w:p w14:paraId="2485ABEE">
      <w:pPr>
        <w:adjustRightInd/>
        <w:spacing w:line="360" w:lineRule="auto"/>
        <w:ind w:firstLine="411" w:firstLineChars="196"/>
        <w:rPr>
          <w:rFonts w:hint="eastAsia" w:ascii="宋体" w:hAnsi="宋体" w:cs="宋体"/>
          <w:color w:val="auto"/>
          <w:szCs w:val="21"/>
          <w:highlight w:val="none"/>
          <w:lang w:val="zh-CN"/>
        </w:rPr>
      </w:pPr>
      <w:r>
        <w:rPr>
          <w:rFonts w:hint="eastAsia" w:ascii="宋体" w:hAnsi="宋体" w:cs="宋体"/>
          <w:color w:val="auto"/>
          <w:szCs w:val="21"/>
          <w:highlight w:val="none"/>
          <w:lang w:val="zh-CN"/>
        </w:rPr>
        <w:t>5.货物在规定的交付期限内由乙方送达甲方指定的地点，乙方同时需通知甲方接收货物。办理交接手续后视为货物已送达。</w:t>
      </w:r>
    </w:p>
    <w:p w14:paraId="29A57C72">
      <w:pPr>
        <w:adjustRightInd/>
        <w:spacing w:line="360" w:lineRule="auto"/>
        <w:ind w:firstLine="211" w:firstLineChars="100"/>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十</w:t>
      </w:r>
      <w:r>
        <w:rPr>
          <w:rFonts w:hint="eastAsia" w:ascii="宋体" w:hAnsi="宋体" w:cs="宋体"/>
          <w:b/>
          <w:bCs/>
          <w:color w:val="auto"/>
          <w:szCs w:val="21"/>
          <w:highlight w:val="none"/>
        </w:rPr>
        <w:t>四</w:t>
      </w:r>
      <w:r>
        <w:rPr>
          <w:rFonts w:hint="eastAsia" w:ascii="宋体" w:hAnsi="宋体" w:cs="宋体"/>
          <w:b/>
          <w:bCs/>
          <w:color w:val="auto"/>
          <w:szCs w:val="21"/>
          <w:highlight w:val="none"/>
          <w:lang w:val="zh-CN"/>
        </w:rPr>
        <w:t>、违约责任</w:t>
      </w:r>
    </w:p>
    <w:p w14:paraId="5B188006">
      <w:pPr>
        <w:adjustRightInd/>
        <w:spacing w:line="360" w:lineRule="auto"/>
        <w:ind w:firstLine="411" w:firstLineChars="196"/>
        <w:rPr>
          <w:rFonts w:hint="eastAsia" w:ascii="宋体" w:hAnsi="宋体" w:cs="宋体"/>
          <w:color w:val="auto"/>
          <w:szCs w:val="21"/>
          <w:highlight w:val="none"/>
          <w:lang w:val="zh-CN"/>
        </w:rPr>
      </w:pPr>
      <w:r>
        <w:rPr>
          <w:rFonts w:hint="eastAsia" w:ascii="宋体" w:hAnsi="宋体" w:cs="宋体"/>
          <w:color w:val="auto"/>
          <w:szCs w:val="21"/>
          <w:highlight w:val="none"/>
        </w:rPr>
        <w:t>1</w:t>
      </w:r>
      <w:r>
        <w:rPr>
          <w:rFonts w:hint="eastAsia" w:ascii="宋体" w:hAnsi="宋体" w:cs="宋体"/>
          <w:color w:val="auto"/>
          <w:szCs w:val="21"/>
          <w:highlight w:val="none"/>
          <w:lang w:val="zh-CN"/>
        </w:rPr>
        <w:t>.乙方逾期交付货物的，乙方应按逾期交货总额每日</w:t>
      </w:r>
      <w:r>
        <w:rPr>
          <w:rFonts w:hint="eastAsia" w:ascii="宋体" w:hAnsi="宋体" w:cs="宋体"/>
          <w:color w:val="auto"/>
          <w:szCs w:val="21"/>
          <w:highlight w:val="none"/>
          <w:u w:val="single"/>
          <w:lang w:val="zh-CN"/>
        </w:rPr>
        <w:t>千分之六</w:t>
      </w:r>
      <w:r>
        <w:rPr>
          <w:rFonts w:hint="eastAsia" w:ascii="宋体" w:hAnsi="宋体" w:cs="宋体"/>
          <w:color w:val="auto"/>
          <w:szCs w:val="21"/>
          <w:highlight w:val="none"/>
          <w:lang w:val="zh-CN"/>
        </w:rPr>
        <w:t>向甲方支付违约金，由甲方从待付货款中扣除。逾期超过约定日期</w:t>
      </w:r>
      <w:r>
        <w:rPr>
          <w:rFonts w:hint="eastAsia" w:ascii="宋体" w:hAnsi="宋体" w:cs="宋体"/>
          <w:color w:val="auto"/>
          <w:szCs w:val="21"/>
          <w:highlight w:val="none"/>
          <w:u w:val="single"/>
          <w:lang w:val="zh-CN"/>
        </w:rPr>
        <w:t>10个工作日</w:t>
      </w:r>
      <w:r>
        <w:rPr>
          <w:rFonts w:hint="eastAsia" w:ascii="宋体" w:hAnsi="宋体" w:cs="宋体"/>
          <w:color w:val="auto"/>
          <w:szCs w:val="21"/>
          <w:highlight w:val="none"/>
          <w:lang w:val="zh-CN"/>
        </w:rPr>
        <w:t>不能交货的，甲方可解除本合同。乙方因逾期交货或因其他违约行为导致甲方解除合同的，乙方应向甲方支付合同总值</w:t>
      </w:r>
      <w:r>
        <w:rPr>
          <w:rFonts w:hint="eastAsia" w:ascii="宋体" w:hAnsi="宋体" w:cs="宋体"/>
          <w:color w:val="auto"/>
          <w:szCs w:val="21"/>
          <w:highlight w:val="none"/>
          <w:u w:val="single"/>
          <w:lang w:val="zh-CN"/>
        </w:rPr>
        <w:t>5%</w:t>
      </w:r>
      <w:r>
        <w:rPr>
          <w:rFonts w:hint="eastAsia" w:ascii="宋体" w:hAnsi="宋体" w:cs="宋体"/>
          <w:color w:val="auto"/>
          <w:szCs w:val="21"/>
          <w:highlight w:val="none"/>
          <w:lang w:val="zh-CN"/>
        </w:rPr>
        <w:t xml:space="preserve">的违约金，如造成甲方损失超过违约金的，超出部分由乙方继续承担赔偿责任。 </w:t>
      </w:r>
    </w:p>
    <w:p w14:paraId="3FAE8F34">
      <w:pPr>
        <w:adjustRightInd/>
        <w:spacing w:line="360" w:lineRule="auto"/>
        <w:ind w:firstLine="411" w:firstLineChars="196"/>
        <w:rPr>
          <w:rFonts w:hint="eastAsia"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28D56F4">
      <w:pPr>
        <w:adjustRightInd/>
        <w:spacing w:line="360" w:lineRule="auto"/>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zh-CN"/>
        </w:rPr>
        <w:t>.若发生纠纷，由违约方赔偿守约方因纠纷所支付的费用（包括但不限于律师费、差旅费、诉讼费、保全费、鉴定费、评估费等）。</w:t>
      </w:r>
    </w:p>
    <w:p w14:paraId="0785CCA1">
      <w:pPr>
        <w:adjustRightInd/>
        <w:spacing w:line="360" w:lineRule="auto"/>
        <w:ind w:firstLine="211" w:firstLineChars="100"/>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十</w:t>
      </w:r>
      <w:r>
        <w:rPr>
          <w:rFonts w:hint="eastAsia" w:ascii="宋体" w:hAnsi="宋体" w:cs="宋体"/>
          <w:b/>
          <w:bCs/>
          <w:color w:val="auto"/>
          <w:szCs w:val="21"/>
          <w:highlight w:val="none"/>
        </w:rPr>
        <w:t>五</w:t>
      </w:r>
      <w:r>
        <w:rPr>
          <w:rFonts w:hint="eastAsia" w:ascii="宋体" w:hAnsi="宋体" w:cs="宋体"/>
          <w:b/>
          <w:bCs/>
          <w:color w:val="auto"/>
          <w:szCs w:val="21"/>
          <w:highlight w:val="none"/>
          <w:lang w:val="zh-CN"/>
        </w:rPr>
        <w:t>、不可抗力事件处理</w:t>
      </w:r>
    </w:p>
    <w:p w14:paraId="38743E32">
      <w:pPr>
        <w:adjustRightInd/>
        <w:spacing w:line="360" w:lineRule="auto"/>
        <w:ind w:firstLine="411" w:firstLineChars="196"/>
        <w:rPr>
          <w:rFonts w:hint="eastAsia" w:ascii="宋体" w:hAnsi="宋体" w:cs="宋体"/>
          <w:color w:val="auto"/>
          <w:szCs w:val="21"/>
          <w:highlight w:val="none"/>
          <w:lang w:val="zh-CN"/>
        </w:rPr>
      </w:pPr>
      <w:r>
        <w:rPr>
          <w:rFonts w:hint="eastAsia" w:ascii="宋体" w:hAnsi="宋体" w:cs="宋体"/>
          <w:color w:val="auto"/>
          <w:szCs w:val="21"/>
          <w:highlight w:val="none"/>
          <w:lang w:val="zh-CN"/>
        </w:rPr>
        <w:t>1.在合同有效期内，任何一方因不可抗力事件导致不能履行合同，则合同履行期可延长，其延长期与不可抗力影响期相同。</w:t>
      </w:r>
    </w:p>
    <w:p w14:paraId="252825A7">
      <w:pPr>
        <w:adjustRightInd/>
        <w:spacing w:line="360" w:lineRule="auto"/>
        <w:ind w:firstLine="411" w:firstLineChars="196"/>
        <w:rPr>
          <w:rFonts w:hint="eastAsia" w:ascii="宋体" w:hAnsi="宋体" w:cs="宋体"/>
          <w:color w:val="auto"/>
          <w:szCs w:val="21"/>
          <w:highlight w:val="none"/>
          <w:lang w:val="zh-CN"/>
        </w:rPr>
      </w:pPr>
      <w:r>
        <w:rPr>
          <w:rFonts w:hint="eastAsia" w:ascii="宋体" w:hAnsi="宋体" w:cs="宋体"/>
          <w:color w:val="auto"/>
          <w:szCs w:val="21"/>
          <w:highlight w:val="none"/>
          <w:lang w:val="zh-CN"/>
        </w:rPr>
        <w:t>2.不可抗力事件发生后，应立即通知对方，并寄送有关权威机构出具的证明。</w:t>
      </w:r>
    </w:p>
    <w:p w14:paraId="2D429120">
      <w:pPr>
        <w:adjustRightInd/>
        <w:spacing w:line="360" w:lineRule="auto"/>
        <w:ind w:firstLine="411" w:firstLineChars="196"/>
        <w:rPr>
          <w:rFonts w:hint="eastAsia" w:ascii="宋体" w:hAnsi="宋体" w:cs="宋体"/>
          <w:color w:val="auto"/>
          <w:szCs w:val="21"/>
          <w:highlight w:val="none"/>
          <w:lang w:val="zh-CN"/>
        </w:rPr>
      </w:pPr>
      <w:r>
        <w:rPr>
          <w:rFonts w:hint="eastAsia" w:ascii="宋体" w:hAnsi="宋体" w:cs="宋体"/>
          <w:color w:val="auto"/>
          <w:szCs w:val="21"/>
          <w:highlight w:val="none"/>
          <w:lang w:val="zh-CN"/>
        </w:rPr>
        <w:t>3.不可抗力事件延续120天以上，双方应通过友好协商，确定是否继续履行合同。</w:t>
      </w:r>
    </w:p>
    <w:p w14:paraId="27F8D1CD">
      <w:pPr>
        <w:adjustRightInd/>
        <w:spacing w:line="360" w:lineRule="auto"/>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十</w:t>
      </w:r>
      <w:r>
        <w:rPr>
          <w:rFonts w:hint="eastAsia" w:ascii="宋体" w:hAnsi="宋体" w:cs="宋体"/>
          <w:b/>
          <w:bCs/>
          <w:color w:val="auto"/>
          <w:szCs w:val="21"/>
          <w:highlight w:val="none"/>
        </w:rPr>
        <w:t>六</w:t>
      </w:r>
      <w:r>
        <w:rPr>
          <w:rFonts w:hint="eastAsia" w:ascii="宋体" w:hAnsi="宋体" w:cs="宋体"/>
          <w:b/>
          <w:bCs/>
          <w:color w:val="auto"/>
          <w:szCs w:val="21"/>
          <w:highlight w:val="none"/>
          <w:lang w:val="zh-CN"/>
        </w:rPr>
        <w:t>、解决争议的方法</w:t>
      </w:r>
    </w:p>
    <w:p w14:paraId="50B5B55B">
      <w:pPr>
        <w:adjustRightInd/>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如双方在履行合同时发生纠纷，应协商解决；协商不成时，可依法向</w:t>
      </w:r>
      <w:r>
        <w:rPr>
          <w:rFonts w:hint="eastAsia" w:ascii="宋体" w:hAnsi="宋体" w:cs="宋体"/>
          <w:color w:val="auto"/>
          <w:szCs w:val="21"/>
          <w:highlight w:val="none"/>
        </w:rPr>
        <w:t>甲方所在地</w:t>
      </w:r>
      <w:r>
        <w:rPr>
          <w:rFonts w:hint="eastAsia" w:ascii="宋体" w:hAnsi="宋体" w:cs="宋体"/>
          <w:color w:val="auto"/>
          <w:szCs w:val="21"/>
          <w:highlight w:val="none"/>
          <w:lang w:val="zh-CN"/>
        </w:rPr>
        <w:t xml:space="preserve">人民法院提起诉讼。 </w:t>
      </w:r>
    </w:p>
    <w:p w14:paraId="5D83565A">
      <w:pPr>
        <w:adjustRightInd/>
        <w:spacing w:line="360" w:lineRule="auto"/>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十</w:t>
      </w:r>
      <w:r>
        <w:rPr>
          <w:rFonts w:hint="eastAsia" w:ascii="宋体" w:hAnsi="宋体" w:cs="宋体"/>
          <w:b/>
          <w:bCs/>
          <w:color w:val="auto"/>
          <w:szCs w:val="21"/>
          <w:highlight w:val="none"/>
        </w:rPr>
        <w:t>七</w:t>
      </w:r>
      <w:r>
        <w:rPr>
          <w:rFonts w:hint="eastAsia" w:ascii="宋体" w:hAnsi="宋体" w:cs="宋体"/>
          <w:b/>
          <w:bCs/>
          <w:color w:val="auto"/>
          <w:szCs w:val="21"/>
          <w:highlight w:val="none"/>
          <w:lang w:val="zh-CN"/>
        </w:rPr>
        <w:t>、合同生效及其它</w:t>
      </w:r>
      <w:r>
        <w:rPr>
          <w:rFonts w:hint="eastAsia" w:ascii="宋体" w:hAnsi="宋体" w:cs="宋体"/>
          <w:b/>
          <w:bCs/>
          <w:color w:val="auto"/>
          <w:szCs w:val="21"/>
          <w:highlight w:val="none"/>
          <w:lang w:val="zh-CN"/>
        </w:rPr>
        <w:tab/>
      </w:r>
    </w:p>
    <w:p w14:paraId="6C982373">
      <w:pPr>
        <w:adjustRightInd/>
        <w:spacing w:line="360" w:lineRule="auto"/>
        <w:ind w:firstLine="411" w:firstLineChars="196"/>
        <w:rPr>
          <w:rFonts w:hint="eastAsia" w:ascii="宋体" w:hAnsi="宋体" w:cs="宋体"/>
          <w:color w:val="auto"/>
          <w:szCs w:val="21"/>
          <w:highlight w:val="none"/>
          <w:lang w:val="zh-CN"/>
        </w:rPr>
      </w:pPr>
      <w:r>
        <w:rPr>
          <w:rFonts w:hint="eastAsia" w:ascii="宋体" w:hAnsi="宋体" w:cs="宋体"/>
          <w:color w:val="auto"/>
          <w:szCs w:val="21"/>
          <w:highlight w:val="none"/>
          <w:lang w:val="zh-CN"/>
        </w:rPr>
        <w:t>1.合同经双方法定代表人或授权代表签字并加盖单位公章后生效。</w:t>
      </w:r>
    </w:p>
    <w:p w14:paraId="334E9823">
      <w:pPr>
        <w:adjustRightInd/>
        <w:spacing w:line="360" w:lineRule="auto"/>
        <w:ind w:firstLine="411" w:firstLineChars="196"/>
        <w:rPr>
          <w:rFonts w:hint="eastAsia" w:ascii="宋体" w:hAnsi="宋体" w:cs="宋体"/>
          <w:color w:val="auto"/>
          <w:szCs w:val="21"/>
          <w:highlight w:val="none"/>
          <w:lang w:val="zh-CN"/>
        </w:rPr>
      </w:pPr>
      <w:r>
        <w:rPr>
          <w:rFonts w:hint="eastAsia" w:ascii="宋体" w:hAnsi="宋体" w:cs="宋体"/>
          <w:color w:val="auto"/>
          <w:szCs w:val="21"/>
          <w:highlight w:val="none"/>
          <w:lang w:val="zh-CN"/>
        </w:rPr>
        <w:t>2.本合同一式</w:t>
      </w:r>
      <w:r>
        <w:rPr>
          <w:rFonts w:hint="eastAsia" w:ascii="宋体" w:hAnsi="宋体" w:cs="宋体"/>
          <w:color w:val="auto"/>
          <w:szCs w:val="21"/>
          <w:highlight w:val="none"/>
        </w:rPr>
        <w:t>肆</w:t>
      </w:r>
      <w:r>
        <w:rPr>
          <w:rFonts w:hint="eastAsia" w:ascii="宋体" w:hAnsi="宋体" w:cs="宋体"/>
          <w:color w:val="auto"/>
          <w:szCs w:val="21"/>
          <w:highlight w:val="none"/>
          <w:lang w:val="zh-CN"/>
        </w:rPr>
        <w:t>份。甲、乙双方各执</w:t>
      </w:r>
      <w:r>
        <w:rPr>
          <w:rFonts w:hint="eastAsia" w:ascii="宋体" w:hAnsi="宋体" w:cs="宋体"/>
          <w:color w:val="auto"/>
          <w:szCs w:val="21"/>
          <w:highlight w:val="none"/>
        </w:rPr>
        <w:t>贰</w:t>
      </w:r>
      <w:r>
        <w:rPr>
          <w:rFonts w:hint="eastAsia" w:ascii="宋体" w:hAnsi="宋体" w:cs="宋体"/>
          <w:color w:val="auto"/>
          <w:szCs w:val="21"/>
          <w:highlight w:val="none"/>
          <w:lang w:val="zh-CN"/>
        </w:rPr>
        <w:t>份，具有同等法律效力。本项目未尽事宜以招标文件、投标文件及澄清文件等为准。</w:t>
      </w:r>
    </w:p>
    <w:p w14:paraId="6382150F">
      <w:pPr>
        <w:pStyle w:val="62"/>
        <w:spacing w:line="360" w:lineRule="auto"/>
        <w:ind w:firstLine="420"/>
        <w:rPr>
          <w:rFonts w:hint="eastAsia" w:cs="宋体"/>
          <w:color w:val="auto"/>
          <w:szCs w:val="21"/>
          <w:highlight w:val="none"/>
        </w:rPr>
      </w:pPr>
    </w:p>
    <w:p w14:paraId="5A46BA98">
      <w:pPr>
        <w:adjustRightInd/>
        <w:spacing w:line="360" w:lineRule="auto"/>
        <w:rPr>
          <w:rFonts w:hint="eastAsia" w:ascii="宋体" w:hAnsi="宋体" w:cs="宋体"/>
          <w:color w:val="auto"/>
          <w:szCs w:val="21"/>
          <w:highlight w:val="none"/>
        </w:rPr>
      </w:pPr>
      <w:r>
        <w:rPr>
          <w:rFonts w:hint="eastAsia" w:ascii="宋体" w:hAnsi="宋体" w:cs="宋体"/>
          <w:color w:val="auto"/>
          <w:szCs w:val="21"/>
          <w:highlight w:val="none"/>
        </w:rPr>
        <w:t>甲方（公章）                               乙方（公章）</w:t>
      </w:r>
    </w:p>
    <w:p w14:paraId="6F74873C">
      <w:pPr>
        <w:adjustRightInd/>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                               法定代表人：</w:t>
      </w:r>
    </w:p>
    <w:p w14:paraId="4E6AB344">
      <w:pPr>
        <w:adjustRightInd/>
        <w:spacing w:line="360" w:lineRule="auto"/>
        <w:rPr>
          <w:rFonts w:hint="eastAsia" w:ascii="宋体" w:hAnsi="宋体" w:cs="宋体"/>
          <w:color w:val="auto"/>
          <w:szCs w:val="21"/>
          <w:highlight w:val="none"/>
        </w:rPr>
      </w:pPr>
      <w:r>
        <w:rPr>
          <w:rFonts w:hint="eastAsia" w:ascii="宋体" w:hAnsi="宋体" w:cs="宋体"/>
          <w:color w:val="auto"/>
          <w:szCs w:val="21"/>
          <w:highlight w:val="none"/>
        </w:rPr>
        <w:t>委托代理人：                               委托代理人：</w:t>
      </w:r>
    </w:p>
    <w:p w14:paraId="51F792D9">
      <w:pPr>
        <w:adjustRightInd/>
        <w:spacing w:line="360" w:lineRule="auto"/>
        <w:rPr>
          <w:rFonts w:hint="eastAsia" w:ascii="宋体" w:hAnsi="宋体" w:cs="宋体"/>
          <w:color w:val="auto"/>
          <w:szCs w:val="21"/>
          <w:highlight w:val="none"/>
        </w:rPr>
      </w:pPr>
      <w:r>
        <w:rPr>
          <w:rFonts w:hint="eastAsia" w:ascii="宋体" w:hAnsi="宋体" w:cs="宋体"/>
          <w:color w:val="auto"/>
          <w:szCs w:val="21"/>
          <w:highlight w:val="none"/>
        </w:rPr>
        <w:t>联系电话：                                 联系电话：</w:t>
      </w:r>
    </w:p>
    <w:p w14:paraId="6AB711AA">
      <w:pPr>
        <w:adjustRightInd/>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开户银行：                                 开户银行：（必填）</w:t>
      </w:r>
    </w:p>
    <w:p w14:paraId="6A3AAC4A">
      <w:pPr>
        <w:adjustRightInd/>
        <w:spacing w:line="360" w:lineRule="auto"/>
        <w:rPr>
          <w:rFonts w:hint="eastAsia" w:ascii="宋体" w:hAnsi="宋体" w:cs="宋体"/>
          <w:b/>
          <w:bCs/>
          <w:color w:val="auto"/>
          <w:szCs w:val="21"/>
          <w:highlight w:val="none"/>
        </w:rPr>
      </w:pPr>
      <w:r>
        <w:rPr>
          <w:rFonts w:hint="eastAsia" w:ascii="宋体" w:hAnsi="宋体" w:cs="宋体"/>
          <w:color w:val="auto"/>
          <w:szCs w:val="21"/>
          <w:highlight w:val="none"/>
        </w:rPr>
        <w:t>账号：                                     账号：（必填）</w:t>
      </w:r>
    </w:p>
    <w:p w14:paraId="07BBE277">
      <w:pPr>
        <w:adjustRightInd/>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地址及邮编：                               地址及邮编：</w:t>
      </w:r>
    </w:p>
    <w:p w14:paraId="39448161">
      <w:pPr>
        <w:snapToGrid w:val="0"/>
        <w:jc w:val="center"/>
        <w:rPr>
          <w:rFonts w:hint="eastAsia" w:ascii="黑体" w:hAnsi="华文中宋" w:eastAsia="黑体"/>
          <w:color w:val="auto"/>
          <w:sz w:val="28"/>
          <w:szCs w:val="28"/>
          <w:highlight w:val="none"/>
        </w:rPr>
      </w:pPr>
    </w:p>
    <w:bookmarkEnd w:id="430"/>
    <w:p w14:paraId="570E1063">
      <w:pPr>
        <w:spacing w:line="480" w:lineRule="auto"/>
        <w:jc w:val="center"/>
        <w:rPr>
          <w:rFonts w:hint="eastAsia" w:ascii="宋体" w:hAnsi="宋体" w:cs="宋体"/>
          <w:b/>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772A201">
      <w:pPr>
        <w:widowControl/>
        <w:spacing w:line="360" w:lineRule="auto"/>
        <w:rPr>
          <w:rFonts w:hint="eastAsia" w:ascii="宋体" w:hAnsi="宋体" w:cs="宋体"/>
          <w:b/>
          <w:color w:val="auto"/>
          <w:kern w:val="0"/>
          <w:szCs w:val="21"/>
          <w:highlight w:val="none"/>
        </w:rPr>
      </w:pPr>
      <w:r>
        <w:rPr>
          <w:rFonts w:hint="eastAsia" w:ascii="宋体" w:hAnsi="宋体" w:cs="宋体"/>
          <w:b/>
          <w:color w:val="auto"/>
          <w:kern w:val="0"/>
          <w:szCs w:val="21"/>
          <w:highlight w:val="none"/>
        </w:rPr>
        <w:t>附件：廉政协议书</w:t>
      </w:r>
    </w:p>
    <w:p w14:paraId="77872F3A">
      <w:pPr>
        <w:pStyle w:val="4"/>
        <w:ind w:firstLine="4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廉政协议书</w:t>
      </w:r>
    </w:p>
    <w:p w14:paraId="77079E0E">
      <w:pPr>
        <w:widowControl/>
        <w:spacing w:line="360" w:lineRule="auto"/>
        <w:ind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rPr>
        <w:t>甲方：</w:t>
      </w:r>
    </w:p>
    <w:p w14:paraId="77861127">
      <w:pPr>
        <w:widowControl/>
        <w:spacing w:line="360" w:lineRule="auto"/>
        <w:ind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rPr>
        <w:t>乙方：</w:t>
      </w:r>
    </w:p>
    <w:p w14:paraId="648EE797">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为了进一步规范甲乙双方合同履约过程的廉政风险，认真贯彻公平、公正、公开的原则，建立有效的反商业贿赂机制，加强党风廉政建设，防止经营活动中不正之风和腐败现象的发生，经双方协商同意，签订本协议。</w:t>
      </w:r>
    </w:p>
    <w:p w14:paraId="0741C38A">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第一条  协议双方须严格遵守国家法律和廉政建设各项规定，遵守中央八项规定精神及其实施细则。双方有相互监督、遵纪守法、履行合同的义务和权利。</w:t>
      </w:r>
    </w:p>
    <w:p w14:paraId="4609D275">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第二条  甲方及有关工作人员不得利用职务便利以任何理由向乙方索要回扣、佣金、礼金礼券、礼卡及各种有价证券；不得去乙方报销应有甲方及个人支付的费用；不得参加可能对公正执行公务有影响的宴请、资助旅游和各种营业性娱乐活动；不得对乙方无理刁难或设卡。</w:t>
      </w:r>
    </w:p>
    <w:p w14:paraId="529A3504">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第三条  乙方在经营活动中必须遵守法律法规和合同规定，不得为获取自身利益而向甲方及有关工作人员赠送现金、礼金礼券、礼卡及各种有价证券；不得与甲方及有关工作人员就合同的有关事宜进行任何不正当的私下交易；不得以洽谈业务、签订合同等为借口邀请甲方及有关工作人员参加宴请、旅游和其他营业性娱乐活动。</w:t>
      </w:r>
    </w:p>
    <w:p w14:paraId="0A89E579">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第四条  乙方对甲方及有关工作人员的违法违纪行为和不正当要求，可及时据实向甲方纪检、监察部门投诉和举报。</w:t>
      </w:r>
    </w:p>
    <w:p w14:paraId="1E2D0021">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第五条  对违反本协议者，根据其后果和违纪程度，可以做出以下处理：批评、诫勉；党纪政纪处分；追究法律责任；追究违约方经济责任；中止合同。    </w:t>
      </w:r>
    </w:p>
    <w:p w14:paraId="17E5A890">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第六条  本协议贯穿于整个装卸劳务服务过程。</w:t>
      </w:r>
    </w:p>
    <w:p w14:paraId="785A4470">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第七条  本协议作为双方合同的附件，经双方签署后生效。</w:t>
      </w:r>
    </w:p>
    <w:p w14:paraId="05AE353E">
      <w:pPr>
        <w:widowControl/>
        <w:spacing w:line="360" w:lineRule="auto"/>
        <w:ind w:firstLine="210" w:firstLineChars="100"/>
        <w:jc w:val="left"/>
        <w:rPr>
          <w:rFonts w:hint="eastAsia" w:ascii="宋体" w:hAnsi="宋体" w:cs="宋体"/>
          <w:color w:val="auto"/>
          <w:szCs w:val="21"/>
          <w:highlight w:val="none"/>
        </w:rPr>
      </w:pPr>
    </w:p>
    <w:p w14:paraId="3B98E25E">
      <w:pPr>
        <w:widowControl/>
        <w:spacing w:line="360" w:lineRule="auto"/>
        <w:ind w:firstLine="840" w:firstLineChars="400"/>
        <w:jc w:val="left"/>
        <w:rPr>
          <w:rFonts w:hint="eastAsia" w:ascii="宋体" w:hAnsi="宋体" w:cs="宋体"/>
          <w:color w:val="auto"/>
          <w:szCs w:val="21"/>
          <w:highlight w:val="none"/>
        </w:rPr>
      </w:pPr>
      <w:r>
        <w:rPr>
          <w:rFonts w:hint="eastAsia" w:ascii="宋体" w:hAnsi="宋体" w:cs="宋体"/>
          <w:color w:val="auto"/>
          <w:szCs w:val="21"/>
          <w:highlight w:val="none"/>
        </w:rPr>
        <w:t>甲方（盖章）：                          乙方（盖章） ：</w:t>
      </w:r>
    </w:p>
    <w:p w14:paraId="3F8E9717">
      <w:pPr>
        <w:spacing w:line="480" w:lineRule="auto"/>
        <w:jc w:val="center"/>
        <w:rPr>
          <w:rFonts w:hint="eastAsia" w:ascii="宋体" w:hAnsi="宋体" w:cs="宋体"/>
          <w:b/>
          <w:color w:val="auto"/>
          <w:sz w:val="24"/>
          <w:highlight w:val="none"/>
        </w:rPr>
      </w:pPr>
    </w:p>
    <w:p w14:paraId="6CB888EA">
      <w:pPr>
        <w:spacing w:line="480" w:lineRule="auto"/>
        <w:jc w:val="center"/>
        <w:rPr>
          <w:rFonts w:hint="eastAsia" w:ascii="宋体" w:hAnsi="宋体" w:cs="宋体"/>
          <w:b/>
          <w:color w:val="auto"/>
          <w:sz w:val="24"/>
          <w:highlight w:val="none"/>
        </w:rPr>
      </w:pPr>
    </w:p>
    <w:p w14:paraId="10700DA7">
      <w:pPr>
        <w:spacing w:line="360" w:lineRule="auto"/>
        <w:ind w:left="-420" w:leftChars="-200" w:right="-420" w:rightChars="-200"/>
        <w:rPr>
          <w:rFonts w:hint="eastAsia" w:ascii="宋体" w:hAnsi="宋体" w:cs="宋体"/>
          <w:color w:val="auto"/>
          <w:sz w:val="24"/>
          <w:highlight w:val="none"/>
        </w:rPr>
      </w:pPr>
    </w:p>
    <w:p w14:paraId="6E0BFE59">
      <w:pPr>
        <w:pStyle w:val="4"/>
        <w:rPr>
          <w:rFonts w:hint="eastAsia"/>
          <w:color w:val="auto"/>
          <w:highlight w:val="none"/>
        </w:rPr>
      </w:pPr>
    </w:p>
    <w:p w14:paraId="4A32F591">
      <w:pPr>
        <w:rPr>
          <w:color w:val="auto"/>
          <w:highlight w:val="none"/>
        </w:rPr>
      </w:pPr>
    </w:p>
    <w:p w14:paraId="7C6EBD49">
      <w:pPr>
        <w:pStyle w:val="2"/>
        <w:rPr>
          <w:rFonts w:hint="eastAsia"/>
          <w:color w:val="auto"/>
          <w:highlight w:val="none"/>
        </w:rPr>
      </w:pPr>
    </w:p>
    <w:p w14:paraId="228D8E15">
      <w:pPr>
        <w:pStyle w:val="2"/>
        <w:rPr>
          <w:rFonts w:hint="eastAsia"/>
          <w:color w:val="auto"/>
          <w:highlight w:val="none"/>
        </w:rPr>
      </w:pPr>
    </w:p>
    <w:p w14:paraId="4E0275DF">
      <w:pPr>
        <w:pStyle w:val="2"/>
        <w:rPr>
          <w:rFonts w:hint="eastAsia"/>
          <w:color w:val="auto"/>
          <w:highlight w:val="none"/>
        </w:rPr>
      </w:pPr>
    </w:p>
    <w:p w14:paraId="4345F62D">
      <w:pPr>
        <w:pStyle w:val="2"/>
        <w:rPr>
          <w:rFonts w:hint="eastAsia"/>
          <w:color w:val="auto"/>
          <w:highlight w:val="none"/>
        </w:rPr>
      </w:pPr>
    </w:p>
    <w:p w14:paraId="758B87D9">
      <w:pPr>
        <w:pStyle w:val="2"/>
        <w:rPr>
          <w:rFonts w:hint="eastAsia"/>
          <w:color w:val="auto"/>
          <w:highlight w:val="none"/>
        </w:rPr>
      </w:pPr>
    </w:p>
    <w:p w14:paraId="77DE7B82">
      <w:pPr>
        <w:pStyle w:val="2"/>
        <w:rPr>
          <w:rFonts w:hint="eastAsia"/>
          <w:color w:val="auto"/>
          <w:highlight w:val="none"/>
        </w:rPr>
      </w:pPr>
    </w:p>
    <w:p w14:paraId="0FE66399">
      <w:pPr>
        <w:pStyle w:val="2"/>
        <w:rPr>
          <w:rFonts w:hint="eastAsia"/>
          <w:color w:val="auto"/>
          <w:highlight w:val="none"/>
        </w:rPr>
      </w:pPr>
    </w:p>
    <w:p w14:paraId="72C6B1AB">
      <w:pPr>
        <w:pStyle w:val="2"/>
        <w:rPr>
          <w:rFonts w:hint="eastAsia"/>
          <w:color w:val="auto"/>
          <w:highlight w:val="none"/>
        </w:rPr>
      </w:pPr>
    </w:p>
    <w:p w14:paraId="156219FE">
      <w:pPr>
        <w:pStyle w:val="2"/>
        <w:rPr>
          <w:rFonts w:hint="eastAsia"/>
          <w:color w:val="auto"/>
          <w:highlight w:val="none"/>
        </w:rPr>
      </w:pPr>
    </w:p>
    <w:p w14:paraId="7894B757">
      <w:pPr>
        <w:rPr>
          <w:color w:val="auto"/>
          <w:highlight w:val="none"/>
        </w:rPr>
      </w:pPr>
    </w:p>
    <w:p w14:paraId="053420C6">
      <w:pPr>
        <w:spacing w:line="360" w:lineRule="auto"/>
        <w:ind w:left="720" w:firstLine="723" w:firstLineChars="200"/>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28"/>
      <w:r>
        <w:rPr>
          <w:rFonts w:hint="eastAsia" w:ascii="宋体" w:hAnsi="宋体" w:cs="宋体"/>
          <w:b/>
          <w:color w:val="auto"/>
          <w:sz w:val="36"/>
          <w:szCs w:val="20"/>
          <w:highlight w:val="none"/>
        </w:rPr>
        <w:t xml:space="preserve"> </w:t>
      </w:r>
      <w:bookmarkEnd w:id="429"/>
      <w:r>
        <w:rPr>
          <w:rFonts w:hint="eastAsia" w:ascii="宋体" w:hAnsi="宋体" w:cs="宋体"/>
          <w:b/>
          <w:color w:val="auto"/>
          <w:sz w:val="36"/>
          <w:szCs w:val="20"/>
          <w:highlight w:val="none"/>
        </w:rPr>
        <w:t>应提交的有关格式范例</w:t>
      </w:r>
    </w:p>
    <w:p w14:paraId="410D83D9">
      <w:pPr>
        <w:spacing w:line="360" w:lineRule="auto"/>
        <w:jc w:val="center"/>
        <w:outlineLvl w:val="0"/>
        <w:rPr>
          <w:rFonts w:hint="eastAsia" w:ascii="宋体" w:hAnsi="宋体" w:cs="宋体"/>
          <w:b/>
          <w:color w:val="auto"/>
          <w:kern w:val="0"/>
          <w:sz w:val="36"/>
          <w:szCs w:val="36"/>
          <w:highlight w:val="none"/>
        </w:rPr>
      </w:pPr>
    </w:p>
    <w:p w14:paraId="382CFB3B">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0F0E0FB">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75A4FC8">
      <w:pPr>
        <w:spacing w:line="360" w:lineRule="auto"/>
        <w:jc w:val="center"/>
        <w:outlineLvl w:val="0"/>
        <w:rPr>
          <w:rFonts w:hint="eastAsia" w:ascii="宋体" w:hAnsi="宋体" w:cs="宋体"/>
          <w:b/>
          <w:color w:val="auto"/>
          <w:kern w:val="0"/>
          <w:sz w:val="36"/>
          <w:szCs w:val="36"/>
          <w:highlight w:val="none"/>
        </w:rPr>
      </w:pPr>
    </w:p>
    <w:p w14:paraId="2A8123A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（1）符合参加采购活动应当具备的一般条件的承诺函……………（页码）</w:t>
      </w:r>
    </w:p>
    <w:p w14:paraId="785096F9">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078FE3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B31C63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417A20E">
      <w:pPr>
        <w:snapToGrid w:val="0"/>
        <w:spacing w:line="360" w:lineRule="auto"/>
        <w:ind w:firstLine="480" w:firstLineChars="200"/>
        <w:rPr>
          <w:rFonts w:hint="eastAsia" w:ascii="宋体" w:hAnsi="宋体" w:cs="宋体"/>
          <w:color w:val="auto"/>
          <w:sz w:val="24"/>
          <w:highlight w:val="none"/>
        </w:rPr>
      </w:pPr>
    </w:p>
    <w:p w14:paraId="23E396E0">
      <w:pPr>
        <w:spacing w:line="360" w:lineRule="auto"/>
        <w:ind w:firstLine="480" w:firstLineChars="200"/>
        <w:rPr>
          <w:rFonts w:hint="eastAsia" w:ascii="宋体" w:hAnsi="宋体" w:cs="宋体"/>
          <w:color w:val="auto"/>
          <w:sz w:val="24"/>
          <w:highlight w:val="none"/>
        </w:rPr>
      </w:pPr>
    </w:p>
    <w:p w14:paraId="3D8444EB">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14:paraId="1A87A90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杭州市旅游职业学校 、浙江中通通信有限公司：</w:t>
      </w:r>
    </w:p>
    <w:p w14:paraId="2583343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我方参与杭州市旅游职业学校葵巷校区智慧教室建设【招标编号：HLZ-2025-014】采购活动，郑重承诺：</w:t>
      </w:r>
    </w:p>
    <w:p w14:paraId="51D4A171">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7395F6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06AAC8A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5D2EBA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6FC1F3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A82BE2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665F08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178C2E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D13057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70BA8F4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0C1D8D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589F0F9">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156AD49">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9BEF193">
      <w:pPr>
        <w:snapToGrid w:val="0"/>
        <w:spacing w:line="360" w:lineRule="auto"/>
        <w:ind w:right="480"/>
        <w:jc w:val="center"/>
        <w:rPr>
          <w:rFonts w:hint="eastAsia" w:ascii="宋体" w:hAnsi="宋体" w:cs="宋体"/>
          <w:b/>
          <w:color w:val="auto"/>
          <w:kern w:val="0"/>
          <w:sz w:val="32"/>
          <w:szCs w:val="32"/>
          <w:highlight w:val="none"/>
        </w:rPr>
      </w:pPr>
    </w:p>
    <w:p w14:paraId="0B1FCE49">
      <w:pPr>
        <w:snapToGrid w:val="0"/>
        <w:spacing w:line="360" w:lineRule="auto"/>
        <w:ind w:right="480"/>
        <w:jc w:val="center"/>
        <w:rPr>
          <w:rFonts w:hint="eastAsia" w:ascii="宋体" w:hAnsi="宋体" w:cs="宋体"/>
          <w:b/>
          <w:color w:val="auto"/>
          <w:kern w:val="0"/>
          <w:sz w:val="32"/>
          <w:szCs w:val="32"/>
          <w:highlight w:val="none"/>
        </w:rPr>
      </w:pPr>
    </w:p>
    <w:p w14:paraId="658CDDD4">
      <w:pPr>
        <w:snapToGrid w:val="0"/>
        <w:spacing w:line="360" w:lineRule="auto"/>
        <w:ind w:right="480"/>
        <w:jc w:val="center"/>
        <w:rPr>
          <w:rFonts w:hint="eastAsia" w:ascii="宋体" w:hAnsi="宋体" w:cs="宋体"/>
          <w:b/>
          <w:color w:val="auto"/>
          <w:kern w:val="0"/>
          <w:sz w:val="32"/>
          <w:szCs w:val="32"/>
          <w:highlight w:val="none"/>
        </w:rPr>
      </w:pPr>
    </w:p>
    <w:p w14:paraId="7F7F08CB">
      <w:pPr>
        <w:rPr>
          <w:rFonts w:hint="eastAsia" w:ascii="宋体" w:hAnsi="宋体" w:cs="宋体"/>
          <w:color w:val="auto"/>
          <w:highlight w:val="none"/>
        </w:rPr>
      </w:pPr>
    </w:p>
    <w:p w14:paraId="6ECCB766">
      <w:pPr>
        <w:snapToGrid w:val="0"/>
        <w:spacing w:line="360" w:lineRule="auto"/>
        <w:ind w:right="480"/>
        <w:jc w:val="center"/>
        <w:rPr>
          <w:rFonts w:hint="eastAsia" w:ascii="宋体" w:hAnsi="宋体" w:cs="宋体"/>
          <w:b/>
          <w:color w:val="auto"/>
          <w:kern w:val="0"/>
          <w:sz w:val="32"/>
          <w:szCs w:val="32"/>
          <w:highlight w:val="none"/>
        </w:rPr>
      </w:pPr>
    </w:p>
    <w:p w14:paraId="6F38D21D">
      <w:pPr>
        <w:widowControl/>
        <w:spacing w:line="360" w:lineRule="auto"/>
        <w:ind w:firstLine="643" w:firstLineChars="200"/>
        <w:jc w:val="center"/>
        <w:rPr>
          <w:rFonts w:hint="eastAsia"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384D28BB">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EDECCBA">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09179D5">
      <w:pPr>
        <w:snapToGrid w:val="0"/>
        <w:spacing w:line="360" w:lineRule="auto"/>
        <w:ind w:right="480"/>
        <w:jc w:val="center"/>
        <w:rPr>
          <w:rFonts w:hint="eastAsia" w:ascii="宋体" w:hAnsi="宋体" w:cs="宋体"/>
          <w:b/>
          <w:color w:val="auto"/>
          <w:kern w:val="0"/>
          <w:sz w:val="32"/>
          <w:szCs w:val="32"/>
          <w:highlight w:val="none"/>
        </w:rPr>
      </w:pPr>
    </w:p>
    <w:p w14:paraId="03BEFCCF">
      <w:pPr>
        <w:snapToGrid w:val="0"/>
        <w:spacing w:line="360" w:lineRule="auto"/>
        <w:ind w:right="480"/>
        <w:jc w:val="center"/>
        <w:rPr>
          <w:rFonts w:hint="eastAsia" w:ascii="宋体" w:hAnsi="宋体" w:cs="宋体"/>
          <w:b/>
          <w:color w:val="auto"/>
          <w:kern w:val="0"/>
          <w:sz w:val="32"/>
          <w:szCs w:val="32"/>
          <w:highlight w:val="none"/>
        </w:rPr>
      </w:pPr>
    </w:p>
    <w:p w14:paraId="15D2B2FF">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FD90BA1">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8D1CB5C">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CB491FD">
      <w:pPr>
        <w:widowControl/>
        <w:spacing w:line="360" w:lineRule="auto"/>
        <w:ind w:firstLine="480"/>
        <w:jc w:val="left"/>
        <w:rPr>
          <w:rFonts w:hint="eastAsia" w:ascii="宋体" w:hAnsi="宋体" w:cs="宋体"/>
          <w:color w:val="auto"/>
          <w:sz w:val="24"/>
          <w:highlight w:val="none"/>
        </w:rPr>
      </w:pPr>
    </w:p>
    <w:p w14:paraId="55B81FAB">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18AE1B4">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1C90AF41">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DE15610">
      <w:pPr>
        <w:widowControl/>
        <w:spacing w:line="360" w:lineRule="auto"/>
        <w:ind w:left="150"/>
        <w:jc w:val="center"/>
        <w:rPr>
          <w:rFonts w:hint="eastAsia" w:ascii="宋体" w:hAnsi="宋体" w:cs="宋体"/>
          <w:b/>
          <w:color w:val="auto"/>
          <w:kern w:val="0"/>
          <w:sz w:val="32"/>
          <w:szCs w:val="32"/>
          <w:highlight w:val="none"/>
        </w:rPr>
      </w:pPr>
    </w:p>
    <w:p w14:paraId="045EE6A6">
      <w:pPr>
        <w:widowControl/>
        <w:spacing w:line="360" w:lineRule="auto"/>
        <w:ind w:left="150"/>
        <w:jc w:val="center"/>
        <w:rPr>
          <w:rFonts w:hint="eastAsia"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7866B93F">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8DA3B3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28A8081">
      <w:pPr>
        <w:rPr>
          <w:rFonts w:hint="eastAsia" w:ascii="宋体" w:hAnsi="宋体" w:cs="宋体"/>
          <w:color w:val="auto"/>
          <w:highlight w:val="none"/>
        </w:rPr>
      </w:pPr>
    </w:p>
    <w:p w14:paraId="7421943D">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6D26039">
      <w:pPr>
        <w:spacing w:line="360" w:lineRule="auto"/>
        <w:ind w:right="420" w:firstLine="3614" w:firstLineChars="10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391E201">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D1330F8">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F5FB88C">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5890F4E">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5EC7D76">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3FD8A7A">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r>
        <w:rPr>
          <w:rFonts w:hint="eastAsia" w:ascii="宋体" w:hAnsi="宋体" w:cs="宋体"/>
          <w:color w:val="auto"/>
          <w:highlight w:val="none"/>
        </w:rPr>
        <w:t>…………………………………………………（页码）</w:t>
      </w:r>
    </w:p>
    <w:p w14:paraId="0A7AD697">
      <w:pPr>
        <w:snapToGrid w:val="0"/>
        <w:spacing w:line="360" w:lineRule="auto"/>
        <w:jc w:val="center"/>
        <w:rPr>
          <w:rFonts w:hint="eastAsia" w:ascii="宋体" w:hAnsi="宋体" w:cs="宋体"/>
          <w:b/>
          <w:color w:val="auto"/>
          <w:kern w:val="0"/>
          <w:sz w:val="32"/>
          <w:szCs w:val="32"/>
          <w:highlight w:val="none"/>
          <w:lang w:val="zh-CN"/>
        </w:rPr>
      </w:pPr>
    </w:p>
    <w:p w14:paraId="53333492">
      <w:pPr>
        <w:snapToGrid w:val="0"/>
        <w:spacing w:line="360" w:lineRule="auto"/>
        <w:jc w:val="center"/>
        <w:rPr>
          <w:rFonts w:hint="eastAsia" w:ascii="宋体" w:hAnsi="宋体" w:cs="宋体"/>
          <w:b/>
          <w:color w:val="auto"/>
          <w:kern w:val="0"/>
          <w:sz w:val="32"/>
          <w:szCs w:val="32"/>
          <w:highlight w:val="none"/>
          <w:lang w:val="zh-CN"/>
        </w:rPr>
      </w:pPr>
    </w:p>
    <w:p w14:paraId="5448445B">
      <w:pPr>
        <w:snapToGrid w:val="0"/>
        <w:spacing w:line="360" w:lineRule="auto"/>
        <w:jc w:val="center"/>
        <w:rPr>
          <w:rFonts w:hint="eastAsia" w:ascii="宋体" w:hAnsi="宋体" w:cs="宋体"/>
          <w:b/>
          <w:color w:val="auto"/>
          <w:kern w:val="0"/>
          <w:sz w:val="32"/>
          <w:szCs w:val="32"/>
          <w:highlight w:val="none"/>
          <w:lang w:val="zh-CN"/>
        </w:rPr>
      </w:pPr>
    </w:p>
    <w:p w14:paraId="055DBFAE">
      <w:pPr>
        <w:snapToGrid w:val="0"/>
        <w:spacing w:line="360" w:lineRule="auto"/>
        <w:jc w:val="center"/>
        <w:rPr>
          <w:rFonts w:hint="eastAsia" w:ascii="宋体" w:hAnsi="宋体" w:cs="宋体"/>
          <w:b/>
          <w:color w:val="auto"/>
          <w:kern w:val="0"/>
          <w:sz w:val="32"/>
          <w:szCs w:val="32"/>
          <w:highlight w:val="none"/>
          <w:lang w:val="zh-CN"/>
        </w:rPr>
      </w:pPr>
    </w:p>
    <w:p w14:paraId="77B141C9">
      <w:pPr>
        <w:snapToGrid w:val="0"/>
        <w:spacing w:line="360" w:lineRule="auto"/>
        <w:jc w:val="center"/>
        <w:rPr>
          <w:rFonts w:hint="eastAsia" w:ascii="宋体" w:hAnsi="宋体" w:cs="宋体"/>
          <w:b/>
          <w:color w:val="auto"/>
          <w:kern w:val="0"/>
          <w:sz w:val="32"/>
          <w:szCs w:val="32"/>
          <w:highlight w:val="none"/>
          <w:lang w:val="zh-CN"/>
        </w:rPr>
      </w:pPr>
    </w:p>
    <w:p w14:paraId="2BA73D42">
      <w:pPr>
        <w:snapToGrid w:val="0"/>
        <w:spacing w:line="360" w:lineRule="auto"/>
        <w:jc w:val="center"/>
        <w:outlineLvl w:val="0"/>
        <w:rPr>
          <w:rFonts w:hint="eastAsia" w:ascii="宋体" w:hAnsi="宋体" w:cs="宋体"/>
          <w:b/>
          <w:color w:val="auto"/>
          <w:kern w:val="0"/>
          <w:sz w:val="32"/>
          <w:szCs w:val="32"/>
          <w:highlight w:val="none"/>
        </w:rPr>
      </w:pPr>
    </w:p>
    <w:p w14:paraId="571402BA">
      <w:pPr>
        <w:snapToGrid w:val="0"/>
        <w:spacing w:line="360" w:lineRule="auto"/>
        <w:jc w:val="center"/>
        <w:outlineLvl w:val="0"/>
        <w:rPr>
          <w:rFonts w:hint="eastAsia" w:ascii="宋体" w:hAnsi="宋体" w:cs="宋体"/>
          <w:b/>
          <w:color w:val="auto"/>
          <w:kern w:val="0"/>
          <w:sz w:val="32"/>
          <w:szCs w:val="32"/>
          <w:highlight w:val="none"/>
        </w:rPr>
      </w:pPr>
    </w:p>
    <w:p w14:paraId="79FF5851">
      <w:pPr>
        <w:rPr>
          <w:rFonts w:hint="eastAsia" w:ascii="宋体" w:hAnsi="宋体" w:cs="宋体"/>
          <w:color w:val="auto"/>
          <w:highlight w:val="none"/>
        </w:rPr>
      </w:pPr>
    </w:p>
    <w:p w14:paraId="06F31762">
      <w:pPr>
        <w:snapToGrid w:val="0"/>
        <w:spacing w:line="360" w:lineRule="auto"/>
        <w:jc w:val="center"/>
        <w:outlineLvl w:val="0"/>
        <w:rPr>
          <w:rFonts w:hint="eastAsia" w:ascii="宋体" w:hAnsi="宋体" w:cs="宋体"/>
          <w:b/>
          <w:color w:val="auto"/>
          <w:kern w:val="0"/>
          <w:sz w:val="32"/>
          <w:szCs w:val="32"/>
          <w:highlight w:val="none"/>
        </w:rPr>
      </w:pPr>
    </w:p>
    <w:p w14:paraId="570FCA66">
      <w:pPr>
        <w:snapToGrid w:val="0"/>
        <w:spacing w:line="360" w:lineRule="auto"/>
        <w:jc w:val="center"/>
        <w:outlineLvl w:val="0"/>
        <w:rPr>
          <w:rFonts w:hint="eastAsia" w:ascii="宋体" w:hAnsi="宋体" w:cs="宋体"/>
          <w:b/>
          <w:color w:val="auto"/>
          <w:kern w:val="0"/>
          <w:sz w:val="32"/>
          <w:szCs w:val="32"/>
          <w:highlight w:val="none"/>
        </w:rPr>
      </w:pPr>
    </w:p>
    <w:p w14:paraId="161E05CB">
      <w:pPr>
        <w:pStyle w:val="4"/>
        <w:rPr>
          <w:rFonts w:hint="eastAsia"/>
          <w:color w:val="auto"/>
          <w:highlight w:val="none"/>
          <w:lang w:val="en-US"/>
        </w:rPr>
      </w:pPr>
    </w:p>
    <w:p w14:paraId="4090F648">
      <w:pPr>
        <w:rPr>
          <w:color w:val="auto"/>
          <w:highlight w:val="none"/>
        </w:rPr>
      </w:pPr>
    </w:p>
    <w:p w14:paraId="453C5B2D">
      <w:pPr>
        <w:snapToGrid w:val="0"/>
        <w:spacing w:line="360" w:lineRule="auto"/>
        <w:ind w:firstLine="3855" w:firstLineChars="1200"/>
        <w:outlineLvl w:val="0"/>
        <w:rPr>
          <w:rFonts w:hint="eastAsia" w:ascii="宋体" w:hAnsi="宋体" w:cs="宋体"/>
          <w:b/>
          <w:color w:val="auto"/>
          <w:kern w:val="0"/>
          <w:sz w:val="32"/>
          <w:szCs w:val="32"/>
          <w:highlight w:val="none"/>
        </w:rPr>
      </w:pPr>
    </w:p>
    <w:p w14:paraId="584CF1E2">
      <w:pPr>
        <w:snapToGrid w:val="0"/>
        <w:spacing w:line="360" w:lineRule="auto"/>
        <w:ind w:firstLine="3855" w:firstLineChars="1200"/>
        <w:outlineLvl w:val="0"/>
        <w:rPr>
          <w:rFonts w:hint="eastAsia"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6BD60D98">
      <w:pPr>
        <w:snapToGrid w:val="0"/>
        <w:spacing w:line="360" w:lineRule="auto"/>
        <w:ind w:firstLine="3855" w:firstLineChars="1200"/>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1F16AE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杭州市旅游职业学校 、浙江中通通信有限公司：</w:t>
      </w:r>
    </w:p>
    <w:p w14:paraId="21E0DBF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我方参加你方组织的杭州市旅游职业学校葵巷校区智慧教室建设【招标编号：HLZ-2025-014】招标的有关活动，并对此项目进行投标。为此：</w:t>
      </w:r>
    </w:p>
    <w:p w14:paraId="0E7A7EB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A6099E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38C5A8F0">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3D5CB99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399BF17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187D7E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5D8019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5C18D9D">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883262D">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722C778">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BD7332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790783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DBCA54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034ABA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DB95372">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E0D231E">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762A4179">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998258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DF638B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2.3.3中小企业声明函（如果有）。</w:t>
      </w:r>
    </w:p>
    <w:p w14:paraId="1ECB695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0D7A261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5EBE666F">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6033878">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7DFCCED">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CE7867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096E5E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对通过乐采云平台开展的质疑、投诉等活动，我方承诺并接受平台以电子送达的方式送达相关文书。我方认可电子送达与邮寄送达具有同等法律效力，以文书到达乐采云平台日期为送达日期，本公司保证乐采云平台账号真实有效。</w:t>
      </w:r>
    </w:p>
    <w:p w14:paraId="5290BE0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219E3E7">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38A96B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4EA609FE">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6C61574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42512F4">
      <w:pPr>
        <w:snapToGrid w:val="0"/>
        <w:spacing w:line="360" w:lineRule="auto"/>
        <w:jc w:val="center"/>
        <w:rPr>
          <w:rFonts w:hint="eastAsia" w:ascii="宋体" w:hAnsi="宋体" w:cs="宋体"/>
          <w:b/>
          <w:color w:val="auto"/>
          <w:kern w:val="0"/>
          <w:sz w:val="32"/>
          <w:szCs w:val="32"/>
          <w:highlight w:val="none"/>
        </w:rPr>
      </w:pPr>
    </w:p>
    <w:p w14:paraId="2921107B">
      <w:pPr>
        <w:snapToGrid w:val="0"/>
        <w:spacing w:line="360" w:lineRule="auto"/>
        <w:rPr>
          <w:rFonts w:hint="eastAsia" w:ascii="宋体" w:hAnsi="宋体" w:cs="宋体"/>
          <w:color w:val="auto"/>
          <w:sz w:val="24"/>
          <w:highlight w:val="none"/>
        </w:rPr>
      </w:pPr>
    </w:p>
    <w:p w14:paraId="28211149">
      <w:pPr>
        <w:jc w:val="center"/>
        <w:rPr>
          <w:rFonts w:hint="eastAsia" w:ascii="宋体" w:hAnsi="宋体" w:cs="宋体"/>
          <w:b/>
          <w:color w:val="auto"/>
          <w:kern w:val="0"/>
          <w:sz w:val="32"/>
          <w:szCs w:val="32"/>
          <w:highlight w:val="none"/>
        </w:rPr>
      </w:pPr>
    </w:p>
    <w:p w14:paraId="50164429">
      <w:pPr>
        <w:jc w:val="center"/>
        <w:rPr>
          <w:rFonts w:hint="eastAsia" w:ascii="宋体" w:hAnsi="宋体" w:cs="宋体"/>
          <w:b/>
          <w:color w:val="auto"/>
          <w:kern w:val="0"/>
          <w:sz w:val="32"/>
          <w:szCs w:val="32"/>
          <w:highlight w:val="none"/>
        </w:rPr>
      </w:pPr>
    </w:p>
    <w:p w14:paraId="096C218D">
      <w:pPr>
        <w:jc w:val="center"/>
        <w:rPr>
          <w:rFonts w:hint="eastAsia" w:ascii="宋体" w:hAnsi="宋体" w:cs="宋体"/>
          <w:b/>
          <w:color w:val="auto"/>
          <w:kern w:val="0"/>
          <w:sz w:val="32"/>
          <w:szCs w:val="32"/>
          <w:highlight w:val="none"/>
        </w:rPr>
      </w:pPr>
    </w:p>
    <w:p w14:paraId="5696F610">
      <w:pPr>
        <w:jc w:val="center"/>
        <w:rPr>
          <w:rFonts w:hint="eastAsia" w:ascii="宋体" w:hAnsi="宋体" w:cs="宋体"/>
          <w:b/>
          <w:color w:val="auto"/>
          <w:kern w:val="0"/>
          <w:sz w:val="32"/>
          <w:szCs w:val="32"/>
          <w:highlight w:val="none"/>
        </w:rPr>
      </w:pPr>
    </w:p>
    <w:p w14:paraId="46A565B8">
      <w:pPr>
        <w:jc w:val="center"/>
        <w:rPr>
          <w:rFonts w:hint="eastAsia" w:ascii="宋体" w:hAnsi="宋体" w:cs="宋体"/>
          <w:b/>
          <w:color w:val="auto"/>
          <w:kern w:val="0"/>
          <w:sz w:val="32"/>
          <w:szCs w:val="32"/>
          <w:highlight w:val="none"/>
        </w:rPr>
      </w:pPr>
    </w:p>
    <w:p w14:paraId="53BA0899">
      <w:pPr>
        <w:jc w:val="center"/>
        <w:rPr>
          <w:rFonts w:hint="eastAsia" w:ascii="宋体" w:hAnsi="宋体" w:cs="宋体"/>
          <w:b/>
          <w:color w:val="auto"/>
          <w:kern w:val="0"/>
          <w:sz w:val="32"/>
          <w:szCs w:val="32"/>
          <w:highlight w:val="none"/>
        </w:rPr>
      </w:pPr>
    </w:p>
    <w:p w14:paraId="18CFB55A">
      <w:pPr>
        <w:jc w:val="center"/>
        <w:rPr>
          <w:rFonts w:hint="eastAsia" w:ascii="宋体" w:hAnsi="宋体" w:cs="宋体"/>
          <w:b/>
          <w:color w:val="auto"/>
          <w:kern w:val="0"/>
          <w:sz w:val="32"/>
          <w:szCs w:val="32"/>
          <w:highlight w:val="none"/>
        </w:rPr>
      </w:pPr>
    </w:p>
    <w:p w14:paraId="6481BED3">
      <w:pPr>
        <w:jc w:val="center"/>
        <w:rPr>
          <w:rFonts w:hint="eastAsia" w:ascii="宋体" w:hAnsi="宋体" w:cs="宋体"/>
          <w:b/>
          <w:color w:val="auto"/>
          <w:kern w:val="0"/>
          <w:sz w:val="32"/>
          <w:szCs w:val="32"/>
          <w:highlight w:val="none"/>
        </w:rPr>
      </w:pPr>
    </w:p>
    <w:p w14:paraId="0A39E662">
      <w:pPr>
        <w:jc w:val="center"/>
        <w:rPr>
          <w:rFonts w:hint="eastAsia" w:ascii="宋体" w:hAnsi="宋体" w:cs="宋体"/>
          <w:b/>
          <w:color w:val="auto"/>
          <w:kern w:val="0"/>
          <w:sz w:val="32"/>
          <w:szCs w:val="32"/>
          <w:highlight w:val="none"/>
        </w:rPr>
      </w:pPr>
    </w:p>
    <w:p w14:paraId="642E4F91">
      <w:pPr>
        <w:jc w:val="center"/>
        <w:rPr>
          <w:rFonts w:hint="eastAsia" w:ascii="宋体" w:hAnsi="宋体" w:cs="宋体"/>
          <w:b/>
          <w:color w:val="auto"/>
          <w:kern w:val="0"/>
          <w:sz w:val="32"/>
          <w:szCs w:val="32"/>
          <w:highlight w:val="none"/>
        </w:rPr>
      </w:pPr>
    </w:p>
    <w:p w14:paraId="040BCACA">
      <w:pPr>
        <w:jc w:val="center"/>
        <w:rPr>
          <w:rFonts w:hint="eastAsia" w:ascii="宋体" w:hAnsi="宋体" w:cs="宋体"/>
          <w:b/>
          <w:color w:val="auto"/>
          <w:kern w:val="0"/>
          <w:sz w:val="32"/>
          <w:szCs w:val="32"/>
          <w:highlight w:val="none"/>
        </w:rPr>
      </w:pPr>
    </w:p>
    <w:p w14:paraId="14CA5DC3">
      <w:pPr>
        <w:jc w:val="center"/>
        <w:rPr>
          <w:rFonts w:hint="eastAsia"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45368C54">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1C3F6D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13828FD1">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8E36F3E">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杭州市旅游职业学校 、浙江中通通信有限公司</w:t>
      </w:r>
      <w:r>
        <w:rPr>
          <w:rFonts w:hint="eastAsia" w:ascii="宋体" w:hAnsi="宋体" w:cs="宋体"/>
          <w:color w:val="auto"/>
          <w:kern w:val="0"/>
          <w:sz w:val="24"/>
          <w:highlight w:val="none"/>
          <w:lang w:val="zh-CN"/>
        </w:rPr>
        <w:t>：</w:t>
      </w:r>
    </w:p>
    <w:p w14:paraId="4CE08C0C">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杭州市旅游职业学校葵巷校区智慧教室建设</w:t>
      </w:r>
      <w:r>
        <w:rPr>
          <w:rFonts w:hint="eastAsia" w:ascii="宋体" w:hAnsi="宋体" w:cs="宋体"/>
          <w:color w:val="auto"/>
          <w:sz w:val="24"/>
          <w:highlight w:val="none"/>
        </w:rPr>
        <w:t>【招标编号：</w:t>
      </w:r>
      <w:r>
        <w:rPr>
          <w:rFonts w:hint="eastAsia" w:ascii="宋体" w:hAnsi="宋体" w:cs="宋体"/>
          <w:color w:val="auto"/>
          <w:sz w:val="24"/>
          <w:highlight w:val="none"/>
          <w:u w:val="single"/>
        </w:rPr>
        <w:t>HLZ-2025-014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14:paraId="4C7BF1D7">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CE19098">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137913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03D2C8B">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7926C">
      <w:pPr>
        <w:snapToGrid w:val="0"/>
        <w:spacing w:line="360" w:lineRule="auto"/>
        <w:rPr>
          <w:rFonts w:hint="eastAsia" w:ascii="宋体" w:hAnsi="宋体" w:cs="宋体"/>
          <w:color w:val="auto"/>
          <w:sz w:val="24"/>
          <w:highlight w:val="none"/>
        </w:rPr>
      </w:pPr>
    </w:p>
    <w:p w14:paraId="3F0715FF">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8610427">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杭州市旅游职业学校 、浙江中通通信有限公司</w:t>
      </w:r>
      <w:r>
        <w:rPr>
          <w:rFonts w:hint="eastAsia" w:ascii="宋体" w:hAnsi="宋体" w:cs="宋体"/>
          <w:color w:val="auto"/>
          <w:kern w:val="0"/>
          <w:sz w:val="24"/>
          <w:highlight w:val="none"/>
          <w:lang w:val="zh-CN"/>
        </w:rPr>
        <w:t>：</w:t>
      </w:r>
    </w:p>
    <w:p w14:paraId="63654DDF">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杭州市旅游职业学校葵巷校区智慧教室建设</w:t>
      </w:r>
      <w:r>
        <w:rPr>
          <w:rFonts w:hint="eastAsia" w:ascii="宋体" w:hAnsi="宋体" w:cs="宋体"/>
          <w:color w:val="auto"/>
          <w:sz w:val="24"/>
          <w:highlight w:val="none"/>
        </w:rPr>
        <w:t>【招标编号：</w:t>
      </w:r>
      <w:r>
        <w:rPr>
          <w:rFonts w:hint="eastAsia" w:ascii="宋体" w:hAnsi="宋体" w:cs="宋体"/>
          <w:color w:val="auto"/>
          <w:sz w:val="24"/>
          <w:highlight w:val="none"/>
          <w:u w:val="single"/>
        </w:rPr>
        <w:t>HLZ-2025-014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14:paraId="6CB203D3">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8F0469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AB99FFD">
      <w:pPr>
        <w:jc w:val="center"/>
        <w:rPr>
          <w:rFonts w:hint="eastAsia" w:ascii="宋体" w:hAnsi="宋体" w:cs="宋体"/>
          <w:b/>
          <w:color w:val="auto"/>
          <w:kern w:val="0"/>
          <w:sz w:val="32"/>
          <w:szCs w:val="32"/>
          <w:highlight w:val="none"/>
        </w:rPr>
      </w:pPr>
    </w:p>
    <w:p w14:paraId="312DBF54">
      <w:pPr>
        <w:jc w:val="center"/>
        <w:rPr>
          <w:rFonts w:hint="eastAsia" w:ascii="宋体" w:hAnsi="宋体" w:cs="宋体"/>
          <w:b/>
          <w:color w:val="auto"/>
          <w:kern w:val="0"/>
          <w:sz w:val="32"/>
          <w:szCs w:val="32"/>
          <w:highlight w:val="none"/>
        </w:rPr>
      </w:pPr>
    </w:p>
    <w:p w14:paraId="57D7E0CE">
      <w:pPr>
        <w:jc w:val="center"/>
        <w:rPr>
          <w:rFonts w:hint="eastAsia" w:ascii="宋体" w:hAnsi="宋体" w:cs="宋体"/>
          <w:b/>
          <w:color w:val="auto"/>
          <w:kern w:val="0"/>
          <w:sz w:val="32"/>
          <w:szCs w:val="32"/>
          <w:highlight w:val="none"/>
        </w:rPr>
      </w:pPr>
    </w:p>
    <w:p w14:paraId="1E56B6E8">
      <w:pPr>
        <w:rPr>
          <w:rFonts w:hint="eastAsia" w:ascii="宋体" w:hAnsi="宋体" w:cs="宋体"/>
          <w:color w:val="auto"/>
          <w:highlight w:val="none"/>
        </w:rPr>
      </w:pPr>
    </w:p>
    <w:p w14:paraId="71285DFE">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2E761B0">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D8B25B">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3F5E2A2C">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6E2BF76">
      <w:pPr>
        <w:autoSpaceDE w:val="0"/>
        <w:autoSpaceDN w:val="0"/>
        <w:spacing w:line="360" w:lineRule="auto"/>
        <w:jc w:val="center"/>
        <w:rPr>
          <w:rFonts w:hint="eastAsia" w:ascii="宋体" w:hAnsi="宋体" w:cs="宋体"/>
          <w:b/>
          <w:color w:val="auto"/>
          <w:kern w:val="0"/>
          <w:sz w:val="32"/>
          <w:szCs w:val="32"/>
          <w:highlight w:val="none"/>
          <w:lang w:val="zh-CN"/>
        </w:rPr>
        <w:sectPr>
          <w:pgSz w:w="11906" w:h="16838"/>
          <w:pgMar w:top="1276" w:right="1418" w:bottom="1247" w:left="1418" w:header="851" w:footer="992" w:gutter="0"/>
          <w:cols w:space="720" w:num="1"/>
          <w:titlePg/>
          <w:docGrid w:linePitch="312" w:charSpace="0"/>
        </w:sectPr>
      </w:pPr>
    </w:p>
    <w:p w14:paraId="3022E7BD">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8CE7488">
      <w:pPr>
        <w:pStyle w:val="152"/>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9E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1DB6A2">
            <w:pPr>
              <w:pStyle w:val="152"/>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10785EB4">
            <w:pPr>
              <w:pStyle w:val="152"/>
              <w:adjustRightInd w:val="0"/>
              <w:spacing w:line="360" w:lineRule="auto"/>
              <w:rPr>
                <w:rFonts w:hint="eastAsia" w:hAnsi="宋体" w:cs="宋体"/>
                <w:bCs/>
                <w:color w:val="auto"/>
                <w:sz w:val="24"/>
                <w:highlight w:val="none"/>
              </w:rPr>
            </w:pPr>
          </w:p>
        </w:tc>
      </w:tr>
    </w:tbl>
    <w:p w14:paraId="197D004A">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0373E14">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7744DBD">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C10C124">
      <w:pPr>
        <w:jc w:val="center"/>
        <w:rPr>
          <w:rFonts w:hint="eastAsia" w:ascii="宋体" w:hAnsi="宋体" w:cs="宋体"/>
          <w:b/>
          <w:color w:val="auto"/>
          <w:kern w:val="0"/>
          <w:sz w:val="32"/>
          <w:szCs w:val="32"/>
          <w:highlight w:val="none"/>
        </w:rPr>
      </w:pPr>
    </w:p>
    <w:p w14:paraId="31537ADB">
      <w:pPr>
        <w:jc w:val="center"/>
        <w:rPr>
          <w:rFonts w:hint="eastAsia" w:ascii="宋体" w:hAnsi="宋体" w:cs="宋体"/>
          <w:b/>
          <w:color w:val="auto"/>
          <w:kern w:val="0"/>
          <w:sz w:val="32"/>
          <w:szCs w:val="32"/>
          <w:highlight w:val="none"/>
        </w:rPr>
      </w:pPr>
    </w:p>
    <w:p w14:paraId="6BE6E473">
      <w:pPr>
        <w:jc w:val="center"/>
        <w:rPr>
          <w:rFonts w:hint="eastAsia" w:ascii="宋体" w:hAnsi="宋体" w:cs="宋体"/>
          <w:b/>
          <w:color w:val="auto"/>
          <w:kern w:val="0"/>
          <w:sz w:val="32"/>
          <w:szCs w:val="32"/>
          <w:highlight w:val="none"/>
        </w:rPr>
      </w:pPr>
    </w:p>
    <w:p w14:paraId="4F1834B3">
      <w:pPr>
        <w:jc w:val="center"/>
        <w:rPr>
          <w:rFonts w:hint="eastAsia" w:ascii="宋体" w:hAnsi="宋体" w:cs="宋体"/>
          <w:b/>
          <w:color w:val="auto"/>
          <w:kern w:val="0"/>
          <w:sz w:val="32"/>
          <w:szCs w:val="32"/>
          <w:highlight w:val="none"/>
        </w:rPr>
      </w:pPr>
    </w:p>
    <w:p w14:paraId="6044666C">
      <w:pPr>
        <w:jc w:val="center"/>
        <w:rPr>
          <w:rFonts w:hint="eastAsia" w:ascii="宋体" w:hAnsi="宋体" w:cs="宋体"/>
          <w:b/>
          <w:color w:val="auto"/>
          <w:kern w:val="0"/>
          <w:sz w:val="32"/>
          <w:szCs w:val="32"/>
          <w:highlight w:val="none"/>
        </w:rPr>
      </w:pPr>
    </w:p>
    <w:p w14:paraId="562B315C">
      <w:pPr>
        <w:jc w:val="center"/>
        <w:rPr>
          <w:rFonts w:hint="eastAsia" w:ascii="宋体" w:hAnsi="宋体" w:cs="宋体"/>
          <w:b/>
          <w:color w:val="auto"/>
          <w:kern w:val="0"/>
          <w:sz w:val="32"/>
          <w:szCs w:val="32"/>
          <w:highlight w:val="none"/>
        </w:rPr>
      </w:pPr>
    </w:p>
    <w:p w14:paraId="273BED6F">
      <w:pPr>
        <w:jc w:val="center"/>
        <w:rPr>
          <w:rFonts w:hint="eastAsia" w:ascii="宋体" w:hAnsi="宋体" w:cs="宋体"/>
          <w:b/>
          <w:color w:val="auto"/>
          <w:kern w:val="0"/>
          <w:sz w:val="32"/>
          <w:szCs w:val="32"/>
          <w:highlight w:val="none"/>
        </w:rPr>
      </w:pPr>
    </w:p>
    <w:p w14:paraId="51D2F556">
      <w:pPr>
        <w:jc w:val="center"/>
        <w:rPr>
          <w:rFonts w:hint="eastAsia" w:ascii="宋体" w:hAnsi="宋体" w:cs="宋体"/>
          <w:b/>
          <w:color w:val="auto"/>
          <w:kern w:val="0"/>
          <w:sz w:val="32"/>
          <w:szCs w:val="32"/>
          <w:highlight w:val="none"/>
        </w:rPr>
      </w:pPr>
    </w:p>
    <w:p w14:paraId="4E74130D">
      <w:pPr>
        <w:jc w:val="center"/>
        <w:rPr>
          <w:rFonts w:hint="eastAsia" w:ascii="宋体" w:hAnsi="宋体" w:cs="宋体"/>
          <w:b/>
          <w:color w:val="auto"/>
          <w:kern w:val="0"/>
          <w:sz w:val="32"/>
          <w:szCs w:val="32"/>
          <w:highlight w:val="none"/>
        </w:rPr>
      </w:pPr>
    </w:p>
    <w:p w14:paraId="5D4227DF">
      <w:pPr>
        <w:jc w:val="center"/>
        <w:rPr>
          <w:rFonts w:hint="eastAsia" w:ascii="宋体" w:hAnsi="宋体" w:cs="宋体"/>
          <w:b/>
          <w:color w:val="auto"/>
          <w:kern w:val="0"/>
          <w:sz w:val="32"/>
          <w:szCs w:val="32"/>
          <w:highlight w:val="none"/>
        </w:rPr>
      </w:pPr>
    </w:p>
    <w:p w14:paraId="5317D7B1">
      <w:pPr>
        <w:snapToGrid w:val="0"/>
        <w:spacing w:line="360" w:lineRule="auto"/>
        <w:ind w:right="480"/>
        <w:rPr>
          <w:rFonts w:hint="eastAsia"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6FD48583">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81C03C6">
      <w:pPr>
        <w:widowControl/>
        <w:spacing w:line="360" w:lineRule="auto"/>
        <w:ind w:firstLine="120" w:firstLineChars="50"/>
        <w:jc w:val="left"/>
        <w:rPr>
          <w:rFonts w:hint="eastAsia" w:ascii="宋体" w:hAnsi="宋体" w:cs="宋体"/>
          <w:color w:val="auto"/>
          <w:sz w:val="24"/>
          <w:highlight w:val="none"/>
        </w:rPr>
      </w:pPr>
      <w:bookmarkStart w:id="431"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31"/>
    <w:p w14:paraId="3FD8D56B">
      <w:pPr>
        <w:snapToGrid w:val="0"/>
        <w:spacing w:line="360" w:lineRule="auto"/>
        <w:rPr>
          <w:rFonts w:hint="eastAsia" w:ascii="宋体" w:hAnsi="宋体" w:cs="宋体"/>
          <w:color w:val="auto"/>
          <w:kern w:val="0"/>
          <w:sz w:val="24"/>
          <w:highlight w:val="none"/>
        </w:rPr>
      </w:pPr>
    </w:p>
    <w:p w14:paraId="4F34005E">
      <w:pPr>
        <w:jc w:val="center"/>
        <w:rPr>
          <w:rFonts w:hint="eastAsia" w:ascii="宋体" w:hAnsi="宋体" w:cs="宋体"/>
          <w:b/>
          <w:color w:val="auto"/>
          <w:kern w:val="0"/>
          <w:sz w:val="32"/>
          <w:szCs w:val="32"/>
          <w:highlight w:val="none"/>
        </w:rPr>
      </w:pPr>
    </w:p>
    <w:p w14:paraId="118DF8CE">
      <w:pPr>
        <w:pStyle w:val="4"/>
        <w:rPr>
          <w:rFonts w:hint="eastAsia"/>
          <w:color w:val="auto"/>
          <w:highlight w:val="none"/>
          <w:lang w:val="en-US"/>
        </w:rPr>
      </w:pPr>
    </w:p>
    <w:p w14:paraId="30874314">
      <w:pPr>
        <w:rPr>
          <w:color w:val="auto"/>
          <w:highlight w:val="none"/>
        </w:rPr>
      </w:pPr>
    </w:p>
    <w:p w14:paraId="07890F6E">
      <w:pPr>
        <w:pStyle w:val="4"/>
        <w:rPr>
          <w:rFonts w:hint="eastAsia"/>
          <w:color w:val="auto"/>
          <w:highlight w:val="none"/>
          <w:lang w:val="en-US"/>
        </w:rPr>
      </w:pPr>
    </w:p>
    <w:p w14:paraId="51C55C4D">
      <w:pPr>
        <w:jc w:val="center"/>
        <w:rPr>
          <w:rFonts w:hint="eastAsia" w:ascii="宋体" w:hAnsi="宋体" w:cs="宋体"/>
          <w:b/>
          <w:color w:val="auto"/>
          <w:kern w:val="0"/>
          <w:sz w:val="32"/>
          <w:szCs w:val="32"/>
          <w:highlight w:val="none"/>
        </w:rPr>
      </w:pPr>
    </w:p>
    <w:p w14:paraId="29B4F5CA">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hint="eastAsia"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hint="eastAsia" w:ascii="宋体" w:hAnsi="宋体" w:cs="宋体"/>
                <w:color w:val="auto"/>
                <w:sz w:val="24"/>
                <w:highlight w:val="none"/>
              </w:rPr>
            </w:pPr>
          </w:p>
          <w:p w14:paraId="2EFD984F">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4D40010C">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tcPr>
          <w:p w14:paraId="0816E62A">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5563D5BE">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3FECB870">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991" w:type="dxa"/>
          </w:tcPr>
          <w:p w14:paraId="1BD3FA50">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2B845AB5">
            <w:pPr>
              <w:rPr>
                <w:rFonts w:hint="eastAsia" w:ascii="宋体" w:hAnsi="宋体" w:cs="宋体"/>
                <w:color w:val="auto"/>
                <w:sz w:val="24"/>
                <w:highlight w:val="none"/>
              </w:rPr>
            </w:pPr>
          </w:p>
        </w:tc>
        <w:tc>
          <w:tcPr>
            <w:tcW w:w="1418" w:type="dxa"/>
          </w:tcPr>
          <w:p w14:paraId="05C42D45">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color w:val="auto"/>
                <w:sz w:val="24"/>
                <w:highlight w:val="none"/>
              </w:rPr>
            </w:pPr>
            <w:r>
              <w:rPr>
                <w:rFonts w:hint="eastAsia" w:ascii="宋体" w:hAnsi="宋体" w:cs="宋体"/>
                <w:color w:val="auto"/>
                <w:kern w:val="0"/>
                <w:sz w:val="24"/>
                <w:highlight w:val="none"/>
              </w:rPr>
              <w:t>……</w:t>
            </w:r>
          </w:p>
        </w:tc>
        <w:tc>
          <w:tcPr>
            <w:tcW w:w="4991" w:type="dxa"/>
          </w:tcPr>
          <w:p w14:paraId="1460D33A">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5A7E1580">
            <w:pPr>
              <w:rPr>
                <w:rFonts w:hint="eastAsia" w:ascii="宋体" w:hAnsi="宋体" w:cs="宋体"/>
                <w:color w:val="auto"/>
                <w:sz w:val="24"/>
                <w:highlight w:val="none"/>
              </w:rPr>
            </w:pPr>
          </w:p>
        </w:tc>
        <w:tc>
          <w:tcPr>
            <w:tcW w:w="1418" w:type="dxa"/>
          </w:tcPr>
          <w:p w14:paraId="3228697A">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300760AC">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2.招标文件中实质性要求必须明确响应。</w:t>
      </w:r>
    </w:p>
    <w:p w14:paraId="016C7112">
      <w:pPr>
        <w:pStyle w:val="2"/>
        <w:rPr>
          <w:rFonts w:hint="eastAsia"/>
          <w:color w:val="auto"/>
          <w:highlight w:val="none"/>
        </w:rPr>
      </w:pPr>
    </w:p>
    <w:p w14:paraId="7534AC6F">
      <w:pPr>
        <w:jc w:val="center"/>
        <w:rPr>
          <w:rFonts w:hint="eastAsia" w:ascii="宋体" w:hAnsi="宋体" w:cs="宋体"/>
          <w:b/>
          <w:color w:val="auto"/>
          <w:kern w:val="0"/>
          <w:sz w:val="32"/>
          <w:szCs w:val="32"/>
          <w:highlight w:val="none"/>
        </w:rPr>
      </w:pPr>
    </w:p>
    <w:p w14:paraId="4CF489CB">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E608333">
      <w:pPr>
        <w:jc w:val="center"/>
        <w:rPr>
          <w:rFonts w:hint="eastAsia" w:ascii="宋体" w:hAnsi="宋体" w:cs="宋体"/>
          <w:b/>
          <w:color w:val="auto"/>
          <w:kern w:val="0"/>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0BAE25D">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序号</w:t>
            </w:r>
          </w:p>
        </w:tc>
        <w:tc>
          <w:tcPr>
            <w:tcW w:w="5465" w:type="dxa"/>
          </w:tcPr>
          <w:p w14:paraId="7094874F">
            <w:pPr>
              <w:snapToGrid w:val="0"/>
              <w:spacing w:line="360" w:lineRule="auto"/>
              <w:jc w:val="center"/>
              <w:rPr>
                <w:rFonts w:hint="eastAsia"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eastAsia" w:ascii="宋体" w:hAnsi="宋体" w:cs="宋体"/>
                <w:bCs/>
                <w:color w:val="auto"/>
                <w:sz w:val="24"/>
                <w:highlight w:val="none"/>
              </w:rPr>
            </w:pPr>
            <w:r>
              <w:rPr>
                <w:rFonts w:hint="eastAsia" w:ascii="宋体" w:hAnsi="宋体" w:cs="宋体"/>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5465" w:type="dxa"/>
          </w:tcPr>
          <w:p w14:paraId="3CFE82DA">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XXX（预先填写）</w:t>
            </w:r>
          </w:p>
        </w:tc>
        <w:tc>
          <w:tcPr>
            <w:tcW w:w="3046" w:type="dxa"/>
          </w:tcPr>
          <w:p w14:paraId="0CA3674D">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5465" w:type="dxa"/>
          </w:tcPr>
          <w:p w14:paraId="645D16A2">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249E10E5">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eastAsia" w:ascii="宋体" w:hAnsi="宋体" w:cs="宋体"/>
                <w:bCs/>
                <w:color w:val="auto"/>
                <w:sz w:val="24"/>
                <w:highlight w:val="none"/>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Cs/>
                <w:color w:val="auto"/>
                <w:sz w:val="24"/>
                <w:highlight w:val="none"/>
              </w:rPr>
            </w:pPr>
          </w:p>
        </w:tc>
        <w:tc>
          <w:tcPr>
            <w:tcW w:w="3046" w:type="dxa"/>
          </w:tcPr>
          <w:p w14:paraId="5F158C9F">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6B42D008">
      <w:pPr>
        <w:pStyle w:val="2"/>
        <w:rPr>
          <w:rFonts w:hint="eastAsia"/>
          <w:color w:val="auto"/>
          <w:highlight w:val="none"/>
        </w:rPr>
      </w:pPr>
    </w:p>
    <w:p w14:paraId="00E0E54A">
      <w:pPr>
        <w:jc w:val="center"/>
        <w:rPr>
          <w:rFonts w:hint="eastAsia" w:ascii="宋体" w:hAnsi="宋体" w:cs="宋体"/>
          <w:b/>
          <w:color w:val="auto"/>
          <w:kern w:val="0"/>
          <w:sz w:val="32"/>
          <w:szCs w:val="32"/>
          <w:highlight w:val="none"/>
        </w:rPr>
      </w:pPr>
    </w:p>
    <w:p w14:paraId="11A9EEFB">
      <w:pPr>
        <w:jc w:val="center"/>
        <w:rPr>
          <w:rFonts w:hint="eastAsia" w:ascii="宋体" w:hAnsi="宋体" w:cs="宋体"/>
          <w:b/>
          <w:color w:val="auto"/>
          <w:kern w:val="0"/>
          <w:sz w:val="32"/>
          <w:szCs w:val="32"/>
          <w:highlight w:val="none"/>
        </w:rPr>
      </w:pPr>
    </w:p>
    <w:p w14:paraId="679698A4">
      <w:pPr>
        <w:jc w:val="center"/>
        <w:rPr>
          <w:rFonts w:hint="eastAsia" w:ascii="宋体" w:hAnsi="宋体" w:cs="宋体"/>
          <w:b/>
          <w:color w:val="auto"/>
          <w:kern w:val="0"/>
          <w:sz w:val="32"/>
          <w:szCs w:val="32"/>
          <w:highlight w:val="none"/>
        </w:rPr>
      </w:pPr>
    </w:p>
    <w:p w14:paraId="17612F2D">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hint="eastAsia" w:ascii="宋体" w:hAnsi="宋体" w:cs="宋体"/>
                <w:b/>
                <w:color w:val="auto"/>
                <w:sz w:val="24"/>
                <w:highlight w:val="none"/>
              </w:rPr>
            </w:pPr>
          </w:p>
          <w:p w14:paraId="02F51E5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hint="eastAsia"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hint="eastAsia"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hint="eastAsia" w:ascii="宋体" w:hAnsi="宋体" w:cs="宋体"/>
                <w:color w:val="auto"/>
                <w:sz w:val="24"/>
                <w:highlight w:val="none"/>
              </w:rPr>
            </w:pPr>
          </w:p>
        </w:tc>
      </w:tr>
    </w:tbl>
    <w:p w14:paraId="3FAFDB6A">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B07C9E8">
      <w:pPr>
        <w:jc w:val="center"/>
        <w:rPr>
          <w:rFonts w:hint="eastAsia" w:ascii="宋体" w:hAnsi="宋体" w:cs="宋体"/>
          <w:b/>
          <w:color w:val="auto"/>
          <w:kern w:val="0"/>
          <w:sz w:val="32"/>
          <w:szCs w:val="32"/>
          <w:highlight w:val="none"/>
        </w:rPr>
      </w:pPr>
    </w:p>
    <w:p w14:paraId="5402415D">
      <w:pPr>
        <w:jc w:val="center"/>
        <w:rPr>
          <w:rFonts w:hint="eastAsia" w:ascii="宋体" w:hAnsi="宋体" w:cs="宋体"/>
          <w:b/>
          <w:color w:val="auto"/>
          <w:kern w:val="0"/>
          <w:sz w:val="32"/>
          <w:szCs w:val="32"/>
          <w:highlight w:val="none"/>
        </w:rPr>
      </w:pPr>
    </w:p>
    <w:p w14:paraId="5044F51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3E4EF47">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hint="eastAsia" w:ascii="宋体" w:hAnsi="宋体" w:cs="宋体"/>
                <w:b/>
                <w:color w:val="auto"/>
                <w:kern w:val="0"/>
                <w:sz w:val="32"/>
                <w:szCs w:val="32"/>
                <w:highlight w:val="none"/>
              </w:rPr>
            </w:pPr>
          </w:p>
        </w:tc>
        <w:tc>
          <w:tcPr>
            <w:tcW w:w="3062" w:type="dxa"/>
          </w:tcPr>
          <w:p w14:paraId="5FF76456">
            <w:pPr>
              <w:jc w:val="center"/>
              <w:rPr>
                <w:rFonts w:hint="eastAsia" w:ascii="宋体" w:hAnsi="宋体" w:cs="宋体"/>
                <w:b/>
                <w:color w:val="auto"/>
                <w:kern w:val="0"/>
                <w:sz w:val="32"/>
                <w:szCs w:val="32"/>
                <w:highlight w:val="none"/>
              </w:rPr>
            </w:pPr>
          </w:p>
        </w:tc>
        <w:tc>
          <w:tcPr>
            <w:tcW w:w="1102" w:type="dxa"/>
          </w:tcPr>
          <w:p w14:paraId="277CD6D7">
            <w:pPr>
              <w:jc w:val="center"/>
              <w:rPr>
                <w:rFonts w:hint="eastAsia"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hint="eastAsia" w:ascii="宋体" w:hAnsi="宋体" w:cs="宋体"/>
                <w:b/>
                <w:color w:val="auto"/>
                <w:kern w:val="0"/>
                <w:sz w:val="32"/>
                <w:szCs w:val="32"/>
                <w:highlight w:val="none"/>
              </w:rPr>
            </w:pPr>
          </w:p>
        </w:tc>
        <w:tc>
          <w:tcPr>
            <w:tcW w:w="3062" w:type="dxa"/>
          </w:tcPr>
          <w:p w14:paraId="0A81AFEB">
            <w:pPr>
              <w:jc w:val="center"/>
              <w:rPr>
                <w:rFonts w:hint="eastAsia" w:ascii="宋体" w:hAnsi="宋体" w:cs="宋体"/>
                <w:b/>
                <w:color w:val="auto"/>
                <w:kern w:val="0"/>
                <w:sz w:val="32"/>
                <w:szCs w:val="32"/>
                <w:highlight w:val="none"/>
              </w:rPr>
            </w:pPr>
          </w:p>
        </w:tc>
        <w:tc>
          <w:tcPr>
            <w:tcW w:w="1102" w:type="dxa"/>
          </w:tcPr>
          <w:p w14:paraId="167149FF">
            <w:pPr>
              <w:jc w:val="center"/>
              <w:rPr>
                <w:rFonts w:hint="eastAsia"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hint="eastAsia" w:ascii="宋体" w:hAnsi="宋体" w:cs="宋体"/>
                <w:b/>
                <w:color w:val="auto"/>
                <w:kern w:val="0"/>
                <w:sz w:val="32"/>
                <w:szCs w:val="32"/>
                <w:highlight w:val="none"/>
              </w:rPr>
            </w:pPr>
          </w:p>
        </w:tc>
        <w:tc>
          <w:tcPr>
            <w:tcW w:w="3062" w:type="dxa"/>
          </w:tcPr>
          <w:p w14:paraId="25AE5A44">
            <w:pPr>
              <w:jc w:val="center"/>
              <w:rPr>
                <w:rFonts w:hint="eastAsia" w:ascii="宋体" w:hAnsi="宋体" w:cs="宋体"/>
                <w:b/>
                <w:color w:val="auto"/>
                <w:kern w:val="0"/>
                <w:sz w:val="32"/>
                <w:szCs w:val="32"/>
                <w:highlight w:val="none"/>
              </w:rPr>
            </w:pPr>
          </w:p>
        </w:tc>
        <w:tc>
          <w:tcPr>
            <w:tcW w:w="1102" w:type="dxa"/>
          </w:tcPr>
          <w:p w14:paraId="62B49A7F">
            <w:pPr>
              <w:jc w:val="center"/>
              <w:rPr>
                <w:rFonts w:hint="eastAsia" w:ascii="宋体" w:hAnsi="宋体" w:cs="宋体"/>
                <w:b/>
                <w:color w:val="auto"/>
                <w:kern w:val="0"/>
                <w:sz w:val="32"/>
                <w:szCs w:val="32"/>
                <w:highlight w:val="none"/>
              </w:rPr>
            </w:pPr>
          </w:p>
        </w:tc>
      </w:tr>
    </w:tbl>
    <w:p w14:paraId="64B7359B">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hint="eastAsia" w:ascii="宋体" w:hAnsi="宋体" w:cs="宋体"/>
          <w:b/>
          <w:color w:val="auto"/>
          <w:kern w:val="0"/>
          <w:sz w:val="32"/>
          <w:szCs w:val="32"/>
          <w:highlight w:val="none"/>
        </w:rPr>
      </w:pPr>
    </w:p>
    <w:p w14:paraId="710C0A5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2728D80C">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3.投标人须保证：除商务技术偏离表列出的偏离外，投标人响应招标文件的全部非实质性要求。</w:t>
      </w:r>
    </w:p>
    <w:p w14:paraId="0E2222C8">
      <w:pPr>
        <w:pStyle w:val="2"/>
        <w:rPr>
          <w:rFonts w:hint="eastAsia"/>
          <w:color w:val="auto"/>
          <w:highlight w:val="none"/>
        </w:rPr>
      </w:pPr>
    </w:p>
    <w:p w14:paraId="1E3ED79A">
      <w:pPr>
        <w:ind w:firstLine="1911" w:firstLineChars="595"/>
        <w:rPr>
          <w:rFonts w:hint="eastAsia" w:ascii="宋体" w:hAnsi="宋体" w:cs="宋体"/>
          <w:b/>
          <w:bCs/>
          <w:color w:val="auto"/>
          <w:sz w:val="32"/>
          <w:szCs w:val="32"/>
          <w:highlight w:val="none"/>
        </w:rPr>
      </w:pPr>
    </w:p>
    <w:p w14:paraId="0B2226BF">
      <w:pPr>
        <w:ind w:firstLine="1911" w:firstLineChars="595"/>
        <w:rPr>
          <w:rFonts w:hint="eastAsia" w:ascii="宋体" w:hAnsi="宋体" w:cs="宋体"/>
          <w:b/>
          <w:bCs/>
          <w:color w:val="auto"/>
          <w:sz w:val="32"/>
          <w:szCs w:val="32"/>
          <w:highlight w:val="none"/>
        </w:rPr>
      </w:pPr>
    </w:p>
    <w:p w14:paraId="035C106E">
      <w:pPr>
        <w:ind w:firstLine="1911" w:firstLineChars="595"/>
        <w:rPr>
          <w:rFonts w:hint="eastAsia" w:ascii="宋体" w:hAnsi="宋体" w:cs="宋体"/>
          <w:b/>
          <w:bCs/>
          <w:color w:val="auto"/>
          <w:sz w:val="32"/>
          <w:szCs w:val="32"/>
          <w:highlight w:val="none"/>
        </w:rPr>
      </w:pPr>
    </w:p>
    <w:p w14:paraId="2AC73259">
      <w:pPr>
        <w:ind w:firstLine="1911" w:firstLineChars="595"/>
        <w:rPr>
          <w:rFonts w:hint="eastAsia" w:ascii="宋体" w:hAnsi="宋体" w:cs="宋体"/>
          <w:b/>
          <w:bCs/>
          <w:color w:val="auto"/>
          <w:sz w:val="32"/>
          <w:szCs w:val="32"/>
          <w:highlight w:val="none"/>
        </w:rPr>
      </w:pPr>
    </w:p>
    <w:p w14:paraId="3CF83AF6">
      <w:pPr>
        <w:ind w:firstLine="1911" w:firstLineChars="595"/>
        <w:rPr>
          <w:rFonts w:hint="eastAsia" w:ascii="宋体" w:hAnsi="宋体" w:cs="宋体"/>
          <w:b/>
          <w:bCs/>
          <w:color w:val="auto"/>
          <w:sz w:val="32"/>
          <w:szCs w:val="32"/>
          <w:highlight w:val="none"/>
        </w:rPr>
      </w:pPr>
    </w:p>
    <w:p w14:paraId="29D7CE69">
      <w:pPr>
        <w:widowControl/>
        <w:adjustRightInd/>
        <w:jc w:val="left"/>
        <w:rPr>
          <w:rFonts w:hint="eastAsia" w:ascii="宋体" w:hAnsi="宋体" w:cs="宋体"/>
          <w:b/>
          <w:bCs/>
          <w:color w:val="auto"/>
          <w:sz w:val="32"/>
          <w:szCs w:val="32"/>
          <w:highlight w:val="none"/>
        </w:rPr>
      </w:pPr>
      <w:r>
        <w:rPr>
          <w:rFonts w:ascii="宋体" w:hAnsi="宋体" w:cs="宋体"/>
          <w:b/>
          <w:bCs/>
          <w:color w:val="auto"/>
          <w:sz w:val="32"/>
          <w:szCs w:val="32"/>
          <w:highlight w:val="none"/>
        </w:rPr>
        <w:br w:type="page"/>
      </w:r>
    </w:p>
    <w:p w14:paraId="4A2D4CE6">
      <w:pPr>
        <w:ind w:firstLine="1911" w:firstLineChars="595"/>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656C1827">
      <w:pPr>
        <w:snapToGrid w:val="0"/>
        <w:spacing w:line="360" w:lineRule="auto"/>
        <w:rPr>
          <w:rFonts w:hint="eastAsia" w:ascii="宋体" w:hAnsi="宋体" w:cs="宋体"/>
          <w:color w:val="auto"/>
          <w:sz w:val="24"/>
          <w:highlight w:val="none"/>
        </w:rPr>
      </w:pPr>
    </w:p>
    <w:p w14:paraId="0B7B72CB">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杭州市旅游职业学校 、浙江中通通信有限公司</w:t>
      </w:r>
      <w:r>
        <w:rPr>
          <w:rFonts w:hint="eastAsia" w:ascii="宋体" w:hAnsi="宋体" w:cs="宋体"/>
          <w:color w:val="auto"/>
          <w:kern w:val="0"/>
          <w:sz w:val="24"/>
          <w:highlight w:val="none"/>
          <w:lang w:val="zh-CN"/>
        </w:rPr>
        <w:t>：</w:t>
      </w:r>
    </w:p>
    <w:p w14:paraId="43E65214">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5814376">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9B1169A">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C1D483B">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EFFE03D">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1085796">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BB058A8">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EDD992B">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8F31BFF">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DCFB858">
      <w:pPr>
        <w:autoSpaceDE w:val="0"/>
        <w:autoSpaceDN w:val="0"/>
        <w:spacing w:line="360" w:lineRule="auto"/>
        <w:ind w:left="2"/>
        <w:jc w:val="left"/>
        <w:rPr>
          <w:rFonts w:hint="eastAsia" w:ascii="宋体" w:hAnsi="宋体" w:cs="宋体"/>
          <w:color w:val="auto"/>
          <w:kern w:val="0"/>
          <w:sz w:val="24"/>
          <w:highlight w:val="none"/>
          <w:lang w:val="zh-CN"/>
        </w:rPr>
      </w:pPr>
    </w:p>
    <w:p w14:paraId="73F1A69E">
      <w:pPr>
        <w:autoSpaceDE w:val="0"/>
        <w:autoSpaceDN w:val="0"/>
        <w:spacing w:line="360" w:lineRule="auto"/>
        <w:ind w:left="2"/>
        <w:jc w:val="left"/>
        <w:rPr>
          <w:rFonts w:hint="eastAsia" w:ascii="宋体" w:hAnsi="宋体" w:cs="宋体"/>
          <w:color w:val="auto"/>
          <w:kern w:val="0"/>
          <w:sz w:val="24"/>
          <w:highlight w:val="none"/>
          <w:lang w:val="zh-CN"/>
        </w:rPr>
      </w:pPr>
    </w:p>
    <w:p w14:paraId="73AFB02F">
      <w:pPr>
        <w:autoSpaceDE w:val="0"/>
        <w:autoSpaceDN w:val="0"/>
        <w:spacing w:line="360" w:lineRule="auto"/>
        <w:ind w:left="2"/>
        <w:jc w:val="left"/>
        <w:rPr>
          <w:rFonts w:hint="eastAsia" w:ascii="宋体" w:hAnsi="宋体" w:cs="宋体"/>
          <w:color w:val="auto"/>
          <w:kern w:val="0"/>
          <w:sz w:val="24"/>
          <w:highlight w:val="none"/>
          <w:lang w:val="zh-CN"/>
        </w:rPr>
      </w:pPr>
    </w:p>
    <w:p w14:paraId="126ECA1A">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326E63A">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D656AB8">
      <w:pPr>
        <w:spacing w:line="360" w:lineRule="auto"/>
        <w:jc w:val="center"/>
        <w:rPr>
          <w:rFonts w:hint="eastAsia" w:ascii="宋体" w:hAnsi="宋体" w:cs="宋体"/>
          <w:b/>
          <w:bCs/>
          <w:color w:val="auto"/>
          <w:sz w:val="24"/>
          <w:highlight w:val="none"/>
        </w:rPr>
      </w:pPr>
    </w:p>
    <w:p w14:paraId="68DB89C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A683A20">
      <w:pPr>
        <w:spacing w:line="360" w:lineRule="auto"/>
        <w:jc w:val="center"/>
        <w:rPr>
          <w:rFonts w:hint="eastAsia" w:ascii="宋体" w:hAnsi="宋体" w:cs="宋体"/>
          <w:b/>
          <w:bCs/>
          <w:color w:val="auto"/>
          <w:sz w:val="24"/>
          <w:highlight w:val="none"/>
        </w:rPr>
        <w:sectPr>
          <w:pgSz w:w="11906" w:h="16838"/>
          <w:pgMar w:top="1276" w:right="1418" w:bottom="1247" w:left="1418" w:header="851" w:footer="992" w:gutter="0"/>
          <w:cols w:space="720" w:num="1"/>
          <w:titlePg/>
          <w:docGrid w:linePitch="312" w:charSpace="0"/>
        </w:sectPr>
      </w:pPr>
    </w:p>
    <w:p w14:paraId="1E654697">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0023703">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D0B54E8">
      <w:pPr>
        <w:spacing w:line="360" w:lineRule="auto"/>
        <w:jc w:val="center"/>
        <w:outlineLvl w:val="0"/>
        <w:rPr>
          <w:rFonts w:hint="eastAsia" w:ascii="宋体" w:hAnsi="宋体" w:cs="宋体"/>
          <w:b/>
          <w:color w:val="auto"/>
          <w:kern w:val="0"/>
          <w:sz w:val="36"/>
          <w:szCs w:val="36"/>
          <w:highlight w:val="none"/>
        </w:rPr>
      </w:pPr>
    </w:p>
    <w:p w14:paraId="0A193278">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B65DB7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（2）中小企业声明函………………………………………………………………（页码）</w:t>
      </w:r>
    </w:p>
    <w:p w14:paraId="0F82D58D">
      <w:pPr>
        <w:pStyle w:val="83"/>
        <w:rPr>
          <w:rFonts w:hint="eastAsia"/>
          <w:color w:val="auto"/>
          <w:highlight w:val="none"/>
        </w:rPr>
      </w:pPr>
    </w:p>
    <w:p w14:paraId="724A403D">
      <w:pPr>
        <w:snapToGrid w:val="0"/>
        <w:spacing w:line="360" w:lineRule="auto"/>
        <w:ind w:right="480"/>
        <w:jc w:val="center"/>
        <w:rPr>
          <w:rFonts w:hint="eastAsia" w:ascii="宋体" w:hAnsi="宋体" w:cs="宋体"/>
          <w:b/>
          <w:color w:val="auto"/>
          <w:kern w:val="0"/>
          <w:sz w:val="32"/>
          <w:szCs w:val="32"/>
          <w:highlight w:val="none"/>
        </w:rPr>
      </w:pPr>
    </w:p>
    <w:p w14:paraId="2AD292DD">
      <w:pPr>
        <w:snapToGrid w:val="0"/>
        <w:spacing w:line="360" w:lineRule="auto"/>
        <w:ind w:right="480"/>
        <w:jc w:val="center"/>
        <w:rPr>
          <w:rFonts w:hint="eastAsia" w:ascii="宋体" w:hAnsi="宋体" w:cs="宋体"/>
          <w:b/>
          <w:color w:val="auto"/>
          <w:kern w:val="0"/>
          <w:sz w:val="32"/>
          <w:szCs w:val="32"/>
          <w:highlight w:val="none"/>
        </w:rPr>
      </w:pPr>
    </w:p>
    <w:p w14:paraId="16ED2E2B">
      <w:pPr>
        <w:snapToGrid w:val="0"/>
        <w:spacing w:line="360" w:lineRule="auto"/>
        <w:ind w:right="480"/>
        <w:jc w:val="center"/>
        <w:rPr>
          <w:rFonts w:hint="eastAsia" w:ascii="宋体" w:hAnsi="宋体" w:cs="宋体"/>
          <w:b/>
          <w:color w:val="auto"/>
          <w:kern w:val="0"/>
          <w:sz w:val="32"/>
          <w:szCs w:val="32"/>
          <w:highlight w:val="none"/>
        </w:rPr>
      </w:pPr>
    </w:p>
    <w:p w14:paraId="7958589A">
      <w:pPr>
        <w:snapToGrid w:val="0"/>
        <w:spacing w:line="360" w:lineRule="auto"/>
        <w:ind w:right="480"/>
        <w:jc w:val="center"/>
        <w:rPr>
          <w:rFonts w:hint="eastAsia" w:ascii="宋体" w:hAnsi="宋体" w:cs="宋体"/>
          <w:b/>
          <w:color w:val="auto"/>
          <w:kern w:val="0"/>
          <w:sz w:val="32"/>
          <w:szCs w:val="32"/>
          <w:highlight w:val="none"/>
        </w:rPr>
      </w:pPr>
    </w:p>
    <w:p w14:paraId="35C9038D">
      <w:pPr>
        <w:snapToGrid w:val="0"/>
        <w:spacing w:line="360" w:lineRule="auto"/>
        <w:ind w:right="480"/>
        <w:jc w:val="center"/>
        <w:rPr>
          <w:rFonts w:hint="eastAsia" w:ascii="宋体" w:hAnsi="宋体" w:cs="宋体"/>
          <w:b/>
          <w:color w:val="auto"/>
          <w:kern w:val="0"/>
          <w:sz w:val="32"/>
          <w:szCs w:val="32"/>
          <w:highlight w:val="none"/>
        </w:rPr>
      </w:pPr>
    </w:p>
    <w:p w14:paraId="1D5B9AE0">
      <w:pPr>
        <w:snapToGrid w:val="0"/>
        <w:spacing w:line="360" w:lineRule="auto"/>
        <w:ind w:right="480"/>
        <w:jc w:val="center"/>
        <w:rPr>
          <w:rFonts w:hint="eastAsia" w:ascii="宋体" w:hAnsi="宋体" w:cs="宋体"/>
          <w:b/>
          <w:color w:val="auto"/>
          <w:kern w:val="0"/>
          <w:sz w:val="32"/>
          <w:szCs w:val="32"/>
          <w:highlight w:val="none"/>
        </w:rPr>
      </w:pPr>
    </w:p>
    <w:p w14:paraId="2C2A99BD">
      <w:pPr>
        <w:snapToGrid w:val="0"/>
        <w:spacing w:line="360" w:lineRule="auto"/>
        <w:ind w:right="480"/>
        <w:jc w:val="center"/>
        <w:rPr>
          <w:rFonts w:hint="eastAsia" w:ascii="宋体" w:hAnsi="宋体" w:cs="宋体"/>
          <w:b/>
          <w:color w:val="auto"/>
          <w:kern w:val="0"/>
          <w:sz w:val="32"/>
          <w:szCs w:val="32"/>
          <w:highlight w:val="none"/>
        </w:rPr>
      </w:pPr>
    </w:p>
    <w:p w14:paraId="47AE970B">
      <w:pPr>
        <w:snapToGrid w:val="0"/>
        <w:spacing w:line="360" w:lineRule="auto"/>
        <w:ind w:right="480"/>
        <w:jc w:val="center"/>
        <w:rPr>
          <w:rFonts w:hint="eastAsia" w:ascii="宋体" w:hAnsi="宋体" w:cs="宋体"/>
          <w:b/>
          <w:color w:val="auto"/>
          <w:kern w:val="0"/>
          <w:sz w:val="32"/>
          <w:szCs w:val="32"/>
          <w:highlight w:val="none"/>
        </w:rPr>
      </w:pPr>
    </w:p>
    <w:p w14:paraId="00C49AA0">
      <w:pPr>
        <w:snapToGrid w:val="0"/>
        <w:spacing w:line="360" w:lineRule="auto"/>
        <w:ind w:right="480"/>
        <w:jc w:val="center"/>
        <w:rPr>
          <w:rFonts w:hint="eastAsia" w:ascii="宋体" w:hAnsi="宋体" w:cs="宋体"/>
          <w:b/>
          <w:color w:val="auto"/>
          <w:kern w:val="0"/>
          <w:sz w:val="32"/>
          <w:szCs w:val="32"/>
          <w:highlight w:val="none"/>
        </w:rPr>
      </w:pPr>
    </w:p>
    <w:p w14:paraId="5DB14DF2">
      <w:pPr>
        <w:snapToGrid w:val="0"/>
        <w:spacing w:line="360" w:lineRule="auto"/>
        <w:ind w:right="480"/>
        <w:jc w:val="center"/>
        <w:rPr>
          <w:rFonts w:hint="eastAsia" w:ascii="宋体" w:hAnsi="宋体" w:cs="宋体"/>
          <w:b/>
          <w:color w:val="auto"/>
          <w:kern w:val="0"/>
          <w:sz w:val="32"/>
          <w:szCs w:val="32"/>
          <w:highlight w:val="none"/>
        </w:rPr>
      </w:pPr>
    </w:p>
    <w:p w14:paraId="49686AD2">
      <w:pPr>
        <w:snapToGrid w:val="0"/>
        <w:spacing w:line="360" w:lineRule="auto"/>
        <w:ind w:right="480"/>
        <w:jc w:val="center"/>
        <w:rPr>
          <w:rFonts w:hint="eastAsia" w:ascii="宋体" w:hAnsi="宋体" w:cs="宋体"/>
          <w:b/>
          <w:color w:val="auto"/>
          <w:kern w:val="0"/>
          <w:sz w:val="32"/>
          <w:szCs w:val="32"/>
          <w:highlight w:val="none"/>
        </w:rPr>
      </w:pPr>
    </w:p>
    <w:p w14:paraId="3B8E05B7">
      <w:pPr>
        <w:snapToGrid w:val="0"/>
        <w:spacing w:line="360" w:lineRule="auto"/>
        <w:ind w:right="480"/>
        <w:jc w:val="center"/>
        <w:rPr>
          <w:rFonts w:hint="eastAsia" w:ascii="宋体" w:hAnsi="宋体" w:cs="宋体"/>
          <w:b/>
          <w:color w:val="auto"/>
          <w:kern w:val="0"/>
          <w:sz w:val="32"/>
          <w:szCs w:val="32"/>
          <w:highlight w:val="none"/>
        </w:rPr>
      </w:pPr>
    </w:p>
    <w:p w14:paraId="10B69816">
      <w:pPr>
        <w:snapToGrid w:val="0"/>
        <w:spacing w:line="360" w:lineRule="auto"/>
        <w:ind w:right="480"/>
        <w:jc w:val="center"/>
        <w:rPr>
          <w:rFonts w:hint="eastAsia" w:ascii="宋体" w:hAnsi="宋体" w:cs="宋体"/>
          <w:b/>
          <w:color w:val="auto"/>
          <w:kern w:val="0"/>
          <w:sz w:val="32"/>
          <w:szCs w:val="32"/>
          <w:highlight w:val="none"/>
        </w:rPr>
      </w:pPr>
    </w:p>
    <w:p w14:paraId="2CBB35E8">
      <w:pPr>
        <w:snapToGrid w:val="0"/>
        <w:spacing w:line="360" w:lineRule="auto"/>
        <w:ind w:right="480"/>
        <w:jc w:val="center"/>
        <w:rPr>
          <w:rFonts w:hint="eastAsia" w:ascii="宋体" w:hAnsi="宋体" w:cs="宋体"/>
          <w:b/>
          <w:color w:val="auto"/>
          <w:kern w:val="0"/>
          <w:sz w:val="32"/>
          <w:szCs w:val="32"/>
          <w:highlight w:val="none"/>
        </w:rPr>
      </w:pPr>
    </w:p>
    <w:p w14:paraId="69DA3CED">
      <w:pPr>
        <w:pStyle w:val="694"/>
        <w:keepNext w:val="0"/>
        <w:pageBreakBefore w:val="0"/>
        <w:tabs>
          <w:tab w:val="clear" w:pos="720"/>
        </w:tabs>
        <w:snapToGrid w:val="0"/>
        <w:spacing w:before="120" w:after="120"/>
        <w:ind w:firstLine="643"/>
        <w:jc w:val="both"/>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47" w:right="1418" w:bottom="1276" w:left="1418" w:header="851" w:footer="992" w:gutter="0"/>
          <w:cols w:space="720" w:num="1"/>
          <w:titlePg/>
          <w:docGrid w:linePitch="312" w:charSpace="0"/>
        </w:sectPr>
      </w:pPr>
    </w:p>
    <w:p w14:paraId="5C0F0B40">
      <w:pPr>
        <w:pStyle w:val="694"/>
        <w:keepNext w:val="0"/>
        <w:pageBreakBefore w:val="0"/>
        <w:tabs>
          <w:tab w:val="clear" w:pos="720"/>
        </w:tabs>
        <w:snapToGrid w:val="0"/>
        <w:spacing w:before="120" w:after="12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55EEEF5">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杭州市旅游职业学校 、浙江中通通信有限公司</w:t>
      </w:r>
      <w:r>
        <w:rPr>
          <w:rFonts w:hint="eastAsia" w:ascii="宋体" w:hAnsi="宋体" w:cs="宋体"/>
          <w:color w:val="auto"/>
          <w:kern w:val="0"/>
          <w:sz w:val="24"/>
          <w:highlight w:val="none"/>
          <w:lang w:val="zh-CN"/>
        </w:rPr>
        <w:t>：</w:t>
      </w:r>
    </w:p>
    <w:p w14:paraId="4E72F1EB">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杭州市旅游职业学校葵巷校区智慧教室建设</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HLZ-2025-014】的实施</w:t>
      </w:r>
      <w:r>
        <w:rPr>
          <w:rFonts w:hint="eastAsia" w:ascii="宋体" w:hAnsi="宋体" w:cs="宋体"/>
          <w:color w:val="auto"/>
          <w:kern w:val="0"/>
          <w:sz w:val="24"/>
          <w:highlight w:val="none"/>
          <w:lang w:val="zh-CN"/>
        </w:rPr>
        <w:t>。</w:t>
      </w:r>
    </w:p>
    <w:p w14:paraId="27776D0D">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02D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89A19A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034D4BF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4FB4B59D">
            <w:pPr>
              <w:spacing w:line="360" w:lineRule="auto"/>
              <w:jc w:val="center"/>
              <w:rPr>
                <w:rFonts w:hint="eastAsia" w:ascii="宋体" w:hAnsi="宋体" w:cs="宋体"/>
                <w:b/>
                <w:color w:val="auto"/>
                <w:sz w:val="24"/>
                <w:highlight w:val="none"/>
              </w:rPr>
            </w:pPr>
          </w:p>
          <w:p w14:paraId="09239A4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346A60C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A3ABB9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3DBEF1C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8F8067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2EB349B1">
            <w:pPr>
              <w:spacing w:line="360" w:lineRule="auto"/>
              <w:jc w:val="center"/>
              <w:rPr>
                <w:rFonts w:hint="eastAsia" w:ascii="宋体" w:hAnsi="宋体" w:cs="宋体"/>
                <w:b/>
                <w:color w:val="auto"/>
                <w:sz w:val="24"/>
                <w:highlight w:val="none"/>
              </w:rPr>
            </w:pPr>
          </w:p>
          <w:p w14:paraId="2D30DFD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53D222C6">
            <w:pPr>
              <w:spacing w:line="360" w:lineRule="auto"/>
              <w:jc w:val="center"/>
              <w:rPr>
                <w:rFonts w:hint="eastAsia" w:ascii="宋体" w:hAnsi="宋体" w:cs="宋体"/>
                <w:b/>
                <w:color w:val="auto"/>
                <w:sz w:val="24"/>
                <w:highlight w:val="none"/>
              </w:rPr>
            </w:pPr>
          </w:p>
        </w:tc>
      </w:tr>
      <w:tr w14:paraId="0521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F8AB01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64A2741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2DDFFDE8">
            <w:pPr>
              <w:snapToGrid w:val="0"/>
              <w:spacing w:line="360" w:lineRule="auto"/>
              <w:jc w:val="center"/>
              <w:rPr>
                <w:rFonts w:hint="eastAsia" w:ascii="宋体" w:hAnsi="宋体" w:cs="宋体"/>
                <w:color w:val="auto"/>
                <w:sz w:val="24"/>
                <w:highlight w:val="none"/>
              </w:rPr>
            </w:pPr>
          </w:p>
        </w:tc>
        <w:tc>
          <w:tcPr>
            <w:tcW w:w="3118" w:type="dxa"/>
            <w:vAlign w:val="center"/>
          </w:tcPr>
          <w:p w14:paraId="2A0A24AE">
            <w:pPr>
              <w:snapToGrid w:val="0"/>
              <w:spacing w:line="360" w:lineRule="auto"/>
              <w:jc w:val="center"/>
              <w:rPr>
                <w:rFonts w:hint="eastAsia" w:ascii="宋体" w:hAnsi="宋体" w:cs="宋体"/>
                <w:color w:val="auto"/>
                <w:sz w:val="24"/>
                <w:highlight w:val="none"/>
              </w:rPr>
            </w:pPr>
          </w:p>
        </w:tc>
        <w:tc>
          <w:tcPr>
            <w:tcW w:w="993" w:type="dxa"/>
            <w:vAlign w:val="center"/>
          </w:tcPr>
          <w:p w14:paraId="01815C82">
            <w:pPr>
              <w:snapToGrid w:val="0"/>
              <w:spacing w:line="360" w:lineRule="auto"/>
              <w:jc w:val="center"/>
              <w:rPr>
                <w:rFonts w:hint="eastAsia" w:ascii="宋体" w:hAnsi="宋体" w:cs="宋体"/>
                <w:color w:val="auto"/>
                <w:sz w:val="24"/>
                <w:highlight w:val="none"/>
              </w:rPr>
            </w:pPr>
          </w:p>
        </w:tc>
        <w:tc>
          <w:tcPr>
            <w:tcW w:w="1559" w:type="dxa"/>
            <w:vAlign w:val="center"/>
          </w:tcPr>
          <w:p w14:paraId="53C4C125">
            <w:pPr>
              <w:spacing w:line="360" w:lineRule="auto"/>
              <w:jc w:val="center"/>
              <w:rPr>
                <w:rFonts w:hint="eastAsia" w:ascii="宋体" w:hAnsi="宋体" w:cs="宋体"/>
                <w:color w:val="auto"/>
                <w:sz w:val="24"/>
                <w:highlight w:val="none"/>
              </w:rPr>
            </w:pPr>
          </w:p>
        </w:tc>
        <w:tc>
          <w:tcPr>
            <w:tcW w:w="1984" w:type="dxa"/>
            <w:vAlign w:val="center"/>
          </w:tcPr>
          <w:p w14:paraId="5686463E">
            <w:pPr>
              <w:spacing w:line="360" w:lineRule="auto"/>
              <w:jc w:val="center"/>
              <w:rPr>
                <w:rFonts w:hint="eastAsia" w:ascii="宋体" w:hAnsi="宋体" w:cs="宋体"/>
                <w:color w:val="auto"/>
                <w:sz w:val="24"/>
                <w:highlight w:val="none"/>
              </w:rPr>
            </w:pPr>
          </w:p>
        </w:tc>
        <w:tc>
          <w:tcPr>
            <w:tcW w:w="3119" w:type="dxa"/>
            <w:vAlign w:val="center"/>
          </w:tcPr>
          <w:p w14:paraId="468064FB">
            <w:pPr>
              <w:spacing w:line="360" w:lineRule="auto"/>
              <w:jc w:val="center"/>
              <w:rPr>
                <w:rFonts w:hint="eastAsia" w:ascii="宋体" w:hAnsi="宋体" w:cs="宋体"/>
                <w:color w:val="auto"/>
                <w:sz w:val="24"/>
                <w:highlight w:val="none"/>
              </w:rPr>
            </w:pPr>
          </w:p>
        </w:tc>
      </w:tr>
      <w:tr w14:paraId="2E39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E74009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4D01A4E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6209306">
            <w:pPr>
              <w:snapToGrid w:val="0"/>
              <w:spacing w:line="360" w:lineRule="auto"/>
              <w:jc w:val="center"/>
              <w:rPr>
                <w:rFonts w:hint="eastAsia" w:ascii="宋体" w:hAnsi="宋体" w:cs="宋体"/>
                <w:color w:val="auto"/>
                <w:sz w:val="24"/>
                <w:highlight w:val="none"/>
              </w:rPr>
            </w:pPr>
          </w:p>
        </w:tc>
        <w:tc>
          <w:tcPr>
            <w:tcW w:w="3118" w:type="dxa"/>
            <w:vAlign w:val="center"/>
          </w:tcPr>
          <w:p w14:paraId="01C2ADF5">
            <w:pPr>
              <w:snapToGrid w:val="0"/>
              <w:spacing w:line="360" w:lineRule="auto"/>
              <w:jc w:val="center"/>
              <w:rPr>
                <w:rFonts w:hint="eastAsia" w:ascii="宋体" w:hAnsi="宋体" w:cs="宋体"/>
                <w:color w:val="auto"/>
                <w:sz w:val="24"/>
                <w:highlight w:val="none"/>
              </w:rPr>
            </w:pPr>
          </w:p>
        </w:tc>
        <w:tc>
          <w:tcPr>
            <w:tcW w:w="993" w:type="dxa"/>
            <w:vAlign w:val="center"/>
          </w:tcPr>
          <w:p w14:paraId="3E1C89FA">
            <w:pPr>
              <w:snapToGrid w:val="0"/>
              <w:spacing w:line="360" w:lineRule="auto"/>
              <w:jc w:val="center"/>
              <w:rPr>
                <w:rFonts w:hint="eastAsia" w:ascii="宋体" w:hAnsi="宋体" w:cs="宋体"/>
                <w:color w:val="auto"/>
                <w:sz w:val="24"/>
                <w:highlight w:val="none"/>
              </w:rPr>
            </w:pPr>
          </w:p>
        </w:tc>
        <w:tc>
          <w:tcPr>
            <w:tcW w:w="1559" w:type="dxa"/>
            <w:vAlign w:val="center"/>
          </w:tcPr>
          <w:p w14:paraId="663892A2">
            <w:pPr>
              <w:spacing w:line="360" w:lineRule="auto"/>
              <w:jc w:val="center"/>
              <w:rPr>
                <w:rFonts w:hint="eastAsia" w:ascii="宋体" w:hAnsi="宋体" w:cs="宋体"/>
                <w:color w:val="auto"/>
                <w:sz w:val="24"/>
                <w:highlight w:val="none"/>
              </w:rPr>
            </w:pPr>
          </w:p>
        </w:tc>
        <w:tc>
          <w:tcPr>
            <w:tcW w:w="1984" w:type="dxa"/>
            <w:vAlign w:val="center"/>
          </w:tcPr>
          <w:p w14:paraId="7E68C600">
            <w:pPr>
              <w:spacing w:line="360" w:lineRule="auto"/>
              <w:jc w:val="center"/>
              <w:rPr>
                <w:rFonts w:hint="eastAsia" w:ascii="宋体" w:hAnsi="宋体" w:cs="宋体"/>
                <w:color w:val="auto"/>
                <w:sz w:val="24"/>
                <w:highlight w:val="none"/>
              </w:rPr>
            </w:pPr>
          </w:p>
        </w:tc>
        <w:tc>
          <w:tcPr>
            <w:tcW w:w="3119" w:type="dxa"/>
            <w:vAlign w:val="center"/>
          </w:tcPr>
          <w:p w14:paraId="2FC91312">
            <w:pPr>
              <w:spacing w:line="360" w:lineRule="auto"/>
              <w:jc w:val="center"/>
              <w:rPr>
                <w:rFonts w:hint="eastAsia" w:ascii="宋体" w:hAnsi="宋体" w:cs="宋体"/>
                <w:color w:val="auto"/>
                <w:sz w:val="24"/>
                <w:highlight w:val="none"/>
              </w:rPr>
            </w:pPr>
          </w:p>
        </w:tc>
      </w:tr>
      <w:tr w14:paraId="42C8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D07F0E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7E4253F">
            <w:pPr>
              <w:snapToGrid w:val="0"/>
              <w:spacing w:line="360" w:lineRule="auto"/>
              <w:jc w:val="center"/>
              <w:rPr>
                <w:rFonts w:hint="eastAsia" w:ascii="宋体" w:hAnsi="宋体" w:cs="宋体"/>
                <w:color w:val="auto"/>
                <w:sz w:val="24"/>
                <w:highlight w:val="none"/>
              </w:rPr>
            </w:pPr>
          </w:p>
        </w:tc>
        <w:tc>
          <w:tcPr>
            <w:tcW w:w="1843" w:type="dxa"/>
            <w:vAlign w:val="center"/>
          </w:tcPr>
          <w:p w14:paraId="5F048726">
            <w:pPr>
              <w:snapToGrid w:val="0"/>
              <w:spacing w:line="360" w:lineRule="auto"/>
              <w:jc w:val="center"/>
              <w:rPr>
                <w:rFonts w:hint="eastAsia" w:ascii="宋体" w:hAnsi="宋体" w:cs="宋体"/>
                <w:color w:val="auto"/>
                <w:sz w:val="24"/>
                <w:highlight w:val="none"/>
              </w:rPr>
            </w:pPr>
          </w:p>
        </w:tc>
        <w:tc>
          <w:tcPr>
            <w:tcW w:w="3118" w:type="dxa"/>
            <w:vAlign w:val="center"/>
          </w:tcPr>
          <w:p w14:paraId="38EE5CD9">
            <w:pPr>
              <w:snapToGrid w:val="0"/>
              <w:spacing w:line="360" w:lineRule="auto"/>
              <w:jc w:val="center"/>
              <w:rPr>
                <w:rFonts w:hint="eastAsia" w:ascii="宋体" w:hAnsi="宋体" w:cs="宋体"/>
                <w:color w:val="auto"/>
                <w:sz w:val="24"/>
                <w:highlight w:val="none"/>
              </w:rPr>
            </w:pPr>
          </w:p>
        </w:tc>
        <w:tc>
          <w:tcPr>
            <w:tcW w:w="993" w:type="dxa"/>
            <w:vAlign w:val="center"/>
          </w:tcPr>
          <w:p w14:paraId="1F91E632">
            <w:pPr>
              <w:snapToGrid w:val="0"/>
              <w:spacing w:line="360" w:lineRule="auto"/>
              <w:jc w:val="center"/>
              <w:rPr>
                <w:rFonts w:hint="eastAsia" w:ascii="宋体" w:hAnsi="宋体" w:cs="宋体"/>
                <w:color w:val="auto"/>
                <w:sz w:val="24"/>
                <w:highlight w:val="none"/>
              </w:rPr>
            </w:pPr>
          </w:p>
        </w:tc>
        <w:tc>
          <w:tcPr>
            <w:tcW w:w="1559" w:type="dxa"/>
            <w:vAlign w:val="center"/>
          </w:tcPr>
          <w:p w14:paraId="1EA310B2">
            <w:pPr>
              <w:spacing w:line="360" w:lineRule="auto"/>
              <w:jc w:val="center"/>
              <w:rPr>
                <w:rFonts w:hint="eastAsia" w:ascii="宋体" w:hAnsi="宋体" w:cs="宋体"/>
                <w:color w:val="auto"/>
                <w:sz w:val="24"/>
                <w:highlight w:val="none"/>
              </w:rPr>
            </w:pPr>
          </w:p>
        </w:tc>
        <w:tc>
          <w:tcPr>
            <w:tcW w:w="1984" w:type="dxa"/>
            <w:vAlign w:val="center"/>
          </w:tcPr>
          <w:p w14:paraId="0E1B48F5">
            <w:pPr>
              <w:spacing w:line="360" w:lineRule="auto"/>
              <w:jc w:val="center"/>
              <w:rPr>
                <w:rFonts w:hint="eastAsia" w:ascii="宋体" w:hAnsi="宋体" w:cs="宋体"/>
                <w:color w:val="auto"/>
                <w:sz w:val="24"/>
                <w:highlight w:val="none"/>
              </w:rPr>
            </w:pPr>
          </w:p>
        </w:tc>
        <w:tc>
          <w:tcPr>
            <w:tcW w:w="3119" w:type="dxa"/>
            <w:vAlign w:val="center"/>
          </w:tcPr>
          <w:p w14:paraId="3ED31FB4">
            <w:pPr>
              <w:spacing w:line="360" w:lineRule="auto"/>
              <w:jc w:val="center"/>
              <w:rPr>
                <w:rFonts w:hint="eastAsia" w:ascii="宋体" w:hAnsi="宋体" w:cs="宋体"/>
                <w:color w:val="auto"/>
                <w:sz w:val="24"/>
                <w:highlight w:val="none"/>
              </w:rPr>
            </w:pPr>
          </w:p>
        </w:tc>
      </w:tr>
      <w:tr w14:paraId="3207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C9EFFE4">
            <w:pPr>
              <w:spacing w:line="360" w:lineRule="auto"/>
              <w:jc w:val="center"/>
              <w:rPr>
                <w:rFonts w:hint="eastAsia" w:ascii="宋体" w:hAnsi="宋体" w:cs="宋体"/>
                <w:color w:val="auto"/>
                <w:sz w:val="24"/>
                <w:highlight w:val="none"/>
              </w:rPr>
            </w:pPr>
          </w:p>
        </w:tc>
        <w:tc>
          <w:tcPr>
            <w:tcW w:w="1417" w:type="dxa"/>
            <w:vAlign w:val="center"/>
          </w:tcPr>
          <w:p w14:paraId="0C63ABD2">
            <w:pPr>
              <w:snapToGrid w:val="0"/>
              <w:spacing w:line="360" w:lineRule="auto"/>
              <w:jc w:val="center"/>
              <w:rPr>
                <w:rFonts w:hint="eastAsia" w:ascii="宋体" w:hAnsi="宋体" w:cs="宋体"/>
                <w:color w:val="auto"/>
                <w:sz w:val="24"/>
                <w:highlight w:val="none"/>
              </w:rPr>
            </w:pPr>
          </w:p>
        </w:tc>
        <w:tc>
          <w:tcPr>
            <w:tcW w:w="1843" w:type="dxa"/>
            <w:vAlign w:val="center"/>
          </w:tcPr>
          <w:p w14:paraId="2D33EBE1">
            <w:pPr>
              <w:snapToGrid w:val="0"/>
              <w:spacing w:line="360" w:lineRule="auto"/>
              <w:jc w:val="center"/>
              <w:rPr>
                <w:rFonts w:hint="eastAsia" w:ascii="宋体" w:hAnsi="宋体" w:cs="宋体"/>
                <w:color w:val="auto"/>
                <w:sz w:val="24"/>
                <w:highlight w:val="none"/>
              </w:rPr>
            </w:pPr>
          </w:p>
        </w:tc>
        <w:tc>
          <w:tcPr>
            <w:tcW w:w="3118" w:type="dxa"/>
            <w:vAlign w:val="center"/>
          </w:tcPr>
          <w:p w14:paraId="34CE2A23">
            <w:pPr>
              <w:snapToGrid w:val="0"/>
              <w:spacing w:line="360" w:lineRule="auto"/>
              <w:jc w:val="center"/>
              <w:rPr>
                <w:rFonts w:hint="eastAsia" w:ascii="宋体" w:hAnsi="宋体" w:cs="宋体"/>
                <w:color w:val="auto"/>
                <w:sz w:val="24"/>
                <w:highlight w:val="none"/>
              </w:rPr>
            </w:pPr>
          </w:p>
        </w:tc>
        <w:tc>
          <w:tcPr>
            <w:tcW w:w="993" w:type="dxa"/>
            <w:vAlign w:val="center"/>
          </w:tcPr>
          <w:p w14:paraId="42084A3C">
            <w:pPr>
              <w:snapToGrid w:val="0"/>
              <w:spacing w:line="360" w:lineRule="auto"/>
              <w:jc w:val="center"/>
              <w:rPr>
                <w:rFonts w:hint="eastAsia" w:ascii="宋体" w:hAnsi="宋体" w:cs="宋体"/>
                <w:color w:val="auto"/>
                <w:sz w:val="24"/>
                <w:highlight w:val="none"/>
              </w:rPr>
            </w:pPr>
          </w:p>
        </w:tc>
        <w:tc>
          <w:tcPr>
            <w:tcW w:w="1559" w:type="dxa"/>
            <w:vAlign w:val="center"/>
          </w:tcPr>
          <w:p w14:paraId="65D852A7">
            <w:pPr>
              <w:spacing w:line="360" w:lineRule="auto"/>
              <w:jc w:val="center"/>
              <w:rPr>
                <w:rFonts w:hint="eastAsia" w:ascii="宋体" w:hAnsi="宋体" w:cs="宋体"/>
                <w:color w:val="auto"/>
                <w:sz w:val="24"/>
                <w:highlight w:val="none"/>
              </w:rPr>
            </w:pPr>
          </w:p>
        </w:tc>
        <w:tc>
          <w:tcPr>
            <w:tcW w:w="1984" w:type="dxa"/>
            <w:vAlign w:val="center"/>
          </w:tcPr>
          <w:p w14:paraId="6351150B">
            <w:pPr>
              <w:spacing w:line="360" w:lineRule="auto"/>
              <w:jc w:val="center"/>
              <w:rPr>
                <w:rFonts w:hint="eastAsia" w:ascii="宋体" w:hAnsi="宋体" w:cs="宋体"/>
                <w:color w:val="auto"/>
                <w:sz w:val="24"/>
                <w:highlight w:val="none"/>
              </w:rPr>
            </w:pPr>
          </w:p>
        </w:tc>
        <w:tc>
          <w:tcPr>
            <w:tcW w:w="3119" w:type="dxa"/>
            <w:vAlign w:val="center"/>
          </w:tcPr>
          <w:p w14:paraId="17F110CF">
            <w:pPr>
              <w:spacing w:line="360" w:lineRule="auto"/>
              <w:jc w:val="center"/>
              <w:rPr>
                <w:rFonts w:hint="eastAsia" w:ascii="宋体" w:hAnsi="宋体" w:cs="宋体"/>
                <w:color w:val="auto"/>
                <w:sz w:val="24"/>
                <w:highlight w:val="none"/>
              </w:rPr>
            </w:pPr>
          </w:p>
        </w:tc>
      </w:tr>
      <w:tr w14:paraId="36AB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FBC9251">
            <w:pPr>
              <w:spacing w:line="360" w:lineRule="auto"/>
              <w:jc w:val="center"/>
              <w:rPr>
                <w:rFonts w:hint="eastAsia" w:ascii="宋体" w:hAnsi="宋体" w:cs="宋体"/>
                <w:color w:val="auto"/>
                <w:sz w:val="24"/>
                <w:highlight w:val="none"/>
              </w:rPr>
            </w:pPr>
          </w:p>
        </w:tc>
        <w:tc>
          <w:tcPr>
            <w:tcW w:w="1417" w:type="dxa"/>
            <w:vAlign w:val="center"/>
          </w:tcPr>
          <w:p w14:paraId="4D55D888">
            <w:pPr>
              <w:snapToGrid w:val="0"/>
              <w:spacing w:line="360" w:lineRule="auto"/>
              <w:jc w:val="center"/>
              <w:rPr>
                <w:rFonts w:hint="eastAsia" w:ascii="宋体" w:hAnsi="宋体" w:cs="宋体"/>
                <w:color w:val="auto"/>
                <w:sz w:val="24"/>
                <w:highlight w:val="none"/>
              </w:rPr>
            </w:pPr>
          </w:p>
        </w:tc>
        <w:tc>
          <w:tcPr>
            <w:tcW w:w="1843" w:type="dxa"/>
            <w:vAlign w:val="center"/>
          </w:tcPr>
          <w:p w14:paraId="0A00F81C">
            <w:pPr>
              <w:snapToGrid w:val="0"/>
              <w:spacing w:line="360" w:lineRule="auto"/>
              <w:jc w:val="center"/>
              <w:rPr>
                <w:rFonts w:hint="eastAsia" w:ascii="宋体" w:hAnsi="宋体" w:cs="宋体"/>
                <w:color w:val="auto"/>
                <w:sz w:val="24"/>
                <w:highlight w:val="none"/>
              </w:rPr>
            </w:pPr>
          </w:p>
        </w:tc>
        <w:tc>
          <w:tcPr>
            <w:tcW w:w="3118" w:type="dxa"/>
            <w:vAlign w:val="center"/>
          </w:tcPr>
          <w:p w14:paraId="005FA8BF">
            <w:pPr>
              <w:snapToGrid w:val="0"/>
              <w:spacing w:line="360" w:lineRule="auto"/>
              <w:jc w:val="center"/>
              <w:rPr>
                <w:rFonts w:hint="eastAsia" w:ascii="宋体" w:hAnsi="宋体" w:cs="宋体"/>
                <w:color w:val="auto"/>
                <w:sz w:val="24"/>
                <w:highlight w:val="none"/>
              </w:rPr>
            </w:pPr>
          </w:p>
        </w:tc>
        <w:tc>
          <w:tcPr>
            <w:tcW w:w="993" w:type="dxa"/>
            <w:vAlign w:val="center"/>
          </w:tcPr>
          <w:p w14:paraId="5ABBB33A">
            <w:pPr>
              <w:snapToGrid w:val="0"/>
              <w:spacing w:line="360" w:lineRule="auto"/>
              <w:jc w:val="center"/>
              <w:rPr>
                <w:rFonts w:hint="eastAsia" w:ascii="宋体" w:hAnsi="宋体" w:cs="宋体"/>
                <w:color w:val="auto"/>
                <w:sz w:val="24"/>
                <w:highlight w:val="none"/>
              </w:rPr>
            </w:pPr>
          </w:p>
        </w:tc>
        <w:tc>
          <w:tcPr>
            <w:tcW w:w="1559" w:type="dxa"/>
            <w:vAlign w:val="center"/>
          </w:tcPr>
          <w:p w14:paraId="39B2C97B">
            <w:pPr>
              <w:spacing w:line="360" w:lineRule="auto"/>
              <w:jc w:val="center"/>
              <w:rPr>
                <w:rFonts w:hint="eastAsia" w:ascii="宋体" w:hAnsi="宋体" w:cs="宋体"/>
                <w:color w:val="auto"/>
                <w:sz w:val="24"/>
                <w:highlight w:val="none"/>
              </w:rPr>
            </w:pPr>
          </w:p>
        </w:tc>
        <w:tc>
          <w:tcPr>
            <w:tcW w:w="1984" w:type="dxa"/>
            <w:vAlign w:val="center"/>
          </w:tcPr>
          <w:p w14:paraId="091E63B0">
            <w:pPr>
              <w:spacing w:line="360" w:lineRule="auto"/>
              <w:jc w:val="center"/>
              <w:rPr>
                <w:rFonts w:hint="eastAsia" w:ascii="宋体" w:hAnsi="宋体" w:cs="宋体"/>
                <w:color w:val="auto"/>
                <w:sz w:val="24"/>
                <w:highlight w:val="none"/>
              </w:rPr>
            </w:pPr>
          </w:p>
        </w:tc>
        <w:tc>
          <w:tcPr>
            <w:tcW w:w="3119" w:type="dxa"/>
            <w:vAlign w:val="center"/>
          </w:tcPr>
          <w:p w14:paraId="706E340A">
            <w:pPr>
              <w:spacing w:line="360" w:lineRule="auto"/>
              <w:jc w:val="center"/>
              <w:rPr>
                <w:rFonts w:hint="eastAsia" w:ascii="宋体" w:hAnsi="宋体" w:cs="宋体"/>
                <w:color w:val="auto"/>
                <w:sz w:val="24"/>
                <w:highlight w:val="none"/>
              </w:rPr>
            </w:pPr>
          </w:p>
        </w:tc>
      </w:tr>
      <w:tr w14:paraId="5539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2E702A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0D875286">
            <w:pPr>
              <w:spacing w:line="360" w:lineRule="auto"/>
              <w:jc w:val="center"/>
              <w:rPr>
                <w:rFonts w:hint="eastAsia" w:ascii="宋体" w:hAnsi="宋体" w:cs="宋体"/>
                <w:color w:val="auto"/>
                <w:sz w:val="24"/>
                <w:highlight w:val="none"/>
              </w:rPr>
            </w:pPr>
          </w:p>
        </w:tc>
      </w:tr>
      <w:tr w14:paraId="2C6A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8B7B9D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1FAB0695">
            <w:pPr>
              <w:spacing w:line="360" w:lineRule="auto"/>
              <w:jc w:val="center"/>
              <w:rPr>
                <w:rFonts w:hint="eastAsia" w:ascii="宋体" w:hAnsi="宋体" w:cs="宋体"/>
                <w:color w:val="auto"/>
                <w:sz w:val="24"/>
                <w:highlight w:val="none"/>
              </w:rPr>
            </w:pPr>
          </w:p>
        </w:tc>
      </w:tr>
    </w:tbl>
    <w:p w14:paraId="25600DF6">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02EE88B">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098AC0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D94CE92">
      <w:pPr>
        <w:snapToGrid w:val="0"/>
        <w:spacing w:line="360" w:lineRule="auto"/>
        <w:ind w:firstLine="480" w:firstLineChars="200"/>
        <w:jc w:val="left"/>
        <w:rPr>
          <w:rFonts w:hint="eastAsia" w:ascii="宋体" w:hAnsi="宋体" w:cs="宋体"/>
          <w:color w:val="auto"/>
          <w:kern w:val="0"/>
          <w:sz w:val="24"/>
          <w:highlight w:val="none"/>
          <w:lang w:val="zh-CN"/>
        </w:rPr>
      </w:pPr>
    </w:p>
    <w:p w14:paraId="750908DE">
      <w:pPr>
        <w:spacing w:line="360" w:lineRule="auto"/>
        <w:ind w:firstLine="482" w:firstLineChars="200"/>
        <w:rPr>
          <w:rFonts w:hint="eastAsia" w:ascii="宋体" w:hAnsi="宋体" w:cs="宋体"/>
          <w:b/>
          <w:color w:val="auto"/>
          <w:kern w:val="0"/>
          <w:sz w:val="24"/>
          <w:highlight w:val="none"/>
        </w:rPr>
      </w:pPr>
    </w:p>
    <w:p w14:paraId="52CA55CB">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57C72B44">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B50E2D0">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415FD39A">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0637BD7D">
      <w:pPr>
        <w:pStyle w:val="694"/>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432" w:name="_Hlk101259491"/>
      <w:r>
        <w:rPr>
          <w:rFonts w:hint="eastAsia" w:ascii="宋体" w:hAnsi="宋体" w:eastAsia="宋体" w:cs="宋体"/>
          <w:color w:val="auto"/>
          <w:sz w:val="32"/>
          <w:szCs w:val="32"/>
          <w:highlight w:val="none"/>
        </w:rPr>
        <w:t>（如果有）</w:t>
      </w:r>
      <w:bookmarkEnd w:id="432"/>
    </w:p>
    <w:p w14:paraId="0E0B53C9">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68FD30C">
      <w:pPr>
        <w:pStyle w:val="694"/>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26C434BB">
      <w:pPr>
        <w:spacing w:line="360" w:lineRule="auto"/>
        <w:ind w:right="420" w:firstLine="3614" w:firstLineChars="1000"/>
        <w:rPr>
          <w:rFonts w:hint="eastAsia" w:ascii="宋体" w:hAnsi="宋体" w:cs="宋体"/>
          <w:b/>
          <w:color w:val="auto"/>
          <w:kern w:val="0"/>
          <w:sz w:val="36"/>
          <w:szCs w:val="36"/>
          <w:highlight w:val="none"/>
        </w:rPr>
      </w:pPr>
    </w:p>
    <w:p w14:paraId="3FB20431">
      <w:pPr>
        <w:spacing w:line="360" w:lineRule="auto"/>
        <w:ind w:right="420" w:firstLine="3614" w:firstLineChars="1000"/>
        <w:rPr>
          <w:rFonts w:hint="eastAsia" w:ascii="宋体" w:hAnsi="宋体" w:cs="宋体"/>
          <w:b/>
          <w:color w:val="auto"/>
          <w:kern w:val="0"/>
          <w:sz w:val="36"/>
          <w:szCs w:val="36"/>
          <w:highlight w:val="none"/>
        </w:rPr>
      </w:pPr>
    </w:p>
    <w:p w14:paraId="0277ADB9">
      <w:pPr>
        <w:spacing w:line="360" w:lineRule="auto"/>
        <w:ind w:right="420" w:firstLine="3614" w:firstLineChars="1000"/>
        <w:rPr>
          <w:rFonts w:hint="eastAsia" w:ascii="宋体" w:hAnsi="宋体" w:cs="宋体"/>
          <w:b/>
          <w:color w:val="auto"/>
          <w:kern w:val="0"/>
          <w:sz w:val="36"/>
          <w:szCs w:val="36"/>
          <w:highlight w:val="none"/>
        </w:rPr>
      </w:pPr>
    </w:p>
    <w:p w14:paraId="49AB4ECC">
      <w:pPr>
        <w:spacing w:line="360" w:lineRule="auto"/>
        <w:ind w:right="420" w:firstLine="3614" w:firstLineChars="1000"/>
        <w:rPr>
          <w:rFonts w:hint="eastAsia" w:ascii="宋体" w:hAnsi="宋体" w:cs="宋体"/>
          <w:b/>
          <w:color w:val="auto"/>
          <w:kern w:val="0"/>
          <w:sz w:val="36"/>
          <w:szCs w:val="36"/>
          <w:highlight w:val="none"/>
        </w:rPr>
      </w:pPr>
    </w:p>
    <w:p w14:paraId="1C8CD21C">
      <w:pPr>
        <w:spacing w:line="360" w:lineRule="auto"/>
        <w:ind w:right="420" w:firstLine="3614" w:firstLineChars="1000"/>
        <w:rPr>
          <w:rFonts w:hint="eastAsia" w:ascii="宋体" w:hAnsi="宋体" w:cs="宋体"/>
          <w:b/>
          <w:color w:val="auto"/>
          <w:kern w:val="0"/>
          <w:sz w:val="36"/>
          <w:szCs w:val="36"/>
          <w:highlight w:val="none"/>
        </w:rPr>
      </w:pPr>
    </w:p>
    <w:p w14:paraId="0D69FCD4">
      <w:pPr>
        <w:spacing w:line="360" w:lineRule="auto"/>
        <w:ind w:right="420" w:firstLine="3614" w:firstLineChars="1000"/>
        <w:rPr>
          <w:rFonts w:hint="eastAsia" w:ascii="宋体" w:hAnsi="宋体" w:cs="宋体"/>
          <w:b/>
          <w:color w:val="auto"/>
          <w:kern w:val="0"/>
          <w:sz w:val="36"/>
          <w:szCs w:val="36"/>
          <w:highlight w:val="none"/>
        </w:rPr>
      </w:pPr>
    </w:p>
    <w:p w14:paraId="7A0F7FBD">
      <w:pPr>
        <w:spacing w:line="360" w:lineRule="auto"/>
        <w:ind w:right="420" w:firstLine="3614" w:firstLineChars="1000"/>
        <w:rPr>
          <w:rFonts w:hint="eastAsia" w:ascii="宋体" w:hAnsi="宋体" w:cs="宋体"/>
          <w:b/>
          <w:color w:val="auto"/>
          <w:kern w:val="0"/>
          <w:sz w:val="36"/>
          <w:szCs w:val="36"/>
          <w:highlight w:val="none"/>
        </w:rPr>
      </w:pPr>
    </w:p>
    <w:p w14:paraId="3D745A33">
      <w:pPr>
        <w:spacing w:line="360" w:lineRule="auto"/>
        <w:ind w:right="420" w:firstLine="3614" w:firstLineChars="1000"/>
        <w:rPr>
          <w:rFonts w:hint="eastAsia" w:ascii="宋体" w:hAnsi="宋体" w:cs="宋体"/>
          <w:b/>
          <w:color w:val="auto"/>
          <w:kern w:val="0"/>
          <w:sz w:val="36"/>
          <w:szCs w:val="36"/>
          <w:highlight w:val="none"/>
        </w:rPr>
      </w:pPr>
    </w:p>
    <w:p w14:paraId="3EB2A5C8">
      <w:pPr>
        <w:spacing w:line="360" w:lineRule="auto"/>
        <w:ind w:right="420" w:firstLine="3614" w:firstLineChars="1000"/>
        <w:rPr>
          <w:rFonts w:hint="eastAsia" w:ascii="宋体" w:hAnsi="宋体" w:cs="宋体"/>
          <w:b/>
          <w:color w:val="auto"/>
          <w:kern w:val="0"/>
          <w:sz w:val="36"/>
          <w:szCs w:val="36"/>
          <w:highlight w:val="none"/>
        </w:rPr>
      </w:pPr>
    </w:p>
    <w:p w14:paraId="24962AE3">
      <w:pPr>
        <w:spacing w:line="360" w:lineRule="auto"/>
        <w:ind w:right="420" w:firstLine="3614" w:firstLineChars="1000"/>
        <w:rPr>
          <w:rFonts w:hint="eastAsia" w:ascii="宋体" w:hAnsi="宋体" w:cs="宋体"/>
          <w:b/>
          <w:color w:val="auto"/>
          <w:kern w:val="0"/>
          <w:sz w:val="36"/>
          <w:szCs w:val="36"/>
          <w:highlight w:val="none"/>
        </w:rPr>
      </w:pPr>
    </w:p>
    <w:p w14:paraId="41C36D61">
      <w:pPr>
        <w:spacing w:line="360" w:lineRule="auto"/>
        <w:ind w:right="420" w:firstLine="3614" w:firstLineChars="1000"/>
        <w:rPr>
          <w:rFonts w:hint="eastAsia" w:ascii="宋体" w:hAnsi="宋体" w:cs="宋体"/>
          <w:b/>
          <w:color w:val="auto"/>
          <w:kern w:val="0"/>
          <w:sz w:val="36"/>
          <w:szCs w:val="36"/>
          <w:highlight w:val="none"/>
        </w:rPr>
      </w:pPr>
    </w:p>
    <w:p w14:paraId="28E08F11">
      <w:pPr>
        <w:spacing w:line="360" w:lineRule="auto"/>
        <w:ind w:right="420" w:firstLine="3614" w:firstLineChars="1000"/>
        <w:rPr>
          <w:rFonts w:hint="eastAsia" w:ascii="宋体" w:hAnsi="宋体" w:cs="宋体"/>
          <w:b/>
          <w:color w:val="auto"/>
          <w:kern w:val="0"/>
          <w:sz w:val="36"/>
          <w:szCs w:val="36"/>
          <w:highlight w:val="none"/>
        </w:rPr>
      </w:pPr>
    </w:p>
    <w:p w14:paraId="29121C5A">
      <w:pPr>
        <w:pStyle w:val="3"/>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bookmarkStart w:id="433" w:name="_Toc465665161"/>
      <w:r>
        <w:rPr>
          <w:rFonts w:hint="eastAsia" w:ascii="宋体" w:hAnsi="宋体" w:cs="宋体"/>
          <w:color w:val="auto"/>
          <w:highlight w:val="none"/>
        </w:rPr>
        <w:t>附件</w:t>
      </w:r>
      <w:bookmarkEnd w:id="433"/>
    </w:p>
    <w:p w14:paraId="00BEDFC5">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32A7630">
      <w:pPr>
        <w:spacing w:line="360" w:lineRule="auto"/>
        <w:jc w:val="center"/>
        <w:rPr>
          <w:rFonts w:hint="eastAsia" w:ascii="宋体" w:hAnsi="宋体" w:cs="宋体"/>
          <w:b/>
          <w:color w:val="auto"/>
          <w:spacing w:val="6"/>
          <w:sz w:val="32"/>
          <w:szCs w:val="32"/>
          <w:highlight w:val="none"/>
        </w:rPr>
      </w:pPr>
      <w:bookmarkStart w:id="434" w:name="OLE_LINK14"/>
      <w:bookmarkStart w:id="435" w:name="OLE_LINK13"/>
      <w:r>
        <w:rPr>
          <w:rFonts w:hint="eastAsia" w:ascii="宋体" w:hAnsi="宋体" w:cs="宋体"/>
          <w:b/>
          <w:color w:val="auto"/>
          <w:spacing w:val="6"/>
          <w:sz w:val="32"/>
          <w:szCs w:val="32"/>
          <w:highlight w:val="none"/>
        </w:rPr>
        <w:t>残疾人福利性单位声明函</w:t>
      </w:r>
    </w:p>
    <w:bookmarkEnd w:id="434"/>
    <w:bookmarkEnd w:id="435"/>
    <w:p w14:paraId="13CFA370">
      <w:pPr>
        <w:spacing w:line="360" w:lineRule="auto"/>
        <w:rPr>
          <w:rFonts w:hint="eastAsia" w:ascii="宋体" w:hAnsi="宋体" w:cs="宋体"/>
          <w:b/>
          <w:color w:val="auto"/>
          <w:spacing w:val="6"/>
          <w:sz w:val="30"/>
          <w:szCs w:val="30"/>
          <w:highlight w:val="none"/>
        </w:rPr>
      </w:pPr>
    </w:p>
    <w:p w14:paraId="176CD20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 xml:space="preserve">杭州市旅游职业学校 </w:t>
      </w:r>
      <w:r>
        <w:rPr>
          <w:rFonts w:hint="eastAsia" w:ascii="宋体" w:hAnsi="宋体" w:cs="宋体"/>
          <w:color w:val="auto"/>
          <w:sz w:val="24"/>
          <w:highlight w:val="none"/>
        </w:rPr>
        <w:t>_单位的_</w:t>
      </w:r>
      <w:r>
        <w:rPr>
          <w:rFonts w:hint="eastAsia" w:ascii="宋体" w:hAnsi="宋体" w:cs="宋体"/>
          <w:color w:val="auto"/>
          <w:sz w:val="24"/>
          <w:highlight w:val="none"/>
          <w:u w:val="single"/>
        </w:rPr>
        <w:t>杭州市旅游职业学校葵巷校区智慧教室建设</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593079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F034538">
      <w:pPr>
        <w:spacing w:line="360" w:lineRule="auto"/>
        <w:ind w:firstLine="480" w:firstLineChars="200"/>
        <w:rPr>
          <w:rFonts w:hint="eastAsia" w:ascii="宋体" w:hAnsi="宋体" w:cs="宋体"/>
          <w:color w:val="auto"/>
          <w:sz w:val="24"/>
          <w:highlight w:val="none"/>
        </w:rPr>
      </w:pPr>
    </w:p>
    <w:p w14:paraId="1708D961">
      <w:pPr>
        <w:spacing w:line="360" w:lineRule="auto"/>
        <w:ind w:firstLine="480" w:firstLineChars="200"/>
        <w:rPr>
          <w:rFonts w:hint="eastAsia" w:ascii="宋体" w:hAnsi="宋体" w:cs="宋体"/>
          <w:color w:val="auto"/>
          <w:sz w:val="24"/>
          <w:highlight w:val="none"/>
        </w:rPr>
      </w:pPr>
    </w:p>
    <w:p w14:paraId="7A689134">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4BC8A01">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6D265132">
      <w:pPr>
        <w:spacing w:line="360" w:lineRule="auto"/>
        <w:ind w:firstLine="480" w:firstLineChars="200"/>
        <w:rPr>
          <w:rFonts w:hint="eastAsia" w:ascii="宋体" w:hAnsi="宋体" w:cs="宋体"/>
          <w:color w:val="auto"/>
          <w:sz w:val="24"/>
          <w:highlight w:val="none"/>
        </w:rPr>
      </w:pPr>
    </w:p>
    <w:p w14:paraId="6069010E">
      <w:pPr>
        <w:spacing w:line="360" w:lineRule="auto"/>
        <w:ind w:firstLine="420" w:firstLineChars="200"/>
        <w:rPr>
          <w:rFonts w:hint="eastAsia" w:ascii="宋体" w:hAnsi="宋体" w:cs="宋体"/>
          <w:color w:val="auto"/>
          <w:highlight w:val="none"/>
        </w:rPr>
      </w:pPr>
    </w:p>
    <w:p w14:paraId="1520542B">
      <w:pPr>
        <w:spacing w:line="360" w:lineRule="auto"/>
        <w:ind w:firstLine="420" w:firstLineChars="200"/>
        <w:rPr>
          <w:rFonts w:hint="eastAsia" w:ascii="宋体" w:hAnsi="宋体" w:cs="宋体"/>
          <w:color w:val="auto"/>
          <w:highlight w:val="none"/>
        </w:rPr>
      </w:pPr>
    </w:p>
    <w:p w14:paraId="26CED478">
      <w:pPr>
        <w:spacing w:line="360" w:lineRule="auto"/>
        <w:ind w:firstLine="420" w:firstLineChars="200"/>
        <w:rPr>
          <w:rFonts w:hint="eastAsia" w:ascii="宋体" w:hAnsi="宋体" w:cs="宋体"/>
          <w:color w:val="auto"/>
          <w:highlight w:val="none"/>
        </w:rPr>
      </w:pPr>
    </w:p>
    <w:p w14:paraId="3997C2FE">
      <w:pPr>
        <w:spacing w:line="360" w:lineRule="auto"/>
        <w:ind w:firstLine="420" w:firstLineChars="200"/>
        <w:rPr>
          <w:rFonts w:hint="eastAsia" w:ascii="宋体" w:hAnsi="宋体" w:cs="宋体"/>
          <w:color w:val="auto"/>
          <w:highlight w:val="none"/>
        </w:rPr>
      </w:pPr>
    </w:p>
    <w:p w14:paraId="509B0E5B">
      <w:pPr>
        <w:spacing w:line="360" w:lineRule="auto"/>
        <w:rPr>
          <w:rFonts w:hint="eastAsia" w:ascii="宋体" w:hAnsi="宋体" w:cs="宋体"/>
          <w:b/>
          <w:color w:val="auto"/>
          <w:sz w:val="24"/>
          <w:highlight w:val="none"/>
        </w:rPr>
      </w:pPr>
    </w:p>
    <w:p w14:paraId="7168F332">
      <w:pPr>
        <w:spacing w:line="360" w:lineRule="auto"/>
        <w:rPr>
          <w:rFonts w:hint="eastAsia" w:ascii="宋体" w:hAnsi="宋体" w:cs="宋体"/>
          <w:b/>
          <w:color w:val="auto"/>
          <w:sz w:val="24"/>
          <w:highlight w:val="none"/>
        </w:rPr>
      </w:pPr>
    </w:p>
    <w:p w14:paraId="4CEF5235">
      <w:pPr>
        <w:spacing w:line="360" w:lineRule="auto"/>
        <w:rPr>
          <w:rFonts w:hint="eastAsia" w:ascii="宋体" w:hAnsi="宋体" w:cs="宋体"/>
          <w:b/>
          <w:color w:val="auto"/>
          <w:sz w:val="24"/>
          <w:highlight w:val="none"/>
        </w:rPr>
      </w:pPr>
    </w:p>
    <w:p w14:paraId="041EC216">
      <w:pPr>
        <w:spacing w:line="360" w:lineRule="auto"/>
        <w:rPr>
          <w:rFonts w:hint="eastAsia" w:ascii="宋体" w:hAnsi="宋体" w:cs="宋体"/>
          <w:b/>
          <w:color w:val="auto"/>
          <w:sz w:val="24"/>
          <w:highlight w:val="none"/>
        </w:rPr>
      </w:pPr>
    </w:p>
    <w:p w14:paraId="6F363439">
      <w:pPr>
        <w:spacing w:line="360" w:lineRule="auto"/>
        <w:rPr>
          <w:rFonts w:hint="eastAsia" w:ascii="宋体" w:hAnsi="宋体" w:cs="宋体"/>
          <w:b/>
          <w:color w:val="auto"/>
          <w:sz w:val="24"/>
          <w:highlight w:val="none"/>
        </w:rPr>
      </w:pPr>
    </w:p>
    <w:p w14:paraId="1F820A5F">
      <w:pPr>
        <w:spacing w:line="360" w:lineRule="auto"/>
        <w:rPr>
          <w:rFonts w:hint="eastAsia" w:ascii="宋体" w:hAnsi="宋体" w:cs="宋体"/>
          <w:b/>
          <w:color w:val="auto"/>
          <w:sz w:val="24"/>
          <w:highlight w:val="none"/>
        </w:rPr>
      </w:pPr>
    </w:p>
    <w:p w14:paraId="7A4A4B90">
      <w:pPr>
        <w:spacing w:line="360" w:lineRule="auto"/>
        <w:jc w:val="left"/>
        <w:rPr>
          <w:rFonts w:hint="eastAsia" w:ascii="宋体" w:hAnsi="宋体" w:cs="宋体"/>
          <w:b/>
          <w:color w:val="auto"/>
          <w:spacing w:val="6"/>
          <w:sz w:val="32"/>
          <w:szCs w:val="32"/>
          <w:highlight w:val="none"/>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14:paraId="3D41F72D">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475BC14">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290473F">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47D2AAFC">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DE3217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4B4DB2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DEB5E7B">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0F4A6B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6036C0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551E620">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5AAA5CB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ECF351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55A3DE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6B6E20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FF900F0">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1C0F2190">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296D54C">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480B37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75194B59">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3BD2750">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B29DE06">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49BC7FE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2E5CF909">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DB7F78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DBA97B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17E634A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423B8A55">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3A59518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56F1F8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8FD70B7">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9E91697">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37B576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D789A9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F19165">
      <w:pPr>
        <w:widowControl/>
        <w:spacing w:line="360" w:lineRule="auto"/>
        <w:ind w:firstLine="600" w:firstLineChars="200"/>
        <w:jc w:val="left"/>
        <w:rPr>
          <w:rFonts w:hint="eastAsia" w:ascii="宋体" w:hAnsi="宋体" w:cs="宋体"/>
          <w:color w:val="auto"/>
          <w:sz w:val="30"/>
          <w:szCs w:val="30"/>
          <w:highlight w:val="none"/>
        </w:rPr>
      </w:pPr>
    </w:p>
    <w:p w14:paraId="6BC264B1">
      <w:pPr>
        <w:spacing w:line="360" w:lineRule="auto"/>
        <w:jc w:val="center"/>
        <w:rPr>
          <w:rFonts w:hint="eastAsia" w:ascii="宋体" w:hAnsi="宋体" w:cs="宋体"/>
          <w:b/>
          <w:color w:val="auto"/>
          <w:spacing w:val="6"/>
          <w:sz w:val="32"/>
          <w:szCs w:val="32"/>
          <w:highlight w:val="none"/>
        </w:rPr>
      </w:pPr>
    </w:p>
    <w:p w14:paraId="0D39F1C2">
      <w:pPr>
        <w:spacing w:line="360" w:lineRule="auto"/>
        <w:jc w:val="center"/>
        <w:rPr>
          <w:rFonts w:hint="eastAsia" w:ascii="宋体" w:hAnsi="宋体" w:cs="宋体"/>
          <w:b/>
          <w:color w:val="auto"/>
          <w:spacing w:val="6"/>
          <w:sz w:val="32"/>
          <w:szCs w:val="32"/>
          <w:highlight w:val="none"/>
        </w:rPr>
      </w:pPr>
    </w:p>
    <w:p w14:paraId="6537D5D1">
      <w:pPr>
        <w:spacing w:line="360" w:lineRule="auto"/>
        <w:jc w:val="center"/>
        <w:rPr>
          <w:rFonts w:hint="eastAsia" w:ascii="宋体" w:hAnsi="宋体" w:cs="宋体"/>
          <w:b/>
          <w:color w:val="auto"/>
          <w:spacing w:val="6"/>
          <w:sz w:val="32"/>
          <w:szCs w:val="32"/>
          <w:highlight w:val="none"/>
        </w:rPr>
      </w:pPr>
    </w:p>
    <w:p w14:paraId="6B4E61A4">
      <w:pPr>
        <w:spacing w:line="360" w:lineRule="auto"/>
        <w:jc w:val="center"/>
        <w:rPr>
          <w:rFonts w:hint="eastAsia" w:ascii="宋体" w:hAnsi="宋体" w:cs="宋体"/>
          <w:b/>
          <w:color w:val="auto"/>
          <w:spacing w:val="6"/>
          <w:sz w:val="32"/>
          <w:szCs w:val="32"/>
          <w:highlight w:val="none"/>
        </w:rPr>
      </w:pPr>
    </w:p>
    <w:p w14:paraId="15696B62">
      <w:pPr>
        <w:spacing w:line="360" w:lineRule="auto"/>
        <w:jc w:val="center"/>
        <w:rPr>
          <w:rFonts w:hint="eastAsia" w:ascii="宋体" w:hAnsi="宋体" w:cs="宋体"/>
          <w:b/>
          <w:color w:val="auto"/>
          <w:spacing w:val="6"/>
          <w:sz w:val="32"/>
          <w:szCs w:val="32"/>
          <w:highlight w:val="none"/>
        </w:rPr>
      </w:pPr>
    </w:p>
    <w:p w14:paraId="21CAB4FC">
      <w:pPr>
        <w:spacing w:line="360" w:lineRule="auto"/>
        <w:jc w:val="center"/>
        <w:rPr>
          <w:rFonts w:hint="eastAsia" w:ascii="宋体" w:hAnsi="宋体" w:cs="宋体"/>
          <w:b/>
          <w:color w:val="auto"/>
          <w:spacing w:val="6"/>
          <w:sz w:val="32"/>
          <w:szCs w:val="32"/>
          <w:highlight w:val="none"/>
        </w:rPr>
      </w:pPr>
    </w:p>
    <w:p w14:paraId="35F4098D">
      <w:pPr>
        <w:spacing w:line="360" w:lineRule="auto"/>
        <w:jc w:val="center"/>
        <w:rPr>
          <w:rFonts w:hint="eastAsia" w:ascii="宋体" w:hAnsi="宋体" w:cs="宋体"/>
          <w:b/>
          <w:color w:val="auto"/>
          <w:spacing w:val="6"/>
          <w:sz w:val="32"/>
          <w:szCs w:val="32"/>
          <w:highlight w:val="none"/>
        </w:rPr>
      </w:pPr>
    </w:p>
    <w:p w14:paraId="71080A65">
      <w:pPr>
        <w:spacing w:line="360" w:lineRule="auto"/>
        <w:jc w:val="left"/>
        <w:rPr>
          <w:rFonts w:hint="eastAsia" w:ascii="宋体" w:hAnsi="宋体" w:cs="宋体"/>
          <w:b/>
          <w:color w:val="auto"/>
          <w:spacing w:val="6"/>
          <w:sz w:val="32"/>
          <w:szCs w:val="32"/>
          <w:highlight w:val="none"/>
        </w:rPr>
      </w:pPr>
    </w:p>
    <w:p w14:paraId="679EBB8B">
      <w:pPr>
        <w:pStyle w:val="2"/>
        <w:ind w:firstLine="665"/>
        <w:rPr>
          <w:rFonts w:hint="eastAsia" w:ascii="宋体" w:hAnsi="宋体" w:cs="宋体"/>
          <w:b/>
          <w:color w:val="auto"/>
          <w:spacing w:val="6"/>
          <w:sz w:val="32"/>
          <w:szCs w:val="32"/>
          <w:highlight w:val="none"/>
        </w:rPr>
      </w:pPr>
    </w:p>
    <w:p w14:paraId="331A6004">
      <w:pPr>
        <w:pStyle w:val="2"/>
        <w:ind w:firstLine="665"/>
        <w:rPr>
          <w:rFonts w:hint="eastAsia" w:ascii="宋体" w:hAnsi="宋体" w:cs="宋体"/>
          <w:b/>
          <w:color w:val="auto"/>
          <w:spacing w:val="6"/>
          <w:sz w:val="32"/>
          <w:szCs w:val="32"/>
          <w:highlight w:val="none"/>
        </w:rPr>
      </w:pPr>
    </w:p>
    <w:p w14:paraId="69CBBC49">
      <w:pPr>
        <w:pStyle w:val="2"/>
        <w:ind w:firstLine="665"/>
        <w:rPr>
          <w:rFonts w:hint="eastAsia" w:ascii="宋体" w:hAnsi="宋体" w:cs="宋体"/>
          <w:b/>
          <w:color w:val="auto"/>
          <w:spacing w:val="6"/>
          <w:sz w:val="32"/>
          <w:szCs w:val="32"/>
          <w:highlight w:val="none"/>
        </w:rPr>
      </w:pPr>
    </w:p>
    <w:p w14:paraId="3E4A0683">
      <w:pPr>
        <w:pStyle w:val="2"/>
        <w:ind w:firstLine="665"/>
        <w:rPr>
          <w:rFonts w:hint="eastAsia" w:ascii="宋体" w:hAnsi="宋体" w:cs="宋体"/>
          <w:b/>
          <w:color w:val="auto"/>
          <w:spacing w:val="6"/>
          <w:sz w:val="32"/>
          <w:szCs w:val="32"/>
          <w:highlight w:val="none"/>
        </w:rPr>
      </w:pPr>
    </w:p>
    <w:p w14:paraId="088232A0">
      <w:pPr>
        <w:pStyle w:val="2"/>
        <w:ind w:firstLine="665"/>
        <w:rPr>
          <w:rFonts w:hint="eastAsia" w:ascii="宋体" w:hAnsi="宋体" w:cs="宋体"/>
          <w:b/>
          <w:color w:val="auto"/>
          <w:spacing w:val="6"/>
          <w:sz w:val="32"/>
          <w:szCs w:val="32"/>
          <w:highlight w:val="none"/>
        </w:rPr>
      </w:pPr>
    </w:p>
    <w:p w14:paraId="2D6800C7">
      <w:pPr>
        <w:spacing w:line="360" w:lineRule="auto"/>
        <w:jc w:val="left"/>
        <w:rPr>
          <w:rFonts w:hint="eastAsia" w:ascii="宋体" w:hAnsi="宋体" w:cs="宋体"/>
          <w:b/>
          <w:color w:val="auto"/>
          <w:spacing w:val="6"/>
          <w:sz w:val="32"/>
          <w:szCs w:val="32"/>
          <w:highlight w:val="none"/>
        </w:rPr>
      </w:pPr>
    </w:p>
    <w:p w14:paraId="04772E59">
      <w:pPr>
        <w:spacing w:line="360" w:lineRule="auto"/>
        <w:jc w:val="left"/>
        <w:rPr>
          <w:rFonts w:hint="eastAsia" w:ascii="宋体" w:hAnsi="宋体" w:cs="宋体"/>
          <w:b/>
          <w:color w:val="auto"/>
          <w:spacing w:val="6"/>
          <w:sz w:val="32"/>
          <w:szCs w:val="32"/>
          <w:highlight w:val="none"/>
        </w:rPr>
        <w:sectPr>
          <w:pgSz w:w="11906" w:h="16838"/>
          <w:pgMar w:top="1276" w:right="1418" w:bottom="1247" w:left="1418" w:header="851" w:footer="992" w:gutter="0"/>
          <w:cols w:space="720" w:num="1"/>
          <w:titlePg/>
          <w:docGrid w:linePitch="312" w:charSpace="0"/>
        </w:sectPr>
      </w:pPr>
    </w:p>
    <w:p w14:paraId="28D8BE3E">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8004A02">
      <w:pPr>
        <w:spacing w:line="360" w:lineRule="auto"/>
        <w:jc w:val="center"/>
        <w:rPr>
          <w:rFonts w:hint="eastAsia" w:ascii="宋体" w:hAnsi="宋体" w:cs="宋体"/>
          <w:b/>
          <w:color w:val="auto"/>
          <w:sz w:val="24"/>
          <w:highlight w:val="none"/>
        </w:rPr>
      </w:pPr>
    </w:p>
    <w:p w14:paraId="65170941">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7E8A03B">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7916E58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667BC4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BDD3A7">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6ED125">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AF9A55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FF0F5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B65003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66FCF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88CE7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E6A4A4">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47D0285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0B249AF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15A46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D4E87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196A88">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085F5373">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60246F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CF362A6">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3FF14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6D0E92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1CE496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972D70F">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3CD8D9E2">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6EA1DD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9575610">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248CC76">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2325400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4B4B7EF">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4EA5593">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8523ED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08B3C82">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5B04174">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5679597A">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6CDE5D0C">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6C0BF78C">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C77B7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7F33422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72F7BAA5">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6D3D07C2">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84C2A42">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3B5D12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8A7563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DA3D057">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51C89B7">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C343964">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17C8792">
      <w:pPr>
        <w:autoSpaceDE w:val="0"/>
        <w:autoSpaceDN w:val="0"/>
        <w:jc w:val="center"/>
        <w:rPr>
          <w:rFonts w:hint="eastAsia" w:ascii="宋体" w:hAnsi="宋体" w:cs="宋体"/>
          <w:b/>
          <w:color w:val="auto"/>
          <w:spacing w:val="6"/>
          <w:sz w:val="32"/>
          <w:szCs w:val="32"/>
          <w:highlight w:val="none"/>
        </w:rPr>
        <w:sectPr>
          <w:pgSz w:w="11906" w:h="16838"/>
          <w:pgMar w:top="1276" w:right="1418" w:bottom="1247" w:left="1418" w:header="851" w:footer="992" w:gutter="0"/>
          <w:cols w:space="720" w:num="1"/>
          <w:titlePg/>
          <w:docGrid w:linePitch="312" w:charSpace="0"/>
        </w:sectPr>
      </w:pPr>
    </w:p>
    <w:p w14:paraId="735D837E">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58D158E">
      <w:pPr>
        <w:spacing w:line="360" w:lineRule="auto"/>
        <w:rPr>
          <w:rFonts w:hint="eastAsia" w:ascii="宋体" w:hAnsi="宋体" w:cs="宋体"/>
          <w:color w:val="auto"/>
          <w:sz w:val="24"/>
          <w:highlight w:val="none"/>
          <w:u w:val="single"/>
        </w:rPr>
      </w:pPr>
    </w:p>
    <w:p w14:paraId="712BEBE4">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杭州市旅游职业学校 、浙江中通通信有限公司：</w:t>
      </w:r>
    </w:p>
    <w:p w14:paraId="5984859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你方组织的杭州市旅游职业学校葵巷校区智慧教室建设【招标编号：HLZ-2025-014】</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5264A5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011F3364">
      <w:pPr>
        <w:spacing w:line="360" w:lineRule="auto"/>
        <w:ind w:firstLine="494"/>
        <w:rPr>
          <w:rFonts w:hint="eastAsia" w:ascii="宋体" w:hAnsi="宋体" w:cs="宋体"/>
          <w:color w:val="auto"/>
          <w:sz w:val="24"/>
          <w:highlight w:val="none"/>
        </w:rPr>
      </w:pPr>
    </w:p>
    <w:p w14:paraId="45EAD287">
      <w:pPr>
        <w:spacing w:line="360" w:lineRule="auto"/>
        <w:ind w:firstLine="494"/>
        <w:rPr>
          <w:rFonts w:hint="eastAsia" w:ascii="宋体" w:hAnsi="宋体" w:cs="宋体"/>
          <w:color w:val="auto"/>
          <w:sz w:val="24"/>
          <w:highlight w:val="none"/>
        </w:rPr>
      </w:pPr>
    </w:p>
    <w:p w14:paraId="3CC0F667">
      <w:pPr>
        <w:spacing w:line="360" w:lineRule="auto"/>
        <w:ind w:firstLine="494"/>
        <w:rPr>
          <w:rFonts w:hint="eastAsia" w:ascii="宋体" w:hAnsi="宋体" w:cs="宋体"/>
          <w:color w:val="auto"/>
          <w:sz w:val="24"/>
          <w:highlight w:val="none"/>
        </w:rPr>
      </w:pPr>
    </w:p>
    <w:p w14:paraId="2456ACE4">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120A655D">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4DC64793">
      <w:pPr>
        <w:rPr>
          <w:rFonts w:hint="eastAsia" w:ascii="宋体" w:hAnsi="宋体" w:cs="宋体"/>
          <w:color w:val="auto"/>
          <w:sz w:val="24"/>
          <w:highlight w:val="none"/>
        </w:rPr>
      </w:pPr>
      <w:r>
        <w:rPr>
          <w:rFonts w:hint="eastAsia" w:ascii="宋体" w:hAnsi="宋体" w:cs="宋体"/>
          <w:b/>
          <w:bCs/>
          <w:color w:val="auto"/>
          <w:sz w:val="24"/>
          <w:highlight w:val="none"/>
        </w:rPr>
        <w:t>附：</w:t>
      </w:r>
    </w:p>
    <w:p w14:paraId="49ABE952">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58C6C7D">
      <w:pPr>
        <w:autoSpaceDE w:val="0"/>
        <w:autoSpaceDN w:val="0"/>
        <w:jc w:val="center"/>
        <w:rPr>
          <w:rFonts w:hint="eastAsia" w:ascii="宋体" w:hAnsi="宋体" w:cs="宋体"/>
          <w:b/>
          <w:color w:val="auto"/>
          <w:spacing w:val="6"/>
          <w:sz w:val="32"/>
          <w:szCs w:val="32"/>
          <w:highlight w:val="none"/>
        </w:rPr>
      </w:pPr>
    </w:p>
    <w:p w14:paraId="4B22CA5D">
      <w:pPr>
        <w:autoSpaceDE w:val="0"/>
        <w:autoSpaceDN w:val="0"/>
        <w:jc w:val="center"/>
        <w:rPr>
          <w:rFonts w:hint="eastAsia" w:ascii="宋体" w:hAnsi="宋体" w:cs="宋体"/>
          <w:b/>
          <w:color w:val="auto"/>
          <w:spacing w:val="6"/>
          <w:sz w:val="32"/>
          <w:szCs w:val="32"/>
          <w:highlight w:val="none"/>
        </w:rPr>
      </w:pPr>
    </w:p>
    <w:p w14:paraId="6CCB2DCB">
      <w:pPr>
        <w:autoSpaceDE w:val="0"/>
        <w:autoSpaceDN w:val="0"/>
        <w:jc w:val="center"/>
        <w:rPr>
          <w:rFonts w:hint="eastAsia" w:ascii="宋体" w:hAnsi="宋体" w:cs="宋体"/>
          <w:b/>
          <w:color w:val="auto"/>
          <w:spacing w:val="6"/>
          <w:sz w:val="32"/>
          <w:szCs w:val="32"/>
          <w:highlight w:val="none"/>
        </w:rPr>
      </w:pPr>
    </w:p>
    <w:p w14:paraId="28ACA463">
      <w:pPr>
        <w:autoSpaceDE w:val="0"/>
        <w:autoSpaceDN w:val="0"/>
        <w:jc w:val="center"/>
        <w:rPr>
          <w:rFonts w:hint="eastAsia" w:ascii="宋体" w:hAnsi="宋体" w:cs="宋体"/>
          <w:b/>
          <w:color w:val="auto"/>
          <w:spacing w:val="6"/>
          <w:sz w:val="32"/>
          <w:szCs w:val="32"/>
          <w:highlight w:val="none"/>
        </w:rPr>
      </w:pPr>
    </w:p>
    <w:p w14:paraId="6585480F">
      <w:pPr>
        <w:autoSpaceDE w:val="0"/>
        <w:autoSpaceDN w:val="0"/>
        <w:jc w:val="center"/>
        <w:rPr>
          <w:rFonts w:hint="eastAsia" w:ascii="宋体" w:hAnsi="宋体" w:cs="宋体"/>
          <w:b/>
          <w:color w:val="auto"/>
          <w:spacing w:val="6"/>
          <w:sz w:val="32"/>
          <w:szCs w:val="32"/>
          <w:highlight w:val="none"/>
        </w:rPr>
      </w:pPr>
    </w:p>
    <w:p w14:paraId="07D32F1B">
      <w:pPr>
        <w:autoSpaceDE w:val="0"/>
        <w:autoSpaceDN w:val="0"/>
        <w:jc w:val="center"/>
        <w:rPr>
          <w:rFonts w:hint="eastAsia" w:ascii="宋体" w:hAnsi="宋体" w:cs="宋体"/>
          <w:b/>
          <w:color w:val="auto"/>
          <w:spacing w:val="6"/>
          <w:sz w:val="32"/>
          <w:szCs w:val="32"/>
          <w:highlight w:val="none"/>
        </w:rPr>
      </w:pPr>
    </w:p>
    <w:p w14:paraId="1C069C21">
      <w:pPr>
        <w:autoSpaceDE w:val="0"/>
        <w:autoSpaceDN w:val="0"/>
        <w:jc w:val="center"/>
        <w:rPr>
          <w:rFonts w:hint="eastAsia" w:ascii="宋体" w:hAnsi="宋体" w:cs="宋体"/>
          <w:b/>
          <w:color w:val="auto"/>
          <w:spacing w:val="6"/>
          <w:sz w:val="32"/>
          <w:szCs w:val="32"/>
          <w:highlight w:val="none"/>
        </w:rPr>
      </w:pPr>
    </w:p>
    <w:p w14:paraId="55BDA3A9">
      <w:pPr>
        <w:autoSpaceDE w:val="0"/>
        <w:autoSpaceDN w:val="0"/>
        <w:jc w:val="center"/>
        <w:rPr>
          <w:rFonts w:hint="eastAsia" w:ascii="宋体" w:hAnsi="宋体" w:cs="宋体"/>
          <w:b/>
          <w:color w:val="auto"/>
          <w:spacing w:val="6"/>
          <w:sz w:val="32"/>
          <w:szCs w:val="32"/>
          <w:highlight w:val="none"/>
        </w:rPr>
      </w:pPr>
    </w:p>
    <w:p w14:paraId="13654A1A">
      <w:pPr>
        <w:autoSpaceDE w:val="0"/>
        <w:autoSpaceDN w:val="0"/>
        <w:jc w:val="center"/>
        <w:rPr>
          <w:rFonts w:hint="eastAsia" w:ascii="宋体" w:hAnsi="宋体" w:cs="宋体"/>
          <w:b/>
          <w:color w:val="auto"/>
          <w:spacing w:val="6"/>
          <w:sz w:val="32"/>
          <w:szCs w:val="32"/>
          <w:highlight w:val="none"/>
        </w:rPr>
      </w:pPr>
    </w:p>
    <w:p w14:paraId="5AA45742">
      <w:pPr>
        <w:autoSpaceDE w:val="0"/>
        <w:autoSpaceDN w:val="0"/>
        <w:jc w:val="center"/>
        <w:rPr>
          <w:rFonts w:hint="eastAsia" w:ascii="宋体" w:hAnsi="宋体" w:cs="宋体"/>
          <w:b/>
          <w:color w:val="auto"/>
          <w:spacing w:val="6"/>
          <w:sz w:val="32"/>
          <w:szCs w:val="32"/>
          <w:highlight w:val="none"/>
        </w:rPr>
      </w:pPr>
    </w:p>
    <w:p w14:paraId="63858715">
      <w:pPr>
        <w:autoSpaceDE w:val="0"/>
        <w:autoSpaceDN w:val="0"/>
        <w:jc w:val="center"/>
        <w:rPr>
          <w:rFonts w:hint="eastAsia" w:ascii="宋体" w:hAnsi="宋体" w:cs="宋体"/>
          <w:b/>
          <w:color w:val="auto"/>
          <w:spacing w:val="6"/>
          <w:sz w:val="32"/>
          <w:szCs w:val="32"/>
          <w:highlight w:val="none"/>
        </w:rPr>
      </w:pPr>
    </w:p>
    <w:p w14:paraId="6748C9D8">
      <w:pPr>
        <w:autoSpaceDE w:val="0"/>
        <w:autoSpaceDN w:val="0"/>
        <w:jc w:val="center"/>
        <w:rPr>
          <w:rFonts w:hint="eastAsia" w:ascii="宋体" w:hAnsi="宋体" w:cs="宋体"/>
          <w:b/>
          <w:color w:val="auto"/>
          <w:spacing w:val="6"/>
          <w:sz w:val="32"/>
          <w:szCs w:val="32"/>
          <w:highlight w:val="none"/>
        </w:rPr>
      </w:pPr>
    </w:p>
    <w:p w14:paraId="3C59CE18">
      <w:pPr>
        <w:autoSpaceDE w:val="0"/>
        <w:autoSpaceDN w:val="0"/>
        <w:jc w:val="center"/>
        <w:rPr>
          <w:rFonts w:hint="eastAsia" w:ascii="宋体" w:hAnsi="宋体" w:cs="宋体"/>
          <w:b/>
          <w:color w:val="auto"/>
          <w:spacing w:val="6"/>
          <w:sz w:val="32"/>
          <w:szCs w:val="32"/>
          <w:highlight w:val="none"/>
        </w:rPr>
      </w:pPr>
    </w:p>
    <w:p w14:paraId="2F4131F5">
      <w:pPr>
        <w:autoSpaceDE w:val="0"/>
        <w:autoSpaceDN w:val="0"/>
        <w:jc w:val="center"/>
        <w:rPr>
          <w:rFonts w:hint="eastAsia" w:ascii="宋体" w:hAnsi="宋体" w:cs="宋体"/>
          <w:b/>
          <w:color w:val="auto"/>
          <w:spacing w:val="6"/>
          <w:sz w:val="32"/>
          <w:szCs w:val="32"/>
          <w:highlight w:val="none"/>
        </w:rPr>
      </w:pPr>
    </w:p>
    <w:p w14:paraId="1B809B7A">
      <w:pPr>
        <w:snapToGrid w:val="0"/>
        <w:spacing w:line="360" w:lineRule="auto"/>
        <w:jc w:val="center"/>
        <w:outlineLvl w:val="0"/>
        <w:rPr>
          <w:rFonts w:hint="eastAsia"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00294620">
      <w:pPr>
        <w:snapToGrid w:val="0"/>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566A8AA9">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439E90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杭州市旅游职业学校葵巷校区智慧教室建设【招标编号：HLZ-2025-014】</w:t>
      </w:r>
      <w:r>
        <w:rPr>
          <w:rFonts w:hint="eastAsia" w:ascii="宋体" w:hAnsi="宋体" w:cs="宋体"/>
          <w:color w:val="auto"/>
          <w:kern w:val="0"/>
          <w:sz w:val="24"/>
          <w:highlight w:val="none"/>
          <w:lang w:val="zh-CN"/>
        </w:rPr>
        <w:t xml:space="preserve">投标。 </w:t>
      </w:r>
    </w:p>
    <w:p w14:paraId="5206F93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0EA123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5AF7DD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52110DF">
      <w:pPr>
        <w:snapToGrid w:val="0"/>
        <w:spacing w:line="360" w:lineRule="auto"/>
        <w:ind w:firstLine="576"/>
        <w:rPr>
          <w:rFonts w:hint="eastAsia" w:ascii="宋体" w:hAnsi="宋体" w:cs="宋体"/>
          <w:color w:val="auto"/>
          <w:kern w:val="0"/>
          <w:sz w:val="24"/>
          <w:highlight w:val="none"/>
          <w:lang w:val="zh-CN"/>
        </w:rPr>
      </w:pPr>
      <w:bookmarkStart w:id="436"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7BF9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6C24BE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36"/>
    <w:p w14:paraId="2AF48F4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F6ACECC">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3F25A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A314F1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876E6A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DC3B22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5DEB31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5D5DA8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2A80843">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F596789">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2767371">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55FA96D">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DE4AC05">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19F9D76">
      <w:pPr>
        <w:autoSpaceDE w:val="0"/>
        <w:autoSpaceDN w:val="0"/>
        <w:jc w:val="center"/>
        <w:rPr>
          <w:rFonts w:hint="eastAsia" w:ascii="宋体" w:hAnsi="宋体" w:cs="宋体"/>
          <w:b/>
          <w:color w:val="auto"/>
          <w:spacing w:val="6"/>
          <w:sz w:val="32"/>
          <w:szCs w:val="32"/>
          <w:highlight w:val="none"/>
        </w:rPr>
      </w:pPr>
    </w:p>
    <w:p w14:paraId="3439256E">
      <w:pPr>
        <w:autoSpaceDE w:val="0"/>
        <w:autoSpaceDN w:val="0"/>
        <w:jc w:val="center"/>
        <w:rPr>
          <w:rFonts w:hint="eastAsia" w:ascii="宋体" w:hAnsi="宋体" w:cs="宋体"/>
          <w:b/>
          <w:color w:val="auto"/>
          <w:spacing w:val="6"/>
          <w:sz w:val="32"/>
          <w:szCs w:val="32"/>
          <w:highlight w:val="none"/>
        </w:rPr>
      </w:pPr>
    </w:p>
    <w:p w14:paraId="12820784">
      <w:pPr>
        <w:autoSpaceDE w:val="0"/>
        <w:autoSpaceDN w:val="0"/>
        <w:jc w:val="center"/>
        <w:rPr>
          <w:rFonts w:hint="eastAsia" w:ascii="宋体" w:hAnsi="宋体" w:cs="宋体"/>
          <w:b/>
          <w:color w:val="auto"/>
          <w:spacing w:val="6"/>
          <w:sz w:val="32"/>
          <w:szCs w:val="32"/>
          <w:highlight w:val="none"/>
        </w:rPr>
      </w:pPr>
    </w:p>
    <w:p w14:paraId="427BA43F">
      <w:pPr>
        <w:autoSpaceDE w:val="0"/>
        <w:autoSpaceDN w:val="0"/>
        <w:jc w:val="center"/>
        <w:rPr>
          <w:rFonts w:hint="eastAsia" w:ascii="宋体" w:hAnsi="宋体" w:cs="宋体"/>
          <w:b/>
          <w:color w:val="auto"/>
          <w:spacing w:val="6"/>
          <w:sz w:val="32"/>
          <w:szCs w:val="32"/>
          <w:highlight w:val="none"/>
        </w:rPr>
      </w:pPr>
    </w:p>
    <w:p w14:paraId="43AC86BE">
      <w:pPr>
        <w:autoSpaceDE w:val="0"/>
        <w:autoSpaceDN w:val="0"/>
        <w:jc w:val="center"/>
        <w:rPr>
          <w:rFonts w:hint="eastAsia" w:ascii="宋体" w:hAnsi="宋体" w:cs="宋体"/>
          <w:b/>
          <w:color w:val="auto"/>
          <w:spacing w:val="6"/>
          <w:sz w:val="32"/>
          <w:szCs w:val="32"/>
          <w:highlight w:val="none"/>
        </w:rPr>
      </w:pPr>
    </w:p>
    <w:p w14:paraId="6B224CF9">
      <w:pPr>
        <w:autoSpaceDE w:val="0"/>
        <w:autoSpaceDN w:val="0"/>
        <w:jc w:val="center"/>
        <w:rPr>
          <w:rFonts w:hint="eastAsia" w:ascii="宋体" w:hAnsi="宋体" w:cs="宋体"/>
          <w:b/>
          <w:color w:val="auto"/>
          <w:spacing w:val="6"/>
          <w:sz w:val="32"/>
          <w:szCs w:val="32"/>
          <w:highlight w:val="none"/>
        </w:rPr>
      </w:pPr>
    </w:p>
    <w:p w14:paraId="5DB82FDD">
      <w:pPr>
        <w:autoSpaceDE w:val="0"/>
        <w:autoSpaceDN w:val="0"/>
        <w:jc w:val="center"/>
        <w:rPr>
          <w:rFonts w:hint="eastAsia" w:ascii="宋体" w:hAnsi="宋体" w:cs="宋体"/>
          <w:b/>
          <w:color w:val="auto"/>
          <w:spacing w:val="6"/>
          <w:sz w:val="32"/>
          <w:szCs w:val="32"/>
          <w:highlight w:val="none"/>
        </w:rPr>
      </w:pPr>
    </w:p>
    <w:p w14:paraId="686BAE51">
      <w:pPr>
        <w:autoSpaceDE w:val="0"/>
        <w:autoSpaceDN w:val="0"/>
        <w:jc w:val="center"/>
        <w:rPr>
          <w:rFonts w:hint="eastAsia" w:ascii="宋体" w:hAnsi="宋体" w:cs="宋体"/>
          <w:b/>
          <w:color w:val="auto"/>
          <w:spacing w:val="6"/>
          <w:sz w:val="32"/>
          <w:szCs w:val="32"/>
          <w:highlight w:val="none"/>
        </w:rPr>
      </w:pPr>
    </w:p>
    <w:p w14:paraId="1841A55E">
      <w:pPr>
        <w:autoSpaceDE w:val="0"/>
        <w:autoSpaceDN w:val="0"/>
        <w:jc w:val="center"/>
        <w:rPr>
          <w:rFonts w:hint="eastAsia" w:ascii="宋体" w:hAnsi="宋体" w:cs="宋体"/>
          <w:b/>
          <w:color w:val="auto"/>
          <w:spacing w:val="6"/>
          <w:sz w:val="32"/>
          <w:szCs w:val="32"/>
          <w:highlight w:val="none"/>
        </w:rPr>
      </w:pPr>
    </w:p>
    <w:p w14:paraId="358BCBB8">
      <w:pPr>
        <w:autoSpaceDE w:val="0"/>
        <w:autoSpaceDN w:val="0"/>
        <w:jc w:val="center"/>
        <w:rPr>
          <w:rFonts w:hint="eastAsia" w:ascii="宋体" w:hAnsi="宋体" w:cs="宋体"/>
          <w:b/>
          <w:color w:val="auto"/>
          <w:spacing w:val="6"/>
          <w:sz w:val="32"/>
          <w:szCs w:val="32"/>
          <w:highlight w:val="none"/>
        </w:rPr>
      </w:pPr>
    </w:p>
    <w:p w14:paraId="717B9948">
      <w:pPr>
        <w:autoSpaceDE w:val="0"/>
        <w:autoSpaceDN w:val="0"/>
        <w:jc w:val="center"/>
        <w:rPr>
          <w:rFonts w:hint="eastAsia" w:ascii="宋体" w:hAnsi="宋体" w:cs="宋体"/>
          <w:b/>
          <w:color w:val="auto"/>
          <w:spacing w:val="6"/>
          <w:sz w:val="32"/>
          <w:szCs w:val="32"/>
          <w:highlight w:val="none"/>
        </w:rPr>
      </w:pPr>
    </w:p>
    <w:p w14:paraId="30DA9749">
      <w:pPr>
        <w:autoSpaceDE w:val="0"/>
        <w:autoSpaceDN w:val="0"/>
        <w:jc w:val="center"/>
        <w:rPr>
          <w:rFonts w:hint="eastAsia" w:ascii="宋体" w:hAnsi="宋体" w:cs="宋体"/>
          <w:b/>
          <w:color w:val="auto"/>
          <w:spacing w:val="6"/>
          <w:sz w:val="32"/>
          <w:szCs w:val="32"/>
          <w:highlight w:val="none"/>
        </w:rPr>
      </w:pPr>
    </w:p>
    <w:p w14:paraId="047FAB15">
      <w:pPr>
        <w:autoSpaceDE w:val="0"/>
        <w:autoSpaceDN w:val="0"/>
        <w:jc w:val="center"/>
        <w:rPr>
          <w:rFonts w:hint="eastAsia" w:ascii="宋体" w:hAnsi="宋体" w:cs="宋体"/>
          <w:b/>
          <w:color w:val="auto"/>
          <w:spacing w:val="6"/>
          <w:sz w:val="32"/>
          <w:szCs w:val="32"/>
          <w:highlight w:val="none"/>
        </w:rPr>
      </w:pPr>
    </w:p>
    <w:p w14:paraId="30D4ED6A">
      <w:pPr>
        <w:autoSpaceDE w:val="0"/>
        <w:autoSpaceDN w:val="0"/>
        <w:jc w:val="center"/>
        <w:rPr>
          <w:rFonts w:hint="eastAsia" w:ascii="宋体" w:hAnsi="宋体" w:cs="宋体"/>
          <w:b/>
          <w:color w:val="auto"/>
          <w:spacing w:val="6"/>
          <w:sz w:val="32"/>
          <w:szCs w:val="32"/>
          <w:highlight w:val="none"/>
        </w:rPr>
      </w:pPr>
    </w:p>
    <w:p w14:paraId="3B8888D8">
      <w:pPr>
        <w:autoSpaceDE w:val="0"/>
        <w:autoSpaceDN w:val="0"/>
        <w:jc w:val="center"/>
        <w:rPr>
          <w:rFonts w:hint="eastAsia" w:ascii="宋体" w:hAnsi="宋体" w:cs="宋体"/>
          <w:b/>
          <w:color w:val="auto"/>
          <w:spacing w:val="6"/>
          <w:sz w:val="32"/>
          <w:szCs w:val="32"/>
          <w:highlight w:val="none"/>
        </w:rPr>
      </w:pPr>
    </w:p>
    <w:p w14:paraId="39C0C59E">
      <w:pPr>
        <w:autoSpaceDE w:val="0"/>
        <w:autoSpaceDN w:val="0"/>
        <w:jc w:val="center"/>
        <w:rPr>
          <w:rFonts w:hint="eastAsia" w:ascii="宋体" w:hAnsi="宋体" w:cs="宋体"/>
          <w:b/>
          <w:color w:val="auto"/>
          <w:spacing w:val="6"/>
          <w:sz w:val="32"/>
          <w:szCs w:val="32"/>
          <w:highlight w:val="none"/>
        </w:rPr>
      </w:pPr>
    </w:p>
    <w:p w14:paraId="0A4221E7">
      <w:pPr>
        <w:autoSpaceDE w:val="0"/>
        <w:autoSpaceDN w:val="0"/>
        <w:jc w:val="center"/>
        <w:rPr>
          <w:rFonts w:hint="eastAsia" w:ascii="宋体" w:hAnsi="宋体" w:cs="宋体"/>
          <w:b/>
          <w:color w:val="auto"/>
          <w:spacing w:val="6"/>
          <w:sz w:val="32"/>
          <w:szCs w:val="32"/>
          <w:highlight w:val="none"/>
        </w:rPr>
      </w:pPr>
    </w:p>
    <w:p w14:paraId="3B552EF6">
      <w:pPr>
        <w:autoSpaceDE w:val="0"/>
        <w:autoSpaceDN w:val="0"/>
        <w:jc w:val="center"/>
        <w:rPr>
          <w:rFonts w:hint="eastAsia" w:ascii="宋体" w:hAnsi="宋体" w:cs="宋体"/>
          <w:b/>
          <w:color w:val="auto"/>
          <w:spacing w:val="6"/>
          <w:sz w:val="32"/>
          <w:szCs w:val="32"/>
          <w:highlight w:val="none"/>
        </w:rPr>
      </w:pPr>
    </w:p>
    <w:p w14:paraId="5D8F09DB">
      <w:pPr>
        <w:autoSpaceDE w:val="0"/>
        <w:autoSpaceDN w:val="0"/>
        <w:jc w:val="center"/>
        <w:rPr>
          <w:rFonts w:hint="eastAsia" w:ascii="宋体" w:hAnsi="宋体" w:cs="宋体"/>
          <w:b/>
          <w:color w:val="auto"/>
          <w:spacing w:val="6"/>
          <w:sz w:val="32"/>
          <w:szCs w:val="32"/>
          <w:highlight w:val="none"/>
        </w:rPr>
      </w:pPr>
    </w:p>
    <w:p w14:paraId="5A322C93">
      <w:pPr>
        <w:snapToGrid w:val="0"/>
        <w:spacing w:line="360" w:lineRule="auto"/>
        <w:jc w:val="center"/>
        <w:outlineLvl w:val="0"/>
        <w:rPr>
          <w:rFonts w:hint="eastAsia"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48596C08">
      <w:pPr>
        <w:snapToGrid w:val="0"/>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67AFCB3">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77D70C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杭州市旅游职业学校葵巷校区智慧教室建设【招标编号：HLZ-2025-014】</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7F8559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6DAC65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370A9C1">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EAAAC5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54355DB">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D1F68C8">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437"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37"/>
    </w:p>
    <w:p w14:paraId="28E3766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2C16717">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7B2E211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A4B4AF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E7726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B3B116E">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69FCAA5">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64AEAD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4413C5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B63FC3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3BD663">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6276365A">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2FD1608">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7B7AFEDC">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22822CD">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BCCE806">
      <w:pPr>
        <w:autoSpaceDE w:val="0"/>
        <w:autoSpaceDN w:val="0"/>
        <w:jc w:val="center"/>
        <w:rPr>
          <w:rFonts w:hint="eastAsia" w:ascii="宋体" w:hAnsi="宋体" w:cs="宋体"/>
          <w:b/>
          <w:color w:val="auto"/>
          <w:spacing w:val="6"/>
          <w:sz w:val="32"/>
          <w:szCs w:val="32"/>
          <w:highlight w:val="none"/>
        </w:rPr>
      </w:pPr>
    </w:p>
    <w:p w14:paraId="5B905F34">
      <w:pPr>
        <w:autoSpaceDE w:val="0"/>
        <w:autoSpaceDN w:val="0"/>
        <w:jc w:val="center"/>
        <w:rPr>
          <w:rFonts w:hint="eastAsia" w:ascii="宋体" w:hAnsi="宋体" w:cs="宋体"/>
          <w:b/>
          <w:color w:val="auto"/>
          <w:spacing w:val="6"/>
          <w:sz w:val="32"/>
          <w:szCs w:val="32"/>
          <w:highlight w:val="none"/>
        </w:rPr>
      </w:pPr>
    </w:p>
    <w:p w14:paraId="464E059F">
      <w:pPr>
        <w:autoSpaceDE w:val="0"/>
        <w:autoSpaceDN w:val="0"/>
        <w:jc w:val="center"/>
        <w:rPr>
          <w:rFonts w:hint="eastAsia" w:ascii="宋体" w:hAnsi="宋体" w:cs="宋体"/>
          <w:b/>
          <w:color w:val="auto"/>
          <w:spacing w:val="6"/>
          <w:sz w:val="32"/>
          <w:szCs w:val="32"/>
          <w:highlight w:val="none"/>
        </w:rPr>
      </w:pPr>
    </w:p>
    <w:p w14:paraId="6848B636">
      <w:pPr>
        <w:autoSpaceDE w:val="0"/>
        <w:autoSpaceDN w:val="0"/>
        <w:jc w:val="center"/>
        <w:rPr>
          <w:rFonts w:hint="eastAsia" w:ascii="宋体" w:hAnsi="宋体" w:cs="宋体"/>
          <w:b/>
          <w:color w:val="auto"/>
          <w:spacing w:val="6"/>
          <w:sz w:val="32"/>
          <w:szCs w:val="32"/>
          <w:highlight w:val="none"/>
        </w:rPr>
      </w:pPr>
    </w:p>
    <w:p w14:paraId="333EA259">
      <w:pPr>
        <w:autoSpaceDE w:val="0"/>
        <w:autoSpaceDN w:val="0"/>
        <w:jc w:val="center"/>
        <w:rPr>
          <w:rFonts w:hint="eastAsia" w:ascii="宋体" w:hAnsi="宋体" w:cs="宋体"/>
          <w:b/>
          <w:color w:val="auto"/>
          <w:spacing w:val="6"/>
          <w:sz w:val="32"/>
          <w:szCs w:val="32"/>
          <w:highlight w:val="none"/>
        </w:rPr>
      </w:pPr>
    </w:p>
    <w:p w14:paraId="225CC3AD">
      <w:pPr>
        <w:autoSpaceDE w:val="0"/>
        <w:autoSpaceDN w:val="0"/>
        <w:jc w:val="center"/>
        <w:rPr>
          <w:rFonts w:hint="eastAsia" w:ascii="宋体" w:hAnsi="宋体" w:cs="宋体"/>
          <w:b/>
          <w:color w:val="auto"/>
          <w:spacing w:val="6"/>
          <w:sz w:val="32"/>
          <w:szCs w:val="32"/>
          <w:highlight w:val="none"/>
        </w:rPr>
      </w:pPr>
    </w:p>
    <w:p w14:paraId="71E5378E">
      <w:pPr>
        <w:autoSpaceDE w:val="0"/>
        <w:autoSpaceDN w:val="0"/>
        <w:jc w:val="center"/>
        <w:rPr>
          <w:rFonts w:hint="eastAsia" w:ascii="宋体" w:hAnsi="宋体" w:cs="宋体"/>
          <w:b/>
          <w:color w:val="auto"/>
          <w:spacing w:val="6"/>
          <w:sz w:val="32"/>
          <w:szCs w:val="32"/>
          <w:highlight w:val="none"/>
        </w:rPr>
      </w:pPr>
    </w:p>
    <w:p w14:paraId="3DBCCCE3">
      <w:pPr>
        <w:autoSpaceDE w:val="0"/>
        <w:autoSpaceDN w:val="0"/>
        <w:jc w:val="center"/>
        <w:rPr>
          <w:rFonts w:hint="eastAsia" w:ascii="宋体" w:hAnsi="宋体" w:cs="宋体"/>
          <w:b/>
          <w:color w:val="auto"/>
          <w:spacing w:val="6"/>
          <w:sz w:val="32"/>
          <w:szCs w:val="32"/>
          <w:highlight w:val="none"/>
        </w:rPr>
      </w:pPr>
    </w:p>
    <w:p w14:paraId="2D440E16">
      <w:pPr>
        <w:autoSpaceDE w:val="0"/>
        <w:autoSpaceDN w:val="0"/>
        <w:jc w:val="center"/>
        <w:rPr>
          <w:rFonts w:hint="eastAsia" w:ascii="宋体" w:hAnsi="宋体" w:cs="宋体"/>
          <w:b/>
          <w:color w:val="auto"/>
          <w:spacing w:val="6"/>
          <w:sz w:val="32"/>
          <w:szCs w:val="32"/>
          <w:highlight w:val="none"/>
        </w:rPr>
      </w:pPr>
    </w:p>
    <w:p w14:paraId="595F5197">
      <w:pPr>
        <w:autoSpaceDE w:val="0"/>
        <w:autoSpaceDN w:val="0"/>
        <w:jc w:val="center"/>
        <w:rPr>
          <w:rFonts w:hint="eastAsia" w:ascii="宋体" w:hAnsi="宋体" w:cs="宋体"/>
          <w:b/>
          <w:color w:val="auto"/>
          <w:spacing w:val="6"/>
          <w:sz w:val="32"/>
          <w:szCs w:val="32"/>
          <w:highlight w:val="none"/>
        </w:rPr>
      </w:pPr>
    </w:p>
    <w:p w14:paraId="09F455F7">
      <w:pPr>
        <w:autoSpaceDE w:val="0"/>
        <w:autoSpaceDN w:val="0"/>
        <w:jc w:val="center"/>
        <w:rPr>
          <w:rFonts w:hint="eastAsia" w:ascii="宋体" w:hAnsi="宋体" w:cs="宋体"/>
          <w:b/>
          <w:color w:val="auto"/>
          <w:spacing w:val="6"/>
          <w:sz w:val="32"/>
          <w:szCs w:val="32"/>
          <w:highlight w:val="none"/>
        </w:rPr>
      </w:pPr>
    </w:p>
    <w:p w14:paraId="0C8AF144">
      <w:pPr>
        <w:autoSpaceDE w:val="0"/>
        <w:autoSpaceDN w:val="0"/>
        <w:jc w:val="center"/>
        <w:rPr>
          <w:rFonts w:hint="eastAsia" w:ascii="宋体" w:hAnsi="宋体" w:cs="宋体"/>
          <w:b/>
          <w:color w:val="auto"/>
          <w:spacing w:val="6"/>
          <w:sz w:val="32"/>
          <w:szCs w:val="32"/>
          <w:highlight w:val="none"/>
        </w:rPr>
      </w:pPr>
    </w:p>
    <w:p w14:paraId="3DDF4D4B">
      <w:pPr>
        <w:autoSpaceDE w:val="0"/>
        <w:autoSpaceDN w:val="0"/>
        <w:jc w:val="center"/>
        <w:rPr>
          <w:rFonts w:hint="eastAsia" w:ascii="宋体" w:hAnsi="宋体" w:cs="宋体"/>
          <w:b/>
          <w:color w:val="auto"/>
          <w:spacing w:val="6"/>
          <w:sz w:val="32"/>
          <w:szCs w:val="32"/>
          <w:highlight w:val="none"/>
        </w:rPr>
      </w:pPr>
    </w:p>
    <w:p w14:paraId="2407F8AD">
      <w:pPr>
        <w:autoSpaceDE w:val="0"/>
        <w:autoSpaceDN w:val="0"/>
        <w:jc w:val="center"/>
        <w:rPr>
          <w:rFonts w:hint="eastAsia" w:ascii="宋体" w:hAnsi="宋体" w:cs="宋体"/>
          <w:b/>
          <w:color w:val="auto"/>
          <w:spacing w:val="6"/>
          <w:sz w:val="32"/>
          <w:szCs w:val="32"/>
          <w:highlight w:val="none"/>
        </w:rPr>
      </w:pPr>
    </w:p>
    <w:p w14:paraId="2E13D74E">
      <w:pPr>
        <w:autoSpaceDE w:val="0"/>
        <w:autoSpaceDN w:val="0"/>
        <w:jc w:val="center"/>
        <w:rPr>
          <w:rFonts w:hint="eastAsia" w:ascii="宋体" w:hAnsi="宋体" w:cs="宋体"/>
          <w:b/>
          <w:color w:val="auto"/>
          <w:spacing w:val="6"/>
          <w:sz w:val="32"/>
          <w:szCs w:val="32"/>
          <w:highlight w:val="none"/>
        </w:rPr>
      </w:pPr>
    </w:p>
    <w:p w14:paraId="2945FAAE">
      <w:pPr>
        <w:autoSpaceDE w:val="0"/>
        <w:autoSpaceDN w:val="0"/>
        <w:jc w:val="center"/>
        <w:rPr>
          <w:rFonts w:hint="eastAsia" w:ascii="宋体" w:hAnsi="宋体" w:cs="宋体"/>
          <w:b/>
          <w:color w:val="auto"/>
          <w:spacing w:val="6"/>
          <w:sz w:val="32"/>
          <w:szCs w:val="32"/>
          <w:highlight w:val="none"/>
        </w:rPr>
      </w:pPr>
    </w:p>
    <w:p w14:paraId="3E579CF1">
      <w:pPr>
        <w:autoSpaceDE w:val="0"/>
        <w:autoSpaceDN w:val="0"/>
        <w:jc w:val="center"/>
        <w:rPr>
          <w:rFonts w:hint="eastAsia" w:ascii="宋体" w:hAnsi="宋体" w:cs="宋体"/>
          <w:b/>
          <w:color w:val="auto"/>
          <w:spacing w:val="6"/>
          <w:sz w:val="32"/>
          <w:szCs w:val="32"/>
          <w:highlight w:val="none"/>
        </w:rPr>
      </w:pPr>
    </w:p>
    <w:p w14:paraId="06569EC4">
      <w:pPr>
        <w:autoSpaceDE w:val="0"/>
        <w:autoSpaceDN w:val="0"/>
        <w:jc w:val="center"/>
        <w:rPr>
          <w:rFonts w:hint="eastAsia" w:ascii="宋体" w:hAnsi="宋体" w:cs="宋体"/>
          <w:b/>
          <w:color w:val="auto"/>
          <w:spacing w:val="6"/>
          <w:sz w:val="32"/>
          <w:szCs w:val="32"/>
          <w:highlight w:val="none"/>
        </w:rPr>
      </w:pPr>
    </w:p>
    <w:p w14:paraId="1CE9FD6E">
      <w:pPr>
        <w:autoSpaceDE w:val="0"/>
        <w:autoSpaceDN w:val="0"/>
        <w:jc w:val="center"/>
        <w:rPr>
          <w:rFonts w:hint="eastAsia" w:ascii="宋体" w:hAnsi="宋体" w:cs="宋体"/>
          <w:b/>
          <w:color w:val="auto"/>
          <w:spacing w:val="6"/>
          <w:sz w:val="32"/>
          <w:szCs w:val="32"/>
          <w:highlight w:val="none"/>
        </w:rPr>
      </w:pPr>
    </w:p>
    <w:p w14:paraId="1ED5C22A">
      <w:pPr>
        <w:autoSpaceDE w:val="0"/>
        <w:autoSpaceDN w:val="0"/>
        <w:jc w:val="center"/>
        <w:rPr>
          <w:rFonts w:hint="eastAsia" w:ascii="宋体" w:hAnsi="宋体" w:cs="宋体"/>
          <w:b/>
          <w:color w:val="auto"/>
          <w:spacing w:val="6"/>
          <w:sz w:val="32"/>
          <w:szCs w:val="32"/>
          <w:highlight w:val="none"/>
        </w:rPr>
      </w:pPr>
    </w:p>
    <w:p w14:paraId="030F513C">
      <w:pPr>
        <w:autoSpaceDE w:val="0"/>
        <w:autoSpaceDN w:val="0"/>
        <w:jc w:val="center"/>
        <w:rPr>
          <w:rFonts w:hint="eastAsia" w:ascii="宋体" w:hAnsi="宋体" w:cs="宋体"/>
          <w:b/>
          <w:color w:val="auto"/>
          <w:spacing w:val="6"/>
          <w:sz w:val="32"/>
          <w:szCs w:val="32"/>
          <w:highlight w:val="none"/>
        </w:rPr>
      </w:pPr>
    </w:p>
    <w:p w14:paraId="00FEFF03">
      <w:pPr>
        <w:autoSpaceDE w:val="0"/>
        <w:autoSpaceDN w:val="0"/>
        <w:jc w:val="center"/>
        <w:rPr>
          <w:rFonts w:hint="eastAsia" w:ascii="宋体" w:hAnsi="宋体" w:cs="宋体"/>
          <w:b/>
          <w:color w:val="auto"/>
          <w:spacing w:val="6"/>
          <w:sz w:val="32"/>
          <w:szCs w:val="32"/>
          <w:highlight w:val="none"/>
        </w:rPr>
      </w:pPr>
    </w:p>
    <w:p w14:paraId="4B5ED4F9">
      <w:pPr>
        <w:snapToGrid w:val="0"/>
        <w:spacing w:line="360" w:lineRule="auto"/>
        <w:outlineLvl w:val="0"/>
        <w:rPr>
          <w:rFonts w:hint="eastAsia" w:ascii="宋体" w:hAnsi="宋体" w:cs="宋体"/>
          <w:b/>
          <w:color w:val="auto"/>
          <w:kern w:val="0"/>
          <w:sz w:val="44"/>
          <w:szCs w:val="44"/>
          <w:highlight w:val="none"/>
        </w:rPr>
        <w:sectPr>
          <w:pgSz w:w="11906" w:h="16838"/>
          <w:pgMar w:top="1276" w:right="1418" w:bottom="1247" w:left="1418" w:header="851" w:footer="992" w:gutter="0"/>
          <w:cols w:space="720" w:num="1"/>
          <w:titlePg/>
          <w:docGrid w:linePitch="312" w:charSpace="0"/>
        </w:sectPr>
      </w:pPr>
    </w:p>
    <w:p w14:paraId="299E145F">
      <w:pPr>
        <w:snapToGrid w:val="0"/>
        <w:spacing w:line="360" w:lineRule="auto"/>
        <w:outlineLvl w:val="0"/>
        <w:rPr>
          <w:rFonts w:hint="eastAsia"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44508A8D">
      <w:pPr>
        <w:spacing w:line="360" w:lineRule="auto"/>
        <w:jc w:val="center"/>
        <w:rPr>
          <w:rFonts w:hint="eastAsia" w:ascii="宋体" w:hAnsi="宋体" w:cs="宋体"/>
          <w:color w:val="auto"/>
          <w:sz w:val="24"/>
          <w:highlight w:val="none"/>
          <w:u w:val="single"/>
        </w:rPr>
      </w:pPr>
    </w:p>
    <w:p w14:paraId="7A0BF0EE">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E59EFA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杭州市旅游职业学校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杭州市旅游职业学校葵巷校区智慧教室建设</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341A4A1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FFF459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A4260F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p w14:paraId="3E3E832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815411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98F6A65">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DA68E6E">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3B1016D">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171FF5A1">
      <w:pPr>
        <w:spacing w:line="360" w:lineRule="auto"/>
        <w:jc w:val="center"/>
        <w:rPr>
          <w:rFonts w:hint="eastAsia" w:ascii="宋体" w:hAnsi="宋体" w:cs="宋体"/>
          <w:b/>
          <w:color w:val="auto"/>
          <w:sz w:val="32"/>
          <w:szCs w:val="32"/>
          <w:highlight w:val="none"/>
        </w:rPr>
      </w:pPr>
    </w:p>
    <w:p w14:paraId="66B6905A">
      <w:pPr>
        <w:spacing w:line="360" w:lineRule="auto"/>
        <w:rPr>
          <w:rFonts w:hint="eastAsia" w:ascii="宋体" w:hAnsi="宋体" w:cs="宋体"/>
          <w:bCs/>
          <w:color w:val="auto"/>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44F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CAB0">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0428">
    <w:pPr>
      <w:pStyle w:val="40"/>
      <w:framePr w:wrap="around" w:vAnchor="text" w:hAnchor="margin" w:xAlign="right" w:y="1"/>
      <w:rPr>
        <w:rStyle w:val="73"/>
      </w:rPr>
    </w:pPr>
    <w:r>
      <w:fldChar w:fldCharType="begin"/>
    </w:r>
    <w:r>
      <w:rPr>
        <w:rStyle w:val="73"/>
      </w:rPr>
      <w:instrText xml:space="preserve">PAGE  </w:instrText>
    </w:r>
    <w:r>
      <w:fldChar w:fldCharType="end"/>
    </w:r>
  </w:p>
  <w:p w14:paraId="6C3E18D1">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F2E97">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38" w:name="_Toc131845147"/>
    <w:bookmarkStart w:id="439" w:name="_Toc164085800"/>
    <w:bookmarkStart w:id="440" w:name="_Toc91899912"/>
    <w:bookmarkStart w:id="441" w:name="_Toc36110187"/>
    <w:r>
      <w:rPr>
        <w:rFonts w:hint="eastAsia" w:ascii="仿宋_GB2312" w:eastAsia="仿宋_GB2312"/>
        <w:kern w:val="0"/>
        <w:szCs w:val="21"/>
      </w:rPr>
      <w:t xml:space="preserve"> 页</w:t>
    </w:r>
    <w:bookmarkEnd w:id="438"/>
    <w:bookmarkEnd w:id="439"/>
    <w:bookmarkEnd w:id="440"/>
    <w:bookmarkEnd w:id="44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49620">
    <w:pPr>
      <w:pStyle w:val="40"/>
      <w:framePr w:wrap="around" w:vAnchor="text" w:hAnchor="margin" w:xAlign="right" w:y="1"/>
      <w:rPr>
        <w:rStyle w:val="73"/>
      </w:rPr>
    </w:pPr>
    <w:r>
      <w:fldChar w:fldCharType="begin"/>
    </w:r>
    <w:r>
      <w:rPr>
        <w:rStyle w:val="73"/>
      </w:rPr>
      <w:instrText xml:space="preserve">PAGE  </w:instrText>
    </w:r>
    <w:r>
      <w:fldChar w:fldCharType="end"/>
    </w:r>
  </w:p>
  <w:p w14:paraId="717DD9AE">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B68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7785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A808B8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B57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E26F6A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6F16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59B23D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19F8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C6B969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7BD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8C6211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0E2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7203C0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C3998">
    <w:pPr>
      <w:pStyle w:val="41"/>
      <w:pBdr>
        <w:bottom w:val="single" w:color="auto" w:sz="6" w:space="4"/>
      </w:pBdr>
      <w:jc w:val="right"/>
    </w:pPr>
    <w:r>
      <w:t></w:t>
    </w:r>
    <w:r>
      <w:rPr>
        <w:rFonts w:hint="eastAsia"/>
      </w:rPr>
      <w:t xml:space="preserve">           </w:t>
    </w:r>
  </w:p>
  <w:p w14:paraId="04A4D0BA">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803BA">
    <w:pPr>
      <w:pStyle w:val="41"/>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29DBC">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rPr>
        <w:rFonts w:hint="eastAsia"/>
      </w:rPr>
      <w:t xml:space="preserve">                                                                            </w:t>
    </w:r>
    <w:r>
      <w:rPr>
        <w:rFonts w:hint="eastAsia"/>
        <w:lang w:val="zh-CN"/>
      </w:rPr>
      <w:t>杭州市旅游职业学校</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A5A08">
    <w:pPr>
      <w:pStyle w:val="41"/>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32905">
    <w:pPr>
      <w:pStyle w:val="41"/>
    </w:pPr>
    <w:r>
      <w:t></w:t>
    </w:r>
    <w:r>
      <w:rPr>
        <w:rFonts w:hint="eastAsia"/>
      </w:rPr>
      <w:t xml:space="preserve">         </w:t>
    </w:r>
  </w:p>
  <w:p w14:paraId="7A5C9F01">
    <w:pPr>
      <w:pStyle w:val="41"/>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D4CBA">
    <w:pPr>
      <w:rPr>
        <w:rFonts w:ascii="仿宋_GB2312" w:eastAsia="仿宋_GB2312"/>
        <w:b/>
        <w:i/>
        <w:sz w:val="18"/>
        <w:u w:val="single"/>
      </w:rPr>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28C7">
    <w:pPr>
      <w:pStyle w:val="41"/>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EDA2F">
    <w:pPr>
      <w:pStyle w:val="41"/>
      <w:jc w:val="right"/>
      <w:rPr>
        <w:rFonts w:ascii="仿宋_GB2312"/>
        <w:b/>
        <w:i/>
        <w:u w:val="single"/>
      </w:rPr>
    </w:pPr>
    <w:r>
      <w:rPr>
        <w:rFonts w:hint="eastAsia"/>
      </w:rPr>
      <w:t xml:space="preserve">                                   </w:t>
    </w:r>
  </w:p>
  <w:p w14:paraId="438CE37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EC224">
    <w:pPr>
      <w:pStyle w:val="41"/>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5ED7">
    <w:pPr>
      <w:pStyle w:val="41"/>
      <w:jc w:val="right"/>
      <w:rPr>
        <w:rFonts w:ascii="仿宋_GB2312"/>
        <w:b/>
        <w:i/>
        <w:iCs/>
        <w:u w:val="single"/>
      </w:rP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422178"/>
    <w:multiLevelType w:val="singleLevel"/>
    <w:tmpl w:val="A8422178"/>
    <w:lvl w:ilvl="0" w:tentative="0">
      <w:start w:val="4"/>
      <w:numFmt w:val="chineseCounting"/>
      <w:suff w:val="space"/>
      <w:lvlText w:val="第%1部分"/>
      <w:lvlJc w:val="left"/>
      <w:rPr>
        <w:rFonts w:hint="eastAsia"/>
      </w:r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0C4B3D58"/>
    <w:multiLevelType w:val="multilevel"/>
    <w:tmpl w:val="0C4B3D58"/>
    <w:lvl w:ilvl="0" w:tentative="0">
      <w:start w:val="1"/>
      <w:numFmt w:val="decimal"/>
      <w:lvlText w:val="%1、"/>
      <w:lvlJc w:val="left"/>
      <w:pPr>
        <w:ind w:left="907" w:hanging="360"/>
      </w:pPr>
      <w:rPr>
        <w:rFonts w:hint="default"/>
      </w:rPr>
    </w:lvl>
    <w:lvl w:ilvl="1" w:tentative="0">
      <w:start w:val="1"/>
      <w:numFmt w:val="lowerLetter"/>
      <w:lvlText w:val="%2)"/>
      <w:lvlJc w:val="left"/>
      <w:pPr>
        <w:ind w:left="1387" w:hanging="420"/>
      </w:pPr>
    </w:lvl>
    <w:lvl w:ilvl="2" w:tentative="0">
      <w:start w:val="1"/>
      <w:numFmt w:val="lowerRoman"/>
      <w:lvlText w:val="%3."/>
      <w:lvlJc w:val="right"/>
      <w:pPr>
        <w:ind w:left="1807" w:hanging="420"/>
      </w:pPr>
    </w:lvl>
    <w:lvl w:ilvl="3" w:tentative="0">
      <w:start w:val="1"/>
      <w:numFmt w:val="decimal"/>
      <w:lvlText w:val="%4."/>
      <w:lvlJc w:val="left"/>
      <w:pPr>
        <w:ind w:left="2227" w:hanging="420"/>
      </w:pPr>
    </w:lvl>
    <w:lvl w:ilvl="4" w:tentative="0">
      <w:start w:val="1"/>
      <w:numFmt w:val="lowerLetter"/>
      <w:lvlText w:val="%5)"/>
      <w:lvlJc w:val="left"/>
      <w:pPr>
        <w:ind w:left="2647" w:hanging="420"/>
      </w:pPr>
    </w:lvl>
    <w:lvl w:ilvl="5" w:tentative="0">
      <w:start w:val="1"/>
      <w:numFmt w:val="lowerRoman"/>
      <w:lvlText w:val="%6."/>
      <w:lvlJc w:val="right"/>
      <w:pPr>
        <w:ind w:left="3067" w:hanging="420"/>
      </w:pPr>
    </w:lvl>
    <w:lvl w:ilvl="6" w:tentative="0">
      <w:start w:val="1"/>
      <w:numFmt w:val="decimal"/>
      <w:lvlText w:val="%7."/>
      <w:lvlJc w:val="left"/>
      <w:pPr>
        <w:ind w:left="3487" w:hanging="420"/>
      </w:pPr>
    </w:lvl>
    <w:lvl w:ilvl="7" w:tentative="0">
      <w:start w:val="1"/>
      <w:numFmt w:val="lowerLetter"/>
      <w:lvlText w:val="%8)"/>
      <w:lvlJc w:val="left"/>
      <w:pPr>
        <w:ind w:left="3907" w:hanging="420"/>
      </w:pPr>
    </w:lvl>
    <w:lvl w:ilvl="8" w:tentative="0">
      <w:start w:val="1"/>
      <w:numFmt w:val="lowerRoman"/>
      <w:lvlText w:val="%9."/>
      <w:lvlJc w:val="right"/>
      <w:pPr>
        <w:ind w:left="4327" w:hanging="420"/>
      </w:pPr>
    </w:lvl>
  </w:abstractNum>
  <w:abstractNum w:abstractNumId="3">
    <w:nsid w:val="1B4E24F0"/>
    <w:multiLevelType w:val="singleLevel"/>
    <w:tmpl w:val="1B4E24F0"/>
    <w:lvl w:ilvl="0" w:tentative="0">
      <w:start w:val="7"/>
      <w:numFmt w:val="decimal"/>
      <w:lvlText w:val="%1."/>
      <w:lvlJc w:val="left"/>
      <w:pPr>
        <w:tabs>
          <w:tab w:val="left" w:pos="312"/>
        </w:tabs>
      </w:pPr>
    </w:lvl>
  </w:abstractNum>
  <w:abstractNum w:abstractNumId="4">
    <w:nsid w:val="4396BD6E"/>
    <w:multiLevelType w:val="singleLevel"/>
    <w:tmpl w:val="4396BD6E"/>
    <w:lvl w:ilvl="0" w:tentative="0">
      <w:start w:val="1"/>
      <w:numFmt w:val="decimal"/>
      <w:suff w:val="nothing"/>
      <w:lvlText w:val="（%1）"/>
      <w:lvlJc w:val="left"/>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5AED"/>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50A"/>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897"/>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2C20"/>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342"/>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0E5"/>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4A3"/>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6F4"/>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4E9D"/>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7078"/>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5F26"/>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56"/>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0C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3C3"/>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487061"/>
    <w:rsid w:val="017244EE"/>
    <w:rsid w:val="01995B0E"/>
    <w:rsid w:val="019F7441"/>
    <w:rsid w:val="01B37585"/>
    <w:rsid w:val="01D17056"/>
    <w:rsid w:val="01D55165"/>
    <w:rsid w:val="01D6466C"/>
    <w:rsid w:val="01D803E5"/>
    <w:rsid w:val="01DF6BF8"/>
    <w:rsid w:val="01EB45BC"/>
    <w:rsid w:val="01EC2C57"/>
    <w:rsid w:val="0200793B"/>
    <w:rsid w:val="02220194"/>
    <w:rsid w:val="022A49B8"/>
    <w:rsid w:val="025F0711"/>
    <w:rsid w:val="026B2E25"/>
    <w:rsid w:val="02824D4D"/>
    <w:rsid w:val="029F7154"/>
    <w:rsid w:val="02DC4B10"/>
    <w:rsid w:val="02DD76CE"/>
    <w:rsid w:val="02F36323"/>
    <w:rsid w:val="02F5619C"/>
    <w:rsid w:val="03121F4D"/>
    <w:rsid w:val="03174F3D"/>
    <w:rsid w:val="0326446A"/>
    <w:rsid w:val="032D5555"/>
    <w:rsid w:val="03391E1F"/>
    <w:rsid w:val="033B6E7D"/>
    <w:rsid w:val="03485D8B"/>
    <w:rsid w:val="034877EC"/>
    <w:rsid w:val="034D4E02"/>
    <w:rsid w:val="036634D2"/>
    <w:rsid w:val="036839EA"/>
    <w:rsid w:val="0370464D"/>
    <w:rsid w:val="03DD35E4"/>
    <w:rsid w:val="03FB485E"/>
    <w:rsid w:val="04076900"/>
    <w:rsid w:val="041A5A3B"/>
    <w:rsid w:val="042311BA"/>
    <w:rsid w:val="042B157A"/>
    <w:rsid w:val="04387860"/>
    <w:rsid w:val="048F763B"/>
    <w:rsid w:val="04987D78"/>
    <w:rsid w:val="049F330E"/>
    <w:rsid w:val="04AA775C"/>
    <w:rsid w:val="04AF1889"/>
    <w:rsid w:val="04F66F48"/>
    <w:rsid w:val="05251E14"/>
    <w:rsid w:val="0526590B"/>
    <w:rsid w:val="05A0746B"/>
    <w:rsid w:val="05A16594"/>
    <w:rsid w:val="05A7762D"/>
    <w:rsid w:val="05C313AC"/>
    <w:rsid w:val="060E5941"/>
    <w:rsid w:val="060E6ACB"/>
    <w:rsid w:val="06110FAF"/>
    <w:rsid w:val="061A5E3A"/>
    <w:rsid w:val="06456265"/>
    <w:rsid w:val="06493CA7"/>
    <w:rsid w:val="065A6178"/>
    <w:rsid w:val="066F1CF3"/>
    <w:rsid w:val="067F52D3"/>
    <w:rsid w:val="06871610"/>
    <w:rsid w:val="06930BB8"/>
    <w:rsid w:val="06D118A6"/>
    <w:rsid w:val="06DA69AD"/>
    <w:rsid w:val="07245D42"/>
    <w:rsid w:val="07264C62"/>
    <w:rsid w:val="074327A4"/>
    <w:rsid w:val="0779354C"/>
    <w:rsid w:val="07941252"/>
    <w:rsid w:val="07BB67DE"/>
    <w:rsid w:val="07FF74D2"/>
    <w:rsid w:val="08061376"/>
    <w:rsid w:val="08204893"/>
    <w:rsid w:val="08251EAA"/>
    <w:rsid w:val="08452D77"/>
    <w:rsid w:val="086401F8"/>
    <w:rsid w:val="0869448C"/>
    <w:rsid w:val="08751CAA"/>
    <w:rsid w:val="087E4C40"/>
    <w:rsid w:val="089F7EAE"/>
    <w:rsid w:val="08A871D0"/>
    <w:rsid w:val="08B60D54"/>
    <w:rsid w:val="08D66AD6"/>
    <w:rsid w:val="08DA33A3"/>
    <w:rsid w:val="08E104C7"/>
    <w:rsid w:val="08E80F13"/>
    <w:rsid w:val="08E87F44"/>
    <w:rsid w:val="092D54BA"/>
    <w:rsid w:val="09335624"/>
    <w:rsid w:val="0944690F"/>
    <w:rsid w:val="09535675"/>
    <w:rsid w:val="09570789"/>
    <w:rsid w:val="095F057D"/>
    <w:rsid w:val="09642282"/>
    <w:rsid w:val="09733572"/>
    <w:rsid w:val="09772C16"/>
    <w:rsid w:val="097A4477"/>
    <w:rsid w:val="098353B5"/>
    <w:rsid w:val="099B2B76"/>
    <w:rsid w:val="09A3752A"/>
    <w:rsid w:val="09A84B40"/>
    <w:rsid w:val="09A92330"/>
    <w:rsid w:val="09B06B87"/>
    <w:rsid w:val="09C13146"/>
    <w:rsid w:val="09D771D4"/>
    <w:rsid w:val="09E04166"/>
    <w:rsid w:val="0A1C0718"/>
    <w:rsid w:val="0A2A7F65"/>
    <w:rsid w:val="0A382368"/>
    <w:rsid w:val="0A3E7710"/>
    <w:rsid w:val="0A5B7E63"/>
    <w:rsid w:val="0AA374A5"/>
    <w:rsid w:val="0AAB7649"/>
    <w:rsid w:val="0ABC5606"/>
    <w:rsid w:val="0ACF4E8E"/>
    <w:rsid w:val="0AFB3396"/>
    <w:rsid w:val="0B0F05E6"/>
    <w:rsid w:val="0B116715"/>
    <w:rsid w:val="0B2B3C7B"/>
    <w:rsid w:val="0B30404E"/>
    <w:rsid w:val="0B475F2D"/>
    <w:rsid w:val="0B4C6C14"/>
    <w:rsid w:val="0B547599"/>
    <w:rsid w:val="0B5A630E"/>
    <w:rsid w:val="0B631A88"/>
    <w:rsid w:val="0B683D45"/>
    <w:rsid w:val="0B7F3F11"/>
    <w:rsid w:val="0B884417"/>
    <w:rsid w:val="0BDC0B16"/>
    <w:rsid w:val="0BF6188C"/>
    <w:rsid w:val="0BF73C91"/>
    <w:rsid w:val="0C0D1DCF"/>
    <w:rsid w:val="0C112B84"/>
    <w:rsid w:val="0C170175"/>
    <w:rsid w:val="0C1E10EA"/>
    <w:rsid w:val="0C1E7BF8"/>
    <w:rsid w:val="0C215C32"/>
    <w:rsid w:val="0C571A41"/>
    <w:rsid w:val="0C5C1171"/>
    <w:rsid w:val="0C5E1CBC"/>
    <w:rsid w:val="0C615B50"/>
    <w:rsid w:val="0C8445DA"/>
    <w:rsid w:val="0C87121B"/>
    <w:rsid w:val="0C8850DF"/>
    <w:rsid w:val="0CC003F3"/>
    <w:rsid w:val="0CC007F7"/>
    <w:rsid w:val="0CC25F19"/>
    <w:rsid w:val="0CC617AC"/>
    <w:rsid w:val="0CCA5515"/>
    <w:rsid w:val="0CDE6ACB"/>
    <w:rsid w:val="0CE618DF"/>
    <w:rsid w:val="0CF06F2A"/>
    <w:rsid w:val="0CFE707A"/>
    <w:rsid w:val="0D006A41"/>
    <w:rsid w:val="0D063BDA"/>
    <w:rsid w:val="0D08375F"/>
    <w:rsid w:val="0D184CFB"/>
    <w:rsid w:val="0D1A2A5B"/>
    <w:rsid w:val="0D361543"/>
    <w:rsid w:val="0D4A7419"/>
    <w:rsid w:val="0D827401"/>
    <w:rsid w:val="0D84094E"/>
    <w:rsid w:val="0D854AD0"/>
    <w:rsid w:val="0D8A00E9"/>
    <w:rsid w:val="0D8D589E"/>
    <w:rsid w:val="0D933D59"/>
    <w:rsid w:val="0DA01C73"/>
    <w:rsid w:val="0DB479C3"/>
    <w:rsid w:val="0DC20D00"/>
    <w:rsid w:val="0DD63300"/>
    <w:rsid w:val="0DDD09B7"/>
    <w:rsid w:val="0DF50604"/>
    <w:rsid w:val="0DF50A94"/>
    <w:rsid w:val="0DF5231E"/>
    <w:rsid w:val="0DF702FE"/>
    <w:rsid w:val="0E060E51"/>
    <w:rsid w:val="0E2624D8"/>
    <w:rsid w:val="0E4F1A2E"/>
    <w:rsid w:val="0E5604B2"/>
    <w:rsid w:val="0E6D5D79"/>
    <w:rsid w:val="0E9D0089"/>
    <w:rsid w:val="0EA474D2"/>
    <w:rsid w:val="0EB803EE"/>
    <w:rsid w:val="0ED61957"/>
    <w:rsid w:val="0EE04D7C"/>
    <w:rsid w:val="0EF551B4"/>
    <w:rsid w:val="0EF94D4B"/>
    <w:rsid w:val="0F4958DC"/>
    <w:rsid w:val="0F515DF7"/>
    <w:rsid w:val="0F596BA8"/>
    <w:rsid w:val="0F6248D2"/>
    <w:rsid w:val="0F693536"/>
    <w:rsid w:val="0F7B0511"/>
    <w:rsid w:val="0F7B76D9"/>
    <w:rsid w:val="0F816ACD"/>
    <w:rsid w:val="0F9832DB"/>
    <w:rsid w:val="0FBF0E36"/>
    <w:rsid w:val="0FBF3FD2"/>
    <w:rsid w:val="0FBF7FF3"/>
    <w:rsid w:val="0FD83CA6"/>
    <w:rsid w:val="0FE268D2"/>
    <w:rsid w:val="0FE34B24"/>
    <w:rsid w:val="10596B94"/>
    <w:rsid w:val="10646583"/>
    <w:rsid w:val="106F42D2"/>
    <w:rsid w:val="107D4B15"/>
    <w:rsid w:val="108A3C80"/>
    <w:rsid w:val="108C51BC"/>
    <w:rsid w:val="10944070"/>
    <w:rsid w:val="10C26171"/>
    <w:rsid w:val="10F33360"/>
    <w:rsid w:val="10FC16EA"/>
    <w:rsid w:val="10FE187B"/>
    <w:rsid w:val="110F1D40"/>
    <w:rsid w:val="11166833"/>
    <w:rsid w:val="11266F33"/>
    <w:rsid w:val="118963A1"/>
    <w:rsid w:val="11964A99"/>
    <w:rsid w:val="11A544FE"/>
    <w:rsid w:val="11C6522A"/>
    <w:rsid w:val="11E104CC"/>
    <w:rsid w:val="11E20309"/>
    <w:rsid w:val="120D40DA"/>
    <w:rsid w:val="12255233"/>
    <w:rsid w:val="122B630F"/>
    <w:rsid w:val="124039AB"/>
    <w:rsid w:val="124D097B"/>
    <w:rsid w:val="12530213"/>
    <w:rsid w:val="127723A9"/>
    <w:rsid w:val="12862074"/>
    <w:rsid w:val="12883966"/>
    <w:rsid w:val="129E45B4"/>
    <w:rsid w:val="12D81596"/>
    <w:rsid w:val="12FB3256"/>
    <w:rsid w:val="13072A44"/>
    <w:rsid w:val="1336140F"/>
    <w:rsid w:val="13541895"/>
    <w:rsid w:val="135F4BE2"/>
    <w:rsid w:val="139B1A0A"/>
    <w:rsid w:val="139D25C7"/>
    <w:rsid w:val="13BF3CE4"/>
    <w:rsid w:val="13C77A9D"/>
    <w:rsid w:val="141008D8"/>
    <w:rsid w:val="14125FE6"/>
    <w:rsid w:val="146D271E"/>
    <w:rsid w:val="147C1DF5"/>
    <w:rsid w:val="14956609"/>
    <w:rsid w:val="14982588"/>
    <w:rsid w:val="149A5AD9"/>
    <w:rsid w:val="14A7619D"/>
    <w:rsid w:val="14FB2910"/>
    <w:rsid w:val="150536C3"/>
    <w:rsid w:val="15062BD4"/>
    <w:rsid w:val="150C1963"/>
    <w:rsid w:val="151447A0"/>
    <w:rsid w:val="15426868"/>
    <w:rsid w:val="154A6454"/>
    <w:rsid w:val="154F0566"/>
    <w:rsid w:val="156A7C03"/>
    <w:rsid w:val="15762120"/>
    <w:rsid w:val="159D39C7"/>
    <w:rsid w:val="15AC7766"/>
    <w:rsid w:val="15D46CBD"/>
    <w:rsid w:val="15EE6AD6"/>
    <w:rsid w:val="160C46A9"/>
    <w:rsid w:val="164B51D1"/>
    <w:rsid w:val="16577142"/>
    <w:rsid w:val="1672275E"/>
    <w:rsid w:val="16A8689C"/>
    <w:rsid w:val="16A8729C"/>
    <w:rsid w:val="16B33777"/>
    <w:rsid w:val="16BC70A7"/>
    <w:rsid w:val="16C6339E"/>
    <w:rsid w:val="17092996"/>
    <w:rsid w:val="1709670F"/>
    <w:rsid w:val="17147CB9"/>
    <w:rsid w:val="172F2D79"/>
    <w:rsid w:val="17557BEF"/>
    <w:rsid w:val="17D349C1"/>
    <w:rsid w:val="17E01949"/>
    <w:rsid w:val="18244F26"/>
    <w:rsid w:val="18245CDA"/>
    <w:rsid w:val="1830729E"/>
    <w:rsid w:val="1852128A"/>
    <w:rsid w:val="1870062C"/>
    <w:rsid w:val="18817102"/>
    <w:rsid w:val="18830A15"/>
    <w:rsid w:val="18846779"/>
    <w:rsid w:val="18852B28"/>
    <w:rsid w:val="188B5321"/>
    <w:rsid w:val="189310B2"/>
    <w:rsid w:val="18A122A7"/>
    <w:rsid w:val="18AB01A9"/>
    <w:rsid w:val="18BA03EC"/>
    <w:rsid w:val="18D21BDA"/>
    <w:rsid w:val="18EA6F23"/>
    <w:rsid w:val="190800BC"/>
    <w:rsid w:val="19241D0A"/>
    <w:rsid w:val="19466124"/>
    <w:rsid w:val="195645B9"/>
    <w:rsid w:val="196E38B5"/>
    <w:rsid w:val="198A4263"/>
    <w:rsid w:val="19932372"/>
    <w:rsid w:val="19A20DD5"/>
    <w:rsid w:val="19AE03F1"/>
    <w:rsid w:val="19BD4C92"/>
    <w:rsid w:val="1A071A03"/>
    <w:rsid w:val="1A146B50"/>
    <w:rsid w:val="1A1F16AE"/>
    <w:rsid w:val="1A3B5C77"/>
    <w:rsid w:val="1A6B1B55"/>
    <w:rsid w:val="1A747F3E"/>
    <w:rsid w:val="1A984BAD"/>
    <w:rsid w:val="1AB8220E"/>
    <w:rsid w:val="1AE4166C"/>
    <w:rsid w:val="1AF06CFB"/>
    <w:rsid w:val="1AF11B8D"/>
    <w:rsid w:val="1B11359C"/>
    <w:rsid w:val="1B2A271F"/>
    <w:rsid w:val="1B410951"/>
    <w:rsid w:val="1B530544"/>
    <w:rsid w:val="1B544B28"/>
    <w:rsid w:val="1B713184"/>
    <w:rsid w:val="1B83540D"/>
    <w:rsid w:val="1BA209CF"/>
    <w:rsid w:val="1BB4777D"/>
    <w:rsid w:val="1BBE01F3"/>
    <w:rsid w:val="1BD75AB8"/>
    <w:rsid w:val="1C0459C2"/>
    <w:rsid w:val="1C197B20"/>
    <w:rsid w:val="1C1B3B4A"/>
    <w:rsid w:val="1C88086E"/>
    <w:rsid w:val="1CA73B51"/>
    <w:rsid w:val="1CB206A0"/>
    <w:rsid w:val="1CCB5193"/>
    <w:rsid w:val="1CF06AD2"/>
    <w:rsid w:val="1D266050"/>
    <w:rsid w:val="1D266CE1"/>
    <w:rsid w:val="1D304123"/>
    <w:rsid w:val="1D3963AF"/>
    <w:rsid w:val="1D3F35B6"/>
    <w:rsid w:val="1D3F5364"/>
    <w:rsid w:val="1D596426"/>
    <w:rsid w:val="1D5C31E0"/>
    <w:rsid w:val="1D6A673C"/>
    <w:rsid w:val="1D6B0675"/>
    <w:rsid w:val="1D774AFE"/>
    <w:rsid w:val="1D9247AE"/>
    <w:rsid w:val="1DAB47A7"/>
    <w:rsid w:val="1DB567EC"/>
    <w:rsid w:val="1DF51A98"/>
    <w:rsid w:val="1E051CD9"/>
    <w:rsid w:val="1E34479D"/>
    <w:rsid w:val="1E3D060F"/>
    <w:rsid w:val="1E3F5F7E"/>
    <w:rsid w:val="1E3F7D2E"/>
    <w:rsid w:val="1E4134E4"/>
    <w:rsid w:val="1E5062B3"/>
    <w:rsid w:val="1E523514"/>
    <w:rsid w:val="1E591960"/>
    <w:rsid w:val="1E714A66"/>
    <w:rsid w:val="1E802593"/>
    <w:rsid w:val="1E831280"/>
    <w:rsid w:val="1E8B6156"/>
    <w:rsid w:val="1EA703CC"/>
    <w:rsid w:val="1EB7330C"/>
    <w:rsid w:val="1EB83620"/>
    <w:rsid w:val="1EC41580"/>
    <w:rsid w:val="1F0A0FF3"/>
    <w:rsid w:val="1F30765A"/>
    <w:rsid w:val="1F3F4253"/>
    <w:rsid w:val="1F5275D0"/>
    <w:rsid w:val="1F5449A9"/>
    <w:rsid w:val="1F5771FF"/>
    <w:rsid w:val="1F59748C"/>
    <w:rsid w:val="1F6B68E4"/>
    <w:rsid w:val="1F6F0182"/>
    <w:rsid w:val="1F8654CC"/>
    <w:rsid w:val="1FA05832"/>
    <w:rsid w:val="1FD52574"/>
    <w:rsid w:val="1FE868A9"/>
    <w:rsid w:val="20034907"/>
    <w:rsid w:val="200603BB"/>
    <w:rsid w:val="20173E4B"/>
    <w:rsid w:val="203C5B8B"/>
    <w:rsid w:val="20476A09"/>
    <w:rsid w:val="204E48BC"/>
    <w:rsid w:val="20713893"/>
    <w:rsid w:val="208921B3"/>
    <w:rsid w:val="20973DEB"/>
    <w:rsid w:val="209D0D1F"/>
    <w:rsid w:val="20B26522"/>
    <w:rsid w:val="20B43881"/>
    <w:rsid w:val="20B44310"/>
    <w:rsid w:val="211116EB"/>
    <w:rsid w:val="216133FC"/>
    <w:rsid w:val="217F0425"/>
    <w:rsid w:val="21BA7C5A"/>
    <w:rsid w:val="21D56769"/>
    <w:rsid w:val="21E52EF3"/>
    <w:rsid w:val="21FB5D7B"/>
    <w:rsid w:val="22015E94"/>
    <w:rsid w:val="220B1C3D"/>
    <w:rsid w:val="221D1D20"/>
    <w:rsid w:val="2230740D"/>
    <w:rsid w:val="22334A87"/>
    <w:rsid w:val="22804455"/>
    <w:rsid w:val="22930FD2"/>
    <w:rsid w:val="22BE6801"/>
    <w:rsid w:val="22D402FC"/>
    <w:rsid w:val="23085827"/>
    <w:rsid w:val="230C7A96"/>
    <w:rsid w:val="233500BF"/>
    <w:rsid w:val="23377FF7"/>
    <w:rsid w:val="23411E36"/>
    <w:rsid w:val="23452189"/>
    <w:rsid w:val="236B425F"/>
    <w:rsid w:val="23836192"/>
    <w:rsid w:val="23897339"/>
    <w:rsid w:val="23901F29"/>
    <w:rsid w:val="239C0061"/>
    <w:rsid w:val="23B908A4"/>
    <w:rsid w:val="23C10881"/>
    <w:rsid w:val="23D04F68"/>
    <w:rsid w:val="23E95BEF"/>
    <w:rsid w:val="23FD0064"/>
    <w:rsid w:val="244F0263"/>
    <w:rsid w:val="245375B0"/>
    <w:rsid w:val="24642C0A"/>
    <w:rsid w:val="24B22173"/>
    <w:rsid w:val="24B95AD9"/>
    <w:rsid w:val="24BE24DA"/>
    <w:rsid w:val="24CF5825"/>
    <w:rsid w:val="24D663E6"/>
    <w:rsid w:val="24D77F2B"/>
    <w:rsid w:val="24E46F1D"/>
    <w:rsid w:val="24EF58C2"/>
    <w:rsid w:val="25152081"/>
    <w:rsid w:val="25274034"/>
    <w:rsid w:val="25274355"/>
    <w:rsid w:val="254F010E"/>
    <w:rsid w:val="258B00E2"/>
    <w:rsid w:val="25A917A6"/>
    <w:rsid w:val="25BE27CC"/>
    <w:rsid w:val="25EE662D"/>
    <w:rsid w:val="25F25669"/>
    <w:rsid w:val="25F533FB"/>
    <w:rsid w:val="25F74A5C"/>
    <w:rsid w:val="26045C60"/>
    <w:rsid w:val="262179F4"/>
    <w:rsid w:val="2628662C"/>
    <w:rsid w:val="2629095F"/>
    <w:rsid w:val="262D45DE"/>
    <w:rsid w:val="26663631"/>
    <w:rsid w:val="26871DC8"/>
    <w:rsid w:val="26A53EF9"/>
    <w:rsid w:val="26A94201"/>
    <w:rsid w:val="26AC274F"/>
    <w:rsid w:val="26AD77E2"/>
    <w:rsid w:val="26B561AA"/>
    <w:rsid w:val="26CA2142"/>
    <w:rsid w:val="26D7660D"/>
    <w:rsid w:val="26E51CC1"/>
    <w:rsid w:val="26EA4592"/>
    <w:rsid w:val="27044A29"/>
    <w:rsid w:val="271D34C8"/>
    <w:rsid w:val="276142BF"/>
    <w:rsid w:val="27783712"/>
    <w:rsid w:val="27907362"/>
    <w:rsid w:val="27D064FC"/>
    <w:rsid w:val="28333E1D"/>
    <w:rsid w:val="28454BD6"/>
    <w:rsid w:val="28455253"/>
    <w:rsid w:val="28551971"/>
    <w:rsid w:val="285754F1"/>
    <w:rsid w:val="285B1C53"/>
    <w:rsid w:val="289F7086"/>
    <w:rsid w:val="28C32028"/>
    <w:rsid w:val="28CC490F"/>
    <w:rsid w:val="28DE40AA"/>
    <w:rsid w:val="28FD5C97"/>
    <w:rsid w:val="29121C13"/>
    <w:rsid w:val="29345E77"/>
    <w:rsid w:val="293B10D5"/>
    <w:rsid w:val="294A57BC"/>
    <w:rsid w:val="294C65AD"/>
    <w:rsid w:val="29806583"/>
    <w:rsid w:val="298B3C4C"/>
    <w:rsid w:val="2998358C"/>
    <w:rsid w:val="29B21197"/>
    <w:rsid w:val="29B27DFB"/>
    <w:rsid w:val="29BD4E21"/>
    <w:rsid w:val="29F26D24"/>
    <w:rsid w:val="29F55728"/>
    <w:rsid w:val="2A15033F"/>
    <w:rsid w:val="2A1662C1"/>
    <w:rsid w:val="2A1B4A63"/>
    <w:rsid w:val="2A1C7367"/>
    <w:rsid w:val="2A2815FA"/>
    <w:rsid w:val="2A4527C6"/>
    <w:rsid w:val="2A4E4E38"/>
    <w:rsid w:val="2A66642C"/>
    <w:rsid w:val="2A6D6092"/>
    <w:rsid w:val="2A7A2A24"/>
    <w:rsid w:val="2A7D76B4"/>
    <w:rsid w:val="2AB0164F"/>
    <w:rsid w:val="2AE3490B"/>
    <w:rsid w:val="2B1716CE"/>
    <w:rsid w:val="2B437463"/>
    <w:rsid w:val="2B512B85"/>
    <w:rsid w:val="2B5244B4"/>
    <w:rsid w:val="2B7807EE"/>
    <w:rsid w:val="2B9D7E25"/>
    <w:rsid w:val="2BA50BF7"/>
    <w:rsid w:val="2BAD5B8F"/>
    <w:rsid w:val="2BBF00EC"/>
    <w:rsid w:val="2BC37CFD"/>
    <w:rsid w:val="2BD5237F"/>
    <w:rsid w:val="2BE041B6"/>
    <w:rsid w:val="2BE536CE"/>
    <w:rsid w:val="2BE758D9"/>
    <w:rsid w:val="2BF346BB"/>
    <w:rsid w:val="2BF561A5"/>
    <w:rsid w:val="2C09049E"/>
    <w:rsid w:val="2C0A653C"/>
    <w:rsid w:val="2C191F85"/>
    <w:rsid w:val="2C264BE2"/>
    <w:rsid w:val="2C3B319A"/>
    <w:rsid w:val="2C41519A"/>
    <w:rsid w:val="2C9D55AD"/>
    <w:rsid w:val="2CD26499"/>
    <w:rsid w:val="2CE82D6F"/>
    <w:rsid w:val="2D144540"/>
    <w:rsid w:val="2D343236"/>
    <w:rsid w:val="2D38455E"/>
    <w:rsid w:val="2D575011"/>
    <w:rsid w:val="2DD15014"/>
    <w:rsid w:val="2DF72DE4"/>
    <w:rsid w:val="2E0220AF"/>
    <w:rsid w:val="2E324622"/>
    <w:rsid w:val="2E3507E9"/>
    <w:rsid w:val="2E4B082A"/>
    <w:rsid w:val="2E59653C"/>
    <w:rsid w:val="2E5D4E86"/>
    <w:rsid w:val="2E5D790B"/>
    <w:rsid w:val="2E5D7FA6"/>
    <w:rsid w:val="2E9A064C"/>
    <w:rsid w:val="2E9A3C18"/>
    <w:rsid w:val="2EBB0FEE"/>
    <w:rsid w:val="2EC63002"/>
    <w:rsid w:val="2EF91817"/>
    <w:rsid w:val="2F0A6B38"/>
    <w:rsid w:val="2F1A514A"/>
    <w:rsid w:val="2F383029"/>
    <w:rsid w:val="2F3B1E2F"/>
    <w:rsid w:val="2F4F7689"/>
    <w:rsid w:val="2F5B427F"/>
    <w:rsid w:val="2F946CCB"/>
    <w:rsid w:val="2FC71915"/>
    <w:rsid w:val="2FD25781"/>
    <w:rsid w:val="2FDC745C"/>
    <w:rsid w:val="2FF7387C"/>
    <w:rsid w:val="2FFD7934"/>
    <w:rsid w:val="3049169C"/>
    <w:rsid w:val="30733ACD"/>
    <w:rsid w:val="30817D16"/>
    <w:rsid w:val="308C3862"/>
    <w:rsid w:val="309379D8"/>
    <w:rsid w:val="309D4424"/>
    <w:rsid w:val="30A270F7"/>
    <w:rsid w:val="30B314B2"/>
    <w:rsid w:val="30DF1478"/>
    <w:rsid w:val="30EC586F"/>
    <w:rsid w:val="315C1650"/>
    <w:rsid w:val="31945827"/>
    <w:rsid w:val="31975317"/>
    <w:rsid w:val="319C6071"/>
    <w:rsid w:val="31AC537E"/>
    <w:rsid w:val="31E3679B"/>
    <w:rsid w:val="31E732FD"/>
    <w:rsid w:val="320D7B1D"/>
    <w:rsid w:val="32517576"/>
    <w:rsid w:val="326351F9"/>
    <w:rsid w:val="326F24E1"/>
    <w:rsid w:val="329655CE"/>
    <w:rsid w:val="32BE5C2C"/>
    <w:rsid w:val="32BF4B25"/>
    <w:rsid w:val="32C959A4"/>
    <w:rsid w:val="32FB6478"/>
    <w:rsid w:val="33263B3F"/>
    <w:rsid w:val="333C43C8"/>
    <w:rsid w:val="334F51C4"/>
    <w:rsid w:val="336963EB"/>
    <w:rsid w:val="33816EEB"/>
    <w:rsid w:val="33894D71"/>
    <w:rsid w:val="33DC5392"/>
    <w:rsid w:val="33EB55CD"/>
    <w:rsid w:val="33EC4C02"/>
    <w:rsid w:val="340825C1"/>
    <w:rsid w:val="340A0022"/>
    <w:rsid w:val="340D2360"/>
    <w:rsid w:val="3410665D"/>
    <w:rsid w:val="34211214"/>
    <w:rsid w:val="34232E92"/>
    <w:rsid w:val="342E63AB"/>
    <w:rsid w:val="3445171A"/>
    <w:rsid w:val="344D6161"/>
    <w:rsid w:val="345A27A0"/>
    <w:rsid w:val="34950E68"/>
    <w:rsid w:val="34986E94"/>
    <w:rsid w:val="34AF62C9"/>
    <w:rsid w:val="34CB4388"/>
    <w:rsid w:val="34EE2753"/>
    <w:rsid w:val="34FA6E12"/>
    <w:rsid w:val="350E3B42"/>
    <w:rsid w:val="354D7158"/>
    <w:rsid w:val="35780FBB"/>
    <w:rsid w:val="358D5588"/>
    <w:rsid w:val="360F36CE"/>
    <w:rsid w:val="36222223"/>
    <w:rsid w:val="363A3B40"/>
    <w:rsid w:val="364A0BAA"/>
    <w:rsid w:val="365302AE"/>
    <w:rsid w:val="3656754F"/>
    <w:rsid w:val="36607A0A"/>
    <w:rsid w:val="366E227C"/>
    <w:rsid w:val="366F2E0D"/>
    <w:rsid w:val="367B6A5C"/>
    <w:rsid w:val="36A74ADA"/>
    <w:rsid w:val="36AD60D5"/>
    <w:rsid w:val="36B224F9"/>
    <w:rsid w:val="36EC0CC9"/>
    <w:rsid w:val="37155F6C"/>
    <w:rsid w:val="37202102"/>
    <w:rsid w:val="372907BF"/>
    <w:rsid w:val="373F410B"/>
    <w:rsid w:val="375C1A81"/>
    <w:rsid w:val="378B76CC"/>
    <w:rsid w:val="37D50947"/>
    <w:rsid w:val="37D54D69"/>
    <w:rsid w:val="37EE7094"/>
    <w:rsid w:val="38296C89"/>
    <w:rsid w:val="383002EB"/>
    <w:rsid w:val="38586797"/>
    <w:rsid w:val="385D15DF"/>
    <w:rsid w:val="38961E84"/>
    <w:rsid w:val="38BC0149"/>
    <w:rsid w:val="38D22A33"/>
    <w:rsid w:val="38D87D1C"/>
    <w:rsid w:val="38E250CA"/>
    <w:rsid w:val="391060DB"/>
    <w:rsid w:val="392B4D63"/>
    <w:rsid w:val="3938118D"/>
    <w:rsid w:val="39401C85"/>
    <w:rsid w:val="39636459"/>
    <w:rsid w:val="396B7F6C"/>
    <w:rsid w:val="397D0DF5"/>
    <w:rsid w:val="398C4829"/>
    <w:rsid w:val="398D772B"/>
    <w:rsid w:val="39B417A9"/>
    <w:rsid w:val="39BF3E64"/>
    <w:rsid w:val="39FC5695"/>
    <w:rsid w:val="3A006D8E"/>
    <w:rsid w:val="3A1F40FB"/>
    <w:rsid w:val="3A250584"/>
    <w:rsid w:val="3A3651E5"/>
    <w:rsid w:val="3A465B2C"/>
    <w:rsid w:val="3A744481"/>
    <w:rsid w:val="3A8C7BEF"/>
    <w:rsid w:val="3A906246"/>
    <w:rsid w:val="3B181276"/>
    <w:rsid w:val="3B2349B7"/>
    <w:rsid w:val="3B2A0D8A"/>
    <w:rsid w:val="3B4E0022"/>
    <w:rsid w:val="3B616CFF"/>
    <w:rsid w:val="3B6259F6"/>
    <w:rsid w:val="3B976654"/>
    <w:rsid w:val="3BC01EFC"/>
    <w:rsid w:val="3BCA786A"/>
    <w:rsid w:val="3BD31E2F"/>
    <w:rsid w:val="3BF15831"/>
    <w:rsid w:val="3C105946"/>
    <w:rsid w:val="3C110D70"/>
    <w:rsid w:val="3C42730B"/>
    <w:rsid w:val="3C471448"/>
    <w:rsid w:val="3C47790D"/>
    <w:rsid w:val="3C4B567C"/>
    <w:rsid w:val="3C5C33E5"/>
    <w:rsid w:val="3C5E0F0B"/>
    <w:rsid w:val="3C5F759A"/>
    <w:rsid w:val="3C6C525A"/>
    <w:rsid w:val="3C862210"/>
    <w:rsid w:val="3C8A7F52"/>
    <w:rsid w:val="3CCE23CB"/>
    <w:rsid w:val="3CD17D17"/>
    <w:rsid w:val="3CD335EA"/>
    <w:rsid w:val="3D205D17"/>
    <w:rsid w:val="3D3C7F39"/>
    <w:rsid w:val="3D440F09"/>
    <w:rsid w:val="3D4504A0"/>
    <w:rsid w:val="3D8734BB"/>
    <w:rsid w:val="3D8A3F82"/>
    <w:rsid w:val="3D9A11D4"/>
    <w:rsid w:val="3DA16D89"/>
    <w:rsid w:val="3DA364BE"/>
    <w:rsid w:val="3DC56D68"/>
    <w:rsid w:val="3DC94AAA"/>
    <w:rsid w:val="3DC96858"/>
    <w:rsid w:val="3DE041CB"/>
    <w:rsid w:val="3DF02037"/>
    <w:rsid w:val="3E0D48F6"/>
    <w:rsid w:val="3E1868B4"/>
    <w:rsid w:val="3E377251"/>
    <w:rsid w:val="3E42664B"/>
    <w:rsid w:val="3E5A7334"/>
    <w:rsid w:val="3E7B5D6B"/>
    <w:rsid w:val="3E80785E"/>
    <w:rsid w:val="3E843E66"/>
    <w:rsid w:val="3E854E75"/>
    <w:rsid w:val="3E8F51FE"/>
    <w:rsid w:val="3E926F87"/>
    <w:rsid w:val="3E9A59DE"/>
    <w:rsid w:val="3EAF4836"/>
    <w:rsid w:val="3EC33DFA"/>
    <w:rsid w:val="3EF618CF"/>
    <w:rsid w:val="3F060E16"/>
    <w:rsid w:val="3F1D1096"/>
    <w:rsid w:val="3F2D1069"/>
    <w:rsid w:val="3F2F0234"/>
    <w:rsid w:val="3F6363FE"/>
    <w:rsid w:val="3F756B8F"/>
    <w:rsid w:val="3F95482B"/>
    <w:rsid w:val="40155D85"/>
    <w:rsid w:val="4019356B"/>
    <w:rsid w:val="40517375"/>
    <w:rsid w:val="40592157"/>
    <w:rsid w:val="406E1CAE"/>
    <w:rsid w:val="408847A8"/>
    <w:rsid w:val="408C0409"/>
    <w:rsid w:val="409749EB"/>
    <w:rsid w:val="40A0133A"/>
    <w:rsid w:val="40AF442B"/>
    <w:rsid w:val="40B732E0"/>
    <w:rsid w:val="40C31A53"/>
    <w:rsid w:val="40FB141E"/>
    <w:rsid w:val="40FF545D"/>
    <w:rsid w:val="410067C8"/>
    <w:rsid w:val="41505608"/>
    <w:rsid w:val="418F0D2A"/>
    <w:rsid w:val="41957807"/>
    <w:rsid w:val="41A33A6C"/>
    <w:rsid w:val="41A61ABB"/>
    <w:rsid w:val="41D01505"/>
    <w:rsid w:val="41D81760"/>
    <w:rsid w:val="42116A20"/>
    <w:rsid w:val="421B33FA"/>
    <w:rsid w:val="42332E3A"/>
    <w:rsid w:val="42426621"/>
    <w:rsid w:val="42474939"/>
    <w:rsid w:val="424C3C57"/>
    <w:rsid w:val="42613FF3"/>
    <w:rsid w:val="42641245"/>
    <w:rsid w:val="42660D96"/>
    <w:rsid w:val="426E137A"/>
    <w:rsid w:val="428667D2"/>
    <w:rsid w:val="42CD1CE0"/>
    <w:rsid w:val="42E1381E"/>
    <w:rsid w:val="42ED6459"/>
    <w:rsid w:val="42FE58DD"/>
    <w:rsid w:val="430640AA"/>
    <w:rsid w:val="43174B3D"/>
    <w:rsid w:val="43272F73"/>
    <w:rsid w:val="43342EA7"/>
    <w:rsid w:val="433F136A"/>
    <w:rsid w:val="434B790E"/>
    <w:rsid w:val="4360274F"/>
    <w:rsid w:val="43745227"/>
    <w:rsid w:val="43977AB6"/>
    <w:rsid w:val="43A3342B"/>
    <w:rsid w:val="43C77C27"/>
    <w:rsid w:val="43DE09EE"/>
    <w:rsid w:val="44002FAD"/>
    <w:rsid w:val="440E3217"/>
    <w:rsid w:val="447C0AC8"/>
    <w:rsid w:val="449101DD"/>
    <w:rsid w:val="44AD0C81"/>
    <w:rsid w:val="44BA15F0"/>
    <w:rsid w:val="44BB27AC"/>
    <w:rsid w:val="44DE1391"/>
    <w:rsid w:val="451B225C"/>
    <w:rsid w:val="452410C9"/>
    <w:rsid w:val="45317DFB"/>
    <w:rsid w:val="453273D9"/>
    <w:rsid w:val="454B2248"/>
    <w:rsid w:val="45573267"/>
    <w:rsid w:val="456D3CE4"/>
    <w:rsid w:val="4579042C"/>
    <w:rsid w:val="457F0571"/>
    <w:rsid w:val="45851176"/>
    <w:rsid w:val="458F482B"/>
    <w:rsid w:val="45C63B94"/>
    <w:rsid w:val="45CF69D6"/>
    <w:rsid w:val="45D87F80"/>
    <w:rsid w:val="45E4360B"/>
    <w:rsid w:val="460E7DA5"/>
    <w:rsid w:val="463A26D8"/>
    <w:rsid w:val="46422483"/>
    <w:rsid w:val="46476EB4"/>
    <w:rsid w:val="4659254A"/>
    <w:rsid w:val="465B0637"/>
    <w:rsid w:val="465E3F0D"/>
    <w:rsid w:val="466A16E6"/>
    <w:rsid w:val="46893F2B"/>
    <w:rsid w:val="46BC5B49"/>
    <w:rsid w:val="46BF6A4A"/>
    <w:rsid w:val="46C4686E"/>
    <w:rsid w:val="472D42FC"/>
    <w:rsid w:val="477B778F"/>
    <w:rsid w:val="478203EC"/>
    <w:rsid w:val="47B025FA"/>
    <w:rsid w:val="47C02A7A"/>
    <w:rsid w:val="47DA4304"/>
    <w:rsid w:val="4809698F"/>
    <w:rsid w:val="4811697D"/>
    <w:rsid w:val="48221986"/>
    <w:rsid w:val="48254FD3"/>
    <w:rsid w:val="4839282C"/>
    <w:rsid w:val="487A3E25"/>
    <w:rsid w:val="487B6497"/>
    <w:rsid w:val="488B5503"/>
    <w:rsid w:val="48937E21"/>
    <w:rsid w:val="489A0361"/>
    <w:rsid w:val="48A66E6C"/>
    <w:rsid w:val="48B94FF3"/>
    <w:rsid w:val="48BB76E5"/>
    <w:rsid w:val="48E37AAB"/>
    <w:rsid w:val="48E7672C"/>
    <w:rsid w:val="48FD4B4C"/>
    <w:rsid w:val="490A68E0"/>
    <w:rsid w:val="491055FE"/>
    <w:rsid w:val="49180694"/>
    <w:rsid w:val="495F5B3E"/>
    <w:rsid w:val="4961203A"/>
    <w:rsid w:val="496F77D7"/>
    <w:rsid w:val="497654FD"/>
    <w:rsid w:val="4989333F"/>
    <w:rsid w:val="498F4DFA"/>
    <w:rsid w:val="49914124"/>
    <w:rsid w:val="49B64211"/>
    <w:rsid w:val="49F6167F"/>
    <w:rsid w:val="4A064FA0"/>
    <w:rsid w:val="4A16615C"/>
    <w:rsid w:val="4A1B46B8"/>
    <w:rsid w:val="4A3634C7"/>
    <w:rsid w:val="4A4424D7"/>
    <w:rsid w:val="4A715DE4"/>
    <w:rsid w:val="4AA5064D"/>
    <w:rsid w:val="4AB3236E"/>
    <w:rsid w:val="4AB82D0F"/>
    <w:rsid w:val="4AC32699"/>
    <w:rsid w:val="4AC661C4"/>
    <w:rsid w:val="4AEB7664"/>
    <w:rsid w:val="4AFD7C19"/>
    <w:rsid w:val="4B0567D1"/>
    <w:rsid w:val="4B236AAE"/>
    <w:rsid w:val="4B49547C"/>
    <w:rsid w:val="4B700C5B"/>
    <w:rsid w:val="4B707271"/>
    <w:rsid w:val="4B9318B2"/>
    <w:rsid w:val="4B9739F7"/>
    <w:rsid w:val="4BA831AF"/>
    <w:rsid w:val="4BB328F5"/>
    <w:rsid w:val="4BBA2665"/>
    <w:rsid w:val="4BEA3DD8"/>
    <w:rsid w:val="4BEE2503"/>
    <w:rsid w:val="4C245A30"/>
    <w:rsid w:val="4C357B95"/>
    <w:rsid w:val="4C392DFB"/>
    <w:rsid w:val="4C431ECB"/>
    <w:rsid w:val="4C7E1155"/>
    <w:rsid w:val="4C8D3147"/>
    <w:rsid w:val="4CA06133"/>
    <w:rsid w:val="4CB6685F"/>
    <w:rsid w:val="4CC367FE"/>
    <w:rsid w:val="4D077F3C"/>
    <w:rsid w:val="4D123355"/>
    <w:rsid w:val="4D243AAB"/>
    <w:rsid w:val="4D2A3B31"/>
    <w:rsid w:val="4D312C52"/>
    <w:rsid w:val="4D3A1520"/>
    <w:rsid w:val="4D5679DC"/>
    <w:rsid w:val="4D905305"/>
    <w:rsid w:val="4D964A72"/>
    <w:rsid w:val="4D9C1254"/>
    <w:rsid w:val="4DA16EA9"/>
    <w:rsid w:val="4DD92AE7"/>
    <w:rsid w:val="4DE86773"/>
    <w:rsid w:val="4E21448E"/>
    <w:rsid w:val="4E793892"/>
    <w:rsid w:val="4E800872"/>
    <w:rsid w:val="4EB175C0"/>
    <w:rsid w:val="4EC43799"/>
    <w:rsid w:val="4EC569ED"/>
    <w:rsid w:val="4ECF0A6B"/>
    <w:rsid w:val="4ED50EA1"/>
    <w:rsid w:val="4EEC050C"/>
    <w:rsid w:val="4F104EC3"/>
    <w:rsid w:val="4F33795B"/>
    <w:rsid w:val="4F47354A"/>
    <w:rsid w:val="4F8D1C8E"/>
    <w:rsid w:val="4F911C54"/>
    <w:rsid w:val="4FA113E3"/>
    <w:rsid w:val="4FA905DB"/>
    <w:rsid w:val="4FD95020"/>
    <w:rsid w:val="4FE625E0"/>
    <w:rsid w:val="5021480F"/>
    <w:rsid w:val="506B19F1"/>
    <w:rsid w:val="506E4932"/>
    <w:rsid w:val="507E3351"/>
    <w:rsid w:val="50830AE8"/>
    <w:rsid w:val="50962ECB"/>
    <w:rsid w:val="50A13664"/>
    <w:rsid w:val="50A42E38"/>
    <w:rsid w:val="50A4577F"/>
    <w:rsid w:val="50AD3DB7"/>
    <w:rsid w:val="50B73D1F"/>
    <w:rsid w:val="50BD5BC9"/>
    <w:rsid w:val="50C11EEE"/>
    <w:rsid w:val="50E97CFC"/>
    <w:rsid w:val="50FA4028"/>
    <w:rsid w:val="510D65B7"/>
    <w:rsid w:val="511157AB"/>
    <w:rsid w:val="5142540C"/>
    <w:rsid w:val="5165270A"/>
    <w:rsid w:val="51710FD0"/>
    <w:rsid w:val="518832C8"/>
    <w:rsid w:val="51976F41"/>
    <w:rsid w:val="519D3C50"/>
    <w:rsid w:val="51A0432A"/>
    <w:rsid w:val="51A86090"/>
    <w:rsid w:val="51A93D45"/>
    <w:rsid w:val="51B7396D"/>
    <w:rsid w:val="522E4CC3"/>
    <w:rsid w:val="5233646C"/>
    <w:rsid w:val="5244713B"/>
    <w:rsid w:val="52615633"/>
    <w:rsid w:val="526E7576"/>
    <w:rsid w:val="526F4DE4"/>
    <w:rsid w:val="52977FD4"/>
    <w:rsid w:val="52A01E26"/>
    <w:rsid w:val="52A25790"/>
    <w:rsid w:val="52A96B6F"/>
    <w:rsid w:val="52B45975"/>
    <w:rsid w:val="52D23FA9"/>
    <w:rsid w:val="52D675F5"/>
    <w:rsid w:val="52D94AA4"/>
    <w:rsid w:val="52EA3A62"/>
    <w:rsid w:val="52F50BB8"/>
    <w:rsid w:val="53097272"/>
    <w:rsid w:val="5314011E"/>
    <w:rsid w:val="534D3630"/>
    <w:rsid w:val="534E38F0"/>
    <w:rsid w:val="53544462"/>
    <w:rsid w:val="53590226"/>
    <w:rsid w:val="539450C8"/>
    <w:rsid w:val="5397158E"/>
    <w:rsid w:val="53980D4F"/>
    <w:rsid w:val="53B042EA"/>
    <w:rsid w:val="53C31C9C"/>
    <w:rsid w:val="53D37C94"/>
    <w:rsid w:val="54013861"/>
    <w:rsid w:val="540168F4"/>
    <w:rsid w:val="540D34EB"/>
    <w:rsid w:val="54487265"/>
    <w:rsid w:val="544D6070"/>
    <w:rsid w:val="54605E1E"/>
    <w:rsid w:val="546B04BC"/>
    <w:rsid w:val="54B1704A"/>
    <w:rsid w:val="54B27BEE"/>
    <w:rsid w:val="54B3506A"/>
    <w:rsid w:val="54CA0D16"/>
    <w:rsid w:val="54DD4057"/>
    <w:rsid w:val="54E448C5"/>
    <w:rsid w:val="54E7490F"/>
    <w:rsid w:val="550764A4"/>
    <w:rsid w:val="550B2BF6"/>
    <w:rsid w:val="55214EB5"/>
    <w:rsid w:val="55364EFD"/>
    <w:rsid w:val="555D4828"/>
    <w:rsid w:val="556F5ADF"/>
    <w:rsid w:val="557A4C8B"/>
    <w:rsid w:val="558931E1"/>
    <w:rsid w:val="55923347"/>
    <w:rsid w:val="55925180"/>
    <w:rsid w:val="55983B1B"/>
    <w:rsid w:val="559D4B69"/>
    <w:rsid w:val="55A8376B"/>
    <w:rsid w:val="55D32512"/>
    <w:rsid w:val="55DC29B6"/>
    <w:rsid w:val="55DD4241"/>
    <w:rsid w:val="55E40C52"/>
    <w:rsid w:val="55EE4C56"/>
    <w:rsid w:val="55F34962"/>
    <w:rsid w:val="560C0B22"/>
    <w:rsid w:val="56471638"/>
    <w:rsid w:val="565C569D"/>
    <w:rsid w:val="565D3B8A"/>
    <w:rsid w:val="566B6D1E"/>
    <w:rsid w:val="56AF33BD"/>
    <w:rsid w:val="56C67981"/>
    <w:rsid w:val="56C76F68"/>
    <w:rsid w:val="56F4689F"/>
    <w:rsid w:val="57032A2C"/>
    <w:rsid w:val="570F5219"/>
    <w:rsid w:val="575D12B5"/>
    <w:rsid w:val="57610A87"/>
    <w:rsid w:val="577B1140"/>
    <w:rsid w:val="577B7F21"/>
    <w:rsid w:val="577F181B"/>
    <w:rsid w:val="57921984"/>
    <w:rsid w:val="579737F0"/>
    <w:rsid w:val="57A353DB"/>
    <w:rsid w:val="57AB7B30"/>
    <w:rsid w:val="57AF5251"/>
    <w:rsid w:val="57B26373"/>
    <w:rsid w:val="57B63F04"/>
    <w:rsid w:val="57CD20C2"/>
    <w:rsid w:val="57D04F5B"/>
    <w:rsid w:val="57D52571"/>
    <w:rsid w:val="57D675AB"/>
    <w:rsid w:val="57D73717"/>
    <w:rsid w:val="57D95FDD"/>
    <w:rsid w:val="57EA412A"/>
    <w:rsid w:val="58006EC2"/>
    <w:rsid w:val="584D0F49"/>
    <w:rsid w:val="585D2E9A"/>
    <w:rsid w:val="58917D2F"/>
    <w:rsid w:val="5894085C"/>
    <w:rsid w:val="58A628ED"/>
    <w:rsid w:val="58AA3909"/>
    <w:rsid w:val="58AE4F0C"/>
    <w:rsid w:val="58B85899"/>
    <w:rsid w:val="58E363A9"/>
    <w:rsid w:val="590D0D4F"/>
    <w:rsid w:val="59166304"/>
    <w:rsid w:val="593257A1"/>
    <w:rsid w:val="595E1678"/>
    <w:rsid w:val="596D5BD4"/>
    <w:rsid w:val="59722042"/>
    <w:rsid w:val="597E3DD8"/>
    <w:rsid w:val="598F49A2"/>
    <w:rsid w:val="59A541C5"/>
    <w:rsid w:val="59D95C1D"/>
    <w:rsid w:val="59EF5441"/>
    <w:rsid w:val="59F12F67"/>
    <w:rsid w:val="59F80043"/>
    <w:rsid w:val="5A09252F"/>
    <w:rsid w:val="5A0B2778"/>
    <w:rsid w:val="5A195162"/>
    <w:rsid w:val="5A2A7C7B"/>
    <w:rsid w:val="5A2F12D9"/>
    <w:rsid w:val="5A3E2560"/>
    <w:rsid w:val="5A5D3B6E"/>
    <w:rsid w:val="5A637A76"/>
    <w:rsid w:val="5A6D33BA"/>
    <w:rsid w:val="5A792B1F"/>
    <w:rsid w:val="5A874767"/>
    <w:rsid w:val="5AA17199"/>
    <w:rsid w:val="5AA85BE2"/>
    <w:rsid w:val="5AAD6F28"/>
    <w:rsid w:val="5AB61B9F"/>
    <w:rsid w:val="5AD63A24"/>
    <w:rsid w:val="5B2E1A1D"/>
    <w:rsid w:val="5B3621AA"/>
    <w:rsid w:val="5B843A1C"/>
    <w:rsid w:val="5B873E3F"/>
    <w:rsid w:val="5B9C6F02"/>
    <w:rsid w:val="5BB26726"/>
    <w:rsid w:val="5C02690E"/>
    <w:rsid w:val="5C196DA7"/>
    <w:rsid w:val="5C207B33"/>
    <w:rsid w:val="5C2A048C"/>
    <w:rsid w:val="5C432E7C"/>
    <w:rsid w:val="5C80234E"/>
    <w:rsid w:val="5C8A680C"/>
    <w:rsid w:val="5CD66444"/>
    <w:rsid w:val="5D053E4E"/>
    <w:rsid w:val="5D0C4701"/>
    <w:rsid w:val="5D0F0395"/>
    <w:rsid w:val="5D177188"/>
    <w:rsid w:val="5D221076"/>
    <w:rsid w:val="5D397964"/>
    <w:rsid w:val="5D5A391C"/>
    <w:rsid w:val="5D5F10C0"/>
    <w:rsid w:val="5D6F04A6"/>
    <w:rsid w:val="5D79574D"/>
    <w:rsid w:val="5D891B7B"/>
    <w:rsid w:val="5DAD38EE"/>
    <w:rsid w:val="5DBE9A2C"/>
    <w:rsid w:val="5DCC2FAA"/>
    <w:rsid w:val="5E006862"/>
    <w:rsid w:val="5E0207B9"/>
    <w:rsid w:val="5E096D50"/>
    <w:rsid w:val="5E1834A1"/>
    <w:rsid w:val="5E261785"/>
    <w:rsid w:val="5E40626B"/>
    <w:rsid w:val="5E4A7017"/>
    <w:rsid w:val="5E4D0988"/>
    <w:rsid w:val="5E552BBA"/>
    <w:rsid w:val="5E611C10"/>
    <w:rsid w:val="5E7A0F3F"/>
    <w:rsid w:val="5EB34C8F"/>
    <w:rsid w:val="5EB6477F"/>
    <w:rsid w:val="5EDB5F93"/>
    <w:rsid w:val="5EFC7377"/>
    <w:rsid w:val="5F06174D"/>
    <w:rsid w:val="5F131BD1"/>
    <w:rsid w:val="5F1D035A"/>
    <w:rsid w:val="5F3A3602"/>
    <w:rsid w:val="5F3F9AF8"/>
    <w:rsid w:val="5F4255F2"/>
    <w:rsid w:val="5F45733B"/>
    <w:rsid w:val="5F6277C6"/>
    <w:rsid w:val="5F6D0B1D"/>
    <w:rsid w:val="5F8D0B82"/>
    <w:rsid w:val="5F9E2A8F"/>
    <w:rsid w:val="5FA82319"/>
    <w:rsid w:val="5FC03B07"/>
    <w:rsid w:val="5FCC5339"/>
    <w:rsid w:val="5FE34A5B"/>
    <w:rsid w:val="5FFE1E36"/>
    <w:rsid w:val="6017124D"/>
    <w:rsid w:val="60232584"/>
    <w:rsid w:val="6035022A"/>
    <w:rsid w:val="60397415"/>
    <w:rsid w:val="60503F00"/>
    <w:rsid w:val="60510E15"/>
    <w:rsid w:val="60673F94"/>
    <w:rsid w:val="607330CE"/>
    <w:rsid w:val="60825176"/>
    <w:rsid w:val="609F2AC4"/>
    <w:rsid w:val="60CD2078"/>
    <w:rsid w:val="60D27C60"/>
    <w:rsid w:val="60DF7FBD"/>
    <w:rsid w:val="60FA2EE8"/>
    <w:rsid w:val="610538E1"/>
    <w:rsid w:val="61054A27"/>
    <w:rsid w:val="610A52BC"/>
    <w:rsid w:val="611D2366"/>
    <w:rsid w:val="61306A6A"/>
    <w:rsid w:val="61421856"/>
    <w:rsid w:val="615227C4"/>
    <w:rsid w:val="6162474A"/>
    <w:rsid w:val="61654E3F"/>
    <w:rsid w:val="6182292A"/>
    <w:rsid w:val="619F7F92"/>
    <w:rsid w:val="61A42FB4"/>
    <w:rsid w:val="61A94127"/>
    <w:rsid w:val="61BC20AC"/>
    <w:rsid w:val="61BE5E24"/>
    <w:rsid w:val="61F94C26"/>
    <w:rsid w:val="62000E56"/>
    <w:rsid w:val="62075FE3"/>
    <w:rsid w:val="621F5ABD"/>
    <w:rsid w:val="624F3E49"/>
    <w:rsid w:val="62632286"/>
    <w:rsid w:val="62885958"/>
    <w:rsid w:val="62922E0D"/>
    <w:rsid w:val="62D41677"/>
    <w:rsid w:val="62F40B65"/>
    <w:rsid w:val="62FC2CFE"/>
    <w:rsid w:val="63024505"/>
    <w:rsid w:val="632B7CAE"/>
    <w:rsid w:val="63556314"/>
    <w:rsid w:val="635600A5"/>
    <w:rsid w:val="635B1DB5"/>
    <w:rsid w:val="636724EC"/>
    <w:rsid w:val="63711FED"/>
    <w:rsid w:val="637D3ABD"/>
    <w:rsid w:val="638135AD"/>
    <w:rsid w:val="6381535B"/>
    <w:rsid w:val="63880DDC"/>
    <w:rsid w:val="638D750D"/>
    <w:rsid w:val="63A23524"/>
    <w:rsid w:val="63AC6CC0"/>
    <w:rsid w:val="63DF02D4"/>
    <w:rsid w:val="64055776"/>
    <w:rsid w:val="64240056"/>
    <w:rsid w:val="64335B74"/>
    <w:rsid w:val="643E143A"/>
    <w:rsid w:val="64491666"/>
    <w:rsid w:val="648B6EEF"/>
    <w:rsid w:val="64C158BF"/>
    <w:rsid w:val="64CE2EAA"/>
    <w:rsid w:val="64DD208C"/>
    <w:rsid w:val="651641C9"/>
    <w:rsid w:val="653C3090"/>
    <w:rsid w:val="6545308B"/>
    <w:rsid w:val="656C3DE9"/>
    <w:rsid w:val="65854376"/>
    <w:rsid w:val="658767BE"/>
    <w:rsid w:val="65892531"/>
    <w:rsid w:val="660A5ADC"/>
    <w:rsid w:val="66195831"/>
    <w:rsid w:val="66211C4E"/>
    <w:rsid w:val="662E75B1"/>
    <w:rsid w:val="66342C2E"/>
    <w:rsid w:val="663E784C"/>
    <w:rsid w:val="66627DF7"/>
    <w:rsid w:val="666B40A1"/>
    <w:rsid w:val="66811B16"/>
    <w:rsid w:val="668B64F1"/>
    <w:rsid w:val="668B6A45"/>
    <w:rsid w:val="66F75934"/>
    <w:rsid w:val="672F3F24"/>
    <w:rsid w:val="673E055F"/>
    <w:rsid w:val="67551CE3"/>
    <w:rsid w:val="67A22552"/>
    <w:rsid w:val="67B22DCC"/>
    <w:rsid w:val="67BE71AA"/>
    <w:rsid w:val="67D90273"/>
    <w:rsid w:val="67DE5875"/>
    <w:rsid w:val="67E55852"/>
    <w:rsid w:val="67EB1AB4"/>
    <w:rsid w:val="67FA1285"/>
    <w:rsid w:val="6841330B"/>
    <w:rsid w:val="68541B0D"/>
    <w:rsid w:val="68551F4F"/>
    <w:rsid w:val="687C10C9"/>
    <w:rsid w:val="68840C16"/>
    <w:rsid w:val="68876EFB"/>
    <w:rsid w:val="68884654"/>
    <w:rsid w:val="689C2C37"/>
    <w:rsid w:val="689F444F"/>
    <w:rsid w:val="68B96DBB"/>
    <w:rsid w:val="68CA2805"/>
    <w:rsid w:val="68DD3D60"/>
    <w:rsid w:val="68DE6DAC"/>
    <w:rsid w:val="68E937A3"/>
    <w:rsid w:val="69116F83"/>
    <w:rsid w:val="69164798"/>
    <w:rsid w:val="69272501"/>
    <w:rsid w:val="69344C1E"/>
    <w:rsid w:val="693C7A8A"/>
    <w:rsid w:val="693E15D3"/>
    <w:rsid w:val="694B04B6"/>
    <w:rsid w:val="69586B5E"/>
    <w:rsid w:val="69627681"/>
    <w:rsid w:val="6977531D"/>
    <w:rsid w:val="6985191D"/>
    <w:rsid w:val="69961435"/>
    <w:rsid w:val="699E02E9"/>
    <w:rsid w:val="69BE4592"/>
    <w:rsid w:val="69CC2BFF"/>
    <w:rsid w:val="69CC4E56"/>
    <w:rsid w:val="69FD55B8"/>
    <w:rsid w:val="6A06480C"/>
    <w:rsid w:val="6A0B1C62"/>
    <w:rsid w:val="6A171F5C"/>
    <w:rsid w:val="6A2406C8"/>
    <w:rsid w:val="6A9A31A7"/>
    <w:rsid w:val="6AB51D8E"/>
    <w:rsid w:val="6ADE0BD1"/>
    <w:rsid w:val="6AE96859"/>
    <w:rsid w:val="6B147746"/>
    <w:rsid w:val="6B24787C"/>
    <w:rsid w:val="6B573233"/>
    <w:rsid w:val="6B5B6274"/>
    <w:rsid w:val="6B935D53"/>
    <w:rsid w:val="6BE62939"/>
    <w:rsid w:val="6C196F71"/>
    <w:rsid w:val="6C226FCB"/>
    <w:rsid w:val="6C2B294A"/>
    <w:rsid w:val="6C31226F"/>
    <w:rsid w:val="6C506D92"/>
    <w:rsid w:val="6C552F0B"/>
    <w:rsid w:val="6C8C67B7"/>
    <w:rsid w:val="6C9D1E90"/>
    <w:rsid w:val="6C9D744C"/>
    <w:rsid w:val="6CDC1854"/>
    <w:rsid w:val="6D167928"/>
    <w:rsid w:val="6D26299B"/>
    <w:rsid w:val="6D4772EC"/>
    <w:rsid w:val="6D527D69"/>
    <w:rsid w:val="6D54763D"/>
    <w:rsid w:val="6D885ECE"/>
    <w:rsid w:val="6D8E4F15"/>
    <w:rsid w:val="6D9078AF"/>
    <w:rsid w:val="6DAA3FEF"/>
    <w:rsid w:val="6DB61F19"/>
    <w:rsid w:val="6DC0172B"/>
    <w:rsid w:val="6DCB690C"/>
    <w:rsid w:val="6DD15131"/>
    <w:rsid w:val="6DD41A5B"/>
    <w:rsid w:val="6DDEB12A"/>
    <w:rsid w:val="6DF43C2E"/>
    <w:rsid w:val="6DF51CA3"/>
    <w:rsid w:val="6E0C43BB"/>
    <w:rsid w:val="6E460481"/>
    <w:rsid w:val="6E8140B1"/>
    <w:rsid w:val="6E8335BD"/>
    <w:rsid w:val="6E8E12EF"/>
    <w:rsid w:val="6E972936"/>
    <w:rsid w:val="6ED317D6"/>
    <w:rsid w:val="6ED446C5"/>
    <w:rsid w:val="6F0D3B5C"/>
    <w:rsid w:val="6F2A7D94"/>
    <w:rsid w:val="6F5F5649"/>
    <w:rsid w:val="6F6049BF"/>
    <w:rsid w:val="6F6B16FA"/>
    <w:rsid w:val="6F8331F1"/>
    <w:rsid w:val="6FAE1A09"/>
    <w:rsid w:val="6FD75BF8"/>
    <w:rsid w:val="70310109"/>
    <w:rsid w:val="707723D0"/>
    <w:rsid w:val="707A560C"/>
    <w:rsid w:val="70C1323B"/>
    <w:rsid w:val="70DC0075"/>
    <w:rsid w:val="70F5661B"/>
    <w:rsid w:val="71360107"/>
    <w:rsid w:val="713B688E"/>
    <w:rsid w:val="71641E18"/>
    <w:rsid w:val="71CB5AA2"/>
    <w:rsid w:val="71D43752"/>
    <w:rsid w:val="71DD22F7"/>
    <w:rsid w:val="71F1796A"/>
    <w:rsid w:val="71F907B3"/>
    <w:rsid w:val="72154626"/>
    <w:rsid w:val="72262B5D"/>
    <w:rsid w:val="72283FF7"/>
    <w:rsid w:val="722E7212"/>
    <w:rsid w:val="723A0474"/>
    <w:rsid w:val="72477770"/>
    <w:rsid w:val="725923E4"/>
    <w:rsid w:val="7272696D"/>
    <w:rsid w:val="72864BF7"/>
    <w:rsid w:val="729023FC"/>
    <w:rsid w:val="72A44BC2"/>
    <w:rsid w:val="72E476B5"/>
    <w:rsid w:val="73C0646E"/>
    <w:rsid w:val="740479F2"/>
    <w:rsid w:val="741915E0"/>
    <w:rsid w:val="742222F5"/>
    <w:rsid w:val="74476126"/>
    <w:rsid w:val="74706664"/>
    <w:rsid w:val="7476258E"/>
    <w:rsid w:val="747F3682"/>
    <w:rsid w:val="749C4185"/>
    <w:rsid w:val="74A72312"/>
    <w:rsid w:val="74A9799A"/>
    <w:rsid w:val="74AC5479"/>
    <w:rsid w:val="74EE65C9"/>
    <w:rsid w:val="75067759"/>
    <w:rsid w:val="752E6DCD"/>
    <w:rsid w:val="7544443B"/>
    <w:rsid w:val="7551380D"/>
    <w:rsid w:val="75600BE5"/>
    <w:rsid w:val="7564475C"/>
    <w:rsid w:val="757E794D"/>
    <w:rsid w:val="7583797F"/>
    <w:rsid w:val="75B901FF"/>
    <w:rsid w:val="75BDC257"/>
    <w:rsid w:val="75BF7F65"/>
    <w:rsid w:val="75D15981"/>
    <w:rsid w:val="75D20F1D"/>
    <w:rsid w:val="75DA2C18"/>
    <w:rsid w:val="75F54412"/>
    <w:rsid w:val="761D08E0"/>
    <w:rsid w:val="765831EC"/>
    <w:rsid w:val="765D347C"/>
    <w:rsid w:val="76826699"/>
    <w:rsid w:val="76982C90"/>
    <w:rsid w:val="76984A3E"/>
    <w:rsid w:val="76C87133"/>
    <w:rsid w:val="76CD08D5"/>
    <w:rsid w:val="76DB4B92"/>
    <w:rsid w:val="77052AA4"/>
    <w:rsid w:val="77136511"/>
    <w:rsid w:val="77173BA2"/>
    <w:rsid w:val="77242776"/>
    <w:rsid w:val="77340A39"/>
    <w:rsid w:val="77351FD0"/>
    <w:rsid w:val="77472422"/>
    <w:rsid w:val="77731007"/>
    <w:rsid w:val="777F31F2"/>
    <w:rsid w:val="77850E64"/>
    <w:rsid w:val="77A411C1"/>
    <w:rsid w:val="77B21B30"/>
    <w:rsid w:val="77D1700D"/>
    <w:rsid w:val="77E26D03"/>
    <w:rsid w:val="77EC04CC"/>
    <w:rsid w:val="7819395D"/>
    <w:rsid w:val="78775729"/>
    <w:rsid w:val="789E3E62"/>
    <w:rsid w:val="78A42DB0"/>
    <w:rsid w:val="78A656AB"/>
    <w:rsid w:val="78B2245C"/>
    <w:rsid w:val="78C733B9"/>
    <w:rsid w:val="78DF4BA6"/>
    <w:rsid w:val="78E172CC"/>
    <w:rsid w:val="78EA1D1F"/>
    <w:rsid w:val="78FB5758"/>
    <w:rsid w:val="7904172F"/>
    <w:rsid w:val="790F7E27"/>
    <w:rsid w:val="791B40DF"/>
    <w:rsid w:val="792A231A"/>
    <w:rsid w:val="79316829"/>
    <w:rsid w:val="79491AFC"/>
    <w:rsid w:val="794F33AE"/>
    <w:rsid w:val="797352EE"/>
    <w:rsid w:val="797E66A9"/>
    <w:rsid w:val="798518A4"/>
    <w:rsid w:val="79876FEC"/>
    <w:rsid w:val="79A6379A"/>
    <w:rsid w:val="79A64F2C"/>
    <w:rsid w:val="79A97383"/>
    <w:rsid w:val="79C3550E"/>
    <w:rsid w:val="79CC49FF"/>
    <w:rsid w:val="79D467E0"/>
    <w:rsid w:val="79E27E8B"/>
    <w:rsid w:val="79F850CE"/>
    <w:rsid w:val="79FD443C"/>
    <w:rsid w:val="7A044199"/>
    <w:rsid w:val="7A1A1C0E"/>
    <w:rsid w:val="7A1D1975"/>
    <w:rsid w:val="7A284452"/>
    <w:rsid w:val="7A3E5150"/>
    <w:rsid w:val="7A4670D6"/>
    <w:rsid w:val="7A534B63"/>
    <w:rsid w:val="7A590F81"/>
    <w:rsid w:val="7A615382"/>
    <w:rsid w:val="7A67303B"/>
    <w:rsid w:val="7A790D1F"/>
    <w:rsid w:val="7AAB1D04"/>
    <w:rsid w:val="7ABA4368"/>
    <w:rsid w:val="7AD05746"/>
    <w:rsid w:val="7B046B46"/>
    <w:rsid w:val="7B257FFD"/>
    <w:rsid w:val="7B343476"/>
    <w:rsid w:val="7B533629"/>
    <w:rsid w:val="7B5A2978"/>
    <w:rsid w:val="7B5A7E4C"/>
    <w:rsid w:val="7B6263E2"/>
    <w:rsid w:val="7B667AF9"/>
    <w:rsid w:val="7B6F04EF"/>
    <w:rsid w:val="7B7468F8"/>
    <w:rsid w:val="7BA05819"/>
    <w:rsid w:val="7BA774D1"/>
    <w:rsid w:val="7BB80294"/>
    <w:rsid w:val="7BEE0103"/>
    <w:rsid w:val="7BFA3AA5"/>
    <w:rsid w:val="7C0A0FE4"/>
    <w:rsid w:val="7C254906"/>
    <w:rsid w:val="7C590818"/>
    <w:rsid w:val="7C7C10F6"/>
    <w:rsid w:val="7C853BEA"/>
    <w:rsid w:val="7C881368"/>
    <w:rsid w:val="7C8F68E3"/>
    <w:rsid w:val="7C947A56"/>
    <w:rsid w:val="7CB9294D"/>
    <w:rsid w:val="7CC55E61"/>
    <w:rsid w:val="7CE27788"/>
    <w:rsid w:val="7D0C32F1"/>
    <w:rsid w:val="7D0F408D"/>
    <w:rsid w:val="7D491C6C"/>
    <w:rsid w:val="7D5429C0"/>
    <w:rsid w:val="7D6E6D43"/>
    <w:rsid w:val="7DB57A34"/>
    <w:rsid w:val="7DD81B7D"/>
    <w:rsid w:val="7DD86F60"/>
    <w:rsid w:val="7DE60973"/>
    <w:rsid w:val="7DEC556A"/>
    <w:rsid w:val="7DEF0916"/>
    <w:rsid w:val="7E17093E"/>
    <w:rsid w:val="7E1E5218"/>
    <w:rsid w:val="7E232B02"/>
    <w:rsid w:val="7E2C3CBE"/>
    <w:rsid w:val="7E3808B5"/>
    <w:rsid w:val="7E3C2153"/>
    <w:rsid w:val="7E991353"/>
    <w:rsid w:val="7E9A4E1F"/>
    <w:rsid w:val="7EA7723A"/>
    <w:rsid w:val="7EB048EF"/>
    <w:rsid w:val="7EC253D9"/>
    <w:rsid w:val="7EEB5927"/>
    <w:rsid w:val="7EF56FBB"/>
    <w:rsid w:val="7F0768EB"/>
    <w:rsid w:val="7F143BEC"/>
    <w:rsid w:val="7F2A46A1"/>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5"/>
    <w:qFormat/>
    <w:uiPriority w:val="0"/>
    <w:pPr>
      <w:shd w:val="clear" w:color="auto" w:fill="000080"/>
    </w:pPr>
  </w:style>
  <w:style w:type="paragraph" w:styleId="20">
    <w:name w:val="annotation text"/>
    <w:basedOn w:val="1"/>
    <w:link w:val="347"/>
    <w:qFormat/>
    <w:uiPriority w:val="99"/>
    <w:pPr>
      <w:jc w:val="left"/>
    </w:pPr>
  </w:style>
  <w:style w:type="paragraph" w:styleId="21">
    <w:name w:val="Salutation"/>
    <w:basedOn w:val="1"/>
    <w:next w:val="1"/>
    <w:link w:val="301"/>
    <w:qFormat/>
    <w:uiPriority w:val="0"/>
    <w:rPr>
      <w:rFonts w:ascii="仿宋_GB2312" w:eastAsia="仿宋_GB2312"/>
      <w:sz w:val="28"/>
      <w:szCs w:val="20"/>
    </w:rPr>
  </w:style>
  <w:style w:type="paragraph" w:styleId="22">
    <w:name w:val="Body Text 3"/>
    <w:basedOn w:val="1"/>
    <w:link w:val="333"/>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3"/>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8"/>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8"/>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4"/>
    <w:qFormat/>
    <w:uiPriority w:val="0"/>
    <w:pPr>
      <w:ind w:left="100" w:leftChars="2500"/>
    </w:pPr>
    <w:rPr>
      <w:rFonts w:ascii="宋体"/>
      <w:sz w:val="24"/>
      <w:szCs w:val="21"/>
      <w:lang w:val="zh-CN"/>
    </w:rPr>
  </w:style>
  <w:style w:type="paragraph" w:styleId="37">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91"/>
    <w:qFormat/>
    <w:uiPriority w:val="0"/>
    <w:rPr>
      <w:sz w:val="18"/>
      <w:szCs w:val="18"/>
    </w:rPr>
  </w:style>
  <w:style w:type="paragraph" w:styleId="40">
    <w:name w:val="footer"/>
    <w:basedOn w:val="1"/>
    <w:link w:val="386"/>
    <w:qFormat/>
    <w:uiPriority w:val="99"/>
    <w:pPr>
      <w:tabs>
        <w:tab w:val="center" w:pos="4153"/>
        <w:tab w:val="right" w:pos="8306"/>
      </w:tabs>
      <w:snapToGrid w:val="0"/>
      <w:jc w:val="left"/>
    </w:pPr>
    <w:rPr>
      <w:sz w:val="18"/>
      <w:szCs w:val="18"/>
    </w:rPr>
  </w:style>
  <w:style w:type="paragraph" w:styleId="41">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13"/>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8"/>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5"/>
    <w:qFormat/>
    <w:uiPriority w:val="0"/>
    <w:pPr>
      <w:spacing w:after="120" w:line="480" w:lineRule="auto"/>
    </w:pPr>
  </w:style>
  <w:style w:type="paragraph" w:styleId="57">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9"/>
    <w:qFormat/>
    <w:uiPriority w:val="0"/>
    <w:rPr>
      <w:b/>
      <w:bCs/>
    </w:rPr>
  </w:style>
  <w:style w:type="paragraph" w:styleId="61">
    <w:name w:val="Body Text First Indent"/>
    <w:basedOn w:val="24"/>
    <w:next w:val="51"/>
    <w:link w:val="324"/>
    <w:qFormat/>
    <w:uiPriority w:val="0"/>
    <w:pPr>
      <w:ind w:firstLine="420"/>
    </w:pPr>
    <w:rPr>
      <w:rFonts w:hAnsi="Calibri" w:cs="Times New Roman"/>
      <w:snapToGrid/>
      <w:szCs w:val="20"/>
    </w:rPr>
  </w:style>
  <w:style w:type="paragraph" w:styleId="62">
    <w:name w:val="Body Text First Indent 2"/>
    <w:basedOn w:val="25"/>
    <w:link w:val="124"/>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82">
    <w:name w:val="样式 标题 1 + 四号 加粗"/>
    <w:basedOn w:val="3"/>
    <w:qFormat/>
    <w:uiPriority w:val="0"/>
  </w:style>
  <w:style w:type="paragraph" w:customStyle="1" w:styleId="83">
    <w:name w:val="正文空2字"/>
    <w:basedOn w:val="8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qFormat/>
    <w:uiPriority w:val="99"/>
    <w:rPr>
      <w:rFonts w:ascii="Calibri" w:hAnsi="Calibri" w:eastAsia="仿宋_GB2312" w:cs="Calibri"/>
      <w:kern w:val="2"/>
      <w:sz w:val="32"/>
      <w:szCs w:val="32"/>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字符"/>
    <w:link w:val="60"/>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62"/>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0"/>
    <w:qFormat/>
    <w:uiPriority w:val="0"/>
    <w:rPr>
      <w:rFonts w:ascii="Arial" w:hAnsi="Arial" w:eastAsia="黑体" w:cs="Arial"/>
      <w:snapToGrid w:val="0"/>
      <w:kern w:val="0"/>
      <w:szCs w:val="21"/>
    </w:rPr>
  </w:style>
  <w:style w:type="character" w:customStyle="1" w:styleId="128">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字符"/>
    <w:link w:val="47"/>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字符"/>
    <w:link w:val="8"/>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4"/>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字符"/>
    <w:link w:val="36"/>
    <w:qFormat/>
    <w:uiPriority w:val="0"/>
    <w:rPr>
      <w:rFonts w:ascii="宋体"/>
      <w:kern w:val="2"/>
      <w:sz w:val="24"/>
      <w:szCs w:val="21"/>
      <w:lang w:val="zh-CN"/>
    </w:rPr>
  </w:style>
  <w:style w:type="character" w:customStyle="1" w:styleId="185">
    <w:name w:val="标题 9 字符"/>
    <w:link w:val="11"/>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0"/>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字符1"/>
    <w:link w:val="39"/>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16"/>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字符"/>
    <w:link w:val="19"/>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0"/>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字符"/>
    <w:link w:val="30"/>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6"/>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字符"/>
    <w:link w:val="17"/>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列表段落1"/>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25"/>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59"/>
    <w:qFormat/>
    <w:uiPriority w:val="10"/>
    <w:rPr>
      <w:b/>
      <w:sz w:val="24"/>
      <w:lang w:val="en-GB"/>
    </w:rPr>
  </w:style>
  <w:style w:type="character" w:customStyle="1" w:styleId="290">
    <w:name w:val="font81"/>
    <w:basedOn w:val="70"/>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1"/>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57"/>
    <w:qFormat/>
    <w:uiPriority w:val="0"/>
    <w:rPr>
      <w:rFonts w:ascii="黑体" w:hAnsi="Courier New" w:eastAsia="黑体"/>
    </w:rPr>
  </w:style>
  <w:style w:type="character" w:customStyle="1" w:styleId="305">
    <w:name w:val="正文文本 2 字符1"/>
    <w:link w:val="56"/>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9"/>
    <w:qFormat/>
    <w:uiPriority w:val="0"/>
    <w:rPr>
      <w:b/>
      <w:bCs/>
      <w:kern w:val="2"/>
      <w:sz w:val="24"/>
      <w:szCs w:val="24"/>
    </w:rPr>
  </w:style>
  <w:style w:type="character" w:customStyle="1" w:styleId="311">
    <w:name w:val="正文文本缩进 2 字符"/>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50"/>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61"/>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2"/>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0"/>
    <w:qFormat/>
    <w:uiPriority w:val="0"/>
    <w:rPr>
      <w:kern w:val="2"/>
      <w:sz w:val="21"/>
      <w:szCs w:val="24"/>
    </w:rPr>
  </w:style>
  <w:style w:type="character" w:customStyle="1" w:styleId="348">
    <w:name w:val="签名 字符"/>
    <w:link w:val="42"/>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3"/>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0"/>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1"/>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0"/>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6"/>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4">
    <w:name w:val="gray6"/>
    <w:basedOn w:val="70"/>
    <w:qFormat/>
    <w:uiPriority w:val="0"/>
    <w:rPr>
      <w:rFonts w:ascii="Arial" w:hAnsi="Arial" w:eastAsia="黑体" w:cs="Arial"/>
      <w:snapToGrid w:val="0"/>
      <w:kern w:val="0"/>
      <w:szCs w:val="21"/>
    </w:rPr>
  </w:style>
  <w:style w:type="character" w:customStyle="1" w:styleId="435">
    <w:name w:val="hui"/>
    <w:basedOn w:val="70"/>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无间隔2"/>
    <w:basedOn w:val="1"/>
    <w:link w:val="934"/>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5"/>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80"/>
    <w:next w:val="1"/>
    <w:qFormat/>
    <w:uiPriority w:val="0"/>
    <w:pPr>
      <w:spacing w:after="156" w:afterLines="50"/>
      <w:jc w:val="left"/>
      <w:outlineLvl w:val="3"/>
    </w:pPr>
    <w:rPr>
      <w:sz w:val="24"/>
      <w:szCs w:val="24"/>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2"/>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2"/>
    <w:qFormat/>
    <w:uiPriority w:val="0"/>
    <w:pPr>
      <w:tabs>
        <w:tab w:val="left" w:pos="1260"/>
        <w:tab w:val="left" w:pos="1680"/>
        <w:tab w:val="left" w:pos="2100"/>
      </w:tabs>
      <w:ind w:left="0"/>
      <w:outlineLvl w:val="3"/>
    </w:pPr>
  </w:style>
  <w:style w:type="paragraph" w:customStyle="1" w:styleId="658">
    <w:name w:val="一级条标题"/>
    <w:basedOn w:val="659"/>
    <w:next w:val="642"/>
    <w:qFormat/>
    <w:uiPriority w:val="0"/>
    <w:pPr>
      <w:tabs>
        <w:tab w:val="left" w:pos="1260"/>
        <w:tab w:val="left" w:pos="1680"/>
      </w:tabs>
      <w:spacing w:before="0" w:beforeLines="0" w:after="0" w:afterLines="0"/>
      <w:ind w:left="1680"/>
      <w:outlineLvl w:val="2"/>
    </w:pPr>
  </w:style>
  <w:style w:type="paragraph" w:customStyle="1" w:styleId="659">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1"/>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1"/>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5"/>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8"/>
    <w:qFormat/>
    <w:uiPriority w:val="0"/>
    <w:rPr>
      <w:kern w:val="2"/>
      <w:sz w:val="21"/>
      <w:szCs w:val="24"/>
      <w:lang w:val="zh-CN"/>
    </w:rPr>
  </w:style>
  <w:style w:type="character" w:customStyle="1" w:styleId="934">
    <w:name w:val="无间隔 Char"/>
    <w:link w:val="486"/>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basedOn w:val="70"/>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font101"/>
    <w:basedOn w:val="70"/>
    <w:qFormat/>
    <w:uiPriority w:val="0"/>
    <w:rPr>
      <w:rFonts w:hint="default" w:ascii="Times New Roman" w:hAnsi="Times New Roman" w:cs="Times New Roman"/>
      <w:color w:val="000000"/>
      <w:sz w:val="20"/>
      <w:szCs w:val="20"/>
      <w:u w:val="none"/>
    </w:rPr>
  </w:style>
  <w:style w:type="character" w:customStyle="1" w:styleId="967">
    <w:name w:val="font111"/>
    <w:basedOn w:val="70"/>
    <w:qFormat/>
    <w:uiPriority w:val="0"/>
    <w:rPr>
      <w:rFonts w:hint="eastAsia" w:ascii="新宋体" w:hAnsi="新宋体" w:eastAsia="新宋体" w:cs="新宋体"/>
      <w:color w:val="000000"/>
      <w:sz w:val="20"/>
      <w:szCs w:val="20"/>
      <w:u w:val="none"/>
      <w:vertAlign w:val="superscript"/>
    </w:rPr>
  </w:style>
  <w:style w:type="character" w:customStyle="1" w:styleId="968">
    <w:name w:val="font112"/>
    <w:basedOn w:val="70"/>
    <w:qFormat/>
    <w:uiPriority w:val="0"/>
    <w:rPr>
      <w:rFonts w:hint="eastAsia" w:ascii="新宋体" w:hAnsi="新宋体" w:eastAsia="新宋体" w:cs="新宋体"/>
      <w:color w:val="000000"/>
      <w:sz w:val="20"/>
      <w:szCs w:val="20"/>
      <w:u w:val="none"/>
      <w:vertAlign w:val="superscript"/>
    </w:rPr>
  </w:style>
  <w:style w:type="paragraph" w:customStyle="1" w:styleId="969">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70">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png"/><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84</Pages>
  <Words>543</Words>
  <Characters>648</Characters>
  <Lines>429</Lines>
  <Paragraphs>120</Paragraphs>
  <TotalTime>1</TotalTime>
  <ScaleCrop>false</ScaleCrop>
  <LinksUpToDate>false</LinksUpToDate>
  <CharactersWithSpaces>757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zj</cp:lastModifiedBy>
  <cp:lastPrinted>2021-12-29T19:06:00Z</cp:lastPrinted>
  <dcterms:modified xsi:type="dcterms:W3CDTF">2025-07-12T08:49:03Z</dcterms:modified>
  <dc:title>杭州市市民卡扩大发卡工程</dc:title>
  <cp:revision>347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95C700422C8B44B0ABD294DF48145EA2_13</vt:lpwstr>
  </property>
  <property fmtid="{D5CDD505-2E9C-101B-9397-08002B2CF9AE}" pid="5" name="KSOTemplateDocerSaveRecord">
    <vt:lpwstr>eyJoZGlkIjoiODVlMmEwNzY2NWQ4OTViYjNiMDU0OGE4OTEwNzA5MzMiLCJ1c2VySWQiOiIzNTcyMzkxNDQifQ==</vt:lpwstr>
  </property>
</Properties>
</file>