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62C19">
      <w:pPr>
        <w:spacing w:line="420" w:lineRule="exact"/>
        <w:jc w:val="center"/>
        <w:rPr>
          <w:rFonts w:hint="eastAsia" w:ascii="宋体" w:hAnsi="宋体" w:eastAsia="宋体" w:cs="宋体"/>
          <w:b/>
          <w:sz w:val="44"/>
          <w:szCs w:val="44"/>
        </w:rPr>
      </w:pPr>
    </w:p>
    <w:p w14:paraId="5A93781E">
      <w:pPr>
        <w:pStyle w:val="2"/>
        <w:rPr>
          <w:rFonts w:hint="eastAsia" w:ascii="宋体" w:hAnsi="宋体" w:eastAsia="宋体" w:cs="宋体"/>
        </w:rPr>
      </w:pPr>
    </w:p>
    <w:p w14:paraId="49F972A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sz w:val="52"/>
          <w:szCs w:val="52"/>
        </w:rPr>
      </w:pPr>
      <w:r>
        <w:rPr>
          <w:rFonts w:hint="eastAsia" w:ascii="宋体" w:hAnsi="宋体" w:eastAsia="宋体" w:cs="宋体"/>
          <w:b/>
          <w:sz w:val="52"/>
          <w:szCs w:val="52"/>
        </w:rPr>
        <w:t>学院路道路工程（G525-雁塘路)-标识标牌采购与安装</w:t>
      </w:r>
    </w:p>
    <w:p w14:paraId="32260DF9">
      <w:pPr>
        <w:spacing w:line="600" w:lineRule="exact"/>
        <w:jc w:val="center"/>
        <w:rPr>
          <w:rFonts w:hint="eastAsia" w:ascii="宋体" w:hAnsi="宋体" w:eastAsia="宋体" w:cs="宋体"/>
          <w:b/>
          <w:sz w:val="52"/>
          <w:szCs w:val="52"/>
        </w:rPr>
      </w:pPr>
    </w:p>
    <w:p w14:paraId="289ADEE8">
      <w:pPr>
        <w:spacing w:line="600" w:lineRule="exact"/>
        <w:jc w:val="center"/>
        <w:rPr>
          <w:rFonts w:hint="eastAsia" w:ascii="宋体" w:hAnsi="宋体" w:eastAsia="宋体" w:cs="宋体"/>
          <w:b/>
          <w:sz w:val="52"/>
          <w:szCs w:val="52"/>
        </w:rPr>
      </w:pPr>
    </w:p>
    <w:p w14:paraId="47623D92">
      <w:pPr>
        <w:spacing w:line="600" w:lineRule="exact"/>
        <w:jc w:val="center"/>
        <w:rPr>
          <w:rFonts w:hint="eastAsia" w:ascii="宋体" w:hAnsi="宋体" w:eastAsia="宋体" w:cs="宋体"/>
          <w:b/>
          <w:sz w:val="52"/>
          <w:szCs w:val="52"/>
        </w:rPr>
      </w:pPr>
    </w:p>
    <w:p w14:paraId="34C1026F">
      <w:pPr>
        <w:rPr>
          <w:rFonts w:hint="eastAsia" w:ascii="宋体" w:hAnsi="宋体" w:eastAsia="宋体" w:cs="宋体"/>
          <w:b/>
          <w:sz w:val="52"/>
          <w:szCs w:val="52"/>
        </w:rPr>
      </w:pPr>
    </w:p>
    <w:p w14:paraId="7EEC8734">
      <w:pPr>
        <w:pStyle w:val="2"/>
        <w:rPr>
          <w:rFonts w:hint="eastAsia" w:ascii="宋体" w:hAnsi="宋体" w:eastAsia="宋体" w:cs="宋体"/>
        </w:rPr>
      </w:pPr>
    </w:p>
    <w:p w14:paraId="78F524A3">
      <w:pPr>
        <w:spacing w:before="240" w:beforeLines="10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招标文件</w:t>
      </w:r>
    </w:p>
    <w:p w14:paraId="09B0F77D">
      <w:pPr>
        <w:spacing w:line="600" w:lineRule="exact"/>
        <w:jc w:val="center"/>
        <w:rPr>
          <w:rFonts w:hint="eastAsia" w:ascii="宋体" w:hAnsi="宋体" w:eastAsia="宋体" w:cs="宋体"/>
          <w:b/>
          <w:sz w:val="52"/>
          <w:szCs w:val="52"/>
        </w:rPr>
      </w:pPr>
    </w:p>
    <w:p w14:paraId="1F0EC3DB">
      <w:pPr>
        <w:pStyle w:val="2"/>
        <w:rPr>
          <w:rFonts w:hint="eastAsia" w:ascii="宋体" w:hAnsi="宋体" w:eastAsia="宋体" w:cs="宋体"/>
          <w:b/>
          <w:sz w:val="52"/>
          <w:szCs w:val="52"/>
        </w:rPr>
      </w:pPr>
    </w:p>
    <w:p w14:paraId="18B38D40">
      <w:pPr>
        <w:rPr>
          <w:rFonts w:hint="eastAsia" w:ascii="宋体" w:hAnsi="宋体" w:eastAsia="宋体" w:cs="宋体"/>
          <w:b/>
          <w:sz w:val="52"/>
          <w:szCs w:val="52"/>
        </w:rPr>
      </w:pPr>
    </w:p>
    <w:p w14:paraId="7AFAFE86">
      <w:pPr>
        <w:pStyle w:val="2"/>
        <w:rPr>
          <w:rFonts w:hint="eastAsia" w:ascii="宋体" w:hAnsi="宋体" w:eastAsia="宋体" w:cs="宋体"/>
        </w:rPr>
      </w:pPr>
    </w:p>
    <w:p w14:paraId="5C74E1FD">
      <w:pPr>
        <w:spacing w:line="700" w:lineRule="exact"/>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学院路道路工程（G525-雁塘路)-标识标牌采购与安装</w:t>
      </w:r>
    </w:p>
    <w:p w14:paraId="082C2297">
      <w:pPr>
        <w:spacing w:line="700" w:lineRule="exact"/>
        <w:ind w:firstLine="1120" w:firstLineChars="4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项目编号：JDCG202501</w:t>
      </w:r>
      <w:r>
        <w:rPr>
          <w:rFonts w:hint="eastAsia" w:ascii="宋体" w:hAnsi="宋体" w:eastAsia="宋体" w:cs="宋体"/>
          <w:sz w:val="28"/>
          <w:szCs w:val="28"/>
          <w:highlight w:val="none"/>
          <w:lang w:val="en-US" w:eastAsia="zh-CN"/>
        </w:rPr>
        <w:t>9</w:t>
      </w:r>
    </w:p>
    <w:p w14:paraId="658A6CF1">
      <w:pPr>
        <w:spacing w:line="700" w:lineRule="exact"/>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采购方式：公开招标</w:t>
      </w:r>
    </w:p>
    <w:p w14:paraId="0313D776">
      <w:pPr>
        <w:spacing w:line="700" w:lineRule="exact"/>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采 购 人：海宁市盐仓综合开发有限公司</w:t>
      </w:r>
    </w:p>
    <w:p w14:paraId="3B2A84AE">
      <w:pPr>
        <w:spacing w:line="700" w:lineRule="exact"/>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采购代理机构：嘉兴锦大工程管理咨询有限公司</w:t>
      </w:r>
    </w:p>
    <w:p w14:paraId="3693C120">
      <w:pPr>
        <w:pStyle w:val="2"/>
        <w:ind w:left="0" w:leftChars="0" w:firstLine="0" w:firstLineChars="0"/>
        <w:rPr>
          <w:rFonts w:hint="eastAsia" w:ascii="宋体" w:hAnsi="宋体" w:eastAsia="宋体" w:cs="宋体"/>
        </w:rPr>
      </w:pPr>
    </w:p>
    <w:p w14:paraId="1861E2D6">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2025年</w:t>
      </w:r>
      <w:r>
        <w:rPr>
          <w:rFonts w:hint="eastAsia" w:ascii="宋体" w:hAnsi="宋体" w:cs="宋体"/>
          <w:b/>
          <w:bCs/>
          <w:sz w:val="28"/>
          <w:szCs w:val="28"/>
          <w:lang w:val="en-US" w:eastAsia="zh-CN"/>
        </w:rPr>
        <w:t>06</w:t>
      </w:r>
      <w:r>
        <w:rPr>
          <w:rFonts w:hint="eastAsia" w:ascii="宋体" w:hAnsi="宋体" w:eastAsia="宋体" w:cs="宋体"/>
          <w:b/>
          <w:bCs/>
          <w:sz w:val="28"/>
          <w:szCs w:val="28"/>
          <w:lang w:val="en-US" w:eastAsia="zh-CN"/>
        </w:rPr>
        <w:t>月</w:t>
      </w:r>
      <w:r>
        <w:rPr>
          <w:rFonts w:hint="eastAsia" w:ascii="宋体" w:hAnsi="宋体" w:cs="宋体"/>
          <w:b/>
          <w:bCs/>
          <w:sz w:val="28"/>
          <w:szCs w:val="28"/>
          <w:lang w:val="en-US" w:eastAsia="zh-CN"/>
        </w:rPr>
        <w:t>24</w:t>
      </w:r>
      <w:r>
        <w:rPr>
          <w:rFonts w:hint="eastAsia" w:ascii="宋体" w:hAnsi="宋体" w:eastAsia="宋体" w:cs="宋体"/>
          <w:b/>
          <w:bCs/>
          <w:sz w:val="28"/>
          <w:szCs w:val="28"/>
          <w:lang w:val="en-US" w:eastAsia="zh-CN"/>
        </w:rPr>
        <w:t>日</w:t>
      </w:r>
    </w:p>
    <w:p w14:paraId="07179DBD">
      <w:pPr>
        <w:spacing w:line="600" w:lineRule="exact"/>
        <w:jc w:val="center"/>
        <w:rPr>
          <w:rFonts w:hint="eastAsia" w:ascii="宋体" w:hAnsi="宋体" w:eastAsia="宋体" w:cs="宋体"/>
          <w:b/>
          <w:sz w:val="52"/>
          <w:szCs w:val="52"/>
        </w:rPr>
      </w:pPr>
    </w:p>
    <w:p w14:paraId="27425A49">
      <w:pPr>
        <w:spacing w:line="600" w:lineRule="exact"/>
        <w:jc w:val="center"/>
        <w:rPr>
          <w:rFonts w:hint="eastAsia" w:ascii="宋体" w:hAnsi="宋体" w:eastAsia="宋体" w:cs="宋体"/>
          <w:b/>
          <w:sz w:val="52"/>
          <w:szCs w:val="52"/>
        </w:rPr>
      </w:pPr>
    </w:p>
    <w:p w14:paraId="65F7DF25">
      <w:pPr>
        <w:spacing w:line="600" w:lineRule="exact"/>
        <w:jc w:val="center"/>
        <w:rPr>
          <w:rFonts w:hint="eastAsia" w:ascii="宋体" w:hAnsi="宋体" w:eastAsia="宋体" w:cs="宋体"/>
          <w:b/>
          <w:sz w:val="52"/>
          <w:szCs w:val="52"/>
        </w:rPr>
      </w:pPr>
      <w:r>
        <w:rPr>
          <w:rFonts w:hint="eastAsia" w:ascii="宋体" w:hAnsi="宋体" w:eastAsia="宋体" w:cs="宋体"/>
          <w:b/>
          <w:sz w:val="52"/>
          <w:szCs w:val="52"/>
        </w:rPr>
        <w:t>目        录</w:t>
      </w:r>
    </w:p>
    <w:p w14:paraId="0BEDFC6F">
      <w:pPr>
        <w:spacing w:line="320" w:lineRule="exact"/>
        <w:jc w:val="center"/>
        <w:rPr>
          <w:rFonts w:hint="eastAsia" w:ascii="宋体" w:hAnsi="宋体" w:eastAsia="宋体" w:cs="宋体"/>
          <w:b/>
          <w:sz w:val="44"/>
          <w:szCs w:val="44"/>
        </w:rPr>
      </w:pPr>
    </w:p>
    <w:p w14:paraId="36EE73CC">
      <w:pPr>
        <w:spacing w:line="320" w:lineRule="exact"/>
        <w:jc w:val="center"/>
        <w:rPr>
          <w:rFonts w:hint="eastAsia" w:ascii="宋体" w:hAnsi="宋体" w:eastAsia="宋体" w:cs="宋体"/>
          <w:b/>
          <w:sz w:val="44"/>
          <w:szCs w:val="44"/>
        </w:rPr>
      </w:pPr>
    </w:p>
    <w:p w14:paraId="3FA5469D">
      <w:pPr>
        <w:spacing w:line="320" w:lineRule="exact"/>
        <w:jc w:val="center"/>
        <w:rPr>
          <w:rFonts w:hint="eastAsia" w:ascii="宋体" w:hAnsi="宋体" w:eastAsia="宋体" w:cs="宋体"/>
          <w:b/>
          <w:sz w:val="44"/>
          <w:szCs w:val="44"/>
        </w:rPr>
      </w:pPr>
    </w:p>
    <w:p w14:paraId="61CFB860">
      <w:pPr>
        <w:pStyle w:val="12"/>
        <w:tabs>
          <w:tab w:val="right" w:leader="dot" w:pos="9639"/>
          <w:tab w:val="clear" w:pos="9629"/>
        </w:tabs>
        <w:rPr>
          <w:rFonts w:hint="eastAsia" w:ascii="宋体" w:hAnsi="宋体" w:eastAsia="宋体" w:cs="宋体"/>
        </w:rPr>
      </w:pPr>
      <w:r>
        <w:rPr>
          <w:rFonts w:hint="eastAsia" w:ascii="宋体" w:hAnsi="宋体" w:eastAsia="宋体" w:cs="宋体"/>
          <w:iCs/>
          <w:spacing w:val="20"/>
          <w:sz w:val="21"/>
          <w:szCs w:val="21"/>
        </w:rPr>
        <w:fldChar w:fldCharType="begin"/>
      </w:r>
      <w:r>
        <w:rPr>
          <w:rFonts w:hint="eastAsia" w:ascii="宋体" w:hAnsi="宋体" w:eastAsia="宋体" w:cs="宋体"/>
          <w:iCs/>
          <w:spacing w:val="20"/>
          <w:sz w:val="21"/>
          <w:szCs w:val="21"/>
        </w:rPr>
        <w:instrText xml:space="preserve"> TOC \o "1-2" \h \z \u </w:instrText>
      </w:r>
      <w:r>
        <w:rPr>
          <w:rFonts w:hint="eastAsia" w:ascii="宋体" w:hAnsi="宋体" w:eastAsia="宋体" w:cs="宋体"/>
          <w:iCs/>
          <w:spacing w:val="20"/>
          <w:sz w:val="21"/>
          <w:szCs w:val="21"/>
        </w:rPr>
        <w:fldChar w:fldCharType="separate"/>
      </w:r>
      <w:r>
        <w:rPr>
          <w:rFonts w:hint="eastAsia" w:ascii="宋体" w:hAnsi="宋体" w:eastAsia="宋体" w:cs="宋体"/>
          <w:iCs/>
          <w:spacing w:val="20"/>
          <w:szCs w:val="21"/>
        </w:rPr>
        <w:fldChar w:fldCharType="begin"/>
      </w:r>
      <w:r>
        <w:rPr>
          <w:rFonts w:hint="eastAsia" w:ascii="宋体" w:hAnsi="宋体" w:eastAsia="宋体" w:cs="宋体"/>
          <w:iCs/>
          <w:spacing w:val="20"/>
          <w:szCs w:val="21"/>
        </w:rPr>
        <w:instrText xml:space="preserve"> HYPERLINK \l _Toc2810 </w:instrText>
      </w:r>
      <w:r>
        <w:rPr>
          <w:rFonts w:hint="eastAsia" w:ascii="宋体" w:hAnsi="宋体" w:eastAsia="宋体" w:cs="宋体"/>
          <w:iCs/>
          <w:spacing w:val="20"/>
          <w:szCs w:val="21"/>
        </w:rPr>
        <w:fldChar w:fldCharType="separate"/>
      </w:r>
      <w:r>
        <w:rPr>
          <w:rFonts w:hint="eastAsia" w:ascii="宋体" w:hAnsi="宋体" w:eastAsia="宋体" w:cs="宋体"/>
          <w:szCs w:val="32"/>
        </w:rPr>
        <w:t>第一章  公开招标采购公告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iCs/>
          <w:spacing w:val="20"/>
          <w:szCs w:val="21"/>
        </w:rPr>
        <w:fldChar w:fldCharType="end"/>
      </w:r>
    </w:p>
    <w:p w14:paraId="39222ED6">
      <w:pPr>
        <w:pStyle w:val="12"/>
        <w:tabs>
          <w:tab w:val="right" w:leader="dot" w:pos="9639"/>
          <w:tab w:val="clear" w:pos="9629"/>
        </w:tabs>
        <w:rPr>
          <w:rFonts w:hint="eastAsia" w:ascii="宋体" w:hAnsi="宋体" w:eastAsia="宋体" w:cs="宋体"/>
        </w:rPr>
      </w:pPr>
      <w:r>
        <w:rPr>
          <w:rFonts w:hint="eastAsia" w:ascii="宋体" w:hAnsi="宋体" w:eastAsia="宋体" w:cs="宋体"/>
          <w:iCs/>
          <w:caps w:val="0"/>
          <w:spacing w:val="20"/>
        </w:rPr>
        <w:fldChar w:fldCharType="begin"/>
      </w:r>
      <w:r>
        <w:rPr>
          <w:rFonts w:hint="eastAsia" w:ascii="宋体" w:hAnsi="宋体" w:eastAsia="宋体" w:cs="宋体"/>
          <w:iCs/>
          <w:caps w:val="0"/>
          <w:spacing w:val="20"/>
        </w:rPr>
        <w:instrText xml:space="preserve"> HYPERLINK \l _Toc17931 </w:instrText>
      </w:r>
      <w:r>
        <w:rPr>
          <w:rFonts w:hint="eastAsia" w:ascii="宋体" w:hAnsi="宋体" w:eastAsia="宋体" w:cs="宋体"/>
          <w:iCs/>
          <w:caps w:val="0"/>
          <w:spacing w:val="20"/>
        </w:rPr>
        <w:fldChar w:fldCharType="separate"/>
      </w:r>
      <w:r>
        <w:rPr>
          <w:rFonts w:hint="eastAsia" w:ascii="宋体" w:hAnsi="宋体" w:eastAsia="宋体" w:cs="宋体"/>
          <w:szCs w:val="32"/>
        </w:rPr>
        <w:t>第二章  招标需求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_Toc17931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iCs/>
          <w:caps w:val="0"/>
          <w:spacing w:val="20"/>
        </w:rPr>
        <w:fldChar w:fldCharType="end"/>
      </w:r>
    </w:p>
    <w:p w14:paraId="2CE06F26">
      <w:pPr>
        <w:pStyle w:val="12"/>
        <w:tabs>
          <w:tab w:val="right" w:leader="dot" w:pos="9639"/>
          <w:tab w:val="clear" w:pos="9629"/>
        </w:tabs>
        <w:rPr>
          <w:rFonts w:hint="eastAsia" w:ascii="宋体" w:hAnsi="宋体" w:eastAsia="宋体" w:cs="宋体"/>
        </w:rPr>
      </w:pPr>
      <w:r>
        <w:rPr>
          <w:rFonts w:hint="eastAsia" w:ascii="宋体" w:hAnsi="宋体" w:eastAsia="宋体" w:cs="宋体"/>
          <w:iCs/>
          <w:caps w:val="0"/>
          <w:spacing w:val="20"/>
        </w:rPr>
        <w:fldChar w:fldCharType="begin"/>
      </w:r>
      <w:r>
        <w:rPr>
          <w:rFonts w:hint="eastAsia" w:ascii="宋体" w:hAnsi="宋体" w:eastAsia="宋体" w:cs="宋体"/>
          <w:iCs/>
          <w:caps w:val="0"/>
          <w:spacing w:val="20"/>
        </w:rPr>
        <w:instrText xml:space="preserve"> HYPERLINK \l _Toc14615 </w:instrText>
      </w:r>
      <w:r>
        <w:rPr>
          <w:rFonts w:hint="eastAsia" w:ascii="宋体" w:hAnsi="宋体" w:eastAsia="宋体" w:cs="宋体"/>
          <w:iCs/>
          <w:caps w:val="0"/>
          <w:spacing w:val="20"/>
        </w:rPr>
        <w:fldChar w:fldCharType="separate"/>
      </w:r>
      <w:r>
        <w:rPr>
          <w:rFonts w:hint="eastAsia" w:ascii="宋体" w:hAnsi="宋体" w:eastAsia="宋体" w:cs="宋体"/>
          <w:szCs w:val="32"/>
        </w:rPr>
        <w:t>第三章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_Toc14615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iCs/>
          <w:caps w:val="0"/>
          <w:spacing w:val="20"/>
        </w:rPr>
        <w:fldChar w:fldCharType="end"/>
      </w:r>
    </w:p>
    <w:p w14:paraId="22DCC276">
      <w:pPr>
        <w:pStyle w:val="12"/>
        <w:tabs>
          <w:tab w:val="right" w:leader="dot" w:pos="9639"/>
          <w:tab w:val="clear" w:pos="9629"/>
        </w:tabs>
        <w:rPr>
          <w:rFonts w:hint="eastAsia" w:ascii="宋体" w:hAnsi="宋体" w:eastAsia="宋体" w:cs="宋体"/>
        </w:rPr>
      </w:pPr>
      <w:r>
        <w:rPr>
          <w:rFonts w:hint="eastAsia" w:ascii="宋体" w:hAnsi="宋体" w:eastAsia="宋体" w:cs="宋体"/>
          <w:iCs/>
          <w:caps w:val="0"/>
          <w:spacing w:val="20"/>
        </w:rPr>
        <w:fldChar w:fldCharType="begin"/>
      </w:r>
      <w:r>
        <w:rPr>
          <w:rFonts w:hint="eastAsia" w:ascii="宋体" w:hAnsi="宋体" w:eastAsia="宋体" w:cs="宋体"/>
          <w:iCs/>
          <w:caps w:val="0"/>
          <w:spacing w:val="20"/>
        </w:rPr>
        <w:instrText xml:space="preserve"> HYPERLINK \l _Toc22763 </w:instrText>
      </w:r>
      <w:r>
        <w:rPr>
          <w:rFonts w:hint="eastAsia" w:ascii="宋体" w:hAnsi="宋体" w:eastAsia="宋体" w:cs="宋体"/>
          <w:iCs/>
          <w:caps w:val="0"/>
          <w:spacing w:val="20"/>
        </w:rPr>
        <w:fldChar w:fldCharType="separate"/>
      </w:r>
      <w:r>
        <w:rPr>
          <w:rFonts w:hint="eastAsia" w:ascii="宋体" w:hAnsi="宋体" w:eastAsia="宋体" w:cs="宋体"/>
          <w:szCs w:val="32"/>
        </w:rPr>
        <w:t xml:space="preserve">第四章 </w:t>
      </w:r>
      <w:r>
        <w:rPr>
          <w:rFonts w:hint="eastAsia" w:ascii="宋体" w:hAnsi="宋体" w:eastAsia="宋体" w:cs="宋体"/>
          <w:szCs w:val="32"/>
          <w:lang w:val="en-US" w:eastAsia="zh-CN"/>
        </w:rPr>
        <w:t xml:space="preserve"> </w:t>
      </w:r>
      <w:r>
        <w:rPr>
          <w:rFonts w:hint="eastAsia" w:ascii="宋体" w:hAnsi="宋体" w:eastAsia="宋体" w:cs="宋体"/>
          <w:szCs w:val="32"/>
        </w:rPr>
        <w:t>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_Toc22763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iCs/>
          <w:caps w:val="0"/>
          <w:spacing w:val="20"/>
        </w:rPr>
        <w:fldChar w:fldCharType="end"/>
      </w:r>
    </w:p>
    <w:p w14:paraId="38207BA6">
      <w:pPr>
        <w:pStyle w:val="12"/>
        <w:tabs>
          <w:tab w:val="right" w:leader="dot" w:pos="9639"/>
          <w:tab w:val="clear" w:pos="9629"/>
        </w:tabs>
        <w:rPr>
          <w:rFonts w:hint="eastAsia" w:ascii="宋体" w:hAnsi="宋体" w:eastAsia="宋体" w:cs="宋体"/>
        </w:rPr>
      </w:pPr>
      <w:r>
        <w:rPr>
          <w:rFonts w:hint="eastAsia" w:ascii="宋体" w:hAnsi="宋体" w:eastAsia="宋体" w:cs="宋体"/>
          <w:iCs/>
          <w:caps w:val="0"/>
          <w:spacing w:val="20"/>
        </w:rPr>
        <w:fldChar w:fldCharType="begin"/>
      </w:r>
      <w:r>
        <w:rPr>
          <w:rFonts w:hint="eastAsia" w:ascii="宋体" w:hAnsi="宋体" w:eastAsia="宋体" w:cs="宋体"/>
          <w:iCs/>
          <w:caps w:val="0"/>
          <w:spacing w:val="20"/>
        </w:rPr>
        <w:instrText xml:space="preserve"> HYPERLINK \l _Toc7545 </w:instrText>
      </w:r>
      <w:r>
        <w:rPr>
          <w:rFonts w:hint="eastAsia" w:ascii="宋体" w:hAnsi="宋体" w:eastAsia="宋体" w:cs="宋体"/>
          <w:iCs/>
          <w:caps w:val="0"/>
          <w:spacing w:val="20"/>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五</w:t>
      </w:r>
      <w:r>
        <w:rPr>
          <w:rFonts w:hint="eastAsia" w:ascii="宋体" w:hAnsi="宋体" w:eastAsia="宋体" w:cs="宋体"/>
          <w:szCs w:val="32"/>
        </w:rPr>
        <w:t>章  投标格式及要求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_Toc7545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iCs/>
          <w:caps w:val="0"/>
          <w:spacing w:val="20"/>
        </w:rPr>
        <w:fldChar w:fldCharType="end"/>
      </w:r>
    </w:p>
    <w:p w14:paraId="172C8017">
      <w:pPr>
        <w:spacing w:line="480" w:lineRule="auto"/>
        <w:rPr>
          <w:rFonts w:hint="eastAsia" w:ascii="宋体" w:hAnsi="宋体" w:eastAsia="宋体" w:cs="宋体"/>
          <w:b/>
          <w:iCs/>
          <w:caps/>
          <w:spacing w:val="20"/>
        </w:rPr>
      </w:pPr>
      <w:r>
        <w:rPr>
          <w:rFonts w:hint="eastAsia" w:ascii="宋体" w:hAnsi="宋体" w:eastAsia="宋体" w:cs="宋体"/>
          <w:iCs/>
          <w:caps/>
          <w:spacing w:val="20"/>
        </w:rPr>
        <w:fldChar w:fldCharType="end"/>
      </w:r>
      <w:bookmarkStart w:id="0" w:name="_Toc87670362"/>
      <w:bookmarkStart w:id="1" w:name="_Toc178668979"/>
    </w:p>
    <w:p w14:paraId="7ACB4E30">
      <w:pPr>
        <w:pStyle w:val="3"/>
        <w:pageBreakBefore w:val="0"/>
        <w:kinsoku/>
        <w:wordWrap/>
        <w:overflowPunct/>
        <w:topLinePunct w:val="0"/>
        <w:autoSpaceDE/>
        <w:autoSpaceDN/>
        <w:bidi w:val="0"/>
        <w:adjustRightInd/>
        <w:snapToGrid/>
        <w:spacing w:before="10" w:after="10" w:line="500" w:lineRule="exact"/>
        <w:ind w:firstLine="0" w:firstLineChars="0"/>
        <w:jc w:val="center"/>
        <w:textAlignment w:val="auto"/>
        <w:rPr>
          <w:rFonts w:hint="eastAsia" w:ascii="宋体" w:hAnsi="宋体" w:eastAsia="宋体" w:cs="宋体"/>
          <w:szCs w:val="21"/>
        </w:rPr>
      </w:pPr>
      <w:r>
        <w:rPr>
          <w:rFonts w:hint="eastAsia" w:ascii="宋体" w:hAnsi="宋体" w:eastAsia="宋体" w:cs="宋体"/>
          <w:bCs w:val="0"/>
          <w:kern w:val="2"/>
          <w:sz w:val="28"/>
          <w:szCs w:val="20"/>
        </w:rPr>
        <w:br w:type="page"/>
      </w:r>
      <w:bookmarkStart w:id="2" w:name="_Toc2810"/>
      <w:r>
        <w:rPr>
          <w:rFonts w:hint="eastAsia" w:ascii="宋体" w:hAnsi="宋体" w:eastAsia="宋体" w:cs="宋体"/>
          <w:bCs w:val="0"/>
          <w:kern w:val="2"/>
          <w:sz w:val="30"/>
          <w:szCs w:val="30"/>
        </w:rPr>
        <w:t>第一章  公开招标采购公告</w:t>
      </w:r>
      <w:bookmarkEnd w:id="0"/>
      <w:bookmarkEnd w:id="1"/>
      <w:bookmarkEnd w:id="2"/>
      <w:bookmarkStart w:id="3" w:name="_Toc178668980"/>
      <w:bookmarkStart w:id="4" w:name="_Toc87670364"/>
      <w:bookmarkStart w:id="5" w:name="_Toc69286125"/>
      <w:bookmarkStart w:id="6" w:name="_Toc69702133"/>
      <w:bookmarkStart w:id="7" w:name="_Toc69286635"/>
    </w:p>
    <w:p w14:paraId="0A34F4B5">
      <w:pPr>
        <w:pStyle w:val="17"/>
        <w:keepNext w:val="0"/>
        <w:keepLines w:val="0"/>
        <w:pageBreakBefore w:val="0"/>
        <w:kinsoku/>
        <w:wordWrap/>
        <w:overflowPunct/>
        <w:topLinePunct w:val="0"/>
        <w:autoSpaceDE/>
        <w:autoSpaceDN/>
        <w:bidi w:val="0"/>
        <w:adjustRightInd/>
        <w:spacing w:after="0" w:afterLines="0" w:line="500" w:lineRule="exact"/>
        <w:ind w:left="0" w:leftChars="0" w:firstLine="420" w:firstLineChars="200"/>
        <w:textAlignment w:val="auto"/>
        <w:rPr>
          <w:rFonts w:hint="eastAsia" w:ascii="宋体" w:hAnsi="宋体" w:eastAsia="宋体" w:cs="宋体"/>
          <w:kern w:val="2"/>
          <w:sz w:val="21"/>
          <w:szCs w:val="21"/>
        </w:rPr>
      </w:pPr>
      <w:bookmarkStart w:id="8" w:name="OLE_LINK1"/>
      <w:bookmarkStart w:id="9" w:name="OLE_LINK2"/>
      <w:r>
        <w:rPr>
          <w:rFonts w:hint="eastAsia" w:ascii="宋体" w:hAnsi="宋体" w:eastAsia="宋体" w:cs="宋体"/>
          <w:kern w:val="2"/>
          <w:sz w:val="21"/>
          <w:szCs w:val="21"/>
          <w:u w:val="single"/>
          <w:lang w:eastAsia="zh-CN"/>
        </w:rPr>
        <w:t>嘉兴锦大工程管理咨询有限公司</w:t>
      </w:r>
      <w:r>
        <w:rPr>
          <w:rFonts w:hint="eastAsia" w:ascii="宋体" w:hAnsi="宋体" w:eastAsia="宋体" w:cs="宋体"/>
          <w:kern w:val="2"/>
          <w:sz w:val="21"/>
          <w:szCs w:val="21"/>
        </w:rPr>
        <w:t>受</w:t>
      </w:r>
      <w:r>
        <w:rPr>
          <w:rFonts w:hint="eastAsia" w:ascii="宋体" w:hAnsi="宋体" w:eastAsia="宋体" w:cs="宋体"/>
          <w:kern w:val="2"/>
          <w:sz w:val="21"/>
          <w:szCs w:val="21"/>
          <w:u w:val="single"/>
          <w:lang w:eastAsia="zh-CN"/>
        </w:rPr>
        <w:t>海宁市盐仓综合开发有限公司</w:t>
      </w:r>
      <w:r>
        <w:rPr>
          <w:rFonts w:hint="eastAsia" w:ascii="宋体" w:hAnsi="宋体" w:eastAsia="宋体" w:cs="宋体"/>
          <w:kern w:val="2"/>
          <w:sz w:val="21"/>
          <w:szCs w:val="21"/>
        </w:rPr>
        <w:t>委托，现就</w:t>
      </w:r>
      <w:r>
        <w:rPr>
          <w:rFonts w:hint="eastAsia" w:ascii="宋体" w:hAnsi="宋体" w:eastAsia="宋体" w:cs="宋体"/>
          <w:kern w:val="2"/>
          <w:sz w:val="21"/>
          <w:szCs w:val="21"/>
          <w:u w:val="single"/>
          <w:lang w:eastAsia="zh-CN"/>
        </w:rPr>
        <w:t>学院路道路工程（G525-雁塘路)-标识标牌采购与安装</w:t>
      </w:r>
      <w:r>
        <w:rPr>
          <w:rFonts w:hint="eastAsia" w:ascii="宋体" w:hAnsi="宋体" w:eastAsia="宋体" w:cs="宋体"/>
          <w:kern w:val="2"/>
          <w:sz w:val="21"/>
          <w:szCs w:val="21"/>
        </w:rPr>
        <w:t>进行公开招标采购，欢迎国内合格投标人前来投标，现将有关事项公告如下：</w:t>
      </w:r>
    </w:p>
    <w:p w14:paraId="3E8737AB">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宋体" w:hAnsi="宋体" w:eastAsia="宋体" w:cs="宋体"/>
          <w:szCs w:val="21"/>
          <w:lang w:eastAsia="zh-CN"/>
        </w:rPr>
      </w:pPr>
      <w:r>
        <w:rPr>
          <w:rFonts w:hint="eastAsia" w:ascii="宋体" w:hAnsi="宋体" w:eastAsia="宋体" w:cs="宋体"/>
          <w:b/>
          <w:szCs w:val="21"/>
        </w:rPr>
        <w:t>一、项目编号：</w:t>
      </w:r>
      <w:r>
        <w:rPr>
          <w:rFonts w:hint="eastAsia" w:ascii="宋体" w:hAnsi="宋体" w:eastAsia="宋体" w:cs="宋体"/>
          <w:szCs w:val="21"/>
          <w:lang w:eastAsia="zh-CN"/>
        </w:rPr>
        <w:t>JDCG2025019</w:t>
      </w:r>
    </w:p>
    <w:p w14:paraId="50D05E0D">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宋体" w:hAnsi="宋体" w:eastAsia="宋体" w:cs="宋体"/>
          <w:szCs w:val="21"/>
        </w:rPr>
      </w:pPr>
      <w:r>
        <w:rPr>
          <w:rFonts w:hint="eastAsia" w:ascii="宋体" w:hAnsi="宋体" w:eastAsia="宋体" w:cs="宋体"/>
          <w:b/>
          <w:szCs w:val="21"/>
        </w:rPr>
        <w:t>二、采购组织类型：</w:t>
      </w:r>
      <w:r>
        <w:rPr>
          <w:rFonts w:hint="eastAsia" w:ascii="宋体" w:hAnsi="宋体" w:eastAsia="宋体" w:cs="宋体"/>
          <w:szCs w:val="21"/>
        </w:rPr>
        <w:t>委托代理</w:t>
      </w:r>
    </w:p>
    <w:p w14:paraId="602C921A">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宋体" w:hAnsi="宋体" w:eastAsia="宋体" w:cs="宋体"/>
          <w:szCs w:val="21"/>
        </w:rPr>
      </w:pPr>
      <w:r>
        <w:rPr>
          <w:rFonts w:hint="eastAsia" w:ascii="宋体" w:hAnsi="宋体" w:eastAsia="宋体" w:cs="宋体"/>
          <w:b/>
          <w:szCs w:val="21"/>
        </w:rPr>
        <w:t>三、采购方式：</w:t>
      </w:r>
      <w:r>
        <w:rPr>
          <w:rFonts w:hint="eastAsia" w:ascii="宋体" w:hAnsi="宋体" w:eastAsia="宋体" w:cs="宋体"/>
          <w:szCs w:val="21"/>
        </w:rPr>
        <w:t>公开招标</w:t>
      </w:r>
    </w:p>
    <w:p w14:paraId="7B710F73">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auto"/>
        <w:rPr>
          <w:rFonts w:hint="eastAsia" w:ascii="宋体" w:hAnsi="宋体" w:eastAsia="宋体" w:cs="宋体"/>
          <w:szCs w:val="21"/>
          <w:lang w:eastAsia="zh-CN"/>
        </w:rPr>
      </w:pPr>
      <w:r>
        <w:rPr>
          <w:rFonts w:hint="eastAsia" w:ascii="宋体" w:hAnsi="宋体" w:eastAsia="宋体" w:cs="宋体"/>
          <w:b/>
          <w:szCs w:val="21"/>
        </w:rPr>
        <w:t>四、招标项目:</w:t>
      </w:r>
      <w:bookmarkStart w:id="10" w:name="OLE_LINK45"/>
      <w:bookmarkStart w:id="11" w:name="OLE_LINK46"/>
      <w:r>
        <w:rPr>
          <w:rFonts w:hint="eastAsia" w:ascii="宋体" w:hAnsi="宋体" w:eastAsia="宋体" w:cs="宋体"/>
        </w:rPr>
        <w:t xml:space="preserve"> </w:t>
      </w:r>
      <w:bookmarkEnd w:id="10"/>
      <w:bookmarkEnd w:id="11"/>
      <w:bookmarkStart w:id="12" w:name="OLE_LINK13"/>
      <w:bookmarkStart w:id="13" w:name="OLE_LINK14"/>
      <w:r>
        <w:rPr>
          <w:rFonts w:hint="eastAsia" w:ascii="宋体" w:hAnsi="宋体" w:eastAsia="宋体" w:cs="宋体"/>
          <w:szCs w:val="21"/>
          <w:lang w:eastAsia="zh-CN"/>
        </w:rPr>
        <w:t>学院路道路工程（G525-雁塘路)-标识标牌采购与安装</w:t>
      </w:r>
    </w:p>
    <w:bookmarkEnd w:id="12"/>
    <w:bookmarkEnd w:id="13"/>
    <w:p w14:paraId="2451A54C">
      <w:pPr>
        <w:keepNext w:val="0"/>
        <w:keepLines w:val="0"/>
        <w:pageBreakBefore w:val="0"/>
        <w:kinsoku/>
        <w:wordWrap/>
        <w:overflowPunct/>
        <w:topLinePunct w:val="0"/>
        <w:autoSpaceDE/>
        <w:autoSpaceDN/>
        <w:bidi w:val="0"/>
        <w:adjustRightInd/>
        <w:spacing w:line="500" w:lineRule="exact"/>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五、招标采购内容及预算：</w:t>
      </w:r>
    </w:p>
    <w:tbl>
      <w:tblPr>
        <w:tblStyle w:val="14"/>
        <w:tblW w:w="9421" w:type="dxa"/>
        <w:tblInd w:w="3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3168"/>
        <w:gridCol w:w="851"/>
        <w:gridCol w:w="850"/>
        <w:gridCol w:w="1701"/>
        <w:gridCol w:w="2126"/>
      </w:tblGrid>
      <w:tr w14:paraId="4D7F1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30CA4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rPr>
            </w:pPr>
            <w:r>
              <w:rPr>
                <w:rFonts w:hint="eastAsia" w:ascii="宋体" w:hAnsi="宋体" w:eastAsia="宋体" w:cs="宋体"/>
                <w:bCs/>
              </w:rPr>
              <w:t>标项</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281CC7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rPr>
            </w:pPr>
            <w:r>
              <w:rPr>
                <w:rFonts w:hint="eastAsia" w:ascii="宋体" w:hAnsi="宋体" w:eastAsia="宋体" w:cs="宋体"/>
                <w:bCs/>
              </w:rPr>
              <w:t>采购内容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3169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Cs w:val="21"/>
              </w:rPr>
            </w:pPr>
            <w:r>
              <w:rPr>
                <w:rFonts w:hint="eastAsia" w:ascii="宋体" w:hAnsi="宋体" w:eastAsia="宋体" w:cs="宋体"/>
                <w:szCs w:val="21"/>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6AB3D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Cs w:val="21"/>
              </w:rPr>
            </w:pPr>
            <w:r>
              <w:rPr>
                <w:rFonts w:hint="eastAsia" w:ascii="宋体" w:hAnsi="宋体" w:eastAsia="宋体" w:cs="宋体"/>
                <w:szCs w:val="21"/>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5D74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Cs w:val="21"/>
              </w:rPr>
            </w:pPr>
            <w:r>
              <w:rPr>
                <w:rFonts w:hint="eastAsia" w:ascii="宋体" w:hAnsi="宋体" w:eastAsia="宋体" w:cs="宋体"/>
                <w:szCs w:val="21"/>
              </w:rPr>
              <w:t>预算金额</w:t>
            </w:r>
          </w:p>
          <w:p w14:paraId="73950C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Cs w:val="21"/>
              </w:rPr>
            </w:pPr>
            <w:r>
              <w:rPr>
                <w:rFonts w:hint="eastAsia" w:ascii="宋体" w:hAnsi="宋体" w:eastAsia="宋体" w:cs="宋体"/>
                <w:szCs w:val="21"/>
              </w:rPr>
              <w:t>（万元）</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C5E3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Cs w:val="21"/>
              </w:rPr>
            </w:pPr>
            <w:r>
              <w:rPr>
                <w:rFonts w:hint="eastAsia" w:ascii="宋体" w:hAnsi="宋体" w:eastAsia="宋体" w:cs="宋体"/>
                <w:szCs w:val="21"/>
              </w:rPr>
              <w:t>采购人</w:t>
            </w:r>
          </w:p>
        </w:tc>
      </w:tr>
      <w:tr w14:paraId="2D70A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57613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rPr>
            </w:pPr>
            <w:r>
              <w:rPr>
                <w:rFonts w:hint="eastAsia" w:ascii="宋体" w:hAnsi="宋体" w:eastAsia="宋体" w:cs="宋体"/>
                <w:bCs/>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3621DD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lang w:eastAsia="zh-CN"/>
              </w:rPr>
            </w:pPr>
            <w:r>
              <w:rPr>
                <w:rFonts w:hint="eastAsia" w:ascii="宋体" w:hAnsi="宋体" w:eastAsia="宋体" w:cs="宋体"/>
                <w:szCs w:val="21"/>
                <w:lang w:eastAsia="zh-CN"/>
              </w:rPr>
              <w:t>学院路道路工程（G525-雁塘路)-标识标牌采购与安装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8A6A2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rPr>
            </w:pPr>
            <w:r>
              <w:rPr>
                <w:rFonts w:hint="eastAsia" w:ascii="宋体" w:hAnsi="宋体" w:eastAsia="宋体" w:cs="宋体"/>
                <w:bCs/>
              </w:rPr>
              <w:t>项</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26E0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rPr>
            </w:pPr>
            <w:r>
              <w:rPr>
                <w:rFonts w:hint="eastAsia" w:ascii="宋体" w:hAnsi="宋体" w:eastAsia="宋体" w:cs="宋体"/>
                <w:bCs/>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D135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Cs/>
                <w:lang w:val="en-US" w:eastAsia="zh-CN"/>
              </w:rPr>
            </w:pPr>
            <w:r>
              <w:rPr>
                <w:rFonts w:hint="eastAsia" w:ascii="宋体" w:hAnsi="宋体" w:cs="宋体"/>
                <w:bCs/>
                <w:lang w:val="en-US" w:eastAsia="zh-CN"/>
              </w:rPr>
              <w:t>43</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AA5AB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rPr>
            </w:pPr>
            <w:r>
              <w:rPr>
                <w:rFonts w:hint="eastAsia" w:ascii="宋体" w:hAnsi="宋体" w:eastAsia="宋体" w:cs="宋体"/>
                <w:szCs w:val="21"/>
                <w:lang w:eastAsia="zh-CN"/>
              </w:rPr>
              <w:t>海宁市盐仓综合开发有限公司</w:t>
            </w:r>
            <w:r>
              <w:rPr>
                <w:rFonts w:hint="eastAsia" w:ascii="宋体" w:hAnsi="宋体" w:eastAsia="宋体" w:cs="宋体"/>
                <w:szCs w:val="21"/>
              </w:rPr>
              <w:t xml:space="preserve"> </w:t>
            </w:r>
          </w:p>
        </w:tc>
      </w:tr>
    </w:tbl>
    <w:p w14:paraId="6B33284C">
      <w:pPr>
        <w:keepNext w:val="0"/>
        <w:keepLines w:val="0"/>
        <w:pageBreakBefore w:val="0"/>
        <w:kinsoku/>
        <w:wordWrap/>
        <w:overflowPunct/>
        <w:topLinePunct w:val="0"/>
        <w:autoSpaceDE/>
        <w:autoSpaceDN/>
        <w:bidi w:val="0"/>
        <w:adjustRightInd/>
        <w:snapToGrid w:val="0"/>
        <w:spacing w:line="500" w:lineRule="exact"/>
        <w:ind w:left="0" w:firstLine="420" w:firstLineChars="200"/>
        <w:textAlignment w:val="auto"/>
        <w:rPr>
          <w:rFonts w:hint="eastAsia" w:ascii="宋体" w:hAnsi="宋体" w:eastAsia="宋体" w:cs="宋体"/>
          <w:spacing w:val="-3"/>
          <w:szCs w:val="21"/>
        </w:rPr>
      </w:pPr>
      <w:r>
        <w:rPr>
          <w:rFonts w:hint="eastAsia" w:ascii="宋体" w:hAnsi="宋体" w:eastAsia="宋体" w:cs="宋体"/>
          <w:szCs w:val="21"/>
        </w:rPr>
        <w:t>本项目</w:t>
      </w:r>
      <w:r>
        <w:rPr>
          <w:rFonts w:hint="eastAsia" w:ascii="宋体" w:hAnsi="宋体" w:eastAsia="宋体" w:cs="宋体"/>
          <w:spacing w:val="-1"/>
          <w:szCs w:val="21"/>
        </w:rPr>
        <w:t>共一个标项</w:t>
      </w:r>
      <w:r>
        <w:rPr>
          <w:rFonts w:hint="eastAsia" w:ascii="宋体" w:hAnsi="宋体" w:eastAsia="宋体" w:cs="宋体"/>
          <w:spacing w:val="-3"/>
          <w:szCs w:val="21"/>
        </w:rPr>
        <w:t>。</w:t>
      </w:r>
    </w:p>
    <w:p w14:paraId="365DDC5E">
      <w:pPr>
        <w:keepNext w:val="0"/>
        <w:keepLines w:val="0"/>
        <w:pageBreakBefore w:val="0"/>
        <w:kinsoku/>
        <w:wordWrap/>
        <w:overflowPunct/>
        <w:topLinePunct w:val="0"/>
        <w:autoSpaceDE/>
        <w:autoSpaceDN/>
        <w:bidi w:val="0"/>
        <w:adjustRightInd/>
        <w:spacing w:line="5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六、合格投标人的资格要求</w:t>
      </w:r>
    </w:p>
    <w:p w14:paraId="2A5A1244">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一）符合（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14:paraId="0A63FC56">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（二）未被“信用中国”（www.creditchina.gov.cn）、中国政府采购网（www.ccgp.gov.cn）列入失信被执行人、重大税收违法案件当事人名单、政府采购严重违法失信行为记录名单。</w:t>
      </w:r>
    </w:p>
    <w:p w14:paraId="238CC6DA">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注：</w:t>
      </w:r>
      <w:bookmarkStart w:id="14" w:name="资格条件1"/>
      <w:r>
        <w:rPr>
          <w:rFonts w:hint="eastAsia" w:ascii="宋体" w:hAnsi="宋体" w:eastAsia="宋体" w:cs="宋体"/>
          <w:kern w:val="2"/>
          <w:sz w:val="21"/>
          <w:szCs w:val="21"/>
        </w:rPr>
        <w:t>本项目不接受联合体投标</w:t>
      </w:r>
      <w:bookmarkEnd w:id="14"/>
      <w:r>
        <w:rPr>
          <w:rFonts w:hint="eastAsia" w:ascii="宋体" w:hAnsi="宋体" w:eastAsia="宋体" w:cs="宋体"/>
          <w:kern w:val="2"/>
          <w:sz w:val="21"/>
          <w:szCs w:val="21"/>
        </w:rPr>
        <w:t>。</w:t>
      </w:r>
    </w:p>
    <w:p w14:paraId="5DAF905D">
      <w:pPr>
        <w:pStyle w:val="17"/>
        <w:keepNext w:val="0"/>
        <w:keepLines w:val="0"/>
        <w:pageBreakBefore w:val="0"/>
        <w:kinsoku/>
        <w:wordWrap/>
        <w:overflowPunct/>
        <w:topLinePunct w:val="0"/>
        <w:autoSpaceDE/>
        <w:autoSpaceDN/>
        <w:bidi w:val="0"/>
        <w:adjustRightInd/>
        <w:spacing w:after="0" w:afterLines="0" w:line="500" w:lineRule="exact"/>
        <w:ind w:left="0" w:firstLine="422" w:firstLineChars="200"/>
        <w:textAlignment w:val="auto"/>
        <w:rPr>
          <w:rFonts w:hint="eastAsia" w:ascii="宋体" w:hAnsi="宋体" w:eastAsia="宋体" w:cs="宋体"/>
          <w:b/>
          <w:szCs w:val="21"/>
        </w:rPr>
      </w:pPr>
      <w:r>
        <w:rPr>
          <w:rFonts w:hint="eastAsia" w:ascii="宋体" w:hAnsi="宋体" w:eastAsia="宋体" w:cs="宋体"/>
          <w:b/>
          <w:kern w:val="2"/>
          <w:sz w:val="21"/>
          <w:szCs w:val="21"/>
        </w:rPr>
        <w:t xml:space="preserve">七、公告期限：自公告发布之日起5个工作日  </w:t>
      </w:r>
      <w:r>
        <w:rPr>
          <w:rFonts w:hint="eastAsia" w:ascii="宋体" w:hAnsi="宋体" w:eastAsia="宋体" w:cs="宋体"/>
          <w:kern w:val="2"/>
          <w:sz w:val="21"/>
          <w:szCs w:val="21"/>
        </w:rPr>
        <w:t xml:space="preserve">    </w:t>
      </w:r>
      <w:r>
        <w:rPr>
          <w:rFonts w:hint="eastAsia" w:ascii="宋体" w:hAnsi="宋体" w:eastAsia="宋体" w:cs="宋体"/>
          <w:b/>
          <w:szCs w:val="21"/>
        </w:rPr>
        <w:t xml:space="preserve">                                  </w:t>
      </w:r>
    </w:p>
    <w:p w14:paraId="14BBD6E6">
      <w:pPr>
        <w:keepNext w:val="0"/>
        <w:keepLines w:val="0"/>
        <w:pageBreakBefore w:val="0"/>
        <w:kinsoku/>
        <w:wordWrap/>
        <w:overflowPunct/>
        <w:topLinePunct w:val="0"/>
        <w:autoSpaceDE/>
        <w:autoSpaceDN/>
        <w:bidi w:val="0"/>
        <w:adjustRightInd/>
        <w:spacing w:line="500" w:lineRule="exact"/>
        <w:ind w:left="0" w:firstLine="422" w:firstLineChars="200"/>
        <w:textAlignment w:val="auto"/>
        <w:rPr>
          <w:rFonts w:hint="eastAsia" w:ascii="宋体" w:hAnsi="宋体" w:eastAsia="宋体" w:cs="宋体"/>
          <w:b/>
          <w:szCs w:val="21"/>
        </w:rPr>
      </w:pPr>
      <w:bookmarkStart w:id="15" w:name="OLE_LINK56"/>
      <w:bookmarkStart w:id="16" w:name="OLE_LINK50"/>
      <w:r>
        <w:rPr>
          <w:rFonts w:hint="eastAsia" w:ascii="宋体" w:hAnsi="宋体" w:eastAsia="宋体" w:cs="宋体"/>
          <w:b/>
          <w:szCs w:val="21"/>
        </w:rPr>
        <w:t>八、获取 (下载) 招标文件：</w:t>
      </w:r>
    </w:p>
    <w:p w14:paraId="0A6C97E8">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1.供应商注册网址</w:t>
      </w:r>
    </w:p>
    <w:p w14:paraId="5468842A">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乐采云注册网址：https://www.lecaiyun.com/，供应商具体可加乐采qq群659975799进行咨询，有需要可以拨打服务热线95763。</w:t>
      </w:r>
    </w:p>
    <w:p w14:paraId="3ECD7304">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2.招标文件的获取</w:t>
      </w:r>
    </w:p>
    <w:p w14:paraId="2FD51858">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2.1 招标文件的获取时间：公告发布之日起至投标截止时间止；</w:t>
      </w:r>
    </w:p>
    <w:p w14:paraId="7435E082">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2.2 招标文件的获取方式：投标人登录乐采云网址https://www.lecaiyun.com/在线申请获取招标文件(进入“项目采购”应用，在获取招标文件菜单中选择项目，申请获取招标文件) 。</w:t>
      </w:r>
    </w:p>
    <w:p w14:paraId="3B049AA6">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售价 (元) ：0。</w:t>
      </w:r>
    </w:p>
    <w:p w14:paraId="7C2978D8">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bookmarkStart w:id="17" w:name="_Toc406402982"/>
      <w:bookmarkStart w:id="18" w:name="_Toc17931"/>
      <w:r>
        <w:rPr>
          <w:rFonts w:hint="eastAsia" w:ascii="宋体" w:hAnsi="宋体" w:eastAsia="宋体" w:cs="宋体"/>
          <w:kern w:val="2"/>
          <w:sz w:val="21"/>
          <w:szCs w:val="21"/>
        </w:rPr>
        <w:t>3.潜在供应商应当按照规定方式获取，未按照规定方式获取的，对招标文件提起质疑或投诉的，将不予受理。</w:t>
      </w:r>
    </w:p>
    <w:p w14:paraId="2CFBF0DF">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4.报名成功的投标人，应参与本项目投标，报名后放弃投标的，请在开标截止时间前2天向采购代理机构书面说明放弃投标。放弃投标的说明发送至邮箱：</w:t>
      </w:r>
      <w:bookmarkStart w:id="19" w:name="OLE_LINK62"/>
      <w:bookmarkStart w:id="20" w:name="OLE_LINK68"/>
      <w:bookmarkStart w:id="21" w:name="OLE_LINK43"/>
      <w:r>
        <w:rPr>
          <w:rFonts w:hint="eastAsia" w:ascii="宋体" w:hAnsi="宋体" w:eastAsia="宋体" w:cs="宋体"/>
          <w:b/>
          <w:kern w:val="2"/>
          <w:sz w:val="21"/>
          <w:szCs w:val="21"/>
        </w:rPr>
        <w:fldChar w:fldCharType="begin"/>
      </w:r>
      <w:r>
        <w:rPr>
          <w:rFonts w:hint="eastAsia" w:ascii="宋体" w:hAnsi="宋体" w:eastAsia="宋体" w:cs="宋体"/>
          <w:b/>
          <w:kern w:val="2"/>
          <w:sz w:val="21"/>
          <w:szCs w:val="21"/>
        </w:rPr>
        <w:instrText xml:space="preserve"> HYPERLINK "mailto:83053894@qq.com" </w:instrText>
      </w:r>
      <w:r>
        <w:rPr>
          <w:rFonts w:hint="eastAsia" w:ascii="宋体" w:hAnsi="宋体" w:eastAsia="宋体" w:cs="宋体"/>
          <w:b/>
          <w:kern w:val="2"/>
          <w:sz w:val="21"/>
          <w:szCs w:val="21"/>
        </w:rPr>
        <w:fldChar w:fldCharType="separate"/>
      </w:r>
      <w:r>
        <w:rPr>
          <w:rStyle w:val="16"/>
          <w:rFonts w:hint="eastAsia" w:ascii="宋体" w:hAnsi="宋体" w:eastAsia="宋体" w:cs="宋体"/>
          <w:b/>
          <w:kern w:val="2"/>
          <w:sz w:val="21"/>
          <w:szCs w:val="21"/>
          <w:lang w:eastAsia="zh-CN"/>
        </w:rPr>
        <w:t>1007217385@qq.com</w:t>
      </w:r>
      <w:r>
        <w:rPr>
          <w:rFonts w:hint="eastAsia" w:ascii="宋体" w:hAnsi="宋体" w:eastAsia="宋体" w:cs="宋体"/>
          <w:b/>
          <w:kern w:val="2"/>
          <w:sz w:val="21"/>
          <w:szCs w:val="21"/>
        </w:rPr>
        <w:fldChar w:fldCharType="end"/>
      </w:r>
      <w:bookmarkEnd w:id="19"/>
      <w:bookmarkEnd w:id="20"/>
      <w:bookmarkEnd w:id="21"/>
      <w:r>
        <w:rPr>
          <w:rFonts w:hint="eastAsia" w:ascii="宋体" w:hAnsi="宋体" w:eastAsia="宋体" w:cs="宋体"/>
          <w:kern w:val="2"/>
          <w:sz w:val="21"/>
          <w:szCs w:val="21"/>
        </w:rPr>
        <w:t>。</w:t>
      </w:r>
    </w:p>
    <w:bookmarkEnd w:id="15"/>
    <w:bookmarkEnd w:id="16"/>
    <w:p w14:paraId="2AB9AAF0">
      <w:pPr>
        <w:keepNext w:val="0"/>
        <w:keepLines w:val="0"/>
        <w:pageBreakBefore w:val="0"/>
        <w:kinsoku/>
        <w:wordWrap/>
        <w:overflowPunct/>
        <w:topLinePunct w:val="0"/>
        <w:autoSpaceDE/>
        <w:autoSpaceDN/>
        <w:bidi w:val="0"/>
        <w:adjustRightInd/>
        <w:snapToGrid w:val="0"/>
        <w:spacing w:line="500" w:lineRule="exact"/>
        <w:ind w:left="0" w:firstLine="422" w:firstLineChars="200"/>
        <w:textAlignment w:val="auto"/>
        <w:rPr>
          <w:rFonts w:hint="eastAsia" w:ascii="宋体" w:hAnsi="宋体" w:eastAsia="宋体" w:cs="宋体"/>
          <w:b/>
          <w:szCs w:val="21"/>
        </w:rPr>
      </w:pPr>
      <w:bookmarkStart w:id="22" w:name="OLE_LINK67"/>
      <w:bookmarkStart w:id="23" w:name="OLE_LINK57"/>
      <w:r>
        <w:rPr>
          <w:rFonts w:hint="eastAsia" w:ascii="宋体" w:hAnsi="宋体" w:eastAsia="宋体" w:cs="宋体"/>
          <w:b/>
          <w:szCs w:val="21"/>
        </w:rPr>
        <w:t>九、报名时应填写的信息：</w:t>
      </w:r>
    </w:p>
    <w:p w14:paraId="69A4512E">
      <w:pPr>
        <w:keepNext w:val="0"/>
        <w:keepLines w:val="0"/>
        <w:pageBreakBefore w:val="0"/>
        <w:kinsoku/>
        <w:wordWrap/>
        <w:overflowPunct/>
        <w:topLinePunct w:val="0"/>
        <w:autoSpaceDE/>
        <w:autoSpaceDN/>
        <w:bidi w:val="0"/>
        <w:adjustRightInd/>
        <w:snapToGrid w:val="0"/>
        <w:spacing w:line="5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请认真填写，因填写失误而造成不能投标的，由填写人自行负责。</w:t>
      </w:r>
    </w:p>
    <w:p w14:paraId="3E822FCA">
      <w:pPr>
        <w:keepNext w:val="0"/>
        <w:keepLines w:val="0"/>
        <w:pageBreakBefore w:val="0"/>
        <w:kinsoku/>
        <w:wordWrap/>
        <w:overflowPunct/>
        <w:topLinePunct w:val="0"/>
        <w:autoSpaceDE/>
        <w:autoSpaceDN/>
        <w:bidi w:val="0"/>
        <w:adjustRightInd/>
        <w:snapToGrid w:val="0"/>
        <w:spacing w:line="5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十、投标保证金：无。</w:t>
      </w:r>
    </w:p>
    <w:p w14:paraId="6FE489B1">
      <w:pPr>
        <w:pStyle w:val="17"/>
        <w:keepNext w:val="0"/>
        <w:keepLines w:val="0"/>
        <w:pageBreakBefore w:val="0"/>
        <w:kinsoku/>
        <w:wordWrap/>
        <w:overflowPunct/>
        <w:topLinePunct w:val="0"/>
        <w:autoSpaceDE/>
        <w:autoSpaceDN/>
        <w:bidi w:val="0"/>
        <w:adjustRightInd/>
        <w:spacing w:after="0" w:afterLines="0" w:line="500" w:lineRule="exact"/>
        <w:ind w:left="0" w:firstLine="422" w:firstLineChars="200"/>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十一、提交投标文件截止时间、开标时间和地点：</w:t>
      </w:r>
    </w:p>
    <w:p w14:paraId="2C3A9A8C">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提交投标文件截止时间：2025年</w:t>
      </w:r>
      <w:r>
        <w:rPr>
          <w:rFonts w:hint="eastAsia" w:ascii="宋体" w:hAnsi="宋体" w:cs="宋体"/>
          <w:kern w:val="2"/>
          <w:sz w:val="21"/>
          <w:szCs w:val="21"/>
          <w:lang w:val="en-US" w:eastAsia="zh-CN"/>
        </w:rPr>
        <w:t>07</w:t>
      </w:r>
      <w:r>
        <w:rPr>
          <w:rFonts w:hint="eastAsia" w:ascii="宋体" w:hAnsi="宋体" w:eastAsia="宋体" w:cs="宋体"/>
          <w:kern w:val="2"/>
          <w:sz w:val="21"/>
          <w:szCs w:val="21"/>
        </w:rPr>
        <w:t>月</w:t>
      </w:r>
      <w:r>
        <w:rPr>
          <w:rFonts w:hint="eastAsia" w:ascii="宋体" w:hAnsi="宋体" w:cs="宋体"/>
          <w:kern w:val="2"/>
          <w:sz w:val="21"/>
          <w:szCs w:val="21"/>
          <w:lang w:val="en-US" w:eastAsia="zh-CN"/>
        </w:rPr>
        <w:t>01</w:t>
      </w:r>
      <w:r>
        <w:rPr>
          <w:rFonts w:hint="eastAsia" w:ascii="宋体" w:hAnsi="宋体" w:eastAsia="宋体" w:cs="宋体"/>
          <w:kern w:val="2"/>
          <w:sz w:val="21"/>
          <w:szCs w:val="21"/>
        </w:rPr>
        <w:t>日9点</w:t>
      </w:r>
      <w:r>
        <w:rPr>
          <w:rFonts w:hint="eastAsia" w:ascii="宋体" w:hAnsi="宋体" w:cs="宋体"/>
          <w:kern w:val="2"/>
          <w:sz w:val="21"/>
          <w:szCs w:val="21"/>
          <w:lang w:val="en-US" w:eastAsia="zh-CN"/>
        </w:rPr>
        <w:t>30</w:t>
      </w:r>
      <w:r>
        <w:rPr>
          <w:rFonts w:hint="eastAsia" w:ascii="宋体" w:hAnsi="宋体" w:eastAsia="宋体" w:cs="宋体"/>
          <w:kern w:val="2"/>
          <w:sz w:val="21"/>
          <w:szCs w:val="21"/>
        </w:rPr>
        <w:t>分 (北京时间)</w:t>
      </w:r>
    </w:p>
    <w:p w14:paraId="6776B439">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投标地点(网址)：乐采云平台：https://www.lecaiyun.com/。</w:t>
      </w:r>
    </w:p>
    <w:p w14:paraId="04ED1601">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开标时间：2025年</w:t>
      </w:r>
      <w:r>
        <w:rPr>
          <w:rFonts w:hint="eastAsia" w:ascii="宋体" w:hAnsi="宋体" w:cs="宋体"/>
          <w:kern w:val="2"/>
          <w:sz w:val="21"/>
          <w:szCs w:val="21"/>
          <w:lang w:val="en-US" w:eastAsia="zh-CN"/>
        </w:rPr>
        <w:t>07</w:t>
      </w:r>
      <w:r>
        <w:rPr>
          <w:rFonts w:hint="eastAsia" w:ascii="宋体" w:hAnsi="宋体" w:eastAsia="宋体" w:cs="宋体"/>
          <w:kern w:val="2"/>
          <w:sz w:val="21"/>
          <w:szCs w:val="21"/>
        </w:rPr>
        <w:t>月</w:t>
      </w:r>
      <w:r>
        <w:rPr>
          <w:rFonts w:hint="eastAsia" w:ascii="宋体" w:hAnsi="宋体" w:cs="宋体"/>
          <w:kern w:val="2"/>
          <w:sz w:val="21"/>
          <w:szCs w:val="21"/>
          <w:lang w:val="en-US" w:eastAsia="zh-CN"/>
        </w:rPr>
        <w:t>01</w:t>
      </w:r>
      <w:r>
        <w:rPr>
          <w:rFonts w:hint="eastAsia" w:ascii="宋体" w:hAnsi="宋体" w:eastAsia="宋体" w:cs="宋体"/>
          <w:kern w:val="2"/>
          <w:sz w:val="21"/>
          <w:szCs w:val="21"/>
        </w:rPr>
        <w:t>日9点</w:t>
      </w:r>
      <w:r>
        <w:rPr>
          <w:rFonts w:hint="eastAsia" w:ascii="宋体" w:hAnsi="宋体" w:cs="宋体"/>
          <w:kern w:val="2"/>
          <w:sz w:val="21"/>
          <w:szCs w:val="21"/>
          <w:lang w:val="en-US" w:eastAsia="zh-CN"/>
        </w:rPr>
        <w:t>30</w:t>
      </w:r>
      <w:r>
        <w:rPr>
          <w:rFonts w:hint="eastAsia" w:ascii="宋体" w:hAnsi="宋体" w:eastAsia="宋体" w:cs="宋体"/>
          <w:kern w:val="2"/>
          <w:sz w:val="21"/>
          <w:szCs w:val="21"/>
        </w:rPr>
        <w:t>分(北京时间) 。</w:t>
      </w:r>
    </w:p>
    <w:p w14:paraId="037A36DD">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 xml:space="preserve">开标地点(网址)：乐采云平台：https://www.lecaiyun.com/。 </w:t>
      </w:r>
    </w:p>
    <w:p w14:paraId="26C2708A">
      <w:pPr>
        <w:pStyle w:val="17"/>
        <w:keepNext w:val="0"/>
        <w:keepLines w:val="0"/>
        <w:pageBreakBefore w:val="0"/>
        <w:kinsoku/>
        <w:wordWrap/>
        <w:overflowPunct/>
        <w:topLinePunct w:val="0"/>
        <w:autoSpaceDE/>
        <w:autoSpaceDN/>
        <w:bidi w:val="0"/>
        <w:adjustRightInd/>
        <w:spacing w:after="0" w:afterLines="0" w:line="500" w:lineRule="exact"/>
        <w:ind w:left="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注：本项目采用电子投标，中标供应商在中标后无偿提供采购人需要的相应书面投标文件（与电子投标文件保持一致）。</w:t>
      </w:r>
    </w:p>
    <w:p w14:paraId="510D9C4E">
      <w:pPr>
        <w:keepNext w:val="0"/>
        <w:keepLines w:val="0"/>
        <w:pageBreakBefore w:val="0"/>
        <w:widowControl/>
        <w:kinsoku/>
        <w:wordWrap/>
        <w:overflowPunct/>
        <w:topLinePunct w:val="0"/>
        <w:autoSpaceDE/>
        <w:autoSpaceDN/>
        <w:bidi w:val="0"/>
        <w:adjustRightInd/>
        <w:snapToGrid w:val="0"/>
        <w:spacing w:line="500" w:lineRule="exact"/>
        <w:ind w:left="0"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十二、其他补充事宜：</w:t>
      </w:r>
    </w:p>
    <w:p w14:paraId="19836D26">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1.投标文件制作注意事项</w:t>
      </w:r>
    </w:p>
    <w:p w14:paraId="3693A9BD">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1.1投标人将电子交易客户端下载、安装完成后，可通过账号密码或CA登录客户端进行投标文件制作。</w:t>
      </w:r>
    </w:p>
    <w:p w14:paraId="731D0984">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注：投标人先要申领CA，拿到CA后需要在电子交易平台进行绑定，CA相关操作可参考《CA申领操作指南》和《CA管理操作指南》。完成CA数字证书办理在资料齐全的情况下预计7个工作日左右，建议投标人获取采购文件后立即办理。</w:t>
      </w:r>
    </w:p>
    <w:p w14:paraId="5F7B59C9">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1.2操作指南</w:t>
      </w:r>
    </w:p>
    <w:p w14:paraId="555E947C">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"https://www.lecaiyun.com/helpcenter/document#/document/dashboard?siteCode=lecaiyun" </w:instrText>
      </w:r>
      <w:r>
        <w:rPr>
          <w:rFonts w:hint="eastAsia" w:ascii="宋体" w:hAnsi="宋体" w:eastAsia="宋体" w:cs="宋体"/>
          <w:szCs w:val="21"/>
        </w:rPr>
        <w:fldChar w:fldCharType="separate"/>
      </w:r>
      <w:r>
        <w:rPr>
          <w:rFonts w:hint="eastAsia" w:ascii="宋体" w:hAnsi="宋体" w:eastAsia="宋体" w:cs="宋体"/>
          <w:szCs w:val="21"/>
        </w:rPr>
        <w:t>https://www.lecaiyun.com/helpcenter/document#/document/dashboard?siteCode=lecaiyun</w:t>
      </w:r>
      <w:r>
        <w:rPr>
          <w:rFonts w:hint="eastAsia" w:ascii="宋体" w:hAnsi="宋体" w:eastAsia="宋体" w:cs="宋体"/>
          <w:szCs w:val="21"/>
        </w:rPr>
        <w:fldChar w:fldCharType="end"/>
      </w:r>
      <w:r>
        <w:rPr>
          <w:rFonts w:hint="eastAsia" w:ascii="宋体" w:hAnsi="宋体" w:eastAsia="宋体" w:cs="宋体"/>
          <w:szCs w:val="21"/>
        </w:rPr>
        <w:t>。</w:t>
      </w:r>
    </w:p>
    <w:p w14:paraId="4C517F81">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2.投标文件提交注意事项</w:t>
      </w:r>
    </w:p>
    <w:p w14:paraId="6DC4512B">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2.1投标人进行电子投标应安装客户端软件，并按照采购文件和电子交易平台的要求编制并加密投标文件。投标人未按规定加密的投标文件，采购代理机构应当拒收。</w:t>
      </w:r>
    </w:p>
    <w:p w14:paraId="100BD104">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3B365C6B">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2.3为确保采购项目顺利实施，避免因解密失败导致投标无效，投标人在电子交易平台传输提交投标文件后，将电子交易平台上最后生成的具备电子签章的备份电子投标文件1份下载，在投标截止时间前发送至</w:t>
      </w:r>
      <w:r>
        <w:rPr>
          <w:rFonts w:hint="eastAsia" w:ascii="宋体" w:hAnsi="宋体" w:eastAsia="宋体" w:cs="宋体"/>
          <w:b/>
          <w:szCs w:val="21"/>
        </w:rPr>
        <w:fldChar w:fldCharType="begin"/>
      </w:r>
      <w:r>
        <w:rPr>
          <w:rFonts w:hint="eastAsia" w:ascii="宋体" w:hAnsi="宋体" w:eastAsia="宋体" w:cs="宋体"/>
          <w:b/>
          <w:szCs w:val="21"/>
        </w:rPr>
        <w:instrText xml:space="preserve"> HYPERLINK "mailto:83053894@qq.com" </w:instrText>
      </w:r>
      <w:r>
        <w:rPr>
          <w:rFonts w:hint="eastAsia" w:ascii="宋体" w:hAnsi="宋体" w:eastAsia="宋体" w:cs="宋体"/>
          <w:b/>
          <w:szCs w:val="21"/>
        </w:rPr>
        <w:fldChar w:fldCharType="separate"/>
      </w:r>
      <w:r>
        <w:rPr>
          <w:rStyle w:val="16"/>
          <w:rFonts w:hint="eastAsia" w:ascii="宋体" w:hAnsi="宋体" w:eastAsia="宋体" w:cs="宋体"/>
          <w:b/>
          <w:szCs w:val="21"/>
          <w:lang w:eastAsia="zh-CN"/>
        </w:rPr>
        <w:t>1007217385@qq.com</w:t>
      </w:r>
      <w:r>
        <w:rPr>
          <w:rFonts w:hint="eastAsia" w:ascii="宋体" w:hAnsi="宋体" w:eastAsia="宋体" w:cs="宋体"/>
          <w:b/>
          <w:szCs w:val="21"/>
        </w:rPr>
        <w:fldChar w:fldCharType="end"/>
      </w:r>
      <w:r>
        <w:rPr>
          <w:rFonts w:hint="eastAsia" w:ascii="宋体" w:hAnsi="宋体" w:eastAsia="宋体" w:cs="宋体"/>
          <w:szCs w:val="21"/>
        </w:rPr>
        <w:t>。</w:t>
      </w:r>
    </w:p>
    <w:p w14:paraId="3CBA7209">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2.4备份电子投标文件制作为非强制性，但如遇因投标人电子投标文件解密失败等情况造成投标无效，后果由投标人自负。</w:t>
      </w:r>
    </w:p>
    <w:p w14:paraId="37A0462C">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3.本项目投标人无需到开标现场，但须准时在线参加，直至评审结束。开标时间起30分钟内投标人可登录“乐采云”平台，在“项目采购-开标评标”模块对投标文件进行在线解密。若在规定时间内投标文件无法解密或解密失败且备份文件读取失败（含未提交），则投标无效。</w:t>
      </w:r>
    </w:p>
    <w:p w14:paraId="382E45DB">
      <w:pPr>
        <w:keepNext w:val="0"/>
        <w:keepLines w:val="0"/>
        <w:pageBreakBefore w:val="0"/>
        <w:widowControl/>
        <w:kinsoku/>
        <w:wordWrap/>
        <w:overflowPunct/>
        <w:topLinePunct w:val="0"/>
        <w:autoSpaceDE/>
        <w:autoSpaceDN/>
        <w:bidi w:val="0"/>
        <w:adjustRightInd/>
        <w:snapToGrid w:val="0"/>
        <w:spacing w:line="500" w:lineRule="exact"/>
        <w:ind w:left="0" w:firstLine="422" w:firstLineChars="200"/>
        <w:jc w:val="left"/>
        <w:textAlignment w:val="auto"/>
        <w:rPr>
          <w:rFonts w:hint="eastAsia" w:ascii="宋体" w:hAnsi="宋体" w:eastAsia="宋体" w:cs="宋体"/>
          <w:b/>
          <w:bCs/>
          <w:color w:val="0000FF"/>
          <w:szCs w:val="21"/>
        </w:rPr>
      </w:pPr>
      <w:r>
        <w:rPr>
          <w:rFonts w:hint="eastAsia" w:ascii="宋体" w:hAnsi="宋体" w:eastAsia="宋体" w:cs="宋体"/>
          <w:b/>
          <w:szCs w:val="21"/>
        </w:rPr>
        <w:t>4.</w:t>
      </w:r>
      <w:r>
        <w:rPr>
          <w:rFonts w:hint="eastAsia" w:ascii="宋体" w:hAnsi="宋体" w:eastAsia="宋体" w:cs="宋体"/>
          <w:b/>
          <w:bCs/>
          <w:color w:val="0000FF"/>
          <w:szCs w:val="21"/>
        </w:rPr>
        <w:t>若对项目采购电子交易系统操作有疑问，可登录乐采云平台（www.lecaiyun.com），点击右侧咨询小采，获取采小蜜智能服务管家帮助，或拨打政采云服务热线（95763）获取热线服务帮助，或自行加入乐采云qq群（659975799）咨询。</w:t>
      </w:r>
    </w:p>
    <w:p w14:paraId="759703D1">
      <w:pPr>
        <w:keepNext w:val="0"/>
        <w:keepLines w:val="0"/>
        <w:pageBreakBefore w:val="0"/>
        <w:widowControl/>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szCs w:val="21"/>
        </w:rPr>
      </w:pPr>
      <w:r>
        <w:rPr>
          <w:rFonts w:hint="eastAsia" w:ascii="宋体" w:hAnsi="宋体" w:eastAsia="宋体" w:cs="宋体"/>
          <w:szCs w:val="21"/>
        </w:rPr>
        <w:t>CA问题联系电话（人工）：详见“联系CA公司”（https://lecaiyun.com/helpcenter/document/#/document/detail?siteCode=lecaiyun&amp;manualId=6045&amp;topicId=2405）。</w:t>
      </w:r>
    </w:p>
    <w:p w14:paraId="661A207C">
      <w:pPr>
        <w:keepNext w:val="0"/>
        <w:keepLines w:val="0"/>
        <w:pageBreakBefore w:val="0"/>
        <w:kinsoku/>
        <w:wordWrap/>
        <w:overflowPunct/>
        <w:topLinePunct w:val="0"/>
        <w:autoSpaceDE/>
        <w:autoSpaceDN/>
        <w:bidi w:val="0"/>
        <w:adjustRightInd/>
        <w:spacing w:line="5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十三、招标公告发布于：</w:t>
      </w:r>
    </w:p>
    <w:p w14:paraId="6AD56BA3">
      <w:pPr>
        <w:keepNext w:val="0"/>
        <w:keepLines w:val="0"/>
        <w:pageBreakBefore w:val="0"/>
        <w:kinsoku/>
        <w:wordWrap/>
        <w:overflowPunct/>
        <w:topLinePunct w:val="0"/>
        <w:autoSpaceDE/>
        <w:autoSpaceDN/>
        <w:bidi w:val="0"/>
        <w:adjustRightInd/>
        <w:snapToGrid w:val="0"/>
        <w:spacing w:line="50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乐采云网站(https://www.lecaiyun.com/)和</w:t>
      </w:r>
      <w:r>
        <w:rPr>
          <w:rFonts w:hint="eastAsia" w:ascii="宋体" w:hAnsi="宋体" w:eastAsia="宋体" w:cs="宋体"/>
          <w:szCs w:val="22"/>
        </w:rPr>
        <w:fldChar w:fldCharType="begin"/>
      </w:r>
      <w:r>
        <w:rPr>
          <w:rFonts w:hint="eastAsia" w:ascii="宋体" w:hAnsi="宋体" w:eastAsia="宋体" w:cs="宋体"/>
          <w:szCs w:val="22"/>
        </w:rPr>
        <w:instrText xml:space="preserve"> HYPERLINK "http://www.sxztb.gov.cn" </w:instrText>
      </w:r>
      <w:r>
        <w:rPr>
          <w:rFonts w:hint="eastAsia" w:ascii="宋体" w:hAnsi="宋体" w:eastAsia="宋体" w:cs="宋体"/>
          <w:szCs w:val="22"/>
        </w:rPr>
        <w:fldChar w:fldCharType="separate"/>
      </w:r>
      <w:r>
        <w:rPr>
          <w:rFonts w:hint="eastAsia" w:ascii="宋体" w:hAnsi="宋体" w:eastAsia="宋体" w:cs="宋体"/>
          <w:szCs w:val="22"/>
        </w:rPr>
        <w:fldChar w:fldCharType="end"/>
      </w:r>
      <w:r>
        <w:rPr>
          <w:rFonts w:hint="eastAsia" w:ascii="宋体" w:hAnsi="宋体" w:eastAsia="宋体" w:cs="宋体"/>
          <w:szCs w:val="21"/>
        </w:rPr>
        <w:t>浙江江南要素交易中心网站（</w:t>
      </w:r>
      <w:bookmarkStart w:id="24" w:name="OLE_LINK39"/>
      <w:r>
        <w:rPr>
          <w:rFonts w:hint="eastAsia" w:ascii="宋体" w:hAnsi="宋体" w:eastAsia="宋体" w:cs="宋体"/>
          <w:szCs w:val="21"/>
        </w:rPr>
        <w:t>https://jxszwsjb.jiaxing.gov.cn/col/col1229743950/index.html</w:t>
      </w:r>
      <w:bookmarkEnd w:id="24"/>
      <w:r>
        <w:rPr>
          <w:rFonts w:hint="eastAsia" w:ascii="宋体" w:hAnsi="宋体" w:eastAsia="宋体" w:cs="宋体"/>
          <w:szCs w:val="21"/>
        </w:rPr>
        <w:t>)。</w:t>
      </w:r>
    </w:p>
    <w:bookmarkEnd w:id="22"/>
    <w:bookmarkEnd w:id="23"/>
    <w:p w14:paraId="77DDAF6C">
      <w:pPr>
        <w:keepNext w:val="0"/>
        <w:keepLines w:val="0"/>
        <w:pageBreakBefore w:val="0"/>
        <w:kinsoku/>
        <w:wordWrap/>
        <w:overflowPunct/>
        <w:topLinePunct w:val="0"/>
        <w:autoSpaceDE/>
        <w:autoSpaceDN/>
        <w:bidi w:val="0"/>
        <w:adjustRightInd/>
        <w:spacing w:line="500" w:lineRule="exact"/>
        <w:ind w:left="0" w:firstLine="422" w:firstLineChars="200"/>
        <w:textAlignment w:val="auto"/>
        <w:rPr>
          <w:rFonts w:hint="eastAsia" w:ascii="宋体" w:hAnsi="宋体" w:eastAsia="宋体" w:cs="宋体"/>
          <w:b/>
          <w:szCs w:val="21"/>
        </w:rPr>
      </w:pPr>
      <w:r>
        <w:rPr>
          <w:rFonts w:hint="eastAsia" w:ascii="宋体" w:hAnsi="宋体" w:eastAsia="宋体" w:cs="宋体"/>
          <w:b/>
          <w:szCs w:val="21"/>
        </w:rPr>
        <w:t>十四、业务咨询：</w:t>
      </w:r>
    </w:p>
    <w:p w14:paraId="2015FED8">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采购人：海宁市盐仓综合开发有限公司       </w:t>
      </w:r>
    </w:p>
    <w:p w14:paraId="7A29DA5A">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地址：海宁市长安镇                        </w:t>
      </w:r>
    </w:p>
    <w:p w14:paraId="55BC768D">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联系人：张先生                           </w:t>
      </w:r>
    </w:p>
    <w:p w14:paraId="781B2AA3">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电话：0573-87412588     </w:t>
      </w:r>
    </w:p>
    <w:p w14:paraId="748AE03D">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p>
    <w:p w14:paraId="0ED7B4F0">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招标代理人：嘉兴锦大工程管理咨询有限公司</w:t>
      </w:r>
    </w:p>
    <w:p w14:paraId="6967C896">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地址：海宁文宗南路96号新桥社区党群服务中心四楼</w:t>
      </w:r>
    </w:p>
    <w:p w14:paraId="60DE2E29">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联系人：金女士</w:t>
      </w:r>
    </w:p>
    <w:p w14:paraId="7C326654">
      <w:pPr>
        <w:keepNext w:val="0"/>
        <w:keepLines w:val="0"/>
        <w:pageBreakBefore w:val="0"/>
        <w:kinsoku/>
        <w:wordWrap/>
        <w:overflowPunct/>
        <w:topLinePunct w:val="0"/>
        <w:autoSpaceDE/>
        <w:autoSpaceDN/>
        <w:bidi w:val="0"/>
        <w:adjustRightInd/>
        <w:spacing w:line="500" w:lineRule="exact"/>
        <w:ind w:lef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电话：0573-87808008</w:t>
      </w:r>
    </w:p>
    <w:p w14:paraId="6450EBE1">
      <w:pPr>
        <w:spacing w:line="500" w:lineRule="exact"/>
        <w:ind w:firstLine="420" w:firstLineChars="200"/>
        <w:rPr>
          <w:rFonts w:hint="eastAsia" w:ascii="宋体" w:hAnsi="宋体" w:eastAsia="宋体" w:cs="宋体"/>
          <w:szCs w:val="21"/>
          <w:highlight w:val="none"/>
        </w:rPr>
      </w:pPr>
    </w:p>
    <w:p w14:paraId="64A69B4B">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E9B8F16">
      <w:pPr>
        <w:pStyle w:val="2"/>
        <w:rPr>
          <w:rFonts w:hint="eastAsia" w:ascii="宋体" w:hAnsi="宋体" w:eastAsia="宋体" w:cs="宋体"/>
          <w:szCs w:val="21"/>
          <w:highlight w:val="none"/>
        </w:rPr>
      </w:pPr>
    </w:p>
    <w:p w14:paraId="32DA78FE">
      <w:pPr>
        <w:rPr>
          <w:rFonts w:hint="eastAsia" w:ascii="宋体" w:hAnsi="宋体" w:eastAsia="宋体" w:cs="宋体"/>
        </w:rPr>
      </w:pPr>
    </w:p>
    <w:p w14:paraId="4D81BE3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szCs w:val="21"/>
        </w:rPr>
      </w:pPr>
      <w:r>
        <w:rPr>
          <w:rFonts w:hint="eastAsia" w:ascii="宋体" w:hAnsi="宋体" w:eastAsia="宋体" w:cs="宋体"/>
          <w:szCs w:val="21"/>
        </w:rPr>
        <w:t>采购人：</w:t>
      </w:r>
      <w:r>
        <w:rPr>
          <w:rFonts w:hint="eastAsia" w:ascii="宋体" w:hAnsi="宋体" w:eastAsia="宋体" w:cs="宋体"/>
          <w:szCs w:val="21"/>
          <w:lang w:eastAsia="zh-CN"/>
        </w:rPr>
        <w:t>海宁市盐仓综合开发有限公司</w:t>
      </w:r>
      <w:r>
        <w:rPr>
          <w:rFonts w:hint="eastAsia" w:ascii="宋体" w:hAnsi="宋体" w:eastAsia="宋体" w:cs="宋体"/>
          <w:szCs w:val="21"/>
        </w:rPr>
        <w:t xml:space="preserve"> </w:t>
      </w:r>
    </w:p>
    <w:p w14:paraId="53BA9D49">
      <w:pPr>
        <w:keepNext w:val="0"/>
        <w:keepLines w:val="0"/>
        <w:pageBreakBefore w:val="0"/>
        <w:widowControl w:val="0"/>
        <w:tabs>
          <w:tab w:val="left" w:pos="2745"/>
          <w:tab w:val="center" w:pos="4840"/>
        </w:tabs>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szCs w:val="21"/>
          <w:lang w:eastAsia="zh-CN"/>
        </w:rPr>
      </w:pP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采购机构：</w:t>
      </w:r>
      <w:r>
        <w:rPr>
          <w:rFonts w:hint="eastAsia" w:ascii="宋体" w:hAnsi="宋体" w:eastAsia="宋体" w:cs="宋体"/>
          <w:szCs w:val="21"/>
          <w:lang w:eastAsia="zh-CN"/>
        </w:rPr>
        <w:t>嘉兴锦大工程管理咨询有限公司</w:t>
      </w:r>
    </w:p>
    <w:p w14:paraId="2B77AD3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rPr>
      </w:pPr>
      <w:r>
        <w:rPr>
          <w:rFonts w:hint="eastAsia" w:ascii="宋体" w:hAnsi="宋体" w:eastAsia="宋体" w:cs="宋体"/>
        </w:rPr>
        <w:t>2025年</w:t>
      </w:r>
      <w:r>
        <w:rPr>
          <w:rFonts w:hint="eastAsia" w:ascii="宋体" w:hAnsi="宋体" w:cs="宋体"/>
          <w:lang w:val="en-US" w:eastAsia="zh-CN"/>
        </w:rPr>
        <w:t>06</w:t>
      </w:r>
      <w:r>
        <w:rPr>
          <w:rFonts w:hint="eastAsia" w:ascii="宋体" w:hAnsi="宋体" w:eastAsia="宋体" w:cs="宋体"/>
        </w:rPr>
        <w:t>月</w:t>
      </w:r>
      <w:r>
        <w:rPr>
          <w:rFonts w:hint="eastAsia" w:ascii="宋体" w:hAnsi="宋体" w:cs="宋体"/>
          <w:lang w:val="en-US" w:eastAsia="zh-CN"/>
        </w:rPr>
        <w:t>24</w:t>
      </w:r>
      <w:r>
        <w:rPr>
          <w:rFonts w:hint="eastAsia" w:ascii="宋体" w:hAnsi="宋体" w:eastAsia="宋体" w:cs="宋体"/>
        </w:rPr>
        <w:t>日</w:t>
      </w:r>
    </w:p>
    <w:p w14:paraId="2F12B0BC">
      <w:pPr>
        <w:pStyle w:val="2"/>
        <w:ind w:firstLine="420"/>
        <w:rPr>
          <w:rFonts w:hint="eastAsia" w:ascii="宋体" w:hAnsi="宋体" w:eastAsia="宋体" w:cs="宋体"/>
        </w:rPr>
      </w:pPr>
    </w:p>
    <w:bookmarkEnd w:id="8"/>
    <w:bookmarkEnd w:id="9"/>
    <w:p w14:paraId="09A510DC">
      <w:pPr>
        <w:rPr>
          <w:rFonts w:hint="eastAsia" w:ascii="宋体" w:hAnsi="宋体" w:eastAsia="宋体" w:cs="宋体"/>
        </w:rPr>
      </w:pPr>
    </w:p>
    <w:p w14:paraId="521F855B">
      <w:pPr>
        <w:pStyle w:val="2"/>
        <w:ind w:firstLine="420"/>
        <w:rPr>
          <w:rFonts w:hint="eastAsia" w:ascii="宋体" w:hAnsi="宋体" w:eastAsia="宋体" w:cs="宋体"/>
        </w:rPr>
      </w:pPr>
    </w:p>
    <w:p w14:paraId="6D3E2723">
      <w:pPr>
        <w:rPr>
          <w:rFonts w:hint="eastAsia" w:ascii="宋体" w:hAnsi="宋体" w:eastAsia="宋体" w:cs="宋体"/>
        </w:rPr>
      </w:pPr>
    </w:p>
    <w:p w14:paraId="7FC23E1F">
      <w:pPr>
        <w:pStyle w:val="2"/>
        <w:ind w:firstLine="420"/>
        <w:rPr>
          <w:rFonts w:hint="eastAsia" w:ascii="宋体" w:hAnsi="宋体" w:eastAsia="宋体" w:cs="宋体"/>
        </w:rPr>
        <w:sectPr>
          <w:headerReference r:id="rId3" w:type="default"/>
          <w:footerReference r:id="rId4" w:type="default"/>
          <w:pgSz w:w="11907" w:h="16841"/>
          <w:pgMar w:top="1440" w:right="1080" w:bottom="1440" w:left="1080" w:header="877" w:footer="842" w:gutter="0"/>
          <w:cols w:space="720" w:num="1"/>
        </w:sectPr>
      </w:pPr>
    </w:p>
    <w:p w14:paraId="213D7011">
      <w:pPr>
        <w:keepNext/>
        <w:keepLines/>
        <w:pageBreakBefore w:val="0"/>
        <w:widowControl/>
        <w:numPr>
          <w:ilvl w:val="0"/>
          <w:numId w:val="1"/>
        </w:numPr>
        <w:tabs>
          <w:tab w:val="left" w:pos="0"/>
        </w:tabs>
        <w:kinsoku/>
        <w:wordWrap/>
        <w:overflowPunct/>
        <w:topLinePunct w:val="0"/>
        <w:autoSpaceDE/>
        <w:autoSpaceDN/>
        <w:bidi w:val="0"/>
        <w:adjustRightInd/>
        <w:snapToGrid/>
        <w:spacing w:before="10" w:after="10" w:line="500" w:lineRule="exact"/>
        <w:ind w:firstLine="0" w:firstLineChars="0"/>
        <w:jc w:val="center"/>
        <w:textAlignment w:val="auto"/>
        <w:outlineLvl w:val="0"/>
        <w:rPr>
          <w:rFonts w:hint="eastAsia" w:ascii="宋体" w:hAnsi="宋体" w:eastAsia="宋体" w:cs="宋体"/>
          <w:b/>
          <w:sz w:val="30"/>
          <w:szCs w:val="30"/>
        </w:rPr>
      </w:pPr>
      <w:r>
        <w:rPr>
          <w:rFonts w:hint="eastAsia" w:ascii="宋体" w:hAnsi="宋体" w:eastAsia="宋体" w:cs="宋体"/>
          <w:b/>
          <w:sz w:val="30"/>
          <w:szCs w:val="30"/>
        </w:rPr>
        <w:t>招标需求</w:t>
      </w:r>
    </w:p>
    <w:p w14:paraId="46A7B9C7">
      <w:pPr>
        <w:pStyle w:val="2"/>
        <w:keepNext w:val="0"/>
        <w:keepLines w:val="0"/>
        <w:pageBreakBefore w:val="0"/>
        <w:kinsoku/>
        <w:wordWrap/>
        <w:overflowPunct/>
        <w:topLinePunct w:val="0"/>
        <w:bidi w:val="0"/>
        <w:adjustRightInd/>
        <w:snapToGrid/>
        <w:spacing w:line="500" w:lineRule="exact"/>
        <w:ind w:firstLine="422" w:firstLineChars="200"/>
        <w:textAlignment w:val="auto"/>
        <w:rPr>
          <w:rFonts w:hint="eastAsia" w:ascii="宋体" w:hAnsi="宋体" w:eastAsia="宋体" w:cs="宋体"/>
          <w:b/>
        </w:rPr>
      </w:pPr>
      <w:r>
        <w:rPr>
          <w:rFonts w:hint="eastAsia" w:ascii="宋体" w:hAnsi="宋体" w:eastAsia="宋体" w:cs="宋体"/>
          <w:b/>
        </w:rPr>
        <w:t>一、项目概况</w:t>
      </w:r>
    </w:p>
    <w:p w14:paraId="4B719B1F">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1.项目名称：</w:t>
      </w:r>
      <w:r>
        <w:rPr>
          <w:rFonts w:hint="eastAsia" w:ascii="宋体" w:hAnsi="宋体" w:eastAsia="宋体" w:cs="宋体"/>
          <w:szCs w:val="21"/>
          <w:lang w:eastAsia="zh-CN"/>
        </w:rPr>
        <w:t>学院路道路工程（G525-雁塘路)-标识标牌采购与安装</w:t>
      </w:r>
      <w:r>
        <w:rPr>
          <w:rFonts w:hint="eastAsia" w:ascii="宋体" w:hAnsi="宋体" w:eastAsia="宋体" w:cs="宋体"/>
        </w:rPr>
        <w:t>。</w:t>
      </w:r>
    </w:p>
    <w:p w14:paraId="56F68D9C">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2.建设地点：</w:t>
      </w:r>
      <w:r>
        <w:rPr>
          <w:rFonts w:hint="eastAsia" w:ascii="宋体" w:hAnsi="宋体" w:eastAsia="宋体" w:cs="宋体"/>
          <w:szCs w:val="21"/>
          <w:highlight w:val="none"/>
        </w:rPr>
        <w:t>学院路北起G525(东西大道)，南至雁塘路</w:t>
      </w:r>
      <w:r>
        <w:rPr>
          <w:rFonts w:hint="eastAsia" w:ascii="宋体" w:hAnsi="宋体" w:eastAsia="宋体" w:cs="宋体"/>
        </w:rPr>
        <w:t>。</w:t>
      </w:r>
    </w:p>
    <w:p w14:paraId="7D66BC1C">
      <w:pPr>
        <w:pStyle w:val="2"/>
        <w:keepNext w:val="0"/>
        <w:keepLines w:val="0"/>
        <w:pageBreakBefore w:val="0"/>
        <w:kinsoku/>
        <w:wordWrap/>
        <w:overflowPunct/>
        <w:topLinePunct w:val="0"/>
        <w:bidi w:val="0"/>
        <w:adjustRightInd/>
        <w:snapToGrid/>
        <w:spacing w:line="500" w:lineRule="exact"/>
        <w:ind w:firstLine="422" w:firstLineChars="200"/>
        <w:textAlignment w:val="auto"/>
        <w:rPr>
          <w:rFonts w:hint="eastAsia" w:ascii="宋体" w:hAnsi="宋体" w:eastAsia="宋体" w:cs="宋体"/>
          <w:b/>
        </w:rPr>
      </w:pPr>
      <w:r>
        <w:rPr>
          <w:rFonts w:hint="eastAsia" w:ascii="宋体" w:hAnsi="宋体" w:eastAsia="宋体" w:cs="宋体"/>
          <w:b/>
        </w:rPr>
        <w:t>二、交安标识标牌的设计要求</w:t>
      </w:r>
    </w:p>
    <w:p w14:paraId="5CEBE598">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1. 规范性要求</w:t>
      </w:r>
    </w:p>
    <w:p w14:paraId="34F54F9F">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标准依据：遵循《道路交通标志和标线》（GB5768）、《公路交通标志和标线设置规范》（JTG D82）等国家标准。</w:t>
      </w:r>
    </w:p>
    <w:p w14:paraId="1D6DAF83">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内容准确性：文字、符号、颜色必须符合标准，例如：</w:t>
      </w:r>
    </w:p>
    <w:p w14:paraId="19F310ED">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警告标志采用黄底黑边黑图案；</w:t>
      </w:r>
    </w:p>
    <w:p w14:paraId="433391B6">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禁令标志采用白底红圈红杠黑图案；</w:t>
      </w:r>
    </w:p>
    <w:p w14:paraId="6F247A4C">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指示标志采用蓝底白图案；</w:t>
      </w:r>
    </w:p>
    <w:p w14:paraId="22A51F65">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尺寸与比例：根据道路等级、设计速度确定标识牌的大小，确保远距离可见性。</w:t>
      </w:r>
    </w:p>
    <w:p w14:paraId="2EB59653">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2. 功能性要求</w:t>
      </w:r>
    </w:p>
    <w:p w14:paraId="4E1AA0B7">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视认性：采用反光材料（如高强级反光膜），确保夜间或低光环境下清晰可见。</w:t>
      </w:r>
    </w:p>
    <w:p w14:paraId="18CFA240">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文字与背景对比强烈（如黑底白字、黄底黑字），避免色彩混淆。</w:t>
      </w:r>
    </w:p>
    <w:p w14:paraId="0EF10C05">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信息简明性：避免复杂文字或图案，优先使用图形符号（如箭头、警示符号）。</w:t>
      </w:r>
    </w:p>
    <w:p w14:paraId="2EB5034B">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文字内容需符合语言习惯，避免歧义（如 “前方学校” 而非 “学校区域”）。</w:t>
      </w:r>
    </w:p>
    <w:p w14:paraId="3C9C5C9D">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布局合理性：多标志组合时，按警告、禁令、指示顺序排列，间距适中。</w:t>
      </w:r>
    </w:p>
    <w:p w14:paraId="1E3D5205">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避免遮挡路灯、信号灯等其他交通设施。</w:t>
      </w:r>
    </w:p>
    <w:p w14:paraId="2A387308">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3. 环境适应性要求</w:t>
      </w:r>
    </w:p>
    <w:p w14:paraId="03AB02AE">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材料耐久性：选用耐候性强的材料（如铝合金、反光膜、UV 油墨），适应高温、雨雪、紫外线等环境。</w:t>
      </w:r>
    </w:p>
    <w:p w14:paraId="21C90177">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抗风抗震设计：根据当地气候条件，计算标识牌的风荷载和结构强度，确保安装稳固。</w:t>
      </w:r>
    </w:p>
    <w:p w14:paraId="26B7C9E2">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位置与高度：安装高度需符合规范（如公路标志下缘距地面≥2.5米），避免影响车辆和行人通行。</w:t>
      </w:r>
    </w:p>
    <w:p w14:paraId="5F433A43">
      <w:pPr>
        <w:pStyle w:val="2"/>
        <w:keepNext w:val="0"/>
        <w:keepLines w:val="0"/>
        <w:pageBreakBefore w:val="0"/>
        <w:kinsoku/>
        <w:wordWrap/>
        <w:overflowPunct/>
        <w:topLinePunct w:val="0"/>
        <w:bidi w:val="0"/>
        <w:adjustRightInd/>
        <w:snapToGrid/>
        <w:spacing w:line="500" w:lineRule="exact"/>
        <w:ind w:firstLine="422" w:firstLineChars="200"/>
        <w:textAlignment w:val="auto"/>
        <w:rPr>
          <w:rFonts w:hint="eastAsia" w:ascii="宋体" w:hAnsi="宋体" w:eastAsia="宋体" w:cs="宋体"/>
          <w:b/>
        </w:rPr>
      </w:pPr>
      <w:r>
        <w:rPr>
          <w:rFonts w:hint="eastAsia" w:ascii="宋体" w:hAnsi="宋体" w:eastAsia="宋体" w:cs="宋体"/>
          <w:b/>
        </w:rPr>
        <w:t>三、交安标识标牌的设计风格</w:t>
      </w:r>
    </w:p>
    <w:p w14:paraId="0E054955">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1. 标准化风格（基础要求）</w:t>
      </w:r>
    </w:p>
    <w:p w14:paraId="5FF63452">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统一化设计：严格遵循国家标准，确保全国范围内标识的一致性和可识别性。</w:t>
      </w:r>
    </w:p>
    <w:p w14:paraId="7453C522">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模块化结构：采用标准尺寸、形状和配色，便于批量生产和维护。</w:t>
      </w:r>
    </w:p>
    <w:p w14:paraId="5D25DEE6">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2. 现代简约风格</w:t>
      </w:r>
    </w:p>
    <w:p w14:paraId="6E42974E">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简洁线条：减少冗余装饰，突出核心信息（如箭头、数字）。</w:t>
      </w:r>
    </w:p>
    <w:p w14:paraId="4ED11AEE">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扁平化设计：使用二维图形和纯色背景，增强视觉传达效率。</w:t>
      </w:r>
    </w:p>
    <w:p w14:paraId="0BE52CCA">
      <w:pPr>
        <w:pStyle w:val="2"/>
        <w:keepNext w:val="0"/>
        <w:keepLines w:val="0"/>
        <w:pageBreakBefore w:val="0"/>
        <w:kinsoku/>
        <w:wordWrap/>
        <w:overflowPunct/>
        <w:topLinePunct w:val="0"/>
        <w:bidi w:val="0"/>
        <w:adjustRightInd/>
        <w:snapToGrid/>
        <w:spacing w:line="500" w:lineRule="exact"/>
        <w:ind w:firstLine="422" w:firstLineChars="200"/>
        <w:textAlignment w:val="auto"/>
        <w:rPr>
          <w:rFonts w:hint="eastAsia" w:ascii="宋体" w:hAnsi="宋体" w:eastAsia="宋体" w:cs="宋体"/>
          <w:b/>
        </w:rPr>
      </w:pPr>
      <w:r>
        <w:rPr>
          <w:rFonts w:hint="eastAsia" w:ascii="宋体" w:hAnsi="宋体" w:eastAsia="宋体" w:cs="宋体"/>
          <w:b/>
        </w:rPr>
        <w:t>四、设计注意事项</w:t>
      </w:r>
    </w:p>
    <w:p w14:paraId="2163486A">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避免过度设计：优先保证功能性，防止因装饰性元素影响信息传递。</w:t>
      </w:r>
    </w:p>
    <w:p w14:paraId="5C7B70C4">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动态更新：根据交通流量、道路改造等需求，及时调整标识内容（如新增限行标志）。</w:t>
      </w:r>
    </w:p>
    <w:p w14:paraId="60DBF599">
      <w:pPr>
        <w:pStyle w:val="2"/>
        <w:keepNext w:val="0"/>
        <w:keepLines w:val="0"/>
        <w:pageBreakBefore w:val="0"/>
        <w:kinsoku/>
        <w:wordWrap/>
        <w:overflowPunct/>
        <w:topLinePunct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合规审查：设计方案需通过交通管理部门的审核，确保符合法规要求。</w:t>
      </w:r>
    </w:p>
    <w:p w14:paraId="759DD56C">
      <w:pPr>
        <w:keepNext w:val="0"/>
        <w:keepLines w:val="0"/>
        <w:pageBreakBefore w:val="0"/>
        <w:kinsoku/>
        <w:wordWrap/>
        <w:overflowPunct/>
        <w:topLinePunct w:val="0"/>
        <w:bidi w:val="0"/>
        <w:adjustRightInd/>
        <w:snapToGrid/>
        <w:spacing w:line="500" w:lineRule="exact"/>
        <w:ind w:firstLine="422" w:firstLineChars="200"/>
        <w:textAlignment w:val="auto"/>
        <w:rPr>
          <w:rFonts w:hint="eastAsia" w:ascii="宋体" w:hAnsi="宋体" w:eastAsia="宋体" w:cs="宋体"/>
          <w:b/>
          <w:szCs w:val="22"/>
        </w:rPr>
      </w:pPr>
      <w:r>
        <w:rPr>
          <w:rFonts w:hint="eastAsia" w:ascii="宋体" w:hAnsi="宋体" w:eastAsia="宋体" w:cs="宋体"/>
          <w:b/>
          <w:szCs w:val="22"/>
        </w:rPr>
        <w:t>五、</w:t>
      </w:r>
      <w:r>
        <w:rPr>
          <w:rFonts w:hint="eastAsia" w:ascii="宋体" w:hAnsi="宋体" w:cs="宋体"/>
          <w:b/>
          <w:szCs w:val="22"/>
          <w:lang w:val="en-US" w:eastAsia="zh-CN"/>
        </w:rPr>
        <w:t>清单及</w:t>
      </w:r>
      <w:r>
        <w:rPr>
          <w:rFonts w:hint="eastAsia" w:ascii="宋体" w:hAnsi="宋体" w:eastAsia="宋体" w:cs="宋体"/>
          <w:b/>
          <w:szCs w:val="22"/>
        </w:rPr>
        <w:t>技术要求</w:t>
      </w:r>
    </w:p>
    <w:tbl>
      <w:tblPr>
        <w:tblStyle w:val="14"/>
        <w:tblW w:w="9760" w:type="dxa"/>
        <w:tblInd w:w="0" w:type="dxa"/>
        <w:shd w:val="clear" w:color="auto" w:fill="auto"/>
        <w:tblLayout w:type="fixed"/>
        <w:tblCellMar>
          <w:top w:w="0" w:type="dxa"/>
          <w:left w:w="0" w:type="dxa"/>
          <w:bottom w:w="0" w:type="dxa"/>
          <w:right w:w="0" w:type="dxa"/>
        </w:tblCellMar>
      </w:tblPr>
      <w:tblGrid>
        <w:gridCol w:w="598"/>
        <w:gridCol w:w="1227"/>
        <w:gridCol w:w="6228"/>
        <w:gridCol w:w="853"/>
        <w:gridCol w:w="854"/>
      </w:tblGrid>
      <w:tr w14:paraId="39BD8165">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7F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E4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6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FE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28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91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14:paraId="331EBB2F">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BC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23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71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1、类型:指路牌标志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2、材质、规格尺寸:4000*2400*3mm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二、φ377 F杆及基础浇筑: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2、材质:Q235焊接钢管，热轧无缝钢管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φ377*12mm 无缝钢管，横梁φ180*12mm 无缝钢管、横梁φ140*10mm 无缝钢管，连接钢管 φ121*10mm无缝钢管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4、油漆品种:钢构件热镀锌后喷塑，底部外包菠萝格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7、1800*2600*2400mmC25混凝土基础浇筑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28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49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3D80418E">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3A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50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4A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1、类型:指路牌标志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2、材质、规格尺寸:3000*1500*3mm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二、φ325 F杆及基础浇筑: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2、材质:Q235焊接钢管，热轧无缝钢管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φ325*12mm 无缝钢管，横梁φ168*10mm 无缝钢管、横梁φ140*10mm 无缝钢管，连接钢管 φ121*10mm无缝钢管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7、1800*2600*2400mmC25混凝土基础浇筑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52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8B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4740B311">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D3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8F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道路路名牌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D6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1、类型:路名牌标志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2、材质、规格尺寸:1500*360*2mm厚热镀锌钢板路名牌，1400*340*40mm热镀锌方钢管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4、标志板与杆件安装，包括安装及配件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37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C4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40E9E38A">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6F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0B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71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1、类型:注意行人标志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2、材质、规格尺寸:△900*2mm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A6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48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3D62AD58">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42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D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31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1、类型:人行横道标志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2、材质、规格尺寸:800*800*2mm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A4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8F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15C3BF94">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14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C1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AC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1、类型:停车让行标志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2、材质、规格尺寸:D800*2mm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DE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D0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018BF64">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FC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67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AD2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1、类型:停车让行标志、禁止左转标志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2、材质、规格尺寸:D800*2mm 铝合金板一块，φ800*2mm 铝合金板一块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78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0F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EBD2EF4">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28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08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54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1、类型:禁止行驶标志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58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B1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D04EAAF">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5F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83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65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1、类型:车道指引标牌，禁止行驶标牌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铝合金板2块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二、φ180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1、类型:双悬臂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φ180*10mm 无缝钢管，横梁φ121*6mm无缝钢管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7、1000*1600*1300mmC25混凝土基础浇筑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EB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6F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07BCC603">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95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06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26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1、类型:限速标志，禁止停车标志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铝合金板2块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二、φ168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φ168*6mm 无缝钢管，横梁φ76*4mm无缝钢管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7、1000*1600*1300mmC25混凝土基础浇筑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E0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22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08A2325">
        <w:tblPrEx>
          <w:shd w:val="clear" w:color="auto" w:fill="auto"/>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65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91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46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1、类型:车道指引标牌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铝合金板2块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二、φ168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φ168*6mm 无缝钢管，横梁φ76*4mm无缝钢管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7、1000*1600*1300mmC25混凝土基础浇筑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DC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73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36061005">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CB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02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6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A30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1、类型:线形诱导标志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2、材质、规格尺寸:1600*600*2mm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二、φ89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1、类型:双柱式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φ89mm 无缝钢管*2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7、400*400*600mm*2 C25混凝土基础浇筑</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75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EA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14:paraId="7B94BE0A">
      <w:pPr>
        <w:pStyle w:val="2"/>
        <w:keepNext w:val="0"/>
        <w:keepLines w:val="0"/>
        <w:pageBreakBefore w:val="0"/>
        <w:widowControl/>
        <w:kinsoku/>
        <w:wordWrap/>
        <w:overflowPunct/>
        <w:topLinePunct w:val="0"/>
        <w:autoSpaceDE w:val="0"/>
        <w:autoSpaceDN w:val="0"/>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注：技术参数为采购人最低要求，投标人原则上均需完全响应，只允许正偏离，不允许出现负偏离，所有的配件、基础等设置、配置均需满足相关验收要求。</w:t>
      </w:r>
    </w:p>
    <w:p w14:paraId="5C0029A5">
      <w:pPr>
        <w:keepNext w:val="0"/>
        <w:keepLines w:val="0"/>
        <w:pageBreakBefore w:val="0"/>
        <w:widowControl w:val="0"/>
        <w:kinsoku/>
        <w:wordWrap/>
        <w:overflowPunct/>
        <w:topLinePunct w:val="0"/>
        <w:autoSpaceDE/>
        <w:autoSpaceDN/>
        <w:bidi w:val="0"/>
        <w:adjustRightInd/>
        <w:snapToGrid/>
        <w:spacing w:after="120"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highlight w:val="none"/>
        </w:rPr>
        <w:t>六、</w:t>
      </w:r>
      <w:r>
        <w:rPr>
          <w:rFonts w:hint="eastAsia" w:ascii="宋体" w:hAnsi="宋体" w:eastAsia="宋体" w:cs="宋体"/>
          <w:b/>
          <w:szCs w:val="21"/>
        </w:rPr>
        <w:t>商务要求表</w:t>
      </w:r>
    </w:p>
    <w:tbl>
      <w:tblPr>
        <w:tblStyle w:val="14"/>
        <w:tblW w:w="9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7654"/>
      </w:tblGrid>
      <w:tr w14:paraId="01C33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9A13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质保期</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4D1354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rPr>
            </w:pPr>
            <w:r>
              <w:rPr>
                <w:rFonts w:hint="eastAsia" w:ascii="宋体" w:hAnsi="宋体" w:eastAsia="宋体" w:cs="宋体"/>
                <w:sz w:val="21"/>
                <w:szCs w:val="21"/>
              </w:rPr>
              <w:t>整个项目自交付安装、提交所有资料并通过最终验收之日起不少于</w:t>
            </w:r>
            <w:r>
              <w:rPr>
                <w:rFonts w:hint="eastAsia" w:ascii="宋体" w:hAnsi="宋体" w:cs="宋体"/>
                <w:sz w:val="21"/>
                <w:szCs w:val="21"/>
                <w:lang w:val="en-US" w:eastAsia="zh-CN"/>
              </w:rPr>
              <w:t>5</w:t>
            </w:r>
            <w:r>
              <w:rPr>
                <w:rFonts w:hint="eastAsia" w:ascii="宋体" w:hAnsi="宋体" w:eastAsia="宋体" w:cs="宋体"/>
                <w:sz w:val="21"/>
                <w:szCs w:val="21"/>
              </w:rPr>
              <w:t>年。</w:t>
            </w:r>
          </w:p>
        </w:tc>
      </w:tr>
      <w:tr w14:paraId="2B000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7"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5085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售后（技术）服务要求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2F24B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14:paraId="5F2ECF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2.出现故障后，中标人如未按上述要求进行响应，采购人可以采取必要的补救措施，由此产生的风险和费用将由中标人承担。</w:t>
            </w:r>
          </w:p>
          <w:p w14:paraId="2438AE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3.质保期外维修：维修及维护只收取成本费。</w:t>
            </w:r>
          </w:p>
          <w:p w14:paraId="45649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4.中标人应对所供货物实行终身维护。</w:t>
            </w:r>
          </w:p>
        </w:tc>
      </w:tr>
      <w:tr w14:paraId="73C3D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7C26C2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交货（服务）时间及地点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85F03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时间: </w:t>
            </w:r>
            <w:r>
              <w:rPr>
                <w:rFonts w:hint="eastAsia" w:ascii="宋体" w:hAnsi="宋体" w:eastAsia="宋体" w:cs="宋体"/>
                <w:sz w:val="21"/>
                <w:szCs w:val="21"/>
                <w:shd w:val="clear" w:color="FFFFFF" w:fill="D9D9D9"/>
              </w:rPr>
              <w:t>接采购人开工通知后</w:t>
            </w:r>
            <w:r>
              <w:rPr>
                <w:rFonts w:hint="eastAsia" w:ascii="宋体" w:hAnsi="宋体" w:cs="宋体"/>
                <w:sz w:val="21"/>
                <w:szCs w:val="21"/>
                <w:shd w:val="clear" w:color="FFFFFF" w:fill="D9D9D9"/>
                <w:lang w:val="en-US" w:eastAsia="zh-CN"/>
              </w:rPr>
              <w:t>9</w:t>
            </w:r>
            <w:r>
              <w:rPr>
                <w:rFonts w:hint="eastAsia" w:ascii="宋体" w:hAnsi="宋体" w:eastAsia="宋体" w:cs="宋体"/>
                <w:sz w:val="21"/>
                <w:szCs w:val="21"/>
                <w:shd w:val="clear" w:color="FFFFFF" w:fill="D9D9D9"/>
              </w:rPr>
              <w:t xml:space="preserve">0日内完成并通过验收。 </w:t>
            </w:r>
          </w:p>
          <w:p w14:paraId="42E64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地点：采购人指定地点。</w:t>
            </w:r>
          </w:p>
        </w:tc>
      </w:tr>
      <w:tr w14:paraId="5EAD7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1"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0EEAA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付款条件</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7EEB0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1、付款条件</w:t>
            </w:r>
          </w:p>
          <w:p w14:paraId="790413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（1）合同生效且项目具备实施条件后，支付合同金额的30%作为预付款；</w:t>
            </w:r>
          </w:p>
          <w:p w14:paraId="05B428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（2）安装完毕交付使用并经甲方验收通过后，付清余款。</w:t>
            </w:r>
          </w:p>
          <w:p w14:paraId="18BEBA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中标人向采购人办理货款结算手续，采购人需审核以下结算资料：合法发票原件、《采购合同》复印件、采购人签收的项目验收（预付款时无须提供）等相关资料；</w:t>
            </w:r>
          </w:p>
          <w:p w14:paraId="5B32F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2.付款时间</w:t>
            </w:r>
          </w:p>
          <w:p w14:paraId="4EF437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采购人将审核后的结算资料提交至单位财务部门，经审核无误后，单位财务部门在15个工作日内支付相应合同金额。</w:t>
            </w:r>
          </w:p>
        </w:tc>
      </w:tr>
      <w:tr w14:paraId="4774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6FCF1E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安   全</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39385C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中标人在项目实施中应注意自身安全，要设置防护设备，加强对施工人员的安全教育，在安装、施工期间发生的安全事故，均由中标人负全责。</w:t>
            </w:r>
          </w:p>
        </w:tc>
      </w:tr>
    </w:tbl>
    <w:p w14:paraId="2AB2D6DE">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七、招标代理费</w:t>
      </w:r>
    </w:p>
    <w:p w14:paraId="5620A413">
      <w:pPr>
        <w:pStyle w:val="5"/>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（一）招标代理费：中标人在签订合同前，应向招标代理机构一次性支付代理服务费。</w:t>
      </w:r>
    </w:p>
    <w:p w14:paraId="6AC5FE93">
      <w:pPr>
        <w:pStyle w:val="5"/>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（二）代理服务收费标准：</w:t>
      </w:r>
      <w:r>
        <w:rPr>
          <w:rFonts w:hint="eastAsia" w:ascii="宋体" w:hAnsi="宋体" w:eastAsia="宋体" w:cs="宋体"/>
          <w:bCs/>
          <w:sz w:val="21"/>
          <w:szCs w:val="21"/>
          <w:highlight w:val="none"/>
          <w:lang w:val="en-US" w:eastAsia="zh-CN"/>
        </w:rPr>
        <w:t>按照“计价格[2002]1980号”文件标准计算后*80%</w:t>
      </w:r>
      <w:r>
        <w:rPr>
          <w:rFonts w:hint="eastAsia" w:ascii="宋体" w:hAnsi="宋体" w:eastAsia="宋体" w:cs="宋体"/>
          <w:sz w:val="21"/>
          <w:szCs w:val="21"/>
          <w:highlight w:val="none"/>
        </w:rPr>
        <w:t>，</w:t>
      </w:r>
      <w:r>
        <w:rPr>
          <w:rFonts w:hint="eastAsia" w:ascii="宋体" w:hAnsi="宋体" w:eastAsia="宋体" w:cs="宋体"/>
          <w:bCs/>
          <w:sz w:val="21"/>
          <w:szCs w:val="21"/>
          <w:highlight w:val="none"/>
          <w:lang w:val="en-US" w:eastAsia="zh-CN"/>
        </w:rPr>
        <w:t>基数为中标金额。</w:t>
      </w:r>
    </w:p>
    <w:tbl>
      <w:tblPr>
        <w:tblStyle w:val="14"/>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1461"/>
        <w:gridCol w:w="1483"/>
        <w:gridCol w:w="1540"/>
        <w:gridCol w:w="1568"/>
        <w:gridCol w:w="1499"/>
      </w:tblGrid>
      <w:tr w14:paraId="0EFCD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2129" w:type="dxa"/>
            <w:noWrap w:val="0"/>
            <w:vAlign w:val="center"/>
          </w:tcPr>
          <w:p w14:paraId="48E0BB32">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中标金额（万元）</w:t>
            </w:r>
          </w:p>
        </w:tc>
        <w:tc>
          <w:tcPr>
            <w:tcW w:w="1461" w:type="dxa"/>
            <w:noWrap w:val="0"/>
            <w:vAlign w:val="center"/>
          </w:tcPr>
          <w:p w14:paraId="3EDF2673">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 以下</w:t>
            </w:r>
          </w:p>
        </w:tc>
        <w:tc>
          <w:tcPr>
            <w:tcW w:w="1483" w:type="dxa"/>
            <w:noWrap w:val="0"/>
            <w:vAlign w:val="center"/>
          </w:tcPr>
          <w:p w14:paraId="7D1E9B0F">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100-500</w:t>
            </w:r>
          </w:p>
        </w:tc>
        <w:tc>
          <w:tcPr>
            <w:tcW w:w="1540" w:type="dxa"/>
            <w:noWrap w:val="0"/>
            <w:vAlign w:val="center"/>
          </w:tcPr>
          <w:p w14:paraId="33FA627A">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500-1000</w:t>
            </w:r>
          </w:p>
        </w:tc>
        <w:tc>
          <w:tcPr>
            <w:tcW w:w="1568" w:type="dxa"/>
            <w:noWrap w:val="0"/>
            <w:vAlign w:val="center"/>
          </w:tcPr>
          <w:p w14:paraId="38F6B990">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1000-5000</w:t>
            </w:r>
          </w:p>
        </w:tc>
        <w:tc>
          <w:tcPr>
            <w:tcW w:w="1499" w:type="dxa"/>
            <w:noWrap w:val="0"/>
            <w:vAlign w:val="center"/>
          </w:tcPr>
          <w:p w14:paraId="0D15A621">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5000-10000</w:t>
            </w:r>
          </w:p>
        </w:tc>
      </w:tr>
      <w:tr w14:paraId="34482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2129" w:type="dxa"/>
            <w:noWrap w:val="0"/>
            <w:vAlign w:val="center"/>
          </w:tcPr>
          <w:p w14:paraId="17CE79CB">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费率（货物类）</w:t>
            </w:r>
          </w:p>
        </w:tc>
        <w:tc>
          <w:tcPr>
            <w:tcW w:w="1461" w:type="dxa"/>
            <w:noWrap w:val="0"/>
            <w:vAlign w:val="center"/>
          </w:tcPr>
          <w:p w14:paraId="2695FFE7">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483" w:type="dxa"/>
            <w:noWrap w:val="0"/>
            <w:vAlign w:val="center"/>
          </w:tcPr>
          <w:p w14:paraId="1FE10E25">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540" w:type="dxa"/>
            <w:noWrap w:val="0"/>
            <w:vAlign w:val="center"/>
          </w:tcPr>
          <w:p w14:paraId="1586B310">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0.8%</w:t>
            </w:r>
          </w:p>
        </w:tc>
        <w:tc>
          <w:tcPr>
            <w:tcW w:w="1568" w:type="dxa"/>
            <w:noWrap w:val="0"/>
            <w:vAlign w:val="center"/>
          </w:tcPr>
          <w:p w14:paraId="2BEEDDF6">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1499" w:type="dxa"/>
            <w:noWrap w:val="0"/>
            <w:vAlign w:val="center"/>
          </w:tcPr>
          <w:p w14:paraId="264677E6">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0.25%</w:t>
            </w:r>
          </w:p>
        </w:tc>
      </w:tr>
    </w:tbl>
    <w:p w14:paraId="21B20C33">
      <w:pPr>
        <w:pStyle w:val="5"/>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（三）若项目中标金额较小，按收费标准计算的代理费小于</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000 元的，按代理服务费 </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000 元收取。</w:t>
      </w:r>
    </w:p>
    <w:p w14:paraId="23D453B4">
      <w:pPr>
        <w:pStyle w:val="5"/>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（四）代理费不在投标报价中单列。</w:t>
      </w:r>
    </w:p>
    <w:p w14:paraId="3ABA5835">
      <w:pPr>
        <w:rPr>
          <w:rFonts w:hint="eastAsia" w:ascii="宋体" w:hAnsi="宋体" w:eastAsia="宋体" w:cs="宋体"/>
        </w:rPr>
        <w:sectPr>
          <w:pgSz w:w="11907" w:h="16841"/>
          <w:pgMar w:top="1440" w:right="1080" w:bottom="1440" w:left="1080" w:header="877" w:footer="842" w:gutter="0"/>
          <w:cols w:space="720" w:num="1"/>
        </w:sectPr>
      </w:pPr>
    </w:p>
    <w:bookmarkEnd w:id="17"/>
    <w:bookmarkEnd w:id="18"/>
    <w:p w14:paraId="5108EED0">
      <w:pPr>
        <w:pStyle w:val="3"/>
        <w:pageBreakBefore w:val="0"/>
        <w:kinsoku/>
        <w:wordWrap/>
        <w:overflowPunct/>
        <w:topLinePunct w:val="0"/>
        <w:autoSpaceDE/>
        <w:autoSpaceDN/>
        <w:bidi w:val="0"/>
        <w:adjustRightInd/>
        <w:snapToGrid/>
        <w:spacing w:before="10" w:after="10" w:line="500" w:lineRule="exact"/>
        <w:ind w:firstLine="0" w:firstLineChars="0"/>
        <w:jc w:val="center"/>
        <w:textAlignment w:val="auto"/>
        <w:rPr>
          <w:rFonts w:hint="eastAsia" w:ascii="宋体" w:hAnsi="宋体" w:eastAsia="宋体" w:cs="宋体"/>
          <w:b w:val="0"/>
          <w:sz w:val="30"/>
          <w:szCs w:val="30"/>
        </w:rPr>
      </w:pPr>
      <w:bookmarkStart w:id="25" w:name="_Toc14615"/>
      <w:r>
        <w:rPr>
          <w:rFonts w:hint="eastAsia" w:ascii="宋体" w:hAnsi="宋体" w:eastAsia="宋体" w:cs="宋体"/>
          <w:bCs w:val="0"/>
          <w:kern w:val="2"/>
          <w:sz w:val="30"/>
          <w:szCs w:val="30"/>
        </w:rPr>
        <w:t>第三章  投标人须知</w:t>
      </w:r>
      <w:bookmarkEnd w:id="3"/>
      <w:bookmarkEnd w:id="4"/>
      <w:bookmarkEnd w:id="5"/>
      <w:bookmarkEnd w:id="6"/>
      <w:bookmarkEnd w:id="7"/>
      <w:bookmarkEnd w:id="25"/>
    </w:p>
    <w:p w14:paraId="36E6EEBD">
      <w:pPr>
        <w:keepNext w:val="0"/>
        <w:keepLines w:val="0"/>
        <w:pageBreakBefore w:val="0"/>
        <w:widowControl w:val="0"/>
        <w:kinsoku/>
        <w:wordWrap/>
        <w:overflowPunct/>
        <w:topLinePunct w:val="0"/>
        <w:autoSpaceDE/>
        <w:autoSpaceDN/>
        <w:bidi w:val="0"/>
        <w:adjustRightInd/>
        <w:snapToGrid/>
        <w:spacing w:before="0" w:beforeLines="50" w:after="0" w:afterLines="50" w:line="500" w:lineRule="exact"/>
        <w:ind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前附表</w:t>
      </w:r>
    </w:p>
    <w:tbl>
      <w:tblPr>
        <w:tblStyle w:val="14"/>
        <w:tblW w:w="974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37"/>
        <w:gridCol w:w="6706"/>
      </w:tblGrid>
      <w:tr w14:paraId="65CB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38A414CF">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bookmarkStart w:id="26" w:name="OLE_LINK81"/>
            <w:bookmarkStart w:id="27" w:name="OLE_LINK82"/>
            <w:r>
              <w:rPr>
                <w:rFonts w:hint="eastAsia" w:ascii="宋体" w:hAnsi="宋体" w:eastAsia="宋体" w:cs="宋体"/>
                <w:sz w:val="21"/>
                <w:szCs w:val="21"/>
              </w:rPr>
              <w:t>序号</w:t>
            </w:r>
          </w:p>
        </w:tc>
        <w:tc>
          <w:tcPr>
            <w:tcW w:w="2237" w:type="dxa"/>
            <w:noWrap w:val="0"/>
            <w:vAlign w:val="center"/>
          </w:tcPr>
          <w:p w14:paraId="53B895A2">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名    称</w:t>
            </w:r>
          </w:p>
        </w:tc>
        <w:tc>
          <w:tcPr>
            <w:tcW w:w="6706" w:type="dxa"/>
            <w:noWrap w:val="0"/>
            <w:vAlign w:val="center"/>
          </w:tcPr>
          <w:p w14:paraId="4EB74159">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内          容</w:t>
            </w:r>
          </w:p>
        </w:tc>
      </w:tr>
      <w:tr w14:paraId="5B11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97" w:type="dxa"/>
            <w:noWrap w:val="0"/>
            <w:vAlign w:val="center"/>
          </w:tcPr>
          <w:p w14:paraId="150D0D97">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237" w:type="dxa"/>
            <w:noWrap w:val="0"/>
            <w:vAlign w:val="center"/>
          </w:tcPr>
          <w:p w14:paraId="3A1E17E6">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采购人</w:t>
            </w:r>
          </w:p>
        </w:tc>
        <w:tc>
          <w:tcPr>
            <w:tcW w:w="6706" w:type="dxa"/>
            <w:noWrap w:val="0"/>
            <w:vAlign w:val="center"/>
          </w:tcPr>
          <w:p w14:paraId="3A9399BD">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名称：海宁市盐仓综合开发有限公司</w:t>
            </w:r>
          </w:p>
          <w:p w14:paraId="26689BA6">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联系地址：海宁市长安镇</w:t>
            </w:r>
          </w:p>
          <w:p w14:paraId="5B12B2A8">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联系人：张先生</w:t>
            </w:r>
          </w:p>
          <w:p w14:paraId="3B6DD63F">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电话：0573-87412588</w:t>
            </w:r>
          </w:p>
        </w:tc>
      </w:tr>
      <w:tr w14:paraId="5DF3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97" w:type="dxa"/>
            <w:noWrap w:val="0"/>
            <w:vAlign w:val="center"/>
          </w:tcPr>
          <w:p w14:paraId="4E84E3B7">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237" w:type="dxa"/>
            <w:noWrap w:val="0"/>
            <w:vAlign w:val="center"/>
          </w:tcPr>
          <w:p w14:paraId="32A1CB24">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采购代理机构</w:t>
            </w:r>
          </w:p>
        </w:tc>
        <w:tc>
          <w:tcPr>
            <w:tcW w:w="6706" w:type="dxa"/>
            <w:noWrap w:val="0"/>
            <w:vAlign w:val="center"/>
          </w:tcPr>
          <w:p w14:paraId="1F6B9515">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名称：嘉兴锦大工程管理咨询有限公司</w:t>
            </w:r>
          </w:p>
          <w:p w14:paraId="4EFD285A">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地址：海宁文宗南路96号新桥社区党群服务中心四楼；</w:t>
            </w:r>
          </w:p>
          <w:p w14:paraId="1F1CE50C">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 xml:space="preserve">联系人：金女士  </w:t>
            </w:r>
          </w:p>
          <w:p w14:paraId="0C2929B7">
            <w:pPr>
              <w:keepNext w:val="0"/>
              <w:keepLines w:val="0"/>
              <w:pageBreakBefore w:val="0"/>
              <w:kinsoku/>
              <w:wordWrap/>
              <w:overflowPunct/>
              <w:topLinePunct w:val="0"/>
              <w:bidi w:val="0"/>
              <w:adjustRightInd/>
              <w:snapToGrid/>
              <w:spacing w:line="500" w:lineRule="exact"/>
              <w:jc w:val="left"/>
              <w:rPr>
                <w:rFonts w:hint="eastAsia" w:ascii="宋体" w:hAnsi="宋体" w:eastAsia="宋体" w:cs="宋体"/>
                <w:sz w:val="21"/>
                <w:szCs w:val="21"/>
              </w:rPr>
            </w:pPr>
            <w:r>
              <w:rPr>
                <w:rFonts w:hint="eastAsia" w:ascii="宋体" w:hAnsi="宋体" w:eastAsia="宋体" w:cs="宋体"/>
                <w:sz w:val="21"/>
                <w:szCs w:val="21"/>
              </w:rPr>
              <w:t>联系电话：0573-87808008</w:t>
            </w:r>
          </w:p>
        </w:tc>
      </w:tr>
      <w:tr w14:paraId="2852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182738BE">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2237" w:type="dxa"/>
            <w:noWrap w:val="0"/>
            <w:vAlign w:val="center"/>
          </w:tcPr>
          <w:p w14:paraId="00212843">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项目名称及编号</w:t>
            </w:r>
          </w:p>
        </w:tc>
        <w:tc>
          <w:tcPr>
            <w:tcW w:w="6706" w:type="dxa"/>
            <w:noWrap w:val="0"/>
            <w:vAlign w:val="center"/>
          </w:tcPr>
          <w:p w14:paraId="7D73F5A9">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lang w:eastAsia="zh-CN"/>
              </w:rPr>
              <w:t>学院路道路工程（G525-雁塘路)-标识标牌采购与安装</w:t>
            </w:r>
            <w:r>
              <w:rPr>
                <w:rFonts w:hint="eastAsia" w:ascii="宋体" w:hAnsi="宋体" w:eastAsia="宋体" w:cs="宋体"/>
                <w:sz w:val="21"/>
                <w:szCs w:val="21"/>
              </w:rPr>
              <w:t>（</w:t>
            </w:r>
            <w:r>
              <w:rPr>
                <w:rFonts w:hint="eastAsia" w:ascii="宋体" w:hAnsi="宋体" w:eastAsia="宋体" w:cs="宋体"/>
                <w:sz w:val="21"/>
                <w:szCs w:val="21"/>
                <w:lang w:eastAsia="zh-CN"/>
              </w:rPr>
              <w:t>JDCG2025019</w:t>
            </w:r>
            <w:r>
              <w:rPr>
                <w:rFonts w:hint="eastAsia" w:ascii="宋体" w:hAnsi="宋体" w:eastAsia="宋体" w:cs="宋体"/>
                <w:sz w:val="21"/>
                <w:szCs w:val="21"/>
              </w:rPr>
              <w:t>）</w:t>
            </w:r>
          </w:p>
        </w:tc>
      </w:tr>
      <w:tr w14:paraId="6552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173DBA45">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2237" w:type="dxa"/>
            <w:noWrap w:val="0"/>
            <w:vAlign w:val="center"/>
          </w:tcPr>
          <w:p w14:paraId="0EE14CA5">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highlight w:val="yellow"/>
              </w:rPr>
            </w:pPr>
            <w:r>
              <w:rPr>
                <w:rFonts w:hint="eastAsia" w:ascii="宋体" w:hAnsi="宋体" w:eastAsia="宋体" w:cs="宋体"/>
                <w:sz w:val="21"/>
                <w:szCs w:val="21"/>
              </w:rPr>
              <w:t>最高限价</w:t>
            </w:r>
          </w:p>
        </w:tc>
        <w:tc>
          <w:tcPr>
            <w:tcW w:w="6706" w:type="dxa"/>
            <w:noWrap w:val="0"/>
            <w:vAlign w:val="center"/>
          </w:tcPr>
          <w:p w14:paraId="07E3B437">
            <w:pPr>
              <w:keepNext w:val="0"/>
              <w:keepLines w:val="0"/>
              <w:pageBreakBefore w:val="0"/>
              <w:widowControl/>
              <w:kinsoku/>
              <w:wordWrap/>
              <w:overflowPunct/>
              <w:topLinePunct w:val="0"/>
              <w:bidi w:val="0"/>
              <w:adjustRightInd/>
              <w:snapToGrid/>
              <w:spacing w:line="500" w:lineRule="exact"/>
              <w:rPr>
                <w:rFonts w:hint="eastAsia" w:ascii="宋体" w:hAnsi="宋体" w:eastAsia="宋体" w:cs="宋体"/>
                <w:bCs/>
                <w:sz w:val="21"/>
                <w:szCs w:val="21"/>
                <w:highlight w:val="yellow"/>
              </w:rPr>
            </w:pPr>
            <w:r>
              <w:rPr>
                <w:rFonts w:hint="eastAsia" w:ascii="宋体" w:hAnsi="宋体" w:eastAsia="宋体" w:cs="宋体"/>
                <w:sz w:val="21"/>
                <w:szCs w:val="21"/>
                <w:shd w:val="clear" w:color="FFFFFF" w:fill="D9D9D9"/>
                <w:lang w:val="en-US" w:eastAsia="zh-CN"/>
              </w:rPr>
              <w:t>43</w:t>
            </w:r>
            <w:r>
              <w:rPr>
                <w:rFonts w:hint="eastAsia" w:ascii="宋体" w:hAnsi="宋体" w:eastAsia="宋体" w:cs="宋体"/>
                <w:sz w:val="21"/>
                <w:szCs w:val="21"/>
                <w:shd w:val="clear" w:color="FFFFFF" w:fill="D9D9D9"/>
              </w:rPr>
              <w:t>万元</w:t>
            </w:r>
          </w:p>
        </w:tc>
      </w:tr>
      <w:tr w14:paraId="48D7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49B10A7F">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2237" w:type="dxa"/>
            <w:noWrap w:val="0"/>
            <w:vAlign w:val="center"/>
          </w:tcPr>
          <w:p w14:paraId="06E60E05">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工期</w:t>
            </w:r>
          </w:p>
        </w:tc>
        <w:tc>
          <w:tcPr>
            <w:tcW w:w="6706" w:type="dxa"/>
            <w:noWrap w:val="0"/>
            <w:vAlign w:val="center"/>
          </w:tcPr>
          <w:p w14:paraId="24E0DC6F">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highlight w:val="yellow"/>
              </w:rPr>
            </w:pPr>
            <w:r>
              <w:rPr>
                <w:rFonts w:hint="eastAsia" w:ascii="宋体" w:hAnsi="宋体" w:eastAsia="宋体" w:cs="宋体"/>
                <w:sz w:val="21"/>
                <w:szCs w:val="21"/>
                <w:shd w:val="clear" w:color="FFFFFF" w:fill="D9D9D9"/>
              </w:rPr>
              <w:t>接采购人开工通知后</w:t>
            </w:r>
            <w:r>
              <w:rPr>
                <w:rFonts w:hint="eastAsia" w:ascii="宋体" w:hAnsi="宋体" w:cs="宋体"/>
                <w:sz w:val="21"/>
                <w:szCs w:val="21"/>
                <w:shd w:val="clear" w:color="FFFFFF" w:fill="D9D9D9"/>
                <w:lang w:val="en-US" w:eastAsia="zh-CN"/>
              </w:rPr>
              <w:t>9</w:t>
            </w:r>
            <w:r>
              <w:rPr>
                <w:rFonts w:hint="eastAsia" w:ascii="宋体" w:hAnsi="宋体" w:eastAsia="宋体" w:cs="宋体"/>
                <w:sz w:val="21"/>
                <w:szCs w:val="21"/>
                <w:shd w:val="clear" w:color="FFFFFF" w:fill="D9D9D9"/>
              </w:rPr>
              <w:t>0日内完成并</w:t>
            </w:r>
            <w:bookmarkStart w:id="88" w:name="_GoBack"/>
            <w:bookmarkEnd w:id="88"/>
            <w:r>
              <w:rPr>
                <w:rFonts w:hint="eastAsia" w:ascii="宋体" w:hAnsi="宋体" w:eastAsia="宋体" w:cs="宋体"/>
                <w:sz w:val="21"/>
                <w:szCs w:val="21"/>
                <w:shd w:val="clear" w:color="FFFFFF" w:fill="D9D9D9"/>
              </w:rPr>
              <w:t>通过验收</w:t>
            </w:r>
          </w:p>
        </w:tc>
      </w:tr>
      <w:tr w14:paraId="4C87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58A83DF1">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2237" w:type="dxa"/>
            <w:noWrap w:val="0"/>
            <w:vAlign w:val="center"/>
          </w:tcPr>
          <w:p w14:paraId="644E9FDA">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是否接受联合体</w:t>
            </w:r>
          </w:p>
        </w:tc>
        <w:tc>
          <w:tcPr>
            <w:tcW w:w="6706" w:type="dxa"/>
            <w:noWrap w:val="0"/>
            <w:vAlign w:val="center"/>
          </w:tcPr>
          <w:p w14:paraId="4CA2D1E9">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否</w:t>
            </w:r>
          </w:p>
        </w:tc>
      </w:tr>
      <w:tr w14:paraId="58E3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noWrap w:val="0"/>
            <w:vAlign w:val="center"/>
          </w:tcPr>
          <w:p w14:paraId="12B780FF">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2237" w:type="dxa"/>
            <w:noWrap w:val="0"/>
            <w:vAlign w:val="center"/>
          </w:tcPr>
          <w:p w14:paraId="199CC814">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报名时间</w:t>
            </w:r>
          </w:p>
        </w:tc>
        <w:tc>
          <w:tcPr>
            <w:tcW w:w="6706" w:type="dxa"/>
            <w:noWrap w:val="0"/>
            <w:vAlign w:val="center"/>
          </w:tcPr>
          <w:p w14:paraId="15AE2FDC">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1报名日期：自公告发布之日起5个工作日</w:t>
            </w:r>
          </w:p>
          <w:p w14:paraId="33063762">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2报名截止时间后至投标截止时间前允许潜在投标人报名；</w:t>
            </w:r>
          </w:p>
        </w:tc>
      </w:tr>
      <w:tr w14:paraId="20BD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noWrap w:val="0"/>
            <w:vAlign w:val="center"/>
          </w:tcPr>
          <w:p w14:paraId="02EED7C5">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bookmarkStart w:id="28" w:name="OLE_LINK80" w:colFirst="1" w:colLast="2"/>
            <w:bookmarkStart w:id="29" w:name="OLE_LINK79" w:colFirst="1" w:colLast="2"/>
            <w:bookmarkStart w:id="30" w:name="_Hlk184049827"/>
            <w:r>
              <w:rPr>
                <w:rFonts w:hint="eastAsia" w:ascii="宋体" w:hAnsi="宋体" w:eastAsia="宋体" w:cs="宋体"/>
                <w:sz w:val="21"/>
                <w:szCs w:val="21"/>
              </w:rPr>
              <w:t>8</w:t>
            </w:r>
          </w:p>
        </w:tc>
        <w:tc>
          <w:tcPr>
            <w:tcW w:w="2237" w:type="dxa"/>
            <w:noWrap w:val="0"/>
            <w:vAlign w:val="center"/>
          </w:tcPr>
          <w:p w14:paraId="7A30FDC3">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投标截止时间和</w:t>
            </w:r>
          </w:p>
          <w:p w14:paraId="66B66D40">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开标时间</w:t>
            </w:r>
          </w:p>
        </w:tc>
        <w:tc>
          <w:tcPr>
            <w:tcW w:w="6706" w:type="dxa"/>
            <w:noWrap w:val="0"/>
            <w:vAlign w:val="center"/>
          </w:tcPr>
          <w:p w14:paraId="6D14EE5B">
            <w:pPr>
              <w:keepNext w:val="0"/>
              <w:keepLines w:val="0"/>
              <w:pageBreakBefore w:val="0"/>
              <w:kinsoku/>
              <w:wordWrap/>
              <w:overflowPunct/>
              <w:topLinePunct w:val="0"/>
              <w:bidi w:val="0"/>
              <w:adjustRightInd/>
              <w:snapToGrid/>
              <w:spacing w:line="500" w:lineRule="exact"/>
              <w:rPr>
                <w:rFonts w:hint="eastAsia" w:ascii="宋体" w:hAnsi="宋体" w:eastAsia="宋体" w:cs="宋体"/>
                <w:kern w:val="2"/>
                <w:sz w:val="21"/>
                <w:szCs w:val="21"/>
              </w:rPr>
            </w:pPr>
            <w:r>
              <w:rPr>
                <w:rFonts w:hint="eastAsia" w:ascii="宋体" w:hAnsi="宋体" w:eastAsia="宋体" w:cs="宋体"/>
                <w:kern w:val="2"/>
                <w:sz w:val="21"/>
                <w:szCs w:val="21"/>
              </w:rPr>
              <w:t>2025年</w:t>
            </w:r>
            <w:r>
              <w:rPr>
                <w:rFonts w:hint="eastAsia" w:ascii="宋体" w:hAnsi="宋体" w:cs="宋体"/>
                <w:kern w:val="2"/>
                <w:sz w:val="21"/>
                <w:szCs w:val="21"/>
                <w:lang w:val="en-US" w:eastAsia="zh-CN"/>
              </w:rPr>
              <w:t>07</w:t>
            </w:r>
            <w:r>
              <w:rPr>
                <w:rFonts w:hint="eastAsia" w:ascii="宋体" w:hAnsi="宋体" w:eastAsia="宋体" w:cs="宋体"/>
                <w:kern w:val="2"/>
                <w:sz w:val="21"/>
                <w:szCs w:val="21"/>
              </w:rPr>
              <w:t>月</w:t>
            </w:r>
            <w:r>
              <w:rPr>
                <w:rFonts w:hint="eastAsia" w:ascii="宋体" w:hAnsi="宋体" w:cs="宋体"/>
                <w:kern w:val="2"/>
                <w:sz w:val="21"/>
                <w:szCs w:val="21"/>
                <w:lang w:val="en-US" w:eastAsia="zh-CN"/>
              </w:rPr>
              <w:t>01</w:t>
            </w:r>
            <w:r>
              <w:rPr>
                <w:rFonts w:hint="eastAsia" w:ascii="宋体" w:hAnsi="宋体" w:eastAsia="宋体" w:cs="宋体"/>
                <w:kern w:val="2"/>
                <w:sz w:val="21"/>
                <w:szCs w:val="21"/>
              </w:rPr>
              <w:t>日9点</w:t>
            </w:r>
            <w:r>
              <w:rPr>
                <w:rFonts w:hint="eastAsia" w:ascii="宋体" w:hAnsi="宋体" w:cs="宋体"/>
                <w:kern w:val="2"/>
                <w:sz w:val="21"/>
                <w:szCs w:val="21"/>
                <w:lang w:val="en-US" w:eastAsia="zh-CN"/>
              </w:rPr>
              <w:t>30</w:t>
            </w:r>
            <w:r>
              <w:rPr>
                <w:rFonts w:hint="eastAsia" w:ascii="宋体" w:hAnsi="宋体" w:eastAsia="宋体" w:cs="宋体"/>
                <w:kern w:val="2"/>
                <w:sz w:val="21"/>
                <w:szCs w:val="21"/>
              </w:rPr>
              <w:t>分</w:t>
            </w:r>
          </w:p>
          <w:p w14:paraId="7D4E5782">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本项目有关投标、开标时间以中心服务器时间为准。</w:t>
            </w:r>
          </w:p>
        </w:tc>
      </w:tr>
      <w:tr w14:paraId="2BC2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noWrap w:val="0"/>
            <w:vAlign w:val="center"/>
          </w:tcPr>
          <w:p w14:paraId="6C0637A3">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2237" w:type="dxa"/>
            <w:noWrap w:val="0"/>
            <w:vAlign w:val="center"/>
          </w:tcPr>
          <w:p w14:paraId="3C4661B7">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递交投标文件和开标地点（网址）</w:t>
            </w:r>
          </w:p>
        </w:tc>
        <w:tc>
          <w:tcPr>
            <w:tcW w:w="6706" w:type="dxa"/>
            <w:noWrap w:val="0"/>
            <w:vAlign w:val="center"/>
          </w:tcPr>
          <w:p w14:paraId="41103961">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乐采云平台：https://www.lecaiyun.com/，海宁市文苑南路138号浙江江南要素交易中心。</w:t>
            </w:r>
          </w:p>
        </w:tc>
      </w:tr>
      <w:bookmarkEnd w:id="28"/>
      <w:bookmarkEnd w:id="29"/>
      <w:bookmarkEnd w:id="30"/>
      <w:tr w14:paraId="0417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97" w:type="dxa"/>
            <w:noWrap w:val="0"/>
            <w:vAlign w:val="center"/>
          </w:tcPr>
          <w:p w14:paraId="27768DDA">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2237" w:type="dxa"/>
            <w:noWrap w:val="0"/>
            <w:vAlign w:val="center"/>
          </w:tcPr>
          <w:p w14:paraId="33AD41BD">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投标保证金额及交纳截止时间</w:t>
            </w:r>
          </w:p>
        </w:tc>
        <w:tc>
          <w:tcPr>
            <w:tcW w:w="6706" w:type="dxa"/>
            <w:noWrap w:val="0"/>
            <w:vAlign w:val="center"/>
          </w:tcPr>
          <w:p w14:paraId="280923D3">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无</w:t>
            </w:r>
          </w:p>
        </w:tc>
      </w:tr>
      <w:tr w14:paraId="4C74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3162E000">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2237" w:type="dxa"/>
            <w:noWrap w:val="0"/>
            <w:vAlign w:val="center"/>
          </w:tcPr>
          <w:p w14:paraId="0E8CEC14">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706" w:type="dxa"/>
            <w:noWrap w:val="0"/>
            <w:vAlign w:val="center"/>
          </w:tcPr>
          <w:p w14:paraId="61F8BEB3">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自投标截止日起90日历天</w:t>
            </w:r>
          </w:p>
        </w:tc>
      </w:tr>
      <w:tr w14:paraId="7BDF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017A65C7">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2237" w:type="dxa"/>
            <w:noWrap w:val="0"/>
            <w:vAlign w:val="center"/>
          </w:tcPr>
          <w:p w14:paraId="736AED3E">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现场演示和讲解</w:t>
            </w:r>
          </w:p>
        </w:tc>
        <w:tc>
          <w:tcPr>
            <w:tcW w:w="6706" w:type="dxa"/>
            <w:noWrap w:val="0"/>
            <w:vAlign w:val="center"/>
          </w:tcPr>
          <w:p w14:paraId="72254BB7">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否</w:t>
            </w:r>
          </w:p>
        </w:tc>
      </w:tr>
      <w:tr w14:paraId="2514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97" w:type="dxa"/>
            <w:noWrap w:val="0"/>
            <w:vAlign w:val="center"/>
          </w:tcPr>
          <w:p w14:paraId="42D230C3">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13</w:t>
            </w:r>
          </w:p>
        </w:tc>
        <w:tc>
          <w:tcPr>
            <w:tcW w:w="2237" w:type="dxa"/>
            <w:noWrap w:val="0"/>
            <w:vAlign w:val="center"/>
          </w:tcPr>
          <w:p w14:paraId="4FD5EA84">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评标办法及</w:t>
            </w:r>
          </w:p>
          <w:p w14:paraId="1E6C85E1">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706" w:type="dxa"/>
            <w:noWrap w:val="0"/>
            <w:vAlign w:val="center"/>
          </w:tcPr>
          <w:p w14:paraId="60A994D5">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综合评分法，详见第四章</w:t>
            </w:r>
          </w:p>
        </w:tc>
      </w:tr>
      <w:tr w14:paraId="148A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7" w:type="dxa"/>
            <w:noWrap w:val="0"/>
            <w:vAlign w:val="center"/>
          </w:tcPr>
          <w:p w14:paraId="74ED59AC">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14</w:t>
            </w:r>
          </w:p>
        </w:tc>
        <w:tc>
          <w:tcPr>
            <w:tcW w:w="2237" w:type="dxa"/>
            <w:noWrap w:val="0"/>
            <w:vAlign w:val="center"/>
          </w:tcPr>
          <w:p w14:paraId="67DA7A6E">
            <w:pPr>
              <w:keepNext w:val="0"/>
              <w:keepLines w:val="0"/>
              <w:pageBreakBefore w:val="0"/>
              <w:kinsoku/>
              <w:wordWrap/>
              <w:overflowPunct/>
              <w:topLinePunct w:val="0"/>
              <w:autoSpaceDE w:val="0"/>
              <w:autoSpaceDN w:val="0"/>
              <w:bidi w:val="0"/>
              <w:adjustRightInd/>
              <w:snapToGrid/>
              <w:spacing w:line="500" w:lineRule="exact"/>
              <w:jc w:val="center"/>
              <w:textAlignment w:val="bottom"/>
              <w:rPr>
                <w:rFonts w:hint="eastAsia" w:ascii="宋体" w:hAnsi="宋体" w:eastAsia="宋体" w:cs="宋体"/>
                <w:sz w:val="21"/>
                <w:szCs w:val="21"/>
              </w:rPr>
            </w:pPr>
            <w:r>
              <w:rPr>
                <w:rFonts w:hint="eastAsia" w:ascii="宋体" w:hAnsi="宋体" w:eastAsia="宋体" w:cs="宋体"/>
                <w:sz w:val="21"/>
                <w:szCs w:val="21"/>
              </w:rPr>
              <w:t>履约保证金</w:t>
            </w:r>
          </w:p>
        </w:tc>
        <w:tc>
          <w:tcPr>
            <w:tcW w:w="6706" w:type="dxa"/>
            <w:noWrap w:val="0"/>
            <w:vAlign w:val="center"/>
          </w:tcPr>
          <w:p w14:paraId="70415D95">
            <w:pPr>
              <w:keepNext w:val="0"/>
              <w:keepLines w:val="0"/>
              <w:pageBreakBefore w:val="0"/>
              <w:kinsoku/>
              <w:wordWrap/>
              <w:overflowPunct/>
              <w:topLinePunct w:val="0"/>
              <w:autoSpaceDE w:val="0"/>
              <w:autoSpaceDN w:val="0"/>
              <w:bidi w:val="0"/>
              <w:adjustRightInd/>
              <w:snapToGrid/>
              <w:spacing w:line="500" w:lineRule="exact"/>
              <w:textAlignment w:val="bottom"/>
              <w:rPr>
                <w:rFonts w:hint="eastAsia" w:ascii="宋体" w:hAnsi="宋体" w:eastAsia="宋体" w:cs="宋体"/>
                <w:sz w:val="21"/>
                <w:szCs w:val="21"/>
              </w:rPr>
            </w:pPr>
            <w:r>
              <w:rPr>
                <w:rFonts w:hint="eastAsia" w:ascii="宋体" w:hAnsi="宋体" w:eastAsia="宋体" w:cs="宋体"/>
                <w:spacing w:val="-2"/>
                <w:sz w:val="21"/>
                <w:szCs w:val="21"/>
              </w:rPr>
              <w:t>不作要求</w:t>
            </w:r>
          </w:p>
        </w:tc>
      </w:tr>
      <w:tr w14:paraId="2531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97" w:type="dxa"/>
            <w:noWrap w:val="0"/>
            <w:vAlign w:val="center"/>
          </w:tcPr>
          <w:p w14:paraId="697F71C1">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15</w:t>
            </w:r>
          </w:p>
        </w:tc>
        <w:tc>
          <w:tcPr>
            <w:tcW w:w="2237" w:type="dxa"/>
            <w:noWrap w:val="0"/>
            <w:vAlign w:val="center"/>
          </w:tcPr>
          <w:p w14:paraId="6192CDC8">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采购信息发布媒体</w:t>
            </w:r>
          </w:p>
        </w:tc>
        <w:tc>
          <w:tcPr>
            <w:tcW w:w="6706" w:type="dxa"/>
            <w:noWrap w:val="0"/>
            <w:vAlign w:val="center"/>
          </w:tcPr>
          <w:p w14:paraId="3C2CB712">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"https://www.lecaiyun.com/"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https://www.lecaiyun.com/</w:t>
            </w:r>
            <w:r>
              <w:rPr>
                <w:rFonts w:hint="eastAsia" w:ascii="宋体" w:hAnsi="宋体" w:eastAsia="宋体" w:cs="宋体"/>
                <w:sz w:val="21"/>
                <w:szCs w:val="21"/>
              </w:rPr>
              <w:fldChar w:fldCharType="end"/>
            </w:r>
          </w:p>
          <w:p w14:paraId="0E9A0EFF">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"http://jxszwsjb.jiaxing.gov.cn/hnmain/"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https://jxszwsjb.jiaxing.gov.cn/col/col1229743950/index.html</w:t>
            </w:r>
            <w:r>
              <w:rPr>
                <w:rFonts w:hint="eastAsia" w:ascii="宋体" w:hAnsi="宋体" w:eastAsia="宋体" w:cs="宋体"/>
                <w:sz w:val="21"/>
                <w:szCs w:val="21"/>
              </w:rPr>
              <w:fldChar w:fldCharType="end"/>
            </w:r>
          </w:p>
          <w:p w14:paraId="356B7BF9">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 xml:space="preserve"> （如有变更公告，请及时了解和变更）</w:t>
            </w:r>
          </w:p>
        </w:tc>
      </w:tr>
      <w:tr w14:paraId="1FFF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noWrap w:val="0"/>
            <w:vAlign w:val="center"/>
          </w:tcPr>
          <w:p w14:paraId="24EA99E8">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16</w:t>
            </w:r>
          </w:p>
        </w:tc>
        <w:tc>
          <w:tcPr>
            <w:tcW w:w="2237" w:type="dxa"/>
            <w:noWrap w:val="0"/>
            <w:vAlign w:val="center"/>
          </w:tcPr>
          <w:p w14:paraId="2AE75DB8">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付款手续和</w:t>
            </w:r>
          </w:p>
          <w:p w14:paraId="4D978DC2">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付款时间</w:t>
            </w:r>
          </w:p>
        </w:tc>
        <w:tc>
          <w:tcPr>
            <w:tcW w:w="6706" w:type="dxa"/>
            <w:noWrap w:val="0"/>
            <w:vAlign w:val="center"/>
          </w:tcPr>
          <w:p w14:paraId="2EB2716D">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详见合同条款约定</w:t>
            </w:r>
          </w:p>
        </w:tc>
      </w:tr>
      <w:tr w14:paraId="4ADA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797" w:type="dxa"/>
            <w:noWrap w:val="0"/>
            <w:vAlign w:val="center"/>
          </w:tcPr>
          <w:p w14:paraId="24C49389">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17</w:t>
            </w:r>
          </w:p>
        </w:tc>
        <w:tc>
          <w:tcPr>
            <w:tcW w:w="2237" w:type="dxa"/>
            <w:noWrap w:val="0"/>
            <w:vAlign w:val="center"/>
          </w:tcPr>
          <w:p w14:paraId="58DC067C">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信用记录</w:t>
            </w:r>
          </w:p>
        </w:tc>
        <w:tc>
          <w:tcPr>
            <w:tcW w:w="6706" w:type="dxa"/>
            <w:noWrap w:val="0"/>
            <w:vAlign w:val="center"/>
          </w:tcPr>
          <w:p w14:paraId="307976F2">
            <w:pPr>
              <w:keepNext w:val="0"/>
              <w:keepLines w:val="0"/>
              <w:pageBreakBefore w:val="0"/>
              <w:kinsoku/>
              <w:wordWrap/>
              <w:overflowPunct/>
              <w:topLinePunct w:val="0"/>
              <w:autoSpaceDE w:val="0"/>
              <w:autoSpaceDN w:val="0"/>
              <w:bidi w:val="0"/>
              <w:adjustRightInd/>
              <w:snapToGrid/>
              <w:spacing w:line="500" w:lineRule="exact"/>
              <w:textAlignment w:val="bottom"/>
              <w:rPr>
                <w:rFonts w:hint="eastAsia" w:ascii="宋体" w:hAnsi="宋体" w:eastAsia="宋体" w:cs="宋体"/>
                <w:sz w:val="21"/>
                <w:szCs w:val="21"/>
              </w:rPr>
            </w:pPr>
            <w:r>
              <w:rPr>
                <w:rFonts w:hint="eastAsia" w:ascii="宋体" w:hAnsi="宋体" w:eastAsia="宋体" w:cs="宋体"/>
                <w:sz w:val="2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作为资格审查不通过处理。</w:t>
            </w:r>
          </w:p>
        </w:tc>
      </w:tr>
      <w:tr w14:paraId="612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97" w:type="dxa"/>
            <w:noWrap w:val="0"/>
            <w:vAlign w:val="center"/>
          </w:tcPr>
          <w:p w14:paraId="5C2474D7">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18</w:t>
            </w:r>
          </w:p>
        </w:tc>
        <w:tc>
          <w:tcPr>
            <w:tcW w:w="2237" w:type="dxa"/>
            <w:noWrap w:val="0"/>
            <w:vAlign w:val="center"/>
          </w:tcPr>
          <w:p w14:paraId="710308D1">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其他</w:t>
            </w:r>
          </w:p>
        </w:tc>
        <w:tc>
          <w:tcPr>
            <w:tcW w:w="6706" w:type="dxa"/>
            <w:noWrap w:val="0"/>
            <w:vAlign w:val="center"/>
          </w:tcPr>
          <w:p w14:paraId="11CBBDFA">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参照海国资办〔2024〕16号“海宁市人民政府国有资产监督管理办公室等3部门关于印发《海宁市属国有企业采购管理实施办法（试行）》的通知”执行。</w:t>
            </w:r>
          </w:p>
        </w:tc>
      </w:tr>
      <w:tr w14:paraId="6EC4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797" w:type="dxa"/>
            <w:noWrap w:val="0"/>
            <w:vAlign w:val="center"/>
          </w:tcPr>
          <w:p w14:paraId="7DEAE00F">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19</w:t>
            </w:r>
          </w:p>
        </w:tc>
        <w:tc>
          <w:tcPr>
            <w:tcW w:w="2237" w:type="dxa"/>
            <w:noWrap w:val="0"/>
            <w:vAlign w:val="center"/>
          </w:tcPr>
          <w:p w14:paraId="2D79BD3A">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电子投标文件的制作、加密、传输递交</w:t>
            </w:r>
          </w:p>
        </w:tc>
        <w:tc>
          <w:tcPr>
            <w:tcW w:w="6706" w:type="dxa"/>
            <w:noWrap w:val="0"/>
            <w:vAlign w:val="center"/>
          </w:tcPr>
          <w:p w14:paraId="30C8628A">
            <w:pPr>
              <w:keepNext w:val="0"/>
              <w:keepLines w:val="0"/>
              <w:pageBreakBefore w:val="0"/>
              <w:kinsoku/>
              <w:wordWrap/>
              <w:overflowPunct/>
              <w:topLinePunct w:val="0"/>
              <w:bidi w:val="0"/>
              <w:adjustRightInd/>
              <w:snapToGrid/>
              <w:spacing w:line="500" w:lineRule="exact"/>
              <w:rPr>
                <w:rFonts w:hint="eastAsia" w:ascii="宋体" w:hAnsi="宋体" w:eastAsia="宋体" w:cs="宋体"/>
                <w:color w:val="FF0000"/>
                <w:sz w:val="21"/>
                <w:szCs w:val="21"/>
              </w:rPr>
            </w:pPr>
            <w:r>
              <w:rPr>
                <w:rFonts w:hint="eastAsia" w:ascii="宋体" w:hAnsi="宋体" w:eastAsia="宋体" w:cs="宋体"/>
                <w:sz w:val="21"/>
                <w:szCs w:val="21"/>
              </w:rPr>
              <w:t>按电子交易平台及本招标文件要求制作、加密，电子投标文件中所须加盖公章部分均采用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tc>
      </w:tr>
      <w:tr w14:paraId="2697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7" w:type="dxa"/>
            <w:noWrap w:val="0"/>
            <w:vAlign w:val="center"/>
          </w:tcPr>
          <w:p w14:paraId="13A94B81">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20</w:t>
            </w:r>
          </w:p>
        </w:tc>
        <w:tc>
          <w:tcPr>
            <w:tcW w:w="2237" w:type="dxa"/>
            <w:noWrap w:val="0"/>
            <w:vAlign w:val="center"/>
          </w:tcPr>
          <w:p w14:paraId="27F68AAA">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参加开标人员和</w:t>
            </w:r>
          </w:p>
          <w:p w14:paraId="61B57C27">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携带资料</w:t>
            </w:r>
          </w:p>
        </w:tc>
        <w:tc>
          <w:tcPr>
            <w:tcW w:w="6706" w:type="dxa"/>
            <w:noWrap w:val="0"/>
            <w:vAlign w:val="center"/>
          </w:tcPr>
          <w:p w14:paraId="35AC64B4">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投标人代表无须参加现场开标。</w:t>
            </w:r>
          </w:p>
        </w:tc>
      </w:tr>
      <w:tr w14:paraId="1F26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7" w:type="dxa"/>
            <w:noWrap w:val="0"/>
            <w:vAlign w:val="center"/>
          </w:tcPr>
          <w:p w14:paraId="7CCBDD8F">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2237" w:type="dxa"/>
            <w:noWrap w:val="0"/>
            <w:vAlign w:val="center"/>
          </w:tcPr>
          <w:p w14:paraId="4C9549A1">
            <w:pPr>
              <w:keepNext w:val="0"/>
              <w:keepLines w:val="0"/>
              <w:pageBreakBefore w:val="0"/>
              <w:kinsoku/>
              <w:wordWrap/>
              <w:overflowPunct/>
              <w:topLinePunct w:val="0"/>
              <w:bidi w:val="0"/>
              <w:adjustRightInd/>
              <w:snapToGrid/>
              <w:spacing w:line="500" w:lineRule="exact"/>
              <w:jc w:val="center"/>
              <w:rPr>
                <w:rFonts w:hint="eastAsia" w:ascii="宋体" w:hAnsi="宋体" w:eastAsia="宋体" w:cs="宋体"/>
                <w:sz w:val="21"/>
                <w:szCs w:val="21"/>
              </w:rPr>
            </w:pPr>
            <w:r>
              <w:rPr>
                <w:rFonts w:hint="eastAsia" w:ascii="宋体" w:hAnsi="宋体" w:eastAsia="宋体" w:cs="宋体"/>
                <w:sz w:val="21"/>
                <w:szCs w:val="21"/>
              </w:rPr>
              <w:t>招标文件解释权</w:t>
            </w:r>
          </w:p>
        </w:tc>
        <w:tc>
          <w:tcPr>
            <w:tcW w:w="6706" w:type="dxa"/>
            <w:noWrap w:val="0"/>
            <w:vAlign w:val="center"/>
          </w:tcPr>
          <w:p w14:paraId="32ADBC7A">
            <w:pPr>
              <w:keepNext w:val="0"/>
              <w:keepLines w:val="0"/>
              <w:pageBreakBefore w:val="0"/>
              <w:kinsoku/>
              <w:wordWrap/>
              <w:overflowPunct/>
              <w:topLinePunct w:val="0"/>
              <w:bidi w:val="0"/>
              <w:adjustRightInd/>
              <w:snapToGrid/>
              <w:spacing w:line="500" w:lineRule="exact"/>
              <w:rPr>
                <w:rFonts w:hint="eastAsia" w:ascii="宋体" w:hAnsi="宋体" w:eastAsia="宋体" w:cs="宋体"/>
                <w:sz w:val="21"/>
                <w:szCs w:val="21"/>
              </w:rPr>
            </w:pPr>
            <w:r>
              <w:rPr>
                <w:rFonts w:hint="eastAsia" w:ascii="宋体" w:hAnsi="宋体" w:eastAsia="宋体" w:cs="宋体"/>
                <w:sz w:val="21"/>
                <w:szCs w:val="21"/>
              </w:rPr>
              <w:t>属于采购人和</w:t>
            </w:r>
            <w:r>
              <w:rPr>
                <w:rFonts w:hint="eastAsia" w:ascii="宋体" w:hAnsi="宋体" w:eastAsia="宋体" w:cs="宋体"/>
                <w:sz w:val="21"/>
                <w:szCs w:val="21"/>
                <w:lang w:eastAsia="zh-CN"/>
              </w:rPr>
              <w:t>嘉兴锦大工程管理咨询有限公司</w:t>
            </w:r>
            <w:r>
              <w:rPr>
                <w:rFonts w:hint="eastAsia" w:ascii="宋体" w:hAnsi="宋体" w:eastAsia="宋体" w:cs="宋体"/>
                <w:sz w:val="21"/>
                <w:szCs w:val="21"/>
              </w:rPr>
              <w:t>。</w:t>
            </w:r>
          </w:p>
        </w:tc>
      </w:tr>
      <w:bookmarkEnd w:id="26"/>
      <w:bookmarkEnd w:id="27"/>
    </w:tbl>
    <w:p w14:paraId="3188749B">
      <w:pPr>
        <w:spacing w:line="400" w:lineRule="exact"/>
        <w:rPr>
          <w:rFonts w:hint="eastAsia" w:ascii="宋体" w:hAnsi="宋体" w:eastAsia="宋体" w:cs="宋体"/>
          <w:b/>
          <w:spacing w:val="20"/>
          <w:szCs w:val="21"/>
        </w:rPr>
      </w:pPr>
    </w:p>
    <w:p w14:paraId="1271D705">
      <w:pPr>
        <w:pStyle w:val="2"/>
        <w:rPr>
          <w:rFonts w:hint="eastAsia"/>
        </w:rPr>
      </w:pPr>
    </w:p>
    <w:p w14:paraId="6D03CEA8">
      <w:pPr>
        <w:pStyle w:val="7"/>
        <w:keepNext w:val="0"/>
        <w:keepLines w:val="0"/>
        <w:pageBreakBefore w:val="0"/>
        <w:widowControl w:val="0"/>
        <w:kinsoku/>
        <w:wordWrap/>
        <w:overflowPunct/>
        <w:topLinePunct w:val="0"/>
        <w:autoSpaceDE/>
        <w:autoSpaceDN/>
        <w:bidi w:val="0"/>
        <w:adjustRightInd/>
        <w:snapToGrid w:val="0"/>
        <w:spacing w:before="10" w:after="10" w:line="500" w:lineRule="exact"/>
        <w:ind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14:paraId="2622EAD3">
      <w:pPr>
        <w:pStyle w:val="7"/>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 适用范围</w:t>
      </w:r>
    </w:p>
    <w:p w14:paraId="7340D1E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本招标文件适用于该项目的招标、投标、评标、定标、验收、合同履约、付款等行为（法律、法规另有规定的，从其规定）。</w:t>
      </w:r>
    </w:p>
    <w:p w14:paraId="45D0CFEE">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（二）定义</w:t>
      </w:r>
    </w:p>
    <w:p w14:paraId="0CB29483">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1.“采购代理机构”指组织本次招标活动的</w:t>
      </w:r>
      <w:r>
        <w:rPr>
          <w:rFonts w:hint="eastAsia" w:ascii="宋体" w:hAnsi="宋体" w:eastAsia="宋体" w:cs="宋体"/>
          <w:szCs w:val="21"/>
          <w:u w:val="single"/>
          <w:lang w:eastAsia="zh-CN"/>
        </w:rPr>
        <w:t>嘉兴锦大工程管理咨询有限公司</w:t>
      </w:r>
      <w:r>
        <w:rPr>
          <w:rFonts w:hint="eastAsia" w:ascii="宋体" w:hAnsi="宋体" w:eastAsia="宋体" w:cs="宋体"/>
          <w:szCs w:val="21"/>
        </w:rPr>
        <w:t>；</w:t>
      </w:r>
    </w:p>
    <w:p w14:paraId="7FB133A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2.“采购人”指</w:t>
      </w:r>
      <w:r>
        <w:rPr>
          <w:rFonts w:hint="eastAsia" w:ascii="宋体" w:hAnsi="宋体" w:eastAsia="宋体" w:cs="宋体"/>
          <w:szCs w:val="21"/>
          <w:u w:val="single"/>
          <w:lang w:eastAsia="zh-CN"/>
        </w:rPr>
        <w:t>海宁市盐仓综合开发有限公司</w:t>
      </w:r>
      <w:r>
        <w:rPr>
          <w:rFonts w:hint="eastAsia" w:ascii="宋体" w:hAnsi="宋体" w:eastAsia="宋体" w:cs="宋体"/>
          <w:szCs w:val="21"/>
        </w:rPr>
        <w:t xml:space="preserve"> 。</w:t>
      </w:r>
    </w:p>
    <w:p w14:paraId="598B18D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3.“投标人”系指向招标方提交投标文件的单位或个人。</w:t>
      </w:r>
    </w:p>
    <w:p w14:paraId="418B2E3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4.“产品”系指招标文件规定投标人须向采购人提供的一切材料、设备、机械、仪器仪表、工具及其它有关技术资料和文字材料。</w:t>
      </w:r>
    </w:p>
    <w:p w14:paraId="1297553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5.“服务”系指招标文件规定投标人须承担的劳务以及其他类似的义务。</w:t>
      </w:r>
    </w:p>
    <w:p w14:paraId="7C51085A">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6.“项目”系指投标人按招标文件规定向采购人提供的需求总称。</w:t>
      </w:r>
    </w:p>
    <w:p w14:paraId="62C6FFD5">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7.“书面形式”包括信函、传真、电报等。</w:t>
      </w:r>
    </w:p>
    <w:p w14:paraId="66FCFC61">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（三）招标方式</w:t>
      </w:r>
    </w:p>
    <w:p w14:paraId="2D27ECBD">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本次招标采用公开招标方式进行。</w:t>
      </w:r>
    </w:p>
    <w:p w14:paraId="6EEBA783">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（四）投标委托</w:t>
      </w:r>
    </w:p>
    <w:p w14:paraId="38D4E03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
          <w:szCs w:val="21"/>
        </w:rPr>
      </w:pPr>
      <w:r>
        <w:rPr>
          <w:rFonts w:hint="eastAsia" w:ascii="宋体" w:hAnsi="宋体" w:eastAsia="宋体" w:cs="宋体"/>
          <w:szCs w:val="21"/>
        </w:rPr>
        <w:t>投标人代表须携带有效身份证件。如投标人代表不是法定代表人，须有法定代表人出具的授权委托书（正本用原件，副本用复印件，格式详见第六章）。</w:t>
      </w:r>
    </w:p>
    <w:p w14:paraId="35210D02">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（五）投标费用</w:t>
      </w:r>
    </w:p>
    <w:p w14:paraId="522E0DAE">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不论投标结果如何，投标人均应自行承担所有与投标有关的全部费用（招标文件有相反规定除外）。</w:t>
      </w:r>
    </w:p>
    <w:p w14:paraId="2D00BF56">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（六）联合体投标</w:t>
      </w:r>
    </w:p>
    <w:p w14:paraId="3C8D02A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本项目不接受联合体投标。</w:t>
      </w:r>
    </w:p>
    <w:p w14:paraId="4C628716">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（七）转让与分包</w:t>
      </w:r>
    </w:p>
    <w:p w14:paraId="277A447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1.本项目不允许转让。</w:t>
      </w:r>
    </w:p>
    <w:p w14:paraId="15DCD989">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2.本项目不可以分包。</w:t>
      </w:r>
    </w:p>
    <w:p w14:paraId="160EEFE0">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（八）是否允许采购进口产品</w:t>
      </w:r>
    </w:p>
    <w:p w14:paraId="53C8FBC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本项目不允许采购进口产品。</w:t>
      </w:r>
    </w:p>
    <w:p w14:paraId="45104344">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（九）特别说明</w:t>
      </w:r>
    </w:p>
    <w:p w14:paraId="0340BA20">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1.投标人投标所使用的资格、信誉、荣誉、业绩与企业认证必须为本法人所拥有。投标人投标所使用的采购项目实施人员必须为本法人员工（或必须为本法人或控股公司正式员工）。</w:t>
      </w:r>
    </w:p>
    <w:p w14:paraId="1678337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2.单位负责人为同一人或者存在直接控股、管理关系的不同供应商，不得参加同一合同项下的采购活动。</w:t>
      </w:r>
    </w:p>
    <w:p w14:paraId="7AEF889A">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3.投标人应仔细阅读招标文件的所有内容，按照招标文件的要求提交投标文件，并对所提供的全部资料的真实性承担法律责任。</w:t>
      </w:r>
    </w:p>
    <w:p w14:paraId="5ED3E43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1CE1D5A">
      <w:pPr>
        <w:keepNext w:val="0"/>
        <w:keepLines w:val="0"/>
        <w:pageBreakBefore w:val="0"/>
        <w:widowControl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（十）质疑和投诉</w:t>
      </w:r>
    </w:p>
    <w:p w14:paraId="0036DF5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宋体"/>
          <w:szCs w:val="21"/>
        </w:rPr>
        <w:t>逾期提出的，均视为无异议，质疑无效。</w:t>
      </w:r>
    </w:p>
    <w:p w14:paraId="4EC2D77D">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
          <w:sz w:val="32"/>
          <w:szCs w:val="32"/>
        </w:rPr>
      </w:pPr>
      <w:r>
        <w:rPr>
          <w:rFonts w:hint="eastAsia" w:ascii="宋体" w:hAnsi="宋体" w:eastAsia="宋体" w:cs="宋体"/>
          <w:bCs/>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31" w:name="_Toc406402943"/>
      <w:bookmarkStart w:id="32" w:name="_Toc406402987"/>
    </w:p>
    <w:p w14:paraId="2DA2E74D">
      <w:pPr>
        <w:keepNext w:val="0"/>
        <w:keepLines w:val="0"/>
        <w:pageBreakBefore w:val="0"/>
        <w:widowControl w:val="0"/>
        <w:kinsoku/>
        <w:wordWrap/>
        <w:overflowPunct/>
        <w:topLinePunct w:val="0"/>
        <w:autoSpaceDE/>
        <w:autoSpaceDN/>
        <w:bidi w:val="0"/>
        <w:adjustRightInd/>
        <w:spacing w:before="10" w:after="10" w:line="500" w:lineRule="exact"/>
        <w:ind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二、招标文件</w:t>
      </w:r>
      <w:bookmarkEnd w:id="31"/>
      <w:bookmarkEnd w:id="32"/>
    </w:p>
    <w:p w14:paraId="3F2F8E2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（一）招标文件的构成。本招标文件由以下部份组成：</w:t>
      </w:r>
    </w:p>
    <w:p w14:paraId="6C2B4EE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1.公开招标采购公告</w:t>
      </w:r>
    </w:p>
    <w:p w14:paraId="5EAE4E9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2.招标需求</w:t>
      </w:r>
    </w:p>
    <w:p w14:paraId="71E5DC2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3.投标人须知</w:t>
      </w:r>
    </w:p>
    <w:p w14:paraId="2AFDCEF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4.评标办法及标准</w:t>
      </w:r>
    </w:p>
    <w:p w14:paraId="1D70AA3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5.海宁市货物、工程和服务采购合同（指引）</w:t>
      </w:r>
    </w:p>
    <w:p w14:paraId="4BF17CC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6.投标格式及要求</w:t>
      </w:r>
    </w:p>
    <w:p w14:paraId="5908538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7.本项目招标文件的澄清、答复、修改、补充的内容</w:t>
      </w:r>
    </w:p>
    <w:p w14:paraId="67A398CD">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（二）投标人的风险</w:t>
      </w:r>
    </w:p>
    <w:p w14:paraId="022A017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投标人没有按照招标文件要求提供全部资料，或者投标人没有对招标文件在各方面作出实质性响应是投标人的风险，并可能导致其投标为无效标。</w:t>
      </w:r>
    </w:p>
    <w:p w14:paraId="0DA5537F">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 xml:space="preserve">（三）招标文件的澄清与修改 </w:t>
      </w:r>
    </w:p>
    <w:p w14:paraId="0BE5EC5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投标人应认真阅读本招标文件，发现其中有误或有不合理要求的，可要求采购代理机构或采购人澄清。采购代理机构或采购人对已发出的招标文件进行必要澄清或者修改的，澄清或者修改的内容可能影响投标文件编制的，应当在招标文件要求提交投标文件截止十五日前，在主管部门指定的采购信息发布媒体上发布更正公告，该公告作为书面形式通知所有投标人。</w:t>
      </w:r>
    </w:p>
    <w:p w14:paraId="3991DD3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2.招标文件澄清或者修改的内容为招标文件的组成部分。当招标文件与澄清或者修改就同一内容的表述不一致时，以最后发出的公告为准。</w:t>
      </w:r>
    </w:p>
    <w:p w14:paraId="0D0281D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3.对招标文件的澄清、答复、修改或补充都应该通过采购代理机构以法定形式发布，采购人非通过采购代理机构，不得擅自澄清、答复、修改或补充招标文件。</w:t>
      </w:r>
    </w:p>
    <w:p w14:paraId="4B3F1385">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（四）投标保证金的交纳和退还</w:t>
      </w:r>
    </w:p>
    <w:p w14:paraId="192609A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sz w:val="32"/>
          <w:szCs w:val="32"/>
        </w:rPr>
      </w:pPr>
      <w:r>
        <w:rPr>
          <w:rFonts w:hint="eastAsia" w:ascii="宋体" w:hAnsi="宋体" w:eastAsia="宋体" w:cs="宋体"/>
          <w:szCs w:val="21"/>
        </w:rPr>
        <w:t>本项目不设置投标保证金。</w:t>
      </w:r>
    </w:p>
    <w:p w14:paraId="3D0ED276">
      <w:pPr>
        <w:keepNext w:val="0"/>
        <w:keepLines w:val="0"/>
        <w:pageBreakBefore w:val="0"/>
        <w:widowControl w:val="0"/>
        <w:kinsoku/>
        <w:wordWrap/>
        <w:overflowPunct/>
        <w:topLinePunct w:val="0"/>
        <w:autoSpaceDE/>
        <w:autoSpaceDN/>
        <w:bidi w:val="0"/>
        <w:adjustRightInd/>
        <w:spacing w:before="10" w:after="10" w:line="500" w:lineRule="exact"/>
        <w:ind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三、投标文件的编制</w:t>
      </w:r>
    </w:p>
    <w:p w14:paraId="4BE7D22F">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本项目所涉投标文件格式请详见第六章，未给出的格式请自拟。技术商务文件中不得出现报价，否则投标文件将被视为无效。</w:t>
      </w:r>
    </w:p>
    <w:p w14:paraId="09A03147">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（一）投标文件的组成</w:t>
      </w:r>
    </w:p>
    <w:p w14:paraId="38D9744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投标文件由资格文件、技术商务文件和报价文件三部分组成。</w:t>
      </w:r>
    </w:p>
    <w:p w14:paraId="3F0552A0">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1.资格文件：</w:t>
      </w:r>
    </w:p>
    <w:p w14:paraId="17593F6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1.1资格文件封面格式及目录（附件1）；</w:t>
      </w:r>
    </w:p>
    <w:p w14:paraId="72F91FD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1.2投标人声明书（附件2）；</w:t>
      </w:r>
    </w:p>
    <w:p w14:paraId="6AB15691">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1.3营业(经营)执照正本或副本复印件（盖单位公章）（事业单位投标的则提供有效的《事业单位法人证书》副本复印件并加盖单位公章；自然人的，则提供有效的身份证复印件并签字）；</w:t>
      </w:r>
    </w:p>
    <w:p w14:paraId="19C7BC6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1.4税务登记证正本或副本复印件（与营业执照合一的无需提供）（盖单位公章）；</w:t>
      </w:r>
    </w:p>
    <w:p w14:paraId="69D73DA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1.5法定代表人、负责人、经营者（以下统称法定代表人）有效身份证件复印件；</w:t>
      </w:r>
    </w:p>
    <w:p w14:paraId="1CC4441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提供未被“信用中国”（www.creditchina.gov.cn）、中国政府采购网（www.ccgp.gov.cn）列入失信被执行人、重大税收违法案件当事人名单、政府采购严重违法失信行为记录名单的网页打印证明（开标前一周内页面查询结果并加盖单位公章）；</w:t>
      </w:r>
    </w:p>
    <w:p w14:paraId="57CFB9D1">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1.7采购公告中的特定资格要求所提供的证明资料（盖单位公章）（如有）；</w:t>
      </w:r>
    </w:p>
    <w:p w14:paraId="36C1A40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1.8招标文件需要的其他资料及投标人认为需要提供的其他内容。</w:t>
      </w:r>
    </w:p>
    <w:p w14:paraId="387818CE">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2．技术商务文件：</w:t>
      </w:r>
    </w:p>
    <w:p w14:paraId="37660F8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2.1商务技术文件封面及目录（附件3）；</w:t>
      </w:r>
    </w:p>
    <w:p w14:paraId="409C086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2.2评分对应表（附件4）；</w:t>
      </w:r>
    </w:p>
    <w:p w14:paraId="74596621">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2.3投标人基本情况表（附件5）；</w:t>
      </w:r>
    </w:p>
    <w:p w14:paraId="58B1F59E">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2.4各类证书复印件；</w:t>
      </w:r>
    </w:p>
    <w:p w14:paraId="3F175C6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color w:val="000000"/>
          <w:kern w:val="0"/>
          <w:szCs w:val="21"/>
          <w:lang w:bidi="ar"/>
        </w:rPr>
        <w:t>项目方案</w:t>
      </w:r>
      <w:r>
        <w:rPr>
          <w:rFonts w:hint="eastAsia" w:ascii="宋体" w:hAnsi="宋体" w:eastAsia="宋体" w:cs="宋体"/>
          <w:szCs w:val="21"/>
        </w:rPr>
        <w:t>；</w:t>
      </w:r>
    </w:p>
    <w:p w14:paraId="1982D5D1">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2.6技术响应表（附件6）；</w:t>
      </w:r>
    </w:p>
    <w:p w14:paraId="540F75A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2.7所投货物及主要材料的品牌、型号、技术参数、性能、使用寿命等的详细描述等资料复印件；</w:t>
      </w:r>
    </w:p>
    <w:p w14:paraId="3C0160C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2.8服务承诺（附件7）；</w:t>
      </w:r>
    </w:p>
    <w:p w14:paraId="7C250582">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2.9招标文件需要的其他资料及投标人认为需要提供的其他内容。</w:t>
      </w:r>
    </w:p>
    <w:p w14:paraId="5668FEA4">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3．报价文件：</w:t>
      </w:r>
    </w:p>
    <w:p w14:paraId="63C8F316">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3.1报价文件封面及目录（附件8）；</w:t>
      </w:r>
    </w:p>
    <w:p w14:paraId="6F79911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w:t>
      </w:r>
      <w:bookmarkStart w:id="33" w:name="OLE_LINK70"/>
      <w:bookmarkStart w:id="34" w:name="OLE_LINK71"/>
      <w:r>
        <w:rPr>
          <w:rFonts w:hint="eastAsia" w:ascii="宋体" w:hAnsi="宋体" w:eastAsia="宋体" w:cs="宋体"/>
          <w:szCs w:val="21"/>
        </w:rPr>
        <w:t>报价一览表（附件9）；</w:t>
      </w:r>
      <w:bookmarkEnd w:id="33"/>
      <w:bookmarkEnd w:id="34"/>
    </w:p>
    <w:p w14:paraId="15BE27B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3.3报价明细表（附件10）；</w:t>
      </w:r>
    </w:p>
    <w:p w14:paraId="1F3E254E">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3.4投标人针对报价需要说明的其他文件和说明。</w:t>
      </w:r>
    </w:p>
    <w:p w14:paraId="35E65123">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（二）投标文件的语言及计量</w:t>
      </w:r>
    </w:p>
    <w:p w14:paraId="01A38C4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1.投标文件以及投标人与采购代理机构就有关投标事宜的所有来往函电，均应以中文汉语书写。除签名、盖章、专用名称等特殊情形外，以中文汉语以外的文字表述的投标文件视同未提供。</w:t>
      </w:r>
    </w:p>
    <w:p w14:paraId="64E964F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2．投标计量单位，招标文件已有明确规定的，使用招标文件规定的计量单位；招标文件没有规定的，应采用中华人民共和国法定计量单位（货币单位：人民币元），否则视同未响应。</w:t>
      </w:r>
    </w:p>
    <w:p w14:paraId="40C1B109">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（三）投标报价</w:t>
      </w:r>
    </w:p>
    <w:p w14:paraId="4EBAE4A5">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1.投标报价应按招标文件中相关附表格式填写。</w:t>
      </w:r>
    </w:p>
    <w:p w14:paraId="6FC57634">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bookmarkStart w:id="35" w:name="OLE_LINK61"/>
      <w:bookmarkStart w:id="36" w:name="OLE_LINK63"/>
      <w:r>
        <w:rPr>
          <w:rFonts w:hint="eastAsia" w:ascii="宋体" w:hAnsi="宋体" w:eastAsia="宋体" w:cs="宋体"/>
          <w:szCs w:val="21"/>
        </w:rPr>
        <w:t>投标报价是履行合同的最终价格，</w:t>
      </w:r>
      <w:bookmarkEnd w:id="35"/>
      <w:bookmarkEnd w:id="36"/>
      <w:r>
        <w:rPr>
          <w:rFonts w:hint="eastAsia" w:ascii="宋体" w:hAnsi="宋体" w:eastAsia="宋体" w:cs="宋体"/>
          <w:color w:val="000000"/>
          <w:szCs w:val="21"/>
        </w:rPr>
        <w:t>包含方案深化设计费、创造费、完成设计制作、相关产品（含配件、附件、材料等）的采购费、相关就位、运输费、装卸费、税费、利润、实施费用、验收、质量保证和售后服务、招标代理费等完成本项目的全部费用。</w:t>
      </w:r>
    </w:p>
    <w:p w14:paraId="6E4241C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3.投标文件只允许有一个报价，有选择的或有条件的报价将不予接受。</w:t>
      </w:r>
    </w:p>
    <w:p w14:paraId="5D559EF4">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（四）投标文件的有效期</w:t>
      </w:r>
    </w:p>
    <w:p w14:paraId="4AC72EE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1.自投标截止日起</w:t>
      </w:r>
      <w:r>
        <w:rPr>
          <w:rFonts w:hint="eastAsia" w:ascii="宋体" w:hAnsi="宋体" w:eastAsia="宋体" w:cs="宋体"/>
          <w:szCs w:val="21"/>
          <w:u w:val="single"/>
        </w:rPr>
        <w:t>90</w:t>
      </w:r>
      <w:r>
        <w:rPr>
          <w:rFonts w:hint="eastAsia" w:ascii="宋体" w:hAnsi="宋体" w:eastAsia="宋体" w:cs="宋体"/>
          <w:szCs w:val="21"/>
        </w:rPr>
        <w:t>天投标文件应保持有效。有效期不足的投标文件将被拒绝。</w:t>
      </w:r>
    </w:p>
    <w:p w14:paraId="50C0CD4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2.在特殊情况下，采购代理机构可与投标人协商延长投标书的有效期，这种要求和答复均以书面形式进行。</w:t>
      </w:r>
    </w:p>
    <w:p w14:paraId="628942C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bookmarkStart w:id="37" w:name="_Toc406402948"/>
      <w:bookmarkStart w:id="38" w:name="_Toc385854102"/>
      <w:bookmarkStart w:id="39" w:name="_Toc402963119"/>
      <w:bookmarkStart w:id="40" w:name="_Toc385854148"/>
      <w:bookmarkStart w:id="41" w:name="_Toc406402992"/>
      <w:bookmarkStart w:id="42" w:name="_Toc402963086"/>
      <w:r>
        <w:rPr>
          <w:rFonts w:hint="eastAsia" w:ascii="宋体" w:hAnsi="宋体" w:eastAsia="宋体" w:cs="宋体"/>
          <w:szCs w:val="21"/>
        </w:rPr>
        <w:t>3.投标人可拒绝接受延期要求。同意延长有效期的投标人不能修改投标文件。</w:t>
      </w:r>
      <w:bookmarkEnd w:id="37"/>
      <w:bookmarkEnd w:id="38"/>
      <w:bookmarkEnd w:id="39"/>
      <w:bookmarkEnd w:id="40"/>
      <w:bookmarkEnd w:id="41"/>
      <w:bookmarkEnd w:id="42"/>
      <w:r>
        <w:rPr>
          <w:rFonts w:hint="eastAsia" w:ascii="宋体" w:hAnsi="宋体" w:eastAsia="宋体" w:cs="宋体"/>
          <w:szCs w:val="21"/>
        </w:rPr>
        <w:t xml:space="preserve"> </w:t>
      </w:r>
    </w:p>
    <w:p w14:paraId="2C5A9CE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bookmarkStart w:id="43" w:name="_Toc406402949"/>
      <w:bookmarkStart w:id="44" w:name="_Toc402963120"/>
      <w:bookmarkStart w:id="45" w:name="_Toc402963087"/>
      <w:bookmarkStart w:id="46" w:name="_Toc406402993"/>
      <w:bookmarkStart w:id="47" w:name="_Toc385854103"/>
      <w:bookmarkStart w:id="48" w:name="_Toc385854149"/>
      <w:r>
        <w:rPr>
          <w:rFonts w:hint="eastAsia" w:ascii="宋体" w:hAnsi="宋体" w:eastAsia="宋体" w:cs="宋体"/>
          <w:szCs w:val="21"/>
        </w:rPr>
        <w:t>4.中标人的投标文件自开标之日起至合同履行完毕止均应保持有效。</w:t>
      </w:r>
      <w:bookmarkEnd w:id="43"/>
      <w:bookmarkEnd w:id="44"/>
      <w:bookmarkEnd w:id="45"/>
      <w:bookmarkEnd w:id="46"/>
      <w:bookmarkEnd w:id="47"/>
      <w:bookmarkEnd w:id="48"/>
    </w:p>
    <w:p w14:paraId="47A8D4FC">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bookmarkStart w:id="49" w:name="OLE_LINK89"/>
      <w:bookmarkStart w:id="50" w:name="OLE_LINK90"/>
      <w:r>
        <w:rPr>
          <w:rFonts w:hint="eastAsia" w:ascii="宋体" w:hAnsi="宋体" w:eastAsia="宋体" w:cs="宋体"/>
          <w:b/>
          <w:szCs w:val="21"/>
        </w:rPr>
        <w:t>(五) 投标文件的编制及要求</w:t>
      </w:r>
    </w:p>
    <w:p w14:paraId="65CC7DAE">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投标人应在认真阅读招标文件所有内容的基础上，按照招标文件的要求编制完整的投标文件，投标文件应按照招标文件中规定的统一格式编制。具体要求如下：</w:t>
      </w:r>
    </w:p>
    <w:p w14:paraId="2B8758B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电子投标文件：按乐采云平台供应商项目采购-电子招投标操作指南及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14:paraId="585906E2">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2.电子备份投标文件：</w:t>
      </w:r>
      <w:r>
        <w:rPr>
          <w:rFonts w:hint="eastAsia" w:ascii="宋体" w:hAnsi="宋体" w:eastAsia="宋体" w:cs="宋体"/>
          <w:szCs w:val="21"/>
        </w:rPr>
        <w:fldChar w:fldCharType="begin"/>
      </w:r>
      <w:r>
        <w:rPr>
          <w:rFonts w:hint="eastAsia" w:ascii="宋体" w:hAnsi="宋体" w:eastAsia="宋体" w:cs="宋体"/>
          <w:szCs w:val="21"/>
        </w:rPr>
        <w:instrText xml:space="preserve"> HYPERLINK "mailto:供应商在电子交易平台传输提交投标文件后，将政采云平台上最后生成的具备电子签章的备份电子投标文件1份下载，在投标截止时间前发送至zdzfcg@126.com。" </w:instrText>
      </w:r>
      <w:r>
        <w:rPr>
          <w:rFonts w:hint="eastAsia" w:ascii="宋体" w:hAnsi="宋体" w:eastAsia="宋体" w:cs="宋体"/>
          <w:szCs w:val="21"/>
        </w:rPr>
        <w:fldChar w:fldCharType="separate"/>
      </w:r>
      <w:r>
        <w:rPr>
          <w:rFonts w:hint="eastAsia" w:ascii="宋体" w:hAnsi="宋体" w:eastAsia="宋体" w:cs="宋体"/>
          <w:szCs w:val="21"/>
        </w:rPr>
        <w:t>投标人在电子交易平台传输提交投标文件后，将乐采云平台上最后生成的具备</w:t>
      </w:r>
      <w:r>
        <w:rPr>
          <w:rFonts w:hint="eastAsia" w:ascii="宋体" w:hAnsi="宋体" w:eastAsia="宋体" w:cs="宋体"/>
          <w:szCs w:val="21"/>
        </w:rPr>
        <w:fldChar w:fldCharType="end"/>
      </w:r>
      <w:r>
        <w:rPr>
          <w:rFonts w:hint="eastAsia" w:ascii="宋体" w:hAnsi="宋体" w:eastAsia="宋体" w:cs="宋体"/>
          <w:szCs w:val="21"/>
        </w:rPr>
        <w:t>电子签章的备份电子投标文件1份下载，在投标截止时间前发送至</w:t>
      </w:r>
      <w:r>
        <w:rPr>
          <w:rFonts w:hint="eastAsia" w:ascii="宋体" w:hAnsi="宋体" w:eastAsia="宋体" w:cs="宋体"/>
          <w:szCs w:val="21"/>
          <w:lang w:eastAsia="zh-CN"/>
        </w:rPr>
        <w:t>1007217385@qq.com</w:t>
      </w:r>
      <w:r>
        <w:rPr>
          <w:rFonts w:hint="eastAsia" w:ascii="宋体" w:hAnsi="宋体" w:eastAsia="宋体" w:cs="宋体"/>
          <w:szCs w:val="21"/>
        </w:rPr>
        <w:t>。</w:t>
      </w:r>
    </w:p>
    <w:p w14:paraId="4FA8AA5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3.电子备份投标文件制作为非强制性，但如遇因投标人电子投标文件解密失败等情况造成投标无效，后果由投标人自负。</w:t>
      </w:r>
    </w:p>
    <w:p w14:paraId="531AB149">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(六) 采购过程中的异常情况及处理措施</w:t>
      </w:r>
    </w:p>
    <w:p w14:paraId="26DDAB6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采购过程中出现以下情形，导致电子交易平台无法正常运行，或者无法保证电子交易的公平、公正和安全时，招标人可中止电子交易活动：</w:t>
      </w:r>
    </w:p>
    <w:p w14:paraId="7AD1D75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1.电子交易平台发生故障而无法登录访问的；</w:t>
      </w:r>
    </w:p>
    <w:p w14:paraId="0766A09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4EC8F58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48CCB6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4.电子交易平台因病毒发作导致不能进行正常操作的；</w:t>
      </w:r>
    </w:p>
    <w:p w14:paraId="7F2EE26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44DD2A5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出现前款规定情形，不影响采购公平、公正性的，招标人可以待上述情形消除后继续组织电子交易活动；影响或可能影响采购公平、公正性的，应当重新采购。</w:t>
      </w:r>
    </w:p>
    <w:p w14:paraId="10739BF4">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（七）投标无效的情形</w:t>
      </w:r>
    </w:p>
    <w:p w14:paraId="15E2FBA6">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有下列情形之一的，视为投标人串通投标：</w:t>
      </w:r>
    </w:p>
    <w:p w14:paraId="5791F9E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（1）不同投标人的投标文件由同一单位或者个人编制；</w:t>
      </w:r>
    </w:p>
    <w:p w14:paraId="698F8D6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（2）不同投标人委托同一单位或者个人办理投标事宜；</w:t>
      </w:r>
    </w:p>
    <w:p w14:paraId="483298F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（3）不同投标人的投标文件载明的项目管理成员或者联系人员为同一人；</w:t>
      </w:r>
    </w:p>
    <w:p w14:paraId="2A0F5095">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（4）不同投标人的投标文件异常一致或者投标报价呈规律性差异；</w:t>
      </w:r>
    </w:p>
    <w:p w14:paraId="05AC713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（5）不同投标人的投标文件相互混装；</w:t>
      </w:r>
    </w:p>
    <w:p w14:paraId="0010AA53">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bCs/>
          <w:szCs w:val="21"/>
        </w:rPr>
        <w:t>1.</w:t>
      </w:r>
      <w:r>
        <w:rPr>
          <w:rFonts w:hint="eastAsia" w:ascii="宋体" w:hAnsi="宋体" w:eastAsia="宋体" w:cs="宋体"/>
          <w:b/>
          <w:szCs w:val="21"/>
        </w:rPr>
        <w:t>采购人或采购代理机构按照投标人提供的资格文件按以下原则对投标人的资格符合性进行审查，</w:t>
      </w:r>
      <w:r>
        <w:rPr>
          <w:rFonts w:hint="eastAsia" w:ascii="宋体" w:hAnsi="宋体" w:eastAsia="宋体" w:cs="宋体"/>
          <w:b/>
          <w:bCs/>
          <w:szCs w:val="21"/>
        </w:rPr>
        <w:t>如发现下列情形之一的，投标文件将被视为无效：</w:t>
      </w:r>
    </w:p>
    <w:p w14:paraId="18C5BE6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1.1资格文件缺少招标文件中资格文件所列内容之一的；</w:t>
      </w:r>
    </w:p>
    <w:p w14:paraId="51B9A14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1.2投标人提供的有关资料被确认是不真实的；</w:t>
      </w:r>
    </w:p>
    <w:p w14:paraId="7F86061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1.3投标人的资格文件有串通投标情形之一的；</w:t>
      </w:r>
    </w:p>
    <w:p w14:paraId="4CF6CBBE">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1.4资格文件未按招标文件规定要求进行签字或盖章的；</w:t>
      </w:r>
    </w:p>
    <w:p w14:paraId="297FA3A3">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1.5投标人有违法、违规行为影响本次采购公平、公正的；</w:t>
      </w:r>
    </w:p>
    <w:p w14:paraId="27B9651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1.6按照“信用中国”网站（</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"http://www.creditchina.gov.cn/" </w:instrText>
      </w:r>
      <w:r>
        <w:rPr>
          <w:rFonts w:hint="eastAsia" w:ascii="宋体" w:hAnsi="宋体" w:eastAsia="宋体" w:cs="宋体"/>
          <w:szCs w:val="21"/>
        </w:rPr>
        <w:fldChar w:fldCharType="separate"/>
      </w:r>
      <w:r>
        <w:rPr>
          <w:rFonts w:hint="eastAsia" w:ascii="宋体" w:hAnsi="宋体" w:eastAsia="宋体" w:cs="宋体"/>
          <w:szCs w:val="21"/>
        </w:rPr>
        <w:t>www.creditchina.gov.cn</w:t>
      </w:r>
      <w:r>
        <w:rPr>
          <w:rFonts w:hint="eastAsia" w:ascii="宋体" w:hAnsi="宋体" w:eastAsia="宋体" w:cs="宋体"/>
          <w:szCs w:val="21"/>
        </w:rPr>
        <w:fldChar w:fldCharType="end"/>
      </w:r>
      <w:r>
        <w:rPr>
          <w:rFonts w:hint="eastAsia" w:ascii="宋体" w:hAnsi="宋体" w:eastAsia="宋体" w:cs="宋体"/>
          <w:szCs w:val="21"/>
        </w:rPr>
        <w:t>）、中国政府采购网（</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"http://www.ccgp.gov.cn/" </w:instrText>
      </w:r>
      <w:r>
        <w:rPr>
          <w:rFonts w:hint="eastAsia" w:ascii="宋体" w:hAnsi="宋体" w:eastAsia="宋体" w:cs="宋体"/>
          <w:szCs w:val="21"/>
        </w:rPr>
        <w:fldChar w:fldCharType="separate"/>
      </w:r>
      <w:r>
        <w:rPr>
          <w:rFonts w:hint="eastAsia" w:ascii="宋体" w:hAnsi="宋体" w:eastAsia="宋体" w:cs="宋体"/>
          <w:szCs w:val="21"/>
        </w:rPr>
        <w:t>www.ccgp.gov.cn</w:t>
      </w:r>
      <w:r>
        <w:rPr>
          <w:rFonts w:hint="eastAsia" w:ascii="宋体" w:hAnsi="宋体" w:eastAsia="宋体" w:cs="宋体"/>
          <w:szCs w:val="21"/>
        </w:rPr>
        <w:fldChar w:fldCharType="end"/>
      </w:r>
      <w:r>
        <w:rPr>
          <w:rFonts w:hint="eastAsia" w:ascii="宋体" w:hAnsi="宋体" w:eastAsia="宋体" w:cs="宋体"/>
          <w:szCs w:val="21"/>
        </w:rPr>
        <w:t>）两个网站信用信息记录查询，投标人有列入失信被执行人、重大税收违法案件当事人名单、政府采购严重违法失信行为记录名单情况的。</w:t>
      </w:r>
    </w:p>
    <w:p w14:paraId="5B6C24FF">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2.在符合性审查和技术商务评审时，如发现下列情形之一的，投标文件（或相关标项）将被视为无效：</w:t>
      </w:r>
    </w:p>
    <w:p w14:paraId="512E343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2.1投标文件有下列情况之一的，其投标文件作无效处理：</w:t>
      </w:r>
    </w:p>
    <w:p w14:paraId="176FEEF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2.1.1在技术商务文件中出现报价的； </w:t>
      </w:r>
    </w:p>
    <w:p w14:paraId="58AAF17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2.1.2投标人提供的有关资料被确认是不真实的；</w:t>
      </w:r>
    </w:p>
    <w:p w14:paraId="3A6DAA43">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2.1.3投标人的技术商务文件有串通投标情形之一的。</w:t>
      </w:r>
    </w:p>
    <w:p w14:paraId="161347F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2.2投标文件有下列情况之一的，其投标文件的相关标项作无效处理：</w:t>
      </w:r>
    </w:p>
    <w:p w14:paraId="7C6FC82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2.2.1投标人未对标项内的所有内容进行投标的；</w:t>
      </w:r>
    </w:p>
    <w:p w14:paraId="48D58E7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2.2.2技术商务文件缺少《投标人基本情况表》；</w:t>
      </w:r>
    </w:p>
    <w:p w14:paraId="2612E772">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2.2.3技术商务文件未按招标文件规定要求进行签字或盖章的；</w:t>
      </w:r>
    </w:p>
    <w:p w14:paraId="227F8CD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2.2.4投标人未按招标文件更正公告编制投标文件的；</w:t>
      </w:r>
    </w:p>
    <w:p w14:paraId="01FB640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2.2.5经评标委员会审核，投标人所投内容不符合实质性采购要求的。</w:t>
      </w:r>
    </w:p>
    <w:p w14:paraId="5BC5872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2.2.6投标技术方案不明确，存在一个或一个以上备选（替代）投标方案的。</w:t>
      </w:r>
    </w:p>
    <w:p w14:paraId="3B253368">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3.在报价评审时，如发现下列情形之一的，投标文件（或相关标项）将被视为无效：</w:t>
      </w:r>
    </w:p>
    <w:p w14:paraId="7C92B25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3.1投标文件有下列情况之一的，其投标文件作无效处理：</w:t>
      </w:r>
    </w:p>
    <w:p w14:paraId="77CA7C1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3.1.1未采用人民币报价或者未按照招标文件标明的币种报价的；</w:t>
      </w:r>
    </w:p>
    <w:p w14:paraId="097D97A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3.1.2投标人的报价文件有串通投标情形之一的。</w:t>
      </w:r>
    </w:p>
    <w:p w14:paraId="5135AF3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3.2投标文件有下列情况之一的，其投标文件的相关标项作无效处理： </w:t>
      </w:r>
    </w:p>
    <w:p w14:paraId="5D857FBF">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3.2.1投标人未对标项内的所有内容进行投标的；</w:t>
      </w:r>
    </w:p>
    <w:p w14:paraId="28D81F5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3.2.2报价文件缺少《报价一览表》的；</w:t>
      </w:r>
    </w:p>
    <w:p w14:paraId="6758DF0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3.2.3《报价一览表》填写不完整的；</w:t>
      </w:r>
    </w:p>
    <w:p w14:paraId="2711D56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3.2.4报价文件未按招标文件规定要求进行签字或盖章的；</w:t>
      </w:r>
    </w:p>
    <w:p w14:paraId="28766D5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3.2.5投标报价明显高于市场价，且不能提供证明材料说明原因的；</w:t>
      </w:r>
    </w:p>
    <w:p w14:paraId="54AF50E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3.2.6）投标报价明显低于其他通过符合性审查投标人的报价，且供应商不能证明其报价合理性并提供证明材料的；</w:t>
      </w:r>
    </w:p>
    <w:p w14:paraId="2863F552">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3.2.7投标人报价超过预算金额或最高限价的；</w:t>
      </w:r>
    </w:p>
    <w:p w14:paraId="6867D2A6">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3.2.8经评标委员会审核，投标人所投内容不符合实质性采购要求的；</w:t>
      </w:r>
    </w:p>
    <w:p w14:paraId="7C8659C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3.2.9投标人拒绝按招标文件错误修正原则对投标文件进行修改的。</w:t>
      </w:r>
    </w:p>
    <w:p w14:paraId="6E9B0451">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sz w:val="28"/>
          <w:szCs w:val="28"/>
        </w:rPr>
      </w:pPr>
      <w:r>
        <w:rPr>
          <w:rFonts w:hint="eastAsia" w:ascii="宋体" w:hAnsi="宋体" w:eastAsia="宋体" w:cs="宋体"/>
          <w:b/>
          <w:szCs w:val="21"/>
        </w:rPr>
        <w:t>4.被拒绝的投标文件为无效。</w:t>
      </w:r>
    </w:p>
    <w:bookmarkEnd w:id="49"/>
    <w:bookmarkEnd w:id="50"/>
    <w:p w14:paraId="394EACBC">
      <w:pPr>
        <w:keepNext w:val="0"/>
        <w:keepLines w:val="0"/>
        <w:pageBreakBefore w:val="0"/>
        <w:widowControl w:val="0"/>
        <w:kinsoku/>
        <w:wordWrap/>
        <w:overflowPunct/>
        <w:topLinePunct w:val="0"/>
        <w:autoSpaceDE/>
        <w:autoSpaceDN/>
        <w:bidi w:val="0"/>
        <w:adjustRightInd/>
        <w:spacing w:before="10" w:after="10" w:line="500" w:lineRule="exact"/>
        <w:ind w:firstLine="0" w:firstLineChars="0"/>
        <w:jc w:val="center"/>
        <w:textAlignment w:val="auto"/>
        <w:rPr>
          <w:rFonts w:hint="eastAsia" w:ascii="宋体" w:hAnsi="宋体" w:eastAsia="宋体" w:cs="宋体"/>
          <w:b/>
          <w:snapToGrid w:val="0"/>
          <w:sz w:val="28"/>
          <w:szCs w:val="28"/>
        </w:rPr>
      </w:pPr>
      <w:bookmarkStart w:id="51" w:name="OLE_LINK92"/>
      <w:bookmarkStart w:id="52" w:name="OLE_LINK91"/>
      <w:r>
        <w:rPr>
          <w:rFonts w:hint="eastAsia" w:ascii="宋体" w:hAnsi="宋体" w:eastAsia="宋体" w:cs="宋体"/>
          <w:b/>
          <w:sz w:val="28"/>
          <w:szCs w:val="28"/>
        </w:rPr>
        <w:t>四、开标</w:t>
      </w:r>
    </w:p>
    <w:p w14:paraId="5ECA0D38">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（一）开标准备</w:t>
      </w:r>
    </w:p>
    <w:p w14:paraId="772A94B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采购代理机构将在规定的时间和地点进行开标，同时所有投标人均应当安排技术人员准时在线参加。</w:t>
      </w:r>
    </w:p>
    <w:p w14:paraId="5F20CD91">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(二)采购代理机构职责</w:t>
      </w:r>
    </w:p>
    <w:p w14:paraId="32DFCFE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采购代理机构负责组织评标工作，并履行下列职责：</w:t>
      </w:r>
    </w:p>
    <w:p w14:paraId="1F1A0F8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1．核对评审专家身份和采购人代表授权函，对评审专家在采购活动中的职责履行情况予以记录，并及时将有关违法违规行为向有关部门报告；</w:t>
      </w:r>
    </w:p>
    <w:p w14:paraId="74982C7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2．宣布评标纪律；</w:t>
      </w:r>
    </w:p>
    <w:p w14:paraId="3A2612C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3．公布投标人名单，告知评审专家应当回避的情形；</w:t>
      </w:r>
    </w:p>
    <w:p w14:paraId="06A986D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4．组织评标委员会推选评标组长，采购人代表不得担任组长；</w:t>
      </w:r>
    </w:p>
    <w:p w14:paraId="290BECD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5．在评标期间采取必要的通讯管理措施，保证评标活动不受外界干扰；</w:t>
      </w:r>
    </w:p>
    <w:p w14:paraId="638FFF5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6．根据评标委员会的要求介绍采购相关政策法规、招标文件；</w:t>
      </w:r>
    </w:p>
    <w:p w14:paraId="196C288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7．维护评标秩序，监督评标委员会依照招标文件规定的评标程序、方法和标准进行独立评审，及时制止和纠正采购人代表、评审专家的倾向性言论或者违法违规行为；</w:t>
      </w:r>
    </w:p>
    <w:p w14:paraId="03FDE8A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8．核对评标结果；</w:t>
      </w:r>
    </w:p>
    <w:p w14:paraId="4D5BE1A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9．评审工作完成后，按照规定向评审专家支付劳务报酬和异地评审差旅费，不得向评审专家以外的其他人员支付评审劳务报酬；</w:t>
      </w:r>
    </w:p>
    <w:p w14:paraId="4E3E65E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10．处理与评标有关的其他事项。</w:t>
      </w:r>
    </w:p>
    <w:p w14:paraId="0A00C03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（三） 开标程序：</w:t>
      </w:r>
    </w:p>
    <w:p w14:paraId="5220C60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1.本项目实行电子开评标，投标人无需到开标现场，但须准时在线参加，直至评审结束。 </w:t>
      </w:r>
    </w:p>
    <w:p w14:paraId="0BCB69E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2.电子开评标及评审程序</w:t>
      </w:r>
    </w:p>
    <w:p w14:paraId="36F1A14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 投标截止时间后，投标人登录乐采云平台，用“项目采购-开标评标”功能对电子投标文件进行在线解密。在线解密电子投标文件时间为开标时间起30分钟内。</w:t>
      </w:r>
    </w:p>
    <w:p w14:paraId="4078619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 采购人对资格文件进行评审；</w:t>
      </w:r>
    </w:p>
    <w:p w14:paraId="332CD42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 评标委员会对商务技术文件进行评审；</w:t>
      </w:r>
    </w:p>
    <w:p w14:paraId="3054128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2.4 在系统上统一开启报价信息；</w:t>
      </w:r>
    </w:p>
    <w:p w14:paraId="493AE71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2.5 评标委员会对报价文件进行评审；</w:t>
      </w:r>
    </w:p>
    <w:p w14:paraId="4B48228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2.6 评标委员会按评标原则推荐中标候选人同时起草评审报告。</w:t>
      </w:r>
    </w:p>
    <w:bookmarkEnd w:id="51"/>
    <w:bookmarkEnd w:id="52"/>
    <w:p w14:paraId="55339A3A">
      <w:pPr>
        <w:pStyle w:val="2"/>
        <w:ind w:firstLine="420"/>
        <w:rPr>
          <w:rFonts w:hint="eastAsia" w:ascii="宋体" w:hAnsi="宋体" w:eastAsia="宋体" w:cs="宋体"/>
        </w:rPr>
      </w:pPr>
    </w:p>
    <w:p w14:paraId="6F664B8D">
      <w:pPr>
        <w:keepNext w:val="0"/>
        <w:keepLines w:val="0"/>
        <w:pageBreakBefore w:val="0"/>
        <w:widowControl w:val="0"/>
        <w:kinsoku/>
        <w:wordWrap/>
        <w:overflowPunct/>
        <w:topLinePunct w:val="0"/>
        <w:autoSpaceDE/>
        <w:autoSpaceDN/>
        <w:bidi w:val="0"/>
        <w:adjustRightInd/>
        <w:spacing w:before="10" w:after="10" w:line="500" w:lineRule="exact"/>
        <w:ind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五、评标</w:t>
      </w:r>
    </w:p>
    <w:p w14:paraId="36C2A09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bookmarkStart w:id="53" w:name="OLE_LINK95"/>
      <w:bookmarkStart w:id="54" w:name="OLE_LINK96"/>
      <w:r>
        <w:rPr>
          <w:rFonts w:hint="eastAsia" w:ascii="宋体" w:hAnsi="宋体" w:eastAsia="宋体" w:cs="宋体"/>
          <w:b/>
          <w:szCs w:val="21"/>
        </w:rPr>
        <w:t>（一）组建评标委员会</w:t>
      </w:r>
    </w:p>
    <w:p w14:paraId="507E4A6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评标委员会由五人及以上单数的采购人代表和评审专家组成。</w:t>
      </w:r>
    </w:p>
    <w:p w14:paraId="0DC0156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评标委员会负责具体评标事务，并独立履行下列职责：</w:t>
      </w:r>
    </w:p>
    <w:p w14:paraId="3E1DD7B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1．审查、评价投标文件是否符合招标文件的技术、商务等实质性要求；</w:t>
      </w:r>
    </w:p>
    <w:p w14:paraId="4EEEE98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2．要求投标人对投标文件有关事项作出澄清或者说明；</w:t>
      </w:r>
    </w:p>
    <w:p w14:paraId="53D2BF3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3．对投标文件进行比较和评价；</w:t>
      </w:r>
    </w:p>
    <w:p w14:paraId="66EA6B5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4．确定中标候选人名单；</w:t>
      </w:r>
    </w:p>
    <w:p w14:paraId="1144F5F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5．向采购人、采购代理机构或者有关部门报告评标中发现的违法行为。</w:t>
      </w:r>
    </w:p>
    <w:p w14:paraId="59B040F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除采购人代表、评标现场组织人员外，采购人的其他工作人员以及与评标工作无关的人员不得进入评标现场。</w:t>
      </w:r>
    </w:p>
    <w:p w14:paraId="0D5A15B6">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（二）评标的方式</w:t>
      </w:r>
    </w:p>
    <w:p w14:paraId="1A52997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本项目采用不公开方式评标，评标的依据为招标文件和投标文件。</w:t>
      </w:r>
    </w:p>
    <w:p w14:paraId="6BE4BA18">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（三）评标程序</w:t>
      </w:r>
    </w:p>
    <w:p w14:paraId="7D45462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采购人可以在评标前说明项目背景和采购需求，说明内容不得含有歧视性、倾向性意见，不得超出招标文件所述范围。说明应当提交书面材料，并随采购文件一并存档。</w:t>
      </w:r>
    </w:p>
    <w:p w14:paraId="0121E601">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1.符合性审查</w:t>
      </w:r>
    </w:p>
    <w:p w14:paraId="4855C80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1.1形式审查</w:t>
      </w:r>
    </w:p>
    <w:p w14:paraId="72DC57C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形式审查指对投标人的投标文件的完整性、合法性等进行审查。投标文件形式审查未通过的投标人，其投标文件将不再评审。</w:t>
      </w:r>
    </w:p>
    <w:p w14:paraId="194D6B9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1.2</w:t>
      </w:r>
      <w:r>
        <w:rPr>
          <w:rFonts w:hint="eastAsia" w:ascii="宋体" w:hAnsi="宋体" w:eastAsia="宋体" w:cs="宋体"/>
          <w:szCs w:val="21"/>
        </w:rPr>
        <w:t>实质性审查</w:t>
      </w:r>
    </w:p>
    <w:p w14:paraId="7193653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评标委员会审查投标文件的实质性内容是否符合招标文件的实质性要求。</w:t>
      </w:r>
    </w:p>
    <w:p w14:paraId="37BDDC0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2.比较与评价</w:t>
      </w:r>
    </w:p>
    <w:p w14:paraId="0B89F84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2.1评标委员会按评标办法和评分标准，对有效投标文件进行技术商务和报价综合比较与评价。</w:t>
      </w:r>
    </w:p>
    <w:p w14:paraId="0459560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2.2各投标人的技术商务分按照评标委员会成员的独立评分结果汇总后的算术平均分计算。</w:t>
      </w:r>
    </w:p>
    <w:p w14:paraId="75595AF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2.3采购代理机构协助评标委员会根据本项目报价公式计算各投标人的报价得分。</w:t>
      </w:r>
    </w:p>
    <w:p w14:paraId="344C4B5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2.4评标委员会完成评标后,对各部分得分汇总,计算出本项目综合得分。评标委员会按评标原则推荐中标候选人同时起草评标报告。</w:t>
      </w:r>
    </w:p>
    <w:p w14:paraId="69FFC21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（四）澄清问题</w:t>
      </w:r>
    </w:p>
    <w:p w14:paraId="395A5F5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对于投标文件中含义不明确、同类问题表述不一致或者有明显文字和计算错误的内容，评标委员会应当以书面形式要求投标人作出必要的澄清、说明或者补正。</w:t>
      </w:r>
    </w:p>
    <w:p w14:paraId="1D6C13B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1.评标委员会可以在“乐采云”平台在线询标或其他有效形式要求投标人对同一份投标文件含义不明确或同类问题表述不一致的内容 (招标文件其它地方有规定处理方法的除外)作必要的澄清或说明。投标人应采用在线回复或其他有效形式在询标规定时间内进行澄清或说明，但不得超出投标文件的范围或改变投标文件的实质性内容。</w:t>
      </w:r>
    </w:p>
    <w:p w14:paraId="678BD16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2.如果投标人代表拒绝或未按评标委员会要求在“乐采云”平台作出在线回复且无其他有效回复方式的，评标委员会有权作出不利于该投标人的评审意见。</w:t>
      </w:r>
    </w:p>
    <w:p w14:paraId="7E03F28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（五）错误修正</w:t>
      </w:r>
    </w:p>
    <w:p w14:paraId="3C5A48C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投标文件如果出现计算或表达上的错误，修正错误的原则如下：</w:t>
      </w:r>
    </w:p>
    <w:p w14:paraId="2C061E2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1.开标一览表总价与投标报价明细表汇总数不一致的，以开标一览表为准；</w:t>
      </w:r>
    </w:p>
    <w:p w14:paraId="2E0D424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2.投标文件的大写金额和小写金额不一致的，以大写金额为准；</w:t>
      </w:r>
    </w:p>
    <w:p w14:paraId="34D8E82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3.总价金额与按单价汇总金额不一致的，以单价金额计算结果为准；</w:t>
      </w:r>
    </w:p>
    <w:p w14:paraId="57C2790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4.对不同文字文本投标文件的解释发生异议的，以中文文本为准。</w:t>
      </w:r>
    </w:p>
    <w:p w14:paraId="46E35D3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0B903017">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（六）评标原则和评标办法</w:t>
      </w:r>
    </w:p>
    <w:p w14:paraId="7142AD7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2B48FC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2.评标办法。本项目评标办法是综合评分法 ，具体评标内容及评分标准等详见《第四章：评标办法及评分标准》。</w:t>
      </w:r>
    </w:p>
    <w:p w14:paraId="392BB7F7">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（七）评标过程的监控</w:t>
      </w:r>
    </w:p>
    <w:p w14:paraId="3E5FAC3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本项目评标过程实行全程录音、录像监控，采购代理机构现场监督员进行现场监督。投标人在评标过程中所进行的试图影响评标结果的不公正活动，可能导致其投标被拒绝。</w:t>
      </w:r>
    </w:p>
    <w:p w14:paraId="7C0FDB68">
      <w:pPr>
        <w:keepNext w:val="0"/>
        <w:keepLines w:val="0"/>
        <w:pageBreakBefore w:val="0"/>
        <w:widowControl w:val="0"/>
        <w:kinsoku/>
        <w:wordWrap/>
        <w:overflowPunct/>
        <w:topLinePunct w:val="0"/>
        <w:autoSpaceDE/>
        <w:autoSpaceDN/>
        <w:bidi w:val="0"/>
        <w:adjustRightInd/>
        <w:spacing w:before="10" w:after="10" w:line="500" w:lineRule="exact"/>
        <w:ind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六、定标</w:t>
      </w:r>
    </w:p>
    <w:p w14:paraId="41128F27">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（一）确定中标人</w:t>
      </w:r>
    </w:p>
    <w:p w14:paraId="770FB85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1.评标结束后，采购代理机构通过电子邮件方式向各投标人公布评审结果。</w:t>
      </w:r>
    </w:p>
    <w:p w14:paraId="1907EEB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2.评审结果经采购人确认后，采购代理机构向中标人签发《中标通知书》，同时在指定媒体上公告采购结果，该采购结果公告作为向投标人发出的书面通知。</w:t>
      </w:r>
    </w:p>
    <w:p w14:paraId="23F9A7F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如有投标人对评审结果提出质疑的，采购人可在质疑处理完毕后确定中标人；如在质疑期内查实中标人有违反有关法律法规和本项目招标文件规定和要求的，则取消该投标人所有标项的中标资格，中标人改为该标项排名其后的中标候选人，或重新组织采购。</w:t>
      </w:r>
    </w:p>
    <w:p w14:paraId="5C2DFC1C">
      <w:pPr>
        <w:keepNext w:val="0"/>
        <w:keepLines w:val="0"/>
        <w:pageBreakBefore w:val="0"/>
        <w:widowControl w:val="0"/>
        <w:kinsoku/>
        <w:wordWrap/>
        <w:overflowPunct/>
        <w:topLinePunct w:val="0"/>
        <w:autoSpaceDE/>
        <w:autoSpaceDN/>
        <w:bidi w:val="0"/>
        <w:adjustRightInd/>
        <w:spacing w:before="10" w:after="10" w:line="500" w:lineRule="exact"/>
        <w:ind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七、合同（协议）授予</w:t>
      </w:r>
    </w:p>
    <w:p w14:paraId="2BF24EC0">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（一）签订合同（协议）</w:t>
      </w:r>
    </w:p>
    <w:p w14:paraId="0F1595BB">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1.采购人与中标人应当在《中标通知书》发出之日起30日内签订采购合同。同时，采购代理机构对合同内容进行审查，如发现与采购结果和投标承诺内容不一致的，将予以纠正。</w:t>
      </w:r>
    </w:p>
    <w:p w14:paraId="1C88836D">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2.中标通知书》、招标文件、投标文件等采购文件将作为签订合同（协议）的依据。</w:t>
      </w:r>
    </w:p>
    <w:p w14:paraId="1E9E6214">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3.中标人拒交履约保证金（如有）、拒签合同或放弃中标的，将被取消该投标人所有标项的中标资格并追究其法律责任，中标人改为该标项排名其后的中标候选人，或重新组织采购。</w:t>
      </w:r>
    </w:p>
    <w:p w14:paraId="18AB980A">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rPr>
      </w:pPr>
      <w:r>
        <w:rPr>
          <w:rFonts w:hint="eastAsia" w:ascii="宋体" w:hAnsi="宋体" w:eastAsia="宋体" w:cs="宋体"/>
          <w:b/>
          <w:szCs w:val="21"/>
        </w:rPr>
        <w:t>（二）履约保证金：不作要求。</w:t>
      </w:r>
    </w:p>
    <w:bookmarkEnd w:id="53"/>
    <w:bookmarkEnd w:id="54"/>
    <w:p w14:paraId="33764836">
      <w:pPr>
        <w:pStyle w:val="3"/>
        <w:pageBreakBefore w:val="0"/>
        <w:widowControl w:val="0"/>
        <w:kinsoku/>
        <w:wordWrap/>
        <w:overflowPunct/>
        <w:topLinePunct w:val="0"/>
        <w:autoSpaceDE/>
        <w:autoSpaceDN/>
        <w:bidi w:val="0"/>
        <w:adjustRightInd/>
        <w:snapToGrid/>
        <w:spacing w:before="0" w:after="0" w:line="500" w:lineRule="exact"/>
        <w:ind w:firstLine="643" w:firstLineChars="200"/>
        <w:jc w:val="center"/>
        <w:textAlignment w:val="auto"/>
        <w:rPr>
          <w:rFonts w:hint="eastAsia" w:ascii="宋体" w:hAnsi="宋体" w:eastAsia="宋体" w:cs="宋体"/>
          <w:bCs w:val="0"/>
          <w:kern w:val="2"/>
          <w:sz w:val="32"/>
          <w:szCs w:val="32"/>
        </w:rPr>
        <w:sectPr>
          <w:pgSz w:w="11910" w:h="16840"/>
          <w:pgMar w:top="1440" w:right="1080" w:bottom="1440" w:left="1080" w:header="856" w:footer="862" w:gutter="0"/>
          <w:cols w:space="720" w:num="1"/>
        </w:sectPr>
      </w:pPr>
      <w:bookmarkStart w:id="55" w:name="_Toc406402996"/>
      <w:bookmarkStart w:id="56" w:name="_Toc22763"/>
    </w:p>
    <w:p w14:paraId="7B158ABA">
      <w:pPr>
        <w:pStyle w:val="3"/>
        <w:pageBreakBefore w:val="0"/>
        <w:kinsoku/>
        <w:wordWrap/>
        <w:overflowPunct/>
        <w:topLinePunct w:val="0"/>
        <w:autoSpaceDE/>
        <w:autoSpaceDN/>
        <w:bidi w:val="0"/>
        <w:adjustRightInd/>
        <w:snapToGrid/>
        <w:spacing w:before="10" w:after="10" w:line="500" w:lineRule="exact"/>
        <w:ind w:firstLine="0" w:firstLineChars="0"/>
        <w:jc w:val="center"/>
        <w:textAlignment w:val="auto"/>
        <w:rPr>
          <w:rFonts w:hint="eastAsia" w:ascii="宋体" w:hAnsi="宋体" w:eastAsia="宋体" w:cs="宋体"/>
          <w:sz w:val="30"/>
          <w:szCs w:val="30"/>
        </w:rPr>
      </w:pPr>
      <w:r>
        <w:rPr>
          <w:rFonts w:hint="eastAsia" w:ascii="宋体" w:hAnsi="宋体" w:eastAsia="宋体" w:cs="宋体"/>
          <w:bCs w:val="0"/>
          <w:kern w:val="2"/>
          <w:sz w:val="30"/>
          <w:szCs w:val="30"/>
        </w:rPr>
        <w:t>第四章 评标办法及评分标准</w:t>
      </w:r>
      <w:bookmarkEnd w:id="55"/>
      <w:bookmarkEnd w:id="56"/>
    </w:p>
    <w:p w14:paraId="6D3EA3DD">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bookmarkStart w:id="57" w:name="_Toc357584969"/>
      <w:bookmarkStart w:id="58" w:name="_Toc401844727"/>
      <w:r>
        <w:rPr>
          <w:rFonts w:hint="eastAsia" w:ascii="宋体" w:hAnsi="宋体" w:eastAsia="宋体" w:cs="宋体"/>
          <w:szCs w:val="21"/>
        </w:rPr>
        <w:t>为公正、公平、科学地选择中标人，参照有关法律法规的规定，并结合本项目的实际，制定本办法。</w:t>
      </w:r>
    </w:p>
    <w:p w14:paraId="0E447831">
      <w:pPr>
        <w:keepNext w:val="0"/>
        <w:keepLines w:val="0"/>
        <w:pageBreakBefore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 、总则</w:t>
      </w:r>
    </w:p>
    <w:p w14:paraId="5820907A">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次评标采用综合评分法，总分为100分，其中价格分30分、技术商务分70分。合格投标人的评标综合得分为价格分和技术商务分的总和，中标候选资格分标项按评标综合得分由高到低顺序排列，得分相同的，按投标报价由低到高顺序排列；得分且投标报价相同的，按技术商务得分由高到低顺序排列，仍不能分出前后的，由评标委员会组长抽签确定。评分过程中采用四舍五入法，并保留小数2位。</w:t>
      </w:r>
    </w:p>
    <w:p w14:paraId="50688AC4">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投标人评标综合得分=价格分+技术商务分</w:t>
      </w:r>
    </w:p>
    <w:p w14:paraId="00CBAC7D">
      <w:pPr>
        <w:keepNext w:val="0"/>
        <w:keepLines w:val="0"/>
        <w:pageBreakBefore w:val="0"/>
        <w:kinsoku/>
        <w:wordWrap/>
        <w:overflowPunct/>
        <w:topLinePunct w:val="0"/>
        <w:autoSpaceDE/>
        <w:autoSpaceDN/>
        <w:bidi w:val="0"/>
        <w:adjustRightInd/>
        <w:spacing w:line="50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 、评标内容及标准</w:t>
      </w:r>
    </w:p>
    <w:bookmarkEnd w:id="57"/>
    <w:bookmarkEnd w:id="58"/>
    <w:p w14:paraId="37B4749B">
      <w:pPr>
        <w:keepNext w:val="0"/>
        <w:keepLines w:val="0"/>
        <w:pageBreakBefore w:val="0"/>
        <w:widowControl/>
        <w:kinsoku/>
        <w:wordWrap/>
        <w:overflowPunct/>
        <w:topLinePunct w:val="0"/>
        <w:autoSpaceDE/>
        <w:autoSpaceDN/>
        <w:bidi w:val="0"/>
        <w:adjustRightInd/>
        <w:spacing w:line="500" w:lineRule="exact"/>
        <w:ind w:firstLine="422" w:firstLineChars="200"/>
        <w:jc w:val="left"/>
        <w:textAlignment w:val="auto"/>
        <w:rPr>
          <w:rFonts w:hint="eastAsia" w:ascii="宋体" w:hAnsi="宋体" w:eastAsia="宋体" w:cs="宋体"/>
          <w:b/>
          <w:szCs w:val="21"/>
        </w:rPr>
      </w:pPr>
      <w:bookmarkStart w:id="59" w:name="_Toc504744400"/>
      <w:r>
        <w:rPr>
          <w:rFonts w:hint="eastAsia" w:ascii="宋体" w:hAnsi="宋体" w:eastAsia="宋体" w:cs="宋体"/>
          <w:b/>
          <w:szCs w:val="21"/>
        </w:rPr>
        <w:t>1.价格分（30分）</w:t>
      </w:r>
    </w:p>
    <w:p w14:paraId="170CC31D">
      <w:pPr>
        <w:keepNext w:val="0"/>
        <w:keepLines w:val="0"/>
        <w:pageBreakBefore w:val="0"/>
        <w:widowControl/>
        <w:tabs>
          <w:tab w:val="left" w:pos="6264"/>
        </w:tabs>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投标报价在招标人公布的最高限价以下、在各阶段评审中未被定为无效投标文件或废标，其投标人的投标报价为有效投标报价。</w:t>
      </w:r>
    </w:p>
    <w:p w14:paraId="5E487375">
      <w:pPr>
        <w:keepNext w:val="0"/>
        <w:keepLines w:val="0"/>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1.1评标基准价=有效报价的算术平均值（四舍五入，保留2位小数）。</w:t>
      </w:r>
    </w:p>
    <w:p w14:paraId="0CBF59C6">
      <w:pPr>
        <w:keepNext w:val="0"/>
        <w:keepLines w:val="0"/>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1.2各投标供应商的报价等于评标基准价时报价分得满分；高于评标基准价时，每高1％扣0.2分；低于评标基准价时，每低1％扣0.1分；以此求出各投标供应商的报价得分。（保留两位小数，不计负分。）</w:t>
      </w:r>
    </w:p>
    <w:p w14:paraId="3D33DD8A">
      <w:pPr>
        <w:keepNext w:val="0"/>
        <w:keepLines w:val="0"/>
        <w:pageBreakBefore w:val="0"/>
        <w:widowControl/>
        <w:kinsoku/>
        <w:wordWrap/>
        <w:overflowPunct/>
        <w:topLinePunct w:val="0"/>
        <w:autoSpaceDE/>
        <w:autoSpaceDN/>
        <w:bidi w:val="0"/>
        <w:adjustRightInd/>
        <w:spacing w:line="500" w:lineRule="exact"/>
        <w:ind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2.技术商务分（0～70分）</w:t>
      </w:r>
    </w:p>
    <w:tbl>
      <w:tblPr>
        <w:tblStyle w:val="14"/>
        <w:tblW w:w="97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11"/>
        <w:gridCol w:w="1206"/>
        <w:gridCol w:w="898"/>
        <w:gridCol w:w="6885"/>
      </w:tblGrid>
      <w:tr w14:paraId="65803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5" w:hRule="atLeast"/>
          <w:jc w:val="center"/>
        </w:trPr>
        <w:tc>
          <w:tcPr>
            <w:tcW w:w="711" w:type="dxa"/>
            <w:noWrap w:val="0"/>
            <w:vAlign w:val="center"/>
          </w:tcPr>
          <w:p w14:paraId="12210BA0">
            <w:pPr>
              <w:keepNext w:val="0"/>
              <w:keepLines w:val="0"/>
              <w:pageBreakBefore w:val="0"/>
              <w:kinsoku/>
              <w:wordWrap/>
              <w:overflowPunct/>
              <w:topLinePunct w:val="0"/>
              <w:autoSpaceDE/>
              <w:autoSpaceDN/>
              <w:bidi w:val="0"/>
              <w:adjustRightInd w:val="0"/>
              <w:spacing w:line="500" w:lineRule="exact"/>
              <w:ind w:left="0" w:leftChars="0" w:right="0" w:rightChars="0"/>
              <w:rPr>
                <w:rFonts w:hint="eastAsia" w:ascii="宋体" w:hAnsi="宋体" w:eastAsia="宋体" w:cs="宋体"/>
                <w:sz w:val="21"/>
                <w:szCs w:val="21"/>
              </w:rPr>
            </w:pPr>
            <w:r>
              <w:rPr>
                <w:rFonts w:hint="eastAsia" w:ascii="宋体" w:hAnsi="宋体" w:eastAsia="宋体" w:cs="宋体"/>
                <w:sz w:val="21"/>
                <w:szCs w:val="21"/>
              </w:rPr>
              <w:t>序号</w:t>
            </w:r>
          </w:p>
        </w:tc>
        <w:tc>
          <w:tcPr>
            <w:tcW w:w="1206" w:type="dxa"/>
            <w:noWrap w:val="0"/>
            <w:vAlign w:val="center"/>
          </w:tcPr>
          <w:p w14:paraId="48D0D19A">
            <w:pPr>
              <w:keepNext w:val="0"/>
              <w:keepLines w:val="0"/>
              <w:pageBreakBefore w:val="0"/>
              <w:kinsoku/>
              <w:wordWrap/>
              <w:overflowPunct/>
              <w:topLinePunct w:val="0"/>
              <w:autoSpaceDE/>
              <w:autoSpaceDN/>
              <w:bidi w:val="0"/>
              <w:adjustRightIn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898" w:type="dxa"/>
            <w:noWrap w:val="0"/>
            <w:vAlign w:val="center"/>
          </w:tcPr>
          <w:p w14:paraId="77AA6ABF">
            <w:pPr>
              <w:keepNext w:val="0"/>
              <w:keepLines w:val="0"/>
              <w:pageBreakBefore w:val="0"/>
              <w:kinsoku/>
              <w:wordWrap/>
              <w:overflowPunct/>
              <w:topLinePunct w:val="0"/>
              <w:autoSpaceDE/>
              <w:autoSpaceDN/>
              <w:bidi w:val="0"/>
              <w:adjustRightIn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分值（分）</w:t>
            </w:r>
          </w:p>
        </w:tc>
        <w:tc>
          <w:tcPr>
            <w:tcW w:w="6885" w:type="dxa"/>
            <w:noWrap w:val="0"/>
            <w:vAlign w:val="center"/>
          </w:tcPr>
          <w:p w14:paraId="7F5E11E2">
            <w:pPr>
              <w:keepNext w:val="0"/>
              <w:keepLines w:val="0"/>
              <w:pageBreakBefore w:val="0"/>
              <w:kinsoku/>
              <w:wordWrap/>
              <w:overflowPunct/>
              <w:topLinePunct w:val="0"/>
              <w:autoSpaceDE/>
              <w:autoSpaceDN/>
              <w:bidi w:val="0"/>
              <w:adjustRightIn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评分内容及标准</w:t>
            </w:r>
          </w:p>
        </w:tc>
      </w:tr>
      <w:tr w14:paraId="4382D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jc w:val="center"/>
        </w:trPr>
        <w:tc>
          <w:tcPr>
            <w:tcW w:w="711" w:type="dxa"/>
            <w:noWrap w:val="0"/>
            <w:vAlign w:val="center"/>
          </w:tcPr>
          <w:p w14:paraId="4E953DC3">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206" w:type="dxa"/>
            <w:noWrap w:val="0"/>
            <w:vAlign w:val="center"/>
          </w:tcPr>
          <w:p w14:paraId="4AD8C020">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bookmarkStart w:id="60" w:name="OLE_LINK8"/>
            <w:r>
              <w:rPr>
                <w:rFonts w:hint="eastAsia" w:ascii="宋体" w:hAnsi="宋体" w:eastAsia="宋体" w:cs="宋体"/>
                <w:sz w:val="21"/>
                <w:szCs w:val="21"/>
              </w:rPr>
              <w:t>投标人的综合实力</w:t>
            </w:r>
            <w:bookmarkEnd w:id="60"/>
          </w:p>
        </w:tc>
        <w:tc>
          <w:tcPr>
            <w:tcW w:w="898" w:type="dxa"/>
            <w:noWrap w:val="0"/>
            <w:vAlign w:val="center"/>
          </w:tcPr>
          <w:p w14:paraId="57215BDB">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6ABE32D2">
            <w:pPr>
              <w:keepNext w:val="0"/>
              <w:keepLines w:val="0"/>
              <w:pageBreakBefore w:val="0"/>
              <w:kinsoku/>
              <w:wordWrap/>
              <w:overflowPunct/>
              <w:topLinePunct w:val="0"/>
              <w:autoSpaceDE/>
              <w:autoSpaceDN/>
              <w:bidi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根据投标人综合实力、资信、信誉及相关荣誉证书等情况酌情评分</w:t>
            </w:r>
          </w:p>
        </w:tc>
      </w:tr>
      <w:tr w14:paraId="73F4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jc w:val="center"/>
        </w:trPr>
        <w:tc>
          <w:tcPr>
            <w:tcW w:w="711" w:type="dxa"/>
            <w:noWrap w:val="0"/>
            <w:vAlign w:val="center"/>
          </w:tcPr>
          <w:p w14:paraId="4C73D35B">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206" w:type="dxa"/>
            <w:noWrap w:val="0"/>
            <w:vAlign w:val="center"/>
          </w:tcPr>
          <w:p w14:paraId="76E84B8F">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诚信度</w:t>
            </w:r>
          </w:p>
        </w:tc>
        <w:tc>
          <w:tcPr>
            <w:tcW w:w="898" w:type="dxa"/>
            <w:noWrap w:val="0"/>
            <w:vAlign w:val="center"/>
          </w:tcPr>
          <w:p w14:paraId="31EDB9BF">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0-2</w:t>
            </w:r>
          </w:p>
        </w:tc>
        <w:tc>
          <w:tcPr>
            <w:tcW w:w="6885" w:type="dxa"/>
            <w:noWrap w:val="0"/>
            <w:vAlign w:val="center"/>
          </w:tcPr>
          <w:p w14:paraId="6BE16B52">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根据投标人在投标截止时间止前三年是否列入不良行为、经营异常或在政府采购专项检查、合同履约验收过程中的诚信情况酌情评分。</w:t>
            </w:r>
          </w:p>
        </w:tc>
      </w:tr>
      <w:tr w14:paraId="5BE9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7" w:hRule="atLeast"/>
          <w:jc w:val="center"/>
        </w:trPr>
        <w:tc>
          <w:tcPr>
            <w:tcW w:w="711" w:type="dxa"/>
            <w:noWrap w:val="0"/>
            <w:vAlign w:val="center"/>
          </w:tcPr>
          <w:p w14:paraId="4BBC7B44">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3.1</w:t>
            </w:r>
          </w:p>
        </w:tc>
        <w:tc>
          <w:tcPr>
            <w:tcW w:w="1206" w:type="dxa"/>
            <w:vMerge w:val="restart"/>
            <w:noWrap w:val="0"/>
            <w:vAlign w:val="center"/>
          </w:tcPr>
          <w:p w14:paraId="3D244A21">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项目总体</w:t>
            </w:r>
          </w:p>
          <w:p w14:paraId="3713411B">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方案</w:t>
            </w:r>
          </w:p>
          <w:p w14:paraId="0297943A">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551EC014">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6349308A">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根据投标人的施工方案等酌情评分。</w:t>
            </w:r>
          </w:p>
        </w:tc>
      </w:tr>
      <w:tr w14:paraId="3154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4" w:hRule="atLeast"/>
          <w:jc w:val="center"/>
        </w:trPr>
        <w:tc>
          <w:tcPr>
            <w:tcW w:w="711" w:type="dxa"/>
            <w:noWrap w:val="0"/>
            <w:vAlign w:val="center"/>
          </w:tcPr>
          <w:p w14:paraId="762E6CCE">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3.2</w:t>
            </w:r>
          </w:p>
        </w:tc>
        <w:tc>
          <w:tcPr>
            <w:tcW w:w="1206" w:type="dxa"/>
            <w:vMerge w:val="continue"/>
            <w:noWrap w:val="0"/>
            <w:vAlign w:val="center"/>
          </w:tcPr>
          <w:p w14:paraId="01EDF9F9">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5A0637BD">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4F4259DF">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根据投标人的进度保证措施等酌情评分。</w:t>
            </w:r>
          </w:p>
        </w:tc>
      </w:tr>
      <w:tr w14:paraId="3794D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711" w:type="dxa"/>
            <w:noWrap w:val="0"/>
            <w:vAlign w:val="center"/>
          </w:tcPr>
          <w:p w14:paraId="76BEEE9E">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3.3</w:t>
            </w:r>
          </w:p>
        </w:tc>
        <w:tc>
          <w:tcPr>
            <w:tcW w:w="1206" w:type="dxa"/>
            <w:vMerge w:val="continue"/>
            <w:noWrap w:val="0"/>
            <w:vAlign w:val="center"/>
          </w:tcPr>
          <w:p w14:paraId="607AEB96">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234885B6">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59B5581C">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根据投标人的人员安排计划等酌情评分。</w:t>
            </w:r>
          </w:p>
        </w:tc>
      </w:tr>
      <w:tr w14:paraId="46C6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4" w:hRule="atLeast"/>
          <w:jc w:val="center"/>
        </w:trPr>
        <w:tc>
          <w:tcPr>
            <w:tcW w:w="711" w:type="dxa"/>
            <w:noWrap w:val="0"/>
            <w:vAlign w:val="center"/>
          </w:tcPr>
          <w:p w14:paraId="43AA1842">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3.4</w:t>
            </w:r>
          </w:p>
        </w:tc>
        <w:tc>
          <w:tcPr>
            <w:tcW w:w="1206" w:type="dxa"/>
            <w:vMerge w:val="continue"/>
            <w:noWrap w:val="0"/>
            <w:vAlign w:val="center"/>
          </w:tcPr>
          <w:p w14:paraId="4CA80306">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3FFC4A05">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5878DD17">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根据投标人的质量保证措施等酌情评分。</w:t>
            </w:r>
          </w:p>
        </w:tc>
      </w:tr>
      <w:tr w14:paraId="5FD5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4" w:hRule="atLeast"/>
          <w:jc w:val="center"/>
        </w:trPr>
        <w:tc>
          <w:tcPr>
            <w:tcW w:w="711" w:type="dxa"/>
            <w:noWrap w:val="0"/>
            <w:vAlign w:val="center"/>
          </w:tcPr>
          <w:p w14:paraId="3CC48A0A">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3.5</w:t>
            </w:r>
          </w:p>
        </w:tc>
        <w:tc>
          <w:tcPr>
            <w:tcW w:w="1206" w:type="dxa"/>
            <w:vMerge w:val="continue"/>
            <w:noWrap w:val="0"/>
            <w:vAlign w:val="center"/>
          </w:tcPr>
          <w:p w14:paraId="5AFF74B2">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10387BE3">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68567588">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根据投标人的安全管理方案及保证措施等酌情评分。</w:t>
            </w:r>
          </w:p>
        </w:tc>
      </w:tr>
      <w:tr w14:paraId="2D513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711" w:type="dxa"/>
            <w:noWrap w:val="0"/>
            <w:vAlign w:val="center"/>
          </w:tcPr>
          <w:p w14:paraId="1930E0DB">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3.6</w:t>
            </w:r>
          </w:p>
        </w:tc>
        <w:tc>
          <w:tcPr>
            <w:tcW w:w="1206" w:type="dxa"/>
            <w:vMerge w:val="continue"/>
            <w:noWrap w:val="0"/>
            <w:vAlign w:val="center"/>
          </w:tcPr>
          <w:p w14:paraId="6A0DCB5E">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6BB3C472">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34960214">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根据投标人的验收方案等酌情评分。</w:t>
            </w:r>
          </w:p>
        </w:tc>
      </w:tr>
      <w:tr w14:paraId="3DE92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711" w:type="dxa"/>
            <w:noWrap w:val="0"/>
            <w:vAlign w:val="center"/>
          </w:tcPr>
          <w:p w14:paraId="1CBED7ED">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3.7</w:t>
            </w:r>
          </w:p>
        </w:tc>
        <w:tc>
          <w:tcPr>
            <w:tcW w:w="1206" w:type="dxa"/>
            <w:vMerge w:val="continue"/>
            <w:noWrap w:val="0"/>
            <w:vAlign w:val="center"/>
          </w:tcPr>
          <w:p w14:paraId="12AAE6F2">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p>
        </w:tc>
        <w:tc>
          <w:tcPr>
            <w:tcW w:w="898" w:type="dxa"/>
            <w:noWrap w:val="0"/>
            <w:vAlign w:val="center"/>
          </w:tcPr>
          <w:p w14:paraId="383B44D4">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0-6</w:t>
            </w:r>
          </w:p>
        </w:tc>
        <w:tc>
          <w:tcPr>
            <w:tcW w:w="6885" w:type="dxa"/>
            <w:noWrap w:val="0"/>
            <w:vAlign w:val="center"/>
          </w:tcPr>
          <w:p w14:paraId="77FD2FDB">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根据投标人的维保方案等酌情评分。</w:t>
            </w:r>
          </w:p>
        </w:tc>
      </w:tr>
      <w:tr w14:paraId="781E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jc w:val="center"/>
        </w:trPr>
        <w:tc>
          <w:tcPr>
            <w:tcW w:w="711" w:type="dxa"/>
            <w:noWrap w:val="0"/>
            <w:vAlign w:val="center"/>
          </w:tcPr>
          <w:p w14:paraId="6EC12B9E">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1206" w:type="dxa"/>
            <w:noWrap w:val="0"/>
            <w:vAlign w:val="center"/>
          </w:tcPr>
          <w:p w14:paraId="63117A8E">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拟投入人员情况</w:t>
            </w:r>
          </w:p>
        </w:tc>
        <w:tc>
          <w:tcPr>
            <w:tcW w:w="898" w:type="dxa"/>
            <w:noWrap w:val="0"/>
            <w:vAlign w:val="center"/>
          </w:tcPr>
          <w:p w14:paraId="04577675">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0-4</w:t>
            </w:r>
          </w:p>
        </w:tc>
        <w:tc>
          <w:tcPr>
            <w:tcW w:w="6885" w:type="dxa"/>
            <w:noWrap w:val="0"/>
            <w:vAlign w:val="center"/>
          </w:tcPr>
          <w:p w14:paraId="28012312">
            <w:pPr>
              <w:keepNext w:val="0"/>
              <w:keepLines w:val="0"/>
              <w:pageBreakBefore w:val="0"/>
              <w:kinsoku/>
              <w:wordWrap/>
              <w:overflowPunct/>
              <w:topLinePunct w:val="0"/>
              <w:autoSpaceDE/>
              <w:autoSpaceDN/>
              <w:bidi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根据投标人拟投入本项目的技术力量的数量、职称及类似项目经验等情况酌情打分。</w:t>
            </w:r>
          </w:p>
        </w:tc>
      </w:tr>
      <w:tr w14:paraId="5D95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jc w:val="center"/>
        </w:trPr>
        <w:tc>
          <w:tcPr>
            <w:tcW w:w="711" w:type="dxa"/>
            <w:noWrap w:val="0"/>
            <w:vAlign w:val="center"/>
          </w:tcPr>
          <w:p w14:paraId="108F635C">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5.1</w:t>
            </w:r>
          </w:p>
        </w:tc>
        <w:tc>
          <w:tcPr>
            <w:tcW w:w="1206" w:type="dxa"/>
            <w:vMerge w:val="restart"/>
            <w:noWrap w:val="0"/>
            <w:vAlign w:val="center"/>
          </w:tcPr>
          <w:p w14:paraId="0F2B1CBC">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服务承诺</w:t>
            </w:r>
          </w:p>
        </w:tc>
        <w:tc>
          <w:tcPr>
            <w:tcW w:w="898" w:type="dxa"/>
            <w:noWrap w:val="0"/>
            <w:vAlign w:val="center"/>
          </w:tcPr>
          <w:p w14:paraId="564B7EC2">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0-8</w:t>
            </w:r>
          </w:p>
        </w:tc>
        <w:tc>
          <w:tcPr>
            <w:tcW w:w="6885" w:type="dxa"/>
            <w:noWrap w:val="0"/>
            <w:vAlign w:val="center"/>
          </w:tcPr>
          <w:p w14:paraId="42085A12">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根据投标人质保期承诺、服务响应和故障排除时间承诺、质保期外的后续技术支持和维护能力情况等酌情评分。</w:t>
            </w:r>
          </w:p>
        </w:tc>
      </w:tr>
      <w:tr w14:paraId="09A6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711" w:type="dxa"/>
            <w:noWrap w:val="0"/>
            <w:vAlign w:val="center"/>
          </w:tcPr>
          <w:p w14:paraId="2C001ECC">
            <w:pPr>
              <w:keepNext w:val="0"/>
              <w:keepLines w:val="0"/>
              <w:pageBreakBefore w:val="0"/>
              <w:widowControl/>
              <w:kinsoku/>
              <w:wordWrap/>
              <w:overflowPunct/>
              <w:topLinePunct w:val="0"/>
              <w:autoSpaceDE/>
              <w:autoSpaceDN/>
              <w:bidi w:val="0"/>
              <w:spacing w:line="500" w:lineRule="exac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5.2</w:t>
            </w:r>
          </w:p>
        </w:tc>
        <w:tc>
          <w:tcPr>
            <w:tcW w:w="1206" w:type="dxa"/>
            <w:vMerge w:val="continue"/>
            <w:noWrap w:val="0"/>
            <w:vAlign w:val="center"/>
          </w:tcPr>
          <w:p w14:paraId="0B8AB674">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p>
        </w:tc>
        <w:tc>
          <w:tcPr>
            <w:tcW w:w="898" w:type="dxa"/>
            <w:noWrap w:val="0"/>
            <w:vAlign w:val="center"/>
          </w:tcPr>
          <w:p w14:paraId="2F6D9DBD">
            <w:pPr>
              <w:keepNext w:val="0"/>
              <w:keepLines w:val="0"/>
              <w:pageBreakBefore w:val="0"/>
              <w:kinsoku/>
              <w:wordWrap/>
              <w:overflowPunct/>
              <w:topLinePunct w:val="0"/>
              <w:autoSpaceDE/>
              <w:autoSpaceDN/>
              <w:bidi w:val="0"/>
              <w:spacing w:line="50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0-8</w:t>
            </w:r>
          </w:p>
        </w:tc>
        <w:tc>
          <w:tcPr>
            <w:tcW w:w="6885" w:type="dxa"/>
            <w:noWrap w:val="0"/>
            <w:vAlign w:val="center"/>
          </w:tcPr>
          <w:p w14:paraId="2FB3F41E">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根据投标人本地化服务方案及相关证明材料等酌情评分。</w:t>
            </w:r>
          </w:p>
        </w:tc>
      </w:tr>
    </w:tbl>
    <w:p w14:paraId="6703C474">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如发现材料弄虚作假，采购人有权按不利于投标人的方式处理。</w:t>
      </w:r>
    </w:p>
    <w:p w14:paraId="1748D563">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以上评分细则及招标文件规定的所有内容，如投标人有任何异议，请于开标前5天向采购人或代理机构提出，如未提出异议的，视为认可招标文件中所有规定内容，今后不得以任何理由提起异议，所有异议不再受理。</w:t>
      </w:r>
    </w:p>
    <w:p w14:paraId="12B48515">
      <w:pPr>
        <w:pageBreakBefore w:val="0"/>
        <w:kinsoku/>
        <w:wordWrap/>
        <w:overflowPunct/>
        <w:topLinePunct w:val="0"/>
        <w:autoSpaceDE/>
        <w:autoSpaceDN/>
        <w:bidi w:val="0"/>
        <w:adjustRightInd/>
        <w:snapToGrid/>
        <w:spacing w:before="10" w:after="10" w:line="500" w:lineRule="exact"/>
        <w:ind w:firstLine="0" w:firstLineChars="0"/>
        <w:jc w:val="center"/>
        <w:textAlignment w:val="auto"/>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0"/>
          <w:szCs w:val="30"/>
        </w:rPr>
        <w:t xml:space="preserve">  第五章  </w:t>
      </w:r>
      <w:bookmarkStart w:id="61" w:name="OLE_LINK93"/>
      <w:bookmarkStart w:id="62" w:name="OLE_LINK94"/>
      <w:r>
        <w:rPr>
          <w:rFonts w:hint="eastAsia" w:ascii="宋体" w:hAnsi="宋体" w:eastAsia="宋体" w:cs="宋体"/>
          <w:b/>
          <w:sz w:val="30"/>
          <w:szCs w:val="30"/>
        </w:rPr>
        <w:t>海宁市货物、工程和服务采购合同（指引）</w:t>
      </w:r>
      <w:bookmarkEnd w:id="59"/>
    </w:p>
    <w:p w14:paraId="7BFE6CAC">
      <w:pPr>
        <w:keepNext w:val="0"/>
        <w:keepLines w:val="0"/>
        <w:pageBreakBefore w:val="0"/>
        <w:kinsoku/>
        <w:wordWrap/>
        <w:overflowPunct/>
        <w:topLinePunct w:val="0"/>
        <w:autoSpaceDE/>
        <w:autoSpaceDN/>
        <w:bidi w:val="0"/>
        <w:spacing w:before="0" w:beforeLines="50" w:after="0" w:afterLines="50" w:line="500" w:lineRule="exact"/>
        <w:jc w:val="center"/>
        <w:textAlignment w:val="auto"/>
        <w:rPr>
          <w:rFonts w:hint="eastAsia" w:ascii="宋体" w:hAnsi="宋体" w:cs="宋体"/>
          <w:sz w:val="24"/>
          <w:szCs w:val="24"/>
          <w:highlight w:val="none"/>
        </w:rPr>
      </w:pPr>
      <w:bookmarkStart w:id="63" w:name="_Toc7545"/>
      <w:r>
        <w:rPr>
          <w:rFonts w:hint="eastAsia" w:ascii="宋体" w:hAnsi="宋体" w:cs="宋体"/>
          <w:b/>
          <w:bCs/>
          <w:sz w:val="24"/>
          <w:szCs w:val="24"/>
          <w:highlight w:val="none"/>
        </w:rPr>
        <w:t>一、通用必备条款部分</w:t>
      </w:r>
    </w:p>
    <w:p w14:paraId="7A841C68">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lang w:eastAsia="zh-CN"/>
        </w:rPr>
      </w:pPr>
      <w:r>
        <w:rPr>
          <w:rFonts w:hint="eastAsia" w:ascii="宋体" w:hAnsi="宋体" w:eastAsia="宋体" w:cs="宋体"/>
          <w:szCs w:val="21"/>
        </w:rPr>
        <w:t>合同编号：</w:t>
      </w:r>
      <w:r>
        <w:rPr>
          <w:rFonts w:hint="eastAsia" w:ascii="宋体" w:hAnsi="宋体" w:eastAsia="宋体" w:cs="宋体"/>
          <w:szCs w:val="21"/>
          <w:lang w:val="en-US" w:eastAsia="zh-CN"/>
        </w:rPr>
        <w:t xml:space="preserve"> </w:t>
      </w:r>
    </w:p>
    <w:p w14:paraId="2D241BFC">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lang w:eastAsia="zh-CN"/>
        </w:rPr>
      </w:pPr>
      <w:r>
        <w:rPr>
          <w:rFonts w:hint="eastAsia" w:ascii="宋体" w:hAnsi="宋体" w:eastAsia="宋体" w:cs="宋体"/>
          <w:szCs w:val="21"/>
        </w:rPr>
        <w:t>预算金额：</w:t>
      </w:r>
      <w:r>
        <w:rPr>
          <w:rFonts w:hint="eastAsia" w:ascii="宋体" w:hAnsi="宋体" w:eastAsia="宋体" w:cs="宋体"/>
          <w:szCs w:val="21"/>
          <w:lang w:val="en-US" w:eastAsia="zh-CN"/>
        </w:rPr>
        <w:t xml:space="preserve"> </w:t>
      </w:r>
    </w:p>
    <w:p w14:paraId="383521B4">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b/>
          <w:color w:val="0000FF"/>
          <w:szCs w:val="21"/>
        </w:rPr>
      </w:pPr>
      <w:r>
        <w:rPr>
          <w:rFonts w:hint="eastAsia" w:ascii="宋体" w:hAnsi="宋体" w:eastAsia="宋体" w:cs="宋体"/>
          <w:szCs w:val="21"/>
        </w:rPr>
        <w:t>采购人（以下称甲方）：</w:t>
      </w:r>
    </w:p>
    <w:p w14:paraId="42C68004">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 xml:space="preserve">供应商（以下称乙方）： </w:t>
      </w:r>
    </w:p>
    <w:p w14:paraId="4889EE87">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lang w:eastAsia="zh-CN"/>
        </w:rPr>
      </w:pPr>
      <w:bookmarkStart w:id="64" w:name="第五章_货物、工程和服务采购合同（指引）"/>
      <w:bookmarkEnd w:id="64"/>
      <w:r>
        <w:rPr>
          <w:rFonts w:hint="eastAsia" w:ascii="宋体" w:hAnsi="宋体" w:eastAsia="宋体" w:cs="宋体"/>
          <w:szCs w:val="21"/>
        </w:rPr>
        <w:t>采购代理机构：</w:t>
      </w:r>
      <w:r>
        <w:rPr>
          <w:rFonts w:hint="eastAsia" w:ascii="宋体" w:hAnsi="宋体" w:eastAsia="宋体" w:cs="宋体"/>
          <w:szCs w:val="21"/>
          <w:lang w:eastAsia="zh-CN"/>
        </w:rPr>
        <w:t>嘉兴锦大工程管理咨询有限公司</w:t>
      </w:r>
    </w:p>
    <w:p w14:paraId="360F81D7">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采购方式：公开招标</w:t>
      </w:r>
    </w:p>
    <w:p w14:paraId="6408F12C">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根据《中华人民共和国民法典》等法律法规的规定，甲乙双方按照</w:t>
      </w:r>
      <w:r>
        <w:rPr>
          <w:rFonts w:hint="eastAsia" w:ascii="宋体" w:hAnsi="宋体" w:eastAsia="宋体" w:cs="宋体"/>
          <w:szCs w:val="21"/>
          <w:u w:val="single"/>
        </w:rPr>
        <w:t xml:space="preserve">                    </w:t>
      </w:r>
      <w:r>
        <w:rPr>
          <w:rFonts w:hint="eastAsia" w:ascii="宋体" w:hAnsi="宋体" w:eastAsia="宋体" w:cs="宋体"/>
          <w:szCs w:val="21"/>
        </w:rPr>
        <w:t>项目采购结果签订本合同。</w:t>
      </w:r>
    </w:p>
    <w:p w14:paraId="35150591">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第一条 合同组成</w:t>
      </w:r>
    </w:p>
    <w:p w14:paraId="057AB8CF">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本次采购活动的相关文件为本合同的组成部分，这些文件包括但不限于：</w:t>
      </w:r>
    </w:p>
    <w:p w14:paraId="4EC748FD">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1.1本合同文本；</w:t>
      </w:r>
    </w:p>
    <w:p w14:paraId="3C3E5E1D">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1.2采购文件与采购响应文件；</w:t>
      </w:r>
    </w:p>
    <w:p w14:paraId="3C709ACA">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1.3中标或成交通知书；</w:t>
      </w:r>
    </w:p>
    <w:p w14:paraId="3F423AF7">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第二条 合同标的与相关属性</w:t>
      </w:r>
    </w:p>
    <w:p w14:paraId="0DCB232F">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2.1本次采购的是</w:t>
      </w:r>
      <w:r>
        <w:rPr>
          <w:rFonts w:hint="eastAsia" w:ascii="宋体" w:hAnsi="宋体" w:eastAsia="宋体" w:cs="宋体"/>
          <w:b/>
          <w:szCs w:val="21"/>
          <w:u w:val="single"/>
        </w:rPr>
        <w:t xml:space="preserve">              </w:t>
      </w:r>
      <w:r>
        <w:rPr>
          <w:rFonts w:hint="eastAsia" w:ascii="宋体" w:hAnsi="宋体" w:eastAsia="宋体" w:cs="宋体"/>
          <w:szCs w:val="21"/>
        </w:rPr>
        <w:t>。</w:t>
      </w:r>
    </w:p>
    <w:p w14:paraId="5B536B4B">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第三条 合同价款</w:t>
      </w:r>
    </w:p>
    <w:p w14:paraId="6B1CF227">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3.1本合同项下总价款为人民币（大写）</w:t>
      </w:r>
      <w:r>
        <w:rPr>
          <w:rFonts w:hint="eastAsia" w:ascii="宋体" w:hAnsi="宋体" w:eastAsia="宋体" w:cs="宋体"/>
          <w:szCs w:val="21"/>
          <w:u w:val="single"/>
        </w:rPr>
        <w:t xml:space="preserve">               </w:t>
      </w:r>
      <w:r>
        <w:rPr>
          <w:rFonts w:hint="eastAsia" w:ascii="宋体" w:hAnsi="宋体" w:eastAsia="宋体" w:cs="宋体"/>
          <w:szCs w:val="21"/>
        </w:rPr>
        <w:t>。</w:t>
      </w:r>
    </w:p>
    <w:p w14:paraId="288E0C1A">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3.2本合同总价款含所有税费，包含方案深化设计费、创造费、完成设计制作、相关产品（含配件、附件、材料等）的采购费、相关就位、运输费、装卸费、税费、利润、实施费用、验收、质量保证和售后服务、招标代理费等完成本项目的全部费用。</w:t>
      </w:r>
    </w:p>
    <w:p w14:paraId="46787EC5">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3.3付款手续和付款时间</w:t>
      </w:r>
    </w:p>
    <w:p w14:paraId="5975B003">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3.3.1付款条件</w:t>
      </w:r>
    </w:p>
    <w:p w14:paraId="57CB5497">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（1）合同生效且项目具备实施条件后，支付合同金额的30%作为预付款；</w:t>
      </w:r>
    </w:p>
    <w:p w14:paraId="55AF1D0E">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（2）安装完毕交付使用并经甲方验收通过，交齐结算资料后付至合同金额的80%；</w:t>
      </w:r>
    </w:p>
    <w:p w14:paraId="631345EA">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（3）经审计后，按审定价付清余款。</w:t>
      </w:r>
    </w:p>
    <w:p w14:paraId="7BEE8484">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中标人向采购人办理货款结算手续，采购人需审核以下结算资料：合法发票原件、《采购合同》复印件、采购人签收的项目验收（预付款时无须提供）等相关资料；</w:t>
      </w:r>
    </w:p>
    <w:p w14:paraId="701B87F1">
      <w:pPr>
        <w:keepNext w:val="0"/>
        <w:keepLines w:val="0"/>
        <w:pageBreakBefore w:val="0"/>
        <w:kinsoku/>
        <w:wordWrap/>
        <w:overflowPunct/>
        <w:topLinePunct w:val="0"/>
        <w:autoSpaceDE/>
        <w:autoSpaceDN/>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3.3.2付款时间</w:t>
      </w:r>
    </w:p>
    <w:p w14:paraId="6A37684D">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采购人将审核后的结算资料提交至单位财务部门，经审核无误后，单位财务部门在15个工作日内支付相应合同金额。</w:t>
      </w:r>
    </w:p>
    <w:p w14:paraId="3763F2C1">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第四条 履约保证金</w:t>
      </w:r>
    </w:p>
    <w:p w14:paraId="26F05DAF">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本项目不设置履约保证金。</w:t>
      </w:r>
    </w:p>
    <w:p w14:paraId="22618A7F">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第五条 合同的变更和终止</w:t>
      </w:r>
    </w:p>
    <w:p w14:paraId="1075EEAC">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本合同一经签订，甲乙双方不得擅自终止合同或对合同实质性条款进行变更。</w:t>
      </w:r>
      <w:r>
        <w:rPr>
          <w:rFonts w:hint="eastAsia" w:ascii="宋体" w:hAnsi="宋体" w:eastAsia="宋体" w:cs="宋体"/>
          <w:bCs/>
          <w:szCs w:val="21"/>
        </w:rPr>
        <w:t>确有特殊情况的，双方可签订补充协议。</w:t>
      </w:r>
    </w:p>
    <w:p w14:paraId="174A5148">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第六条 合同的转让与分包</w:t>
      </w:r>
    </w:p>
    <w:p w14:paraId="1A14B189">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乙方不得擅自部分或全部转让其应履行的合同义务。乙方分包的，应经过甲方书面同意。</w:t>
      </w:r>
    </w:p>
    <w:p w14:paraId="654751FA">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第七条 争议的解决</w:t>
      </w:r>
    </w:p>
    <w:p w14:paraId="6D08C2D8">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因履行本合同引起的或与本合同有关的争议，甲、乙双方应首先通过友好协商解决，如果协商不能解决争议，则向甲方所在地有管辖权的人民法院提起诉讼。</w:t>
      </w:r>
    </w:p>
    <w:p w14:paraId="24EA08E5">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szCs w:val="21"/>
        </w:rPr>
      </w:pPr>
      <w:r>
        <w:rPr>
          <w:rFonts w:hint="eastAsia" w:ascii="宋体" w:hAnsi="宋体" w:eastAsia="宋体" w:cs="宋体"/>
          <w:b/>
          <w:szCs w:val="21"/>
        </w:rPr>
        <w:t>第八条 合同备案及其他</w:t>
      </w:r>
    </w:p>
    <w:p w14:paraId="7AD7BDB5">
      <w:pPr>
        <w:keepNext w:val="0"/>
        <w:keepLines w:val="0"/>
        <w:pageBreakBefore w:val="0"/>
        <w:widowControl/>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lang w:val="en-US" w:eastAsia="zh-CN"/>
        </w:rPr>
        <w:t>四</w:t>
      </w:r>
      <w:r>
        <w:rPr>
          <w:rFonts w:hint="eastAsia" w:ascii="宋体" w:hAnsi="宋体" w:eastAsia="宋体" w:cs="宋体"/>
          <w:szCs w:val="21"/>
        </w:rPr>
        <w:t>份，甲方、乙方各执二份，招标代理公司一份</w:t>
      </w:r>
      <w:r>
        <w:rPr>
          <w:rFonts w:hint="eastAsia" w:ascii="宋体" w:hAnsi="宋体" w:eastAsia="宋体" w:cs="宋体"/>
          <w:szCs w:val="21"/>
          <w:lang w:val="en-US" w:eastAsia="zh-CN"/>
        </w:rPr>
        <w:t>原件扫描件</w:t>
      </w:r>
      <w:r>
        <w:rPr>
          <w:rFonts w:hint="eastAsia" w:ascii="宋体" w:hAnsi="宋体" w:eastAsia="宋体" w:cs="宋体"/>
          <w:szCs w:val="21"/>
        </w:rPr>
        <w:t>。</w:t>
      </w:r>
    </w:p>
    <w:p w14:paraId="0CB93260">
      <w:pPr>
        <w:widowControl/>
        <w:adjustRightInd w:val="0"/>
        <w:snapToGrid w:val="0"/>
        <w:spacing w:line="360" w:lineRule="exact"/>
        <w:rPr>
          <w:rFonts w:hint="eastAsia" w:ascii="宋体" w:hAnsi="宋体" w:eastAsia="宋体" w:cs="宋体"/>
          <w:b/>
          <w:bCs/>
          <w:szCs w:val="21"/>
        </w:rPr>
      </w:pPr>
    </w:p>
    <w:p w14:paraId="3F0E5D5B">
      <w:pPr>
        <w:keepNext w:val="0"/>
        <w:keepLines w:val="0"/>
        <w:pageBreakBefore w:val="0"/>
        <w:widowControl/>
        <w:kinsoku/>
        <w:wordWrap/>
        <w:overflowPunct/>
        <w:topLinePunct w:val="0"/>
        <w:autoSpaceDE/>
        <w:autoSpaceDN/>
        <w:bidi w:val="0"/>
        <w:adjustRightInd w:val="0"/>
        <w:snapToGrid w:val="0"/>
        <w:spacing w:before="0" w:beforeLines="50" w:after="0" w:afterLines="50" w:line="5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二、特殊专用条款部分</w:t>
      </w:r>
    </w:p>
    <w:p w14:paraId="6547908D">
      <w:pPr>
        <w:keepNext w:val="0"/>
        <w:keepLines w:val="0"/>
        <w:pageBreakBefore w:val="0"/>
        <w:widowControl/>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eastAsia="宋体" w:cs="宋体"/>
          <w:color w:val="000000"/>
          <w:szCs w:val="21"/>
        </w:rPr>
      </w:pPr>
      <w:r>
        <w:rPr>
          <w:rFonts w:hint="eastAsia" w:ascii="宋体" w:hAnsi="宋体" w:eastAsia="宋体" w:cs="宋体"/>
          <w:b/>
          <w:color w:val="000000"/>
          <w:szCs w:val="21"/>
        </w:rPr>
        <w:t xml:space="preserve">第一条 采购单价及合价：   </w:t>
      </w:r>
      <w:r>
        <w:rPr>
          <w:rFonts w:hint="eastAsia" w:ascii="宋体" w:hAnsi="宋体" w:eastAsia="宋体" w:cs="宋体"/>
          <w:color w:val="000000"/>
          <w:szCs w:val="21"/>
        </w:rPr>
        <w:t xml:space="preserve">                                  </w:t>
      </w:r>
    </w:p>
    <w:p w14:paraId="19066A38">
      <w:pPr>
        <w:keepNext w:val="0"/>
        <w:keepLines w:val="0"/>
        <w:pageBreakBefore w:val="0"/>
        <w:widowControl/>
        <w:kinsoku/>
        <w:wordWrap/>
        <w:overflowPunct/>
        <w:topLinePunct w:val="0"/>
        <w:autoSpaceDE/>
        <w:autoSpaceDN/>
        <w:bidi w:val="0"/>
        <w:adjustRightInd w:val="0"/>
        <w:snapToGrid w:val="0"/>
        <w:spacing w:line="500" w:lineRule="exact"/>
        <w:ind w:firstLine="0"/>
        <w:jc w:val="right"/>
        <w:textAlignment w:val="auto"/>
        <w:rPr>
          <w:rFonts w:hint="eastAsia" w:ascii="宋体" w:hAnsi="宋体" w:eastAsia="宋体" w:cs="宋体"/>
          <w:color w:val="000000"/>
          <w:szCs w:val="21"/>
        </w:rPr>
      </w:pPr>
      <w:r>
        <w:rPr>
          <w:rFonts w:hint="eastAsia" w:ascii="宋体" w:hAnsi="宋体" w:eastAsia="宋体" w:cs="宋体"/>
          <w:color w:val="000000"/>
          <w:szCs w:val="21"/>
        </w:rPr>
        <w:t>单位：人民币元</w:t>
      </w:r>
    </w:p>
    <w:tbl>
      <w:tblPr>
        <w:tblStyle w:val="14"/>
        <w:tblW w:w="9660" w:type="dxa"/>
        <w:tblInd w:w="140" w:type="dxa"/>
        <w:shd w:val="clear" w:color="auto" w:fill="auto"/>
        <w:tblLayout w:type="fixed"/>
        <w:tblCellMar>
          <w:top w:w="0" w:type="dxa"/>
          <w:left w:w="0" w:type="dxa"/>
          <w:bottom w:w="0" w:type="dxa"/>
          <w:right w:w="0" w:type="dxa"/>
        </w:tblCellMar>
      </w:tblPr>
      <w:tblGrid>
        <w:gridCol w:w="603"/>
        <w:gridCol w:w="1089"/>
        <w:gridCol w:w="4162"/>
        <w:gridCol w:w="650"/>
        <w:gridCol w:w="860"/>
        <w:gridCol w:w="1254"/>
        <w:gridCol w:w="1042"/>
      </w:tblGrid>
      <w:tr w14:paraId="08DFFB60">
        <w:tblPrEx>
          <w:shd w:val="clear" w:color="auto" w:fill="auto"/>
          <w:tblCellMar>
            <w:top w:w="0" w:type="dxa"/>
            <w:left w:w="0" w:type="dxa"/>
            <w:bottom w:w="0" w:type="dxa"/>
            <w:right w:w="0" w:type="dxa"/>
          </w:tblCellMar>
        </w:tblPrEx>
        <w:trPr>
          <w:trHeight w:val="623"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9D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965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4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4C9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48F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223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78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综合</w:t>
            </w:r>
            <w:r>
              <w:rPr>
                <w:rFonts w:hint="eastAsia" w:ascii="宋体" w:hAnsi="宋体" w:eastAsia="宋体" w:cs="宋体"/>
                <w:b/>
                <w:i w:val="0"/>
                <w:color w:val="000000"/>
                <w:kern w:val="0"/>
                <w:sz w:val="21"/>
                <w:szCs w:val="21"/>
                <w:u w:val="none"/>
                <w:lang w:val="en-US" w:eastAsia="zh-CN" w:bidi="ar"/>
              </w:rPr>
              <w:t>单价</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BF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合价</w:t>
            </w:r>
          </w:p>
        </w:tc>
      </w:tr>
      <w:tr w14:paraId="7E65C7E9">
        <w:tblPrEx>
          <w:tblCellMar>
            <w:top w:w="0" w:type="dxa"/>
            <w:left w:w="0" w:type="dxa"/>
            <w:bottom w:w="0" w:type="dxa"/>
            <w:right w:w="0" w:type="dxa"/>
          </w:tblCellMar>
        </w:tblPrEx>
        <w:trPr>
          <w:trHeight w:val="623"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CB8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068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c>
          <w:tcPr>
            <w:tcW w:w="4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1A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2D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C2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6A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63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w:t>
            </w:r>
          </w:p>
        </w:tc>
      </w:tr>
    </w:tbl>
    <w:p w14:paraId="59160DF3">
      <w:pPr>
        <w:keepNext w:val="0"/>
        <w:keepLines w:val="0"/>
        <w:pageBreakBefore w:val="0"/>
        <w:kinsoku/>
        <w:wordWrap/>
        <w:overflowPunct/>
        <w:topLinePunct w:val="0"/>
        <w:bidi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第二条 结算</w:t>
      </w:r>
    </w:p>
    <w:p w14:paraId="4C60ECB9">
      <w:pPr>
        <w:keepNext w:val="0"/>
        <w:keepLines w:val="0"/>
        <w:pageBreakBefore w:val="0"/>
        <w:kinsoku/>
        <w:wordWrap/>
        <w:overflowPunct/>
        <w:topLinePunct w:val="0"/>
        <w:bidi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总计：</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该价格为含税总价，本合同价款包含方案深化设计费、创造费、完成设计制作、相关产品（含配件、附件、材料等）的采购费、相关就位、运输费、装卸费、税费、利润、实施费用、验收、质量保证和售后服务、招标代理费等完成本项目的全部费用。</w:t>
      </w:r>
    </w:p>
    <w:p w14:paraId="6D1831FC">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第二条：质量标准和要求</w:t>
      </w:r>
    </w:p>
    <w:p w14:paraId="09CA4238">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5D111830">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2、中标人所提供的货物还应符合国家和浙江省有关安全、环保、卫生之规定。</w:t>
      </w:r>
    </w:p>
    <w:p w14:paraId="7FB2F29A">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第三条：权利瑕疵担保</w:t>
      </w:r>
    </w:p>
    <w:p w14:paraId="09FC5324">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1、中标人保证对其提供的货物享有合法的权利。</w:t>
      </w:r>
    </w:p>
    <w:p w14:paraId="654AE86D">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2、中标人保证在其提供的货物上不存在任何未曾向招标人透露的担保物权，如抵押权、质押权、留置权等。</w:t>
      </w:r>
    </w:p>
    <w:p w14:paraId="1D6FAEC5">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3、中标人保证其所提供的货物没有侵犯任何第三人的知识产权和商业秘密等权利。</w:t>
      </w:r>
    </w:p>
    <w:p w14:paraId="2646F3A6">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4、如招标人使用该货物构成上述侵权的，则由中标人承担全部责任。</w:t>
      </w:r>
    </w:p>
    <w:p w14:paraId="2D986559">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第四条：包装要求</w:t>
      </w:r>
    </w:p>
    <w:p w14:paraId="1C93168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1、中标人所提供的全部货物均应按标准保护措施进行包装，这类包装应适应于远距离运输、防潮、防震、防锈和防野蛮装卸等要求，以确保货物安全无损地运抵指定现场。</w:t>
      </w:r>
    </w:p>
    <w:p w14:paraId="4EFE2C6D">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2、每一个包装箱内应附一份详细装箱单和质量证书。</w:t>
      </w:r>
    </w:p>
    <w:p w14:paraId="476FA04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第五条：供货工期</w:t>
      </w:r>
    </w:p>
    <w:p w14:paraId="33148685">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1、工期：见招标文件第四部分招标内容及要求，交货地点：按招标人指定地点交货。</w:t>
      </w:r>
    </w:p>
    <w:p w14:paraId="6D8463BB">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第六条：到货、安装与验收</w:t>
      </w:r>
    </w:p>
    <w:p w14:paraId="50CD64C6">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送货至指定地点后，由招标人根据货物的技术规格要求和质量标准，对货物进行检查，货物的数量不足或表面瑕疵，招标人应当面提出。中标人应负责按照招标人的要求采取补足、更换或退货等处理措施，并承担由此发生的一切费用和损失。</w:t>
      </w:r>
    </w:p>
    <w:p w14:paraId="6B27FB40">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2、货物安装调试完毕后，如未发现产品质量问题，中标人可申请验收。</w:t>
      </w:r>
    </w:p>
    <w:p w14:paraId="2B890A1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第七条：售后服务</w:t>
      </w:r>
    </w:p>
    <w:p w14:paraId="5835E094">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本项目所有产品应招标要求提供免费质保期</w:t>
      </w:r>
      <w:r>
        <w:rPr>
          <w:rFonts w:hint="eastAsia" w:ascii="宋体" w:hAnsi="宋体" w:cs="宋体"/>
          <w:color w:val="000000"/>
          <w:szCs w:val="21"/>
          <w:lang w:val="en-US" w:eastAsia="zh-CN"/>
        </w:rPr>
        <w:t>5</w:t>
      </w:r>
      <w:r>
        <w:rPr>
          <w:rFonts w:hint="eastAsia" w:ascii="宋体" w:hAnsi="宋体" w:eastAsia="宋体" w:cs="宋体"/>
          <w:color w:val="000000"/>
          <w:szCs w:val="21"/>
        </w:rPr>
        <w:t>年，如中标人承诺的产品质保期高于招标要求则按照中标人承诺执行，若货物中有部分配件原厂商提供的质保期比上述质保期更长则以原厂商提供为准。</w:t>
      </w:r>
    </w:p>
    <w:p w14:paraId="4309339F">
      <w:pPr>
        <w:keepNext w:val="0"/>
        <w:keepLines w:val="0"/>
        <w:pageBreakBefore w:val="0"/>
        <w:widowControl/>
        <w:kinsoku/>
        <w:wordWrap/>
        <w:overflowPunct/>
        <w:topLinePunct w:val="0"/>
        <w:autoSpaceDE w:val="0"/>
        <w:autoSpaceDN w:val="0"/>
        <w:bidi w:val="0"/>
        <w:adjustRightInd w:val="0"/>
        <w:spacing w:line="500" w:lineRule="exact"/>
        <w:ind w:firstLine="420" w:firstLineChars="200"/>
        <w:textAlignment w:val="bottom"/>
        <w:rPr>
          <w:rFonts w:hint="eastAsia" w:ascii="宋体" w:hAnsi="宋体" w:eastAsia="宋体" w:cs="宋体"/>
          <w:color w:val="000000"/>
          <w:szCs w:val="21"/>
        </w:rPr>
      </w:pPr>
      <w:r>
        <w:rPr>
          <w:rFonts w:hint="eastAsia" w:ascii="宋体" w:hAnsi="宋体" w:eastAsia="宋体" w:cs="宋体"/>
          <w:color w:val="000000"/>
          <w:szCs w:val="21"/>
        </w:rPr>
        <w:t>第八条：设计要求</w:t>
      </w:r>
    </w:p>
    <w:p w14:paraId="755118C3">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1.1中标人应按照招标人提供的资料及相关要求，完成校园文化建设的设计及深化方案，最终方案需经招标人审核确定后才能进行实施。</w:t>
      </w:r>
    </w:p>
    <w:p w14:paraId="0B33E046">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2.2最终方案应满足和符合国家有关标准和规范的要求，符合招标人的需求。</w:t>
      </w:r>
    </w:p>
    <w:p w14:paraId="66B4184E">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第九条：质量保证</w:t>
      </w:r>
    </w:p>
    <w:p w14:paraId="267ABD9E">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中标人应保证所供货物是全新的、未使用过的，并完全符合合同规定的质量、规格和性能的要求。中标人所供货物如在三个月之内出现问题，必须提供新品替换。中标人应保证其货物在正确安装、正常使用和保养条件下，在其使用寿命期内应具有满意的性能。在质量保证期内，中标人应对由于设计、工艺或材料的缺陷而产生的问题负责。</w:t>
      </w:r>
    </w:p>
    <w:p w14:paraId="15E70D56">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在质量保证期内，如果货物的质量或规格与合同不符，或证实货物是有缺陷的，包括潜在的缺陷或使用不符合要求的材料等，招标人可以根据本合同第十一条规定以书面形式向中标人提出补救措施或索赔。</w:t>
      </w:r>
    </w:p>
    <w:p w14:paraId="0BC5800F">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中标人在约定的时间内未能弥补缺陷，招标人可采取必要的补救措施，但其风险和费用将由中标人承担，招标人根据合同规定对中标人行使的其他权利不受影响。</w:t>
      </w:r>
    </w:p>
    <w:p w14:paraId="3AE60C77">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第十条：补救措施和索赔</w:t>
      </w:r>
    </w:p>
    <w:p w14:paraId="772215F9">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1、招标人有权根据权威质量检测部门出具的检验报告向中标人提出索赔。</w:t>
      </w:r>
    </w:p>
    <w:p w14:paraId="60BE4782">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2、在质量保证期内，如果中标人对缺陷产品负有责任而招标人提出索赔，中标人应按照招标人同意的下列一种或多种方式解决索赔事宜，并且招标人可以收取中标人合同总价20%的违约金：</w:t>
      </w:r>
    </w:p>
    <w:p w14:paraId="7562EE34">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（1）中标人退货并将货款退还给招标人，由此发生的一切费用和损失由中标人承担。</w:t>
      </w:r>
    </w:p>
    <w:p w14:paraId="0E7A8FAA">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（2）根据货物的质量状况以及招标人所遭受的损失，经过甲乙双方商定降低货物的价格。</w:t>
      </w:r>
    </w:p>
    <w:p w14:paraId="1BA3B885">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中标人应在接到招标人通知后七天内负责采用符合合同规定的规格、质量和性能要求的新零件、部件和产品来更换有缺陷的部分或修补缺陷部分，其费用由中标人负担。同时，中标人应在约定的质量保证期基础上相应延长修补和/或更换件的质量保证期。</w:t>
      </w:r>
    </w:p>
    <w:p w14:paraId="709B892E">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如果在招标人发出索赔通知后十天内中标人未作答复，上述索赔应视为已被中标人接受。如果中标人未能在招标人发出索赔通知后十天内或招标人同意延长的期限内，按照上述规定的任何一种方法采取补救措施，招标人有权从应付货款中扣除索赔金额，如不足以弥补招标人损失的，招标人有权进一步要求中标人赔偿。</w:t>
      </w:r>
    </w:p>
    <w:p w14:paraId="2714E1C2">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第十一条：履约延误</w:t>
      </w:r>
    </w:p>
    <w:p w14:paraId="579A6F95">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1、中标人应按照《合同》规定的时间、地点交货和提供服务。</w:t>
      </w:r>
    </w:p>
    <w:p w14:paraId="042C1BF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在履行《合同》过程中，如果中标人可能遇到妨碍按时交货和提供服务的情况时，应及时将拖延的事实、可能拖延的期限和理由通知招标人。招标人在收到中标人通知后，应尽快对情况进行评价，并确定是否同意延长交货时间或延期提供服务。</w:t>
      </w:r>
    </w:p>
    <w:p w14:paraId="1BB1FE28">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如中标人无正当理由而拖延交货，经协商无效,招标人有权追究中标人的违约责任。延期交货违约责任按每延期一天罚款2000元处理，如果超出合同规定期限15天内不能供货，则招标人可以终止合同，并收取中标人合同总价20%的违约金。</w:t>
      </w:r>
    </w:p>
    <w:p w14:paraId="64030C8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第十二条：不可抗力</w:t>
      </w:r>
    </w:p>
    <w:p w14:paraId="28DD0E3A">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1、如果合同各方因不可抗力而导致合同实施延误或不能履行合同义务的话，不应该承担误期赔偿或不能履行合同义务的责任。</w:t>
      </w:r>
    </w:p>
    <w:p w14:paraId="586C1ADC">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0E5432E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7AE90DC2">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第十三条：争议的解决</w:t>
      </w:r>
    </w:p>
    <w:p w14:paraId="697BF4DB">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在发生所供商品的质量、售后服务等问题时，招标人有权直接向中标人索赔，签订必要的书面处理合同。协商不能解决的，任何一方有权在合同签约地选择仲裁或诉讼的途径解决。</w:t>
      </w:r>
    </w:p>
    <w:p w14:paraId="72CB0A1F">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第十四条：违约处理</w:t>
      </w:r>
    </w:p>
    <w:p w14:paraId="2CA27925">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1、在招标人对中标人违约而采取的任何补救措施不受影响的情况下，招标人可在下列情况下向中标人发出书面通知书，提出终止部分或全部合同。</w:t>
      </w:r>
    </w:p>
    <w:p w14:paraId="58FE301C">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（1）中标人提供的产品质量、配置不符合国家规定和承诺的标准；</w:t>
      </w:r>
    </w:p>
    <w:p w14:paraId="36E7A437">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（2）中标人没有按承诺的时间供货、维修或提供其他服务；</w:t>
      </w:r>
    </w:p>
    <w:p w14:paraId="67A5E4AB">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（3）中标人没有按承诺的价格或优惠率签订合同并供货；</w:t>
      </w:r>
    </w:p>
    <w:p w14:paraId="3F9CEFD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如果招标人根据上述的规定，终止了全部或部分合同，招标人可以依其认为适当的条件和方法购买与未交货物类似的货物，中标人应对购买类似货物所超出的那部分费用负责。但是，中标人应继续执行合同中未终止的部分。</w:t>
      </w:r>
    </w:p>
    <w:p w14:paraId="1201AF71">
      <w:pPr>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第十五条：合同转让和分包</w:t>
      </w:r>
    </w:p>
    <w:p w14:paraId="76ADC451">
      <w:pPr>
        <w:keepNext w:val="0"/>
        <w:keepLines w:val="0"/>
        <w:pageBreakBefore w:val="0"/>
        <w:kinsoku/>
        <w:wordWrap/>
        <w:overflowPunct/>
        <w:topLinePunct w:val="0"/>
        <w:bidi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中标人不得转让和分包其应履行的合同义务。</w:t>
      </w:r>
    </w:p>
    <w:p w14:paraId="4F9923C7">
      <w:pPr>
        <w:keepNext w:val="0"/>
        <w:keepLines w:val="0"/>
        <w:pageBreakBefore w:val="0"/>
        <w:kinsoku/>
        <w:wordWrap/>
        <w:overflowPunct/>
        <w:topLinePunct w:val="0"/>
        <w:bidi w:val="0"/>
        <w:spacing w:line="500" w:lineRule="exact"/>
        <w:ind w:firstLine="420" w:firstLineChars="200"/>
        <w:rPr>
          <w:rFonts w:hint="eastAsia" w:ascii="宋体" w:hAnsi="宋体" w:eastAsia="宋体" w:cs="宋体"/>
          <w:b/>
          <w:color w:val="000000"/>
          <w:szCs w:val="21"/>
        </w:rPr>
      </w:pPr>
      <w:r>
        <w:rPr>
          <w:rFonts w:hint="eastAsia" w:ascii="宋体" w:hAnsi="宋体" w:eastAsia="宋体" w:cs="宋体"/>
          <w:color w:val="000000"/>
          <w:szCs w:val="21"/>
        </w:rPr>
        <w:t xml:space="preserve">第十六条 </w:t>
      </w:r>
      <w:r>
        <w:rPr>
          <w:rFonts w:hint="eastAsia" w:ascii="宋体" w:hAnsi="宋体" w:eastAsia="宋体" w:cs="宋体"/>
          <w:b/>
          <w:color w:val="000000"/>
          <w:szCs w:val="21"/>
        </w:rPr>
        <w:t>其他约定</w:t>
      </w:r>
    </w:p>
    <w:p w14:paraId="54C79F42">
      <w:pPr>
        <w:keepNext w:val="0"/>
        <w:keepLines w:val="0"/>
        <w:pageBreakBefore w:val="0"/>
        <w:kinsoku/>
        <w:wordWrap/>
        <w:overflowPunct/>
        <w:topLinePunct w:val="0"/>
        <w:bidi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（一）乙方不得将本合同约定的部分或全部义务转让给第三方。本合同未尽事宜，双方另行协商解决。</w:t>
      </w:r>
    </w:p>
    <w:p w14:paraId="759A9BF8">
      <w:pPr>
        <w:keepNext w:val="0"/>
        <w:keepLines w:val="0"/>
        <w:pageBreakBefore w:val="0"/>
        <w:kinsoku/>
        <w:wordWrap/>
        <w:overflowPunct/>
        <w:topLinePunct w:val="0"/>
        <w:bidi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（二）本合同履行过程中发生争议时应由甲、乙双方友好协商解决。协商不成时，双方同意提交项目所在地仲裁机构或当地人民法院起诉。</w:t>
      </w:r>
    </w:p>
    <w:p w14:paraId="6D9D9F06">
      <w:pPr>
        <w:keepNext w:val="0"/>
        <w:keepLines w:val="0"/>
        <w:pageBreakBefore w:val="0"/>
        <w:kinsoku/>
        <w:wordWrap/>
        <w:overflowPunct/>
        <w:topLinePunct w:val="0"/>
        <w:bidi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本合同自双方法定代表人或委托代理人签字，加盖双方公章后生效。</w:t>
      </w:r>
    </w:p>
    <w:p w14:paraId="070FAFEF">
      <w:pPr>
        <w:widowControl/>
        <w:kinsoku w:val="0"/>
        <w:autoSpaceDE w:val="0"/>
        <w:autoSpaceDN w:val="0"/>
        <w:adjustRightInd w:val="0"/>
        <w:snapToGrid w:val="0"/>
        <w:spacing w:line="360" w:lineRule="exact"/>
        <w:ind w:firstLine="420" w:firstLineChars="200"/>
        <w:jc w:val="left"/>
        <w:textAlignment w:val="baseline"/>
        <w:rPr>
          <w:rFonts w:hint="eastAsia" w:ascii="宋体" w:hAnsi="宋体" w:eastAsia="宋体" w:cs="宋体"/>
          <w:snapToGrid w:val="0"/>
          <w:color w:val="000000"/>
          <w:kern w:val="0"/>
          <w:szCs w:val="21"/>
        </w:rPr>
      </w:pPr>
    </w:p>
    <w:p w14:paraId="0CDBD084">
      <w:pPr>
        <w:pStyle w:val="2"/>
        <w:ind w:firstLine="420"/>
        <w:rPr>
          <w:rFonts w:hint="eastAsia" w:ascii="宋体" w:hAnsi="宋体" w:eastAsia="宋体" w:cs="宋体"/>
        </w:rPr>
      </w:pPr>
    </w:p>
    <w:p w14:paraId="68695BE6">
      <w:pPr>
        <w:rPr>
          <w:rFonts w:hint="eastAsia" w:ascii="宋体" w:hAnsi="宋体" w:eastAsia="宋体" w:cs="宋体"/>
        </w:rPr>
      </w:pPr>
    </w:p>
    <w:p w14:paraId="49245F19">
      <w:pPr>
        <w:keepNext w:val="0"/>
        <w:keepLines w:val="0"/>
        <w:pageBreakBefore w:val="0"/>
        <w:widowControl/>
        <w:kinsoku w:val="0"/>
        <w:wordWrap/>
        <w:overflowPunct/>
        <w:topLinePunct w:val="0"/>
        <w:autoSpaceDE w:val="0"/>
        <w:autoSpaceDN w:val="0"/>
        <w:bidi w:val="0"/>
        <w:adjustRightInd w:val="0"/>
        <w:snapToGrid w:val="0"/>
        <w:spacing w:line="600" w:lineRule="exact"/>
        <w:ind w:firstLine="422" w:firstLineChars="200"/>
        <w:jc w:val="left"/>
        <w:textAlignment w:val="baseline"/>
        <w:rPr>
          <w:rFonts w:hint="eastAsia" w:ascii="宋体" w:hAnsi="宋体" w:eastAsia="宋体" w:cs="宋体"/>
          <w:b/>
          <w:snapToGrid w:val="0"/>
          <w:color w:val="000000"/>
          <w:kern w:val="0"/>
          <w:szCs w:val="21"/>
          <w:u w:val="single"/>
          <w:lang w:eastAsia="zh-CN"/>
        </w:rPr>
      </w:pPr>
      <w:r>
        <w:rPr>
          <w:rFonts w:hint="eastAsia" w:ascii="宋体" w:hAnsi="宋体" w:eastAsia="宋体" w:cs="宋体"/>
          <w:b/>
          <w:snapToGrid w:val="0"/>
          <w:color w:val="000000"/>
          <w:kern w:val="0"/>
          <w:szCs w:val="21"/>
        </w:rPr>
        <w:t>甲方：</w:t>
      </w:r>
      <w:r>
        <w:rPr>
          <w:rFonts w:hint="eastAsia" w:ascii="宋体" w:hAnsi="宋体" w:eastAsia="宋体" w:cs="宋体"/>
          <w:b/>
          <w:snapToGrid w:val="0"/>
          <w:color w:val="000000"/>
          <w:kern w:val="0"/>
          <w:szCs w:val="21"/>
          <w:u w:val="single"/>
        </w:rPr>
        <w:t xml:space="preserve">                             </w:t>
      </w:r>
      <w:r>
        <w:rPr>
          <w:rFonts w:hint="eastAsia" w:ascii="宋体" w:hAnsi="宋体" w:eastAsia="宋体" w:cs="宋体"/>
          <w:b/>
          <w:snapToGrid w:val="0"/>
          <w:color w:val="000000"/>
          <w:kern w:val="0"/>
          <w:szCs w:val="21"/>
        </w:rPr>
        <w:t xml:space="preserve">            乙方：</w:t>
      </w:r>
      <w:r>
        <w:rPr>
          <w:rFonts w:hint="eastAsia" w:ascii="宋体" w:hAnsi="宋体" w:eastAsia="宋体" w:cs="宋体"/>
          <w:b/>
          <w:snapToGrid w:val="0"/>
          <w:color w:val="000000"/>
          <w:kern w:val="0"/>
          <w:szCs w:val="21"/>
          <w:u w:val="single"/>
        </w:rPr>
        <w:t xml:space="preserve">                               </w:t>
      </w:r>
      <w:r>
        <w:rPr>
          <w:rFonts w:hint="eastAsia" w:ascii="宋体" w:hAnsi="宋体" w:eastAsia="宋体" w:cs="宋体"/>
          <w:b/>
          <w:snapToGrid w:val="0"/>
          <w:color w:val="000000"/>
          <w:kern w:val="0"/>
          <w:szCs w:val="21"/>
          <w:u w:val="single"/>
          <w:lang w:val="en-US" w:eastAsia="zh-CN"/>
        </w:rPr>
        <w:t>.</w:t>
      </w:r>
    </w:p>
    <w:p w14:paraId="30D97B98">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u w:val="single"/>
          <w:lang w:val="en-US" w:eastAsia="zh-CN"/>
        </w:rPr>
      </w:pPr>
      <w:r>
        <w:rPr>
          <w:rFonts w:hint="eastAsia" w:ascii="宋体" w:hAnsi="宋体" w:eastAsia="宋体" w:cs="宋体"/>
          <w:snapToGrid w:val="0"/>
          <w:color w:val="000000"/>
          <w:kern w:val="0"/>
          <w:szCs w:val="21"/>
        </w:rPr>
        <w:t>地址：</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 xml:space="preserve">           地址：</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single"/>
          <w:lang w:val="en-US" w:eastAsia="zh-CN"/>
        </w:rPr>
        <w:t>.</w:t>
      </w:r>
    </w:p>
    <w:p w14:paraId="5C0DE629">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rPr>
        <w:t>法定代表人（授权代表）：</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 xml:space="preserve">      　  法定代表人（授权代表）</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single"/>
          <w:lang w:val="en-US" w:eastAsia="zh-CN"/>
        </w:rPr>
        <w:t>.</w:t>
      </w:r>
    </w:p>
    <w:p w14:paraId="025EE902">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rPr>
        <w:t>联系人：</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 xml:space="preserve">       　  联系人：</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single"/>
          <w:lang w:val="en-US" w:eastAsia="zh-CN"/>
        </w:rPr>
        <w:t>.</w:t>
      </w:r>
    </w:p>
    <w:p w14:paraId="5428C134">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rPr>
        <w:t>联系电话：</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 xml:space="preserve">       　  联系电话：</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single"/>
          <w:lang w:val="en-US" w:eastAsia="zh-CN"/>
        </w:rPr>
        <w:t>.</w:t>
      </w:r>
    </w:p>
    <w:p w14:paraId="2B60DBFE">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rPr>
        <w:t>开户银行：</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none"/>
          <w:lang w:val="en-US" w:eastAsia="zh-CN"/>
        </w:rPr>
        <w:t xml:space="preserve">         </w:t>
      </w:r>
      <w:r>
        <w:rPr>
          <w:rFonts w:hint="eastAsia" w:ascii="宋体" w:hAnsi="宋体" w:eastAsia="宋体" w:cs="宋体"/>
          <w:snapToGrid w:val="0"/>
          <w:color w:val="000000"/>
          <w:kern w:val="0"/>
          <w:szCs w:val="21"/>
        </w:rPr>
        <w:t>开户银行：</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single"/>
          <w:lang w:val="en-US" w:eastAsia="zh-CN"/>
        </w:rPr>
        <w:t>.</w:t>
      </w:r>
    </w:p>
    <w:p w14:paraId="2A4C6F10">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lang w:val="en-US" w:eastAsia="zh-CN"/>
        </w:rPr>
      </w:pPr>
      <w:r>
        <w:rPr>
          <w:rFonts w:hint="eastAsia" w:ascii="宋体" w:hAnsi="宋体" w:eastAsia="宋体" w:cs="宋体"/>
          <w:snapToGrid w:val="0"/>
          <w:color w:val="000000"/>
          <w:kern w:val="0"/>
          <w:szCs w:val="21"/>
        </w:rPr>
        <w:t>账号：</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none"/>
          <w:lang w:val="en-US" w:eastAsia="zh-CN"/>
        </w:rPr>
        <w:t xml:space="preserve">          </w:t>
      </w:r>
      <w:r>
        <w:rPr>
          <w:rFonts w:hint="eastAsia" w:ascii="宋体" w:hAnsi="宋体" w:eastAsia="宋体" w:cs="宋体"/>
          <w:snapToGrid w:val="0"/>
          <w:color w:val="000000"/>
          <w:kern w:val="0"/>
          <w:szCs w:val="21"/>
        </w:rPr>
        <w:t>账号：</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u w:val="single"/>
          <w:lang w:val="en-US" w:eastAsia="zh-CN"/>
        </w:rPr>
        <w:t>.</w:t>
      </w:r>
    </w:p>
    <w:p w14:paraId="5F8E5B8D">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left"/>
        <w:textAlignment w:val="baseline"/>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日期：二○二</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年</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月</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日           　 日期：二○二</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年</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月</w:t>
      </w:r>
      <w:r>
        <w:rPr>
          <w:rFonts w:hint="eastAsia" w:ascii="宋体" w:hAnsi="宋体" w:eastAsia="宋体" w:cs="宋体"/>
          <w:snapToGrid w:val="0"/>
          <w:color w:val="000000"/>
          <w:kern w:val="0"/>
          <w:szCs w:val="21"/>
          <w:u w:val="single"/>
        </w:rPr>
        <w:t xml:space="preserve">     </w:t>
      </w:r>
      <w:r>
        <w:rPr>
          <w:rFonts w:hint="eastAsia" w:ascii="宋体" w:hAnsi="宋体" w:eastAsia="宋体" w:cs="宋体"/>
          <w:snapToGrid w:val="0"/>
          <w:color w:val="000000"/>
          <w:kern w:val="0"/>
          <w:szCs w:val="21"/>
        </w:rPr>
        <w:t>日</w:t>
      </w:r>
    </w:p>
    <w:p w14:paraId="2D4B71E3">
      <w:pPr>
        <w:widowControl/>
        <w:spacing w:line="600" w:lineRule="exact"/>
        <w:jc w:val="left"/>
        <w:rPr>
          <w:rFonts w:hint="eastAsia" w:ascii="宋体" w:hAnsi="宋体" w:eastAsia="宋体" w:cs="宋体"/>
          <w:b/>
          <w:sz w:val="28"/>
        </w:rPr>
        <w:sectPr>
          <w:pgSz w:w="11910" w:h="16840"/>
          <w:pgMar w:top="1440" w:right="1080" w:bottom="1440" w:left="1080" w:header="856" w:footer="862" w:gutter="0"/>
          <w:cols w:space="720" w:num="1"/>
        </w:sectPr>
      </w:pPr>
    </w:p>
    <w:bookmarkEnd w:id="61"/>
    <w:bookmarkEnd w:id="62"/>
    <w:p w14:paraId="77849C31">
      <w:pPr>
        <w:pStyle w:val="3"/>
        <w:pageBreakBefore w:val="0"/>
        <w:kinsoku/>
        <w:wordWrap/>
        <w:overflowPunct/>
        <w:topLinePunct w:val="0"/>
        <w:autoSpaceDE/>
        <w:autoSpaceDN/>
        <w:bidi w:val="0"/>
        <w:adjustRightInd/>
        <w:snapToGrid/>
        <w:spacing w:before="10" w:after="10" w:line="500" w:lineRule="exact"/>
        <w:ind w:firstLine="0" w:firstLineChars="0"/>
        <w:jc w:val="center"/>
        <w:textAlignment w:val="auto"/>
        <w:rPr>
          <w:rFonts w:hint="eastAsia" w:ascii="宋体" w:hAnsi="宋体" w:eastAsia="宋体" w:cs="宋体"/>
          <w:bCs w:val="0"/>
          <w:kern w:val="2"/>
          <w:sz w:val="30"/>
          <w:szCs w:val="30"/>
        </w:rPr>
      </w:pPr>
      <w:r>
        <w:rPr>
          <w:rFonts w:hint="eastAsia" w:ascii="宋体" w:hAnsi="宋体" w:eastAsia="宋体" w:cs="宋体"/>
          <w:bCs w:val="0"/>
          <w:kern w:val="2"/>
          <w:sz w:val="30"/>
          <w:szCs w:val="30"/>
        </w:rPr>
        <w:t>第六章  投标格式及要求</w:t>
      </w:r>
      <w:bookmarkEnd w:id="63"/>
    </w:p>
    <w:p w14:paraId="7CD22C10">
      <w:pPr>
        <w:pStyle w:val="4"/>
        <w:spacing w:line="320" w:lineRule="exact"/>
        <w:rPr>
          <w:rFonts w:hint="eastAsia" w:ascii="宋体" w:hAnsi="宋体" w:eastAsia="宋体" w:cs="宋体"/>
          <w:sz w:val="24"/>
        </w:rPr>
      </w:pPr>
      <w:bookmarkStart w:id="65" w:name="_Toc424545666"/>
      <w:bookmarkStart w:id="66" w:name="_Toc30431"/>
      <w:bookmarkStart w:id="67" w:name="_Toc178668984"/>
      <w:r>
        <w:rPr>
          <w:rFonts w:hint="eastAsia" w:ascii="宋体" w:hAnsi="宋体" w:eastAsia="宋体" w:cs="宋体"/>
          <w:sz w:val="24"/>
        </w:rPr>
        <w:t>附件1： 资格文件封面格式及目录</w:t>
      </w:r>
      <w:bookmarkEnd w:id="65"/>
      <w:bookmarkEnd w:id="66"/>
    </w:p>
    <w:p w14:paraId="75D43EC3">
      <w:pPr>
        <w:pStyle w:val="7"/>
        <w:snapToGrid w:val="0"/>
        <w:spacing w:before="295" w:after="295"/>
        <w:rPr>
          <w:rFonts w:hint="eastAsia" w:ascii="宋体" w:hAnsi="宋体" w:eastAsia="宋体" w:cs="宋体"/>
          <w:sz w:val="30"/>
          <w:szCs w:val="30"/>
        </w:rPr>
      </w:pPr>
      <w:r>
        <w:rPr>
          <w:rFonts w:hint="eastAsia" w:ascii="宋体" w:hAnsi="宋体" w:eastAsia="宋体" w:cs="宋体"/>
          <w:bCs/>
          <w:sz w:val="30"/>
          <w:szCs w:val="30"/>
        </w:rPr>
        <w:t xml:space="preserve">                                              正本或副本</w:t>
      </w:r>
    </w:p>
    <w:p w14:paraId="7FAE58A7">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752E308E">
      <w:pPr>
        <w:spacing w:before="240" w:beforeLines="100" w:line="240" w:lineRule="atLeast"/>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14:paraId="701F3B75">
      <w:pPr>
        <w:spacing w:after="100" w:afterAutospacing="1" w:line="800" w:lineRule="exact"/>
        <w:ind w:right="-108"/>
        <w:jc w:val="center"/>
        <w:rPr>
          <w:rFonts w:hint="eastAsia" w:ascii="宋体" w:hAnsi="宋体" w:eastAsia="宋体" w:cs="宋体"/>
          <w:b/>
          <w:spacing w:val="40"/>
          <w:sz w:val="84"/>
          <w:szCs w:val="84"/>
        </w:rPr>
      </w:pPr>
    </w:p>
    <w:p w14:paraId="243DC9C0">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14:paraId="5446F489">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格</w:t>
      </w:r>
    </w:p>
    <w:p w14:paraId="73DC2FEA">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2152952D">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54123B83">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投标人全称（公章）：</w:t>
      </w:r>
    </w:p>
    <w:p w14:paraId="7237D055">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62836D47">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51AFBDE3">
      <w:pPr>
        <w:wordWrap w:val="0"/>
        <w:spacing w:line="500" w:lineRule="exact"/>
        <w:ind w:right="-108" w:firstLine="720" w:firstLineChars="200"/>
        <w:rPr>
          <w:rFonts w:hint="eastAsia" w:ascii="宋体" w:hAnsi="宋体" w:eastAsia="宋体" w:cs="宋体"/>
          <w:sz w:val="36"/>
          <w:szCs w:val="36"/>
        </w:rPr>
      </w:pPr>
    </w:p>
    <w:p w14:paraId="30C0F804">
      <w:pPr>
        <w:pStyle w:val="8"/>
        <w:snapToGrid w:val="0"/>
        <w:rPr>
          <w:rFonts w:hint="eastAsia" w:ascii="宋体" w:hAnsi="宋体" w:eastAsia="宋体" w:cs="宋体"/>
          <w:sz w:val="36"/>
          <w:szCs w:val="36"/>
        </w:rPr>
      </w:pPr>
    </w:p>
    <w:p w14:paraId="002D08F3">
      <w:pPr>
        <w:pStyle w:val="8"/>
        <w:snapToGrid w:val="0"/>
        <w:ind w:firstLine="542" w:firstLineChars="150"/>
        <w:jc w:val="center"/>
        <w:rPr>
          <w:rFonts w:hint="eastAsia" w:ascii="宋体" w:hAnsi="宋体" w:eastAsia="宋体" w:cs="宋体"/>
          <w:b/>
          <w:sz w:val="36"/>
          <w:szCs w:val="36"/>
        </w:rPr>
      </w:pPr>
      <w:r>
        <w:rPr>
          <w:rFonts w:hint="eastAsia" w:ascii="宋体" w:hAnsi="宋体" w:eastAsia="宋体" w:cs="宋体"/>
          <w:b/>
          <w:sz w:val="36"/>
          <w:szCs w:val="36"/>
        </w:rPr>
        <w:t>资格文件目录</w:t>
      </w:r>
    </w:p>
    <w:p w14:paraId="7D54F725">
      <w:pPr>
        <w:spacing w:line="400" w:lineRule="exact"/>
        <w:rPr>
          <w:rFonts w:hint="eastAsia" w:ascii="宋体" w:hAnsi="宋体" w:eastAsia="宋体" w:cs="宋体"/>
          <w:szCs w:val="21"/>
        </w:rPr>
      </w:pPr>
    </w:p>
    <w:p w14:paraId="22DF58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1.资格文件封面格式及目录（附件1）；</w:t>
      </w:r>
    </w:p>
    <w:p w14:paraId="266727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2.投标人声明书（附件2）；</w:t>
      </w:r>
    </w:p>
    <w:p w14:paraId="704286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3.营业(经营)执照正本或副本复印件（盖单位公章）（事业单位投标的则提供有效的《事业单位法人证书》副本复印件并加盖单位公章；自然人的，则提供有效的身份证复印件并签字）；</w:t>
      </w:r>
    </w:p>
    <w:p w14:paraId="035ABB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4.税务登记证正本或副本复印件（与营业执照合一的无需提供）（盖单位公章）；</w:t>
      </w:r>
    </w:p>
    <w:p w14:paraId="6D1A08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5.法定代表人、负责人、经营者（以下统称法定代表人）有效身份证件复印件；</w:t>
      </w:r>
    </w:p>
    <w:p w14:paraId="45CD1F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提供未被“信用中国”（www.creditchina.gov.cn）、中国政府采购网（www.ccgp.gov.cn）列入失信被执行人、重大税收违法案件当事人名单、政府采购严重违法失信行为记录名单的网页打印证明（开标前一周内页面查询结果并加盖单位公章）；</w:t>
      </w:r>
    </w:p>
    <w:p w14:paraId="218D65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7.采购公告中的特定资格要求所提供的证明资料（盖单位公章）（如有）；</w:t>
      </w:r>
    </w:p>
    <w:p w14:paraId="3765AF2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8.招标文件需要的其他资料及投标人认为需要提供的其他内容。</w:t>
      </w:r>
    </w:p>
    <w:p w14:paraId="111C58B9">
      <w:pPr>
        <w:rPr>
          <w:rFonts w:hint="eastAsia" w:ascii="宋体" w:hAnsi="宋体" w:eastAsia="宋体" w:cs="宋体"/>
        </w:rPr>
      </w:pPr>
    </w:p>
    <w:p w14:paraId="1E74DBAB">
      <w:pPr>
        <w:rPr>
          <w:rFonts w:hint="eastAsia" w:ascii="宋体" w:hAnsi="宋体" w:eastAsia="宋体" w:cs="宋体"/>
        </w:rPr>
      </w:pPr>
    </w:p>
    <w:p w14:paraId="7DC9EF57">
      <w:pPr>
        <w:rPr>
          <w:rFonts w:hint="eastAsia" w:ascii="宋体" w:hAnsi="宋体" w:eastAsia="宋体" w:cs="宋体"/>
        </w:rPr>
      </w:pPr>
    </w:p>
    <w:p w14:paraId="732469D9">
      <w:pPr>
        <w:rPr>
          <w:rFonts w:hint="eastAsia" w:ascii="宋体" w:hAnsi="宋体" w:eastAsia="宋体" w:cs="宋体"/>
        </w:rPr>
      </w:pPr>
    </w:p>
    <w:p w14:paraId="5661CFBE">
      <w:pPr>
        <w:rPr>
          <w:rFonts w:hint="eastAsia" w:ascii="宋体" w:hAnsi="宋体" w:eastAsia="宋体" w:cs="宋体"/>
        </w:rPr>
      </w:pPr>
    </w:p>
    <w:p w14:paraId="7189DC65">
      <w:pPr>
        <w:rPr>
          <w:rFonts w:hint="eastAsia" w:ascii="宋体" w:hAnsi="宋体" w:eastAsia="宋体" w:cs="宋体"/>
        </w:rPr>
      </w:pPr>
    </w:p>
    <w:p w14:paraId="3E222436">
      <w:pPr>
        <w:rPr>
          <w:rFonts w:hint="eastAsia" w:ascii="宋体" w:hAnsi="宋体" w:eastAsia="宋体" w:cs="宋体"/>
        </w:rPr>
      </w:pPr>
    </w:p>
    <w:p w14:paraId="51D589A1">
      <w:pPr>
        <w:rPr>
          <w:rFonts w:hint="eastAsia" w:ascii="宋体" w:hAnsi="宋体" w:eastAsia="宋体" w:cs="宋体"/>
        </w:rPr>
      </w:pPr>
    </w:p>
    <w:p w14:paraId="33FD3B2C">
      <w:pPr>
        <w:rPr>
          <w:rFonts w:hint="eastAsia" w:ascii="宋体" w:hAnsi="宋体" w:eastAsia="宋体" w:cs="宋体"/>
        </w:rPr>
      </w:pPr>
    </w:p>
    <w:p w14:paraId="07661372">
      <w:pPr>
        <w:rPr>
          <w:rFonts w:hint="eastAsia" w:ascii="宋体" w:hAnsi="宋体" w:eastAsia="宋体" w:cs="宋体"/>
        </w:rPr>
      </w:pPr>
    </w:p>
    <w:p w14:paraId="67098DF6">
      <w:pPr>
        <w:rPr>
          <w:rFonts w:hint="eastAsia" w:ascii="宋体" w:hAnsi="宋体" w:eastAsia="宋体" w:cs="宋体"/>
        </w:rPr>
      </w:pPr>
    </w:p>
    <w:p w14:paraId="00F68B75">
      <w:pPr>
        <w:rPr>
          <w:rFonts w:hint="eastAsia" w:ascii="宋体" w:hAnsi="宋体" w:eastAsia="宋体" w:cs="宋体"/>
        </w:rPr>
      </w:pPr>
    </w:p>
    <w:p w14:paraId="3AE44D2B">
      <w:pPr>
        <w:rPr>
          <w:rFonts w:hint="eastAsia" w:ascii="宋体" w:hAnsi="宋体" w:eastAsia="宋体" w:cs="宋体"/>
        </w:rPr>
      </w:pPr>
    </w:p>
    <w:p w14:paraId="4D3508B6">
      <w:pPr>
        <w:rPr>
          <w:rFonts w:hint="eastAsia" w:ascii="宋体" w:hAnsi="宋体" w:eastAsia="宋体" w:cs="宋体"/>
        </w:rPr>
      </w:pPr>
    </w:p>
    <w:p w14:paraId="5D208EE9">
      <w:pPr>
        <w:rPr>
          <w:rFonts w:hint="eastAsia" w:ascii="宋体" w:hAnsi="宋体" w:eastAsia="宋体" w:cs="宋体"/>
        </w:rPr>
      </w:pPr>
    </w:p>
    <w:p w14:paraId="7F35DABC">
      <w:pPr>
        <w:rPr>
          <w:rFonts w:hint="eastAsia" w:ascii="宋体" w:hAnsi="宋体" w:eastAsia="宋体" w:cs="宋体"/>
        </w:rPr>
      </w:pPr>
    </w:p>
    <w:p w14:paraId="6B7156B4">
      <w:pPr>
        <w:rPr>
          <w:rFonts w:hint="eastAsia" w:ascii="宋体" w:hAnsi="宋体" w:eastAsia="宋体" w:cs="宋体"/>
        </w:rPr>
      </w:pPr>
    </w:p>
    <w:p w14:paraId="7E6EE2B9">
      <w:pPr>
        <w:rPr>
          <w:rFonts w:hint="eastAsia" w:ascii="宋体" w:hAnsi="宋体" w:eastAsia="宋体" w:cs="宋体"/>
        </w:rPr>
      </w:pPr>
    </w:p>
    <w:p w14:paraId="60F261D5">
      <w:pPr>
        <w:rPr>
          <w:rFonts w:hint="eastAsia" w:ascii="宋体" w:hAnsi="宋体" w:eastAsia="宋体" w:cs="宋体"/>
        </w:rPr>
      </w:pPr>
    </w:p>
    <w:p w14:paraId="6AB1B8D5">
      <w:pPr>
        <w:rPr>
          <w:rFonts w:hint="eastAsia" w:ascii="宋体" w:hAnsi="宋体" w:eastAsia="宋体" w:cs="宋体"/>
        </w:rPr>
      </w:pPr>
      <w:r>
        <w:rPr>
          <w:rFonts w:hint="eastAsia" w:ascii="宋体" w:hAnsi="宋体" w:eastAsia="宋体" w:cs="宋体"/>
          <w:sz w:val="30"/>
          <w:szCs w:val="30"/>
        </w:rPr>
        <w:t xml:space="preserve">                                                 </w:t>
      </w:r>
      <w:bookmarkEnd w:id="67"/>
    </w:p>
    <w:p w14:paraId="3753DC2D">
      <w:pPr>
        <w:pStyle w:val="4"/>
        <w:spacing w:line="320" w:lineRule="exact"/>
        <w:rPr>
          <w:rFonts w:hint="eastAsia" w:ascii="宋体" w:hAnsi="宋体" w:eastAsia="宋体" w:cs="宋体"/>
        </w:rPr>
      </w:pPr>
      <w:r>
        <w:rPr>
          <w:rFonts w:hint="eastAsia" w:ascii="宋体" w:hAnsi="宋体" w:eastAsia="宋体" w:cs="宋体"/>
          <w:sz w:val="24"/>
        </w:rPr>
        <w:br w:type="page"/>
      </w:r>
      <w:bookmarkStart w:id="68" w:name="_Toc31726"/>
      <w:r>
        <w:rPr>
          <w:rFonts w:hint="eastAsia" w:ascii="宋体" w:hAnsi="宋体" w:eastAsia="宋体" w:cs="宋体"/>
          <w:sz w:val="24"/>
        </w:rPr>
        <w:t>附件2： 投标人声明书</w:t>
      </w:r>
      <w:bookmarkEnd w:id="68"/>
    </w:p>
    <w:p w14:paraId="00F41170">
      <w:pPr>
        <w:pStyle w:val="13"/>
        <w:spacing w:line="432" w:lineRule="auto"/>
        <w:rPr>
          <w:rFonts w:hint="eastAsia" w:ascii="宋体" w:hAnsi="宋体" w:eastAsia="宋体" w:cs="宋体"/>
          <w:b/>
          <w:bCs/>
          <w:sz w:val="36"/>
          <w:szCs w:val="36"/>
        </w:rPr>
      </w:pPr>
      <w:r>
        <w:rPr>
          <w:rFonts w:hint="eastAsia" w:ascii="宋体" w:hAnsi="宋体" w:eastAsia="宋体" w:cs="宋体"/>
        </w:rPr>
        <w:t xml:space="preserve">                           </w:t>
      </w:r>
      <w:r>
        <w:rPr>
          <w:rFonts w:hint="eastAsia" w:ascii="宋体" w:hAnsi="宋体" w:eastAsia="宋体" w:cs="宋体"/>
          <w:sz w:val="44"/>
          <w:szCs w:val="44"/>
        </w:rPr>
        <w:t xml:space="preserve"> </w:t>
      </w:r>
      <w:r>
        <w:rPr>
          <w:rFonts w:hint="eastAsia" w:ascii="宋体" w:hAnsi="宋体" w:eastAsia="宋体" w:cs="宋体"/>
          <w:b/>
          <w:bCs/>
          <w:sz w:val="36"/>
          <w:szCs w:val="36"/>
        </w:rPr>
        <w:t>投标人声明书</w:t>
      </w:r>
    </w:p>
    <w:p w14:paraId="06F00A4E">
      <w:pPr>
        <w:pStyle w:val="13"/>
        <w:spacing w:line="432" w:lineRule="auto"/>
        <w:rPr>
          <w:rFonts w:hint="eastAsia" w:ascii="宋体" w:hAnsi="宋体" w:eastAsia="宋体" w:cs="宋体"/>
        </w:rPr>
      </w:pPr>
      <w:r>
        <w:rPr>
          <w:rFonts w:hint="eastAsia" w:ascii="宋体" w:hAnsi="宋体" w:eastAsia="宋体" w:cs="宋体"/>
          <w:lang w:eastAsia="zh-CN"/>
        </w:rPr>
        <w:t>嘉兴锦大工程管理咨询有限公司</w:t>
      </w:r>
      <w:r>
        <w:rPr>
          <w:rFonts w:hint="eastAsia" w:ascii="宋体" w:hAnsi="宋体" w:eastAsia="宋体" w:cs="宋体"/>
        </w:rPr>
        <w:t>：</w:t>
      </w:r>
    </w:p>
    <w:p w14:paraId="509577FD">
      <w:pPr>
        <w:spacing w:line="600" w:lineRule="exact"/>
        <w:ind w:firstLine="482"/>
        <w:rPr>
          <w:rFonts w:hint="eastAsia" w:ascii="宋体" w:hAnsi="宋体" w:eastAsia="宋体" w:cs="宋体"/>
          <w:sz w:val="24"/>
        </w:rPr>
      </w:pPr>
      <w:r>
        <w:rPr>
          <w:rFonts w:hint="eastAsia" w:ascii="宋体" w:hAnsi="宋体" w:eastAsia="宋体" w:cs="宋体"/>
          <w:sz w:val="24"/>
        </w:rPr>
        <w:t>本单位自愿参加</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lang w:val="en-US" w:eastAsia="zh-CN"/>
        </w:rPr>
        <w:t xml:space="preserve">       </w:t>
      </w:r>
      <w:r>
        <w:rPr>
          <w:rFonts w:hint="eastAsia" w:ascii="宋体" w:hAnsi="宋体" w:eastAsia="宋体" w:cs="宋体"/>
          <w:sz w:val="24"/>
        </w:rPr>
        <w:t>）的投标，并声明如下：</w:t>
      </w:r>
    </w:p>
    <w:p w14:paraId="74A8D793">
      <w:pPr>
        <w:spacing w:line="600" w:lineRule="exact"/>
        <w:ind w:firstLine="482"/>
        <w:rPr>
          <w:rFonts w:hint="eastAsia" w:ascii="宋体" w:hAnsi="宋体" w:eastAsia="宋体" w:cs="宋体"/>
          <w:sz w:val="24"/>
        </w:rPr>
      </w:pPr>
      <w:r>
        <w:rPr>
          <w:rFonts w:hint="eastAsia" w:ascii="宋体" w:hAnsi="宋体" w:eastAsia="宋体" w:cs="宋体"/>
          <w:sz w:val="24"/>
        </w:rPr>
        <w:t>1、保证投标文件中所列举的投标报价及相关文件和投标人基本情况资料是真实的、合法的。</w:t>
      </w:r>
    </w:p>
    <w:p w14:paraId="4C2C7183">
      <w:pPr>
        <w:spacing w:line="600" w:lineRule="exact"/>
        <w:ind w:firstLine="482"/>
        <w:rPr>
          <w:rFonts w:hint="eastAsia" w:ascii="宋体" w:hAnsi="宋体" w:eastAsia="宋体" w:cs="宋体"/>
          <w:sz w:val="24"/>
        </w:rPr>
      </w:pPr>
      <w:r>
        <w:rPr>
          <w:rFonts w:hint="eastAsia" w:ascii="宋体" w:hAnsi="宋体" w:eastAsia="宋体" w:cs="宋体"/>
          <w:sz w:val="24"/>
        </w:rPr>
        <w:t>2、同意此次采购招标文件中的各项内容。</w:t>
      </w:r>
    </w:p>
    <w:p w14:paraId="4AC55898">
      <w:pPr>
        <w:spacing w:line="600" w:lineRule="exact"/>
        <w:ind w:firstLine="482"/>
        <w:rPr>
          <w:rFonts w:hint="eastAsia" w:ascii="宋体" w:hAnsi="宋体" w:eastAsia="宋体" w:cs="宋体"/>
          <w:sz w:val="24"/>
        </w:rPr>
      </w:pPr>
      <w:r>
        <w:rPr>
          <w:rFonts w:hint="eastAsia" w:ascii="宋体" w:hAnsi="宋体" w:eastAsia="宋体" w:cs="宋体"/>
          <w:sz w:val="24"/>
        </w:rPr>
        <w:t>3、参加采购活动前3年内在经营活动中没有因违法经营受到刑事处罚或者责令停产停业、吊销许可证或者执照、较大数额罚款等行政处罚的重大违法记录。</w:t>
      </w:r>
    </w:p>
    <w:p w14:paraId="2160B538">
      <w:pPr>
        <w:spacing w:line="600" w:lineRule="exact"/>
        <w:ind w:firstLine="482"/>
        <w:rPr>
          <w:rFonts w:hint="eastAsia" w:ascii="宋体" w:hAnsi="宋体" w:eastAsia="宋体" w:cs="宋体"/>
          <w:sz w:val="24"/>
        </w:rPr>
      </w:pPr>
      <w:r>
        <w:rPr>
          <w:rFonts w:hint="eastAsia" w:ascii="宋体" w:hAnsi="宋体" w:eastAsia="宋体" w:cs="宋体"/>
          <w:sz w:val="24"/>
        </w:rPr>
        <w:t>4、未为本项目提供整体设计、规范编制或者项目管理、监理、检测等服务。</w:t>
      </w:r>
    </w:p>
    <w:p w14:paraId="28926DAA">
      <w:pPr>
        <w:spacing w:line="600" w:lineRule="exact"/>
        <w:ind w:firstLine="482"/>
        <w:rPr>
          <w:rFonts w:hint="eastAsia" w:ascii="宋体" w:hAnsi="宋体" w:eastAsia="宋体" w:cs="宋体"/>
          <w:sz w:val="24"/>
        </w:rPr>
      </w:pPr>
      <w:r>
        <w:rPr>
          <w:rFonts w:hint="eastAsia" w:ascii="宋体" w:hAnsi="宋体" w:eastAsia="宋体" w:cs="宋体"/>
          <w:sz w:val="24"/>
        </w:rPr>
        <w:t>5、本单位负责人为同一人或存在直接控股、管理关系的供应商未参加本项目的采购活动。</w:t>
      </w:r>
    </w:p>
    <w:p w14:paraId="719EFE1E">
      <w:pPr>
        <w:spacing w:line="600" w:lineRule="exact"/>
        <w:ind w:firstLine="482"/>
        <w:rPr>
          <w:rFonts w:hint="eastAsia" w:ascii="宋体" w:hAnsi="宋体" w:eastAsia="宋体" w:cs="宋体"/>
          <w:sz w:val="24"/>
        </w:rPr>
      </w:pPr>
      <w:r>
        <w:rPr>
          <w:rFonts w:hint="eastAsia" w:ascii="宋体" w:hAnsi="宋体" w:eastAsia="宋体" w:cs="宋体"/>
          <w:sz w:val="24"/>
        </w:rPr>
        <w:t>6、未组成其他联合体参加本项目的采购活动。（联合体投标的，联合体各方不以自己名义单独、未组成或参加其他联合体参加本项目的采购活动。）</w:t>
      </w:r>
    </w:p>
    <w:p w14:paraId="26544C9C">
      <w:pPr>
        <w:spacing w:line="600" w:lineRule="exact"/>
        <w:ind w:firstLine="482"/>
        <w:rPr>
          <w:rFonts w:hint="eastAsia" w:ascii="宋体" w:hAnsi="宋体" w:eastAsia="宋体" w:cs="宋体"/>
          <w:b/>
          <w:sz w:val="24"/>
        </w:rPr>
      </w:pPr>
    </w:p>
    <w:p w14:paraId="5471C396">
      <w:pPr>
        <w:spacing w:line="320" w:lineRule="exact"/>
        <w:rPr>
          <w:rFonts w:hint="eastAsia" w:ascii="宋体" w:hAnsi="宋体" w:eastAsia="宋体" w:cs="宋体"/>
          <w:b/>
          <w:sz w:val="24"/>
        </w:rPr>
      </w:pPr>
    </w:p>
    <w:p w14:paraId="07BD2185">
      <w:pPr>
        <w:spacing w:line="320" w:lineRule="exact"/>
        <w:rPr>
          <w:rFonts w:hint="eastAsia" w:ascii="宋体" w:hAnsi="宋体" w:eastAsia="宋体" w:cs="宋体"/>
          <w:b/>
          <w:sz w:val="24"/>
        </w:rPr>
      </w:pPr>
    </w:p>
    <w:p w14:paraId="4D11018A">
      <w:pPr>
        <w:spacing w:line="320" w:lineRule="exact"/>
        <w:rPr>
          <w:rFonts w:hint="eastAsia" w:ascii="宋体" w:hAnsi="宋体" w:eastAsia="宋体" w:cs="宋体"/>
          <w:b/>
          <w:sz w:val="24"/>
        </w:rPr>
      </w:pPr>
    </w:p>
    <w:p w14:paraId="2A44A855">
      <w:pPr>
        <w:spacing w:line="320" w:lineRule="exact"/>
        <w:rPr>
          <w:rFonts w:hint="eastAsia" w:ascii="宋体" w:hAnsi="宋体" w:eastAsia="宋体" w:cs="宋体"/>
          <w:b/>
          <w:sz w:val="24"/>
        </w:rPr>
      </w:pPr>
      <w:r>
        <w:rPr>
          <w:rFonts w:hint="eastAsia" w:ascii="宋体" w:hAnsi="宋体" w:eastAsia="宋体" w:cs="宋体"/>
          <w:b/>
          <w:sz w:val="24"/>
        </w:rPr>
        <w:t xml:space="preserve">投标人（公章）：                   </w:t>
      </w:r>
    </w:p>
    <w:p w14:paraId="219AE8E8">
      <w:pPr>
        <w:spacing w:line="320" w:lineRule="exact"/>
        <w:rPr>
          <w:rFonts w:hint="eastAsia" w:ascii="宋体" w:hAnsi="宋体" w:eastAsia="宋体" w:cs="宋体"/>
          <w:b/>
          <w:sz w:val="24"/>
        </w:rPr>
      </w:pPr>
    </w:p>
    <w:p w14:paraId="48FC8067">
      <w:pPr>
        <w:spacing w:line="320" w:lineRule="exact"/>
        <w:rPr>
          <w:rFonts w:hint="eastAsia" w:ascii="宋体" w:hAnsi="宋体" w:eastAsia="宋体" w:cs="宋体"/>
          <w:b/>
          <w:sz w:val="24"/>
        </w:rPr>
      </w:pPr>
    </w:p>
    <w:p w14:paraId="38D9F75E">
      <w:pPr>
        <w:pStyle w:val="2"/>
        <w:ind w:firstLine="420"/>
        <w:rPr>
          <w:rFonts w:hint="eastAsia" w:ascii="宋体" w:hAnsi="宋体" w:eastAsia="宋体" w:cs="宋体"/>
        </w:rPr>
      </w:pPr>
    </w:p>
    <w:p w14:paraId="57D05681">
      <w:pPr>
        <w:spacing w:line="480" w:lineRule="auto"/>
        <w:rPr>
          <w:rFonts w:hint="eastAsia" w:ascii="宋体" w:hAnsi="宋体" w:eastAsia="宋体" w:cs="宋体"/>
          <w:b/>
          <w:sz w:val="24"/>
        </w:rPr>
      </w:pPr>
      <w:r>
        <w:rPr>
          <w:rFonts w:hint="eastAsia" w:ascii="宋体" w:hAnsi="宋体" w:eastAsia="宋体" w:cs="宋体"/>
          <w:b/>
          <w:sz w:val="24"/>
        </w:rPr>
        <w:t>日期：  　年　 月　  日</w:t>
      </w:r>
    </w:p>
    <w:p w14:paraId="10807744">
      <w:pPr>
        <w:spacing w:line="320" w:lineRule="exact"/>
        <w:rPr>
          <w:rFonts w:hint="eastAsia" w:ascii="宋体" w:hAnsi="宋体" w:eastAsia="宋体" w:cs="宋体"/>
          <w:b/>
          <w:sz w:val="24"/>
        </w:rPr>
      </w:pPr>
    </w:p>
    <w:p w14:paraId="1C5F1C28">
      <w:pPr>
        <w:spacing w:line="320" w:lineRule="exact"/>
        <w:rPr>
          <w:rFonts w:hint="eastAsia" w:ascii="宋体" w:hAnsi="宋体" w:eastAsia="宋体" w:cs="宋体"/>
          <w:b/>
          <w:sz w:val="24"/>
        </w:rPr>
      </w:pPr>
    </w:p>
    <w:p w14:paraId="47B94C21">
      <w:pPr>
        <w:pStyle w:val="19"/>
        <w:rPr>
          <w:rFonts w:hint="eastAsia" w:ascii="宋体" w:hAnsi="宋体" w:eastAsia="宋体" w:cs="宋体"/>
          <w:szCs w:val="21"/>
        </w:rPr>
        <w:sectPr>
          <w:pgSz w:w="11907" w:h="16841"/>
          <w:pgMar w:top="1440" w:right="1080" w:bottom="1440" w:left="1080" w:header="877" w:footer="842" w:gutter="0"/>
          <w:cols w:space="720" w:num="1"/>
        </w:sectPr>
      </w:pPr>
    </w:p>
    <w:p w14:paraId="7D90290C">
      <w:pPr>
        <w:pStyle w:val="4"/>
        <w:spacing w:line="320" w:lineRule="exact"/>
        <w:rPr>
          <w:rFonts w:hint="eastAsia" w:ascii="宋体" w:hAnsi="宋体" w:eastAsia="宋体" w:cs="宋体"/>
          <w:sz w:val="24"/>
          <w:szCs w:val="24"/>
        </w:rPr>
      </w:pPr>
      <w:bookmarkStart w:id="69" w:name="_Toc30653"/>
      <w:bookmarkStart w:id="70" w:name="_Toc29725"/>
      <w:bookmarkStart w:id="71" w:name="_Toc417633389"/>
      <w:r>
        <w:rPr>
          <w:rFonts w:hint="eastAsia" w:ascii="宋体" w:hAnsi="宋体" w:eastAsia="宋体" w:cs="宋体"/>
          <w:sz w:val="24"/>
          <w:szCs w:val="24"/>
        </w:rPr>
        <w:t>附件3： 技术商务文件封面格式及目录</w:t>
      </w:r>
      <w:bookmarkEnd w:id="69"/>
    </w:p>
    <w:p w14:paraId="3C19822B">
      <w:pPr>
        <w:pStyle w:val="7"/>
        <w:snapToGrid w:val="0"/>
        <w:spacing w:before="295" w:after="295"/>
        <w:jc w:val="right"/>
        <w:rPr>
          <w:rFonts w:hint="eastAsia" w:ascii="宋体" w:hAnsi="宋体" w:eastAsia="宋体" w:cs="宋体"/>
          <w:bCs/>
          <w:sz w:val="30"/>
          <w:szCs w:val="30"/>
        </w:rPr>
      </w:pPr>
      <w:r>
        <w:rPr>
          <w:rFonts w:hint="eastAsia" w:ascii="宋体" w:hAnsi="宋体" w:eastAsia="宋体" w:cs="宋体"/>
          <w:bCs/>
          <w:sz w:val="30"/>
          <w:szCs w:val="30"/>
        </w:rPr>
        <w:t>正本或副本</w:t>
      </w:r>
    </w:p>
    <w:p w14:paraId="47AAEEFC">
      <w:pPr>
        <w:snapToGrid w:val="0"/>
        <w:spacing w:before="120" w:beforeLines="50" w:after="50"/>
        <w:rPr>
          <w:rFonts w:hint="eastAsia" w:ascii="宋体" w:hAnsi="宋体" w:eastAsia="宋体" w:cs="宋体"/>
          <w:bCs/>
          <w:sz w:val="30"/>
          <w:szCs w:val="30"/>
        </w:rPr>
      </w:pPr>
      <w:r>
        <w:rPr>
          <w:rFonts w:hint="eastAsia" w:ascii="宋体" w:hAnsi="宋体" w:eastAsia="宋体" w:cs="宋体"/>
          <w:sz w:val="30"/>
          <w:szCs w:val="30"/>
        </w:rPr>
        <w:t xml:space="preserve">                                            </w:t>
      </w:r>
    </w:p>
    <w:p w14:paraId="3B9B4082">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6FE35A5C">
      <w:pPr>
        <w:spacing w:before="240" w:beforeLines="100" w:line="240" w:lineRule="atLeast"/>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14:paraId="2BCE2FE4">
      <w:pPr>
        <w:spacing w:after="100" w:afterAutospacing="1" w:line="800" w:lineRule="exact"/>
        <w:ind w:right="-108"/>
        <w:rPr>
          <w:rFonts w:hint="eastAsia" w:ascii="宋体" w:hAnsi="宋体" w:eastAsia="宋体" w:cs="宋体"/>
          <w:b/>
          <w:spacing w:val="40"/>
          <w:sz w:val="84"/>
          <w:szCs w:val="84"/>
        </w:rPr>
      </w:pPr>
    </w:p>
    <w:p w14:paraId="2A151DD8">
      <w:pPr>
        <w:spacing w:after="100" w:afterAutospacing="1" w:line="7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技</w:t>
      </w:r>
    </w:p>
    <w:p w14:paraId="79D845B3">
      <w:pPr>
        <w:spacing w:after="100" w:afterAutospacing="1" w:line="7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术</w:t>
      </w:r>
    </w:p>
    <w:p w14:paraId="4A3BC5EA">
      <w:pPr>
        <w:spacing w:after="100" w:afterAutospacing="1" w:line="7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商</w:t>
      </w:r>
    </w:p>
    <w:p w14:paraId="4C39D450">
      <w:pPr>
        <w:spacing w:after="100" w:afterAutospacing="1" w:line="7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务</w:t>
      </w:r>
    </w:p>
    <w:p w14:paraId="378C12E7">
      <w:pPr>
        <w:spacing w:after="100" w:afterAutospacing="1" w:line="7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14:paraId="20FDD7BB">
      <w:pPr>
        <w:spacing w:after="100" w:afterAutospacing="1" w:line="700" w:lineRule="exact"/>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件</w:t>
      </w:r>
    </w:p>
    <w:p w14:paraId="77FD84DD">
      <w:pPr>
        <w:spacing w:line="600" w:lineRule="exact"/>
        <w:ind w:right="532" w:firstLine="720" w:firstLineChars="200"/>
        <w:rPr>
          <w:rFonts w:hint="eastAsia" w:ascii="宋体" w:hAnsi="宋体" w:eastAsia="宋体" w:cs="宋体"/>
          <w:sz w:val="36"/>
          <w:szCs w:val="36"/>
        </w:rPr>
      </w:pPr>
    </w:p>
    <w:p w14:paraId="598ADB32">
      <w:pPr>
        <w:spacing w:line="600" w:lineRule="exact"/>
        <w:ind w:right="532" w:firstLine="720" w:firstLineChars="200"/>
        <w:rPr>
          <w:rFonts w:hint="eastAsia" w:ascii="宋体" w:hAnsi="宋体" w:eastAsia="宋体" w:cs="宋体"/>
          <w:sz w:val="36"/>
          <w:szCs w:val="36"/>
        </w:rPr>
      </w:pPr>
    </w:p>
    <w:p w14:paraId="370DA61F">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投标人全称（公章）：</w:t>
      </w:r>
    </w:p>
    <w:p w14:paraId="2886A291">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08E6B528">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4D9E6AB3">
      <w:pPr>
        <w:spacing w:line="600" w:lineRule="exact"/>
        <w:ind w:right="532"/>
        <w:rPr>
          <w:rFonts w:hint="eastAsia" w:ascii="宋体" w:hAnsi="宋体" w:eastAsia="宋体" w:cs="宋体"/>
          <w:sz w:val="36"/>
          <w:szCs w:val="36"/>
        </w:rPr>
      </w:pPr>
    </w:p>
    <w:p w14:paraId="77041812">
      <w:pPr>
        <w:pStyle w:val="19"/>
        <w:rPr>
          <w:rFonts w:hint="eastAsia" w:ascii="宋体" w:hAnsi="宋体" w:eastAsia="宋体" w:cs="宋体"/>
        </w:rPr>
      </w:pPr>
    </w:p>
    <w:p w14:paraId="46E2E454">
      <w:pPr>
        <w:snapToGrid w:val="0"/>
        <w:spacing w:before="50" w:after="50"/>
        <w:jc w:val="center"/>
        <w:rPr>
          <w:rFonts w:hint="eastAsia" w:ascii="宋体" w:hAnsi="宋体" w:eastAsia="宋体" w:cs="宋体"/>
          <w:b/>
          <w:bCs/>
          <w:sz w:val="36"/>
          <w:szCs w:val="36"/>
        </w:rPr>
      </w:pPr>
    </w:p>
    <w:p w14:paraId="20609CDD">
      <w:pPr>
        <w:snapToGrid w:val="0"/>
        <w:spacing w:before="50" w:after="50"/>
        <w:jc w:val="center"/>
        <w:rPr>
          <w:rFonts w:hint="eastAsia" w:ascii="宋体" w:hAnsi="宋体" w:eastAsia="宋体" w:cs="宋体"/>
          <w:b/>
          <w:bCs/>
          <w:sz w:val="36"/>
          <w:szCs w:val="36"/>
        </w:rPr>
      </w:pPr>
      <w:r>
        <w:rPr>
          <w:rFonts w:hint="eastAsia" w:ascii="宋体" w:hAnsi="宋体" w:eastAsia="宋体" w:cs="宋体"/>
          <w:b/>
          <w:bCs/>
          <w:sz w:val="36"/>
          <w:szCs w:val="36"/>
        </w:rPr>
        <w:t>技术商务文件目录</w:t>
      </w:r>
    </w:p>
    <w:p w14:paraId="770BCDA9">
      <w:pPr>
        <w:spacing w:line="400" w:lineRule="exact"/>
        <w:ind w:left="735"/>
        <w:rPr>
          <w:rFonts w:hint="eastAsia" w:ascii="宋体" w:hAnsi="宋体" w:eastAsia="宋体" w:cs="宋体"/>
          <w:szCs w:val="21"/>
        </w:rPr>
      </w:pPr>
    </w:p>
    <w:p w14:paraId="7E11124C">
      <w:pPr>
        <w:spacing w:line="360" w:lineRule="auto"/>
        <w:ind w:firstLine="420" w:firstLineChars="200"/>
        <w:rPr>
          <w:rFonts w:hint="eastAsia" w:ascii="宋体" w:hAnsi="宋体" w:eastAsia="宋体" w:cs="宋体"/>
          <w:szCs w:val="21"/>
        </w:rPr>
      </w:pPr>
      <w:bookmarkStart w:id="72" w:name="OLE_LINK73"/>
      <w:bookmarkStart w:id="73" w:name="OLE_LINK72"/>
      <w:r>
        <w:rPr>
          <w:rFonts w:hint="eastAsia" w:ascii="宋体" w:hAnsi="宋体" w:eastAsia="宋体" w:cs="宋体"/>
          <w:szCs w:val="21"/>
        </w:rPr>
        <w:t>1.商务技术文件封面及目录（附件3）；</w:t>
      </w:r>
    </w:p>
    <w:p w14:paraId="5BD689B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2.评分对应表（附件4）；</w:t>
      </w:r>
    </w:p>
    <w:p w14:paraId="7E532A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3.投标人基本情况表（附件5）；</w:t>
      </w:r>
    </w:p>
    <w:p w14:paraId="156A54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4.各类证书复印件；</w:t>
      </w:r>
    </w:p>
    <w:p w14:paraId="15B9BD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color w:val="000000"/>
          <w:kern w:val="0"/>
          <w:szCs w:val="21"/>
          <w:lang w:bidi="ar"/>
        </w:rPr>
        <w:t>项目方案</w:t>
      </w:r>
      <w:r>
        <w:rPr>
          <w:rFonts w:hint="eastAsia" w:ascii="宋体" w:hAnsi="宋体" w:eastAsia="宋体" w:cs="宋体"/>
          <w:szCs w:val="21"/>
        </w:rPr>
        <w:t>；</w:t>
      </w:r>
    </w:p>
    <w:p w14:paraId="4AE1BC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6.技术响应表（附件6）；</w:t>
      </w:r>
    </w:p>
    <w:p w14:paraId="6F9C201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7.所投货物及主要材料的品牌、型号、技术参数、性能、使用寿命等的详细描述等资料复印件；</w:t>
      </w:r>
    </w:p>
    <w:p w14:paraId="08ED1C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8.服务承诺（附件7）；</w:t>
      </w:r>
    </w:p>
    <w:p w14:paraId="10BE34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9.招标文件需要的其他资料及投标人认为需要提供的其他内容。</w:t>
      </w:r>
    </w:p>
    <w:p w14:paraId="3F2869B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注：投标人根据评分细则，对未提供格式的内容自拟格式进行表述。</w:t>
      </w:r>
    </w:p>
    <w:bookmarkEnd w:id="72"/>
    <w:bookmarkEnd w:id="73"/>
    <w:p w14:paraId="6E04D5BD">
      <w:pPr>
        <w:pStyle w:val="2"/>
        <w:ind w:firstLine="420"/>
        <w:rPr>
          <w:rFonts w:hint="eastAsia" w:ascii="宋体" w:hAnsi="宋体" w:eastAsia="宋体" w:cs="宋体"/>
          <w:szCs w:val="21"/>
        </w:rPr>
      </w:pPr>
    </w:p>
    <w:p w14:paraId="21B112CF">
      <w:pPr>
        <w:rPr>
          <w:rFonts w:hint="eastAsia" w:ascii="宋体" w:hAnsi="宋体" w:eastAsia="宋体" w:cs="宋体"/>
          <w:szCs w:val="21"/>
        </w:rPr>
      </w:pPr>
    </w:p>
    <w:p w14:paraId="62410DCE">
      <w:pPr>
        <w:pStyle w:val="2"/>
        <w:ind w:firstLine="420"/>
        <w:rPr>
          <w:rFonts w:hint="eastAsia" w:ascii="宋体" w:hAnsi="宋体" w:eastAsia="宋体" w:cs="宋体"/>
          <w:szCs w:val="21"/>
        </w:rPr>
      </w:pPr>
    </w:p>
    <w:p w14:paraId="23C075DE">
      <w:pPr>
        <w:rPr>
          <w:rFonts w:hint="eastAsia" w:ascii="宋体" w:hAnsi="宋体" w:eastAsia="宋体" w:cs="宋体"/>
          <w:szCs w:val="21"/>
        </w:rPr>
      </w:pPr>
    </w:p>
    <w:p w14:paraId="43869C28">
      <w:pPr>
        <w:pStyle w:val="2"/>
        <w:ind w:firstLine="420"/>
        <w:rPr>
          <w:rFonts w:hint="eastAsia" w:ascii="宋体" w:hAnsi="宋体" w:eastAsia="宋体" w:cs="宋体"/>
          <w:szCs w:val="21"/>
        </w:rPr>
      </w:pPr>
    </w:p>
    <w:p w14:paraId="284B7874">
      <w:pPr>
        <w:rPr>
          <w:rFonts w:hint="eastAsia" w:ascii="宋体" w:hAnsi="宋体" w:eastAsia="宋体" w:cs="宋体"/>
          <w:szCs w:val="21"/>
        </w:rPr>
      </w:pPr>
    </w:p>
    <w:p w14:paraId="1FA9E7F8">
      <w:pPr>
        <w:pStyle w:val="2"/>
        <w:ind w:firstLine="420"/>
        <w:rPr>
          <w:rFonts w:hint="eastAsia" w:ascii="宋体" w:hAnsi="宋体" w:eastAsia="宋体" w:cs="宋体"/>
          <w:szCs w:val="21"/>
        </w:rPr>
      </w:pPr>
    </w:p>
    <w:p w14:paraId="47E64A6C">
      <w:pPr>
        <w:rPr>
          <w:rFonts w:hint="eastAsia" w:ascii="宋体" w:hAnsi="宋体" w:eastAsia="宋体" w:cs="宋体"/>
          <w:szCs w:val="21"/>
        </w:rPr>
      </w:pPr>
    </w:p>
    <w:p w14:paraId="25899B9F">
      <w:pPr>
        <w:pStyle w:val="2"/>
        <w:ind w:firstLine="420"/>
        <w:rPr>
          <w:rFonts w:hint="eastAsia" w:ascii="宋体" w:hAnsi="宋体" w:eastAsia="宋体" w:cs="宋体"/>
          <w:szCs w:val="21"/>
        </w:rPr>
      </w:pPr>
    </w:p>
    <w:p w14:paraId="5748F24D">
      <w:pPr>
        <w:rPr>
          <w:rFonts w:hint="eastAsia" w:ascii="宋体" w:hAnsi="宋体" w:eastAsia="宋体" w:cs="宋体"/>
          <w:szCs w:val="21"/>
        </w:rPr>
      </w:pPr>
    </w:p>
    <w:p w14:paraId="0523276C">
      <w:pPr>
        <w:pStyle w:val="2"/>
        <w:ind w:firstLine="420"/>
        <w:rPr>
          <w:rFonts w:hint="eastAsia" w:ascii="宋体" w:hAnsi="宋体" w:eastAsia="宋体" w:cs="宋体"/>
          <w:szCs w:val="21"/>
        </w:rPr>
      </w:pPr>
    </w:p>
    <w:p w14:paraId="6C2C8745">
      <w:pPr>
        <w:rPr>
          <w:rFonts w:hint="eastAsia" w:ascii="宋体" w:hAnsi="宋体" w:eastAsia="宋体" w:cs="宋体"/>
          <w:szCs w:val="21"/>
        </w:rPr>
      </w:pPr>
    </w:p>
    <w:p w14:paraId="55308D3A">
      <w:pPr>
        <w:pStyle w:val="2"/>
        <w:ind w:firstLine="420"/>
        <w:rPr>
          <w:rFonts w:hint="eastAsia" w:ascii="宋体" w:hAnsi="宋体" w:eastAsia="宋体" w:cs="宋体"/>
          <w:szCs w:val="21"/>
        </w:rPr>
      </w:pPr>
    </w:p>
    <w:p w14:paraId="77264917">
      <w:pPr>
        <w:rPr>
          <w:rFonts w:hint="eastAsia" w:ascii="宋体" w:hAnsi="宋体" w:eastAsia="宋体" w:cs="宋体"/>
          <w:szCs w:val="21"/>
        </w:rPr>
      </w:pPr>
    </w:p>
    <w:p w14:paraId="754BDED1">
      <w:pPr>
        <w:pStyle w:val="2"/>
        <w:ind w:firstLine="420"/>
        <w:rPr>
          <w:rFonts w:hint="eastAsia" w:ascii="宋体" w:hAnsi="宋体" w:eastAsia="宋体" w:cs="宋体"/>
          <w:szCs w:val="21"/>
        </w:rPr>
      </w:pPr>
    </w:p>
    <w:p w14:paraId="1BD2E442">
      <w:pPr>
        <w:rPr>
          <w:rFonts w:hint="eastAsia" w:ascii="宋体" w:hAnsi="宋体" w:eastAsia="宋体" w:cs="宋体"/>
          <w:szCs w:val="21"/>
        </w:rPr>
      </w:pPr>
    </w:p>
    <w:p w14:paraId="26BEA0CB">
      <w:pPr>
        <w:pStyle w:val="2"/>
        <w:ind w:firstLine="420"/>
        <w:rPr>
          <w:rFonts w:hint="eastAsia" w:ascii="宋体" w:hAnsi="宋体" w:eastAsia="宋体" w:cs="宋体"/>
          <w:szCs w:val="21"/>
        </w:rPr>
      </w:pPr>
    </w:p>
    <w:p w14:paraId="7DBE1DC2">
      <w:pPr>
        <w:rPr>
          <w:rFonts w:hint="eastAsia" w:ascii="宋体" w:hAnsi="宋体" w:eastAsia="宋体" w:cs="宋体"/>
          <w:szCs w:val="21"/>
        </w:rPr>
      </w:pPr>
    </w:p>
    <w:p w14:paraId="3FE622EC">
      <w:pPr>
        <w:pStyle w:val="2"/>
        <w:ind w:firstLine="420"/>
        <w:rPr>
          <w:rFonts w:hint="eastAsia" w:ascii="宋体" w:hAnsi="宋体" w:eastAsia="宋体" w:cs="宋体"/>
          <w:szCs w:val="21"/>
        </w:rPr>
      </w:pPr>
    </w:p>
    <w:p w14:paraId="32E4D28D">
      <w:pPr>
        <w:rPr>
          <w:rFonts w:hint="eastAsia" w:ascii="宋体" w:hAnsi="宋体" w:eastAsia="宋体" w:cs="宋体"/>
          <w:szCs w:val="21"/>
        </w:rPr>
      </w:pPr>
    </w:p>
    <w:p w14:paraId="377897EE">
      <w:pPr>
        <w:pStyle w:val="2"/>
        <w:ind w:firstLine="420"/>
        <w:rPr>
          <w:rFonts w:hint="eastAsia" w:ascii="宋体" w:hAnsi="宋体" w:eastAsia="宋体" w:cs="宋体"/>
          <w:szCs w:val="21"/>
        </w:rPr>
      </w:pPr>
    </w:p>
    <w:p w14:paraId="21DAFD32">
      <w:pPr>
        <w:rPr>
          <w:rFonts w:hint="eastAsia" w:ascii="宋体" w:hAnsi="宋体" w:eastAsia="宋体" w:cs="宋体"/>
        </w:rPr>
      </w:pPr>
    </w:p>
    <w:p w14:paraId="0563BB04">
      <w:pPr>
        <w:pStyle w:val="2"/>
        <w:ind w:firstLine="420"/>
        <w:rPr>
          <w:rFonts w:hint="eastAsia" w:ascii="宋体" w:hAnsi="宋体" w:eastAsia="宋体" w:cs="宋体"/>
        </w:rPr>
      </w:pPr>
    </w:p>
    <w:p w14:paraId="77E8E956">
      <w:pPr>
        <w:rPr>
          <w:rFonts w:hint="eastAsia" w:ascii="宋体" w:hAnsi="宋体" w:eastAsia="宋体" w:cs="宋体"/>
        </w:rPr>
      </w:pPr>
    </w:p>
    <w:p w14:paraId="0E36C010">
      <w:pPr>
        <w:pStyle w:val="2"/>
        <w:ind w:firstLine="420"/>
        <w:rPr>
          <w:rFonts w:hint="eastAsia" w:ascii="宋体" w:hAnsi="宋体" w:eastAsia="宋体" w:cs="宋体"/>
        </w:rPr>
      </w:pPr>
    </w:p>
    <w:p w14:paraId="4FDF728F">
      <w:pPr>
        <w:rPr>
          <w:rFonts w:hint="eastAsia" w:ascii="宋体" w:hAnsi="宋体" w:eastAsia="宋体" w:cs="宋体"/>
        </w:rPr>
      </w:pPr>
    </w:p>
    <w:p w14:paraId="6AB7A465">
      <w:pPr>
        <w:pStyle w:val="2"/>
        <w:ind w:firstLine="420"/>
        <w:rPr>
          <w:rFonts w:hint="eastAsia" w:ascii="宋体" w:hAnsi="宋体" w:eastAsia="宋体" w:cs="宋体"/>
        </w:rPr>
      </w:pPr>
    </w:p>
    <w:p w14:paraId="31454058">
      <w:pPr>
        <w:pStyle w:val="2"/>
        <w:ind w:firstLine="420"/>
        <w:rPr>
          <w:rFonts w:hint="eastAsia" w:ascii="宋体" w:hAnsi="宋体" w:eastAsia="宋体" w:cs="宋体"/>
        </w:rPr>
      </w:pPr>
    </w:p>
    <w:p w14:paraId="796977AB">
      <w:pPr>
        <w:rPr>
          <w:rFonts w:hint="eastAsia" w:ascii="宋体" w:hAnsi="宋体" w:eastAsia="宋体" w:cs="宋体"/>
        </w:rPr>
      </w:pPr>
    </w:p>
    <w:p w14:paraId="5FF43CF2">
      <w:pPr>
        <w:pStyle w:val="2"/>
        <w:ind w:firstLine="420"/>
        <w:rPr>
          <w:rFonts w:hint="eastAsia" w:ascii="宋体" w:hAnsi="宋体" w:eastAsia="宋体" w:cs="宋体"/>
        </w:rPr>
      </w:pPr>
    </w:p>
    <w:p w14:paraId="1D847C34">
      <w:pPr>
        <w:rPr>
          <w:rFonts w:hint="eastAsia" w:ascii="宋体" w:hAnsi="宋体" w:eastAsia="宋体" w:cs="宋体"/>
          <w:szCs w:val="21"/>
        </w:rPr>
      </w:pPr>
    </w:p>
    <w:p w14:paraId="120092E9">
      <w:pPr>
        <w:pStyle w:val="2"/>
        <w:ind w:firstLine="420"/>
        <w:rPr>
          <w:rFonts w:hint="eastAsia" w:ascii="宋体" w:hAnsi="宋体" w:eastAsia="宋体" w:cs="宋体"/>
          <w:szCs w:val="21"/>
        </w:rPr>
      </w:pPr>
    </w:p>
    <w:p w14:paraId="67CA4CFE">
      <w:pPr>
        <w:rPr>
          <w:rFonts w:hint="eastAsia" w:ascii="宋体" w:hAnsi="宋体" w:eastAsia="宋体" w:cs="宋体"/>
          <w:szCs w:val="21"/>
        </w:rPr>
      </w:pPr>
    </w:p>
    <w:p w14:paraId="347515D1">
      <w:pPr>
        <w:spacing w:before="50" w:line="219" w:lineRule="auto"/>
        <w:rPr>
          <w:rFonts w:hint="eastAsia" w:ascii="宋体" w:hAnsi="宋体" w:eastAsia="宋体" w:cs="宋体"/>
          <w:b/>
          <w:bCs/>
          <w:sz w:val="24"/>
          <w:szCs w:val="24"/>
        </w:rPr>
      </w:pPr>
      <w:bookmarkStart w:id="74" w:name="OLE_LINK74"/>
      <w:bookmarkStart w:id="75" w:name="OLE_LINK75"/>
      <w:r>
        <w:rPr>
          <w:rFonts w:hint="eastAsia" w:ascii="宋体" w:hAnsi="宋体" w:eastAsia="宋体" w:cs="宋体"/>
          <w:b/>
          <w:bCs/>
          <w:sz w:val="24"/>
          <w:szCs w:val="24"/>
        </w:rPr>
        <w:t>附件4： 评分对应表</w:t>
      </w:r>
    </w:p>
    <w:p w14:paraId="35459D10">
      <w:pPr>
        <w:spacing w:line="276" w:lineRule="auto"/>
        <w:rPr>
          <w:rFonts w:hint="eastAsia" w:ascii="宋体" w:hAnsi="宋体" w:eastAsia="宋体" w:cs="宋体"/>
        </w:rPr>
      </w:pPr>
    </w:p>
    <w:p w14:paraId="0EE5A240">
      <w:pPr>
        <w:spacing w:before="154" w:line="344" w:lineRule="exact"/>
        <w:ind w:left="3977"/>
        <w:rPr>
          <w:rFonts w:hint="eastAsia" w:ascii="宋体" w:hAnsi="宋体" w:eastAsia="宋体" w:cs="宋体"/>
          <w:b/>
          <w:sz w:val="36"/>
          <w:szCs w:val="36"/>
        </w:rPr>
      </w:pPr>
      <w:r>
        <w:rPr>
          <w:rFonts w:hint="eastAsia" w:ascii="宋体" w:hAnsi="宋体" w:eastAsia="宋体" w:cs="宋体"/>
          <w:b/>
          <w:sz w:val="36"/>
          <w:szCs w:val="36"/>
        </w:rPr>
        <w:t>评分对应表</w:t>
      </w:r>
    </w:p>
    <w:p w14:paraId="1A91A23A">
      <w:pPr>
        <w:pStyle w:val="2"/>
        <w:ind w:firstLine="420"/>
        <w:rPr>
          <w:rFonts w:hint="eastAsia" w:ascii="宋体" w:hAnsi="宋体" w:eastAsia="宋体" w:cs="宋体"/>
        </w:rPr>
      </w:pPr>
    </w:p>
    <w:tbl>
      <w:tblPr>
        <w:tblStyle w:val="14"/>
        <w:tblW w:w="9603"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3388"/>
        <w:gridCol w:w="2166"/>
        <w:gridCol w:w="1469"/>
        <w:gridCol w:w="1578"/>
      </w:tblGrid>
      <w:tr w14:paraId="1A49D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002" w:type="dxa"/>
            <w:noWrap w:val="0"/>
            <w:vAlign w:val="top"/>
          </w:tcPr>
          <w:p w14:paraId="6AEB25A8">
            <w:pPr>
              <w:spacing w:line="261" w:lineRule="auto"/>
              <w:rPr>
                <w:rFonts w:hint="eastAsia" w:ascii="宋体" w:hAnsi="宋体" w:eastAsia="宋体" w:cs="宋体"/>
              </w:rPr>
            </w:pPr>
          </w:p>
          <w:p w14:paraId="576D17A1">
            <w:pPr>
              <w:spacing w:line="261" w:lineRule="auto"/>
              <w:rPr>
                <w:rFonts w:hint="eastAsia" w:ascii="宋体" w:hAnsi="宋体" w:eastAsia="宋体" w:cs="宋体"/>
              </w:rPr>
            </w:pPr>
          </w:p>
          <w:p w14:paraId="32E9CF79">
            <w:pPr>
              <w:spacing w:before="68" w:line="222" w:lineRule="auto"/>
              <w:ind w:left="295"/>
              <w:rPr>
                <w:rFonts w:hint="eastAsia" w:ascii="宋体" w:hAnsi="宋体" w:eastAsia="宋体" w:cs="宋体"/>
                <w:szCs w:val="21"/>
              </w:rPr>
            </w:pPr>
            <w:r>
              <w:rPr>
                <w:rFonts w:hint="eastAsia" w:ascii="宋体" w:hAnsi="宋体" w:eastAsia="宋体" w:cs="宋体"/>
                <w:spacing w:val="-2"/>
                <w:szCs w:val="21"/>
              </w:rPr>
              <w:t>序</w:t>
            </w:r>
            <w:r>
              <w:rPr>
                <w:rFonts w:hint="eastAsia" w:ascii="宋体" w:hAnsi="宋体" w:eastAsia="宋体" w:cs="宋体"/>
                <w:spacing w:val="-1"/>
                <w:szCs w:val="21"/>
              </w:rPr>
              <w:t>号</w:t>
            </w:r>
          </w:p>
        </w:tc>
        <w:tc>
          <w:tcPr>
            <w:tcW w:w="3388" w:type="dxa"/>
            <w:noWrap w:val="0"/>
            <w:vAlign w:val="top"/>
          </w:tcPr>
          <w:p w14:paraId="22B3E899">
            <w:pPr>
              <w:spacing w:line="261" w:lineRule="auto"/>
              <w:rPr>
                <w:rFonts w:hint="eastAsia" w:ascii="宋体" w:hAnsi="宋体" w:eastAsia="宋体" w:cs="宋体"/>
              </w:rPr>
            </w:pPr>
          </w:p>
          <w:p w14:paraId="7281F9EF">
            <w:pPr>
              <w:spacing w:line="261" w:lineRule="auto"/>
              <w:rPr>
                <w:rFonts w:hint="eastAsia" w:ascii="宋体" w:hAnsi="宋体" w:eastAsia="宋体" w:cs="宋体"/>
              </w:rPr>
            </w:pPr>
          </w:p>
          <w:p w14:paraId="4F2A76EF">
            <w:pPr>
              <w:spacing w:before="68" w:line="221" w:lineRule="auto"/>
              <w:ind w:left="1277"/>
              <w:rPr>
                <w:rFonts w:hint="eastAsia" w:ascii="宋体" w:hAnsi="宋体" w:eastAsia="宋体" w:cs="宋体"/>
                <w:szCs w:val="21"/>
              </w:rPr>
            </w:pPr>
            <w:r>
              <w:rPr>
                <w:rFonts w:hint="eastAsia" w:ascii="宋体" w:hAnsi="宋体" w:eastAsia="宋体" w:cs="宋体"/>
                <w:spacing w:val="-1"/>
                <w:szCs w:val="21"/>
              </w:rPr>
              <w:t>评分项目</w:t>
            </w:r>
          </w:p>
        </w:tc>
        <w:tc>
          <w:tcPr>
            <w:tcW w:w="2166" w:type="dxa"/>
            <w:noWrap w:val="0"/>
            <w:vAlign w:val="top"/>
          </w:tcPr>
          <w:p w14:paraId="31AA8CC0">
            <w:pPr>
              <w:spacing w:line="260" w:lineRule="auto"/>
              <w:rPr>
                <w:rFonts w:hint="eastAsia" w:ascii="宋体" w:hAnsi="宋体" w:eastAsia="宋体" w:cs="宋体"/>
              </w:rPr>
            </w:pPr>
          </w:p>
          <w:p w14:paraId="7B998D80">
            <w:pPr>
              <w:spacing w:line="261" w:lineRule="auto"/>
              <w:rPr>
                <w:rFonts w:hint="eastAsia" w:ascii="宋体" w:hAnsi="宋体" w:eastAsia="宋体" w:cs="宋体"/>
              </w:rPr>
            </w:pPr>
          </w:p>
          <w:p w14:paraId="14E365DB">
            <w:pPr>
              <w:spacing w:before="68" w:line="221" w:lineRule="auto"/>
              <w:ind w:left="364"/>
              <w:rPr>
                <w:rFonts w:hint="eastAsia" w:ascii="宋体" w:hAnsi="宋体" w:eastAsia="宋体" w:cs="宋体"/>
                <w:szCs w:val="21"/>
              </w:rPr>
            </w:pPr>
            <w:r>
              <w:rPr>
                <w:rFonts w:hint="eastAsia" w:ascii="宋体" w:hAnsi="宋体" w:eastAsia="宋体" w:cs="宋体"/>
                <w:spacing w:val="-2"/>
                <w:szCs w:val="21"/>
              </w:rPr>
              <w:t>响应文件对应资源</w:t>
            </w:r>
          </w:p>
        </w:tc>
        <w:tc>
          <w:tcPr>
            <w:tcW w:w="1469" w:type="dxa"/>
            <w:noWrap w:val="0"/>
            <w:vAlign w:val="top"/>
          </w:tcPr>
          <w:p w14:paraId="13E42022">
            <w:pPr>
              <w:spacing w:line="326" w:lineRule="auto"/>
              <w:rPr>
                <w:rFonts w:hint="eastAsia" w:ascii="宋体" w:hAnsi="宋体" w:eastAsia="宋体" w:cs="宋体"/>
              </w:rPr>
            </w:pPr>
          </w:p>
          <w:p w14:paraId="745BC13D">
            <w:pPr>
              <w:spacing w:before="68" w:line="440" w:lineRule="auto"/>
              <w:ind w:right="108" w:firstLine="182" w:firstLineChars="100"/>
              <w:jc w:val="center"/>
              <w:rPr>
                <w:rFonts w:hint="eastAsia" w:ascii="宋体" w:hAnsi="宋体" w:eastAsia="宋体" w:cs="宋体"/>
                <w:szCs w:val="21"/>
              </w:rPr>
            </w:pPr>
            <w:r>
              <w:rPr>
                <w:rFonts w:hint="eastAsia" w:ascii="宋体" w:hAnsi="宋体" w:eastAsia="宋体" w:cs="宋体"/>
                <w:spacing w:val="-14"/>
                <w:szCs w:val="21"/>
              </w:rPr>
              <w:t>自</w:t>
            </w:r>
            <w:r>
              <w:rPr>
                <w:rFonts w:hint="eastAsia" w:ascii="宋体" w:hAnsi="宋体" w:eastAsia="宋体" w:cs="宋体"/>
                <w:spacing w:val="-13"/>
                <w:szCs w:val="21"/>
              </w:rPr>
              <w:t>评分</w:t>
            </w:r>
            <w:r>
              <w:rPr>
                <w:rFonts w:hint="eastAsia" w:ascii="宋体" w:hAnsi="宋体" w:eastAsia="宋体" w:cs="宋体"/>
                <w:szCs w:val="21"/>
              </w:rPr>
              <w:t xml:space="preserve">    </w:t>
            </w:r>
            <w:r>
              <w:rPr>
                <w:rFonts w:hint="eastAsia" w:ascii="宋体" w:hAnsi="宋体" w:eastAsia="宋体" w:cs="宋体"/>
                <w:spacing w:val="16"/>
                <w:szCs w:val="21"/>
              </w:rPr>
              <w:t>(客观分</w:t>
            </w:r>
            <w:r>
              <w:rPr>
                <w:rFonts w:hint="eastAsia" w:ascii="宋体" w:hAnsi="宋体" w:eastAsia="宋体" w:cs="宋体"/>
                <w:spacing w:val="15"/>
                <w:szCs w:val="21"/>
              </w:rPr>
              <w:t>)</w:t>
            </w:r>
          </w:p>
        </w:tc>
        <w:tc>
          <w:tcPr>
            <w:tcW w:w="1578" w:type="dxa"/>
            <w:noWrap w:val="0"/>
            <w:vAlign w:val="top"/>
          </w:tcPr>
          <w:p w14:paraId="0AD3401A">
            <w:pPr>
              <w:spacing w:line="260" w:lineRule="auto"/>
              <w:rPr>
                <w:rFonts w:hint="eastAsia" w:ascii="宋体" w:hAnsi="宋体" w:eastAsia="宋体" w:cs="宋体"/>
              </w:rPr>
            </w:pPr>
          </w:p>
          <w:p w14:paraId="20C14CBA">
            <w:pPr>
              <w:spacing w:line="261" w:lineRule="auto"/>
              <w:rPr>
                <w:rFonts w:hint="eastAsia" w:ascii="宋体" w:hAnsi="宋体" w:eastAsia="宋体" w:cs="宋体"/>
              </w:rPr>
            </w:pPr>
          </w:p>
          <w:p w14:paraId="7BCAA4DF">
            <w:pPr>
              <w:spacing w:before="68" w:line="221" w:lineRule="auto"/>
              <w:ind w:left="174"/>
              <w:rPr>
                <w:rFonts w:hint="eastAsia" w:ascii="宋体" w:hAnsi="宋体" w:eastAsia="宋体" w:cs="宋体"/>
                <w:szCs w:val="21"/>
              </w:rPr>
            </w:pPr>
            <w:r>
              <w:rPr>
                <w:rFonts w:hint="eastAsia" w:ascii="宋体" w:hAnsi="宋体" w:eastAsia="宋体" w:cs="宋体"/>
                <w:spacing w:val="-4"/>
                <w:szCs w:val="21"/>
              </w:rPr>
              <w:t>响应</w:t>
            </w:r>
            <w:r>
              <w:rPr>
                <w:rFonts w:hint="eastAsia" w:ascii="宋体" w:hAnsi="宋体" w:eastAsia="宋体" w:cs="宋体"/>
                <w:spacing w:val="-2"/>
                <w:szCs w:val="21"/>
              </w:rPr>
              <w:t>文件页码</w:t>
            </w:r>
          </w:p>
        </w:tc>
      </w:tr>
      <w:tr w14:paraId="3D7E8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1002" w:type="dxa"/>
            <w:noWrap w:val="0"/>
            <w:vAlign w:val="top"/>
          </w:tcPr>
          <w:p w14:paraId="3D4614B1">
            <w:pPr>
              <w:spacing w:line="276" w:lineRule="auto"/>
              <w:rPr>
                <w:rFonts w:hint="eastAsia" w:ascii="宋体" w:hAnsi="宋体" w:eastAsia="宋体" w:cs="宋体"/>
              </w:rPr>
            </w:pPr>
          </w:p>
          <w:p w14:paraId="7685FE63">
            <w:pPr>
              <w:spacing w:line="276" w:lineRule="auto"/>
              <w:rPr>
                <w:rFonts w:hint="eastAsia" w:ascii="宋体" w:hAnsi="宋体" w:eastAsia="宋体" w:cs="宋体"/>
              </w:rPr>
            </w:pPr>
          </w:p>
          <w:p w14:paraId="5A7B3927">
            <w:pPr>
              <w:spacing w:before="68" w:line="186" w:lineRule="auto"/>
              <w:ind w:left="470"/>
              <w:rPr>
                <w:rFonts w:hint="eastAsia" w:ascii="宋体" w:hAnsi="宋体" w:eastAsia="宋体" w:cs="宋体"/>
                <w:szCs w:val="21"/>
              </w:rPr>
            </w:pPr>
            <w:r>
              <w:rPr>
                <w:rFonts w:hint="eastAsia" w:ascii="宋体" w:hAnsi="宋体" w:eastAsia="宋体" w:cs="宋体"/>
                <w:szCs w:val="21"/>
              </w:rPr>
              <w:t>1</w:t>
            </w:r>
          </w:p>
        </w:tc>
        <w:tc>
          <w:tcPr>
            <w:tcW w:w="3388" w:type="dxa"/>
            <w:noWrap w:val="0"/>
            <w:vAlign w:val="top"/>
          </w:tcPr>
          <w:p w14:paraId="1ACC8E2E">
            <w:pPr>
              <w:spacing w:line="262" w:lineRule="auto"/>
              <w:rPr>
                <w:rFonts w:hint="eastAsia" w:ascii="宋体" w:hAnsi="宋体" w:eastAsia="宋体" w:cs="宋体"/>
              </w:rPr>
            </w:pPr>
          </w:p>
          <w:p w14:paraId="49F4B366">
            <w:pPr>
              <w:spacing w:before="68" w:line="221" w:lineRule="auto"/>
              <w:ind w:left="541"/>
              <w:rPr>
                <w:rFonts w:hint="eastAsia" w:ascii="宋体" w:hAnsi="宋体" w:eastAsia="宋体" w:cs="宋体"/>
                <w:szCs w:val="21"/>
              </w:rPr>
            </w:pPr>
            <w:r>
              <w:rPr>
                <w:rFonts w:hint="eastAsia" w:ascii="宋体" w:hAnsi="宋体" w:eastAsia="宋体" w:cs="宋体"/>
                <w:spacing w:val="-1"/>
                <w:szCs w:val="21"/>
              </w:rPr>
              <w:t>对应评标</w:t>
            </w:r>
            <w:r>
              <w:rPr>
                <w:rFonts w:hint="eastAsia" w:ascii="宋体" w:hAnsi="宋体" w:eastAsia="宋体" w:cs="宋体"/>
                <w:szCs w:val="21"/>
              </w:rPr>
              <w:t>办法及评分标准</w:t>
            </w:r>
          </w:p>
          <w:p w14:paraId="713E65F5">
            <w:pPr>
              <w:spacing w:before="260" w:line="219" w:lineRule="auto"/>
              <w:ind w:left="1073"/>
              <w:rPr>
                <w:rFonts w:hint="eastAsia" w:ascii="宋体" w:hAnsi="宋体" w:eastAsia="宋体" w:cs="宋体"/>
                <w:szCs w:val="21"/>
              </w:rPr>
            </w:pPr>
            <w:r>
              <w:rPr>
                <w:rFonts w:hint="eastAsia" w:ascii="宋体" w:hAnsi="宋体" w:eastAsia="宋体" w:cs="宋体"/>
                <w:spacing w:val="19"/>
                <w:szCs w:val="21"/>
              </w:rPr>
              <w:t>(</w:t>
            </w:r>
            <w:r>
              <w:rPr>
                <w:rFonts w:hint="eastAsia" w:ascii="宋体" w:hAnsi="宋体" w:eastAsia="宋体" w:cs="宋体"/>
                <w:spacing w:val="15"/>
                <w:szCs w:val="21"/>
              </w:rPr>
              <w:t>报价除外)</w:t>
            </w:r>
          </w:p>
        </w:tc>
        <w:tc>
          <w:tcPr>
            <w:tcW w:w="2166" w:type="dxa"/>
            <w:noWrap w:val="0"/>
            <w:vAlign w:val="top"/>
          </w:tcPr>
          <w:p w14:paraId="4A898176">
            <w:pPr>
              <w:rPr>
                <w:rFonts w:hint="eastAsia" w:ascii="宋体" w:hAnsi="宋体" w:eastAsia="宋体" w:cs="宋体"/>
              </w:rPr>
            </w:pPr>
          </w:p>
        </w:tc>
        <w:tc>
          <w:tcPr>
            <w:tcW w:w="1469" w:type="dxa"/>
            <w:noWrap w:val="0"/>
            <w:vAlign w:val="top"/>
          </w:tcPr>
          <w:p w14:paraId="409C723D">
            <w:pPr>
              <w:rPr>
                <w:rFonts w:hint="eastAsia" w:ascii="宋体" w:hAnsi="宋体" w:eastAsia="宋体" w:cs="宋体"/>
              </w:rPr>
            </w:pPr>
          </w:p>
        </w:tc>
        <w:tc>
          <w:tcPr>
            <w:tcW w:w="1578" w:type="dxa"/>
            <w:noWrap w:val="0"/>
            <w:vAlign w:val="top"/>
          </w:tcPr>
          <w:p w14:paraId="43A84DE3">
            <w:pPr>
              <w:rPr>
                <w:rFonts w:hint="eastAsia" w:ascii="宋体" w:hAnsi="宋体" w:eastAsia="宋体" w:cs="宋体"/>
              </w:rPr>
            </w:pPr>
          </w:p>
        </w:tc>
      </w:tr>
      <w:tr w14:paraId="5541E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2" w:type="dxa"/>
            <w:noWrap w:val="0"/>
            <w:vAlign w:val="top"/>
          </w:tcPr>
          <w:p w14:paraId="3E06F075">
            <w:pPr>
              <w:spacing w:line="275" w:lineRule="auto"/>
              <w:rPr>
                <w:rFonts w:hint="eastAsia" w:ascii="宋体" w:hAnsi="宋体" w:eastAsia="宋体" w:cs="宋体"/>
              </w:rPr>
            </w:pPr>
          </w:p>
          <w:p w14:paraId="6FBA4BCB">
            <w:pPr>
              <w:spacing w:line="276" w:lineRule="auto"/>
              <w:rPr>
                <w:rFonts w:hint="eastAsia" w:ascii="宋体" w:hAnsi="宋体" w:eastAsia="宋体" w:cs="宋体"/>
              </w:rPr>
            </w:pPr>
          </w:p>
          <w:p w14:paraId="30A63DA2">
            <w:pPr>
              <w:spacing w:before="69" w:line="185" w:lineRule="auto"/>
              <w:ind w:left="456"/>
              <w:rPr>
                <w:rFonts w:hint="eastAsia" w:ascii="宋体" w:hAnsi="宋体" w:eastAsia="宋体" w:cs="宋体"/>
                <w:szCs w:val="21"/>
              </w:rPr>
            </w:pPr>
            <w:r>
              <w:rPr>
                <w:rFonts w:hint="eastAsia" w:ascii="宋体" w:hAnsi="宋体" w:eastAsia="宋体" w:cs="宋体"/>
                <w:szCs w:val="21"/>
              </w:rPr>
              <w:t>2</w:t>
            </w:r>
          </w:p>
        </w:tc>
        <w:tc>
          <w:tcPr>
            <w:tcW w:w="3388" w:type="dxa"/>
            <w:noWrap w:val="0"/>
            <w:vAlign w:val="top"/>
          </w:tcPr>
          <w:p w14:paraId="007231C0">
            <w:pPr>
              <w:spacing w:line="258" w:lineRule="auto"/>
              <w:rPr>
                <w:rFonts w:hint="eastAsia" w:ascii="宋体" w:hAnsi="宋体" w:eastAsia="宋体" w:cs="宋体"/>
              </w:rPr>
            </w:pPr>
          </w:p>
          <w:p w14:paraId="5FC58A67">
            <w:pPr>
              <w:spacing w:line="258" w:lineRule="auto"/>
              <w:rPr>
                <w:rFonts w:hint="eastAsia" w:ascii="宋体" w:hAnsi="宋体" w:eastAsia="宋体" w:cs="宋体"/>
              </w:rPr>
            </w:pPr>
          </w:p>
          <w:p w14:paraId="4BA779EF">
            <w:pPr>
              <w:spacing w:before="68" w:line="333" w:lineRule="exact"/>
              <w:ind w:left="1501"/>
              <w:rPr>
                <w:rFonts w:hint="eastAsia" w:ascii="宋体" w:hAnsi="宋体" w:eastAsia="宋体" w:cs="宋体"/>
                <w:szCs w:val="21"/>
              </w:rPr>
            </w:pPr>
            <w:r>
              <w:rPr>
                <w:rFonts w:hint="eastAsia" w:ascii="宋体" w:hAnsi="宋体" w:eastAsia="宋体" w:cs="宋体"/>
                <w:spacing w:val="-6"/>
                <w:position w:val="2"/>
                <w:szCs w:val="21"/>
              </w:rPr>
              <w:t>…</w:t>
            </w:r>
            <w:r>
              <w:rPr>
                <w:rFonts w:hint="eastAsia" w:ascii="宋体" w:hAnsi="宋体" w:eastAsia="宋体" w:cs="宋体"/>
                <w:spacing w:val="-4"/>
                <w:position w:val="2"/>
                <w:szCs w:val="21"/>
              </w:rPr>
              <w:t>…</w:t>
            </w:r>
          </w:p>
        </w:tc>
        <w:tc>
          <w:tcPr>
            <w:tcW w:w="2166" w:type="dxa"/>
            <w:noWrap w:val="0"/>
            <w:vAlign w:val="top"/>
          </w:tcPr>
          <w:p w14:paraId="2DF63883">
            <w:pPr>
              <w:rPr>
                <w:rFonts w:hint="eastAsia" w:ascii="宋体" w:hAnsi="宋体" w:eastAsia="宋体" w:cs="宋体"/>
              </w:rPr>
            </w:pPr>
          </w:p>
        </w:tc>
        <w:tc>
          <w:tcPr>
            <w:tcW w:w="1469" w:type="dxa"/>
            <w:noWrap w:val="0"/>
            <w:vAlign w:val="top"/>
          </w:tcPr>
          <w:p w14:paraId="0E0A3DBC">
            <w:pPr>
              <w:rPr>
                <w:rFonts w:hint="eastAsia" w:ascii="宋体" w:hAnsi="宋体" w:eastAsia="宋体" w:cs="宋体"/>
              </w:rPr>
            </w:pPr>
          </w:p>
        </w:tc>
        <w:tc>
          <w:tcPr>
            <w:tcW w:w="1578" w:type="dxa"/>
            <w:noWrap w:val="0"/>
            <w:vAlign w:val="top"/>
          </w:tcPr>
          <w:p w14:paraId="24104FC5">
            <w:pPr>
              <w:rPr>
                <w:rFonts w:hint="eastAsia" w:ascii="宋体" w:hAnsi="宋体" w:eastAsia="宋体" w:cs="宋体"/>
              </w:rPr>
            </w:pPr>
          </w:p>
        </w:tc>
      </w:tr>
      <w:tr w14:paraId="7F9D2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002" w:type="dxa"/>
            <w:noWrap w:val="0"/>
            <w:vAlign w:val="top"/>
          </w:tcPr>
          <w:p w14:paraId="55F1357C">
            <w:pPr>
              <w:rPr>
                <w:rFonts w:hint="eastAsia" w:ascii="宋体" w:hAnsi="宋体" w:eastAsia="宋体" w:cs="宋体"/>
              </w:rPr>
            </w:pPr>
          </w:p>
        </w:tc>
        <w:tc>
          <w:tcPr>
            <w:tcW w:w="3388" w:type="dxa"/>
            <w:noWrap w:val="0"/>
            <w:vAlign w:val="top"/>
          </w:tcPr>
          <w:p w14:paraId="21FA46A8">
            <w:pPr>
              <w:rPr>
                <w:rFonts w:hint="eastAsia" w:ascii="宋体" w:hAnsi="宋体" w:eastAsia="宋体" w:cs="宋体"/>
              </w:rPr>
            </w:pPr>
          </w:p>
        </w:tc>
        <w:tc>
          <w:tcPr>
            <w:tcW w:w="2166" w:type="dxa"/>
            <w:noWrap w:val="0"/>
            <w:vAlign w:val="top"/>
          </w:tcPr>
          <w:p w14:paraId="338AE68D">
            <w:pPr>
              <w:rPr>
                <w:rFonts w:hint="eastAsia" w:ascii="宋体" w:hAnsi="宋体" w:eastAsia="宋体" w:cs="宋体"/>
              </w:rPr>
            </w:pPr>
          </w:p>
        </w:tc>
        <w:tc>
          <w:tcPr>
            <w:tcW w:w="1469" w:type="dxa"/>
            <w:noWrap w:val="0"/>
            <w:vAlign w:val="top"/>
          </w:tcPr>
          <w:p w14:paraId="3C1181F1">
            <w:pPr>
              <w:rPr>
                <w:rFonts w:hint="eastAsia" w:ascii="宋体" w:hAnsi="宋体" w:eastAsia="宋体" w:cs="宋体"/>
              </w:rPr>
            </w:pPr>
          </w:p>
        </w:tc>
        <w:tc>
          <w:tcPr>
            <w:tcW w:w="1578" w:type="dxa"/>
            <w:noWrap w:val="0"/>
            <w:vAlign w:val="top"/>
          </w:tcPr>
          <w:p w14:paraId="569769A9">
            <w:pPr>
              <w:rPr>
                <w:rFonts w:hint="eastAsia" w:ascii="宋体" w:hAnsi="宋体" w:eastAsia="宋体" w:cs="宋体"/>
              </w:rPr>
            </w:pPr>
          </w:p>
        </w:tc>
      </w:tr>
      <w:tr w14:paraId="77F2B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002" w:type="dxa"/>
            <w:noWrap w:val="0"/>
            <w:vAlign w:val="top"/>
          </w:tcPr>
          <w:p w14:paraId="10A95FB4">
            <w:pPr>
              <w:rPr>
                <w:rFonts w:hint="eastAsia" w:ascii="宋体" w:hAnsi="宋体" w:eastAsia="宋体" w:cs="宋体"/>
              </w:rPr>
            </w:pPr>
          </w:p>
        </w:tc>
        <w:tc>
          <w:tcPr>
            <w:tcW w:w="3388" w:type="dxa"/>
            <w:noWrap w:val="0"/>
            <w:vAlign w:val="top"/>
          </w:tcPr>
          <w:p w14:paraId="13672E04">
            <w:pPr>
              <w:rPr>
                <w:rFonts w:hint="eastAsia" w:ascii="宋体" w:hAnsi="宋体" w:eastAsia="宋体" w:cs="宋体"/>
              </w:rPr>
            </w:pPr>
          </w:p>
        </w:tc>
        <w:tc>
          <w:tcPr>
            <w:tcW w:w="2166" w:type="dxa"/>
            <w:noWrap w:val="0"/>
            <w:vAlign w:val="top"/>
          </w:tcPr>
          <w:p w14:paraId="38BA7181">
            <w:pPr>
              <w:rPr>
                <w:rFonts w:hint="eastAsia" w:ascii="宋体" w:hAnsi="宋体" w:eastAsia="宋体" w:cs="宋体"/>
              </w:rPr>
            </w:pPr>
          </w:p>
        </w:tc>
        <w:tc>
          <w:tcPr>
            <w:tcW w:w="1469" w:type="dxa"/>
            <w:noWrap w:val="0"/>
            <w:vAlign w:val="top"/>
          </w:tcPr>
          <w:p w14:paraId="13874B50">
            <w:pPr>
              <w:rPr>
                <w:rFonts w:hint="eastAsia" w:ascii="宋体" w:hAnsi="宋体" w:eastAsia="宋体" w:cs="宋体"/>
              </w:rPr>
            </w:pPr>
          </w:p>
        </w:tc>
        <w:tc>
          <w:tcPr>
            <w:tcW w:w="1578" w:type="dxa"/>
            <w:noWrap w:val="0"/>
            <w:vAlign w:val="top"/>
          </w:tcPr>
          <w:p w14:paraId="67513653">
            <w:pPr>
              <w:rPr>
                <w:rFonts w:hint="eastAsia" w:ascii="宋体" w:hAnsi="宋体" w:eastAsia="宋体" w:cs="宋体"/>
              </w:rPr>
            </w:pPr>
          </w:p>
        </w:tc>
      </w:tr>
      <w:tr w14:paraId="5B2F6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002" w:type="dxa"/>
            <w:noWrap w:val="0"/>
            <w:vAlign w:val="top"/>
          </w:tcPr>
          <w:p w14:paraId="1A66A504">
            <w:pPr>
              <w:rPr>
                <w:rFonts w:hint="eastAsia" w:ascii="宋体" w:hAnsi="宋体" w:eastAsia="宋体" w:cs="宋体"/>
              </w:rPr>
            </w:pPr>
          </w:p>
        </w:tc>
        <w:tc>
          <w:tcPr>
            <w:tcW w:w="3388" w:type="dxa"/>
            <w:noWrap w:val="0"/>
            <w:vAlign w:val="top"/>
          </w:tcPr>
          <w:p w14:paraId="53A91DAF">
            <w:pPr>
              <w:rPr>
                <w:rFonts w:hint="eastAsia" w:ascii="宋体" w:hAnsi="宋体" w:eastAsia="宋体" w:cs="宋体"/>
              </w:rPr>
            </w:pPr>
          </w:p>
        </w:tc>
        <w:tc>
          <w:tcPr>
            <w:tcW w:w="2166" w:type="dxa"/>
            <w:noWrap w:val="0"/>
            <w:vAlign w:val="top"/>
          </w:tcPr>
          <w:p w14:paraId="3329793A">
            <w:pPr>
              <w:rPr>
                <w:rFonts w:hint="eastAsia" w:ascii="宋体" w:hAnsi="宋体" w:eastAsia="宋体" w:cs="宋体"/>
              </w:rPr>
            </w:pPr>
          </w:p>
        </w:tc>
        <w:tc>
          <w:tcPr>
            <w:tcW w:w="1469" w:type="dxa"/>
            <w:noWrap w:val="0"/>
            <w:vAlign w:val="top"/>
          </w:tcPr>
          <w:p w14:paraId="71834F42">
            <w:pPr>
              <w:rPr>
                <w:rFonts w:hint="eastAsia" w:ascii="宋体" w:hAnsi="宋体" w:eastAsia="宋体" w:cs="宋体"/>
              </w:rPr>
            </w:pPr>
          </w:p>
        </w:tc>
        <w:tc>
          <w:tcPr>
            <w:tcW w:w="1578" w:type="dxa"/>
            <w:noWrap w:val="0"/>
            <w:vAlign w:val="top"/>
          </w:tcPr>
          <w:p w14:paraId="1E0AC7EF">
            <w:pPr>
              <w:rPr>
                <w:rFonts w:hint="eastAsia" w:ascii="宋体" w:hAnsi="宋体" w:eastAsia="宋体" w:cs="宋体"/>
              </w:rPr>
            </w:pPr>
          </w:p>
        </w:tc>
      </w:tr>
    </w:tbl>
    <w:p w14:paraId="3A9D5692">
      <w:pPr>
        <w:spacing w:before="101" w:line="220" w:lineRule="auto"/>
        <w:ind w:left="127"/>
        <w:rPr>
          <w:rFonts w:hint="eastAsia" w:ascii="宋体" w:hAnsi="宋体" w:eastAsia="宋体" w:cs="宋体"/>
          <w:sz w:val="18"/>
          <w:szCs w:val="18"/>
        </w:rPr>
      </w:pPr>
      <w:r>
        <w:rPr>
          <w:rFonts w:hint="eastAsia" w:ascii="宋体" w:hAnsi="宋体" w:eastAsia="宋体" w:cs="宋体"/>
          <w:spacing w:val="-2"/>
          <w:sz w:val="18"/>
          <w:szCs w:val="18"/>
        </w:rPr>
        <w:t>注：表格不够，可按同</w:t>
      </w:r>
      <w:r>
        <w:rPr>
          <w:rFonts w:hint="eastAsia" w:ascii="宋体" w:hAnsi="宋体" w:eastAsia="宋体" w:cs="宋体"/>
          <w:spacing w:val="-1"/>
          <w:sz w:val="18"/>
          <w:szCs w:val="18"/>
        </w:rPr>
        <w:t>样格式扩展，并分别填写。</w:t>
      </w:r>
    </w:p>
    <w:bookmarkEnd w:id="74"/>
    <w:bookmarkEnd w:id="75"/>
    <w:p w14:paraId="08344671">
      <w:pPr>
        <w:spacing w:line="254" w:lineRule="auto"/>
        <w:rPr>
          <w:rFonts w:hint="eastAsia" w:ascii="宋体" w:hAnsi="宋体" w:eastAsia="宋体" w:cs="宋体"/>
        </w:rPr>
      </w:pPr>
    </w:p>
    <w:p w14:paraId="7379C18D">
      <w:pPr>
        <w:spacing w:line="254" w:lineRule="auto"/>
        <w:rPr>
          <w:rFonts w:hint="eastAsia" w:ascii="宋体" w:hAnsi="宋体" w:eastAsia="宋体" w:cs="宋体"/>
        </w:rPr>
      </w:pPr>
    </w:p>
    <w:p w14:paraId="6C27B1A3">
      <w:pPr>
        <w:spacing w:line="254" w:lineRule="auto"/>
        <w:rPr>
          <w:rFonts w:hint="eastAsia" w:ascii="宋体" w:hAnsi="宋体" w:eastAsia="宋体" w:cs="宋体"/>
        </w:rPr>
      </w:pPr>
    </w:p>
    <w:p w14:paraId="0AEE5E3C">
      <w:pPr>
        <w:spacing w:line="254" w:lineRule="auto"/>
        <w:rPr>
          <w:rFonts w:hint="eastAsia" w:ascii="宋体" w:hAnsi="宋体" w:eastAsia="宋体" w:cs="宋体"/>
        </w:rPr>
      </w:pPr>
    </w:p>
    <w:p w14:paraId="780CC900">
      <w:pPr>
        <w:spacing w:line="255" w:lineRule="auto"/>
        <w:rPr>
          <w:rFonts w:hint="eastAsia" w:ascii="宋体" w:hAnsi="宋体" w:eastAsia="宋体" w:cs="宋体"/>
        </w:rPr>
      </w:pPr>
    </w:p>
    <w:p w14:paraId="6E1C3D16">
      <w:pPr>
        <w:spacing w:before="78" w:line="219" w:lineRule="auto"/>
        <w:ind w:left="38"/>
        <w:rPr>
          <w:rFonts w:hint="eastAsia" w:ascii="宋体" w:hAnsi="宋体" w:eastAsia="宋体" w:cs="宋体"/>
          <w:sz w:val="24"/>
          <w:szCs w:val="24"/>
        </w:rPr>
      </w:pPr>
      <w:r>
        <w:rPr>
          <w:rFonts w:hint="eastAsia" w:ascii="宋体" w:hAnsi="宋体" w:eastAsia="宋体" w:cs="宋体"/>
          <w:spacing w:val="27"/>
          <w:sz w:val="24"/>
          <w:szCs w:val="24"/>
        </w:rPr>
        <w:t>投标人</w:t>
      </w:r>
      <w:r>
        <w:rPr>
          <w:rFonts w:hint="eastAsia" w:ascii="宋体" w:hAnsi="宋体" w:eastAsia="宋体" w:cs="宋体"/>
          <w:spacing w:val="22"/>
          <w:sz w:val="24"/>
          <w:szCs w:val="24"/>
        </w:rPr>
        <w:t>(公章)：</w:t>
      </w:r>
    </w:p>
    <w:p w14:paraId="6712CC9D">
      <w:pPr>
        <w:spacing w:line="219" w:lineRule="auto"/>
        <w:ind w:left="79"/>
        <w:rPr>
          <w:rFonts w:hint="eastAsia" w:ascii="宋体" w:hAnsi="宋体" w:eastAsia="宋体" w:cs="宋体"/>
          <w:spacing w:val="-6"/>
          <w:sz w:val="24"/>
          <w:szCs w:val="24"/>
        </w:rPr>
      </w:pPr>
    </w:p>
    <w:p w14:paraId="6048031A">
      <w:pPr>
        <w:spacing w:line="219" w:lineRule="auto"/>
        <w:ind w:left="79"/>
        <w:rPr>
          <w:rFonts w:hint="eastAsia" w:ascii="宋体" w:hAnsi="宋体" w:eastAsia="宋体" w:cs="宋体"/>
          <w:spacing w:val="-6"/>
          <w:sz w:val="24"/>
          <w:szCs w:val="24"/>
        </w:rPr>
      </w:pPr>
    </w:p>
    <w:p w14:paraId="06849FCB">
      <w:pPr>
        <w:spacing w:line="219" w:lineRule="auto"/>
        <w:ind w:left="79"/>
        <w:rPr>
          <w:rFonts w:hint="eastAsia" w:ascii="宋体" w:hAnsi="宋体" w:eastAsia="宋体" w:cs="宋体"/>
          <w:sz w:val="24"/>
          <w:szCs w:val="24"/>
        </w:rPr>
      </w:pPr>
      <w:r>
        <w:rPr>
          <w:rFonts w:hint="eastAsia" w:ascii="宋体" w:hAnsi="宋体" w:eastAsia="宋体" w:cs="宋体"/>
          <w:spacing w:val="-6"/>
          <w:sz w:val="24"/>
          <w:szCs w:val="24"/>
        </w:rPr>
        <w:t>日期：     年   月    日</w:t>
      </w:r>
    </w:p>
    <w:p w14:paraId="148A9D29">
      <w:pPr>
        <w:rPr>
          <w:rFonts w:hint="eastAsia" w:ascii="宋体" w:hAnsi="宋体" w:eastAsia="宋体" w:cs="宋体"/>
        </w:rPr>
        <w:sectPr>
          <w:headerReference r:id="rId5" w:type="default"/>
          <w:footerReference r:id="rId6" w:type="default"/>
          <w:pgSz w:w="11907" w:h="16841"/>
          <w:pgMar w:top="1440" w:right="1080" w:bottom="1440" w:left="1080" w:header="877" w:footer="842" w:gutter="0"/>
          <w:cols w:space="720" w:num="1"/>
        </w:sectPr>
      </w:pPr>
    </w:p>
    <w:p w14:paraId="56D91797">
      <w:pPr>
        <w:spacing w:before="50" w:line="219" w:lineRule="auto"/>
        <w:rPr>
          <w:rFonts w:hint="eastAsia" w:ascii="宋体" w:hAnsi="宋体" w:eastAsia="宋体" w:cs="宋体"/>
          <w:b/>
          <w:bCs/>
          <w:sz w:val="24"/>
          <w:szCs w:val="24"/>
        </w:rPr>
      </w:pPr>
      <w:bookmarkStart w:id="76" w:name="OLE_LINK54"/>
      <w:bookmarkStart w:id="77" w:name="OLE_LINK55"/>
      <w:r>
        <w:rPr>
          <w:rFonts w:hint="eastAsia" w:ascii="宋体" w:hAnsi="宋体" w:eastAsia="宋体" w:cs="宋体"/>
          <w:b/>
          <w:bCs/>
          <w:sz w:val="24"/>
          <w:szCs w:val="24"/>
        </w:rPr>
        <w:t>附件5：投标人基本情况表</w:t>
      </w:r>
    </w:p>
    <w:bookmarkEnd w:id="76"/>
    <w:bookmarkEnd w:id="77"/>
    <w:p w14:paraId="0E6A26A7">
      <w:pPr>
        <w:spacing w:before="154" w:line="344" w:lineRule="exact"/>
        <w:ind w:left="3977"/>
        <w:rPr>
          <w:rFonts w:hint="eastAsia" w:ascii="宋体" w:hAnsi="宋体" w:eastAsia="宋体" w:cs="宋体"/>
          <w:b/>
          <w:sz w:val="36"/>
          <w:szCs w:val="36"/>
        </w:rPr>
      </w:pPr>
      <w:r>
        <w:rPr>
          <w:rFonts w:hint="eastAsia" w:ascii="宋体" w:hAnsi="宋体" w:eastAsia="宋体" w:cs="宋体"/>
          <w:b/>
          <w:sz w:val="36"/>
          <w:szCs w:val="36"/>
        </w:rPr>
        <w:t>投标人基本情况表</w:t>
      </w:r>
    </w:p>
    <w:p w14:paraId="67500A4A">
      <w:pPr>
        <w:pStyle w:val="2"/>
        <w:ind w:firstLine="420"/>
        <w:rPr>
          <w:rFonts w:hint="eastAsia" w:ascii="宋体" w:hAnsi="宋体" w:eastAsia="宋体" w:cs="宋体"/>
        </w:rPr>
      </w:pPr>
    </w:p>
    <w:tbl>
      <w:tblPr>
        <w:tblStyle w:val="14"/>
        <w:tblW w:w="9248"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1435"/>
        <w:gridCol w:w="1422"/>
        <w:gridCol w:w="1430"/>
        <w:gridCol w:w="1533"/>
        <w:gridCol w:w="307"/>
        <w:gridCol w:w="1576"/>
      </w:tblGrid>
      <w:tr w14:paraId="0219F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45" w:type="dxa"/>
            <w:noWrap w:val="0"/>
            <w:vAlign w:val="top"/>
          </w:tcPr>
          <w:p w14:paraId="74D695EA">
            <w:pPr>
              <w:spacing w:before="192" w:line="220" w:lineRule="auto"/>
              <w:ind w:left="252"/>
              <w:rPr>
                <w:rFonts w:hint="eastAsia" w:ascii="宋体" w:hAnsi="宋体" w:eastAsia="宋体" w:cs="宋体"/>
                <w:szCs w:val="21"/>
              </w:rPr>
            </w:pPr>
            <w:r>
              <w:rPr>
                <w:rFonts w:hint="eastAsia" w:ascii="宋体" w:hAnsi="宋体" w:eastAsia="宋体" w:cs="宋体"/>
                <w:spacing w:val="-1"/>
                <w:szCs w:val="21"/>
              </w:rPr>
              <w:t>供应商名称</w:t>
            </w:r>
          </w:p>
        </w:tc>
        <w:tc>
          <w:tcPr>
            <w:tcW w:w="7703" w:type="dxa"/>
            <w:gridSpan w:val="6"/>
            <w:noWrap w:val="0"/>
            <w:vAlign w:val="top"/>
          </w:tcPr>
          <w:p w14:paraId="2DEB505F">
            <w:pPr>
              <w:rPr>
                <w:rFonts w:hint="eastAsia" w:ascii="宋体" w:hAnsi="宋体" w:eastAsia="宋体" w:cs="宋体"/>
              </w:rPr>
            </w:pPr>
          </w:p>
        </w:tc>
      </w:tr>
      <w:tr w14:paraId="10B99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45" w:type="dxa"/>
            <w:noWrap w:val="0"/>
            <w:vAlign w:val="top"/>
          </w:tcPr>
          <w:p w14:paraId="02F88013">
            <w:pPr>
              <w:spacing w:before="235" w:line="221" w:lineRule="auto"/>
              <w:ind w:left="253"/>
              <w:rPr>
                <w:rFonts w:hint="eastAsia" w:ascii="宋体" w:hAnsi="宋体" w:eastAsia="宋体" w:cs="宋体"/>
                <w:szCs w:val="21"/>
              </w:rPr>
            </w:pPr>
            <w:r>
              <w:rPr>
                <w:rFonts w:hint="eastAsia" w:ascii="宋体" w:hAnsi="宋体" w:eastAsia="宋体" w:cs="宋体"/>
                <w:spacing w:val="-2"/>
                <w:szCs w:val="21"/>
              </w:rPr>
              <w:t>法</w:t>
            </w:r>
            <w:r>
              <w:rPr>
                <w:rFonts w:hint="eastAsia" w:ascii="宋体" w:hAnsi="宋体" w:eastAsia="宋体" w:cs="宋体"/>
                <w:spacing w:val="-1"/>
                <w:szCs w:val="21"/>
              </w:rPr>
              <w:t>定代表人</w:t>
            </w:r>
          </w:p>
        </w:tc>
        <w:tc>
          <w:tcPr>
            <w:tcW w:w="1435" w:type="dxa"/>
            <w:noWrap w:val="0"/>
            <w:vAlign w:val="top"/>
          </w:tcPr>
          <w:p w14:paraId="7CE21B52">
            <w:pPr>
              <w:rPr>
                <w:rFonts w:hint="eastAsia" w:ascii="宋体" w:hAnsi="宋体" w:eastAsia="宋体" w:cs="宋体"/>
              </w:rPr>
            </w:pPr>
          </w:p>
        </w:tc>
        <w:tc>
          <w:tcPr>
            <w:tcW w:w="1422" w:type="dxa"/>
            <w:noWrap w:val="0"/>
            <w:vAlign w:val="top"/>
          </w:tcPr>
          <w:p w14:paraId="0083E5B0">
            <w:pPr>
              <w:spacing w:before="235" w:line="221" w:lineRule="auto"/>
              <w:ind w:left="188"/>
              <w:rPr>
                <w:rFonts w:hint="eastAsia" w:ascii="宋体" w:hAnsi="宋体" w:eastAsia="宋体" w:cs="宋体"/>
                <w:szCs w:val="21"/>
              </w:rPr>
            </w:pPr>
            <w:r>
              <w:rPr>
                <w:rFonts w:hint="eastAsia" w:ascii="宋体" w:hAnsi="宋体" w:eastAsia="宋体" w:cs="宋体"/>
                <w:spacing w:val="-1"/>
                <w:szCs w:val="21"/>
              </w:rPr>
              <w:t>授权代表</w:t>
            </w:r>
            <w:r>
              <w:rPr>
                <w:rFonts w:hint="eastAsia" w:ascii="宋体" w:hAnsi="宋体" w:eastAsia="宋体" w:cs="宋体"/>
                <w:szCs w:val="21"/>
              </w:rPr>
              <w:t>人</w:t>
            </w:r>
          </w:p>
        </w:tc>
        <w:tc>
          <w:tcPr>
            <w:tcW w:w="1430" w:type="dxa"/>
            <w:noWrap w:val="0"/>
            <w:vAlign w:val="top"/>
          </w:tcPr>
          <w:p w14:paraId="21C17933">
            <w:pPr>
              <w:spacing w:line="283" w:lineRule="auto"/>
              <w:rPr>
                <w:rFonts w:hint="eastAsia" w:ascii="宋体" w:hAnsi="宋体" w:eastAsia="宋体" w:cs="宋体"/>
              </w:rPr>
            </w:pPr>
          </w:p>
          <w:p w14:paraId="3A5553BC">
            <w:pPr>
              <w:spacing w:before="26" w:line="133" w:lineRule="exact"/>
              <w:ind w:left="508"/>
              <w:rPr>
                <w:rFonts w:hint="eastAsia" w:ascii="宋体" w:hAnsi="宋体" w:eastAsia="宋体" w:cs="宋体"/>
                <w:sz w:val="8"/>
                <w:szCs w:val="8"/>
              </w:rPr>
            </w:pPr>
          </w:p>
        </w:tc>
        <w:tc>
          <w:tcPr>
            <w:tcW w:w="1533" w:type="dxa"/>
            <w:noWrap w:val="0"/>
            <w:vAlign w:val="top"/>
          </w:tcPr>
          <w:p w14:paraId="59B8209E">
            <w:pPr>
              <w:spacing w:before="76" w:line="250" w:lineRule="auto"/>
              <w:ind w:left="354" w:right="142" w:hanging="202"/>
              <w:rPr>
                <w:rFonts w:hint="eastAsia" w:ascii="宋体" w:hAnsi="宋体" w:eastAsia="宋体" w:cs="宋体"/>
                <w:szCs w:val="21"/>
              </w:rPr>
            </w:pPr>
            <w:r>
              <w:rPr>
                <w:rFonts w:hint="eastAsia" w:ascii="宋体" w:hAnsi="宋体" w:eastAsia="宋体" w:cs="宋体"/>
                <w:spacing w:val="13"/>
                <w:szCs w:val="21"/>
              </w:rPr>
              <w:t>营业(经营)</w:t>
            </w:r>
            <w:r>
              <w:rPr>
                <w:rFonts w:hint="eastAsia" w:ascii="宋体" w:hAnsi="宋体" w:eastAsia="宋体" w:cs="宋体"/>
                <w:szCs w:val="21"/>
              </w:rPr>
              <w:t xml:space="preserve"> </w:t>
            </w:r>
            <w:r>
              <w:rPr>
                <w:rFonts w:hint="eastAsia" w:ascii="宋体" w:hAnsi="宋体" w:eastAsia="宋体" w:cs="宋体"/>
                <w:spacing w:val="-2"/>
                <w:szCs w:val="21"/>
              </w:rPr>
              <w:t>执</w:t>
            </w:r>
            <w:r>
              <w:rPr>
                <w:rFonts w:hint="eastAsia" w:ascii="宋体" w:hAnsi="宋体" w:eastAsia="宋体" w:cs="宋体"/>
                <w:spacing w:val="-1"/>
                <w:szCs w:val="21"/>
              </w:rPr>
              <w:t>照号码</w:t>
            </w:r>
          </w:p>
        </w:tc>
        <w:tc>
          <w:tcPr>
            <w:tcW w:w="1883" w:type="dxa"/>
            <w:gridSpan w:val="2"/>
            <w:noWrap w:val="0"/>
            <w:vAlign w:val="top"/>
          </w:tcPr>
          <w:p w14:paraId="1D2EC386">
            <w:pPr>
              <w:rPr>
                <w:rFonts w:hint="eastAsia" w:ascii="宋体" w:hAnsi="宋体" w:eastAsia="宋体" w:cs="宋体"/>
              </w:rPr>
            </w:pPr>
          </w:p>
        </w:tc>
      </w:tr>
      <w:tr w14:paraId="58FC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noWrap w:val="0"/>
            <w:vAlign w:val="top"/>
          </w:tcPr>
          <w:p w14:paraId="60721EAA">
            <w:pPr>
              <w:spacing w:before="188" w:line="221" w:lineRule="auto"/>
              <w:ind w:left="359"/>
              <w:rPr>
                <w:rFonts w:hint="eastAsia" w:ascii="宋体" w:hAnsi="宋体" w:eastAsia="宋体" w:cs="宋体"/>
                <w:szCs w:val="21"/>
              </w:rPr>
            </w:pPr>
            <w:r>
              <w:rPr>
                <w:rFonts w:hint="eastAsia" w:ascii="宋体" w:hAnsi="宋体" w:eastAsia="宋体" w:cs="宋体"/>
                <w:spacing w:val="-2"/>
                <w:szCs w:val="21"/>
              </w:rPr>
              <w:t>职工</w:t>
            </w:r>
            <w:r>
              <w:rPr>
                <w:rFonts w:hint="eastAsia" w:ascii="宋体" w:hAnsi="宋体" w:eastAsia="宋体" w:cs="宋体"/>
                <w:spacing w:val="-1"/>
                <w:szCs w:val="21"/>
              </w:rPr>
              <w:t>人数</w:t>
            </w:r>
          </w:p>
        </w:tc>
        <w:tc>
          <w:tcPr>
            <w:tcW w:w="1435" w:type="dxa"/>
            <w:noWrap w:val="0"/>
            <w:vAlign w:val="top"/>
          </w:tcPr>
          <w:p w14:paraId="2DFD4E6D">
            <w:pPr>
              <w:rPr>
                <w:rFonts w:hint="eastAsia" w:ascii="宋体" w:hAnsi="宋体" w:eastAsia="宋体" w:cs="宋体"/>
              </w:rPr>
            </w:pPr>
          </w:p>
        </w:tc>
        <w:tc>
          <w:tcPr>
            <w:tcW w:w="1422" w:type="dxa"/>
            <w:noWrap w:val="0"/>
            <w:vAlign w:val="top"/>
          </w:tcPr>
          <w:p w14:paraId="0C71FA55">
            <w:pPr>
              <w:spacing w:before="188" w:line="222" w:lineRule="auto"/>
              <w:ind w:left="294"/>
              <w:rPr>
                <w:rFonts w:hint="eastAsia" w:ascii="宋体" w:hAnsi="宋体" w:eastAsia="宋体" w:cs="宋体"/>
                <w:szCs w:val="21"/>
              </w:rPr>
            </w:pPr>
            <w:r>
              <w:rPr>
                <w:rFonts w:hint="eastAsia" w:ascii="宋体" w:hAnsi="宋体" w:eastAsia="宋体" w:cs="宋体"/>
                <w:spacing w:val="-2"/>
                <w:szCs w:val="21"/>
              </w:rPr>
              <w:t>注</w:t>
            </w:r>
            <w:r>
              <w:rPr>
                <w:rFonts w:hint="eastAsia" w:ascii="宋体" w:hAnsi="宋体" w:eastAsia="宋体" w:cs="宋体"/>
                <w:spacing w:val="-1"/>
                <w:szCs w:val="21"/>
              </w:rPr>
              <w:t>册时间</w:t>
            </w:r>
          </w:p>
        </w:tc>
        <w:tc>
          <w:tcPr>
            <w:tcW w:w="1430" w:type="dxa"/>
            <w:noWrap w:val="0"/>
            <w:vAlign w:val="top"/>
          </w:tcPr>
          <w:p w14:paraId="2D0CAA80">
            <w:pPr>
              <w:rPr>
                <w:rFonts w:hint="eastAsia" w:ascii="宋体" w:hAnsi="宋体" w:eastAsia="宋体" w:cs="宋体"/>
              </w:rPr>
            </w:pPr>
          </w:p>
        </w:tc>
        <w:tc>
          <w:tcPr>
            <w:tcW w:w="1533" w:type="dxa"/>
            <w:noWrap w:val="0"/>
            <w:vAlign w:val="top"/>
          </w:tcPr>
          <w:p w14:paraId="47963BD7">
            <w:pPr>
              <w:spacing w:before="188" w:line="222" w:lineRule="auto"/>
              <w:ind w:left="301"/>
              <w:rPr>
                <w:rFonts w:hint="eastAsia" w:ascii="宋体" w:hAnsi="宋体" w:eastAsia="宋体" w:cs="宋体"/>
                <w:szCs w:val="21"/>
              </w:rPr>
            </w:pPr>
            <w:r>
              <w:rPr>
                <w:rFonts w:hint="eastAsia" w:ascii="宋体" w:hAnsi="宋体" w:eastAsia="宋体" w:cs="宋体"/>
                <w:spacing w:val="-2"/>
                <w:szCs w:val="21"/>
              </w:rPr>
              <w:t>注</w:t>
            </w:r>
            <w:r>
              <w:rPr>
                <w:rFonts w:hint="eastAsia" w:ascii="宋体" w:hAnsi="宋体" w:eastAsia="宋体" w:cs="宋体"/>
                <w:spacing w:val="-1"/>
                <w:szCs w:val="21"/>
              </w:rPr>
              <w:t>册资金</w:t>
            </w:r>
          </w:p>
        </w:tc>
        <w:tc>
          <w:tcPr>
            <w:tcW w:w="1883" w:type="dxa"/>
            <w:gridSpan w:val="2"/>
            <w:noWrap w:val="0"/>
            <w:vAlign w:val="top"/>
          </w:tcPr>
          <w:p w14:paraId="0C51C59B">
            <w:pPr>
              <w:spacing w:before="188" w:line="221" w:lineRule="auto"/>
              <w:ind w:left="752"/>
              <w:rPr>
                <w:rFonts w:hint="eastAsia" w:ascii="宋体" w:hAnsi="宋体" w:eastAsia="宋体" w:cs="宋体"/>
                <w:szCs w:val="21"/>
              </w:rPr>
            </w:pPr>
            <w:r>
              <w:rPr>
                <w:rFonts w:hint="eastAsia" w:ascii="宋体" w:hAnsi="宋体" w:eastAsia="宋体" w:cs="宋体"/>
                <w:spacing w:val="-4"/>
                <w:szCs w:val="21"/>
              </w:rPr>
              <w:t>万</w:t>
            </w:r>
            <w:r>
              <w:rPr>
                <w:rFonts w:hint="eastAsia" w:ascii="宋体" w:hAnsi="宋体" w:eastAsia="宋体" w:cs="宋体"/>
                <w:spacing w:val="-2"/>
                <w:szCs w:val="21"/>
              </w:rPr>
              <w:t>元</w:t>
            </w:r>
          </w:p>
        </w:tc>
      </w:tr>
      <w:tr w14:paraId="3A39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noWrap w:val="0"/>
            <w:vAlign w:val="top"/>
          </w:tcPr>
          <w:p w14:paraId="472A0CFB">
            <w:pPr>
              <w:spacing w:before="188" w:line="230" w:lineRule="auto"/>
              <w:ind w:left="411"/>
              <w:rPr>
                <w:rFonts w:hint="eastAsia" w:ascii="宋体" w:hAnsi="宋体" w:eastAsia="宋体" w:cs="宋体"/>
                <w:szCs w:val="21"/>
              </w:rPr>
            </w:pPr>
            <w:r>
              <w:rPr>
                <w:rFonts w:hint="eastAsia" w:ascii="宋体" w:hAnsi="宋体" w:eastAsia="宋体" w:cs="宋体"/>
                <w:spacing w:val="1"/>
                <w:szCs w:val="21"/>
              </w:rPr>
              <w:t>地</w:t>
            </w:r>
            <w:r>
              <w:rPr>
                <w:rFonts w:hint="eastAsia" w:ascii="宋体" w:hAnsi="宋体" w:eastAsia="宋体" w:cs="宋体"/>
                <w:szCs w:val="21"/>
              </w:rPr>
              <w:t xml:space="preserve">   址</w:t>
            </w:r>
          </w:p>
        </w:tc>
        <w:tc>
          <w:tcPr>
            <w:tcW w:w="7703" w:type="dxa"/>
            <w:gridSpan w:val="6"/>
            <w:noWrap w:val="0"/>
            <w:vAlign w:val="top"/>
          </w:tcPr>
          <w:p w14:paraId="6AEECAF5">
            <w:pPr>
              <w:rPr>
                <w:rFonts w:hint="eastAsia" w:ascii="宋体" w:hAnsi="宋体" w:eastAsia="宋体" w:cs="宋体"/>
              </w:rPr>
            </w:pPr>
          </w:p>
        </w:tc>
      </w:tr>
      <w:tr w14:paraId="6E2CD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45" w:type="dxa"/>
            <w:vMerge w:val="restart"/>
            <w:tcBorders>
              <w:bottom w:val="nil"/>
            </w:tcBorders>
            <w:noWrap w:val="0"/>
            <w:vAlign w:val="top"/>
          </w:tcPr>
          <w:p w14:paraId="0A82400E">
            <w:pPr>
              <w:spacing w:line="277" w:lineRule="auto"/>
              <w:rPr>
                <w:rFonts w:hint="eastAsia" w:ascii="宋体" w:hAnsi="宋体" w:eastAsia="宋体" w:cs="宋体"/>
              </w:rPr>
            </w:pPr>
          </w:p>
          <w:p w14:paraId="2777EF40">
            <w:pPr>
              <w:spacing w:line="277" w:lineRule="auto"/>
              <w:rPr>
                <w:rFonts w:hint="eastAsia" w:ascii="宋体" w:hAnsi="宋体" w:eastAsia="宋体" w:cs="宋体"/>
              </w:rPr>
            </w:pPr>
          </w:p>
          <w:p w14:paraId="659A7B74">
            <w:pPr>
              <w:spacing w:line="277" w:lineRule="auto"/>
              <w:rPr>
                <w:rFonts w:hint="eastAsia" w:ascii="宋体" w:hAnsi="宋体" w:eastAsia="宋体" w:cs="宋体"/>
              </w:rPr>
            </w:pPr>
          </w:p>
          <w:p w14:paraId="62AB26AD">
            <w:pPr>
              <w:spacing w:line="277" w:lineRule="auto"/>
              <w:rPr>
                <w:rFonts w:hint="eastAsia" w:ascii="宋体" w:hAnsi="宋体" w:eastAsia="宋体" w:cs="宋体"/>
              </w:rPr>
            </w:pPr>
          </w:p>
          <w:p w14:paraId="25D57C03">
            <w:pPr>
              <w:spacing w:before="68" w:line="322" w:lineRule="exact"/>
              <w:ind w:left="358"/>
              <w:rPr>
                <w:rFonts w:hint="eastAsia" w:ascii="宋体" w:hAnsi="宋体" w:eastAsia="宋体" w:cs="宋体"/>
                <w:szCs w:val="21"/>
              </w:rPr>
            </w:pPr>
            <w:r>
              <w:rPr>
                <w:rFonts w:hint="eastAsia" w:ascii="宋体" w:hAnsi="宋体" w:eastAsia="宋体" w:cs="宋体"/>
                <w:spacing w:val="-2"/>
                <w:position w:val="8"/>
                <w:szCs w:val="21"/>
              </w:rPr>
              <w:t>所</w:t>
            </w:r>
            <w:r>
              <w:rPr>
                <w:rFonts w:hint="eastAsia" w:ascii="宋体" w:hAnsi="宋体" w:eastAsia="宋体" w:cs="宋体"/>
                <w:spacing w:val="-1"/>
                <w:position w:val="8"/>
                <w:szCs w:val="21"/>
              </w:rPr>
              <w:t>获资质</w:t>
            </w:r>
          </w:p>
          <w:p w14:paraId="37E40ABA">
            <w:pPr>
              <w:spacing w:line="222" w:lineRule="auto"/>
              <w:ind w:left="466"/>
              <w:rPr>
                <w:rFonts w:hint="eastAsia" w:ascii="宋体" w:hAnsi="宋体" w:eastAsia="宋体" w:cs="宋体"/>
                <w:szCs w:val="21"/>
              </w:rPr>
            </w:pPr>
            <w:r>
              <w:rPr>
                <w:rFonts w:hint="eastAsia" w:ascii="宋体" w:hAnsi="宋体" w:eastAsia="宋体" w:cs="宋体"/>
                <w:spacing w:val="-2"/>
                <w:szCs w:val="21"/>
              </w:rPr>
              <w:t>或认</w:t>
            </w:r>
            <w:r>
              <w:rPr>
                <w:rFonts w:hint="eastAsia" w:ascii="宋体" w:hAnsi="宋体" w:eastAsia="宋体" w:cs="宋体"/>
                <w:spacing w:val="-1"/>
                <w:szCs w:val="21"/>
              </w:rPr>
              <w:t>证</w:t>
            </w:r>
          </w:p>
        </w:tc>
        <w:tc>
          <w:tcPr>
            <w:tcW w:w="1435" w:type="dxa"/>
            <w:noWrap w:val="0"/>
            <w:vAlign w:val="top"/>
          </w:tcPr>
          <w:p w14:paraId="08BCE2D0">
            <w:pPr>
              <w:spacing w:before="76" w:line="249" w:lineRule="auto"/>
              <w:ind w:left="197" w:right="188" w:hanging="2"/>
              <w:rPr>
                <w:rFonts w:hint="eastAsia" w:ascii="宋体" w:hAnsi="宋体" w:eastAsia="宋体" w:cs="宋体"/>
                <w:szCs w:val="21"/>
              </w:rPr>
            </w:pPr>
            <w:r>
              <w:rPr>
                <w:rFonts w:hint="eastAsia" w:ascii="宋体" w:hAnsi="宋体" w:eastAsia="宋体" w:cs="宋体"/>
                <w:spacing w:val="-1"/>
                <w:szCs w:val="21"/>
              </w:rPr>
              <w:t>证书或证件</w:t>
            </w:r>
            <w:r>
              <w:rPr>
                <w:rFonts w:hint="eastAsia" w:ascii="宋体" w:hAnsi="宋体" w:eastAsia="宋体" w:cs="宋体"/>
                <w:szCs w:val="21"/>
              </w:rPr>
              <w:t xml:space="preserve"> </w:t>
            </w:r>
            <w:r>
              <w:rPr>
                <w:rFonts w:hint="eastAsia" w:ascii="宋体" w:hAnsi="宋体" w:eastAsia="宋体" w:cs="宋体"/>
                <w:spacing w:val="-2"/>
                <w:szCs w:val="21"/>
              </w:rPr>
              <w:t>名称及</w:t>
            </w:r>
            <w:r>
              <w:rPr>
                <w:rFonts w:hint="eastAsia" w:ascii="宋体" w:hAnsi="宋体" w:eastAsia="宋体" w:cs="宋体"/>
                <w:spacing w:val="-1"/>
                <w:szCs w:val="21"/>
              </w:rPr>
              <w:t>等级</w:t>
            </w:r>
          </w:p>
        </w:tc>
        <w:tc>
          <w:tcPr>
            <w:tcW w:w="2852" w:type="dxa"/>
            <w:gridSpan w:val="2"/>
            <w:noWrap w:val="0"/>
            <w:vAlign w:val="top"/>
          </w:tcPr>
          <w:p w14:paraId="52103AB0">
            <w:pPr>
              <w:spacing w:before="234" w:line="221" w:lineRule="auto"/>
              <w:ind w:left="1010"/>
              <w:rPr>
                <w:rFonts w:hint="eastAsia" w:ascii="宋体" w:hAnsi="宋体" w:eastAsia="宋体" w:cs="宋体"/>
                <w:szCs w:val="21"/>
              </w:rPr>
            </w:pPr>
            <w:r>
              <w:rPr>
                <w:rFonts w:hint="eastAsia" w:ascii="宋体" w:hAnsi="宋体" w:eastAsia="宋体" w:cs="宋体"/>
                <w:spacing w:val="-2"/>
                <w:szCs w:val="21"/>
              </w:rPr>
              <w:t>颁</w:t>
            </w:r>
            <w:r>
              <w:rPr>
                <w:rFonts w:hint="eastAsia" w:ascii="宋体" w:hAnsi="宋体" w:eastAsia="宋体" w:cs="宋体"/>
                <w:spacing w:val="-1"/>
                <w:szCs w:val="21"/>
              </w:rPr>
              <w:t>发部门</w:t>
            </w:r>
          </w:p>
        </w:tc>
        <w:tc>
          <w:tcPr>
            <w:tcW w:w="1840" w:type="dxa"/>
            <w:gridSpan w:val="2"/>
            <w:noWrap w:val="0"/>
            <w:vAlign w:val="top"/>
          </w:tcPr>
          <w:p w14:paraId="2589E297">
            <w:pPr>
              <w:spacing w:before="235" w:line="221" w:lineRule="auto"/>
              <w:ind w:left="508"/>
              <w:rPr>
                <w:rFonts w:hint="eastAsia" w:ascii="宋体" w:hAnsi="宋体" w:eastAsia="宋体" w:cs="宋体"/>
                <w:szCs w:val="21"/>
              </w:rPr>
            </w:pPr>
            <w:r>
              <w:rPr>
                <w:rFonts w:hint="eastAsia" w:ascii="宋体" w:hAnsi="宋体" w:eastAsia="宋体" w:cs="宋体"/>
                <w:spacing w:val="-2"/>
                <w:szCs w:val="21"/>
              </w:rPr>
              <w:t>颁</w:t>
            </w:r>
            <w:r>
              <w:rPr>
                <w:rFonts w:hint="eastAsia" w:ascii="宋体" w:hAnsi="宋体" w:eastAsia="宋体" w:cs="宋体"/>
                <w:spacing w:val="-1"/>
                <w:szCs w:val="21"/>
              </w:rPr>
              <w:t>发时间</w:t>
            </w:r>
          </w:p>
        </w:tc>
        <w:tc>
          <w:tcPr>
            <w:tcW w:w="1576" w:type="dxa"/>
            <w:noWrap w:val="0"/>
            <w:vAlign w:val="top"/>
          </w:tcPr>
          <w:p w14:paraId="4C549623">
            <w:pPr>
              <w:spacing w:before="235" w:line="221" w:lineRule="auto"/>
              <w:ind w:left="481"/>
              <w:rPr>
                <w:rFonts w:hint="eastAsia" w:ascii="宋体" w:hAnsi="宋体" w:eastAsia="宋体" w:cs="宋体"/>
                <w:szCs w:val="21"/>
              </w:rPr>
            </w:pPr>
            <w:r>
              <w:rPr>
                <w:rFonts w:hint="eastAsia" w:ascii="宋体" w:hAnsi="宋体" w:eastAsia="宋体" w:cs="宋体"/>
                <w:spacing w:val="-2"/>
                <w:szCs w:val="21"/>
              </w:rPr>
              <w:t>有</w:t>
            </w:r>
            <w:r>
              <w:rPr>
                <w:rFonts w:hint="eastAsia" w:ascii="宋体" w:hAnsi="宋体" w:eastAsia="宋体" w:cs="宋体"/>
                <w:spacing w:val="-1"/>
                <w:szCs w:val="21"/>
              </w:rPr>
              <w:t>效期</w:t>
            </w:r>
          </w:p>
        </w:tc>
      </w:tr>
      <w:tr w14:paraId="10D83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vMerge w:val="continue"/>
            <w:tcBorders>
              <w:top w:val="nil"/>
              <w:bottom w:val="nil"/>
            </w:tcBorders>
            <w:noWrap w:val="0"/>
            <w:vAlign w:val="top"/>
          </w:tcPr>
          <w:p w14:paraId="75C34878">
            <w:pPr>
              <w:rPr>
                <w:rFonts w:hint="eastAsia" w:ascii="宋体" w:hAnsi="宋体" w:eastAsia="宋体" w:cs="宋体"/>
              </w:rPr>
            </w:pPr>
          </w:p>
        </w:tc>
        <w:tc>
          <w:tcPr>
            <w:tcW w:w="1435" w:type="dxa"/>
            <w:noWrap w:val="0"/>
            <w:vAlign w:val="top"/>
          </w:tcPr>
          <w:p w14:paraId="36D0E008">
            <w:pPr>
              <w:rPr>
                <w:rFonts w:hint="eastAsia" w:ascii="宋体" w:hAnsi="宋体" w:eastAsia="宋体" w:cs="宋体"/>
              </w:rPr>
            </w:pPr>
          </w:p>
        </w:tc>
        <w:tc>
          <w:tcPr>
            <w:tcW w:w="2852" w:type="dxa"/>
            <w:gridSpan w:val="2"/>
            <w:noWrap w:val="0"/>
            <w:vAlign w:val="top"/>
          </w:tcPr>
          <w:p w14:paraId="1150A785">
            <w:pPr>
              <w:rPr>
                <w:rFonts w:hint="eastAsia" w:ascii="宋体" w:hAnsi="宋体" w:eastAsia="宋体" w:cs="宋体"/>
              </w:rPr>
            </w:pPr>
          </w:p>
        </w:tc>
        <w:tc>
          <w:tcPr>
            <w:tcW w:w="1840" w:type="dxa"/>
            <w:gridSpan w:val="2"/>
            <w:noWrap w:val="0"/>
            <w:vAlign w:val="top"/>
          </w:tcPr>
          <w:p w14:paraId="120B8195">
            <w:pPr>
              <w:rPr>
                <w:rFonts w:hint="eastAsia" w:ascii="宋体" w:hAnsi="宋体" w:eastAsia="宋体" w:cs="宋体"/>
              </w:rPr>
            </w:pPr>
          </w:p>
        </w:tc>
        <w:tc>
          <w:tcPr>
            <w:tcW w:w="1576" w:type="dxa"/>
            <w:noWrap w:val="0"/>
            <w:vAlign w:val="top"/>
          </w:tcPr>
          <w:p w14:paraId="10553887">
            <w:pPr>
              <w:rPr>
                <w:rFonts w:hint="eastAsia" w:ascii="宋体" w:hAnsi="宋体" w:eastAsia="宋体" w:cs="宋体"/>
              </w:rPr>
            </w:pPr>
          </w:p>
        </w:tc>
      </w:tr>
      <w:tr w14:paraId="2BD02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vMerge w:val="continue"/>
            <w:tcBorders>
              <w:top w:val="nil"/>
              <w:bottom w:val="nil"/>
            </w:tcBorders>
            <w:noWrap w:val="0"/>
            <w:vAlign w:val="top"/>
          </w:tcPr>
          <w:p w14:paraId="3A57C0B8">
            <w:pPr>
              <w:rPr>
                <w:rFonts w:hint="eastAsia" w:ascii="宋体" w:hAnsi="宋体" w:eastAsia="宋体" w:cs="宋体"/>
              </w:rPr>
            </w:pPr>
          </w:p>
        </w:tc>
        <w:tc>
          <w:tcPr>
            <w:tcW w:w="1435" w:type="dxa"/>
            <w:noWrap w:val="0"/>
            <w:vAlign w:val="top"/>
          </w:tcPr>
          <w:p w14:paraId="419F0E06">
            <w:pPr>
              <w:rPr>
                <w:rFonts w:hint="eastAsia" w:ascii="宋体" w:hAnsi="宋体" w:eastAsia="宋体" w:cs="宋体"/>
              </w:rPr>
            </w:pPr>
          </w:p>
        </w:tc>
        <w:tc>
          <w:tcPr>
            <w:tcW w:w="2852" w:type="dxa"/>
            <w:gridSpan w:val="2"/>
            <w:noWrap w:val="0"/>
            <w:vAlign w:val="top"/>
          </w:tcPr>
          <w:p w14:paraId="4C4BD037">
            <w:pPr>
              <w:rPr>
                <w:rFonts w:hint="eastAsia" w:ascii="宋体" w:hAnsi="宋体" w:eastAsia="宋体" w:cs="宋体"/>
              </w:rPr>
            </w:pPr>
          </w:p>
        </w:tc>
        <w:tc>
          <w:tcPr>
            <w:tcW w:w="1840" w:type="dxa"/>
            <w:gridSpan w:val="2"/>
            <w:noWrap w:val="0"/>
            <w:vAlign w:val="top"/>
          </w:tcPr>
          <w:p w14:paraId="7F2E3D69">
            <w:pPr>
              <w:rPr>
                <w:rFonts w:hint="eastAsia" w:ascii="宋体" w:hAnsi="宋体" w:eastAsia="宋体" w:cs="宋体"/>
              </w:rPr>
            </w:pPr>
          </w:p>
        </w:tc>
        <w:tc>
          <w:tcPr>
            <w:tcW w:w="1576" w:type="dxa"/>
            <w:noWrap w:val="0"/>
            <w:vAlign w:val="top"/>
          </w:tcPr>
          <w:p w14:paraId="3FD85596">
            <w:pPr>
              <w:rPr>
                <w:rFonts w:hint="eastAsia" w:ascii="宋体" w:hAnsi="宋体" w:eastAsia="宋体" w:cs="宋体"/>
              </w:rPr>
            </w:pPr>
          </w:p>
        </w:tc>
      </w:tr>
      <w:tr w14:paraId="7D05B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vMerge w:val="continue"/>
            <w:tcBorders>
              <w:top w:val="nil"/>
              <w:bottom w:val="nil"/>
            </w:tcBorders>
            <w:noWrap w:val="0"/>
            <w:vAlign w:val="top"/>
          </w:tcPr>
          <w:p w14:paraId="1DFC5355">
            <w:pPr>
              <w:rPr>
                <w:rFonts w:hint="eastAsia" w:ascii="宋体" w:hAnsi="宋体" w:eastAsia="宋体" w:cs="宋体"/>
              </w:rPr>
            </w:pPr>
          </w:p>
        </w:tc>
        <w:tc>
          <w:tcPr>
            <w:tcW w:w="1435" w:type="dxa"/>
            <w:noWrap w:val="0"/>
            <w:vAlign w:val="top"/>
          </w:tcPr>
          <w:p w14:paraId="1C15903B">
            <w:pPr>
              <w:rPr>
                <w:rFonts w:hint="eastAsia" w:ascii="宋体" w:hAnsi="宋体" w:eastAsia="宋体" w:cs="宋体"/>
              </w:rPr>
            </w:pPr>
          </w:p>
        </w:tc>
        <w:tc>
          <w:tcPr>
            <w:tcW w:w="2852" w:type="dxa"/>
            <w:gridSpan w:val="2"/>
            <w:noWrap w:val="0"/>
            <w:vAlign w:val="top"/>
          </w:tcPr>
          <w:p w14:paraId="57C68329">
            <w:pPr>
              <w:rPr>
                <w:rFonts w:hint="eastAsia" w:ascii="宋体" w:hAnsi="宋体" w:eastAsia="宋体" w:cs="宋体"/>
              </w:rPr>
            </w:pPr>
          </w:p>
        </w:tc>
        <w:tc>
          <w:tcPr>
            <w:tcW w:w="1840" w:type="dxa"/>
            <w:gridSpan w:val="2"/>
            <w:noWrap w:val="0"/>
            <w:vAlign w:val="top"/>
          </w:tcPr>
          <w:p w14:paraId="19D3B218">
            <w:pPr>
              <w:rPr>
                <w:rFonts w:hint="eastAsia" w:ascii="宋体" w:hAnsi="宋体" w:eastAsia="宋体" w:cs="宋体"/>
              </w:rPr>
            </w:pPr>
          </w:p>
        </w:tc>
        <w:tc>
          <w:tcPr>
            <w:tcW w:w="1576" w:type="dxa"/>
            <w:noWrap w:val="0"/>
            <w:vAlign w:val="top"/>
          </w:tcPr>
          <w:p w14:paraId="617CFCA5">
            <w:pPr>
              <w:rPr>
                <w:rFonts w:hint="eastAsia" w:ascii="宋体" w:hAnsi="宋体" w:eastAsia="宋体" w:cs="宋体"/>
              </w:rPr>
            </w:pPr>
          </w:p>
        </w:tc>
      </w:tr>
      <w:tr w14:paraId="1DAE3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vMerge w:val="continue"/>
            <w:tcBorders>
              <w:top w:val="nil"/>
            </w:tcBorders>
            <w:noWrap w:val="0"/>
            <w:vAlign w:val="top"/>
          </w:tcPr>
          <w:p w14:paraId="2EEC0355">
            <w:pPr>
              <w:rPr>
                <w:rFonts w:hint="eastAsia" w:ascii="宋体" w:hAnsi="宋体" w:eastAsia="宋体" w:cs="宋体"/>
              </w:rPr>
            </w:pPr>
          </w:p>
        </w:tc>
        <w:tc>
          <w:tcPr>
            <w:tcW w:w="1435" w:type="dxa"/>
            <w:noWrap w:val="0"/>
            <w:vAlign w:val="top"/>
          </w:tcPr>
          <w:p w14:paraId="3DA0EDF7">
            <w:pPr>
              <w:rPr>
                <w:rFonts w:hint="eastAsia" w:ascii="宋体" w:hAnsi="宋体" w:eastAsia="宋体" w:cs="宋体"/>
              </w:rPr>
            </w:pPr>
          </w:p>
        </w:tc>
        <w:tc>
          <w:tcPr>
            <w:tcW w:w="2852" w:type="dxa"/>
            <w:gridSpan w:val="2"/>
            <w:noWrap w:val="0"/>
            <w:vAlign w:val="top"/>
          </w:tcPr>
          <w:p w14:paraId="44ADAB7E">
            <w:pPr>
              <w:rPr>
                <w:rFonts w:hint="eastAsia" w:ascii="宋体" w:hAnsi="宋体" w:eastAsia="宋体" w:cs="宋体"/>
              </w:rPr>
            </w:pPr>
          </w:p>
        </w:tc>
        <w:tc>
          <w:tcPr>
            <w:tcW w:w="1840" w:type="dxa"/>
            <w:gridSpan w:val="2"/>
            <w:noWrap w:val="0"/>
            <w:vAlign w:val="top"/>
          </w:tcPr>
          <w:p w14:paraId="2936D9EF">
            <w:pPr>
              <w:rPr>
                <w:rFonts w:hint="eastAsia" w:ascii="宋体" w:hAnsi="宋体" w:eastAsia="宋体" w:cs="宋体"/>
              </w:rPr>
            </w:pPr>
          </w:p>
        </w:tc>
        <w:tc>
          <w:tcPr>
            <w:tcW w:w="1576" w:type="dxa"/>
            <w:noWrap w:val="0"/>
            <w:vAlign w:val="top"/>
          </w:tcPr>
          <w:p w14:paraId="75B4177E">
            <w:pPr>
              <w:rPr>
                <w:rFonts w:hint="eastAsia" w:ascii="宋体" w:hAnsi="宋体" w:eastAsia="宋体" w:cs="宋体"/>
              </w:rPr>
            </w:pPr>
          </w:p>
        </w:tc>
      </w:tr>
      <w:tr w14:paraId="0665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vMerge w:val="restart"/>
            <w:tcBorders>
              <w:bottom w:val="nil"/>
            </w:tcBorders>
            <w:noWrap w:val="0"/>
            <w:vAlign w:val="top"/>
          </w:tcPr>
          <w:p w14:paraId="731868FD">
            <w:pPr>
              <w:spacing w:line="316" w:lineRule="auto"/>
              <w:rPr>
                <w:rFonts w:hint="eastAsia" w:ascii="宋体" w:hAnsi="宋体" w:eastAsia="宋体" w:cs="宋体"/>
              </w:rPr>
            </w:pPr>
          </w:p>
          <w:p w14:paraId="1C1BC5E8">
            <w:pPr>
              <w:spacing w:line="316" w:lineRule="auto"/>
              <w:rPr>
                <w:rFonts w:hint="eastAsia" w:ascii="宋体" w:hAnsi="宋体" w:eastAsia="宋体" w:cs="宋体"/>
              </w:rPr>
            </w:pPr>
          </w:p>
          <w:p w14:paraId="24A8B7EA">
            <w:pPr>
              <w:spacing w:line="316" w:lineRule="auto"/>
              <w:rPr>
                <w:rFonts w:hint="eastAsia" w:ascii="宋体" w:hAnsi="宋体" w:eastAsia="宋体" w:cs="宋体"/>
              </w:rPr>
            </w:pPr>
          </w:p>
          <w:p w14:paraId="6E92BE60">
            <w:pPr>
              <w:spacing w:before="68" w:line="220" w:lineRule="auto"/>
              <w:ind w:left="358"/>
              <w:rPr>
                <w:rFonts w:hint="eastAsia" w:ascii="宋体" w:hAnsi="宋体" w:eastAsia="宋体" w:cs="宋体"/>
                <w:szCs w:val="21"/>
              </w:rPr>
            </w:pPr>
            <w:r>
              <w:rPr>
                <w:rFonts w:hint="eastAsia" w:ascii="宋体" w:hAnsi="宋体" w:eastAsia="宋体" w:cs="宋体"/>
                <w:spacing w:val="-2"/>
                <w:szCs w:val="21"/>
              </w:rPr>
              <w:t>所</w:t>
            </w:r>
            <w:r>
              <w:rPr>
                <w:rFonts w:hint="eastAsia" w:ascii="宋体" w:hAnsi="宋体" w:eastAsia="宋体" w:cs="宋体"/>
                <w:spacing w:val="-1"/>
                <w:szCs w:val="21"/>
              </w:rPr>
              <w:t>获荣誉</w:t>
            </w:r>
          </w:p>
        </w:tc>
        <w:tc>
          <w:tcPr>
            <w:tcW w:w="1435" w:type="dxa"/>
            <w:noWrap w:val="0"/>
            <w:vAlign w:val="top"/>
          </w:tcPr>
          <w:p w14:paraId="22D41EFD">
            <w:pPr>
              <w:spacing w:before="191" w:line="220" w:lineRule="auto"/>
              <w:ind w:left="306"/>
              <w:rPr>
                <w:rFonts w:hint="eastAsia" w:ascii="宋体" w:hAnsi="宋体" w:eastAsia="宋体" w:cs="宋体"/>
                <w:szCs w:val="21"/>
              </w:rPr>
            </w:pPr>
            <w:r>
              <w:rPr>
                <w:rFonts w:hint="eastAsia" w:ascii="宋体" w:hAnsi="宋体" w:eastAsia="宋体" w:cs="宋体"/>
                <w:spacing w:val="-4"/>
                <w:szCs w:val="21"/>
              </w:rPr>
              <w:t>荣</w:t>
            </w:r>
            <w:r>
              <w:rPr>
                <w:rFonts w:hint="eastAsia" w:ascii="宋体" w:hAnsi="宋体" w:eastAsia="宋体" w:cs="宋体"/>
                <w:spacing w:val="-2"/>
                <w:szCs w:val="21"/>
              </w:rPr>
              <w:t>誉名称</w:t>
            </w:r>
          </w:p>
        </w:tc>
        <w:tc>
          <w:tcPr>
            <w:tcW w:w="2852" w:type="dxa"/>
            <w:gridSpan w:val="2"/>
            <w:noWrap w:val="0"/>
            <w:vAlign w:val="top"/>
          </w:tcPr>
          <w:p w14:paraId="74D7B43F">
            <w:pPr>
              <w:spacing w:before="191" w:line="221" w:lineRule="auto"/>
              <w:ind w:left="1010"/>
              <w:rPr>
                <w:rFonts w:hint="eastAsia" w:ascii="宋体" w:hAnsi="宋体" w:eastAsia="宋体" w:cs="宋体"/>
                <w:szCs w:val="21"/>
              </w:rPr>
            </w:pPr>
            <w:r>
              <w:rPr>
                <w:rFonts w:hint="eastAsia" w:ascii="宋体" w:hAnsi="宋体" w:eastAsia="宋体" w:cs="宋体"/>
                <w:spacing w:val="-2"/>
                <w:szCs w:val="21"/>
              </w:rPr>
              <w:t>颁</w:t>
            </w:r>
            <w:r>
              <w:rPr>
                <w:rFonts w:hint="eastAsia" w:ascii="宋体" w:hAnsi="宋体" w:eastAsia="宋体" w:cs="宋体"/>
                <w:spacing w:val="-1"/>
                <w:szCs w:val="21"/>
              </w:rPr>
              <w:t>发部门</w:t>
            </w:r>
          </w:p>
        </w:tc>
        <w:tc>
          <w:tcPr>
            <w:tcW w:w="1840" w:type="dxa"/>
            <w:gridSpan w:val="2"/>
            <w:noWrap w:val="0"/>
            <w:vAlign w:val="top"/>
          </w:tcPr>
          <w:p w14:paraId="67BEFF87">
            <w:pPr>
              <w:spacing w:before="191" w:line="221" w:lineRule="auto"/>
              <w:ind w:left="508"/>
              <w:rPr>
                <w:rFonts w:hint="eastAsia" w:ascii="宋体" w:hAnsi="宋体" w:eastAsia="宋体" w:cs="宋体"/>
                <w:szCs w:val="21"/>
              </w:rPr>
            </w:pPr>
            <w:r>
              <w:rPr>
                <w:rFonts w:hint="eastAsia" w:ascii="宋体" w:hAnsi="宋体" w:eastAsia="宋体" w:cs="宋体"/>
                <w:spacing w:val="-2"/>
                <w:szCs w:val="21"/>
              </w:rPr>
              <w:t>颁</w:t>
            </w:r>
            <w:r>
              <w:rPr>
                <w:rFonts w:hint="eastAsia" w:ascii="宋体" w:hAnsi="宋体" w:eastAsia="宋体" w:cs="宋体"/>
                <w:spacing w:val="-1"/>
                <w:szCs w:val="21"/>
              </w:rPr>
              <w:t>发时间</w:t>
            </w:r>
          </w:p>
        </w:tc>
        <w:tc>
          <w:tcPr>
            <w:tcW w:w="1576" w:type="dxa"/>
            <w:noWrap w:val="0"/>
            <w:vAlign w:val="top"/>
          </w:tcPr>
          <w:p w14:paraId="010C0DB0">
            <w:pPr>
              <w:spacing w:before="191" w:line="221" w:lineRule="auto"/>
              <w:ind w:left="481"/>
              <w:rPr>
                <w:rFonts w:hint="eastAsia" w:ascii="宋体" w:hAnsi="宋体" w:eastAsia="宋体" w:cs="宋体"/>
                <w:szCs w:val="21"/>
              </w:rPr>
            </w:pPr>
            <w:r>
              <w:rPr>
                <w:rFonts w:hint="eastAsia" w:ascii="宋体" w:hAnsi="宋体" w:eastAsia="宋体" w:cs="宋体"/>
                <w:spacing w:val="-2"/>
                <w:szCs w:val="21"/>
              </w:rPr>
              <w:t>有</w:t>
            </w:r>
            <w:r>
              <w:rPr>
                <w:rFonts w:hint="eastAsia" w:ascii="宋体" w:hAnsi="宋体" w:eastAsia="宋体" w:cs="宋体"/>
                <w:spacing w:val="-1"/>
                <w:szCs w:val="21"/>
              </w:rPr>
              <w:t>效期</w:t>
            </w:r>
          </w:p>
        </w:tc>
      </w:tr>
      <w:tr w14:paraId="3A11C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545" w:type="dxa"/>
            <w:vMerge w:val="continue"/>
            <w:tcBorders>
              <w:top w:val="nil"/>
              <w:bottom w:val="nil"/>
            </w:tcBorders>
            <w:noWrap w:val="0"/>
            <w:vAlign w:val="top"/>
          </w:tcPr>
          <w:p w14:paraId="40AA0D4A">
            <w:pPr>
              <w:rPr>
                <w:rFonts w:hint="eastAsia" w:ascii="宋体" w:hAnsi="宋体" w:eastAsia="宋体" w:cs="宋体"/>
              </w:rPr>
            </w:pPr>
          </w:p>
        </w:tc>
        <w:tc>
          <w:tcPr>
            <w:tcW w:w="1435" w:type="dxa"/>
            <w:noWrap w:val="0"/>
            <w:vAlign w:val="top"/>
          </w:tcPr>
          <w:p w14:paraId="46D46223">
            <w:pPr>
              <w:rPr>
                <w:rFonts w:hint="eastAsia" w:ascii="宋体" w:hAnsi="宋体" w:eastAsia="宋体" w:cs="宋体"/>
              </w:rPr>
            </w:pPr>
          </w:p>
        </w:tc>
        <w:tc>
          <w:tcPr>
            <w:tcW w:w="2852" w:type="dxa"/>
            <w:gridSpan w:val="2"/>
            <w:noWrap w:val="0"/>
            <w:vAlign w:val="top"/>
          </w:tcPr>
          <w:p w14:paraId="328D390E">
            <w:pPr>
              <w:rPr>
                <w:rFonts w:hint="eastAsia" w:ascii="宋体" w:hAnsi="宋体" w:eastAsia="宋体" w:cs="宋体"/>
              </w:rPr>
            </w:pPr>
          </w:p>
        </w:tc>
        <w:tc>
          <w:tcPr>
            <w:tcW w:w="1840" w:type="dxa"/>
            <w:gridSpan w:val="2"/>
            <w:noWrap w:val="0"/>
            <w:vAlign w:val="top"/>
          </w:tcPr>
          <w:p w14:paraId="1B73A54C">
            <w:pPr>
              <w:rPr>
                <w:rFonts w:hint="eastAsia" w:ascii="宋体" w:hAnsi="宋体" w:eastAsia="宋体" w:cs="宋体"/>
              </w:rPr>
            </w:pPr>
          </w:p>
        </w:tc>
        <w:tc>
          <w:tcPr>
            <w:tcW w:w="1576" w:type="dxa"/>
            <w:noWrap w:val="0"/>
            <w:vAlign w:val="top"/>
          </w:tcPr>
          <w:p w14:paraId="6DD23294">
            <w:pPr>
              <w:rPr>
                <w:rFonts w:hint="eastAsia" w:ascii="宋体" w:hAnsi="宋体" w:eastAsia="宋体" w:cs="宋体"/>
              </w:rPr>
            </w:pPr>
          </w:p>
        </w:tc>
      </w:tr>
      <w:tr w14:paraId="100A0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45" w:type="dxa"/>
            <w:vMerge w:val="continue"/>
            <w:tcBorders>
              <w:top w:val="nil"/>
              <w:bottom w:val="nil"/>
            </w:tcBorders>
            <w:noWrap w:val="0"/>
            <w:vAlign w:val="top"/>
          </w:tcPr>
          <w:p w14:paraId="4AA51486">
            <w:pPr>
              <w:rPr>
                <w:rFonts w:hint="eastAsia" w:ascii="宋体" w:hAnsi="宋体" w:eastAsia="宋体" w:cs="宋体"/>
              </w:rPr>
            </w:pPr>
          </w:p>
        </w:tc>
        <w:tc>
          <w:tcPr>
            <w:tcW w:w="1435" w:type="dxa"/>
            <w:noWrap w:val="0"/>
            <w:vAlign w:val="top"/>
          </w:tcPr>
          <w:p w14:paraId="3975E3E9">
            <w:pPr>
              <w:rPr>
                <w:rFonts w:hint="eastAsia" w:ascii="宋体" w:hAnsi="宋体" w:eastAsia="宋体" w:cs="宋体"/>
              </w:rPr>
            </w:pPr>
          </w:p>
        </w:tc>
        <w:tc>
          <w:tcPr>
            <w:tcW w:w="2852" w:type="dxa"/>
            <w:gridSpan w:val="2"/>
            <w:noWrap w:val="0"/>
            <w:vAlign w:val="top"/>
          </w:tcPr>
          <w:p w14:paraId="7BB68728">
            <w:pPr>
              <w:rPr>
                <w:rFonts w:hint="eastAsia" w:ascii="宋体" w:hAnsi="宋体" w:eastAsia="宋体" w:cs="宋体"/>
              </w:rPr>
            </w:pPr>
          </w:p>
        </w:tc>
        <w:tc>
          <w:tcPr>
            <w:tcW w:w="1840" w:type="dxa"/>
            <w:gridSpan w:val="2"/>
            <w:noWrap w:val="0"/>
            <w:vAlign w:val="top"/>
          </w:tcPr>
          <w:p w14:paraId="208136DB">
            <w:pPr>
              <w:rPr>
                <w:rFonts w:hint="eastAsia" w:ascii="宋体" w:hAnsi="宋体" w:eastAsia="宋体" w:cs="宋体"/>
              </w:rPr>
            </w:pPr>
          </w:p>
        </w:tc>
        <w:tc>
          <w:tcPr>
            <w:tcW w:w="1576" w:type="dxa"/>
            <w:noWrap w:val="0"/>
            <w:vAlign w:val="top"/>
          </w:tcPr>
          <w:p w14:paraId="35406454">
            <w:pPr>
              <w:rPr>
                <w:rFonts w:hint="eastAsia" w:ascii="宋体" w:hAnsi="宋体" w:eastAsia="宋体" w:cs="宋体"/>
              </w:rPr>
            </w:pPr>
          </w:p>
        </w:tc>
      </w:tr>
      <w:tr w14:paraId="0A40D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5" w:type="dxa"/>
            <w:vMerge w:val="continue"/>
            <w:tcBorders>
              <w:top w:val="nil"/>
            </w:tcBorders>
            <w:noWrap w:val="0"/>
            <w:vAlign w:val="top"/>
          </w:tcPr>
          <w:p w14:paraId="73E3F57F">
            <w:pPr>
              <w:rPr>
                <w:rFonts w:hint="eastAsia" w:ascii="宋体" w:hAnsi="宋体" w:eastAsia="宋体" w:cs="宋体"/>
              </w:rPr>
            </w:pPr>
          </w:p>
        </w:tc>
        <w:tc>
          <w:tcPr>
            <w:tcW w:w="1435" w:type="dxa"/>
            <w:noWrap w:val="0"/>
            <w:vAlign w:val="top"/>
          </w:tcPr>
          <w:p w14:paraId="65A729F6">
            <w:pPr>
              <w:rPr>
                <w:rFonts w:hint="eastAsia" w:ascii="宋体" w:hAnsi="宋体" w:eastAsia="宋体" w:cs="宋体"/>
              </w:rPr>
            </w:pPr>
          </w:p>
        </w:tc>
        <w:tc>
          <w:tcPr>
            <w:tcW w:w="2852" w:type="dxa"/>
            <w:gridSpan w:val="2"/>
            <w:noWrap w:val="0"/>
            <w:vAlign w:val="top"/>
          </w:tcPr>
          <w:p w14:paraId="60365466">
            <w:pPr>
              <w:rPr>
                <w:rFonts w:hint="eastAsia" w:ascii="宋体" w:hAnsi="宋体" w:eastAsia="宋体" w:cs="宋体"/>
              </w:rPr>
            </w:pPr>
          </w:p>
        </w:tc>
        <w:tc>
          <w:tcPr>
            <w:tcW w:w="1840" w:type="dxa"/>
            <w:gridSpan w:val="2"/>
            <w:noWrap w:val="0"/>
            <w:vAlign w:val="top"/>
          </w:tcPr>
          <w:p w14:paraId="2E7ABC7D">
            <w:pPr>
              <w:rPr>
                <w:rFonts w:hint="eastAsia" w:ascii="宋体" w:hAnsi="宋体" w:eastAsia="宋体" w:cs="宋体"/>
              </w:rPr>
            </w:pPr>
          </w:p>
        </w:tc>
        <w:tc>
          <w:tcPr>
            <w:tcW w:w="1576" w:type="dxa"/>
            <w:noWrap w:val="0"/>
            <w:vAlign w:val="top"/>
          </w:tcPr>
          <w:p w14:paraId="40FA054D">
            <w:pPr>
              <w:rPr>
                <w:rFonts w:hint="eastAsia" w:ascii="宋体" w:hAnsi="宋体" w:eastAsia="宋体" w:cs="宋体"/>
              </w:rPr>
            </w:pPr>
          </w:p>
        </w:tc>
      </w:tr>
      <w:tr w14:paraId="521EE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545" w:type="dxa"/>
            <w:noWrap w:val="0"/>
            <w:vAlign w:val="top"/>
          </w:tcPr>
          <w:p w14:paraId="72879C39">
            <w:pPr>
              <w:spacing w:line="362" w:lineRule="auto"/>
              <w:rPr>
                <w:rFonts w:hint="eastAsia" w:ascii="宋体" w:hAnsi="宋体" w:eastAsia="宋体" w:cs="宋体"/>
              </w:rPr>
            </w:pPr>
          </w:p>
          <w:p w14:paraId="5071A09F">
            <w:pPr>
              <w:spacing w:before="68" w:line="221" w:lineRule="auto"/>
              <w:ind w:left="360"/>
              <w:rPr>
                <w:rFonts w:hint="eastAsia" w:ascii="宋体" w:hAnsi="宋体" w:eastAsia="宋体" w:cs="宋体"/>
                <w:szCs w:val="21"/>
              </w:rPr>
            </w:pPr>
            <w:r>
              <w:rPr>
                <w:rFonts w:hint="eastAsia" w:ascii="宋体" w:hAnsi="宋体" w:eastAsia="宋体" w:cs="宋体"/>
                <w:spacing w:val="-2"/>
                <w:szCs w:val="21"/>
              </w:rPr>
              <w:t>经营范</w:t>
            </w:r>
            <w:r>
              <w:rPr>
                <w:rFonts w:hint="eastAsia" w:ascii="宋体" w:hAnsi="宋体" w:eastAsia="宋体" w:cs="宋体"/>
                <w:spacing w:val="-1"/>
                <w:szCs w:val="21"/>
              </w:rPr>
              <w:t>围</w:t>
            </w:r>
          </w:p>
        </w:tc>
        <w:tc>
          <w:tcPr>
            <w:tcW w:w="7703" w:type="dxa"/>
            <w:gridSpan w:val="6"/>
            <w:noWrap w:val="0"/>
            <w:vAlign w:val="top"/>
          </w:tcPr>
          <w:p w14:paraId="798A7937">
            <w:pPr>
              <w:rPr>
                <w:rFonts w:hint="eastAsia" w:ascii="宋体" w:hAnsi="宋体" w:eastAsia="宋体" w:cs="宋体"/>
              </w:rPr>
            </w:pPr>
          </w:p>
        </w:tc>
      </w:tr>
      <w:tr w14:paraId="2BC99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545" w:type="dxa"/>
            <w:noWrap w:val="0"/>
            <w:vAlign w:val="top"/>
          </w:tcPr>
          <w:p w14:paraId="37594B51">
            <w:pPr>
              <w:spacing w:line="338" w:lineRule="auto"/>
              <w:rPr>
                <w:rFonts w:hint="eastAsia" w:ascii="宋体" w:hAnsi="宋体" w:eastAsia="宋体" w:cs="宋体"/>
              </w:rPr>
            </w:pPr>
          </w:p>
          <w:p w14:paraId="54ED97C4">
            <w:pPr>
              <w:spacing w:before="69" w:line="221" w:lineRule="auto"/>
              <w:ind w:left="570"/>
              <w:rPr>
                <w:rFonts w:hint="eastAsia" w:ascii="宋体" w:hAnsi="宋体" w:eastAsia="宋体" w:cs="宋体"/>
                <w:szCs w:val="21"/>
              </w:rPr>
            </w:pPr>
            <w:r>
              <w:rPr>
                <w:rFonts w:hint="eastAsia" w:ascii="宋体" w:hAnsi="宋体" w:eastAsia="宋体" w:cs="宋体"/>
                <w:spacing w:val="-2"/>
                <w:szCs w:val="21"/>
              </w:rPr>
              <w:t>其他</w:t>
            </w:r>
          </w:p>
        </w:tc>
        <w:tc>
          <w:tcPr>
            <w:tcW w:w="7703" w:type="dxa"/>
            <w:gridSpan w:val="6"/>
            <w:noWrap w:val="0"/>
            <w:vAlign w:val="top"/>
          </w:tcPr>
          <w:p w14:paraId="4C30E21B">
            <w:pPr>
              <w:rPr>
                <w:rFonts w:hint="eastAsia" w:ascii="宋体" w:hAnsi="宋体" w:eastAsia="宋体" w:cs="宋体"/>
              </w:rPr>
            </w:pPr>
          </w:p>
        </w:tc>
      </w:tr>
    </w:tbl>
    <w:p w14:paraId="1E57309F">
      <w:pPr>
        <w:spacing w:before="102" w:line="212" w:lineRule="auto"/>
        <w:ind w:left="127"/>
        <w:rPr>
          <w:rFonts w:hint="eastAsia" w:ascii="宋体" w:hAnsi="宋体" w:eastAsia="宋体" w:cs="宋体"/>
          <w:sz w:val="18"/>
          <w:szCs w:val="18"/>
        </w:rPr>
      </w:pPr>
      <w:r>
        <w:rPr>
          <w:rFonts w:hint="eastAsia" w:ascii="宋体" w:hAnsi="宋体" w:eastAsia="宋体" w:cs="宋体"/>
          <w:spacing w:val="-12"/>
          <w:sz w:val="18"/>
          <w:szCs w:val="18"/>
        </w:rPr>
        <w:t>注</w:t>
      </w:r>
      <w:r>
        <w:rPr>
          <w:rFonts w:hint="eastAsia" w:ascii="宋体" w:hAnsi="宋体" w:eastAsia="宋体" w:cs="宋体"/>
          <w:spacing w:val="-8"/>
          <w:sz w:val="18"/>
          <w:szCs w:val="18"/>
        </w:rPr>
        <w:t>：</w:t>
      </w:r>
      <w:r>
        <w:rPr>
          <w:rFonts w:hint="eastAsia" w:ascii="宋体" w:hAnsi="宋体" w:eastAsia="宋体" w:cs="宋体"/>
          <w:spacing w:val="-6"/>
          <w:sz w:val="18"/>
          <w:szCs w:val="18"/>
        </w:rPr>
        <w:t xml:space="preserve"> 1、表格内容不够,可另附页。</w:t>
      </w:r>
    </w:p>
    <w:p w14:paraId="2E8E2BE6">
      <w:pPr>
        <w:spacing w:before="112" w:line="219" w:lineRule="auto"/>
        <w:ind w:left="467"/>
        <w:rPr>
          <w:rFonts w:hint="eastAsia" w:ascii="宋体" w:hAnsi="宋体" w:eastAsia="宋体" w:cs="宋体"/>
          <w:sz w:val="18"/>
          <w:szCs w:val="18"/>
        </w:rPr>
      </w:pPr>
      <w:r>
        <w:rPr>
          <w:rFonts w:hint="eastAsia" w:ascii="宋体" w:hAnsi="宋体" w:eastAsia="宋体" w:cs="宋体"/>
          <w:spacing w:val="-6"/>
          <w:sz w:val="18"/>
          <w:szCs w:val="18"/>
        </w:rPr>
        <w:t>2 、</w:t>
      </w:r>
      <w:r>
        <w:rPr>
          <w:rFonts w:hint="eastAsia" w:ascii="宋体" w:hAnsi="宋体" w:eastAsia="宋体" w:cs="宋体"/>
          <w:spacing w:val="-3"/>
          <w:sz w:val="18"/>
          <w:szCs w:val="18"/>
        </w:rPr>
        <w:t>所获认证证书、荣誉资料的复印件附后。</w:t>
      </w:r>
    </w:p>
    <w:p w14:paraId="39DF66A5">
      <w:pPr>
        <w:spacing w:line="305" w:lineRule="auto"/>
        <w:rPr>
          <w:rFonts w:hint="eastAsia" w:ascii="宋体" w:hAnsi="宋体" w:eastAsia="宋体" w:cs="宋体"/>
        </w:rPr>
      </w:pPr>
    </w:p>
    <w:p w14:paraId="47A75935">
      <w:pPr>
        <w:spacing w:line="305" w:lineRule="auto"/>
        <w:rPr>
          <w:rFonts w:hint="eastAsia" w:ascii="宋体" w:hAnsi="宋体" w:eastAsia="宋体" w:cs="宋体"/>
        </w:rPr>
      </w:pPr>
    </w:p>
    <w:p w14:paraId="61E1E9F5">
      <w:pPr>
        <w:spacing w:line="306" w:lineRule="auto"/>
        <w:rPr>
          <w:rFonts w:hint="eastAsia" w:ascii="宋体" w:hAnsi="宋体" w:eastAsia="宋体" w:cs="宋体"/>
        </w:rPr>
      </w:pPr>
    </w:p>
    <w:p w14:paraId="3AF12953">
      <w:pPr>
        <w:spacing w:before="78" w:line="219" w:lineRule="auto"/>
        <w:ind w:left="38"/>
        <w:rPr>
          <w:rFonts w:hint="eastAsia" w:ascii="宋体" w:hAnsi="宋体" w:eastAsia="宋体" w:cs="宋体"/>
          <w:sz w:val="24"/>
          <w:szCs w:val="24"/>
        </w:rPr>
      </w:pPr>
      <w:bookmarkStart w:id="78" w:name="OLE_LINK64"/>
      <w:bookmarkStart w:id="79" w:name="OLE_LINK58"/>
      <w:r>
        <w:rPr>
          <w:rFonts w:hint="eastAsia" w:ascii="宋体" w:hAnsi="宋体" w:eastAsia="宋体" w:cs="宋体"/>
          <w:spacing w:val="27"/>
          <w:sz w:val="24"/>
          <w:szCs w:val="24"/>
        </w:rPr>
        <w:t>投标人</w:t>
      </w:r>
      <w:r>
        <w:rPr>
          <w:rFonts w:hint="eastAsia" w:ascii="宋体" w:hAnsi="宋体" w:eastAsia="宋体" w:cs="宋体"/>
          <w:spacing w:val="22"/>
          <w:sz w:val="24"/>
          <w:szCs w:val="24"/>
        </w:rPr>
        <w:t>(公章)：</w:t>
      </w:r>
    </w:p>
    <w:p w14:paraId="28537BCE">
      <w:pPr>
        <w:spacing w:before="1" w:line="219" w:lineRule="auto"/>
        <w:ind w:left="79"/>
        <w:rPr>
          <w:rFonts w:hint="eastAsia" w:ascii="宋体" w:hAnsi="宋体" w:eastAsia="宋体" w:cs="宋体"/>
          <w:spacing w:val="-6"/>
          <w:sz w:val="24"/>
          <w:szCs w:val="24"/>
        </w:rPr>
      </w:pPr>
    </w:p>
    <w:p w14:paraId="0940BC65">
      <w:pPr>
        <w:spacing w:before="1" w:line="219" w:lineRule="auto"/>
        <w:ind w:left="79"/>
        <w:rPr>
          <w:rFonts w:hint="eastAsia" w:ascii="宋体" w:hAnsi="宋体" w:eastAsia="宋体" w:cs="宋体"/>
          <w:spacing w:val="-6"/>
          <w:sz w:val="24"/>
          <w:szCs w:val="24"/>
        </w:rPr>
      </w:pPr>
    </w:p>
    <w:p w14:paraId="42C107EE">
      <w:pPr>
        <w:spacing w:before="1" w:line="219" w:lineRule="auto"/>
        <w:ind w:left="79"/>
        <w:rPr>
          <w:rFonts w:hint="eastAsia" w:ascii="宋体" w:hAnsi="宋体" w:eastAsia="宋体" w:cs="宋体"/>
          <w:sz w:val="24"/>
          <w:szCs w:val="24"/>
        </w:rPr>
      </w:pPr>
      <w:r>
        <w:rPr>
          <w:rFonts w:hint="eastAsia" w:ascii="宋体" w:hAnsi="宋体" w:eastAsia="宋体" w:cs="宋体"/>
          <w:spacing w:val="-6"/>
          <w:sz w:val="24"/>
          <w:szCs w:val="24"/>
        </w:rPr>
        <w:t>日期：     年   月    日</w:t>
      </w:r>
    </w:p>
    <w:bookmarkEnd w:id="78"/>
    <w:bookmarkEnd w:id="79"/>
    <w:p w14:paraId="1069DB6C">
      <w:pPr>
        <w:rPr>
          <w:rFonts w:hint="eastAsia" w:ascii="宋体" w:hAnsi="宋体" w:eastAsia="宋体" w:cs="宋体"/>
        </w:rPr>
        <w:sectPr>
          <w:headerReference r:id="rId7" w:type="default"/>
          <w:footerReference r:id="rId8" w:type="default"/>
          <w:pgSz w:w="11907" w:h="16841"/>
          <w:pgMar w:top="1440" w:right="1080" w:bottom="1440" w:left="1080" w:header="877" w:footer="842" w:gutter="0"/>
          <w:cols w:space="720" w:num="1"/>
        </w:sectPr>
      </w:pPr>
    </w:p>
    <w:p w14:paraId="6016C003">
      <w:pPr>
        <w:pStyle w:val="4"/>
        <w:spacing w:line="320" w:lineRule="exact"/>
        <w:ind w:left="210"/>
        <w:rPr>
          <w:rFonts w:hint="eastAsia" w:ascii="宋体" w:hAnsi="宋体" w:eastAsia="宋体" w:cs="宋体"/>
          <w:sz w:val="24"/>
        </w:rPr>
      </w:pPr>
      <w:bookmarkStart w:id="80" w:name="_bookmark18"/>
      <w:bookmarkEnd w:id="80"/>
      <w:bookmarkStart w:id="81" w:name="_bookmark17"/>
      <w:bookmarkEnd w:id="81"/>
      <w:r>
        <w:rPr>
          <w:rFonts w:hint="eastAsia" w:ascii="宋体" w:hAnsi="宋体" w:eastAsia="宋体" w:cs="宋体"/>
          <w:b w:val="0"/>
          <w:bCs w:val="0"/>
          <w:sz w:val="24"/>
          <w:szCs w:val="24"/>
        </w:rPr>
        <w:t>附件6：</w:t>
      </w:r>
      <w:r>
        <w:rPr>
          <w:rFonts w:hint="eastAsia" w:ascii="宋体" w:hAnsi="宋体" w:eastAsia="宋体" w:cs="宋体"/>
          <w:sz w:val="24"/>
          <w:szCs w:val="24"/>
        </w:rPr>
        <w:t>技术响应表</w:t>
      </w:r>
    </w:p>
    <w:p w14:paraId="40820351">
      <w:pPr>
        <w:widowControl/>
        <w:spacing w:line="400" w:lineRule="exact"/>
        <w:jc w:val="center"/>
        <w:rPr>
          <w:rFonts w:hint="eastAsia" w:ascii="宋体" w:hAnsi="宋体" w:eastAsia="宋体" w:cs="宋体"/>
          <w:b/>
          <w:sz w:val="36"/>
          <w:szCs w:val="36"/>
        </w:rPr>
      </w:pPr>
      <w:r>
        <w:rPr>
          <w:rFonts w:hint="eastAsia" w:ascii="宋体" w:hAnsi="宋体" w:eastAsia="宋体" w:cs="宋体"/>
          <w:b/>
          <w:sz w:val="36"/>
          <w:szCs w:val="36"/>
        </w:rPr>
        <w:t>技术响应表</w:t>
      </w:r>
    </w:p>
    <w:tbl>
      <w:tblPr>
        <w:tblStyle w:val="1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638"/>
        <w:gridCol w:w="2377"/>
        <w:gridCol w:w="1829"/>
        <w:gridCol w:w="2136"/>
        <w:gridCol w:w="1206"/>
      </w:tblGrid>
      <w:tr w14:paraId="04A27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4683" w:type="dxa"/>
            <w:gridSpan w:val="3"/>
            <w:tcBorders>
              <w:top w:val="single" w:color="auto" w:sz="4" w:space="0"/>
              <w:left w:val="single" w:color="auto" w:sz="4" w:space="0"/>
              <w:bottom w:val="single" w:color="auto" w:sz="4" w:space="0"/>
              <w:right w:val="single" w:color="auto" w:sz="4" w:space="0"/>
            </w:tcBorders>
            <w:noWrap w:val="0"/>
            <w:vAlign w:val="center"/>
          </w:tcPr>
          <w:p w14:paraId="23B12863">
            <w:pPr>
              <w:widowControl/>
              <w:jc w:val="center"/>
              <w:rPr>
                <w:rFonts w:hint="eastAsia" w:ascii="宋体" w:hAnsi="宋体" w:eastAsia="宋体" w:cs="宋体"/>
                <w:szCs w:val="21"/>
              </w:rPr>
            </w:pPr>
            <w:r>
              <w:rPr>
                <w:rFonts w:hint="eastAsia" w:ascii="宋体" w:hAnsi="宋体" w:eastAsia="宋体" w:cs="宋体"/>
                <w:szCs w:val="21"/>
              </w:rPr>
              <w:t>招标文件要求</w:t>
            </w:r>
          </w:p>
        </w:tc>
        <w:tc>
          <w:tcPr>
            <w:tcW w:w="3965" w:type="dxa"/>
            <w:gridSpan w:val="2"/>
            <w:tcBorders>
              <w:top w:val="single" w:color="auto" w:sz="4" w:space="0"/>
              <w:left w:val="single" w:color="auto" w:sz="4" w:space="0"/>
              <w:bottom w:val="single" w:color="auto" w:sz="4" w:space="0"/>
              <w:right w:val="single" w:color="auto" w:sz="4" w:space="0"/>
            </w:tcBorders>
            <w:noWrap w:val="0"/>
            <w:vAlign w:val="center"/>
          </w:tcPr>
          <w:p w14:paraId="111C516E">
            <w:pPr>
              <w:widowControl/>
              <w:jc w:val="center"/>
              <w:rPr>
                <w:rFonts w:hint="eastAsia" w:ascii="宋体" w:hAnsi="宋体" w:eastAsia="宋体" w:cs="宋体"/>
                <w:szCs w:val="21"/>
              </w:rPr>
            </w:pPr>
            <w:r>
              <w:rPr>
                <w:rFonts w:hint="eastAsia" w:ascii="宋体" w:hAnsi="宋体" w:eastAsia="宋体" w:cs="宋体"/>
                <w:szCs w:val="21"/>
              </w:rPr>
              <w:t>投标文件响应</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14:paraId="6090B783">
            <w:pPr>
              <w:widowControl/>
              <w:jc w:val="center"/>
              <w:rPr>
                <w:rFonts w:hint="eastAsia" w:ascii="宋体" w:hAnsi="宋体" w:eastAsia="宋体" w:cs="宋体"/>
                <w:szCs w:val="21"/>
              </w:rPr>
            </w:pPr>
            <w:r>
              <w:rPr>
                <w:rFonts w:hint="eastAsia" w:ascii="宋体" w:hAnsi="宋体" w:eastAsia="宋体" w:cs="宋体"/>
                <w:szCs w:val="21"/>
              </w:rPr>
              <w:t>偏离</w:t>
            </w:r>
            <w:r>
              <w:rPr>
                <w:rFonts w:hint="eastAsia" w:ascii="宋体" w:hAnsi="宋体" w:eastAsia="宋体" w:cs="宋体"/>
                <w:szCs w:val="21"/>
              </w:rPr>
              <w:br w:type="textWrapping"/>
            </w:r>
            <w:r>
              <w:rPr>
                <w:rFonts w:hint="eastAsia" w:ascii="宋体" w:hAnsi="宋体" w:eastAsia="宋体" w:cs="宋体"/>
                <w:szCs w:val="21"/>
              </w:rPr>
              <w:t>情况</w:t>
            </w:r>
          </w:p>
        </w:tc>
      </w:tr>
      <w:tr w14:paraId="3C5D0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5BF3F6D5">
            <w:pPr>
              <w:widowControl/>
              <w:jc w:val="center"/>
              <w:rPr>
                <w:rFonts w:hint="eastAsia" w:ascii="宋体" w:hAnsi="宋体" w:eastAsia="宋体" w:cs="宋体"/>
                <w:szCs w:val="21"/>
              </w:rPr>
            </w:pPr>
            <w:r>
              <w:rPr>
                <w:rFonts w:hint="eastAsia" w:ascii="宋体" w:hAnsi="宋体" w:eastAsia="宋体" w:cs="宋体"/>
                <w:szCs w:val="21"/>
              </w:rPr>
              <w:t>序号</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23479D16">
            <w:pPr>
              <w:widowControl/>
              <w:jc w:val="center"/>
              <w:rPr>
                <w:rFonts w:hint="eastAsia" w:ascii="宋体" w:hAnsi="宋体" w:eastAsia="宋体" w:cs="宋体"/>
                <w:szCs w:val="21"/>
              </w:rPr>
            </w:pPr>
            <w:r>
              <w:rPr>
                <w:rFonts w:hint="eastAsia" w:ascii="宋体" w:hAnsi="宋体" w:eastAsia="宋体" w:cs="宋体"/>
                <w:szCs w:val="21"/>
              </w:rPr>
              <w:t>名称</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7EE8E647">
            <w:pPr>
              <w:widowControl/>
              <w:jc w:val="center"/>
              <w:rPr>
                <w:rFonts w:hint="eastAsia" w:ascii="宋体" w:hAnsi="宋体" w:eastAsia="宋体" w:cs="宋体"/>
                <w:szCs w:val="21"/>
              </w:rPr>
            </w:pPr>
            <w:r>
              <w:rPr>
                <w:rFonts w:hint="eastAsia" w:ascii="宋体" w:hAnsi="宋体" w:eastAsia="宋体" w:cs="宋体"/>
                <w:szCs w:val="21"/>
              </w:rPr>
              <w:t>要求</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3D76C34">
            <w:pPr>
              <w:widowControl/>
              <w:jc w:val="center"/>
              <w:rPr>
                <w:rFonts w:hint="eastAsia" w:ascii="宋体" w:hAnsi="宋体" w:eastAsia="宋体" w:cs="宋体"/>
                <w:szCs w:val="21"/>
              </w:rPr>
            </w:pPr>
            <w:r>
              <w:rPr>
                <w:rFonts w:hint="eastAsia" w:ascii="宋体" w:hAnsi="宋体" w:eastAsia="宋体" w:cs="宋体"/>
                <w:szCs w:val="21"/>
              </w:rPr>
              <w:t>品牌及规格型号</w:t>
            </w:r>
          </w:p>
        </w:tc>
        <w:tc>
          <w:tcPr>
            <w:tcW w:w="2136" w:type="dxa"/>
            <w:tcBorders>
              <w:top w:val="single" w:color="auto" w:sz="4" w:space="0"/>
              <w:left w:val="single" w:color="auto" w:sz="4" w:space="0"/>
              <w:bottom w:val="single" w:color="auto" w:sz="4" w:space="0"/>
              <w:right w:val="single" w:color="auto" w:sz="4" w:space="0"/>
            </w:tcBorders>
            <w:noWrap w:val="0"/>
            <w:vAlign w:val="center"/>
          </w:tcPr>
          <w:p w14:paraId="6AC8431C">
            <w:pPr>
              <w:widowControl/>
              <w:jc w:val="center"/>
              <w:rPr>
                <w:rFonts w:hint="eastAsia" w:ascii="宋体" w:hAnsi="宋体" w:eastAsia="宋体" w:cs="宋体"/>
                <w:szCs w:val="21"/>
              </w:rPr>
            </w:pPr>
            <w:r>
              <w:rPr>
                <w:rFonts w:hint="eastAsia" w:ascii="宋体" w:hAnsi="宋体" w:eastAsia="宋体" w:cs="宋体"/>
                <w:szCs w:val="21"/>
              </w:rPr>
              <w:t>性能及指标</w:t>
            </w: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D1D0061">
            <w:pPr>
              <w:widowControl/>
              <w:jc w:val="center"/>
              <w:rPr>
                <w:rFonts w:hint="eastAsia" w:ascii="宋体" w:hAnsi="宋体" w:eastAsia="宋体" w:cs="宋体"/>
                <w:szCs w:val="21"/>
              </w:rPr>
            </w:pPr>
          </w:p>
        </w:tc>
      </w:tr>
      <w:tr w14:paraId="0131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7CFCA28A">
            <w:pPr>
              <w:widowControl/>
              <w:jc w:val="left"/>
              <w:rPr>
                <w:rFonts w:hint="eastAsia" w:ascii="宋体" w:hAnsi="宋体" w:eastAsia="宋体" w:cs="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9DF11C0">
            <w:pPr>
              <w:widowControl/>
              <w:jc w:val="left"/>
              <w:rPr>
                <w:rFonts w:hint="eastAsia" w:ascii="宋体" w:hAnsi="宋体" w:eastAsia="宋体" w:cs="宋体"/>
                <w:szCs w:val="21"/>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14:paraId="264DC42A">
            <w:pPr>
              <w:widowControl/>
              <w:jc w:val="left"/>
              <w:rPr>
                <w:rFonts w:hint="eastAsia" w:ascii="宋体" w:hAnsi="宋体" w:eastAsia="宋体" w:cs="宋体"/>
                <w:szCs w:val="21"/>
              </w:rPr>
            </w:pPr>
          </w:p>
        </w:tc>
        <w:tc>
          <w:tcPr>
            <w:tcW w:w="1829" w:type="dxa"/>
            <w:tcBorders>
              <w:top w:val="single" w:color="auto" w:sz="4" w:space="0"/>
              <w:left w:val="single" w:color="auto" w:sz="4" w:space="0"/>
              <w:bottom w:val="single" w:color="auto" w:sz="4" w:space="0"/>
              <w:right w:val="single" w:color="auto" w:sz="4" w:space="0"/>
            </w:tcBorders>
            <w:noWrap w:val="0"/>
            <w:vAlign w:val="top"/>
          </w:tcPr>
          <w:p w14:paraId="6A71010C">
            <w:pPr>
              <w:widowControl/>
              <w:jc w:val="left"/>
              <w:rPr>
                <w:rFonts w:hint="eastAsia" w:ascii="宋体" w:hAnsi="宋体" w:eastAsia="宋体" w:cs="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top"/>
          </w:tcPr>
          <w:p w14:paraId="27B95993">
            <w:pPr>
              <w:widowControl/>
              <w:jc w:val="left"/>
              <w:rPr>
                <w:rFonts w:hint="eastAsia" w:ascii="宋体" w:hAnsi="宋体" w:eastAsia="宋体" w:cs="宋体"/>
                <w:szCs w:val="21"/>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4C9C976E">
            <w:pPr>
              <w:widowControl/>
              <w:jc w:val="left"/>
              <w:rPr>
                <w:rFonts w:hint="eastAsia" w:ascii="宋体" w:hAnsi="宋体" w:eastAsia="宋体" w:cs="宋体"/>
                <w:szCs w:val="21"/>
              </w:rPr>
            </w:pPr>
          </w:p>
        </w:tc>
      </w:tr>
      <w:tr w14:paraId="46C3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44B56DF7">
            <w:pPr>
              <w:widowControl/>
              <w:jc w:val="left"/>
              <w:rPr>
                <w:rFonts w:hint="eastAsia" w:ascii="宋体" w:hAnsi="宋体" w:eastAsia="宋体" w:cs="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7B5BA984">
            <w:pPr>
              <w:widowControl/>
              <w:jc w:val="left"/>
              <w:rPr>
                <w:rFonts w:hint="eastAsia" w:ascii="宋体" w:hAnsi="宋体" w:eastAsia="宋体" w:cs="宋体"/>
                <w:szCs w:val="21"/>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14:paraId="06ADAF26">
            <w:pPr>
              <w:widowControl/>
              <w:jc w:val="left"/>
              <w:rPr>
                <w:rFonts w:hint="eastAsia" w:ascii="宋体" w:hAnsi="宋体" w:eastAsia="宋体" w:cs="宋体"/>
                <w:szCs w:val="21"/>
              </w:rPr>
            </w:pPr>
          </w:p>
        </w:tc>
        <w:tc>
          <w:tcPr>
            <w:tcW w:w="1829" w:type="dxa"/>
            <w:tcBorders>
              <w:top w:val="single" w:color="auto" w:sz="4" w:space="0"/>
              <w:left w:val="single" w:color="auto" w:sz="4" w:space="0"/>
              <w:bottom w:val="single" w:color="auto" w:sz="4" w:space="0"/>
              <w:right w:val="single" w:color="auto" w:sz="4" w:space="0"/>
            </w:tcBorders>
            <w:noWrap w:val="0"/>
            <w:vAlign w:val="top"/>
          </w:tcPr>
          <w:p w14:paraId="40A398CE">
            <w:pPr>
              <w:widowControl/>
              <w:jc w:val="left"/>
              <w:rPr>
                <w:rFonts w:hint="eastAsia" w:ascii="宋体" w:hAnsi="宋体" w:eastAsia="宋体" w:cs="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top"/>
          </w:tcPr>
          <w:p w14:paraId="5AF44D78">
            <w:pPr>
              <w:widowControl/>
              <w:jc w:val="left"/>
              <w:rPr>
                <w:rFonts w:hint="eastAsia" w:ascii="宋体" w:hAnsi="宋体" w:eastAsia="宋体" w:cs="宋体"/>
                <w:szCs w:val="21"/>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46EB38FA">
            <w:pPr>
              <w:widowControl/>
              <w:jc w:val="left"/>
              <w:rPr>
                <w:rFonts w:hint="eastAsia" w:ascii="宋体" w:hAnsi="宋体" w:eastAsia="宋体" w:cs="宋体"/>
                <w:szCs w:val="21"/>
              </w:rPr>
            </w:pPr>
          </w:p>
        </w:tc>
      </w:tr>
      <w:tr w14:paraId="44CEA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74269817">
            <w:pPr>
              <w:widowControl/>
              <w:jc w:val="left"/>
              <w:rPr>
                <w:rFonts w:hint="eastAsia" w:ascii="宋体" w:hAnsi="宋体" w:eastAsia="宋体" w:cs="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06915FF">
            <w:pPr>
              <w:widowControl/>
              <w:jc w:val="left"/>
              <w:rPr>
                <w:rFonts w:hint="eastAsia" w:ascii="宋体" w:hAnsi="宋体" w:eastAsia="宋体" w:cs="宋体"/>
                <w:szCs w:val="21"/>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14:paraId="46460EC9">
            <w:pPr>
              <w:widowControl/>
              <w:jc w:val="left"/>
              <w:rPr>
                <w:rFonts w:hint="eastAsia" w:ascii="宋体" w:hAnsi="宋体" w:eastAsia="宋体" w:cs="宋体"/>
                <w:szCs w:val="21"/>
              </w:rPr>
            </w:pPr>
          </w:p>
        </w:tc>
        <w:tc>
          <w:tcPr>
            <w:tcW w:w="1829" w:type="dxa"/>
            <w:tcBorders>
              <w:top w:val="single" w:color="auto" w:sz="4" w:space="0"/>
              <w:left w:val="single" w:color="auto" w:sz="4" w:space="0"/>
              <w:bottom w:val="single" w:color="auto" w:sz="4" w:space="0"/>
              <w:right w:val="single" w:color="auto" w:sz="4" w:space="0"/>
            </w:tcBorders>
            <w:noWrap w:val="0"/>
            <w:vAlign w:val="top"/>
          </w:tcPr>
          <w:p w14:paraId="4BEFCD58">
            <w:pPr>
              <w:widowControl/>
              <w:jc w:val="left"/>
              <w:rPr>
                <w:rFonts w:hint="eastAsia" w:ascii="宋体" w:hAnsi="宋体" w:eastAsia="宋体" w:cs="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top"/>
          </w:tcPr>
          <w:p w14:paraId="08FC516C">
            <w:pPr>
              <w:widowControl/>
              <w:jc w:val="left"/>
              <w:rPr>
                <w:rFonts w:hint="eastAsia" w:ascii="宋体" w:hAnsi="宋体" w:eastAsia="宋体" w:cs="宋体"/>
                <w:szCs w:val="21"/>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4856D6DF">
            <w:pPr>
              <w:widowControl/>
              <w:jc w:val="left"/>
              <w:rPr>
                <w:rFonts w:hint="eastAsia" w:ascii="宋体" w:hAnsi="宋体" w:eastAsia="宋体" w:cs="宋体"/>
                <w:szCs w:val="21"/>
              </w:rPr>
            </w:pPr>
          </w:p>
        </w:tc>
      </w:tr>
      <w:tr w14:paraId="300CF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267F7DCD">
            <w:pPr>
              <w:widowControl/>
              <w:jc w:val="left"/>
              <w:rPr>
                <w:rFonts w:hint="eastAsia" w:ascii="宋体" w:hAnsi="宋体" w:eastAsia="宋体" w:cs="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14:paraId="196AD5ED">
            <w:pPr>
              <w:widowControl/>
              <w:jc w:val="left"/>
              <w:rPr>
                <w:rFonts w:hint="eastAsia" w:ascii="宋体" w:hAnsi="宋体" w:eastAsia="宋体" w:cs="宋体"/>
                <w:szCs w:val="21"/>
              </w:rPr>
            </w:pPr>
          </w:p>
        </w:tc>
        <w:tc>
          <w:tcPr>
            <w:tcW w:w="2377" w:type="dxa"/>
            <w:tcBorders>
              <w:top w:val="single" w:color="auto" w:sz="4" w:space="0"/>
              <w:left w:val="single" w:color="auto" w:sz="4" w:space="0"/>
              <w:bottom w:val="single" w:color="auto" w:sz="4" w:space="0"/>
              <w:right w:val="single" w:color="auto" w:sz="4" w:space="0"/>
            </w:tcBorders>
            <w:noWrap w:val="0"/>
            <w:vAlign w:val="center"/>
          </w:tcPr>
          <w:p w14:paraId="76ED55D7">
            <w:pPr>
              <w:widowControl/>
              <w:jc w:val="left"/>
              <w:rPr>
                <w:rFonts w:hint="eastAsia" w:ascii="宋体" w:hAnsi="宋体" w:eastAsia="宋体" w:cs="宋体"/>
                <w:szCs w:val="21"/>
              </w:rPr>
            </w:pPr>
          </w:p>
        </w:tc>
        <w:tc>
          <w:tcPr>
            <w:tcW w:w="1829" w:type="dxa"/>
            <w:tcBorders>
              <w:top w:val="single" w:color="auto" w:sz="4" w:space="0"/>
              <w:left w:val="single" w:color="auto" w:sz="4" w:space="0"/>
              <w:bottom w:val="single" w:color="auto" w:sz="4" w:space="0"/>
              <w:right w:val="single" w:color="auto" w:sz="4" w:space="0"/>
            </w:tcBorders>
            <w:noWrap w:val="0"/>
            <w:vAlign w:val="top"/>
          </w:tcPr>
          <w:p w14:paraId="4310F84E">
            <w:pPr>
              <w:widowControl/>
              <w:jc w:val="left"/>
              <w:rPr>
                <w:rFonts w:hint="eastAsia" w:ascii="宋体" w:hAnsi="宋体" w:eastAsia="宋体" w:cs="宋体"/>
                <w:szCs w:val="21"/>
              </w:rPr>
            </w:pPr>
          </w:p>
        </w:tc>
        <w:tc>
          <w:tcPr>
            <w:tcW w:w="2136" w:type="dxa"/>
            <w:tcBorders>
              <w:top w:val="single" w:color="auto" w:sz="4" w:space="0"/>
              <w:left w:val="single" w:color="auto" w:sz="4" w:space="0"/>
              <w:bottom w:val="single" w:color="auto" w:sz="4" w:space="0"/>
              <w:right w:val="single" w:color="auto" w:sz="4" w:space="0"/>
            </w:tcBorders>
            <w:noWrap w:val="0"/>
            <w:vAlign w:val="top"/>
          </w:tcPr>
          <w:p w14:paraId="26AF4A41">
            <w:pPr>
              <w:widowControl/>
              <w:jc w:val="left"/>
              <w:rPr>
                <w:rFonts w:hint="eastAsia" w:ascii="宋体" w:hAnsi="宋体" w:eastAsia="宋体" w:cs="宋体"/>
                <w:szCs w:val="21"/>
              </w:rPr>
            </w:pPr>
          </w:p>
        </w:tc>
        <w:tc>
          <w:tcPr>
            <w:tcW w:w="1206" w:type="dxa"/>
            <w:tcBorders>
              <w:top w:val="single" w:color="auto" w:sz="4" w:space="0"/>
              <w:left w:val="single" w:color="auto" w:sz="4" w:space="0"/>
              <w:bottom w:val="single" w:color="auto" w:sz="4" w:space="0"/>
              <w:right w:val="single" w:color="auto" w:sz="4" w:space="0"/>
            </w:tcBorders>
            <w:noWrap w:val="0"/>
            <w:vAlign w:val="top"/>
          </w:tcPr>
          <w:p w14:paraId="7E3267EE">
            <w:pPr>
              <w:widowControl/>
              <w:jc w:val="left"/>
              <w:rPr>
                <w:rFonts w:hint="eastAsia" w:ascii="宋体" w:hAnsi="宋体" w:eastAsia="宋体" w:cs="宋体"/>
                <w:szCs w:val="21"/>
              </w:rPr>
            </w:pPr>
          </w:p>
        </w:tc>
      </w:tr>
    </w:tbl>
    <w:p w14:paraId="166CEB5B">
      <w:pPr>
        <w:widowControl/>
        <w:jc w:val="left"/>
        <w:rPr>
          <w:rFonts w:hint="eastAsia" w:ascii="宋体" w:hAnsi="宋体" w:eastAsia="宋体" w:cs="宋体"/>
          <w:kern w:val="0"/>
          <w:szCs w:val="21"/>
        </w:rPr>
      </w:pPr>
      <w:r>
        <w:rPr>
          <w:rFonts w:hint="eastAsia" w:ascii="宋体" w:hAnsi="宋体" w:eastAsia="宋体" w:cs="宋体"/>
          <w:kern w:val="0"/>
          <w:szCs w:val="21"/>
        </w:rPr>
        <w:t>注：“偏离”一栏中填写所投型号的配置与“配置要求”有偏离的部分，如无偏离则不填。</w:t>
      </w:r>
    </w:p>
    <w:p w14:paraId="55292168">
      <w:pPr>
        <w:widowControl/>
        <w:spacing w:after="120"/>
        <w:ind w:left="420" w:firstLine="420"/>
        <w:jc w:val="left"/>
        <w:rPr>
          <w:rFonts w:hint="eastAsia" w:ascii="宋体" w:hAnsi="宋体" w:eastAsia="宋体" w:cs="宋体"/>
        </w:rPr>
      </w:pPr>
    </w:p>
    <w:p w14:paraId="7298BDC0">
      <w:pPr>
        <w:spacing w:before="50" w:line="218" w:lineRule="auto"/>
        <w:rPr>
          <w:rFonts w:hint="eastAsia" w:ascii="宋体" w:hAnsi="宋体" w:eastAsia="宋体" w:cs="宋体"/>
          <w:b/>
          <w:sz w:val="24"/>
        </w:rPr>
      </w:pPr>
    </w:p>
    <w:p w14:paraId="45D528AB">
      <w:pPr>
        <w:pStyle w:val="2"/>
        <w:ind w:firstLine="420"/>
        <w:rPr>
          <w:rFonts w:hint="eastAsia" w:ascii="宋体" w:hAnsi="宋体" w:eastAsia="宋体" w:cs="宋体"/>
        </w:rPr>
      </w:pPr>
    </w:p>
    <w:p w14:paraId="4CAD40C3">
      <w:pPr>
        <w:rPr>
          <w:rFonts w:hint="eastAsia" w:ascii="宋体" w:hAnsi="宋体" w:eastAsia="宋体" w:cs="宋体"/>
        </w:rPr>
      </w:pPr>
    </w:p>
    <w:p w14:paraId="349F06BF">
      <w:pPr>
        <w:pStyle w:val="2"/>
        <w:ind w:firstLine="420"/>
        <w:rPr>
          <w:rFonts w:hint="eastAsia" w:ascii="宋体" w:hAnsi="宋体" w:eastAsia="宋体" w:cs="宋体"/>
        </w:rPr>
      </w:pPr>
    </w:p>
    <w:p w14:paraId="1908BD25">
      <w:pPr>
        <w:rPr>
          <w:rFonts w:hint="eastAsia" w:ascii="宋体" w:hAnsi="宋体" w:eastAsia="宋体" w:cs="宋体"/>
        </w:rPr>
      </w:pPr>
    </w:p>
    <w:p w14:paraId="06363CDD">
      <w:pPr>
        <w:pStyle w:val="2"/>
        <w:ind w:firstLine="420"/>
        <w:rPr>
          <w:rFonts w:hint="eastAsia" w:ascii="宋体" w:hAnsi="宋体" w:eastAsia="宋体" w:cs="宋体"/>
        </w:rPr>
      </w:pPr>
    </w:p>
    <w:p w14:paraId="76C1D0E7">
      <w:pPr>
        <w:pStyle w:val="2"/>
        <w:ind w:firstLine="420"/>
        <w:rPr>
          <w:rFonts w:hint="eastAsia" w:ascii="宋体" w:hAnsi="宋体" w:eastAsia="宋体" w:cs="宋体"/>
        </w:rPr>
      </w:pPr>
    </w:p>
    <w:p w14:paraId="1A7C65A6">
      <w:pPr>
        <w:spacing w:before="78" w:line="218" w:lineRule="auto"/>
        <w:ind w:left="38"/>
        <w:rPr>
          <w:rFonts w:hint="eastAsia" w:ascii="宋体" w:hAnsi="宋体" w:eastAsia="宋体" w:cs="宋体"/>
          <w:sz w:val="24"/>
          <w:szCs w:val="24"/>
        </w:rPr>
      </w:pPr>
      <w:r>
        <w:rPr>
          <w:rFonts w:hint="eastAsia" w:ascii="宋体" w:hAnsi="宋体" w:eastAsia="宋体" w:cs="宋体"/>
          <w:spacing w:val="27"/>
          <w:sz w:val="24"/>
          <w:szCs w:val="24"/>
        </w:rPr>
        <w:t>投标人</w:t>
      </w:r>
      <w:r>
        <w:rPr>
          <w:rFonts w:hint="eastAsia" w:ascii="宋体" w:hAnsi="宋体" w:eastAsia="宋体" w:cs="宋体"/>
          <w:spacing w:val="22"/>
          <w:sz w:val="24"/>
          <w:szCs w:val="24"/>
        </w:rPr>
        <w:t>(公章)：</w:t>
      </w:r>
    </w:p>
    <w:p w14:paraId="7AB5A105">
      <w:pPr>
        <w:spacing w:before="1" w:line="218" w:lineRule="auto"/>
        <w:ind w:left="79"/>
        <w:rPr>
          <w:rFonts w:hint="eastAsia" w:ascii="宋体" w:hAnsi="宋体" w:eastAsia="宋体" w:cs="宋体"/>
          <w:spacing w:val="-6"/>
          <w:sz w:val="24"/>
          <w:szCs w:val="24"/>
        </w:rPr>
      </w:pPr>
    </w:p>
    <w:p w14:paraId="643AA580">
      <w:pPr>
        <w:spacing w:before="1" w:line="218" w:lineRule="auto"/>
        <w:ind w:left="79"/>
        <w:rPr>
          <w:rFonts w:hint="eastAsia" w:ascii="宋体" w:hAnsi="宋体" w:eastAsia="宋体" w:cs="宋体"/>
          <w:spacing w:val="-6"/>
          <w:sz w:val="24"/>
          <w:szCs w:val="24"/>
        </w:rPr>
      </w:pPr>
    </w:p>
    <w:p w14:paraId="5A1B3FEC">
      <w:pPr>
        <w:spacing w:before="1" w:line="218" w:lineRule="auto"/>
        <w:ind w:left="79"/>
        <w:rPr>
          <w:rFonts w:hint="eastAsia" w:ascii="宋体" w:hAnsi="宋体" w:eastAsia="宋体" w:cs="宋体"/>
          <w:sz w:val="24"/>
          <w:szCs w:val="24"/>
        </w:rPr>
      </w:pPr>
      <w:r>
        <w:rPr>
          <w:rFonts w:hint="eastAsia" w:ascii="宋体" w:hAnsi="宋体" w:eastAsia="宋体" w:cs="宋体"/>
          <w:spacing w:val="-6"/>
          <w:sz w:val="24"/>
          <w:szCs w:val="24"/>
        </w:rPr>
        <w:t>日期：     年   月    日</w:t>
      </w:r>
    </w:p>
    <w:p w14:paraId="344FADA1">
      <w:pPr>
        <w:spacing w:before="50" w:line="219" w:lineRule="auto"/>
        <w:rPr>
          <w:rFonts w:hint="eastAsia" w:ascii="宋体" w:hAnsi="宋体" w:eastAsia="宋体" w:cs="宋体"/>
          <w:b/>
          <w:bCs/>
          <w:sz w:val="24"/>
          <w:szCs w:val="24"/>
        </w:rPr>
      </w:pPr>
    </w:p>
    <w:p w14:paraId="015BAE08">
      <w:pPr>
        <w:spacing w:before="50" w:line="219" w:lineRule="auto"/>
        <w:rPr>
          <w:rFonts w:hint="eastAsia" w:ascii="宋体" w:hAnsi="宋体" w:eastAsia="宋体" w:cs="宋体"/>
          <w:b/>
          <w:bCs/>
          <w:sz w:val="24"/>
          <w:szCs w:val="24"/>
        </w:rPr>
      </w:pPr>
    </w:p>
    <w:p w14:paraId="39EF057E">
      <w:pPr>
        <w:pStyle w:val="2"/>
        <w:ind w:firstLine="420"/>
        <w:rPr>
          <w:rFonts w:hint="eastAsia" w:ascii="宋体" w:hAnsi="宋体" w:eastAsia="宋体" w:cs="宋体"/>
        </w:rPr>
      </w:pPr>
    </w:p>
    <w:p w14:paraId="79D4E4BE">
      <w:pPr>
        <w:rPr>
          <w:rFonts w:hint="eastAsia" w:ascii="宋体" w:hAnsi="宋体" w:eastAsia="宋体" w:cs="宋体"/>
        </w:rPr>
      </w:pPr>
    </w:p>
    <w:p w14:paraId="7438DA37">
      <w:pPr>
        <w:pStyle w:val="2"/>
        <w:ind w:firstLine="420"/>
        <w:rPr>
          <w:rFonts w:hint="eastAsia" w:ascii="宋体" w:hAnsi="宋体" w:eastAsia="宋体" w:cs="宋体"/>
        </w:rPr>
      </w:pPr>
    </w:p>
    <w:p w14:paraId="74E75777">
      <w:pPr>
        <w:rPr>
          <w:rFonts w:hint="eastAsia" w:ascii="宋体" w:hAnsi="宋体" w:eastAsia="宋体" w:cs="宋体"/>
        </w:rPr>
      </w:pPr>
    </w:p>
    <w:p w14:paraId="0C4700E9">
      <w:pPr>
        <w:pStyle w:val="2"/>
        <w:ind w:firstLine="420"/>
        <w:rPr>
          <w:rFonts w:hint="eastAsia" w:ascii="宋体" w:hAnsi="宋体" w:eastAsia="宋体" w:cs="宋体"/>
        </w:rPr>
      </w:pPr>
    </w:p>
    <w:p w14:paraId="381039CD">
      <w:pPr>
        <w:rPr>
          <w:rFonts w:hint="eastAsia" w:ascii="宋体" w:hAnsi="宋体" w:eastAsia="宋体" w:cs="宋体"/>
        </w:rPr>
      </w:pPr>
    </w:p>
    <w:p w14:paraId="58012B53">
      <w:pPr>
        <w:pStyle w:val="2"/>
        <w:ind w:firstLine="420"/>
        <w:rPr>
          <w:rFonts w:hint="eastAsia" w:ascii="宋体" w:hAnsi="宋体" w:eastAsia="宋体" w:cs="宋体"/>
        </w:rPr>
      </w:pPr>
    </w:p>
    <w:p w14:paraId="47A1E9CC">
      <w:pPr>
        <w:rPr>
          <w:rFonts w:hint="eastAsia" w:ascii="宋体" w:hAnsi="宋体" w:eastAsia="宋体" w:cs="宋体"/>
        </w:rPr>
      </w:pPr>
    </w:p>
    <w:p w14:paraId="0D56D62D">
      <w:pPr>
        <w:pStyle w:val="2"/>
        <w:ind w:firstLine="420"/>
        <w:rPr>
          <w:rFonts w:hint="eastAsia" w:ascii="宋体" w:hAnsi="宋体" w:eastAsia="宋体" w:cs="宋体"/>
        </w:rPr>
      </w:pPr>
    </w:p>
    <w:p w14:paraId="0EC44E83">
      <w:pPr>
        <w:rPr>
          <w:rFonts w:hint="eastAsia" w:ascii="宋体" w:hAnsi="宋体" w:eastAsia="宋体" w:cs="宋体"/>
        </w:rPr>
      </w:pPr>
    </w:p>
    <w:p w14:paraId="552994CD">
      <w:pPr>
        <w:pStyle w:val="2"/>
        <w:ind w:firstLine="420"/>
        <w:rPr>
          <w:rFonts w:hint="eastAsia" w:ascii="宋体" w:hAnsi="宋体" w:eastAsia="宋体" w:cs="宋体"/>
        </w:rPr>
      </w:pPr>
    </w:p>
    <w:p w14:paraId="3D0470ED">
      <w:pPr>
        <w:rPr>
          <w:rFonts w:hint="eastAsia" w:ascii="宋体" w:hAnsi="宋体" w:eastAsia="宋体" w:cs="宋体"/>
        </w:rPr>
      </w:pPr>
    </w:p>
    <w:p w14:paraId="498F2CC6">
      <w:pPr>
        <w:pStyle w:val="2"/>
        <w:ind w:firstLine="420"/>
        <w:rPr>
          <w:rFonts w:hint="eastAsia" w:ascii="宋体" w:hAnsi="宋体" w:eastAsia="宋体" w:cs="宋体"/>
        </w:rPr>
      </w:pPr>
    </w:p>
    <w:p w14:paraId="30023F7F">
      <w:pPr>
        <w:rPr>
          <w:rFonts w:hint="eastAsia" w:ascii="宋体" w:hAnsi="宋体" w:eastAsia="宋体" w:cs="宋体"/>
        </w:rPr>
      </w:pPr>
    </w:p>
    <w:p w14:paraId="2E6F09D5">
      <w:pPr>
        <w:pStyle w:val="2"/>
        <w:ind w:firstLine="420"/>
        <w:rPr>
          <w:rFonts w:hint="eastAsia" w:ascii="宋体" w:hAnsi="宋体" w:eastAsia="宋体" w:cs="宋体"/>
        </w:rPr>
      </w:pPr>
    </w:p>
    <w:p w14:paraId="1BA3C0FD">
      <w:pPr>
        <w:rPr>
          <w:rFonts w:hint="eastAsia" w:ascii="宋体" w:hAnsi="宋体" w:eastAsia="宋体" w:cs="宋体"/>
        </w:rPr>
      </w:pPr>
    </w:p>
    <w:p w14:paraId="51168D37">
      <w:pPr>
        <w:pStyle w:val="2"/>
        <w:ind w:firstLine="420"/>
        <w:rPr>
          <w:rFonts w:hint="eastAsia" w:ascii="宋体" w:hAnsi="宋体" w:eastAsia="宋体" w:cs="宋体"/>
        </w:rPr>
      </w:pPr>
    </w:p>
    <w:p w14:paraId="53C2D327">
      <w:pPr>
        <w:spacing w:before="50" w:line="219" w:lineRule="auto"/>
        <w:rPr>
          <w:rFonts w:hint="eastAsia" w:ascii="宋体" w:hAnsi="宋体" w:eastAsia="宋体" w:cs="宋体"/>
          <w:b/>
          <w:bCs/>
          <w:sz w:val="24"/>
          <w:szCs w:val="24"/>
        </w:rPr>
      </w:pPr>
      <w:r>
        <w:rPr>
          <w:rFonts w:hint="eastAsia" w:ascii="宋体" w:hAnsi="宋体" w:eastAsia="宋体" w:cs="宋体"/>
          <w:b/>
          <w:bCs/>
          <w:sz w:val="24"/>
          <w:szCs w:val="24"/>
        </w:rPr>
        <w:t>附件7： 服务承诺</w:t>
      </w:r>
    </w:p>
    <w:p w14:paraId="08FA479C">
      <w:pPr>
        <w:spacing w:line="290" w:lineRule="auto"/>
        <w:rPr>
          <w:rFonts w:hint="eastAsia" w:ascii="宋体" w:hAnsi="宋体" w:eastAsia="宋体" w:cs="宋体"/>
        </w:rPr>
      </w:pPr>
    </w:p>
    <w:p w14:paraId="28858097">
      <w:pPr>
        <w:pStyle w:val="2"/>
        <w:ind w:firstLine="723"/>
        <w:jc w:val="center"/>
        <w:rPr>
          <w:rFonts w:hint="eastAsia" w:ascii="宋体" w:hAnsi="宋体" w:eastAsia="宋体" w:cs="宋体"/>
          <w:b/>
          <w:sz w:val="36"/>
          <w:szCs w:val="36"/>
        </w:rPr>
      </w:pPr>
      <w:r>
        <w:rPr>
          <w:rFonts w:hint="eastAsia" w:ascii="宋体" w:hAnsi="宋体" w:eastAsia="宋体" w:cs="宋体"/>
          <w:b/>
          <w:sz w:val="36"/>
          <w:szCs w:val="36"/>
        </w:rPr>
        <w:t>服务承诺</w:t>
      </w:r>
    </w:p>
    <w:p w14:paraId="79A6746E">
      <w:pPr>
        <w:rPr>
          <w:rFonts w:hint="eastAsia" w:ascii="宋体" w:hAnsi="宋体" w:eastAsia="宋体" w:cs="宋体"/>
        </w:rPr>
      </w:pPr>
    </w:p>
    <w:p w14:paraId="1393A708">
      <w:pPr>
        <w:spacing w:before="104" w:line="334" w:lineRule="auto"/>
        <w:ind w:left="40" w:right="29" w:firstLine="433"/>
        <w:rPr>
          <w:rFonts w:hint="eastAsia" w:ascii="宋体" w:hAnsi="宋体" w:eastAsia="宋体" w:cs="宋体"/>
          <w:szCs w:val="21"/>
        </w:rPr>
      </w:pPr>
      <w:r>
        <w:rPr>
          <w:rFonts w:hint="eastAsia" w:ascii="宋体" w:hAnsi="宋体" w:eastAsia="宋体" w:cs="宋体"/>
          <w:spacing w:val="2"/>
          <w:szCs w:val="21"/>
        </w:rPr>
        <w:t>1、我单位承诺，一旦我方成交，</w:t>
      </w:r>
      <w:r>
        <w:rPr>
          <w:rFonts w:hint="eastAsia" w:ascii="宋体" w:hAnsi="宋体" w:eastAsia="宋体" w:cs="宋体"/>
          <w:spacing w:val="1"/>
          <w:szCs w:val="21"/>
        </w:rPr>
        <w:t>我们将根据招标文件的规定，提供不低于招标文件要求的服务和相</w:t>
      </w:r>
      <w:r>
        <w:rPr>
          <w:rFonts w:hint="eastAsia" w:ascii="宋体" w:hAnsi="宋体" w:eastAsia="宋体" w:cs="宋体"/>
          <w:szCs w:val="21"/>
        </w:rPr>
        <w:t xml:space="preserve"> </w:t>
      </w:r>
      <w:r>
        <w:rPr>
          <w:rFonts w:hint="eastAsia" w:ascii="宋体" w:hAnsi="宋体" w:eastAsia="宋体" w:cs="宋体"/>
          <w:spacing w:val="-3"/>
          <w:szCs w:val="21"/>
        </w:rPr>
        <w:t>关</w:t>
      </w:r>
      <w:r>
        <w:rPr>
          <w:rFonts w:hint="eastAsia" w:ascii="宋体" w:hAnsi="宋体" w:eastAsia="宋体" w:cs="宋体"/>
          <w:spacing w:val="-2"/>
          <w:szCs w:val="21"/>
        </w:rPr>
        <w:t>规定。</w:t>
      </w:r>
    </w:p>
    <w:p w14:paraId="3F1DB360">
      <w:pPr>
        <w:spacing w:line="220" w:lineRule="auto"/>
        <w:ind w:left="453"/>
        <w:rPr>
          <w:rFonts w:hint="eastAsia" w:ascii="宋体" w:hAnsi="宋体" w:eastAsia="宋体" w:cs="宋体"/>
          <w:szCs w:val="21"/>
        </w:rPr>
      </w:pPr>
      <w:r>
        <w:rPr>
          <w:rFonts w:hint="eastAsia" w:ascii="宋体" w:hAnsi="宋体" w:eastAsia="宋体" w:cs="宋体"/>
          <w:spacing w:val="-3"/>
          <w:szCs w:val="21"/>
        </w:rPr>
        <w:t>2、其他服务承诺</w:t>
      </w:r>
      <w:r>
        <w:rPr>
          <w:rFonts w:hint="eastAsia" w:ascii="宋体" w:hAnsi="宋体" w:eastAsia="宋体" w:cs="宋体"/>
          <w:spacing w:val="-2"/>
          <w:szCs w:val="21"/>
        </w:rPr>
        <w:t>：</w:t>
      </w:r>
    </w:p>
    <w:p w14:paraId="42FA54A2">
      <w:pPr>
        <w:spacing w:line="243" w:lineRule="auto"/>
        <w:rPr>
          <w:rFonts w:hint="eastAsia" w:ascii="宋体" w:hAnsi="宋体" w:eastAsia="宋体" w:cs="宋体"/>
        </w:rPr>
      </w:pPr>
    </w:p>
    <w:p w14:paraId="6C9E8FFE">
      <w:pPr>
        <w:spacing w:line="243" w:lineRule="auto"/>
        <w:rPr>
          <w:rFonts w:hint="eastAsia" w:ascii="宋体" w:hAnsi="宋体" w:eastAsia="宋体" w:cs="宋体"/>
        </w:rPr>
      </w:pPr>
    </w:p>
    <w:p w14:paraId="360E059D">
      <w:pPr>
        <w:spacing w:line="243" w:lineRule="auto"/>
        <w:rPr>
          <w:rFonts w:hint="eastAsia" w:ascii="宋体" w:hAnsi="宋体" w:eastAsia="宋体" w:cs="宋体"/>
        </w:rPr>
      </w:pPr>
    </w:p>
    <w:p w14:paraId="2EAA4EB9">
      <w:pPr>
        <w:spacing w:line="243" w:lineRule="auto"/>
        <w:rPr>
          <w:rFonts w:hint="eastAsia" w:ascii="宋体" w:hAnsi="宋体" w:eastAsia="宋体" w:cs="宋体"/>
        </w:rPr>
      </w:pPr>
    </w:p>
    <w:p w14:paraId="00CC9900">
      <w:pPr>
        <w:spacing w:line="243" w:lineRule="auto"/>
        <w:rPr>
          <w:rFonts w:hint="eastAsia" w:ascii="宋体" w:hAnsi="宋体" w:eastAsia="宋体" w:cs="宋体"/>
        </w:rPr>
      </w:pPr>
    </w:p>
    <w:p w14:paraId="6C103D3F">
      <w:pPr>
        <w:spacing w:line="243" w:lineRule="auto"/>
        <w:rPr>
          <w:rFonts w:hint="eastAsia" w:ascii="宋体" w:hAnsi="宋体" w:eastAsia="宋体" w:cs="宋体"/>
        </w:rPr>
      </w:pPr>
    </w:p>
    <w:p w14:paraId="58F1DC74">
      <w:pPr>
        <w:spacing w:line="243" w:lineRule="auto"/>
        <w:rPr>
          <w:rFonts w:hint="eastAsia" w:ascii="宋体" w:hAnsi="宋体" w:eastAsia="宋体" w:cs="宋体"/>
        </w:rPr>
      </w:pPr>
    </w:p>
    <w:p w14:paraId="6193991E">
      <w:pPr>
        <w:spacing w:line="243" w:lineRule="auto"/>
        <w:rPr>
          <w:rFonts w:hint="eastAsia" w:ascii="宋体" w:hAnsi="宋体" w:eastAsia="宋体" w:cs="宋体"/>
        </w:rPr>
      </w:pPr>
    </w:p>
    <w:p w14:paraId="1EB864CD">
      <w:pPr>
        <w:spacing w:line="244" w:lineRule="auto"/>
        <w:rPr>
          <w:rFonts w:hint="eastAsia" w:ascii="宋体" w:hAnsi="宋体" w:eastAsia="宋体" w:cs="宋体"/>
        </w:rPr>
      </w:pPr>
    </w:p>
    <w:p w14:paraId="32294061">
      <w:pPr>
        <w:spacing w:line="244" w:lineRule="auto"/>
        <w:rPr>
          <w:rFonts w:hint="eastAsia" w:ascii="宋体" w:hAnsi="宋体" w:eastAsia="宋体" w:cs="宋体"/>
        </w:rPr>
      </w:pPr>
    </w:p>
    <w:p w14:paraId="4B084E61">
      <w:pPr>
        <w:spacing w:line="244" w:lineRule="auto"/>
        <w:rPr>
          <w:rFonts w:hint="eastAsia" w:ascii="宋体" w:hAnsi="宋体" w:eastAsia="宋体" w:cs="宋体"/>
        </w:rPr>
      </w:pPr>
    </w:p>
    <w:p w14:paraId="31328EF3">
      <w:pPr>
        <w:spacing w:line="244" w:lineRule="auto"/>
        <w:rPr>
          <w:rFonts w:hint="eastAsia" w:ascii="宋体" w:hAnsi="宋体" w:eastAsia="宋体" w:cs="宋体"/>
        </w:rPr>
      </w:pPr>
    </w:p>
    <w:p w14:paraId="6BAABE91">
      <w:pPr>
        <w:spacing w:line="244" w:lineRule="auto"/>
        <w:rPr>
          <w:rFonts w:hint="eastAsia" w:ascii="宋体" w:hAnsi="宋体" w:eastAsia="宋体" w:cs="宋体"/>
        </w:rPr>
      </w:pPr>
    </w:p>
    <w:p w14:paraId="4321E301">
      <w:pPr>
        <w:spacing w:line="244" w:lineRule="auto"/>
        <w:rPr>
          <w:rFonts w:hint="eastAsia" w:ascii="宋体" w:hAnsi="宋体" w:eastAsia="宋体" w:cs="宋体"/>
        </w:rPr>
      </w:pPr>
    </w:p>
    <w:p w14:paraId="1C43C6C9">
      <w:pPr>
        <w:spacing w:line="244" w:lineRule="auto"/>
        <w:rPr>
          <w:rFonts w:hint="eastAsia" w:ascii="宋体" w:hAnsi="宋体" w:eastAsia="宋体" w:cs="宋体"/>
        </w:rPr>
      </w:pPr>
    </w:p>
    <w:p w14:paraId="1B7381DD">
      <w:pPr>
        <w:spacing w:line="244" w:lineRule="auto"/>
        <w:rPr>
          <w:rFonts w:hint="eastAsia" w:ascii="宋体" w:hAnsi="宋体" w:eastAsia="宋体" w:cs="宋体"/>
        </w:rPr>
      </w:pPr>
    </w:p>
    <w:p w14:paraId="17326A0E">
      <w:pPr>
        <w:spacing w:line="244" w:lineRule="auto"/>
        <w:rPr>
          <w:rFonts w:hint="eastAsia" w:ascii="宋体" w:hAnsi="宋体" w:eastAsia="宋体" w:cs="宋体"/>
        </w:rPr>
      </w:pPr>
    </w:p>
    <w:p w14:paraId="0D7A58F5">
      <w:pPr>
        <w:spacing w:line="244" w:lineRule="auto"/>
        <w:rPr>
          <w:rFonts w:hint="eastAsia" w:ascii="宋体" w:hAnsi="宋体" w:eastAsia="宋体" w:cs="宋体"/>
        </w:rPr>
      </w:pPr>
    </w:p>
    <w:p w14:paraId="63049C3E">
      <w:pPr>
        <w:spacing w:line="244" w:lineRule="auto"/>
        <w:rPr>
          <w:rFonts w:hint="eastAsia" w:ascii="宋体" w:hAnsi="宋体" w:eastAsia="宋体" w:cs="宋体"/>
        </w:rPr>
      </w:pPr>
    </w:p>
    <w:p w14:paraId="23999AD9">
      <w:pPr>
        <w:spacing w:before="78" w:line="219" w:lineRule="auto"/>
        <w:ind w:left="38"/>
        <w:rPr>
          <w:rFonts w:hint="eastAsia" w:ascii="宋体" w:hAnsi="宋体" w:eastAsia="宋体" w:cs="宋体"/>
          <w:sz w:val="24"/>
          <w:szCs w:val="24"/>
        </w:rPr>
      </w:pPr>
      <w:r>
        <w:rPr>
          <w:rFonts w:hint="eastAsia" w:ascii="宋体" w:hAnsi="宋体" w:eastAsia="宋体" w:cs="宋体"/>
          <w:spacing w:val="27"/>
          <w:sz w:val="24"/>
          <w:szCs w:val="24"/>
        </w:rPr>
        <w:t>投标人</w:t>
      </w:r>
      <w:r>
        <w:rPr>
          <w:rFonts w:hint="eastAsia" w:ascii="宋体" w:hAnsi="宋体" w:eastAsia="宋体" w:cs="宋体"/>
          <w:spacing w:val="22"/>
          <w:sz w:val="24"/>
          <w:szCs w:val="24"/>
        </w:rPr>
        <w:t>(公章)：</w:t>
      </w:r>
    </w:p>
    <w:p w14:paraId="3F49962F">
      <w:pPr>
        <w:spacing w:before="1" w:line="219" w:lineRule="auto"/>
        <w:ind w:left="79"/>
        <w:rPr>
          <w:rFonts w:hint="eastAsia" w:ascii="宋体" w:hAnsi="宋体" w:eastAsia="宋体" w:cs="宋体"/>
          <w:spacing w:val="-6"/>
          <w:sz w:val="24"/>
          <w:szCs w:val="24"/>
        </w:rPr>
      </w:pPr>
    </w:p>
    <w:p w14:paraId="26D0A464">
      <w:pPr>
        <w:pStyle w:val="2"/>
        <w:ind w:firstLine="420"/>
        <w:rPr>
          <w:rFonts w:hint="eastAsia" w:ascii="宋体" w:hAnsi="宋体" w:eastAsia="宋体" w:cs="宋体"/>
        </w:rPr>
      </w:pPr>
    </w:p>
    <w:p w14:paraId="598EBECC">
      <w:pPr>
        <w:rPr>
          <w:rFonts w:hint="eastAsia" w:ascii="宋体" w:hAnsi="宋体" w:eastAsia="宋体" w:cs="宋体"/>
        </w:rPr>
      </w:pPr>
    </w:p>
    <w:p w14:paraId="53813846">
      <w:pPr>
        <w:spacing w:before="1" w:line="219" w:lineRule="auto"/>
        <w:ind w:left="79"/>
        <w:rPr>
          <w:rFonts w:hint="eastAsia" w:ascii="宋体" w:hAnsi="宋体" w:eastAsia="宋体" w:cs="宋体"/>
          <w:sz w:val="24"/>
          <w:szCs w:val="24"/>
        </w:rPr>
      </w:pPr>
      <w:r>
        <w:rPr>
          <w:rFonts w:hint="eastAsia" w:ascii="宋体" w:hAnsi="宋体" w:eastAsia="宋体" w:cs="宋体"/>
          <w:spacing w:val="-6"/>
          <w:sz w:val="24"/>
          <w:szCs w:val="24"/>
        </w:rPr>
        <w:t>日期：     年   月    日</w:t>
      </w:r>
    </w:p>
    <w:p w14:paraId="3B2CDC7E">
      <w:pPr>
        <w:rPr>
          <w:rFonts w:hint="eastAsia" w:ascii="宋体" w:hAnsi="宋体" w:eastAsia="宋体" w:cs="宋体"/>
        </w:rPr>
        <w:sectPr>
          <w:headerReference r:id="rId9" w:type="default"/>
          <w:footerReference r:id="rId10" w:type="default"/>
          <w:pgSz w:w="11907" w:h="16841"/>
          <w:pgMar w:top="1440" w:right="1080" w:bottom="1440" w:left="1080" w:header="877" w:footer="984" w:gutter="0"/>
          <w:cols w:space="720" w:num="1"/>
        </w:sectPr>
      </w:pPr>
    </w:p>
    <w:p w14:paraId="771FE1AA">
      <w:pPr>
        <w:pStyle w:val="4"/>
        <w:spacing w:line="320" w:lineRule="exact"/>
        <w:rPr>
          <w:rFonts w:hint="eastAsia" w:ascii="宋体" w:hAnsi="宋体" w:eastAsia="宋体" w:cs="宋体"/>
          <w:sz w:val="24"/>
        </w:rPr>
      </w:pPr>
      <w:bookmarkStart w:id="82" w:name="_bookmark19"/>
      <w:bookmarkEnd w:id="82"/>
      <w:bookmarkStart w:id="83" w:name="_bookmark20"/>
      <w:bookmarkEnd w:id="83"/>
      <w:r>
        <w:rPr>
          <w:rFonts w:hint="eastAsia" w:ascii="宋体" w:hAnsi="宋体" w:eastAsia="宋体" w:cs="宋体"/>
          <w:sz w:val="24"/>
        </w:rPr>
        <w:t>附件8： 报价文件封面格式及目录</w:t>
      </w:r>
      <w:bookmarkEnd w:id="70"/>
    </w:p>
    <w:p w14:paraId="480DCE23">
      <w:pPr>
        <w:pStyle w:val="7"/>
        <w:snapToGrid w:val="0"/>
        <w:spacing w:before="295" w:after="295"/>
        <w:rPr>
          <w:rFonts w:hint="eastAsia" w:ascii="宋体" w:hAnsi="宋体" w:eastAsia="宋体" w:cs="宋体"/>
          <w:sz w:val="30"/>
          <w:szCs w:val="30"/>
        </w:rPr>
      </w:pPr>
      <w:r>
        <w:rPr>
          <w:rFonts w:hint="eastAsia" w:ascii="宋体" w:hAnsi="宋体" w:eastAsia="宋体" w:cs="宋体"/>
          <w:bCs/>
          <w:sz w:val="30"/>
          <w:szCs w:val="30"/>
        </w:rPr>
        <w:t xml:space="preserve">                                              正本或副本</w:t>
      </w:r>
    </w:p>
    <w:p w14:paraId="72CBB365">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47CB172E">
      <w:pPr>
        <w:spacing w:before="240" w:beforeLines="100" w:line="240" w:lineRule="atLeast"/>
        <w:ind w:right="-108"/>
        <w:jc w:val="center"/>
        <w:rPr>
          <w:rFonts w:hint="eastAsia" w:ascii="宋体" w:hAnsi="宋体" w:eastAsia="宋体" w:cs="宋体"/>
          <w:sz w:val="36"/>
          <w:szCs w:val="36"/>
        </w:rPr>
      </w:pPr>
      <w:r>
        <w:rPr>
          <w:rFonts w:hint="eastAsia" w:ascii="宋体" w:hAnsi="宋体" w:eastAsia="宋体" w:cs="宋体"/>
          <w:sz w:val="36"/>
          <w:szCs w:val="36"/>
        </w:rPr>
        <w:t>项目编号：××××</w:t>
      </w:r>
    </w:p>
    <w:p w14:paraId="5FA8D73C">
      <w:pPr>
        <w:spacing w:after="100" w:afterAutospacing="1" w:line="800" w:lineRule="exact"/>
        <w:ind w:right="-108"/>
        <w:jc w:val="center"/>
        <w:rPr>
          <w:rFonts w:hint="eastAsia" w:ascii="宋体" w:hAnsi="宋体" w:eastAsia="宋体" w:cs="宋体"/>
          <w:b/>
          <w:spacing w:val="40"/>
          <w:sz w:val="84"/>
          <w:szCs w:val="84"/>
        </w:rPr>
      </w:pPr>
    </w:p>
    <w:p w14:paraId="39F37E08">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14:paraId="057506EF">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14:paraId="141058B2">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29F5B111">
      <w:pPr>
        <w:spacing w:after="100" w:afterAutospacing="1" w:line="36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3BA6A452">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投标人全称（公章）：</w:t>
      </w:r>
    </w:p>
    <w:p w14:paraId="2BAB5688">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44E247C4">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4B53BE23">
      <w:pPr>
        <w:wordWrap w:val="0"/>
        <w:spacing w:line="500" w:lineRule="exact"/>
        <w:ind w:right="-108" w:firstLine="720" w:firstLineChars="200"/>
        <w:rPr>
          <w:rFonts w:hint="eastAsia" w:ascii="宋体" w:hAnsi="宋体" w:eastAsia="宋体" w:cs="宋体"/>
          <w:sz w:val="36"/>
          <w:szCs w:val="36"/>
        </w:rPr>
      </w:pPr>
    </w:p>
    <w:p w14:paraId="74A66EFA">
      <w:pPr>
        <w:pStyle w:val="8"/>
        <w:snapToGrid w:val="0"/>
        <w:rPr>
          <w:rFonts w:hint="eastAsia" w:ascii="宋体" w:hAnsi="宋体" w:eastAsia="宋体" w:cs="宋体"/>
          <w:sz w:val="36"/>
          <w:szCs w:val="36"/>
        </w:rPr>
      </w:pPr>
    </w:p>
    <w:p w14:paraId="2D4CA8A0">
      <w:pPr>
        <w:pStyle w:val="8"/>
        <w:snapToGrid w:val="0"/>
        <w:ind w:firstLine="542" w:firstLineChars="150"/>
        <w:jc w:val="center"/>
        <w:rPr>
          <w:rFonts w:hint="eastAsia" w:ascii="宋体" w:hAnsi="宋体" w:eastAsia="宋体" w:cs="宋体"/>
          <w:b/>
          <w:sz w:val="36"/>
          <w:szCs w:val="36"/>
        </w:rPr>
      </w:pPr>
    </w:p>
    <w:p w14:paraId="0B6829F9">
      <w:pPr>
        <w:pStyle w:val="8"/>
        <w:snapToGrid w:val="0"/>
        <w:ind w:firstLine="542" w:firstLineChars="150"/>
        <w:jc w:val="center"/>
        <w:rPr>
          <w:rFonts w:hint="eastAsia" w:ascii="宋体" w:hAnsi="宋体" w:eastAsia="宋体" w:cs="宋体"/>
          <w:b/>
          <w:sz w:val="36"/>
          <w:szCs w:val="36"/>
        </w:rPr>
      </w:pPr>
      <w:r>
        <w:rPr>
          <w:rFonts w:hint="eastAsia" w:ascii="宋体" w:hAnsi="宋体" w:eastAsia="宋体" w:cs="宋体"/>
          <w:b/>
          <w:sz w:val="36"/>
          <w:szCs w:val="36"/>
        </w:rPr>
        <w:t>报价文件目录</w:t>
      </w:r>
    </w:p>
    <w:p w14:paraId="15915728">
      <w:pPr>
        <w:rPr>
          <w:rFonts w:hint="eastAsia" w:ascii="宋体" w:hAnsi="宋体" w:eastAsia="宋体" w:cs="宋体"/>
        </w:rPr>
      </w:pPr>
    </w:p>
    <w:p w14:paraId="04FE11CE">
      <w:pPr>
        <w:spacing w:line="360" w:lineRule="auto"/>
        <w:ind w:firstLine="420" w:firstLineChars="200"/>
        <w:rPr>
          <w:rFonts w:hint="eastAsia" w:ascii="宋体" w:hAnsi="宋体" w:eastAsia="宋体" w:cs="宋体"/>
          <w:szCs w:val="21"/>
        </w:rPr>
      </w:pPr>
    </w:p>
    <w:p w14:paraId="60BA63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1.报价文件封面及目录（附件8）；</w:t>
      </w:r>
    </w:p>
    <w:p w14:paraId="6AEA5E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2.报价一览表（附件9）；</w:t>
      </w:r>
    </w:p>
    <w:p w14:paraId="34A5AAD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 报价明细表（附件10）；</w:t>
      </w:r>
    </w:p>
    <w:p w14:paraId="279E6D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4.投标人针对报价需要说明的其他文件和说明。</w:t>
      </w:r>
    </w:p>
    <w:p w14:paraId="691DB1A0">
      <w:pPr>
        <w:spacing w:line="400" w:lineRule="exact"/>
        <w:ind w:left="735"/>
        <w:rPr>
          <w:rFonts w:hint="eastAsia" w:ascii="宋体" w:hAnsi="宋体" w:eastAsia="宋体" w:cs="宋体"/>
        </w:rPr>
      </w:pPr>
    </w:p>
    <w:p w14:paraId="29D6111F">
      <w:pPr>
        <w:pStyle w:val="7"/>
        <w:snapToGrid w:val="0"/>
        <w:spacing w:before="295" w:after="295"/>
        <w:rPr>
          <w:rFonts w:hint="eastAsia" w:ascii="宋体" w:hAnsi="宋体" w:eastAsia="宋体" w:cs="宋体"/>
          <w:sz w:val="30"/>
          <w:szCs w:val="30"/>
        </w:rPr>
      </w:pPr>
    </w:p>
    <w:p w14:paraId="01ACE0BA">
      <w:pPr>
        <w:pStyle w:val="7"/>
        <w:snapToGrid w:val="0"/>
        <w:spacing w:before="295" w:after="295"/>
        <w:rPr>
          <w:rFonts w:hint="eastAsia" w:ascii="宋体" w:hAnsi="宋体" w:eastAsia="宋体" w:cs="宋体"/>
          <w:sz w:val="30"/>
          <w:szCs w:val="30"/>
        </w:rPr>
      </w:pPr>
    </w:p>
    <w:p w14:paraId="748E09F3">
      <w:pPr>
        <w:pStyle w:val="7"/>
        <w:snapToGrid w:val="0"/>
        <w:spacing w:before="295" w:after="295"/>
        <w:rPr>
          <w:rFonts w:hint="eastAsia" w:ascii="宋体" w:hAnsi="宋体" w:eastAsia="宋体" w:cs="宋体"/>
          <w:sz w:val="30"/>
          <w:szCs w:val="30"/>
        </w:rPr>
      </w:pPr>
    </w:p>
    <w:p w14:paraId="3A5A351B">
      <w:pPr>
        <w:pStyle w:val="7"/>
        <w:snapToGrid w:val="0"/>
        <w:spacing w:before="295" w:after="295"/>
        <w:rPr>
          <w:rFonts w:hint="eastAsia" w:ascii="宋体" w:hAnsi="宋体" w:eastAsia="宋体" w:cs="宋体"/>
          <w:sz w:val="30"/>
          <w:szCs w:val="30"/>
        </w:rPr>
      </w:pPr>
    </w:p>
    <w:p w14:paraId="43D85E33">
      <w:pPr>
        <w:pStyle w:val="7"/>
        <w:snapToGrid w:val="0"/>
        <w:spacing w:before="295" w:after="295"/>
        <w:rPr>
          <w:rFonts w:hint="eastAsia" w:ascii="宋体" w:hAnsi="宋体" w:eastAsia="宋体" w:cs="宋体"/>
          <w:sz w:val="30"/>
          <w:szCs w:val="30"/>
        </w:rPr>
      </w:pPr>
    </w:p>
    <w:p w14:paraId="0663F029">
      <w:pPr>
        <w:pStyle w:val="7"/>
        <w:snapToGrid w:val="0"/>
        <w:spacing w:before="295" w:after="295"/>
        <w:rPr>
          <w:rFonts w:hint="eastAsia" w:ascii="宋体" w:hAnsi="宋体" w:eastAsia="宋体" w:cs="宋体"/>
          <w:sz w:val="30"/>
          <w:szCs w:val="30"/>
        </w:rPr>
      </w:pPr>
    </w:p>
    <w:p w14:paraId="2C4E10B7">
      <w:pPr>
        <w:rPr>
          <w:rFonts w:hint="eastAsia" w:ascii="宋体" w:hAnsi="宋体" w:eastAsia="宋体" w:cs="宋体"/>
        </w:rPr>
      </w:pPr>
    </w:p>
    <w:p w14:paraId="2426F82B">
      <w:pPr>
        <w:rPr>
          <w:rFonts w:hint="eastAsia" w:ascii="宋体" w:hAnsi="宋体" w:eastAsia="宋体" w:cs="宋体"/>
        </w:rPr>
      </w:pPr>
    </w:p>
    <w:p w14:paraId="6F132525">
      <w:pPr>
        <w:rPr>
          <w:rFonts w:hint="eastAsia" w:ascii="宋体" w:hAnsi="宋体" w:eastAsia="宋体" w:cs="宋体"/>
        </w:rPr>
      </w:pPr>
    </w:p>
    <w:p w14:paraId="150C0ED1">
      <w:pPr>
        <w:rPr>
          <w:rFonts w:hint="eastAsia" w:ascii="宋体" w:hAnsi="宋体" w:eastAsia="宋体" w:cs="宋体"/>
        </w:rPr>
      </w:pPr>
    </w:p>
    <w:p w14:paraId="3944A452">
      <w:pPr>
        <w:rPr>
          <w:rFonts w:hint="eastAsia" w:ascii="宋体" w:hAnsi="宋体" w:eastAsia="宋体" w:cs="宋体"/>
        </w:rPr>
      </w:pPr>
    </w:p>
    <w:p w14:paraId="4EE70F79">
      <w:pPr>
        <w:rPr>
          <w:rFonts w:hint="eastAsia" w:ascii="宋体" w:hAnsi="宋体" w:eastAsia="宋体" w:cs="宋体"/>
        </w:rPr>
      </w:pPr>
    </w:p>
    <w:p w14:paraId="7D44E809">
      <w:pPr>
        <w:rPr>
          <w:rFonts w:hint="eastAsia" w:ascii="宋体" w:hAnsi="宋体" w:eastAsia="宋体" w:cs="宋体"/>
        </w:rPr>
      </w:pPr>
    </w:p>
    <w:p w14:paraId="2B0FA6B2">
      <w:pPr>
        <w:rPr>
          <w:rFonts w:hint="eastAsia" w:ascii="宋体" w:hAnsi="宋体" w:eastAsia="宋体" w:cs="宋体"/>
        </w:rPr>
      </w:pPr>
    </w:p>
    <w:p w14:paraId="747B64FA">
      <w:pPr>
        <w:rPr>
          <w:rFonts w:hint="eastAsia" w:ascii="宋体" w:hAnsi="宋体" w:eastAsia="宋体" w:cs="宋体"/>
        </w:rPr>
      </w:pPr>
    </w:p>
    <w:p w14:paraId="1702159C">
      <w:pPr>
        <w:rPr>
          <w:rFonts w:hint="eastAsia" w:ascii="宋体" w:hAnsi="宋体" w:eastAsia="宋体" w:cs="宋体"/>
        </w:rPr>
      </w:pPr>
    </w:p>
    <w:p w14:paraId="73CD6EA2">
      <w:pPr>
        <w:rPr>
          <w:rFonts w:hint="eastAsia" w:ascii="宋体" w:hAnsi="宋体" w:eastAsia="宋体" w:cs="宋体"/>
        </w:rPr>
      </w:pPr>
    </w:p>
    <w:p w14:paraId="207320F0">
      <w:pPr>
        <w:rPr>
          <w:rFonts w:hint="eastAsia" w:ascii="宋体" w:hAnsi="宋体" w:eastAsia="宋体" w:cs="宋体"/>
        </w:rPr>
      </w:pPr>
    </w:p>
    <w:p w14:paraId="06B74633">
      <w:pPr>
        <w:rPr>
          <w:rFonts w:hint="eastAsia" w:ascii="宋体" w:hAnsi="宋体" w:eastAsia="宋体" w:cs="宋体"/>
        </w:rPr>
      </w:pPr>
    </w:p>
    <w:p w14:paraId="2826EC4A">
      <w:pPr>
        <w:rPr>
          <w:rFonts w:hint="eastAsia" w:ascii="宋体" w:hAnsi="宋体" w:eastAsia="宋体" w:cs="宋体"/>
        </w:rPr>
      </w:pPr>
    </w:p>
    <w:p w14:paraId="0CD197E0">
      <w:pPr>
        <w:rPr>
          <w:rFonts w:hint="eastAsia" w:ascii="宋体" w:hAnsi="宋体" w:eastAsia="宋体" w:cs="宋体"/>
        </w:rPr>
      </w:pPr>
    </w:p>
    <w:p w14:paraId="28675833">
      <w:pPr>
        <w:rPr>
          <w:rFonts w:hint="eastAsia" w:ascii="宋体" w:hAnsi="宋体" w:eastAsia="宋体" w:cs="宋体"/>
        </w:rPr>
      </w:pPr>
    </w:p>
    <w:p w14:paraId="756E88CD">
      <w:pPr>
        <w:rPr>
          <w:rFonts w:hint="eastAsia" w:ascii="宋体" w:hAnsi="宋体" w:eastAsia="宋体" w:cs="宋体"/>
        </w:rPr>
      </w:pPr>
    </w:p>
    <w:p w14:paraId="7DF52D7A">
      <w:pPr>
        <w:rPr>
          <w:rFonts w:hint="eastAsia" w:ascii="宋体" w:hAnsi="宋体" w:eastAsia="宋体" w:cs="宋体"/>
        </w:rPr>
      </w:pPr>
    </w:p>
    <w:p w14:paraId="08B74B87">
      <w:pPr>
        <w:rPr>
          <w:rFonts w:hint="eastAsia" w:ascii="宋体" w:hAnsi="宋体" w:eastAsia="宋体" w:cs="宋体"/>
        </w:rPr>
      </w:pPr>
    </w:p>
    <w:p w14:paraId="413E961B">
      <w:pPr>
        <w:rPr>
          <w:rFonts w:hint="eastAsia" w:ascii="宋体" w:hAnsi="宋体" w:eastAsia="宋体" w:cs="宋体"/>
        </w:rPr>
      </w:pPr>
    </w:p>
    <w:p w14:paraId="2C4472AE">
      <w:pPr>
        <w:rPr>
          <w:rFonts w:hint="eastAsia" w:ascii="宋体" w:hAnsi="宋体" w:eastAsia="宋体" w:cs="宋体"/>
        </w:rPr>
      </w:pPr>
    </w:p>
    <w:p w14:paraId="1167082C">
      <w:pPr>
        <w:pStyle w:val="4"/>
        <w:spacing w:line="320" w:lineRule="exact"/>
        <w:rPr>
          <w:rFonts w:hint="eastAsia" w:ascii="宋体" w:hAnsi="宋体" w:eastAsia="宋体" w:cs="宋体"/>
          <w:b w:val="0"/>
          <w:sz w:val="36"/>
          <w:szCs w:val="36"/>
        </w:rPr>
      </w:pPr>
      <w:bookmarkStart w:id="84" w:name="_Toc11654"/>
      <w:bookmarkStart w:id="85" w:name="_Toc9400"/>
      <w:bookmarkStart w:id="86" w:name="_Toc516059227"/>
      <w:r>
        <w:rPr>
          <w:rFonts w:hint="eastAsia" w:ascii="宋体" w:hAnsi="宋体" w:eastAsia="宋体" w:cs="宋体"/>
          <w:sz w:val="24"/>
        </w:rPr>
        <w:t>附件9：报价一览表</w:t>
      </w:r>
      <w:bookmarkEnd w:id="84"/>
      <w:bookmarkEnd w:id="85"/>
      <w:bookmarkEnd w:id="86"/>
    </w:p>
    <w:p w14:paraId="0BD3A4FD">
      <w:pPr>
        <w:jc w:val="center"/>
        <w:rPr>
          <w:rFonts w:hint="eastAsia" w:ascii="宋体" w:hAnsi="宋体" w:eastAsia="宋体" w:cs="宋体"/>
          <w:b/>
          <w:sz w:val="36"/>
          <w:szCs w:val="36"/>
        </w:rPr>
      </w:pPr>
      <w:r>
        <w:rPr>
          <w:rFonts w:hint="eastAsia" w:ascii="宋体" w:hAnsi="宋体" w:eastAsia="宋体" w:cs="宋体"/>
          <w:b/>
          <w:sz w:val="36"/>
          <w:szCs w:val="36"/>
        </w:rPr>
        <w:t>报价一览表</w:t>
      </w:r>
    </w:p>
    <w:p w14:paraId="1173DAA1">
      <w:pPr>
        <w:pStyle w:val="2"/>
        <w:ind w:firstLine="420"/>
        <w:rPr>
          <w:rFonts w:hint="eastAsia" w:ascii="宋体" w:hAnsi="宋体" w:eastAsia="宋体" w:cs="宋体"/>
        </w:rPr>
      </w:pPr>
    </w:p>
    <w:p w14:paraId="3705445A">
      <w:pPr>
        <w:widowControl/>
        <w:ind w:firstLine="7560" w:firstLineChars="4200"/>
        <w:rPr>
          <w:rFonts w:hint="eastAsia" w:ascii="宋体" w:hAnsi="宋体" w:eastAsia="宋体" w:cs="宋体"/>
          <w:kern w:val="0"/>
          <w:sz w:val="18"/>
          <w:szCs w:val="18"/>
        </w:rPr>
      </w:pPr>
      <w:r>
        <w:rPr>
          <w:rFonts w:hint="eastAsia" w:ascii="宋体" w:hAnsi="宋体" w:eastAsia="宋体" w:cs="宋体"/>
          <w:kern w:val="0"/>
          <w:sz w:val="18"/>
          <w:szCs w:val="18"/>
        </w:rPr>
        <w:t>单位：人民币元</w:t>
      </w:r>
    </w:p>
    <w:tbl>
      <w:tblPr>
        <w:tblStyle w:val="1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96"/>
        <w:gridCol w:w="709"/>
        <w:gridCol w:w="850"/>
        <w:gridCol w:w="3500"/>
      </w:tblGrid>
      <w:tr w14:paraId="6F10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7" w:type="dxa"/>
            <w:noWrap w:val="0"/>
            <w:vAlign w:val="center"/>
          </w:tcPr>
          <w:p w14:paraId="020A79E6">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496" w:type="dxa"/>
            <w:noWrap w:val="0"/>
            <w:vAlign w:val="center"/>
          </w:tcPr>
          <w:p w14:paraId="1C79BE28">
            <w:pPr>
              <w:widowControl/>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709" w:type="dxa"/>
            <w:noWrap w:val="0"/>
            <w:vAlign w:val="center"/>
          </w:tcPr>
          <w:p w14:paraId="427C9D29">
            <w:pPr>
              <w:widowControl/>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850" w:type="dxa"/>
            <w:noWrap w:val="0"/>
            <w:vAlign w:val="center"/>
          </w:tcPr>
          <w:p w14:paraId="45963CE2">
            <w:pPr>
              <w:widowControl/>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3500" w:type="dxa"/>
            <w:noWrap w:val="0"/>
            <w:vAlign w:val="center"/>
          </w:tcPr>
          <w:p w14:paraId="02E640F2">
            <w:pPr>
              <w:jc w:val="center"/>
              <w:rPr>
                <w:rFonts w:hint="eastAsia" w:ascii="宋体" w:hAnsi="宋体" w:eastAsia="宋体" w:cs="宋体"/>
                <w:kern w:val="0"/>
                <w:szCs w:val="21"/>
              </w:rPr>
            </w:pPr>
            <w:r>
              <w:rPr>
                <w:rFonts w:hint="eastAsia" w:ascii="宋体" w:hAnsi="宋体" w:eastAsia="宋体" w:cs="宋体"/>
                <w:kern w:val="0"/>
                <w:szCs w:val="21"/>
              </w:rPr>
              <w:t>合价金额</w:t>
            </w:r>
          </w:p>
        </w:tc>
      </w:tr>
      <w:tr w14:paraId="6341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97" w:type="dxa"/>
            <w:noWrap w:val="0"/>
            <w:vAlign w:val="center"/>
          </w:tcPr>
          <w:p w14:paraId="20C0E186">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96" w:type="dxa"/>
            <w:noWrap w:val="0"/>
            <w:vAlign w:val="center"/>
          </w:tcPr>
          <w:p w14:paraId="6926C02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学院路道路工程（G525-雁塘路)-标识标牌采购与安装</w:t>
            </w:r>
          </w:p>
        </w:tc>
        <w:tc>
          <w:tcPr>
            <w:tcW w:w="709" w:type="dxa"/>
            <w:noWrap w:val="0"/>
            <w:vAlign w:val="center"/>
          </w:tcPr>
          <w:p w14:paraId="35B548D9">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50" w:type="dxa"/>
            <w:noWrap w:val="0"/>
            <w:vAlign w:val="center"/>
          </w:tcPr>
          <w:p w14:paraId="5A13A7EC">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500" w:type="dxa"/>
            <w:noWrap w:val="0"/>
            <w:vAlign w:val="center"/>
          </w:tcPr>
          <w:p w14:paraId="59AF2F00">
            <w:pPr>
              <w:widowControl/>
              <w:jc w:val="center"/>
              <w:rPr>
                <w:rFonts w:hint="eastAsia" w:ascii="宋体" w:hAnsi="宋体" w:eastAsia="宋体" w:cs="宋体"/>
                <w:kern w:val="0"/>
                <w:szCs w:val="21"/>
              </w:rPr>
            </w:pPr>
          </w:p>
        </w:tc>
      </w:tr>
      <w:tr w14:paraId="293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252" w:type="dxa"/>
            <w:gridSpan w:val="5"/>
            <w:noWrap w:val="0"/>
            <w:vAlign w:val="center"/>
          </w:tcPr>
          <w:p w14:paraId="3D780B14">
            <w:pPr>
              <w:tabs>
                <w:tab w:val="left" w:pos="2840"/>
                <w:tab w:val="left" w:pos="3780"/>
                <w:tab w:val="left" w:pos="5460"/>
                <w:tab w:val="left" w:pos="7140"/>
                <w:tab w:val="left" w:pos="8820"/>
                <w:tab w:val="left" w:pos="10500"/>
                <w:tab w:val="left" w:pos="12180"/>
              </w:tabs>
              <w:rPr>
                <w:rFonts w:hint="eastAsia" w:ascii="宋体" w:hAnsi="宋体" w:eastAsia="宋体" w:cs="宋体"/>
                <w:b/>
                <w:bCs/>
                <w:sz w:val="24"/>
                <w:szCs w:val="24"/>
              </w:rPr>
            </w:pPr>
            <w:r>
              <w:rPr>
                <w:rFonts w:hint="eastAsia" w:ascii="宋体" w:hAnsi="宋体" w:eastAsia="宋体" w:cs="宋体"/>
                <w:kern w:val="0"/>
                <w:sz w:val="24"/>
                <w:szCs w:val="24"/>
              </w:rPr>
              <w:t xml:space="preserve">合  计   人民币（大写）: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元整 （小写）：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tc>
      </w:tr>
    </w:tbl>
    <w:p w14:paraId="539C65F0">
      <w:pPr>
        <w:widowControl/>
        <w:jc w:val="left"/>
        <w:rPr>
          <w:rFonts w:hint="eastAsia" w:ascii="宋体" w:hAnsi="宋体" w:eastAsia="宋体" w:cs="宋体"/>
          <w:kern w:val="0"/>
          <w:sz w:val="18"/>
          <w:szCs w:val="18"/>
        </w:rPr>
      </w:pPr>
    </w:p>
    <w:p w14:paraId="3B4B0A96">
      <w:pPr>
        <w:rPr>
          <w:rFonts w:hint="eastAsia" w:ascii="宋体" w:hAnsi="宋体" w:eastAsia="宋体" w:cs="宋体"/>
          <w:b/>
          <w:sz w:val="28"/>
          <w:szCs w:val="28"/>
        </w:rPr>
      </w:pPr>
      <w:r>
        <w:rPr>
          <w:rFonts w:hint="eastAsia" w:ascii="宋体" w:hAnsi="宋体" w:eastAsia="宋体" w:cs="宋体"/>
          <w:b/>
          <w:sz w:val="28"/>
          <w:szCs w:val="28"/>
        </w:rPr>
        <w:t xml:space="preserve">  </w:t>
      </w:r>
    </w:p>
    <w:p w14:paraId="60CF1673">
      <w:pPr>
        <w:rPr>
          <w:rFonts w:hint="eastAsia" w:ascii="宋体" w:hAnsi="宋体" w:eastAsia="宋体" w:cs="宋体"/>
          <w:b/>
          <w:sz w:val="28"/>
          <w:szCs w:val="28"/>
        </w:rPr>
      </w:pPr>
    </w:p>
    <w:p w14:paraId="31922A15">
      <w:pPr>
        <w:rPr>
          <w:rFonts w:hint="eastAsia" w:ascii="宋体" w:hAnsi="宋体" w:eastAsia="宋体" w:cs="宋体"/>
          <w:b/>
          <w:sz w:val="36"/>
          <w:szCs w:val="36"/>
        </w:rPr>
      </w:pPr>
      <w:r>
        <w:rPr>
          <w:rFonts w:hint="eastAsia" w:ascii="宋体" w:hAnsi="宋体" w:eastAsia="宋体" w:cs="宋体"/>
          <w:b/>
          <w:sz w:val="28"/>
          <w:szCs w:val="28"/>
        </w:rPr>
        <w:t xml:space="preserve">                                                    </w:t>
      </w:r>
    </w:p>
    <w:p w14:paraId="0DA80680">
      <w:pPr>
        <w:spacing w:line="240" w:lineRule="exact"/>
        <w:rPr>
          <w:rFonts w:hint="eastAsia" w:ascii="宋体" w:hAnsi="宋体" w:eastAsia="宋体" w:cs="宋体"/>
          <w:b/>
          <w:sz w:val="24"/>
        </w:rPr>
      </w:pPr>
      <w:r>
        <w:rPr>
          <w:rFonts w:hint="eastAsia" w:ascii="宋体" w:hAnsi="宋体" w:eastAsia="宋体" w:cs="宋体"/>
          <w:b/>
          <w:sz w:val="28"/>
          <w:szCs w:val="28"/>
        </w:rPr>
        <w:t xml:space="preserve"> </w:t>
      </w:r>
      <w:bookmarkStart w:id="87" w:name="OLE_LINK76"/>
      <w:r>
        <w:rPr>
          <w:rFonts w:hint="eastAsia" w:ascii="宋体" w:hAnsi="宋体" w:eastAsia="宋体" w:cs="宋体"/>
          <w:b/>
          <w:sz w:val="28"/>
          <w:szCs w:val="28"/>
        </w:rPr>
        <w:t xml:space="preserve"> </w:t>
      </w:r>
      <w:r>
        <w:rPr>
          <w:rFonts w:hint="eastAsia" w:ascii="宋体" w:hAnsi="宋体" w:eastAsia="宋体" w:cs="宋体"/>
          <w:b/>
          <w:sz w:val="24"/>
        </w:rPr>
        <w:t xml:space="preserve">投标人（公章）：  </w:t>
      </w:r>
    </w:p>
    <w:p w14:paraId="034C24F9">
      <w:pPr>
        <w:spacing w:line="240" w:lineRule="exact"/>
        <w:rPr>
          <w:rFonts w:hint="eastAsia" w:ascii="宋体" w:hAnsi="宋体" w:eastAsia="宋体" w:cs="宋体"/>
          <w:b/>
          <w:sz w:val="24"/>
        </w:rPr>
      </w:pPr>
    </w:p>
    <w:p w14:paraId="6256993E">
      <w:pPr>
        <w:spacing w:line="240" w:lineRule="exact"/>
        <w:rPr>
          <w:rFonts w:hint="eastAsia" w:ascii="宋体" w:hAnsi="宋体" w:eastAsia="宋体" w:cs="宋体"/>
          <w:b/>
          <w:sz w:val="24"/>
        </w:rPr>
      </w:pPr>
    </w:p>
    <w:p w14:paraId="0CCE21F2">
      <w:pPr>
        <w:spacing w:line="240" w:lineRule="exact"/>
        <w:rPr>
          <w:rFonts w:hint="eastAsia" w:ascii="宋体" w:hAnsi="宋体" w:eastAsia="宋体" w:cs="宋体"/>
          <w:b/>
          <w:sz w:val="24"/>
        </w:rPr>
      </w:pPr>
      <w:r>
        <w:rPr>
          <w:rFonts w:hint="eastAsia" w:ascii="宋体" w:hAnsi="宋体" w:eastAsia="宋体" w:cs="宋体"/>
          <w:b/>
          <w:sz w:val="24"/>
        </w:rPr>
        <w:t xml:space="preserve">                 </w:t>
      </w:r>
    </w:p>
    <w:p w14:paraId="54EEA598">
      <w:pPr>
        <w:spacing w:line="480" w:lineRule="auto"/>
        <w:ind w:firstLine="241" w:firstLineChars="100"/>
        <w:rPr>
          <w:rFonts w:hint="eastAsia" w:ascii="宋体" w:hAnsi="宋体" w:eastAsia="宋体" w:cs="宋体"/>
          <w:b/>
          <w:sz w:val="24"/>
        </w:rPr>
      </w:pPr>
      <w:r>
        <w:rPr>
          <w:rFonts w:hint="eastAsia" w:ascii="宋体" w:hAnsi="宋体" w:eastAsia="宋体" w:cs="宋体"/>
          <w:b/>
          <w:sz w:val="24"/>
        </w:rPr>
        <w:t>日期：  　年　 月　  日</w:t>
      </w:r>
    </w:p>
    <w:bookmarkEnd w:id="87"/>
    <w:p w14:paraId="666A19F0">
      <w:pPr>
        <w:pStyle w:val="2"/>
        <w:ind w:firstLine="420"/>
        <w:rPr>
          <w:rFonts w:hint="eastAsia" w:ascii="宋体" w:hAnsi="宋体" w:eastAsia="宋体" w:cs="宋体"/>
        </w:rPr>
      </w:pPr>
    </w:p>
    <w:p w14:paraId="760CB3F5">
      <w:pPr>
        <w:rPr>
          <w:rFonts w:hint="eastAsia" w:ascii="宋体" w:hAnsi="宋体" w:eastAsia="宋体" w:cs="宋体"/>
        </w:rPr>
      </w:pPr>
    </w:p>
    <w:p w14:paraId="00FC10D8">
      <w:pPr>
        <w:pStyle w:val="2"/>
        <w:ind w:firstLine="420"/>
        <w:rPr>
          <w:rFonts w:hint="eastAsia" w:ascii="宋体" w:hAnsi="宋体" w:eastAsia="宋体" w:cs="宋体"/>
        </w:rPr>
      </w:pPr>
    </w:p>
    <w:p w14:paraId="71F01323">
      <w:pPr>
        <w:rPr>
          <w:rFonts w:hint="eastAsia" w:ascii="宋体" w:hAnsi="宋体" w:eastAsia="宋体" w:cs="宋体"/>
        </w:rPr>
      </w:pPr>
    </w:p>
    <w:p w14:paraId="54094EC0">
      <w:pPr>
        <w:pStyle w:val="2"/>
        <w:ind w:firstLine="420"/>
        <w:rPr>
          <w:rFonts w:hint="eastAsia" w:ascii="宋体" w:hAnsi="宋体" w:eastAsia="宋体" w:cs="宋体"/>
        </w:rPr>
      </w:pPr>
    </w:p>
    <w:p w14:paraId="6632140C">
      <w:pPr>
        <w:rPr>
          <w:rFonts w:hint="eastAsia" w:ascii="宋体" w:hAnsi="宋体" w:eastAsia="宋体" w:cs="宋体"/>
        </w:rPr>
      </w:pPr>
    </w:p>
    <w:p w14:paraId="6921CECF">
      <w:pPr>
        <w:pStyle w:val="2"/>
        <w:ind w:firstLine="420"/>
        <w:rPr>
          <w:rFonts w:hint="eastAsia" w:ascii="宋体" w:hAnsi="宋体" w:eastAsia="宋体" w:cs="宋体"/>
        </w:rPr>
      </w:pPr>
    </w:p>
    <w:p w14:paraId="2A8F90E0">
      <w:pPr>
        <w:rPr>
          <w:rFonts w:hint="eastAsia" w:ascii="宋体" w:hAnsi="宋体" w:eastAsia="宋体" w:cs="宋体"/>
        </w:rPr>
      </w:pPr>
    </w:p>
    <w:p w14:paraId="2BC4B481">
      <w:pPr>
        <w:pStyle w:val="2"/>
        <w:ind w:firstLine="420"/>
        <w:rPr>
          <w:rFonts w:hint="eastAsia" w:ascii="宋体" w:hAnsi="宋体" w:eastAsia="宋体" w:cs="宋体"/>
        </w:rPr>
      </w:pPr>
    </w:p>
    <w:p w14:paraId="40E1DF4B">
      <w:pPr>
        <w:rPr>
          <w:rFonts w:hint="eastAsia" w:ascii="宋体" w:hAnsi="宋体" w:eastAsia="宋体" w:cs="宋体"/>
        </w:rPr>
      </w:pPr>
    </w:p>
    <w:p w14:paraId="09B67654">
      <w:pPr>
        <w:pStyle w:val="2"/>
        <w:ind w:firstLine="420"/>
        <w:rPr>
          <w:rFonts w:hint="eastAsia" w:ascii="宋体" w:hAnsi="宋体" w:eastAsia="宋体" w:cs="宋体"/>
        </w:rPr>
      </w:pPr>
    </w:p>
    <w:p w14:paraId="267CF05E">
      <w:pPr>
        <w:rPr>
          <w:rFonts w:hint="eastAsia" w:ascii="宋体" w:hAnsi="宋体" w:eastAsia="宋体" w:cs="宋体"/>
        </w:rPr>
      </w:pPr>
    </w:p>
    <w:p w14:paraId="5012AD98">
      <w:pPr>
        <w:pStyle w:val="2"/>
        <w:ind w:firstLine="420"/>
        <w:rPr>
          <w:rFonts w:hint="eastAsia" w:ascii="宋体" w:hAnsi="宋体" w:eastAsia="宋体" w:cs="宋体"/>
        </w:rPr>
      </w:pPr>
    </w:p>
    <w:p w14:paraId="175A15CF">
      <w:pPr>
        <w:rPr>
          <w:rFonts w:hint="eastAsia" w:ascii="宋体" w:hAnsi="宋体" w:eastAsia="宋体" w:cs="宋体"/>
        </w:rPr>
      </w:pPr>
    </w:p>
    <w:p w14:paraId="1FAB23EE">
      <w:pPr>
        <w:pStyle w:val="2"/>
        <w:ind w:firstLine="420"/>
        <w:rPr>
          <w:rFonts w:hint="eastAsia" w:ascii="宋体" w:hAnsi="宋体" w:eastAsia="宋体" w:cs="宋体"/>
        </w:rPr>
      </w:pPr>
    </w:p>
    <w:p w14:paraId="7778BD5B">
      <w:pPr>
        <w:rPr>
          <w:rFonts w:hint="eastAsia" w:ascii="宋体" w:hAnsi="宋体" w:eastAsia="宋体" w:cs="宋体"/>
        </w:rPr>
      </w:pPr>
    </w:p>
    <w:p w14:paraId="454D2194">
      <w:pPr>
        <w:pStyle w:val="2"/>
        <w:ind w:firstLine="420"/>
        <w:rPr>
          <w:rFonts w:hint="eastAsia" w:ascii="宋体" w:hAnsi="宋体" w:eastAsia="宋体" w:cs="宋体"/>
        </w:rPr>
      </w:pPr>
    </w:p>
    <w:p w14:paraId="6DBB92C0">
      <w:pPr>
        <w:rPr>
          <w:rFonts w:hint="eastAsia" w:ascii="宋体" w:hAnsi="宋体" w:eastAsia="宋体" w:cs="宋体"/>
        </w:rPr>
      </w:pPr>
    </w:p>
    <w:p w14:paraId="43E69CBB">
      <w:pPr>
        <w:pStyle w:val="2"/>
        <w:ind w:firstLine="420"/>
        <w:rPr>
          <w:rFonts w:hint="eastAsia" w:ascii="宋体" w:hAnsi="宋体" w:eastAsia="宋体" w:cs="宋体"/>
        </w:rPr>
      </w:pPr>
    </w:p>
    <w:p w14:paraId="61B441C2">
      <w:pPr>
        <w:pStyle w:val="4"/>
        <w:spacing w:line="320" w:lineRule="exact"/>
        <w:rPr>
          <w:rFonts w:hint="eastAsia" w:ascii="宋体" w:hAnsi="宋体" w:eastAsia="宋体" w:cs="宋体"/>
          <w:b w:val="0"/>
          <w:sz w:val="36"/>
          <w:szCs w:val="36"/>
        </w:rPr>
      </w:pPr>
      <w:r>
        <w:rPr>
          <w:rFonts w:hint="eastAsia" w:ascii="宋体" w:hAnsi="宋体" w:eastAsia="宋体" w:cs="宋体"/>
          <w:sz w:val="24"/>
        </w:rPr>
        <w:t>附件10：报价明细表</w:t>
      </w:r>
    </w:p>
    <w:p w14:paraId="381F8AD1">
      <w:pPr>
        <w:jc w:val="center"/>
        <w:rPr>
          <w:rFonts w:hint="eastAsia" w:ascii="宋体" w:hAnsi="宋体" w:eastAsia="宋体" w:cs="宋体"/>
          <w:b/>
          <w:sz w:val="36"/>
          <w:szCs w:val="36"/>
        </w:rPr>
      </w:pPr>
      <w:r>
        <w:rPr>
          <w:rFonts w:hint="eastAsia" w:ascii="宋体" w:hAnsi="宋体" w:eastAsia="宋体" w:cs="宋体"/>
          <w:b/>
          <w:sz w:val="36"/>
          <w:szCs w:val="36"/>
        </w:rPr>
        <w:t>报价明细表</w:t>
      </w:r>
    </w:p>
    <w:p w14:paraId="368E52CA">
      <w:pPr>
        <w:widowControl/>
        <w:ind w:firstLine="7560" w:firstLineChars="4200"/>
        <w:rPr>
          <w:rFonts w:hint="eastAsia" w:ascii="宋体" w:hAnsi="宋体" w:eastAsia="宋体" w:cs="宋体"/>
          <w:kern w:val="0"/>
          <w:sz w:val="18"/>
          <w:szCs w:val="18"/>
        </w:rPr>
      </w:pPr>
      <w:r>
        <w:rPr>
          <w:rFonts w:hint="eastAsia" w:ascii="宋体" w:hAnsi="宋体" w:eastAsia="宋体" w:cs="宋体"/>
          <w:kern w:val="0"/>
          <w:sz w:val="18"/>
          <w:szCs w:val="18"/>
        </w:rPr>
        <w:t>单位：人民币元</w:t>
      </w:r>
    </w:p>
    <w:tbl>
      <w:tblPr>
        <w:tblStyle w:val="14"/>
        <w:tblW w:w="9760" w:type="dxa"/>
        <w:tblInd w:w="0" w:type="dxa"/>
        <w:shd w:val="clear" w:color="auto" w:fill="auto"/>
        <w:tblLayout w:type="fixed"/>
        <w:tblCellMar>
          <w:top w:w="0" w:type="dxa"/>
          <w:left w:w="0" w:type="dxa"/>
          <w:bottom w:w="0" w:type="dxa"/>
          <w:right w:w="0" w:type="dxa"/>
        </w:tblCellMar>
      </w:tblPr>
      <w:tblGrid>
        <w:gridCol w:w="589"/>
        <w:gridCol w:w="1208"/>
        <w:gridCol w:w="4668"/>
        <w:gridCol w:w="839"/>
        <w:gridCol w:w="842"/>
        <w:gridCol w:w="743"/>
        <w:gridCol w:w="871"/>
      </w:tblGrid>
      <w:tr w14:paraId="1361C341">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EEA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67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4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C19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65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D1A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9E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单价</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022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合价</w:t>
            </w:r>
          </w:p>
        </w:tc>
      </w:tr>
      <w:tr w14:paraId="257AA5E4">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E9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F5A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05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1、类型:指路牌标志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2、材质、规格尺寸:4000*2400*3mm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二、φ377 F杆及基础浇筑: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2、材质:Q235焊接钢管，热轧无缝钢管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φ377*12mm 无缝钢管，横梁φ180*12mm 无缝钢管、横梁φ140*10mm 无缝钢管，连接钢管 φ121*10mm无缝钢管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4、油漆品种:钢构件热镀锌后喷塑，底部外包菠萝格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7、1800*2600*2400mmC25混凝土基础浇筑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AFE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5AD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20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2B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24FFA6B0">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D69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7AA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DA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1、类型:指路牌标志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2、材质、规格尺寸:3000*1500*3mm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二、φ325 F杆及基础浇筑: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2、材质:Q235焊接钢管，热轧无缝钢管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φ325*12mm 无缝钢管，横梁φ168*10mm 无缝钢管、横梁φ140*10mm 无缝钢管，连接钢管 φ121*10mm无缝钢管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7、1800*2600*2400mmC25混凝土基础浇筑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327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F04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A0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AD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5CE6ED02">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B71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3B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道路路名牌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4B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1、类型:路名牌标志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2、材质、规格尺寸:1500*360*2mm厚热镀锌钢板路名牌，1400*340*40mm热镀锌方钢管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4、标志板与杆件安装，包括安装及配件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9C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B3D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D6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8B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4E8A5108">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1B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95E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A2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1、类型:注意行人标志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2、材质、规格尺寸:△900*2mm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93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95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30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50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26E62EDB">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A3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FCB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5FA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1、类型:人行横道标志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2、材质、规格尺寸:800*800*2mm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A8D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74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C95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8A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6E398E66">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21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34C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AD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1、类型:停车让行标志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2、材质、规格尺寸:D800*2mm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84B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DD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05D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613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0C4E430F">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BC7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D1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754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1、类型:停车让行标志、禁止左转标志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2、材质、规格尺寸:D800*2mm 铝合金板一块，φ800*2mm 铝合金板一块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7、800*400*400mmC30混凝土基础浇筑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FC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F8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4D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E8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7A755CC4">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4B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523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26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1、类型:禁止行驶标志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二、φ120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φ120*5mm 热镀锌钢管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7、800*400*400mmC25混凝土基础浇筑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07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EC8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013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C5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3D76552A">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D4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FD7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CD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1、类型:车道指引标牌，禁止行驶标牌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铝合金板2块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二、φ180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1、类型:双悬臂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φ180*10mm 无缝钢管，横梁φ121*6mm无缝钢管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7、1000*1600*1300mmC25混凝土基础浇筑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87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55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F4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1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5DA9498E">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FF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40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42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1、类型:限速标志，禁止停车标志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铝合金板2块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二、φ168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φ168*6mm 无缝钢管，横梁φ76*4mm无缝钢管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7、1000*1600*1300mmC25混凝土基础浇筑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85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D1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828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898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2176019B">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CCF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52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70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1、类型:车道指引标牌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2、材质、规格尺寸:φ800*2mm 铝合金板2块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二、φ168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1、类型:单悬臂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φ168*6mm 无缝钢管，横梁φ76*4mm无缝钢管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7、1000*1600*1300mmC25混凝土基础浇筑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B4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BA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90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30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15BBE81E">
        <w:tblPrEx>
          <w:shd w:val="clear" w:color="auto" w:fill="auto"/>
          <w:tblCellMar>
            <w:top w:w="0" w:type="dxa"/>
            <w:left w:w="0" w:type="dxa"/>
            <w:bottom w:w="0" w:type="dxa"/>
            <w:right w:w="0"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3AF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6B7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道路指示牌</w:t>
            </w:r>
          </w:p>
        </w:tc>
        <w:tc>
          <w:tcPr>
            <w:tcW w:w="4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BB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一、标志板: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1、类型:线形诱导标志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2、材质、规格尺寸:1600*600*2mm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3、板面反光膜等级:高强级Ⅳ类反光膜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4、标志板与杆件采用铝槽接驳，包括安装及配件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5、含文字、图案、标志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二、φ89 杆及基础浇筑: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1、类型:双柱式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2、材质:无缝钢管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3、规格尺寸:立柱 φ89mm 无缝钢管*2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4、油漆品种:钢构件热镀锌后喷塑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5、基础土方开挖、回填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6、定制预埋件钢筋、法兰、模板及其余配件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7、400*400*600mm*2 C25混凝土基础浇筑</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AA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B4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14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3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color w:val="000000"/>
                <w:sz w:val="21"/>
                <w:szCs w:val="21"/>
                <w:u w:val="none"/>
              </w:rPr>
            </w:pPr>
          </w:p>
        </w:tc>
      </w:tr>
      <w:tr w14:paraId="3BD1B13C">
        <w:tblPrEx>
          <w:shd w:val="clear" w:color="auto" w:fill="auto"/>
          <w:tblCellMar>
            <w:top w:w="0" w:type="dxa"/>
            <w:left w:w="0" w:type="dxa"/>
            <w:bottom w:w="0" w:type="dxa"/>
            <w:right w:w="0" w:type="dxa"/>
          </w:tblCellMar>
        </w:tblPrEx>
        <w:trPr>
          <w:trHeight w:val="90" w:hRule="atLeast"/>
        </w:trPr>
        <w:tc>
          <w:tcPr>
            <w:tcW w:w="97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5A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合计：   元整 （¥：      元）</w:t>
            </w:r>
          </w:p>
        </w:tc>
      </w:tr>
    </w:tbl>
    <w:p w14:paraId="57465102">
      <w:pPr>
        <w:pStyle w:val="2"/>
        <w:keepNext w:val="0"/>
        <w:keepLines w:val="0"/>
        <w:pageBreakBefore w:val="0"/>
        <w:kinsoku/>
        <w:wordWrap/>
        <w:overflowPunct/>
        <w:topLinePunct w:val="0"/>
        <w:bidi w:val="0"/>
        <w:adjustRightInd/>
        <w:snapToGrid/>
        <w:spacing w:line="500" w:lineRule="exact"/>
        <w:ind w:firstLine="420"/>
        <w:textAlignment w:val="auto"/>
        <w:rPr>
          <w:rFonts w:hint="eastAsia" w:ascii="宋体" w:hAnsi="宋体" w:eastAsia="宋体" w:cs="宋体"/>
        </w:rPr>
      </w:pPr>
      <w:r>
        <w:rPr>
          <w:rFonts w:hint="eastAsia" w:ascii="宋体" w:hAnsi="宋体" w:eastAsia="宋体" w:cs="宋体"/>
        </w:rPr>
        <w:t>注：1.技术参数为采购人最低要求，投标人原则上均需完全响应，只允许正偏离，不允许出现负偏离，所有的配件、基础等设置、配置均需满足相关验收要求。</w:t>
      </w:r>
    </w:p>
    <w:p w14:paraId="0AFD95CB">
      <w:pPr>
        <w:keepNext w:val="0"/>
        <w:keepLines w:val="0"/>
        <w:pageBreakBefore w:val="0"/>
        <w:kinsoku/>
        <w:wordWrap/>
        <w:overflowPunct/>
        <w:topLinePunct w:val="0"/>
        <w:bidi w:val="0"/>
        <w:adjustRightInd/>
        <w:snapToGrid/>
        <w:spacing w:line="500" w:lineRule="exact"/>
        <w:ind w:firstLine="840" w:firstLineChars="400"/>
        <w:textAlignment w:val="auto"/>
        <w:rPr>
          <w:rFonts w:hint="eastAsia" w:ascii="宋体" w:hAnsi="宋体" w:eastAsia="宋体" w:cs="宋体"/>
        </w:rPr>
      </w:pPr>
      <w:r>
        <w:rPr>
          <w:rFonts w:hint="eastAsia" w:ascii="宋体" w:hAnsi="宋体" w:eastAsia="宋体" w:cs="宋体"/>
        </w:rPr>
        <w:t>2.投标人如有正偏离，技术参数中需按投标人拟投入的正偏离参数计入。</w:t>
      </w:r>
    </w:p>
    <w:bookmarkEnd w:id="71"/>
    <w:p w14:paraId="7548D0E1">
      <w:pPr>
        <w:pStyle w:val="2"/>
        <w:rPr>
          <w:rFonts w:hint="eastAsia"/>
        </w:rPr>
      </w:pPr>
    </w:p>
    <w:p w14:paraId="14AB4492">
      <w:pPr>
        <w:pStyle w:val="2"/>
        <w:keepNext w:val="0"/>
        <w:keepLines w:val="0"/>
        <w:pageBreakBefore w:val="0"/>
        <w:kinsoku/>
        <w:wordWrap/>
        <w:overflowPunct/>
        <w:topLinePunct w:val="0"/>
        <w:bidi w:val="0"/>
        <w:adjustRightInd/>
        <w:snapToGrid/>
        <w:spacing w:line="500" w:lineRule="exact"/>
        <w:ind w:firstLine="420"/>
        <w:textAlignment w:val="auto"/>
        <w:rPr>
          <w:rFonts w:hint="eastAsia" w:ascii="宋体" w:hAnsi="宋体" w:eastAsia="宋体" w:cs="宋体"/>
        </w:rPr>
      </w:pPr>
      <w:r>
        <w:rPr>
          <w:rFonts w:hint="eastAsia" w:ascii="宋体" w:hAnsi="宋体" w:eastAsia="宋体" w:cs="宋体"/>
        </w:rPr>
        <w:t>投标人(公章)：</w:t>
      </w:r>
    </w:p>
    <w:p w14:paraId="4230EBE2">
      <w:pPr>
        <w:pStyle w:val="2"/>
        <w:keepNext w:val="0"/>
        <w:keepLines w:val="0"/>
        <w:pageBreakBefore w:val="0"/>
        <w:kinsoku/>
        <w:wordWrap/>
        <w:overflowPunct/>
        <w:topLinePunct w:val="0"/>
        <w:bidi w:val="0"/>
        <w:adjustRightInd/>
        <w:snapToGrid/>
        <w:spacing w:line="500" w:lineRule="exact"/>
        <w:ind w:firstLine="420"/>
        <w:textAlignment w:val="auto"/>
        <w:rPr>
          <w:rFonts w:hint="eastAsia" w:ascii="宋体" w:hAnsi="宋体" w:eastAsia="宋体" w:cs="宋体"/>
        </w:rPr>
      </w:pPr>
      <w:r>
        <w:rPr>
          <w:rFonts w:hint="eastAsia" w:ascii="宋体" w:hAnsi="宋体" w:eastAsia="宋体" w:cs="宋体"/>
        </w:rPr>
        <w:t xml:space="preserve">日期：     年 </w:t>
      </w:r>
      <w:r>
        <w:rPr>
          <w:rFonts w:hint="eastAsia" w:hAnsi="宋体" w:cs="宋体"/>
          <w:lang w:val="en-US" w:eastAsia="zh-CN"/>
        </w:rPr>
        <w:t xml:space="preserve"> </w:t>
      </w:r>
      <w:r>
        <w:rPr>
          <w:rFonts w:hint="eastAsia" w:ascii="宋体" w:hAnsi="宋体" w:eastAsia="宋体" w:cs="宋体"/>
        </w:rPr>
        <w:t xml:space="preserve">  月    日</w:t>
      </w:r>
    </w:p>
    <w:p w14:paraId="6EB9CF0F">
      <w:pPr>
        <w:rPr>
          <w:rFonts w:hint="eastAsia" w:ascii="宋体" w:hAnsi="宋体" w:eastAsia="宋体" w:cs="宋体"/>
        </w:rPr>
      </w:pPr>
    </w:p>
    <w:p w14:paraId="7A3125C0"/>
    <w:sectPr>
      <w:headerReference r:id="rId11" w:type="default"/>
      <w:footerReference r:id="rId12" w:type="default"/>
      <w:pgSz w:w="11907" w:h="16841"/>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5912">
    <w:pPr>
      <w:spacing w:line="219" w:lineRule="auto"/>
      <w:ind w:left="3922"/>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56782">
                          <w:pPr>
                            <w:pStyle w:val="9"/>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656782">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4562">
    <w:pPr>
      <w:spacing w:line="219" w:lineRule="auto"/>
      <w:ind w:left="4136"/>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1768F">
                          <w:pPr>
                            <w:pStyle w:val="9"/>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011768F">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A36F">
    <w:pPr>
      <w:spacing w:line="219" w:lineRule="auto"/>
      <w:ind w:left="4136"/>
      <w:rPr>
        <w:rFonts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596836">
                          <w:pPr>
                            <w:pStyle w:val="9"/>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596836">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96ED8">
    <w:pPr>
      <w:spacing w:line="219" w:lineRule="auto"/>
      <w:ind w:left="4136"/>
      <w:rPr>
        <w:rFonts w:ascii="宋体" w:hAnsi="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C4982">
                          <w:pPr>
                            <w:pStyle w:val="9"/>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4EC4982">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FBC7">
    <w:pPr>
      <w:pStyle w:val="9"/>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B2754D">
                          <w:pPr>
                            <w:pStyle w:val="9"/>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CB2754D">
                    <w:pPr>
                      <w:pStyle w:val="9"/>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17A63C">
                          <w:pPr>
                            <w:pStyle w:val="9"/>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2A17A63C">
                    <w:pPr>
                      <w:pStyle w:val="9"/>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8CA0">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44AA">
    <w:pPr>
      <w:pStyle w:val="11"/>
      <w:rPr>
        <w:rFonts w:hint="eastAsia" w:eastAsia="宋体"/>
        <w:lang w:eastAsia="zh-CN"/>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5599">
    <w:pPr>
      <w:pStyle w:val="11"/>
      <w:rPr>
        <w:rFonts w:hint="eastAsia" w:eastAsia="宋体"/>
        <w:lang w:eastAsia="zh-CN"/>
      </w:rPr>
    </w:pPr>
    <w:r>
      <w:rPr>
        <w:rFonts w:hint="eastAsia"/>
      </w:rPr>
      <w:t xml:space="preserve">                </w:t>
    </w:r>
    <w:r>
      <w:rPr>
        <w:rFonts w:hint="eastAsia" w:ascii="宋体" w:hAnsi="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0826">
    <w:pPr>
      <w:pStyle w:val="11"/>
      <w:rPr>
        <w:rFonts w:hint="eastAsia" w:eastAsia="宋体"/>
        <w:lang w:eastAsia="zh-CN"/>
      </w:rPr>
    </w:pPr>
    <w:r>
      <w:rPr>
        <w:rFonts w:hint="eastAsia"/>
      </w:rPr>
      <w:t xml:space="preserve">                    </w:t>
    </w:r>
    <w:r>
      <w:rPr>
        <w:rFonts w:hint="eastAsia" w:ascii="宋体" w:hAnsi="宋体"/>
      </w:rPr>
      <w:t xml:space="preserve">   </w:t>
    </w:r>
    <w:r>
      <w:rPr>
        <w:rFonts w:hint="eastAsia" w:ascii="宋体" w:hAnsi="宋体"/>
        <w:lang w:eastAsia="zh-CN"/>
      </w:rPr>
      <w:t>嘉兴锦大工程管理咨询有限公司</w:t>
    </w:r>
    <w:r>
      <w:rPr>
        <w:rFonts w:hint="eastAsia" w:ascii="宋体" w:hAnsi="宋体"/>
      </w:rPr>
      <w:t>采购文件                     项目编号：</w:t>
    </w:r>
    <w:r>
      <w:rPr>
        <w:rFonts w:hint="eastAsia" w:ascii="宋体" w:hAnsi="宋体" w:cs="Arial"/>
        <w:szCs w:val="21"/>
        <w:lang w:eastAsia="zh-CN"/>
      </w:rPr>
      <w:t>JDCG2025019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5FF4">
    <w:pPr>
      <w:pStyle w:val="11"/>
      <w:wordWrap w:val="0"/>
      <w:jc w:val="right"/>
      <w:rPr>
        <w:rFonts w:hint="eastAsia" w:ascii="宋体" w:hAnsi="宋体" w:eastAsia="宋体" w:cs="Arial"/>
        <w:szCs w:val="21"/>
        <w:lang w:eastAsia="zh-CN"/>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E694E"/>
    <w:multiLevelType w:val="singleLevel"/>
    <w:tmpl w:val="BE7E694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6C7B"/>
    <w:rsid w:val="01252E86"/>
    <w:rsid w:val="0C7A3FC1"/>
    <w:rsid w:val="0E597C42"/>
    <w:rsid w:val="178E1177"/>
    <w:rsid w:val="1F7D188F"/>
    <w:rsid w:val="242A7DE2"/>
    <w:rsid w:val="242E5F65"/>
    <w:rsid w:val="2F936CC2"/>
    <w:rsid w:val="313005CA"/>
    <w:rsid w:val="39EE0045"/>
    <w:rsid w:val="3D2A1C49"/>
    <w:rsid w:val="42C37C1F"/>
    <w:rsid w:val="484A2B4B"/>
    <w:rsid w:val="49B11F7C"/>
    <w:rsid w:val="49C337B7"/>
    <w:rsid w:val="51F61F4F"/>
    <w:rsid w:val="58B72B72"/>
    <w:rsid w:val="602B1844"/>
    <w:rsid w:val="63BB159E"/>
    <w:rsid w:val="655C7EA5"/>
    <w:rsid w:val="6DAB4257"/>
    <w:rsid w:val="763E3406"/>
    <w:rsid w:val="765462BC"/>
    <w:rsid w:val="78F36141"/>
    <w:rsid w:val="7D250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5">
    <w:name w:val="Body Text"/>
    <w:basedOn w:val="1"/>
    <w:next w:val="6"/>
    <w:qFormat/>
    <w:uiPriority w:val="0"/>
    <w:pPr>
      <w:jc w:val="center"/>
    </w:pPr>
    <w:rPr>
      <w:sz w:val="28"/>
      <w:szCs w:val="20"/>
    </w:rPr>
  </w:style>
  <w:style w:type="paragraph" w:styleId="6">
    <w:name w:val="Body Text First Indent"/>
    <w:basedOn w:val="5"/>
    <w:next w:val="1"/>
    <w:qFormat/>
    <w:uiPriority w:val="0"/>
    <w:pPr>
      <w:spacing w:after="120"/>
      <w:ind w:firstLine="420"/>
      <w:jc w:val="both"/>
    </w:pPr>
    <w:rPr>
      <w:sz w:val="21"/>
    </w:rPr>
  </w:style>
  <w:style w:type="paragraph" w:styleId="7">
    <w:name w:val="Plain Text"/>
    <w:basedOn w:val="1"/>
    <w:qFormat/>
    <w:uiPriority w:val="0"/>
    <w:rPr>
      <w:rFonts w:ascii="宋体" w:hAnsi="Courier New"/>
    </w:rPr>
  </w:style>
  <w:style w:type="paragraph" w:styleId="8">
    <w:name w:val="Date"/>
    <w:basedOn w:val="1"/>
    <w:next w:val="1"/>
    <w:qFormat/>
    <w:uiPriority w:val="0"/>
  </w:style>
  <w:style w:type="paragraph" w:styleId="9">
    <w:name w:val="footer"/>
    <w:basedOn w:val="1"/>
    <w:next w:val="10"/>
    <w:qFormat/>
    <w:uiPriority w:val="0"/>
    <w:pPr>
      <w:tabs>
        <w:tab w:val="center" w:pos="4153"/>
        <w:tab w:val="right" w:pos="8306"/>
      </w:tabs>
      <w:snapToGrid w:val="0"/>
      <w:jc w:val="left"/>
    </w:pPr>
    <w:rPr>
      <w:sz w:val="18"/>
    </w:rPr>
  </w:style>
  <w:style w:type="paragraph" w:styleId="10">
    <w:name w:val="toc 2"/>
    <w:basedOn w:val="1"/>
    <w:next w:val="1"/>
    <w:qFormat/>
    <w:uiPriority w:val="39"/>
    <w:pPr>
      <w:ind w:left="210"/>
      <w:jc w:val="left"/>
    </w:pPr>
    <w:rPr>
      <w:smallCaps/>
      <w:sz w:val="20"/>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leader="dot" w:pos="9629"/>
      </w:tabs>
      <w:spacing w:before="120" w:after="120" w:line="480" w:lineRule="auto"/>
      <w:jc w:val="left"/>
    </w:pPr>
    <w:rPr>
      <w:rFonts w:eastAsia="楷体_GB2312"/>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Hyperlink"/>
    <w:qFormat/>
    <w:uiPriority w:val="99"/>
    <w:rPr>
      <w:color w:val="000000"/>
      <w:u w:val="none"/>
    </w:rPr>
  </w:style>
  <w:style w:type="paragraph" w:customStyle="1" w:styleId="17">
    <w:name w:val="正文段"/>
    <w:basedOn w:val="1"/>
    <w:qFormat/>
    <w:uiPriority w:val="0"/>
    <w:pPr>
      <w:widowControl/>
      <w:snapToGrid w:val="0"/>
      <w:spacing w:after="50" w:afterLines="50"/>
      <w:ind w:firstLine="200" w:firstLineChars="200"/>
    </w:pPr>
    <w:rPr>
      <w:kern w:val="0"/>
      <w:sz w:val="24"/>
      <w:szCs w:val="20"/>
    </w:rPr>
  </w:style>
  <w:style w:type="paragraph" w:customStyle="1" w:styleId="18">
    <w:name w:val="Table Paragraph"/>
    <w:basedOn w:val="1"/>
    <w:qFormat/>
    <w:uiPriority w:val="1"/>
    <w:pPr>
      <w:jc w:val="left"/>
    </w:pPr>
    <w:rPr>
      <w:rFonts w:ascii="Calibri" w:hAnsi="Calibri"/>
      <w:kern w:val="0"/>
      <w:sz w:val="22"/>
      <w:szCs w:val="22"/>
      <w:lang w:eastAsia="en-US"/>
    </w:rPr>
  </w:style>
  <w:style w:type="paragraph" w:customStyle="1" w:styleId="19">
    <w:name w:val="文件正文"/>
    <w:basedOn w:val="1"/>
    <w:qFormat/>
    <w:uiPriority w:val="0"/>
    <w:pPr>
      <w:spacing w:line="560" w:lineRule="exac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22946</Words>
  <Characters>25417</Characters>
  <Lines>0</Lines>
  <Paragraphs>0</Paragraphs>
  <TotalTime>3</TotalTime>
  <ScaleCrop>false</ScaleCrop>
  <LinksUpToDate>false</LinksUpToDate>
  <CharactersWithSpaces>26902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风中的童话</cp:lastModifiedBy>
  <dcterms:modified xsi:type="dcterms:W3CDTF">2025-06-24T05:50:03Z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eyJoZGlkIjoiMzg1MTMxOTVjN2ZiODA1YzI2OWIxYTkwNjUxMmNkNDkiLCJ1c2VySWQiOiIyNTM4MDc3MDQifQ==</vt:lpwstr>
  </property>
  <property fmtid="{D5CDD505-2E9C-101B-9397-08002B2CF9AE}" pid="4" name="ICV">
    <vt:lpwstr>933D611C68EF48FE8408DFA804AC2AB6_12</vt:lpwstr>
  </property>
</Properties>
</file>