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C9C55">
      <w:pPr>
        <w:spacing w:line="360" w:lineRule="auto"/>
        <w:jc w:val="center"/>
        <w:rPr>
          <w:rFonts w:hint="eastAsia" w:ascii="宋体" w:hAnsi="宋体" w:eastAsia="宋体" w:cs="宋体"/>
          <w:b/>
          <w:color w:val="auto"/>
          <w:sz w:val="24"/>
          <w:highlight w:val="none"/>
        </w:rPr>
      </w:pPr>
    </w:p>
    <w:p w14:paraId="43DD82B6">
      <w:pPr>
        <w:pStyle w:val="972"/>
        <w:spacing w:line="760" w:lineRule="exact"/>
        <w:rPr>
          <w:rFonts w:hint="eastAsia" w:ascii="宋体" w:hAnsi="宋体" w:eastAsia="宋体" w:cs="宋体"/>
          <w:color w:val="auto"/>
          <w:sz w:val="72"/>
          <w:szCs w:val="72"/>
          <w:highlight w:val="none"/>
        </w:rPr>
      </w:pPr>
    </w:p>
    <w:p w14:paraId="5A7D7039">
      <w:pPr>
        <w:pStyle w:val="24"/>
        <w:jc w:val="center"/>
        <w:rPr>
          <w:rFonts w:hint="eastAsia" w:ascii="宋体" w:hAnsi="宋体" w:eastAsia="宋体" w:cs="宋体"/>
          <w:b/>
          <w:bCs/>
          <w:color w:val="auto"/>
          <w:spacing w:val="0"/>
          <w:sz w:val="48"/>
          <w:szCs w:val="48"/>
          <w:highlight w:val="none"/>
          <w:lang w:val="en-US" w:eastAsia="zh-CN"/>
        </w:rPr>
      </w:pPr>
      <w:r>
        <w:rPr>
          <w:rFonts w:hint="eastAsia" w:ascii="宋体" w:hAnsi="宋体" w:eastAsia="宋体" w:cs="宋体"/>
          <w:b/>
          <w:bCs/>
          <w:color w:val="auto"/>
          <w:spacing w:val="0"/>
          <w:sz w:val="48"/>
          <w:szCs w:val="48"/>
          <w:highlight w:val="none"/>
          <w:lang w:val="en-US" w:eastAsia="zh-CN"/>
        </w:rPr>
        <w:t>2025年度杭州市萧山区地方金融组织现场检查和审计服务</w:t>
      </w:r>
    </w:p>
    <w:p w14:paraId="363B1653">
      <w:pPr>
        <w:pStyle w:val="85"/>
        <w:rPr>
          <w:rFonts w:hint="eastAsia" w:ascii="宋体" w:hAnsi="宋体" w:eastAsia="宋体" w:cs="宋体"/>
          <w:color w:val="auto"/>
          <w:highlight w:val="none"/>
          <w:lang w:eastAsia="zh-CN"/>
        </w:rPr>
      </w:pPr>
    </w:p>
    <w:p w14:paraId="34A64638">
      <w:pPr>
        <w:adjustRightInd/>
        <w:spacing w:line="360" w:lineRule="auto"/>
        <w:jc w:val="center"/>
        <w:rPr>
          <w:rFonts w:hint="eastAsia" w:ascii="宋体" w:hAnsi="宋体" w:eastAsia="宋体" w:cs="宋体"/>
          <w:b/>
          <w:bCs/>
          <w:color w:val="auto"/>
          <w:sz w:val="72"/>
          <w:szCs w:val="72"/>
          <w:highlight w:val="none"/>
        </w:rPr>
      </w:pPr>
    </w:p>
    <w:p w14:paraId="38E8C15C">
      <w:pPr>
        <w:pStyle w:val="24"/>
        <w:rPr>
          <w:rFonts w:hint="eastAsia"/>
          <w:color w:val="auto"/>
          <w:highlight w:val="none"/>
        </w:rPr>
      </w:pPr>
    </w:p>
    <w:p w14:paraId="0520A732">
      <w:pPr>
        <w:adjustRightInd/>
        <w:spacing w:line="360" w:lineRule="auto"/>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rPr>
        <w:t>公开竞争</w:t>
      </w:r>
      <w:r>
        <w:rPr>
          <w:rFonts w:hint="eastAsia" w:ascii="宋体" w:hAnsi="宋体" w:eastAsia="宋体" w:cs="宋体"/>
          <w:b/>
          <w:bCs/>
          <w:color w:val="auto"/>
          <w:sz w:val="72"/>
          <w:szCs w:val="72"/>
          <w:highlight w:val="none"/>
          <w:lang w:val="en-US" w:eastAsia="zh-CN"/>
        </w:rPr>
        <w:t>文件</w:t>
      </w:r>
    </w:p>
    <w:p w14:paraId="5480742E">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32"/>
          <w:szCs w:val="32"/>
          <w:highlight w:val="none"/>
        </w:rPr>
        <w:t>（电子交易）</w:t>
      </w:r>
    </w:p>
    <w:p w14:paraId="7BA90239">
      <w:pPr>
        <w:adjustRightInd/>
        <w:spacing w:line="360" w:lineRule="auto"/>
        <w:jc w:val="center"/>
        <w:rPr>
          <w:rFonts w:hint="eastAsia" w:ascii="宋体" w:hAnsi="宋体" w:eastAsia="宋体" w:cs="宋体"/>
          <w:b/>
          <w:color w:val="auto"/>
          <w:sz w:val="44"/>
          <w:szCs w:val="44"/>
          <w:highlight w:val="none"/>
        </w:rPr>
      </w:pPr>
    </w:p>
    <w:p w14:paraId="410790D2">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交易编号：BWZBDL2025-</w:t>
      </w:r>
      <w:r>
        <w:rPr>
          <w:rFonts w:hint="eastAsia" w:ascii="宋体" w:hAnsi="宋体" w:eastAsia="宋体" w:cs="宋体"/>
          <w:b/>
          <w:bCs/>
          <w:color w:val="auto"/>
          <w:sz w:val="30"/>
          <w:szCs w:val="30"/>
          <w:highlight w:val="none"/>
          <w:lang w:val="en-US" w:eastAsia="zh-CN"/>
        </w:rPr>
        <w:t>144</w:t>
      </w:r>
    </w:p>
    <w:p w14:paraId="1A5F5C7B">
      <w:pPr>
        <w:adjustRightInd/>
        <w:spacing w:line="360" w:lineRule="auto"/>
        <w:rPr>
          <w:rFonts w:hint="eastAsia" w:ascii="宋体" w:hAnsi="宋体" w:eastAsia="宋体" w:cs="宋体"/>
          <w:color w:val="auto"/>
          <w:sz w:val="28"/>
          <w:szCs w:val="20"/>
          <w:highlight w:val="none"/>
        </w:rPr>
      </w:pPr>
    </w:p>
    <w:p w14:paraId="1A9848B5">
      <w:pPr>
        <w:spacing w:line="360" w:lineRule="auto"/>
        <w:jc w:val="center"/>
        <w:rPr>
          <w:rFonts w:hint="eastAsia" w:ascii="宋体" w:hAnsi="宋体" w:eastAsia="宋体" w:cs="宋体"/>
          <w:b/>
          <w:color w:val="auto"/>
          <w:sz w:val="44"/>
          <w:szCs w:val="44"/>
          <w:highlight w:val="none"/>
        </w:rPr>
      </w:pPr>
    </w:p>
    <w:p w14:paraId="58E0DBFA">
      <w:pPr>
        <w:spacing w:line="360" w:lineRule="auto"/>
        <w:jc w:val="center"/>
        <w:rPr>
          <w:rFonts w:hint="eastAsia" w:ascii="宋体" w:hAnsi="宋体" w:eastAsia="宋体" w:cs="宋体"/>
          <w:b/>
          <w:color w:val="auto"/>
          <w:sz w:val="44"/>
          <w:szCs w:val="44"/>
          <w:highlight w:val="none"/>
        </w:rPr>
      </w:pPr>
    </w:p>
    <w:p w14:paraId="5F488900">
      <w:pPr>
        <w:pStyle w:val="87"/>
        <w:rPr>
          <w:rFonts w:hint="eastAsia" w:ascii="宋体" w:hAnsi="宋体" w:eastAsia="宋体" w:cs="宋体"/>
          <w:color w:val="auto"/>
          <w:highlight w:val="none"/>
        </w:rPr>
      </w:pPr>
    </w:p>
    <w:p w14:paraId="21AED265">
      <w:pPr>
        <w:pStyle w:val="87"/>
        <w:rPr>
          <w:rFonts w:hint="eastAsia" w:ascii="宋体" w:hAnsi="宋体" w:eastAsia="宋体" w:cs="宋体"/>
          <w:color w:val="auto"/>
          <w:highlight w:val="none"/>
        </w:rPr>
      </w:pPr>
    </w:p>
    <w:p w14:paraId="64AEF483">
      <w:pPr>
        <w:spacing w:line="360" w:lineRule="auto"/>
        <w:ind w:firstLine="964" w:firstLineChars="300"/>
        <w:rPr>
          <w:rFonts w:hint="eastAsia" w:ascii="宋体" w:hAnsi="宋体" w:eastAsia="宋体" w:cs="宋体"/>
          <w:b/>
          <w:color w:val="auto"/>
          <w:spacing w:val="0"/>
          <w:kern w:val="2"/>
          <w:sz w:val="32"/>
          <w:szCs w:val="30"/>
          <w:highlight w:val="none"/>
          <w:lang w:eastAsia="zh-CN"/>
        </w:rPr>
      </w:pPr>
      <w:r>
        <w:rPr>
          <w:rFonts w:hint="eastAsia" w:ascii="宋体" w:hAnsi="宋体" w:eastAsia="宋体" w:cs="宋体"/>
          <w:b/>
          <w:color w:val="auto"/>
          <w:sz w:val="32"/>
          <w:szCs w:val="30"/>
          <w:highlight w:val="none"/>
        </w:rPr>
        <w:t>交易发起人：</w:t>
      </w:r>
      <w:bookmarkStart w:id="0" w:name="OLE_LINK2"/>
      <w:r>
        <w:rPr>
          <w:rFonts w:hint="eastAsia" w:ascii="宋体" w:hAnsi="宋体" w:eastAsia="宋体" w:cs="宋体"/>
          <w:b/>
          <w:color w:val="auto"/>
          <w:spacing w:val="0"/>
          <w:kern w:val="2"/>
          <w:sz w:val="32"/>
          <w:szCs w:val="30"/>
          <w:highlight w:val="none"/>
          <w:lang w:eastAsia="zh-CN"/>
        </w:rPr>
        <w:t>杭州市萧山区人民政府办公室</w:t>
      </w:r>
      <w:bookmarkEnd w:id="0"/>
    </w:p>
    <w:p w14:paraId="59FA7F58">
      <w:pPr>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0"/>
          <w:highlight w:val="none"/>
        </w:rPr>
        <w:t>代理机构：杭州博望建设工程招标投标代理有限公司</w:t>
      </w:r>
    </w:p>
    <w:p w14:paraId="3B1856F0">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eastAsia="zh-CN"/>
        </w:rPr>
        <w:t>七</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lang w:val="en-US" w:eastAsia="zh-CN"/>
        </w:rPr>
        <w:t>十四</w:t>
      </w:r>
      <w:r>
        <w:rPr>
          <w:rFonts w:hint="eastAsia" w:ascii="宋体" w:hAnsi="宋体" w:eastAsia="宋体" w:cs="宋体"/>
          <w:b/>
          <w:color w:val="auto"/>
          <w:sz w:val="32"/>
          <w:szCs w:val="32"/>
          <w:highlight w:val="none"/>
        </w:rPr>
        <w:t>日</w:t>
      </w:r>
    </w:p>
    <w:p w14:paraId="29EE4357">
      <w:pPr>
        <w:jc w:val="center"/>
        <w:rPr>
          <w:rFonts w:hint="eastAsia" w:ascii="宋体" w:hAnsi="宋体" w:eastAsia="宋体" w:cs="宋体"/>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p>
    <w:p w14:paraId="739C5C8B">
      <w:pPr>
        <w:jc w:val="center"/>
        <w:rPr>
          <w:rFonts w:hint="eastAsia" w:ascii="宋体" w:hAnsi="宋体" w:eastAsia="宋体" w:cs="宋体"/>
          <w:b/>
          <w:color w:val="auto"/>
          <w:sz w:val="48"/>
          <w:szCs w:val="48"/>
          <w:highlight w:val="none"/>
        </w:rPr>
      </w:pPr>
    </w:p>
    <w:p w14:paraId="2A6D97A2">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CDB690D">
      <w:pPr>
        <w:spacing w:line="360" w:lineRule="auto"/>
        <w:rPr>
          <w:rFonts w:hint="eastAsia" w:ascii="宋体" w:hAnsi="宋体" w:eastAsia="宋体" w:cs="宋体"/>
          <w:color w:val="auto"/>
          <w:sz w:val="32"/>
          <w:szCs w:val="32"/>
          <w:highlight w:val="none"/>
        </w:rPr>
      </w:pPr>
    </w:p>
    <w:p w14:paraId="23FEB996">
      <w:pPr>
        <w:spacing w:line="360" w:lineRule="auto"/>
        <w:rPr>
          <w:rFonts w:hint="eastAsia" w:ascii="宋体" w:hAnsi="宋体" w:eastAsia="宋体" w:cs="宋体"/>
          <w:color w:val="auto"/>
          <w:sz w:val="32"/>
          <w:szCs w:val="32"/>
          <w:highlight w:val="none"/>
        </w:rPr>
      </w:pPr>
    </w:p>
    <w:p w14:paraId="002A567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14:paraId="1817B7C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响应人须知</w:t>
      </w:r>
    </w:p>
    <w:p w14:paraId="4F55F3C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交易需求</w:t>
      </w:r>
    </w:p>
    <w:p w14:paraId="6C47089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交易办法</w:t>
      </w:r>
    </w:p>
    <w:p w14:paraId="4FC082A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056725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0D906F24">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59CDD727">
      <w:pPr>
        <w:spacing w:line="360" w:lineRule="auto"/>
        <w:ind w:firstLine="549" w:firstLineChars="229"/>
        <w:rPr>
          <w:rFonts w:hint="eastAsia" w:ascii="宋体" w:hAnsi="宋体" w:eastAsia="宋体" w:cs="宋体"/>
          <w:color w:val="auto"/>
          <w:sz w:val="24"/>
          <w:highlight w:val="none"/>
        </w:rPr>
      </w:pPr>
    </w:p>
    <w:p w14:paraId="0F0EE0C9">
      <w:pPr>
        <w:spacing w:line="360" w:lineRule="auto"/>
        <w:ind w:firstLine="549" w:firstLineChars="229"/>
        <w:rPr>
          <w:rFonts w:hint="eastAsia" w:ascii="宋体" w:hAnsi="宋体" w:eastAsia="宋体" w:cs="宋体"/>
          <w:color w:val="auto"/>
          <w:sz w:val="24"/>
          <w:highlight w:val="none"/>
        </w:rPr>
      </w:pPr>
    </w:p>
    <w:p w14:paraId="141FDBF9">
      <w:pPr>
        <w:spacing w:line="360" w:lineRule="auto"/>
        <w:ind w:firstLine="549" w:firstLineChars="229"/>
        <w:rPr>
          <w:rFonts w:hint="eastAsia" w:ascii="宋体" w:hAnsi="宋体" w:eastAsia="宋体" w:cs="宋体"/>
          <w:color w:val="auto"/>
          <w:sz w:val="24"/>
          <w:highlight w:val="none"/>
        </w:rPr>
      </w:pPr>
    </w:p>
    <w:p w14:paraId="1CB86545">
      <w:pPr>
        <w:spacing w:line="360" w:lineRule="auto"/>
        <w:ind w:firstLine="549" w:firstLineChars="229"/>
        <w:rPr>
          <w:rFonts w:hint="eastAsia" w:ascii="宋体" w:hAnsi="宋体" w:eastAsia="宋体" w:cs="宋体"/>
          <w:color w:val="auto"/>
          <w:sz w:val="24"/>
          <w:highlight w:val="none"/>
        </w:rPr>
      </w:pPr>
    </w:p>
    <w:p w14:paraId="321549D8">
      <w:pPr>
        <w:spacing w:line="360" w:lineRule="auto"/>
        <w:ind w:firstLine="549" w:firstLineChars="229"/>
        <w:rPr>
          <w:rFonts w:hint="eastAsia" w:ascii="宋体" w:hAnsi="宋体" w:eastAsia="宋体" w:cs="宋体"/>
          <w:color w:val="auto"/>
          <w:sz w:val="24"/>
          <w:highlight w:val="none"/>
        </w:rPr>
      </w:pPr>
    </w:p>
    <w:p w14:paraId="51B5409F">
      <w:pPr>
        <w:spacing w:line="360" w:lineRule="auto"/>
        <w:ind w:firstLine="549" w:firstLineChars="229"/>
        <w:rPr>
          <w:rFonts w:hint="eastAsia" w:ascii="宋体" w:hAnsi="宋体" w:eastAsia="宋体" w:cs="宋体"/>
          <w:color w:val="auto"/>
          <w:sz w:val="24"/>
          <w:highlight w:val="none"/>
        </w:rPr>
      </w:pPr>
    </w:p>
    <w:p w14:paraId="08BB3A47">
      <w:pPr>
        <w:spacing w:line="360" w:lineRule="auto"/>
        <w:ind w:firstLine="549" w:firstLineChars="229"/>
        <w:rPr>
          <w:rFonts w:hint="eastAsia" w:ascii="宋体" w:hAnsi="宋体" w:eastAsia="宋体" w:cs="宋体"/>
          <w:color w:val="auto"/>
          <w:sz w:val="24"/>
          <w:highlight w:val="none"/>
        </w:rPr>
      </w:pPr>
    </w:p>
    <w:p w14:paraId="5B188602">
      <w:pPr>
        <w:spacing w:line="360" w:lineRule="auto"/>
        <w:ind w:firstLine="549" w:firstLineChars="229"/>
        <w:rPr>
          <w:rFonts w:hint="eastAsia" w:ascii="宋体" w:hAnsi="宋体" w:eastAsia="宋体" w:cs="宋体"/>
          <w:color w:val="auto"/>
          <w:sz w:val="24"/>
          <w:highlight w:val="none"/>
        </w:rPr>
      </w:pPr>
    </w:p>
    <w:p w14:paraId="33EC573A">
      <w:pPr>
        <w:spacing w:line="360" w:lineRule="auto"/>
        <w:ind w:firstLine="549" w:firstLineChars="229"/>
        <w:rPr>
          <w:rFonts w:hint="eastAsia" w:ascii="宋体" w:hAnsi="宋体" w:eastAsia="宋体" w:cs="宋体"/>
          <w:color w:val="auto"/>
          <w:sz w:val="24"/>
          <w:highlight w:val="none"/>
        </w:rPr>
      </w:pPr>
    </w:p>
    <w:p w14:paraId="253529B8">
      <w:pPr>
        <w:spacing w:line="360" w:lineRule="auto"/>
        <w:ind w:firstLine="549" w:firstLineChars="229"/>
        <w:rPr>
          <w:rFonts w:hint="eastAsia" w:ascii="宋体" w:hAnsi="宋体" w:eastAsia="宋体" w:cs="宋体"/>
          <w:color w:val="auto"/>
          <w:sz w:val="24"/>
          <w:highlight w:val="none"/>
        </w:rPr>
      </w:pPr>
    </w:p>
    <w:p w14:paraId="49474CF7">
      <w:pPr>
        <w:spacing w:line="360" w:lineRule="auto"/>
        <w:ind w:firstLine="549" w:firstLineChars="229"/>
        <w:rPr>
          <w:rFonts w:hint="eastAsia" w:ascii="宋体" w:hAnsi="宋体" w:eastAsia="宋体" w:cs="宋体"/>
          <w:color w:val="auto"/>
          <w:sz w:val="24"/>
          <w:highlight w:val="none"/>
        </w:rPr>
      </w:pPr>
    </w:p>
    <w:p w14:paraId="1537C541">
      <w:pPr>
        <w:spacing w:line="360" w:lineRule="auto"/>
        <w:ind w:firstLine="549" w:firstLineChars="229"/>
        <w:rPr>
          <w:rFonts w:hint="eastAsia" w:ascii="宋体" w:hAnsi="宋体" w:eastAsia="宋体" w:cs="宋体"/>
          <w:color w:val="auto"/>
          <w:sz w:val="24"/>
          <w:highlight w:val="none"/>
        </w:rPr>
      </w:pPr>
    </w:p>
    <w:p w14:paraId="02F83448">
      <w:pPr>
        <w:spacing w:line="360" w:lineRule="auto"/>
        <w:rPr>
          <w:rFonts w:hint="eastAsia" w:ascii="宋体" w:hAnsi="宋体" w:eastAsia="宋体" w:cs="宋体"/>
          <w:color w:val="auto"/>
          <w:sz w:val="24"/>
          <w:highlight w:val="none"/>
        </w:rPr>
      </w:pPr>
    </w:p>
    <w:p w14:paraId="57F19D15">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交易公告</w:t>
      </w:r>
    </w:p>
    <w:p w14:paraId="14D10C6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14:paraId="059A84DC">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交易编号：</w:t>
      </w:r>
      <w:r>
        <w:rPr>
          <w:rFonts w:hint="eastAsia" w:ascii="宋体" w:hAnsi="宋体" w:eastAsia="宋体" w:cs="宋体"/>
          <w:b w:val="0"/>
          <w:bCs/>
          <w:color w:val="auto"/>
          <w:sz w:val="24"/>
          <w:highlight w:val="none"/>
        </w:rPr>
        <w:t>BWZBDL2025-</w:t>
      </w:r>
      <w:r>
        <w:rPr>
          <w:rFonts w:hint="eastAsia" w:ascii="宋体" w:hAnsi="宋体" w:eastAsia="宋体" w:cs="宋体"/>
          <w:b w:val="0"/>
          <w:bCs/>
          <w:color w:val="auto"/>
          <w:sz w:val="24"/>
          <w:highlight w:val="none"/>
          <w:lang w:val="en-US" w:eastAsia="zh-CN"/>
        </w:rPr>
        <w:t>144</w:t>
      </w:r>
    </w:p>
    <w:p w14:paraId="587BE566">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交易名称：</w:t>
      </w:r>
      <w:r>
        <w:rPr>
          <w:rFonts w:hint="eastAsia" w:ascii="宋体" w:hAnsi="宋体" w:eastAsia="宋体" w:cs="宋体"/>
          <w:b w:val="0"/>
          <w:bCs/>
          <w:color w:val="auto"/>
          <w:sz w:val="24"/>
          <w:highlight w:val="none"/>
          <w:lang w:val="en-US" w:eastAsia="zh-CN"/>
        </w:rPr>
        <w:t>2025年度杭州市萧山区地方金融组织现场检查和审计服务</w:t>
      </w:r>
    </w:p>
    <w:p w14:paraId="39312246">
      <w:pPr>
        <w:spacing w:line="360" w:lineRule="auto"/>
        <w:ind w:firstLine="482" w:firstLineChars="200"/>
        <w:rPr>
          <w:rFonts w:hint="eastAsia" w:ascii="宋体" w:hAnsi="宋体" w:eastAsia="宋体" w:cs="宋体"/>
          <w:color w:val="auto"/>
          <w:sz w:val="24"/>
          <w:szCs w:val="28"/>
          <w:highlight w:val="none"/>
        </w:rPr>
      </w:pPr>
      <w:r>
        <w:rPr>
          <w:rFonts w:hint="eastAsia" w:ascii="宋体" w:hAnsi="宋体" w:eastAsia="宋体" w:cs="宋体"/>
          <w:b/>
          <w:color w:val="auto"/>
          <w:sz w:val="24"/>
          <w:highlight w:val="none"/>
        </w:rPr>
        <w:t>预算金额（元）：</w:t>
      </w:r>
      <w:r>
        <w:rPr>
          <w:rFonts w:hint="eastAsia" w:ascii="宋体" w:hAnsi="宋体" w:eastAsia="宋体" w:cs="宋体"/>
          <w:b w:val="0"/>
          <w:bCs/>
          <w:color w:val="auto"/>
          <w:sz w:val="24"/>
          <w:highlight w:val="none"/>
          <w:lang w:val="en-US" w:eastAsia="zh-CN"/>
        </w:rPr>
        <w:t>150</w:t>
      </w:r>
      <w:r>
        <w:rPr>
          <w:rFonts w:hint="eastAsia" w:ascii="宋体" w:hAnsi="宋体" w:eastAsia="宋体" w:cs="宋体"/>
          <w:bCs/>
          <w:color w:val="auto"/>
          <w:sz w:val="24"/>
          <w:highlight w:val="none"/>
          <w:lang w:val="en-US" w:eastAsia="zh-CN"/>
        </w:rPr>
        <w:t>000</w:t>
      </w:r>
      <w:r>
        <w:rPr>
          <w:rFonts w:hint="eastAsia" w:ascii="宋体" w:hAnsi="宋体" w:eastAsia="宋体" w:cs="宋体"/>
          <w:bCs/>
          <w:color w:val="auto"/>
          <w:sz w:val="24"/>
          <w:highlight w:val="none"/>
        </w:rPr>
        <w:t>.00</w:t>
      </w:r>
    </w:p>
    <w:p w14:paraId="42E288A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val="0"/>
          <w:bCs/>
          <w:color w:val="auto"/>
          <w:sz w:val="24"/>
          <w:highlight w:val="none"/>
          <w:lang w:val="en-US" w:eastAsia="zh-CN"/>
        </w:rPr>
        <w:t>150000</w:t>
      </w:r>
      <w:r>
        <w:rPr>
          <w:rFonts w:hint="eastAsia" w:ascii="宋体" w:hAnsi="宋体" w:eastAsia="宋体" w:cs="宋体"/>
          <w:bCs/>
          <w:color w:val="auto"/>
          <w:sz w:val="24"/>
          <w:highlight w:val="none"/>
        </w:rPr>
        <w:t>.00</w:t>
      </w:r>
    </w:p>
    <w:p w14:paraId="76E13C2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交易需求：</w:t>
      </w:r>
      <w:r>
        <w:rPr>
          <w:rFonts w:hint="eastAsia" w:ascii="宋体" w:hAnsi="宋体" w:eastAsia="宋体" w:cs="宋体"/>
          <w:bCs/>
          <w:color w:val="auto"/>
          <w:sz w:val="24"/>
          <w:highlight w:val="none"/>
          <w:lang w:eastAsia="zh-CN"/>
        </w:rPr>
        <w:t>2025年度杭州市萧山区地方金融组织现场检查和审计服务</w:t>
      </w:r>
      <w:r>
        <w:rPr>
          <w:rFonts w:hint="eastAsia" w:ascii="宋体" w:hAnsi="宋体" w:eastAsia="宋体" w:cs="宋体"/>
          <w:color w:val="auto"/>
          <w:sz w:val="24"/>
          <w:highlight w:val="none"/>
        </w:rPr>
        <w:t>，详见交易需求。</w:t>
      </w:r>
    </w:p>
    <w:p w14:paraId="5EB01887">
      <w:pPr>
        <w:pStyle w:val="16"/>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详见公开竞争文件</w:t>
      </w:r>
    </w:p>
    <w:p w14:paraId="16469F20">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Cs/>
          <w:color w:val="auto"/>
          <w:sz w:val="24"/>
          <w:highlight w:val="none"/>
        </w:rPr>
        <w:t>（ ）是；（√）否。</w:t>
      </w:r>
    </w:p>
    <w:p w14:paraId="6AF48DB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38084E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881A7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743894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22D2E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A0CA0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14:paraId="226D36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4C959576">
      <w:pPr>
        <w:pStyle w:val="62"/>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rPr>
        <w:t>7、本项目的特定资格要求：</w:t>
      </w:r>
      <w:r>
        <w:rPr>
          <w:rFonts w:hint="eastAsia" w:ascii="宋体" w:hAnsi="宋体" w:eastAsia="宋体" w:cs="宋体"/>
          <w:color w:val="auto"/>
          <w:highlight w:val="none"/>
          <w:lang w:val="en-US"/>
        </w:rPr>
        <w:t>无；</w:t>
      </w:r>
    </w:p>
    <w:p w14:paraId="2E45DD53">
      <w:pPr>
        <w:pStyle w:val="62"/>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8、</w:t>
      </w:r>
      <w:r>
        <w:rPr>
          <w:rFonts w:hint="eastAsia" w:ascii="宋体" w:hAnsi="宋体" w:eastAsia="宋体" w:cs="宋体"/>
          <w:color w:val="auto"/>
          <w:highlight w:val="none"/>
        </w:rPr>
        <w:t>本项目不接受联合体参与（潜在响应人能独立完成本项目）。</w:t>
      </w:r>
    </w:p>
    <w:p w14:paraId="7234DF6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三、获取公开竞争文件</w:t>
      </w:r>
    </w:p>
    <w:p w14:paraId="0B5E800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21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14:paraId="2949558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乐采云平台（www.lecaiyun.com）</w:t>
      </w:r>
    </w:p>
    <w:p w14:paraId="5C40EA5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响应人登录乐采云平台（www.lecaiyun.com）在线申请获取公开竞争文件（进入“项目采购”应用，在获取采购文件菜单中选择项目，申请获取公开竞争文件）。 </w:t>
      </w:r>
    </w:p>
    <w:p w14:paraId="5418C1F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14:paraId="2DB6CE5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14:paraId="6CEA363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21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14:paraId="08A17D5C">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乐采云平台（www.lecaiyun.com） </w:t>
      </w:r>
    </w:p>
    <w:p w14:paraId="41F13BE3">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21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p>
    <w:p w14:paraId="0C7B892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乐采云平台（www.lecaiyun.com）</w:t>
      </w:r>
    </w:p>
    <w:p w14:paraId="2ED8CD8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五、其他补充事宜</w:t>
      </w:r>
    </w:p>
    <w:p w14:paraId="26A768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03A2BA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54E32E8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六、对本次交易提出异议、投诉，请按以下方式联系</w:t>
      </w:r>
    </w:p>
    <w:p w14:paraId="7236397C">
      <w:pPr>
        <w:widowControl/>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1、交易发起人信息</w:t>
      </w:r>
    </w:p>
    <w:p w14:paraId="515AB525">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杭州市萧山区人民政府办公室</w:t>
      </w:r>
    </w:p>
    <w:p w14:paraId="6826F5A5">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rPr>
        <w:t>杭州市萧山区行政中心</w:t>
      </w:r>
      <w:r>
        <w:rPr>
          <w:rFonts w:hint="eastAsia" w:ascii="宋体" w:hAnsi="宋体" w:cs="宋体"/>
          <w:color w:val="auto"/>
          <w:sz w:val="24"/>
          <w:highlight w:val="none"/>
          <w:lang w:val="en-US" w:eastAsia="zh-CN"/>
        </w:rPr>
        <w:t>3号楼</w:t>
      </w:r>
    </w:p>
    <w:p w14:paraId="351BAC2C">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陈女士</w:t>
      </w:r>
    </w:p>
    <w:p w14:paraId="49DCABC8">
      <w:pPr>
        <w:spacing w:line="360" w:lineRule="auto"/>
        <w:ind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w:t>
      </w:r>
      <w:bookmarkStart w:id="11" w:name="_Toc28359086"/>
      <w:bookmarkStart w:id="12" w:name="_Toc28359009"/>
      <w:r>
        <w:rPr>
          <w:rFonts w:hint="eastAsia" w:ascii="宋体" w:hAnsi="宋体" w:cs="宋体"/>
          <w:color w:val="auto"/>
          <w:sz w:val="24"/>
          <w:highlight w:val="none"/>
          <w:lang w:val="en-US" w:eastAsia="zh-CN"/>
        </w:rPr>
        <w:t>0571-89619022</w:t>
      </w:r>
    </w:p>
    <w:p w14:paraId="5D042BD7">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bookmarkEnd w:id="11"/>
      <w:bookmarkEnd w:id="12"/>
      <w:r>
        <w:rPr>
          <w:rFonts w:hint="eastAsia" w:ascii="宋体" w:hAnsi="宋体" w:eastAsia="宋体" w:cs="宋体"/>
          <w:color w:val="auto"/>
          <w:sz w:val="24"/>
          <w:szCs w:val="28"/>
          <w:highlight w:val="none"/>
        </w:rPr>
        <w:t>、代理机构信息</w:t>
      </w:r>
    </w:p>
    <w:p w14:paraId="1B8E56DC">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14:paraId="72B543E1">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14:paraId="3050EB45">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项目联系人（询问）：</w:t>
      </w:r>
      <w:r>
        <w:rPr>
          <w:rFonts w:hint="eastAsia" w:ascii="宋体" w:hAnsi="宋体" w:eastAsia="宋体" w:cs="宋体"/>
          <w:color w:val="auto"/>
          <w:sz w:val="24"/>
          <w:szCs w:val="28"/>
          <w:highlight w:val="none"/>
          <w:lang w:val="en-US" w:eastAsia="zh-CN"/>
        </w:rPr>
        <w:t>芦燕</w:t>
      </w:r>
    </w:p>
    <w:p w14:paraId="71E269F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项目联系方式（询问）：0571-83881208</w:t>
      </w:r>
    </w:p>
    <w:p w14:paraId="78022BCE">
      <w:pPr>
        <w:spacing w:line="360" w:lineRule="auto"/>
        <w:ind w:firstLine="480" w:firstLineChars="200"/>
        <w:rPr>
          <w:rFonts w:hint="eastAsia" w:ascii="宋体" w:hAnsi="宋体" w:eastAsia="宋体" w:cs="宋体"/>
          <w:color w:val="auto"/>
          <w:sz w:val="24"/>
          <w:highlight w:val="none"/>
        </w:rPr>
      </w:pPr>
    </w:p>
    <w:p w14:paraId="2675A30A">
      <w:pPr>
        <w:spacing w:line="360" w:lineRule="auto"/>
        <w:ind w:firstLine="480" w:firstLineChars="200"/>
        <w:rPr>
          <w:rFonts w:hint="eastAsia" w:ascii="宋体" w:hAnsi="宋体" w:eastAsia="宋体" w:cs="宋体"/>
          <w:color w:val="auto"/>
          <w:sz w:val="24"/>
          <w:highlight w:val="none"/>
        </w:rPr>
      </w:pPr>
    </w:p>
    <w:p w14:paraId="48C9B1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若对项目电子交易系统操作有疑问，可登录乐采云平台（www.lecaiyun.com），点击右侧咨询小采，获取采小蜜智能服务管家帮助，或拨打乐采云服务热线95763获取热线服务帮助。</w:t>
      </w:r>
    </w:p>
    <w:p w14:paraId="0932D3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337ABE46">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响应人须知</w:t>
      </w:r>
      <w:bookmarkEnd w:id="9"/>
    </w:p>
    <w:p w14:paraId="257F1615">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5"/>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14:paraId="2180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2AA399E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vAlign w:val="center"/>
          </w:tcPr>
          <w:p w14:paraId="2600CEE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vAlign w:val="center"/>
          </w:tcPr>
          <w:p w14:paraId="789F656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34F7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tblHeader/>
          <w:jc w:val="center"/>
        </w:trPr>
        <w:tc>
          <w:tcPr>
            <w:tcW w:w="629" w:type="dxa"/>
            <w:vAlign w:val="center"/>
          </w:tcPr>
          <w:p w14:paraId="51DCE13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vAlign w:val="center"/>
          </w:tcPr>
          <w:p w14:paraId="46A90DD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vAlign w:val="center"/>
          </w:tcPr>
          <w:p w14:paraId="707FA6CD">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  ）</w:t>
            </w:r>
            <w:r>
              <w:rPr>
                <w:rFonts w:hint="eastAsia" w:ascii="宋体" w:hAnsi="宋体" w:eastAsia="宋体" w:cs="宋体"/>
                <w:color w:val="auto"/>
                <w:kern w:val="0"/>
                <w:sz w:val="24"/>
                <w:highlight w:val="none"/>
              </w:rPr>
              <w:t>A货物类</w:t>
            </w:r>
            <w:r>
              <w:rPr>
                <w:rFonts w:hint="eastAsia" w:ascii="宋体" w:hAnsi="宋体" w:eastAsia="宋体" w:cs="宋体"/>
                <w:color w:val="auto"/>
                <w:sz w:val="24"/>
                <w:highlight w:val="none"/>
              </w:rPr>
              <w:t>。</w:t>
            </w:r>
          </w:p>
          <w:p w14:paraId="65E2D2B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B服务类</w:t>
            </w:r>
            <w:r>
              <w:rPr>
                <w:rFonts w:hint="eastAsia" w:ascii="宋体" w:hAnsi="宋体" w:eastAsia="宋体" w:cs="宋体"/>
                <w:color w:val="auto"/>
                <w:sz w:val="24"/>
                <w:highlight w:val="none"/>
              </w:rPr>
              <w:t>。</w:t>
            </w:r>
          </w:p>
        </w:tc>
      </w:tr>
      <w:tr w14:paraId="498A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tblHeader/>
          <w:jc w:val="center"/>
        </w:trPr>
        <w:tc>
          <w:tcPr>
            <w:tcW w:w="629" w:type="dxa"/>
          </w:tcPr>
          <w:p w14:paraId="69D1344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rPr>
            </w:pPr>
          </w:p>
          <w:p w14:paraId="09C3A0E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rPr>
            </w:pPr>
          </w:p>
          <w:p w14:paraId="7EBB2D9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vAlign w:val="center"/>
          </w:tcPr>
          <w:p w14:paraId="3A4CD7F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vAlign w:val="center"/>
          </w:tcPr>
          <w:p w14:paraId="3A701693">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  ）</w:t>
            </w:r>
            <w:r>
              <w:rPr>
                <w:rFonts w:hint="eastAsia" w:ascii="宋体" w:hAnsi="宋体" w:eastAsia="宋体" w:cs="宋体"/>
                <w:color w:val="auto"/>
                <w:kern w:val="0"/>
                <w:sz w:val="24"/>
                <w:highlight w:val="none"/>
              </w:rPr>
              <w:t>A适用</w:t>
            </w:r>
            <w:r>
              <w:rPr>
                <w:rFonts w:hint="eastAsia" w:ascii="宋体" w:hAnsi="宋体" w:eastAsia="宋体" w:cs="宋体"/>
                <w:color w:val="auto"/>
                <w:sz w:val="24"/>
                <w:highlight w:val="none"/>
              </w:rPr>
              <w:t>。</w:t>
            </w:r>
          </w:p>
          <w:p w14:paraId="1BDE9AA9">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B不适用</w:t>
            </w:r>
            <w:r>
              <w:rPr>
                <w:rFonts w:hint="eastAsia" w:ascii="宋体" w:hAnsi="宋体" w:eastAsia="宋体" w:cs="宋体"/>
                <w:color w:val="auto"/>
                <w:sz w:val="24"/>
                <w:highlight w:val="none"/>
              </w:rPr>
              <w:t>。</w:t>
            </w:r>
          </w:p>
        </w:tc>
      </w:tr>
      <w:tr w14:paraId="67A6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25A1E2C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Align w:val="center"/>
          </w:tcPr>
          <w:p w14:paraId="75210BE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vAlign w:val="center"/>
          </w:tcPr>
          <w:p w14:paraId="411D2DC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32"/>
                <w:highlight w:val="none"/>
              </w:rPr>
              <w:t>本项目不允许采购进口产品。</w:t>
            </w:r>
          </w:p>
        </w:tc>
      </w:tr>
      <w:tr w14:paraId="75FE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tblHeader/>
          <w:jc w:val="center"/>
        </w:trPr>
        <w:tc>
          <w:tcPr>
            <w:tcW w:w="629" w:type="dxa"/>
            <w:vAlign w:val="center"/>
          </w:tcPr>
          <w:p w14:paraId="0AFC728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vAlign w:val="center"/>
          </w:tcPr>
          <w:p w14:paraId="198E68D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vAlign w:val="center"/>
          </w:tcPr>
          <w:p w14:paraId="068920C6">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B</w:t>
            </w:r>
            <w:r>
              <w:rPr>
                <w:rFonts w:hint="eastAsia" w:ascii="宋体" w:hAnsi="宋体" w:eastAsia="宋体" w:cs="宋体"/>
                <w:bCs/>
                <w:color w:val="auto"/>
                <w:sz w:val="24"/>
                <w:highlight w:val="none"/>
              </w:rPr>
              <w:t>不同意分包。</w:t>
            </w:r>
          </w:p>
        </w:tc>
      </w:tr>
      <w:tr w14:paraId="22F8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tblHeader/>
          <w:jc w:val="center"/>
        </w:trPr>
        <w:tc>
          <w:tcPr>
            <w:tcW w:w="629" w:type="dxa"/>
            <w:vAlign w:val="center"/>
          </w:tcPr>
          <w:p w14:paraId="0FF7732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vAlign w:val="center"/>
          </w:tcPr>
          <w:p w14:paraId="480D008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vAlign w:val="center"/>
          </w:tcPr>
          <w:p w14:paraId="66ED578A">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A</w:t>
            </w:r>
            <w:r>
              <w:rPr>
                <w:rFonts w:hint="eastAsia" w:ascii="宋体" w:hAnsi="宋体" w:eastAsia="宋体" w:cs="宋体"/>
                <w:bCs/>
                <w:color w:val="auto"/>
                <w:sz w:val="24"/>
                <w:highlight w:val="none"/>
              </w:rPr>
              <w:t>不组织。</w:t>
            </w:r>
          </w:p>
        </w:tc>
      </w:tr>
      <w:tr w14:paraId="59D0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6EAE16B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vAlign w:val="center"/>
          </w:tcPr>
          <w:p w14:paraId="13E627A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vAlign w:val="center"/>
          </w:tcPr>
          <w:p w14:paraId="182A4098">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（√）A不要求提供。</w:t>
            </w:r>
          </w:p>
        </w:tc>
      </w:tr>
      <w:tr w14:paraId="113B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38CAD79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vAlign w:val="center"/>
          </w:tcPr>
          <w:p w14:paraId="0443C4A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现场讲解</w:t>
            </w:r>
          </w:p>
        </w:tc>
        <w:tc>
          <w:tcPr>
            <w:tcW w:w="6706" w:type="dxa"/>
            <w:vAlign w:val="center"/>
          </w:tcPr>
          <w:p w14:paraId="2BFFA56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（√）A不组织。</w:t>
            </w:r>
          </w:p>
          <w:p w14:paraId="53EA0277">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  ）B组织。</w:t>
            </w:r>
          </w:p>
        </w:tc>
      </w:tr>
      <w:tr w14:paraId="279D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09B1177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Align w:val="center"/>
          </w:tcPr>
          <w:p w14:paraId="48BF240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响应人应当提供的资格证明文件</w:t>
            </w:r>
          </w:p>
        </w:tc>
        <w:tc>
          <w:tcPr>
            <w:tcW w:w="6706" w:type="dxa"/>
            <w:vAlign w:val="center"/>
          </w:tcPr>
          <w:p w14:paraId="12C5ED63">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（1）资格证明文件：见公开竞争文件第二部分10.1。</w:t>
            </w:r>
          </w:p>
          <w:p w14:paraId="66583FB8">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14:paraId="749F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0803C6F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vAlign w:val="center"/>
          </w:tcPr>
          <w:p w14:paraId="2128016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706" w:type="dxa"/>
            <w:vAlign w:val="center"/>
          </w:tcPr>
          <w:p w14:paraId="399A978A">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有关本项目实施所需的所有费用（含税费）均计入报价。</w:t>
            </w:r>
            <w:r>
              <w:rPr>
                <w:rFonts w:hint="eastAsia" w:ascii="宋体" w:hAnsi="宋体" w:eastAsia="宋体" w:cs="宋体"/>
                <w:bCs/>
                <w:color w:val="auto"/>
                <w:kern w:val="0"/>
                <w:sz w:val="24"/>
                <w:highlight w:val="none"/>
              </w:rPr>
              <w:t>交易一览表（报价表）是报价的唯一载体</w:t>
            </w:r>
            <w:r>
              <w:rPr>
                <w:rFonts w:hint="eastAsia" w:ascii="宋体" w:hAnsi="宋体" w:eastAsia="宋体" w:cs="宋体"/>
                <w:bCs/>
                <w:color w:val="auto"/>
                <w:kern w:val="0"/>
                <w:sz w:val="24"/>
                <w:highlight w:val="none"/>
                <w:lang w:val="zh-CN"/>
              </w:rPr>
              <w:t>。响应文件中价格全部采用人民币报价。公开竞争文件未列明，而响应人认为必需的费用也需列入报价。</w:t>
            </w:r>
          </w:p>
          <w:p w14:paraId="118A6525">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交易报价出现下列情形的，交易无效：</w:t>
            </w:r>
          </w:p>
          <w:p w14:paraId="6C7BC01F">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响应文件出现不是唯一的、有选择性交易报价的；</w:t>
            </w:r>
          </w:p>
          <w:p w14:paraId="7281C2C5">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交易报价超过公开竞争文件中规定的预算金额或者最高限价的；</w:t>
            </w:r>
          </w:p>
          <w:p w14:paraId="67BB8BA9">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512C763D">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bCs/>
                <w:color w:val="auto"/>
                <w:kern w:val="0"/>
                <w:sz w:val="24"/>
                <w:highlight w:val="none"/>
              </w:rPr>
              <w:t>响应人对根据修正原则修正后的报价不确认的。</w:t>
            </w:r>
          </w:p>
        </w:tc>
      </w:tr>
      <w:tr w14:paraId="5F9E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tblHeader/>
          <w:jc w:val="center"/>
        </w:trPr>
        <w:tc>
          <w:tcPr>
            <w:tcW w:w="629" w:type="dxa"/>
            <w:vAlign w:val="center"/>
          </w:tcPr>
          <w:p w14:paraId="4E4AEC3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vAlign w:val="center"/>
          </w:tcPr>
          <w:p w14:paraId="162B5D0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706" w:type="dxa"/>
            <w:vAlign w:val="center"/>
          </w:tcPr>
          <w:p w14:paraId="483F45F2">
            <w:pPr>
              <w:pStyle w:val="33"/>
              <w:keepNext w:val="0"/>
              <w:keepLines w:val="0"/>
              <w:pageBreakBefore w:val="0"/>
              <w:widowControl w:val="0"/>
              <w:kinsoku/>
              <w:wordWrap/>
              <w:overflowPunct/>
              <w:topLinePunct w:val="0"/>
              <w:autoSpaceDE/>
              <w:autoSpaceDN/>
              <w:bidi w:val="0"/>
              <w:adjustRightInd w:val="0"/>
              <w:spacing w:line="420" w:lineRule="exact"/>
              <w:ind w:hanging="4"/>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备份文件是否收取：不收取。</w:t>
            </w:r>
          </w:p>
          <w:p w14:paraId="385F7C72">
            <w:pPr>
              <w:pStyle w:val="33"/>
              <w:keepNext w:val="0"/>
              <w:keepLines w:val="0"/>
              <w:pageBreakBefore w:val="0"/>
              <w:widowControl w:val="0"/>
              <w:kinsoku/>
              <w:wordWrap/>
              <w:overflowPunct/>
              <w:topLinePunct w:val="0"/>
              <w:autoSpaceDE/>
              <w:autoSpaceDN/>
              <w:bidi w:val="0"/>
              <w:adjustRightInd w:val="0"/>
              <w:spacing w:line="420" w:lineRule="exact"/>
              <w:ind w:hanging="4"/>
              <w:textAlignment w:val="auto"/>
              <w:rPr>
                <w:rFonts w:hint="eastAsia" w:ascii="宋体" w:hAnsi="宋体" w:eastAsia="宋体" w:cs="宋体"/>
                <w:color w:val="auto"/>
                <w:kern w:val="28"/>
                <w:sz w:val="24"/>
                <w:szCs w:val="24"/>
                <w:highlight w:val="none"/>
              </w:rPr>
            </w:pPr>
            <w:r>
              <w:rPr>
                <w:rFonts w:hint="eastAsia" w:ascii="宋体" w:hAnsi="宋体" w:eastAsia="宋体" w:cs="宋体"/>
                <w:b/>
                <w:color w:val="auto"/>
                <w:sz w:val="24"/>
                <w:highlight w:val="none"/>
              </w:rPr>
              <w:t>成交单位在成交后提供纸质响应文件一正二副。</w:t>
            </w:r>
          </w:p>
        </w:tc>
      </w:tr>
      <w:tr w14:paraId="02CB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4BB0132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Align w:val="center"/>
          </w:tcPr>
          <w:p w14:paraId="74F994B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代理机构代理费用</w:t>
            </w:r>
          </w:p>
        </w:tc>
        <w:tc>
          <w:tcPr>
            <w:tcW w:w="6706" w:type="dxa"/>
            <w:vAlign w:val="center"/>
          </w:tcPr>
          <w:p w14:paraId="56BD722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zh-CN" w:eastAsia="zh-CN"/>
              </w:rPr>
              <w:t>本项目代理服务费由</w:t>
            </w:r>
            <w:r>
              <w:rPr>
                <w:rFonts w:hint="eastAsia" w:ascii="宋体" w:hAnsi="宋体" w:cs="宋体"/>
                <w:bCs/>
                <w:color w:val="auto"/>
                <w:kern w:val="0"/>
                <w:sz w:val="24"/>
                <w:highlight w:val="none"/>
                <w:lang w:val="en-US" w:eastAsia="zh-CN"/>
              </w:rPr>
              <w:t>成交人</w:t>
            </w:r>
            <w:r>
              <w:rPr>
                <w:rFonts w:hint="eastAsia" w:ascii="宋体" w:hAnsi="宋体" w:cs="宋体"/>
                <w:bCs/>
                <w:color w:val="auto"/>
                <w:kern w:val="0"/>
                <w:sz w:val="24"/>
                <w:highlight w:val="none"/>
                <w:lang w:val="zh-CN" w:eastAsia="zh-CN"/>
              </w:rPr>
              <w:t>支付，</w:t>
            </w:r>
            <w:r>
              <w:rPr>
                <w:rFonts w:hint="eastAsia" w:ascii="宋体" w:hAnsi="宋体" w:cs="宋体"/>
                <w:bCs/>
                <w:color w:val="0000FF"/>
                <w:kern w:val="0"/>
                <w:sz w:val="24"/>
                <w:highlight w:val="none"/>
                <w:lang w:val="en-US" w:eastAsia="zh-CN"/>
              </w:rPr>
              <w:t>按3600元收取。</w:t>
            </w:r>
          </w:p>
          <w:p w14:paraId="2E0BEDA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bCs/>
                <w:color w:val="auto"/>
                <w:kern w:val="0"/>
                <w:sz w:val="24"/>
                <w:highlight w:val="none"/>
                <w:lang w:eastAsia="zh-CN"/>
              </w:rPr>
            </w:pPr>
            <w:r>
              <w:rPr>
                <w:rFonts w:hint="eastAsia" w:ascii="宋体" w:hAnsi="宋体" w:cs="宋体"/>
                <w:bCs/>
                <w:color w:val="auto"/>
                <w:kern w:val="0"/>
                <w:sz w:val="24"/>
                <w:highlight w:val="none"/>
                <w:lang w:eastAsia="zh-CN"/>
              </w:rPr>
              <w:t>服务费缴纳账号：</w:t>
            </w:r>
          </w:p>
          <w:p w14:paraId="533C99E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bCs/>
                <w:color w:val="auto"/>
                <w:kern w:val="0"/>
                <w:sz w:val="24"/>
                <w:highlight w:val="none"/>
                <w:lang w:eastAsia="zh-CN"/>
              </w:rPr>
            </w:pPr>
            <w:r>
              <w:rPr>
                <w:rFonts w:hint="eastAsia" w:ascii="宋体" w:hAnsi="宋体" w:cs="宋体"/>
                <w:bCs/>
                <w:color w:val="auto"/>
                <w:kern w:val="0"/>
                <w:sz w:val="24"/>
                <w:highlight w:val="none"/>
                <w:lang w:eastAsia="zh-CN"/>
              </w:rPr>
              <w:t>开户银行：上海浦东发展银行萧山支行</w:t>
            </w:r>
          </w:p>
          <w:p w14:paraId="764C661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bCs/>
                <w:color w:val="auto"/>
                <w:kern w:val="0"/>
                <w:sz w:val="24"/>
                <w:highlight w:val="none"/>
                <w:lang w:eastAsia="zh-CN"/>
              </w:rPr>
            </w:pPr>
            <w:r>
              <w:rPr>
                <w:rFonts w:hint="eastAsia" w:ascii="宋体" w:hAnsi="宋体" w:cs="宋体"/>
                <w:bCs/>
                <w:color w:val="auto"/>
                <w:kern w:val="0"/>
                <w:sz w:val="24"/>
                <w:highlight w:val="none"/>
                <w:lang w:eastAsia="zh-CN"/>
              </w:rPr>
              <w:t>帐户名称：杭州博望建设工程招标投标代理有限公司</w:t>
            </w:r>
          </w:p>
          <w:p w14:paraId="03A0E84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kern w:val="0"/>
                <w:sz w:val="24"/>
                <w:highlight w:val="none"/>
              </w:rPr>
            </w:pPr>
            <w:r>
              <w:rPr>
                <w:rFonts w:hint="eastAsia" w:ascii="宋体" w:hAnsi="宋体" w:cs="宋体"/>
                <w:bCs/>
                <w:color w:val="auto"/>
                <w:kern w:val="0"/>
                <w:sz w:val="24"/>
                <w:highlight w:val="none"/>
                <w:lang w:eastAsia="zh-CN"/>
              </w:rPr>
              <w:t>银行帐号：95070154740001005</w:t>
            </w:r>
          </w:p>
        </w:tc>
      </w:tr>
      <w:tr w14:paraId="622D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tblHeader/>
          <w:jc w:val="center"/>
        </w:trPr>
        <w:tc>
          <w:tcPr>
            <w:tcW w:w="629" w:type="dxa"/>
            <w:vAlign w:val="center"/>
          </w:tcPr>
          <w:p w14:paraId="0E26362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12</w:t>
            </w:r>
          </w:p>
        </w:tc>
        <w:tc>
          <w:tcPr>
            <w:tcW w:w="1843" w:type="dxa"/>
            <w:vAlign w:val="center"/>
          </w:tcPr>
          <w:p w14:paraId="6B3C2AA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质量保证金</w:t>
            </w:r>
          </w:p>
          <w:p w14:paraId="1518732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706" w:type="dxa"/>
            <w:vAlign w:val="center"/>
          </w:tcPr>
          <w:p w14:paraId="36BB3424">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rPr>
              <w:t>质量保证金</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rPr>
              <w:t>不收取。</w:t>
            </w:r>
          </w:p>
          <w:p w14:paraId="77EE106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履约保证金：不收取。</w:t>
            </w:r>
          </w:p>
        </w:tc>
      </w:tr>
      <w:tr w14:paraId="5C19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tblHeader/>
          <w:jc w:val="center"/>
        </w:trPr>
        <w:tc>
          <w:tcPr>
            <w:tcW w:w="629" w:type="dxa"/>
            <w:vAlign w:val="center"/>
          </w:tcPr>
          <w:p w14:paraId="4513CCE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p>
        </w:tc>
        <w:tc>
          <w:tcPr>
            <w:tcW w:w="1843" w:type="dxa"/>
            <w:vAlign w:val="center"/>
          </w:tcPr>
          <w:p w14:paraId="268530D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706" w:type="dxa"/>
            <w:vAlign w:val="center"/>
          </w:tcPr>
          <w:p w14:paraId="0CB13FC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本项目由交易发起人进行资格文件及信用信息查询。</w:t>
            </w:r>
          </w:p>
        </w:tc>
      </w:tr>
      <w:tr w14:paraId="0AEB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055920C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w:t>
            </w:r>
          </w:p>
        </w:tc>
        <w:tc>
          <w:tcPr>
            <w:tcW w:w="1843" w:type="dxa"/>
            <w:vAlign w:val="center"/>
          </w:tcPr>
          <w:p w14:paraId="5F28B21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异议接收人及答复</w:t>
            </w:r>
          </w:p>
        </w:tc>
        <w:tc>
          <w:tcPr>
            <w:tcW w:w="6706" w:type="dxa"/>
            <w:vAlign w:val="center"/>
          </w:tcPr>
          <w:p w14:paraId="735DF81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代理机构异议接收人：</w:t>
            </w:r>
            <w:r>
              <w:rPr>
                <w:rFonts w:hint="eastAsia" w:ascii="宋体" w:hAnsi="宋体" w:eastAsia="宋体" w:cs="宋体"/>
                <w:color w:val="auto"/>
                <w:sz w:val="24"/>
                <w:highlight w:val="none"/>
                <w:u w:val="single"/>
              </w:rPr>
              <w:t>高华萍</w:t>
            </w:r>
            <w:r>
              <w:rPr>
                <w:rFonts w:hint="eastAsia" w:ascii="宋体" w:hAnsi="宋体" w:eastAsia="宋体" w:cs="宋体"/>
                <w:color w:val="auto"/>
                <w:sz w:val="24"/>
                <w:highlight w:val="none"/>
              </w:rPr>
              <w:t xml:space="preserve"> 联系方式：</w:t>
            </w:r>
            <w:r>
              <w:rPr>
                <w:rFonts w:hint="eastAsia" w:ascii="宋体" w:hAnsi="宋体" w:eastAsia="宋体" w:cs="宋体"/>
                <w:color w:val="auto"/>
                <w:sz w:val="24"/>
                <w:highlight w:val="none"/>
                <w:u w:val="single"/>
              </w:rPr>
              <w:t>0571-83881208</w:t>
            </w:r>
          </w:p>
          <w:p w14:paraId="574C7A2F">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杭州市萧山区金城路433号天汇园一幢A座5楼</w:t>
            </w:r>
          </w:p>
          <w:p w14:paraId="410EEED9">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u w:val="single"/>
              </w:rPr>
              <w:t>751200605@qq.com</w:t>
            </w:r>
          </w:p>
          <w:p w14:paraId="5AD14ED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06C25A0F">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本项目涉及资格条件、交易需求、评分办法及交易过程中有关现场考察或开标前答疑会事项由交易发起人进行答复。</w:t>
            </w:r>
          </w:p>
          <w:p w14:paraId="4A406D33">
            <w:pPr>
              <w:pStyle w:val="33"/>
              <w:keepNext w:val="0"/>
              <w:keepLines w:val="0"/>
              <w:pageBreakBefore w:val="0"/>
              <w:widowControl w:val="0"/>
              <w:kinsoku/>
              <w:wordWrap/>
              <w:overflowPunct/>
              <w:topLinePunct w:val="0"/>
              <w:autoSpaceDE/>
              <w:autoSpaceDN/>
              <w:bidi w:val="0"/>
              <w:adjustRightInd w:val="0"/>
              <w:spacing w:line="420" w:lineRule="exact"/>
              <w:ind w:hanging="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涉及流程组织等相关事项，由代理机构进行答复。</w:t>
            </w:r>
          </w:p>
        </w:tc>
      </w:tr>
      <w:tr w14:paraId="3EEC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tblHeader/>
          <w:jc w:val="center"/>
        </w:trPr>
        <w:tc>
          <w:tcPr>
            <w:tcW w:w="629" w:type="dxa"/>
            <w:vAlign w:val="center"/>
          </w:tcPr>
          <w:p w14:paraId="0A07248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vAlign w:val="center"/>
          </w:tcPr>
          <w:p w14:paraId="0496923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vAlign w:val="center"/>
          </w:tcPr>
          <w:p w14:paraId="44A506EA">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tbl>
    <w:p w14:paraId="62CB8B2E">
      <w:pPr>
        <w:snapToGrid w:val="0"/>
        <w:spacing w:line="360" w:lineRule="auto"/>
        <w:jc w:val="center"/>
        <w:rPr>
          <w:rFonts w:hint="eastAsia" w:ascii="宋体" w:hAnsi="宋体" w:eastAsia="宋体" w:cs="宋体"/>
          <w:b/>
          <w:color w:val="auto"/>
          <w:sz w:val="32"/>
          <w:szCs w:val="20"/>
          <w:highlight w:val="none"/>
        </w:rPr>
      </w:pPr>
    </w:p>
    <w:bookmarkEnd w:id="10"/>
    <w:p w14:paraId="1B92E6AB">
      <w:pPr>
        <w:rPr>
          <w:rFonts w:hint="eastAsia" w:ascii="宋体" w:hAnsi="宋体" w:eastAsia="宋体" w:cs="宋体"/>
          <w:b/>
          <w:color w:val="auto"/>
          <w:sz w:val="32"/>
          <w:szCs w:val="20"/>
          <w:highlight w:val="none"/>
        </w:rPr>
      </w:pPr>
      <w:bookmarkStart w:id="13" w:name="_Toc164416483"/>
      <w:bookmarkStart w:id="14" w:name="第三部分"/>
      <w:r>
        <w:rPr>
          <w:rFonts w:hint="eastAsia" w:ascii="宋体" w:hAnsi="宋体" w:eastAsia="宋体" w:cs="宋体"/>
          <w:b/>
          <w:color w:val="auto"/>
          <w:sz w:val="32"/>
          <w:szCs w:val="20"/>
          <w:highlight w:val="none"/>
        </w:rPr>
        <w:br w:type="page"/>
      </w:r>
    </w:p>
    <w:p w14:paraId="04A9A99D">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27D371C3">
      <w:pPr>
        <w:snapToGrid w:val="0"/>
        <w:spacing w:line="46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5F07C83B">
      <w:pPr>
        <w:snapToGrid w:val="0"/>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本公开竞争文件适用于该项目的交易、响应、评审、资格审查及信用信息查询、评审、定标、合同、验收等行为（法律、法规另有规定的，从其规定）。</w:t>
      </w:r>
    </w:p>
    <w:p w14:paraId="3244B5C0">
      <w:pPr>
        <w:adjustRightInd/>
        <w:spacing w:line="460" w:lineRule="exac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3BC0104F">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2.1“交易发起人”系指交易公告中载明的本项目的交易发起人。</w:t>
      </w:r>
    </w:p>
    <w:p w14:paraId="0999A95E">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2.2“代理机构”系指交易公告中载明的本项目的代理机构。</w:t>
      </w:r>
    </w:p>
    <w:p w14:paraId="45035501">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2.3“响应人”系指响应招标、参加投标竞争的法人、其他组织或者自然人。</w:t>
      </w:r>
    </w:p>
    <w:p w14:paraId="57C9443E">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266463AA">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4A4B228C">
      <w:pPr>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2.6“电子交易平台”是指本项目交易活动所依托的乐采云平台（www.lecaiyun.com）。</w:t>
      </w:r>
    </w:p>
    <w:p w14:paraId="2BD15FB0">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7A35D3D2">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3.异议、投诉</w:t>
      </w:r>
    </w:p>
    <w:p w14:paraId="0456011E">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.1响应人异议</w:t>
      </w:r>
    </w:p>
    <w:p w14:paraId="0EBE5390">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58792F09">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.2响应人异议</w:t>
      </w:r>
    </w:p>
    <w:p w14:paraId="5E58D6E5">
      <w:pPr>
        <w:pStyle w:val="33"/>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的响应人应当是参与所质</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项目交易活动的响应人。潜在响应人已依法获取其可</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的公开竞争文件的，可以对该文件提出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w:t>
      </w:r>
    </w:p>
    <w:p w14:paraId="41090A0B">
      <w:pPr>
        <w:pStyle w:val="33"/>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，否则，交易发起人或者代理机构不予受理：</w:t>
      </w:r>
    </w:p>
    <w:p w14:paraId="074298CF">
      <w:pPr>
        <w:pStyle w:val="33"/>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3.2.2.1对交易过程提出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期限为各交易程序环节结束之日起计算。对同一交易程序环节的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，响应人须一次性提出。</w:t>
      </w:r>
    </w:p>
    <w:p w14:paraId="6958A0A4">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响应人提出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函应当包括下列内容：</w:t>
      </w:r>
    </w:p>
    <w:p w14:paraId="694DC077">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.2.3.1响应人的姓名或者名称、地址、邮编、联系人及联系电话；</w:t>
      </w:r>
    </w:p>
    <w:p w14:paraId="382D6B77">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.2.3.2异议项目的名称、编号；</w:t>
      </w:r>
    </w:p>
    <w:p w14:paraId="133CD1B7">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.2.3.3具体、明确的异议事项和与异议事项相关的请求；</w:t>
      </w:r>
    </w:p>
    <w:p w14:paraId="36E0C045">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.2.3.4事实依据；</w:t>
      </w:r>
    </w:p>
    <w:p w14:paraId="2EF274D2">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.2.3.5必要的法律依据；</w:t>
      </w:r>
    </w:p>
    <w:p w14:paraId="396A1D1F">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.2.3.6提出异议的日期。</w:t>
      </w:r>
    </w:p>
    <w:p w14:paraId="003A28C1">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558B126B">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异议函范本及制作说明详见附件</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w:t>
      </w:r>
    </w:p>
    <w:p w14:paraId="5A30D4A5">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.2.4交易发起人或者代理机构应当在收到响应人的书面异议后</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日内作出答复，并以书面形式通知异议响应人和其他与异议处理结果有利害关系的交易当事人，但答复的内容不得涉及商业秘密。</w:t>
      </w:r>
    </w:p>
    <w:p w14:paraId="6AE9D0EA">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.2.5询问或者异议事项可能影响</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结果的，交易发起人应当暂停签订合同，已经签订合同的，应当中止履行合同。</w:t>
      </w:r>
    </w:p>
    <w:p w14:paraId="27B59F64">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.3响应人投诉</w:t>
      </w:r>
    </w:p>
    <w:p w14:paraId="7021236A">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宋体" w:hAnsi="宋体" w:eastAsia="宋体" w:cs="宋体"/>
          <w:color w:val="auto"/>
          <w:kern w:val="0"/>
          <w:sz w:val="24"/>
          <w:highlight w:val="none"/>
        </w:rPr>
        <w:t>10</w:t>
      </w:r>
      <w:r>
        <w:rPr>
          <w:rFonts w:hint="eastAsia" w:ascii="宋体" w:hAnsi="宋体" w:eastAsia="宋体" w:cs="宋体"/>
          <w:color w:val="auto"/>
          <w:kern w:val="0"/>
          <w:sz w:val="24"/>
          <w:highlight w:val="none"/>
          <w:lang w:val="zh-CN"/>
        </w:rPr>
        <w:t>日内向基层监督机构部门提出投诉。</w:t>
      </w:r>
    </w:p>
    <w:p w14:paraId="77B8AA1B">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.3.2响应人投诉的事项不得超出已异议事项的范围，基于异议答复内容提出的投诉事项除外。</w:t>
      </w:r>
    </w:p>
    <w:p w14:paraId="36D2E2AE">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.3.3响应人投诉应当有明确的请求和必要的证明材料。</w:t>
      </w:r>
    </w:p>
    <w:p w14:paraId="7B73EF0A">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以联合体形式参加交易活动的，其投诉应当由组成联合体的所有响应人共同提出。</w:t>
      </w:r>
    </w:p>
    <w:p w14:paraId="085FEFC9">
      <w:pPr>
        <w:pStyle w:val="33"/>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p>
    <w:p w14:paraId="79EB7593">
      <w:pPr>
        <w:pStyle w:val="139"/>
        <w:snapToGrid w:val="0"/>
        <w:spacing w:before="0" w:line="460" w:lineRule="exact"/>
        <w:ind w:firstLine="360"/>
        <w:rPr>
          <w:rFonts w:hint="eastAsia" w:ascii="宋体" w:hAnsi="宋体" w:eastAsia="宋体" w:cs="宋体"/>
          <w:color w:val="auto"/>
          <w:sz w:val="18"/>
          <w:szCs w:val="18"/>
          <w:highlight w:val="none"/>
        </w:rPr>
      </w:pPr>
    </w:p>
    <w:p w14:paraId="2A397152">
      <w:pPr>
        <w:adjustRightInd/>
        <w:spacing w:line="460" w:lineRule="exact"/>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二、公开竞争文件的构成、澄清、修改</w:t>
      </w:r>
    </w:p>
    <w:p w14:paraId="3A09C108">
      <w:pPr>
        <w:pStyle w:val="33"/>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4．公开竞争文件的构成</w:t>
      </w:r>
    </w:p>
    <w:p w14:paraId="71FD1E87">
      <w:pPr>
        <w:pStyle w:val="33"/>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4.1公开竞争文件包括下列文件及附件：</w:t>
      </w:r>
    </w:p>
    <w:p w14:paraId="4168F3B7">
      <w:pPr>
        <w:pStyle w:val="33"/>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4.1.1交易公告；</w:t>
      </w:r>
    </w:p>
    <w:p w14:paraId="01C40D1A">
      <w:pPr>
        <w:pStyle w:val="33"/>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4.1.2响应人须知；</w:t>
      </w:r>
    </w:p>
    <w:p w14:paraId="20ACE940">
      <w:pPr>
        <w:pStyle w:val="33"/>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4.1.3交易需求；</w:t>
      </w:r>
    </w:p>
    <w:p w14:paraId="190A6548">
      <w:pPr>
        <w:pStyle w:val="33"/>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4.1.4交易办法；</w:t>
      </w:r>
    </w:p>
    <w:p w14:paraId="335E29D6">
      <w:pPr>
        <w:pStyle w:val="33"/>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14:paraId="778281D8">
      <w:pPr>
        <w:pStyle w:val="33"/>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14:paraId="0515C671">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澄清或者修改的内容为公开竞争文件的组成部分</w:t>
      </w:r>
      <w:r>
        <w:rPr>
          <w:rFonts w:hint="eastAsia" w:ascii="宋体" w:hAnsi="宋体" w:eastAsia="宋体" w:cs="宋体"/>
          <w:color w:val="auto"/>
          <w:sz w:val="24"/>
          <w:highlight w:val="none"/>
        </w:rPr>
        <w:t>。</w:t>
      </w:r>
    </w:p>
    <w:p w14:paraId="3961E5F5">
      <w:pPr>
        <w:pStyle w:val="33"/>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5.公开竞争文件的澄清、修改</w:t>
      </w:r>
    </w:p>
    <w:p w14:paraId="271A5613">
      <w:pPr>
        <w:pStyle w:val="139"/>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5.1已获取公开竞争文件的潜在响应人，若有问题需要澄清，应于响应截止时间前，以书面形式向代理机构提出。</w:t>
      </w:r>
    </w:p>
    <w:p w14:paraId="56601ECA">
      <w:pPr>
        <w:pStyle w:val="139"/>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0C559063">
      <w:pPr>
        <w:adjustRightInd/>
        <w:spacing w:line="460" w:lineRule="exact"/>
        <w:jc w:val="center"/>
        <w:outlineLvl w:val="0"/>
        <w:rPr>
          <w:rFonts w:hint="eastAsia" w:ascii="宋体" w:hAnsi="宋体" w:eastAsia="宋体" w:cs="宋体"/>
          <w:b/>
          <w:color w:val="auto"/>
          <w:sz w:val="30"/>
          <w:szCs w:val="20"/>
          <w:highlight w:val="none"/>
        </w:rPr>
      </w:pPr>
    </w:p>
    <w:p w14:paraId="75D2AF05">
      <w:pPr>
        <w:adjustRightInd/>
        <w:spacing w:line="460" w:lineRule="exact"/>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三、响应</w:t>
      </w:r>
    </w:p>
    <w:p w14:paraId="0D7490DA">
      <w:pPr>
        <w:pStyle w:val="33"/>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6.公开竞争文件的获取</w:t>
      </w:r>
    </w:p>
    <w:p w14:paraId="3EDFCCCA">
      <w:pPr>
        <w:spacing w:line="460" w:lineRule="exact"/>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详见交易公告中获取公开竞争文件的时间期限、地点、方式及公开竞争文件售价。</w:t>
      </w:r>
    </w:p>
    <w:p w14:paraId="144006B9">
      <w:pPr>
        <w:pStyle w:val="33"/>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7.交易前答疑会或现场考察</w:t>
      </w:r>
    </w:p>
    <w:p w14:paraId="0681E8A1">
      <w:pPr>
        <w:pStyle w:val="33"/>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本项目不组织交易前答疑会或现场考察。</w:t>
      </w:r>
    </w:p>
    <w:p w14:paraId="37B8C1B7">
      <w:pPr>
        <w:pStyle w:val="33"/>
        <w:spacing w:line="460" w:lineRule="exact"/>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8.交易保证金</w:t>
      </w:r>
    </w:p>
    <w:p w14:paraId="6399B146">
      <w:pPr>
        <w:pStyle w:val="16"/>
        <w:spacing w:line="46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14:paraId="70CC42F7">
      <w:pPr>
        <w:pStyle w:val="33"/>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9.响应文件的语言</w:t>
      </w:r>
    </w:p>
    <w:p w14:paraId="5B4A1A3D">
      <w:pPr>
        <w:autoSpaceDE w:val="0"/>
        <w:autoSpaceDN w:val="0"/>
        <w:spacing w:line="4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响应文件及响应人与交易有关的来往通知、函件和文件均应使用中文。</w:t>
      </w:r>
    </w:p>
    <w:p w14:paraId="374D0C32">
      <w:pPr>
        <w:pStyle w:val="33"/>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10.响应文件的组成</w:t>
      </w:r>
    </w:p>
    <w:p w14:paraId="175ACCB5">
      <w:pPr>
        <w:snapToGrid w:val="0"/>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10.1资格文件：</w:t>
      </w:r>
    </w:p>
    <w:p w14:paraId="39047CE5">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10.1.1符合参加交易活动应当具备的一般条件的承诺函；</w:t>
      </w:r>
    </w:p>
    <w:p w14:paraId="015B3394">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10.1.2本项目的特定资格要求。</w:t>
      </w:r>
    </w:p>
    <w:p w14:paraId="2964EC68">
      <w:pPr>
        <w:snapToGrid w:val="0"/>
        <w:spacing w:line="460" w:lineRule="exact"/>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74DC5B6D">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10.2.1交易函；</w:t>
      </w:r>
    </w:p>
    <w:p w14:paraId="74070669">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14:paraId="190FCF94">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10.2.3营业执照；</w:t>
      </w:r>
    </w:p>
    <w:p w14:paraId="2E3E980C">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10.2.4符合性审查资料；</w:t>
      </w:r>
    </w:p>
    <w:p w14:paraId="52B1C461">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10.2.5评审标准相应的商务技术资料；</w:t>
      </w:r>
    </w:p>
    <w:p w14:paraId="2B8F4779">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10.2.6商务技术偏离表；</w:t>
      </w:r>
    </w:p>
    <w:p w14:paraId="2C4B4725">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10.2.7</w:t>
      </w:r>
      <w:r>
        <w:rPr>
          <w:rFonts w:hint="eastAsia" w:ascii="宋体" w:hAnsi="宋体" w:eastAsia="宋体" w:cs="宋体"/>
          <w:color w:val="auto"/>
          <w:sz w:val="24"/>
          <w:highlight w:val="none"/>
          <w:lang w:val="zh-CN"/>
        </w:rPr>
        <w:t>响应人廉洁自律承诺书。</w:t>
      </w:r>
    </w:p>
    <w:p w14:paraId="0A9790FD">
      <w:pPr>
        <w:snapToGrid w:val="0"/>
        <w:spacing w:line="460" w:lineRule="exact"/>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2734EAD5">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10.3.1交易一览表（报价表）。</w:t>
      </w:r>
    </w:p>
    <w:p w14:paraId="573ED9DC">
      <w:pPr>
        <w:spacing w:line="460" w:lineRule="exact"/>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响应文件含有交易发起人不能接受的附加条件的，交易无效；</w:t>
      </w:r>
    </w:p>
    <w:p w14:paraId="6F6CEDC3">
      <w:pPr>
        <w:spacing w:line="460" w:lineRule="exact"/>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响应人提供虚假材料投标的，交易无效。</w:t>
      </w:r>
    </w:p>
    <w:p w14:paraId="735BC058">
      <w:pPr>
        <w:pStyle w:val="139"/>
        <w:snapToGrid w:val="0"/>
        <w:spacing w:before="0" w:line="460" w:lineRule="exact"/>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响应文件的编制</w:t>
      </w:r>
    </w:p>
    <w:p w14:paraId="5253206B">
      <w:pPr>
        <w:spacing w:line="4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0818D0F6">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.2响应人进行电子投标应安装客户端软件—“</w:t>
      </w:r>
      <w:r>
        <w:rPr>
          <w:rFonts w:hint="eastAsia" w:ascii="宋体" w:hAnsi="宋体" w:eastAsia="宋体" w:cs="宋体"/>
          <w:color w:val="auto"/>
          <w:kern w:val="0"/>
          <w:sz w:val="24"/>
          <w:highlight w:val="none"/>
        </w:rPr>
        <w:t>乐采</w:t>
      </w:r>
      <w:r>
        <w:rPr>
          <w:rFonts w:hint="eastAsia" w:ascii="宋体" w:hAnsi="宋体" w:eastAsia="宋体" w:cs="宋体"/>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4E13B218">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w:t>
      </w:r>
      <w:r>
        <w:rPr>
          <w:rFonts w:hint="eastAsia" w:ascii="宋体" w:hAnsi="宋体" w:eastAsia="宋体" w:cs="宋体"/>
          <w:color w:val="auto"/>
          <w:kern w:val="0"/>
          <w:sz w:val="24"/>
          <w:highlight w:val="none"/>
        </w:rPr>
        <w:t>乐采</w:t>
      </w:r>
      <w:r>
        <w:rPr>
          <w:rFonts w:hint="eastAsia" w:ascii="宋体" w:hAnsi="宋体" w:eastAsia="宋体" w:cs="宋体"/>
          <w:color w:val="auto"/>
          <w:kern w:val="0"/>
          <w:sz w:val="24"/>
          <w:highlight w:val="none"/>
          <w:lang w:val="zh-CN"/>
        </w:rPr>
        <w:t>云电子交易客户端”需要提前申领CA数字证书，申领流程请自行前往“</w:t>
      </w:r>
      <w:r>
        <w:rPr>
          <w:rFonts w:hint="eastAsia" w:ascii="宋体" w:hAnsi="宋体" w:eastAsia="宋体" w:cs="宋体"/>
          <w:color w:val="auto"/>
          <w:sz w:val="24"/>
          <w:highlight w:val="none"/>
        </w:rPr>
        <w:t>浙江企业采购信息服务网-下载专区-电子交易客户端</w:t>
      </w:r>
      <w:r>
        <w:rPr>
          <w:rFonts w:hint="eastAsia" w:ascii="宋体" w:hAnsi="宋体" w:eastAsia="宋体" w:cs="宋体"/>
          <w:color w:val="auto"/>
          <w:kern w:val="0"/>
          <w:sz w:val="24"/>
          <w:highlight w:val="none"/>
          <w:lang w:val="zh-CN"/>
        </w:rPr>
        <w:t>-CA驱动和申领流程”进行查阅。</w:t>
      </w:r>
    </w:p>
    <w:p w14:paraId="470FC714">
      <w:pPr>
        <w:snapToGrid w:val="0"/>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12.响应文件的签署、盖章</w:t>
      </w:r>
    </w:p>
    <w:p w14:paraId="13C278B0">
      <w:pPr>
        <w:pStyle w:val="139"/>
        <w:snapToGrid w:val="0"/>
        <w:spacing w:before="0" w:line="460" w:lineRule="exact"/>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12.1响应文件按照公开竞争文件第六部分格式要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▲响应人的响应文件未按照公开竞争文件要求签署、盖章的，其交易无效</w:t>
      </w:r>
      <w:r>
        <w:rPr>
          <w:rFonts w:hint="eastAsia" w:ascii="宋体" w:hAnsi="宋体" w:eastAsia="宋体" w:cs="宋体"/>
          <w:color w:val="auto"/>
          <w:szCs w:val="24"/>
          <w:highlight w:val="none"/>
        </w:rPr>
        <w:t>。</w:t>
      </w:r>
    </w:p>
    <w:p w14:paraId="202C6C8D">
      <w:pPr>
        <w:pStyle w:val="139"/>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12.2为确保网上操作合法、有效和安全，响应人应当在响应截止时间前完成在“乐采云平台”的身份认证，确保在电子投标过程中能够对相关数据电文进行加密和使用电子签名。</w:t>
      </w:r>
    </w:p>
    <w:p w14:paraId="3D1E81D1">
      <w:pPr>
        <w:pStyle w:val="139"/>
        <w:snapToGrid w:val="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12.3公开竞争文件对响应文件签署、盖章的要求适用于电子签名。</w:t>
      </w:r>
    </w:p>
    <w:p w14:paraId="046239BD">
      <w:pPr>
        <w:pStyle w:val="139"/>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13.响应文件的提交、补充、修改、撤回</w:t>
      </w:r>
    </w:p>
    <w:p w14:paraId="470B8212">
      <w:pPr>
        <w:pStyle w:val="139"/>
        <w:spacing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76B0E7F6">
      <w:pPr>
        <w:pStyle w:val="139"/>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62C1AF9A">
      <w:pPr>
        <w:pStyle w:val="139"/>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259DD142">
      <w:pPr>
        <w:pStyle w:val="33"/>
        <w:numPr>
          <w:ilvl w:val="0"/>
          <w:numId w:val="1"/>
        </w:numPr>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w:t>
      </w:r>
    </w:p>
    <w:p w14:paraId="71B15A69">
      <w:pPr>
        <w:pStyle w:val="33"/>
        <w:spacing w:line="4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不收取备份响应文件。</w:t>
      </w:r>
    </w:p>
    <w:p w14:paraId="5EAC90B9">
      <w:pPr>
        <w:pStyle w:val="139"/>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15.响应文件的无效处理</w:t>
      </w:r>
    </w:p>
    <w:p w14:paraId="02D5659E">
      <w:pPr>
        <w:pStyle w:val="25"/>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有公开竞争文件第四部分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p>
    <w:p w14:paraId="59ECB05D">
      <w:pPr>
        <w:pStyle w:val="139"/>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16.交易有效期</w:t>
      </w:r>
    </w:p>
    <w:p w14:paraId="0AC0620E">
      <w:pPr>
        <w:spacing w:line="460" w:lineRule="exact"/>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16.1交易有效期为从提交响应文件的截止之日起90天。▲</w:t>
      </w:r>
      <w:r>
        <w:rPr>
          <w:rFonts w:hint="eastAsia" w:ascii="宋体" w:hAnsi="宋体" w:eastAsia="宋体" w:cs="宋体"/>
          <w:b/>
          <w:color w:val="auto"/>
          <w:sz w:val="24"/>
          <w:szCs w:val="20"/>
          <w:highlight w:val="none"/>
        </w:rPr>
        <w:t>响应人的响应文件中承</w:t>
      </w:r>
      <w:r>
        <w:rPr>
          <w:rFonts w:hint="eastAsia" w:ascii="宋体" w:hAnsi="宋体" w:eastAsia="宋体" w:cs="宋体"/>
          <w:b/>
          <w:color w:val="auto"/>
          <w:sz w:val="24"/>
          <w:szCs w:val="21"/>
          <w:highlight w:val="none"/>
        </w:rPr>
        <w:t>诺的交易有效期少于公开竞争文件中载明的交易有效期的，交易无效。</w:t>
      </w:r>
    </w:p>
    <w:p w14:paraId="1BC40B03">
      <w:pPr>
        <w:pStyle w:val="139"/>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16.2响应文件合格投递后，自投标截止日期起，在交易有效期内有效。</w:t>
      </w:r>
    </w:p>
    <w:p w14:paraId="29DE0E5D">
      <w:pPr>
        <w:pStyle w:val="139"/>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254BB6E3">
      <w:pPr>
        <w:pStyle w:val="139"/>
        <w:spacing w:before="0" w:line="460" w:lineRule="exact"/>
        <w:ind w:firstLine="643"/>
        <w:rPr>
          <w:rFonts w:hint="eastAsia" w:ascii="宋体" w:hAnsi="宋体" w:eastAsia="宋体" w:cs="宋体"/>
          <w:b/>
          <w:color w:val="auto"/>
          <w:sz w:val="32"/>
          <w:highlight w:val="none"/>
        </w:rPr>
      </w:pPr>
    </w:p>
    <w:p w14:paraId="3188A366">
      <w:pPr>
        <w:pStyle w:val="139"/>
        <w:spacing w:before="0" w:line="460" w:lineRule="exact"/>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四、交易、资格审查</w:t>
      </w:r>
    </w:p>
    <w:p w14:paraId="7652B81A">
      <w:pPr>
        <w:pStyle w:val="564"/>
        <w:spacing w:before="0" w:line="460" w:lineRule="exact"/>
        <w:ind w:left="0" w:firstLine="0"/>
        <w:contextualSpacing/>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xml:space="preserve">17.交易 </w:t>
      </w:r>
    </w:p>
    <w:p w14:paraId="2C299E16">
      <w:pPr>
        <w:pStyle w:val="564"/>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17.1代理机构按照公开竞争文件规定的时间通过电子交易平台组织开标，所有响应人均应当准时在线参加。响应人不足3家的，不得开标。</w:t>
      </w:r>
    </w:p>
    <w:p w14:paraId="4EDA8006">
      <w:pPr>
        <w:pStyle w:val="564"/>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47490FFB">
      <w:pPr>
        <w:pStyle w:val="564"/>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17.3响应文件未按时解密，视为响应文件撤回。</w:t>
      </w:r>
    </w:p>
    <w:p w14:paraId="0679D034">
      <w:pPr>
        <w:pStyle w:val="25"/>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18、资格审查</w:t>
      </w:r>
    </w:p>
    <w:p w14:paraId="0AE4910B">
      <w:pPr>
        <w:pStyle w:val="139"/>
        <w:spacing w:before="0" w:line="46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18.1交易后，交易发起人或代理机构将依法对响应人的资格进行审查。</w:t>
      </w:r>
    </w:p>
    <w:p w14:paraId="142FABEF">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18.2</w:t>
      </w:r>
      <w:r>
        <w:rPr>
          <w:rFonts w:hint="eastAsia" w:ascii="宋体" w:hAnsi="宋体" w:eastAsia="宋体" w:cs="宋体"/>
          <w:color w:val="auto"/>
          <w:sz w:val="24"/>
          <w:highlight w:val="none"/>
        </w:rPr>
        <w:t>交易发起人或代理机构依据法律法规和公开竞争文件的规定，对响应人的基本资格条件、特定资格条件进行审查。</w:t>
      </w:r>
    </w:p>
    <w:p w14:paraId="680F7A4F">
      <w:pPr>
        <w:pStyle w:val="139"/>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18.3响应人未按照公开竞争文件要求提供与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响应人不具备公开竞争文件中规定的资格要求，其交易无效。</w:t>
      </w:r>
    </w:p>
    <w:p w14:paraId="5EB94C64">
      <w:pPr>
        <w:pStyle w:val="139"/>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4对未通过资格审查的响应人，交易发起人或代理机构告知其未通过的原因。</w:t>
      </w:r>
    </w:p>
    <w:p w14:paraId="67A4BD49">
      <w:pPr>
        <w:pStyle w:val="139"/>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5合格响应人不足3家的，不再评标。</w:t>
      </w:r>
    </w:p>
    <w:p w14:paraId="0D219861">
      <w:pPr>
        <w:pStyle w:val="139"/>
        <w:spacing w:before="0" w:line="460" w:lineRule="exact"/>
        <w:ind w:firstLine="0" w:firstLineChars="0"/>
        <w:rPr>
          <w:rFonts w:hint="eastAsia" w:ascii="宋体" w:hAnsi="宋体" w:eastAsia="宋体" w:cs="宋体"/>
          <w:color w:val="auto"/>
          <w:kern w:val="0"/>
          <w:szCs w:val="24"/>
          <w:highlight w:val="none"/>
        </w:rPr>
      </w:pPr>
    </w:p>
    <w:p w14:paraId="4DD1256D">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五、评审</w:t>
      </w:r>
    </w:p>
    <w:p w14:paraId="6CA940C8">
      <w:pPr>
        <w:spacing w:line="460" w:lineRule="exact"/>
        <w:rPr>
          <w:rFonts w:hint="eastAsia" w:ascii="宋体" w:hAnsi="宋体" w:eastAsia="宋体" w:cs="宋体"/>
          <w:color w:val="auto"/>
          <w:sz w:val="24"/>
          <w:highlight w:val="none"/>
        </w:rPr>
      </w:pPr>
      <w:bookmarkStart w:id="15" w:name="_Toc91899903"/>
      <w:r>
        <w:rPr>
          <w:rFonts w:hint="eastAsia" w:ascii="宋体" w:hAnsi="宋体" w:eastAsia="宋体" w:cs="宋体"/>
          <w:b/>
          <w:color w:val="auto"/>
          <w:sz w:val="24"/>
          <w:highlight w:val="none"/>
        </w:rPr>
        <w:t>19.</w:t>
      </w:r>
      <w:r>
        <w:rPr>
          <w:rFonts w:hint="eastAsia" w:ascii="宋体" w:hAnsi="宋体" w:eastAsia="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5EAF9D06">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详见公开竞争文件第四部分交易办法。</w:t>
      </w:r>
    </w:p>
    <w:p w14:paraId="61985DD6">
      <w:pPr>
        <w:spacing w:line="460" w:lineRule="exact"/>
        <w:rPr>
          <w:rFonts w:hint="eastAsia" w:ascii="宋体" w:hAnsi="宋体" w:eastAsia="宋体" w:cs="宋体"/>
          <w:b/>
          <w:color w:val="auto"/>
          <w:sz w:val="24"/>
          <w:highlight w:val="none"/>
        </w:rPr>
      </w:pPr>
    </w:p>
    <w:p w14:paraId="1E4A6C91">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23B280E5">
      <w:pPr>
        <w:pStyle w:val="25"/>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20.确定成交响应人</w:t>
      </w:r>
    </w:p>
    <w:p w14:paraId="0269E147">
      <w:pPr>
        <w:pStyle w:val="139"/>
        <w:snapToGrid w:val="0"/>
        <w:spacing w:before="0" w:line="460" w:lineRule="exact"/>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交易发起人将自收到评审报告之日起5个工作日内通过电子交易平台在评审报告推荐的成交候选人中按顺序确定成交响应人。</w:t>
      </w:r>
    </w:p>
    <w:p w14:paraId="4CCECD92">
      <w:pPr>
        <w:pStyle w:val="139"/>
        <w:snapToGrid w:val="0"/>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21.成交通知与成交结果公告</w:t>
      </w:r>
    </w:p>
    <w:p w14:paraId="0CECE5F9">
      <w:pPr>
        <w:pStyle w:val="139"/>
        <w:snapToGrid w:val="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21.1自成交人确定之日起3天内，代理机构通过电子交易平台向成交人发出成交通知书，同时编制发布成交结果公告。代理机构也可以以纸质形式进行成交通知。</w:t>
      </w:r>
    </w:p>
    <w:p w14:paraId="0046D412">
      <w:pPr>
        <w:pStyle w:val="139"/>
        <w:snapToGrid w:val="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21.2成交结果公告内容包括交易发起人及其委托的代理机构的名称、地址、联系方式，项目名称和交易编号，成交人名称、地址和成交金额。</w:t>
      </w:r>
    </w:p>
    <w:p w14:paraId="7A7DA3FD">
      <w:pPr>
        <w:snapToGrid w:val="0"/>
        <w:spacing w:line="460" w:lineRule="exact"/>
        <w:ind w:left="120" w:leftChars="57" w:firstLine="482" w:firstLineChars="150"/>
        <w:jc w:val="center"/>
        <w:rPr>
          <w:rFonts w:hint="eastAsia" w:ascii="宋体" w:hAnsi="宋体" w:eastAsia="宋体" w:cs="宋体"/>
          <w:b/>
          <w:color w:val="auto"/>
          <w:sz w:val="32"/>
          <w:highlight w:val="none"/>
        </w:rPr>
      </w:pPr>
    </w:p>
    <w:p w14:paraId="41A1C212">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027A9E56">
      <w:pPr>
        <w:pStyle w:val="25"/>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w:t>
      </w:r>
      <w:r>
        <w:rPr>
          <w:rFonts w:hint="eastAsia" w:ascii="宋体" w:hAnsi="宋体" w:eastAsia="宋体" w:cs="宋体"/>
          <w:color w:val="auto"/>
          <w:highlight w:val="none"/>
        </w:rPr>
        <w:t>合同主要条款详见第五部分拟签订的合同文本。</w:t>
      </w:r>
    </w:p>
    <w:p w14:paraId="5626A74E">
      <w:pPr>
        <w:pStyle w:val="25"/>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23.合同的签订</w:t>
      </w:r>
    </w:p>
    <w:p w14:paraId="1B057F49">
      <w:pPr>
        <w:pStyle w:val="139"/>
        <w:snapToGrid w:val="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23.1交易发起人与成交人应当通过电子交易平台在成交通知书发出之日起三十日内，按照公开竞争文件确定的事项签订书面合同。</w:t>
      </w:r>
    </w:p>
    <w:p w14:paraId="5EA48123">
      <w:pPr>
        <w:pStyle w:val="139"/>
        <w:snapToGrid w:val="0"/>
        <w:spacing w:before="0" w:line="460" w:lineRule="exact"/>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6174F289">
      <w:pPr>
        <w:pStyle w:val="139"/>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23.3如签订合同并生效后，响应人无故拒绝或延期，除按照合同条款处理外，列入不良行为记录一次，并给予通报。</w:t>
      </w:r>
    </w:p>
    <w:p w14:paraId="36168F62">
      <w:pPr>
        <w:pStyle w:val="139"/>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23.4成交响应人拒绝与交易发起人签订合同的，交易发起人可以按照评审报告推荐的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或者成交候选人名单排序，确定下一候选人为成交响应人，也可以重新开展交易活动。</w:t>
      </w:r>
    </w:p>
    <w:p w14:paraId="403A021D">
      <w:pPr>
        <w:pStyle w:val="139"/>
        <w:snapToGrid w:val="0"/>
        <w:spacing w:before="0" w:after="12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23.5书面合同由交易发起人与成交响应人根据公开竞争文件、响应文件等内容签订合同。</w:t>
      </w:r>
    </w:p>
    <w:p w14:paraId="119C27E1">
      <w:pPr>
        <w:pStyle w:val="25"/>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24.履约保证金：</w:t>
      </w:r>
      <w:r>
        <w:rPr>
          <w:rFonts w:hint="eastAsia" w:ascii="宋体" w:hAnsi="宋体" w:eastAsia="宋体" w:cs="宋体"/>
          <w:bCs/>
          <w:color w:val="auto"/>
          <w:highlight w:val="none"/>
        </w:rPr>
        <w:t>详见前附表。</w:t>
      </w:r>
    </w:p>
    <w:p w14:paraId="32F434C2">
      <w:pPr>
        <w:snapToGrid w:val="0"/>
        <w:spacing w:line="460" w:lineRule="exact"/>
        <w:ind w:firstLine="3357" w:firstLineChars="1045"/>
        <w:rPr>
          <w:rFonts w:hint="eastAsia" w:ascii="宋体" w:hAnsi="宋体" w:eastAsia="宋体" w:cs="宋体"/>
          <w:b/>
          <w:color w:val="auto"/>
          <w:sz w:val="32"/>
          <w:highlight w:val="none"/>
        </w:rPr>
      </w:pPr>
    </w:p>
    <w:p w14:paraId="632B18C9">
      <w:pPr>
        <w:snapToGrid w:val="0"/>
        <w:spacing w:line="460" w:lineRule="exact"/>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2AE81562">
      <w:pPr>
        <w:pStyle w:val="139"/>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rPr>
        <w:t>5.电子交易活动的中止。</w:t>
      </w:r>
      <w:r>
        <w:rPr>
          <w:rFonts w:hint="eastAsia" w:ascii="宋体" w:hAnsi="宋体" w:eastAsia="宋体" w:cs="宋体"/>
          <w:bCs/>
          <w:color w:val="auto"/>
          <w:szCs w:val="24"/>
          <w:highlight w:val="none"/>
        </w:rPr>
        <w:t>交易</w:t>
      </w:r>
      <w:r>
        <w:rPr>
          <w:rFonts w:hint="eastAsia" w:ascii="宋体" w:hAnsi="宋体" w:eastAsia="宋体" w:cs="宋体"/>
          <w:color w:val="auto"/>
          <w:highlight w:val="none"/>
        </w:rPr>
        <w:t>过程中出现以下情形，导致电子交易平台无法正常运行，或者无法保证电子交易的公平、公正和安全时，代理机构可中止电子交易活动：</w:t>
      </w:r>
    </w:p>
    <w:p w14:paraId="582E92A8">
      <w:pPr>
        <w:pStyle w:val="139"/>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25.1电子交易平台发生故障而无法登录访问的； </w:t>
      </w:r>
    </w:p>
    <w:p w14:paraId="189EA1F2">
      <w:pPr>
        <w:pStyle w:val="139"/>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25.2电子交易平台应用或数据库出现错误，不能进行正常操作的；</w:t>
      </w:r>
    </w:p>
    <w:p w14:paraId="59A1972F">
      <w:pPr>
        <w:pStyle w:val="139"/>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25.3电子交易平台发现严重安全漏洞，有潜在泄密危险的；</w:t>
      </w:r>
    </w:p>
    <w:p w14:paraId="3F6A406B">
      <w:pPr>
        <w:pStyle w:val="139"/>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25.4病毒发作导致不能进行正常操作的； </w:t>
      </w:r>
    </w:p>
    <w:p w14:paraId="795E1F3A">
      <w:pPr>
        <w:pStyle w:val="139"/>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25.5其他无法保证电子交易的公平、公正和安全的情况。</w:t>
      </w:r>
    </w:p>
    <w:p w14:paraId="6A1C4A77">
      <w:pPr>
        <w:pStyle w:val="139"/>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26.</w:t>
      </w:r>
      <w:r>
        <w:rPr>
          <w:rFonts w:hint="eastAsia" w:ascii="宋体" w:hAnsi="宋体" w:eastAsia="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05FF1459">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51FB8C12">
      <w:pPr>
        <w:pStyle w:val="25"/>
        <w:spacing w:line="460" w:lineRule="exact"/>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27.验收</w:t>
      </w:r>
    </w:p>
    <w:p w14:paraId="651C5B9B">
      <w:pPr>
        <w:tabs>
          <w:tab w:val="left" w:pos="0"/>
        </w:tabs>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27.1交易发起人应当组织对响应人履约的验收。</w:t>
      </w:r>
    </w:p>
    <w:bookmarkEnd w:id="13"/>
    <w:bookmarkEnd w:id="14"/>
    <w:bookmarkEnd w:id="15"/>
    <w:p w14:paraId="4E6D61C0">
      <w:pPr>
        <w:rPr>
          <w:rFonts w:hint="eastAsia" w:ascii="宋体" w:hAnsi="宋体" w:eastAsia="宋体" w:cs="宋体"/>
          <w:b/>
          <w:color w:val="auto"/>
          <w:sz w:val="36"/>
          <w:szCs w:val="36"/>
          <w:highlight w:val="none"/>
        </w:rPr>
      </w:pPr>
      <w:bookmarkStart w:id="16" w:name="第四部分"/>
      <w:r>
        <w:rPr>
          <w:rFonts w:hint="eastAsia" w:ascii="宋体" w:hAnsi="宋体" w:eastAsia="宋体" w:cs="宋体"/>
          <w:b/>
          <w:color w:val="auto"/>
          <w:sz w:val="36"/>
          <w:szCs w:val="36"/>
          <w:highlight w:val="none"/>
        </w:rPr>
        <w:br w:type="page"/>
      </w:r>
    </w:p>
    <w:p w14:paraId="23AF8C0C">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t>第三部分   交易需求</w:t>
      </w:r>
    </w:p>
    <w:p w14:paraId="35B9E37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14:paraId="376385E1">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一、交易一览表</w:t>
      </w:r>
    </w:p>
    <w:p w14:paraId="7656DDC1">
      <w:pPr>
        <w:spacing w:after="12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5"/>
        <w:tblW w:w="8983" w:type="dxa"/>
        <w:jc w:val="center"/>
        <w:tblLayout w:type="fixed"/>
        <w:tblCellMar>
          <w:top w:w="0" w:type="dxa"/>
          <w:left w:w="0" w:type="dxa"/>
          <w:bottom w:w="0" w:type="dxa"/>
          <w:right w:w="0" w:type="dxa"/>
        </w:tblCellMar>
      </w:tblPr>
      <w:tblGrid>
        <w:gridCol w:w="733"/>
        <w:gridCol w:w="3944"/>
        <w:gridCol w:w="1767"/>
        <w:gridCol w:w="846"/>
        <w:gridCol w:w="846"/>
        <w:gridCol w:w="847"/>
      </w:tblGrid>
      <w:tr w14:paraId="5B29573C">
        <w:tblPrEx>
          <w:tblCellMar>
            <w:top w:w="0" w:type="dxa"/>
            <w:left w:w="0" w:type="dxa"/>
            <w:bottom w:w="0" w:type="dxa"/>
            <w:right w:w="0" w:type="dxa"/>
          </w:tblCellMar>
        </w:tblPrEx>
        <w:trPr>
          <w:cantSplit/>
          <w:trHeight w:val="514" w:hRule="atLeast"/>
          <w:jc w:val="center"/>
        </w:trPr>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77BBF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9C7F6A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7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AE1E1C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具体服务要求</w:t>
            </w:r>
          </w:p>
        </w:tc>
        <w:tc>
          <w:tcPr>
            <w:tcW w:w="8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A9C4C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BB286F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47" w:type="dxa"/>
            <w:tcBorders>
              <w:top w:val="single" w:color="auto" w:sz="4" w:space="0"/>
              <w:left w:val="nil"/>
              <w:bottom w:val="single" w:color="auto" w:sz="4" w:space="0"/>
              <w:right w:val="single" w:color="auto" w:sz="4" w:space="0"/>
            </w:tcBorders>
            <w:vAlign w:val="center"/>
          </w:tcPr>
          <w:p w14:paraId="26AB356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375FC87F">
        <w:tblPrEx>
          <w:tblCellMar>
            <w:top w:w="0" w:type="dxa"/>
            <w:left w:w="0" w:type="dxa"/>
            <w:bottom w:w="0" w:type="dxa"/>
            <w:right w:w="0" w:type="dxa"/>
          </w:tblCellMar>
        </w:tblPrEx>
        <w:trPr>
          <w:cantSplit/>
          <w:trHeight w:val="682" w:hRule="atLeast"/>
          <w:jc w:val="center"/>
        </w:trPr>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63C61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6E703FF">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2025年度杭州市萧山区地方金融组织现场检查和审计服务</w:t>
            </w:r>
          </w:p>
        </w:tc>
        <w:tc>
          <w:tcPr>
            <w:tcW w:w="17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43BFB2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8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44132F">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项</w:t>
            </w: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3E1921D">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p>
        </w:tc>
        <w:tc>
          <w:tcPr>
            <w:tcW w:w="847" w:type="dxa"/>
            <w:tcBorders>
              <w:top w:val="single" w:color="auto" w:sz="4" w:space="0"/>
              <w:left w:val="nil"/>
              <w:bottom w:val="single" w:color="auto" w:sz="4" w:space="0"/>
              <w:right w:val="single" w:color="auto" w:sz="4" w:space="0"/>
            </w:tcBorders>
            <w:vAlign w:val="center"/>
          </w:tcPr>
          <w:p w14:paraId="219DAD33">
            <w:pPr>
              <w:rPr>
                <w:rFonts w:hint="eastAsia" w:ascii="宋体" w:hAnsi="宋体" w:eastAsia="宋体" w:cs="宋体"/>
                <w:color w:val="auto"/>
                <w:sz w:val="24"/>
                <w:highlight w:val="none"/>
              </w:rPr>
            </w:pPr>
          </w:p>
        </w:tc>
      </w:tr>
    </w:tbl>
    <w:p w14:paraId="79DE8190">
      <w:pPr>
        <w:spacing w:line="360" w:lineRule="auto"/>
        <w:jc w:val="center"/>
        <w:rPr>
          <w:rFonts w:hint="eastAsia" w:ascii="宋体" w:hAnsi="宋体" w:eastAsia="宋体" w:cs="宋体"/>
          <w:b/>
          <w:color w:val="auto"/>
          <w:sz w:val="24"/>
          <w:highlight w:val="none"/>
        </w:rPr>
      </w:pPr>
    </w:p>
    <w:p w14:paraId="4ABBAE95">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color w:val="auto"/>
          <w:sz w:val="24"/>
          <w:szCs w:val="24"/>
          <w:highlight w:val="none"/>
        </w:rPr>
        <w:t>二、交易需求</w:t>
      </w:r>
    </w:p>
    <w:p w14:paraId="70F37C8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服务内容</w:t>
      </w:r>
      <w:r>
        <w:rPr>
          <w:rFonts w:hint="eastAsia" w:ascii="宋体" w:hAnsi="宋体" w:cs="宋体"/>
          <w:b/>
          <w:bCs/>
          <w:color w:val="auto"/>
          <w:sz w:val="24"/>
          <w:szCs w:val="24"/>
          <w:highlight w:val="none"/>
          <w:lang w:val="en-US" w:eastAsia="zh-CN"/>
        </w:rPr>
        <w:t>及要求</w:t>
      </w:r>
    </w:p>
    <w:p w14:paraId="591FE65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1.2025年度地方金融组织现场检查。辅助开展小贷、担保、典当、融资租赁等共13家地方金融组织现场检查</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lang w:val="en-US"/>
        </w:rPr>
        <w:t>出具专项检查报告</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主要检查地方金融组织近一年来的合规运营、业务开展及金融风险情况，对有关重大事项可作必要的追溯和延伸。</w:t>
      </w:r>
    </w:p>
    <w:p w14:paraId="4A292E6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2.2024年度融资担保风险补偿政策申报材料审计。共审计5家</w:t>
      </w:r>
      <w:r>
        <w:rPr>
          <w:rFonts w:hint="eastAsia" w:ascii="宋体" w:hAnsi="宋体" w:cs="宋体"/>
          <w:color w:val="auto"/>
          <w:sz w:val="24"/>
          <w:szCs w:val="24"/>
          <w:highlight w:val="none"/>
          <w:lang w:val="en-US" w:eastAsia="zh-CN"/>
        </w:rPr>
        <w:t>融资担保机构材料并</w:t>
      </w:r>
      <w:r>
        <w:rPr>
          <w:rFonts w:hint="eastAsia" w:ascii="宋体" w:hAnsi="宋体" w:eastAsia="宋体" w:cs="宋体"/>
          <w:color w:val="auto"/>
          <w:sz w:val="24"/>
          <w:szCs w:val="24"/>
          <w:highlight w:val="none"/>
          <w:lang w:val="en-US"/>
        </w:rPr>
        <w:t>出具专项审计报告；</w:t>
      </w:r>
    </w:p>
    <w:p w14:paraId="3DAF97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辅助开展小贷、典当、</w:t>
      </w:r>
      <w:r>
        <w:rPr>
          <w:rFonts w:hint="eastAsia" w:ascii="宋体" w:hAnsi="宋体" w:cs="宋体"/>
          <w:color w:val="auto"/>
          <w:sz w:val="24"/>
          <w:szCs w:val="24"/>
          <w:highlight w:val="none"/>
          <w:lang w:val="en-US" w:eastAsia="zh-CN"/>
        </w:rPr>
        <w:t>融资</w:t>
      </w:r>
      <w:r>
        <w:rPr>
          <w:rFonts w:hint="eastAsia" w:ascii="宋体" w:hAnsi="宋体" w:eastAsia="宋体" w:cs="宋体"/>
          <w:color w:val="auto"/>
          <w:sz w:val="24"/>
          <w:szCs w:val="24"/>
          <w:highlight w:val="none"/>
          <w:lang w:val="en-US"/>
        </w:rPr>
        <w:t>担保、融资租赁四个行业年审。完成萧山区8家小贷公司、8家典当行、13家融资担保公司、17家融资租赁公司</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共</w:t>
      </w:r>
      <w:r>
        <w:rPr>
          <w:rFonts w:hint="eastAsia" w:ascii="宋体" w:hAnsi="宋体" w:cs="宋体"/>
          <w:color w:val="auto"/>
          <w:sz w:val="24"/>
          <w:szCs w:val="24"/>
          <w:highlight w:val="none"/>
          <w:lang w:val="en-US" w:eastAsia="zh-CN"/>
        </w:rPr>
        <w:t>46</w:t>
      </w:r>
      <w:r>
        <w:rPr>
          <w:rFonts w:hint="eastAsia" w:ascii="宋体" w:hAnsi="宋体" w:eastAsia="宋体" w:cs="宋体"/>
          <w:color w:val="auto"/>
          <w:sz w:val="24"/>
          <w:szCs w:val="24"/>
          <w:highlight w:val="none"/>
          <w:lang w:val="en-US"/>
        </w:rPr>
        <w:t>家企业年审和监管评级，开展合规经营核查，审计评分表，整理评级台账</w:t>
      </w:r>
      <w:r>
        <w:rPr>
          <w:rFonts w:hint="eastAsia" w:ascii="宋体" w:hAnsi="宋体" w:cs="宋体"/>
          <w:color w:val="auto"/>
          <w:sz w:val="24"/>
          <w:szCs w:val="24"/>
          <w:highlight w:val="none"/>
          <w:lang w:val="en-US" w:eastAsia="zh-CN"/>
        </w:rPr>
        <w:t>等。</w:t>
      </w:r>
    </w:p>
    <w:p w14:paraId="22251DB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二、人员要求</w:t>
      </w:r>
    </w:p>
    <w:p w14:paraId="5DB8733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 项目团队人员总数要求在3名以上，包括不限于须具备执业注册会计师资格的项目团队负责人1名，须具备执业注册会计师资格的项目团队成员1名。</w:t>
      </w:r>
    </w:p>
    <w:p w14:paraId="3D9F5F9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商务需求</w:t>
      </w:r>
    </w:p>
    <w:p w14:paraId="028957A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r>
        <w:rPr>
          <w:rFonts w:hint="eastAsia" w:ascii="宋体" w:hAnsi="宋体" w:cs="宋体"/>
          <w:color w:val="auto"/>
          <w:sz w:val="24"/>
          <w:szCs w:val="24"/>
          <w:highlight w:val="none"/>
          <w:lang w:val="en-US" w:eastAsia="zh-CN"/>
        </w:rPr>
        <w:t>服务期：1.现场检查专项报告需要在9月30日前完成；2.融资担保风险补偿政策申报材料审计需在7月30日前出具初稿；3.</w:t>
      </w:r>
      <w:r>
        <w:rPr>
          <w:rFonts w:hint="default" w:ascii="宋体" w:hAnsi="宋体" w:cs="宋体"/>
          <w:color w:val="auto"/>
          <w:sz w:val="24"/>
          <w:szCs w:val="24"/>
          <w:highlight w:val="none"/>
          <w:lang w:val="en-US" w:eastAsia="zh-CN"/>
        </w:rPr>
        <w:t>小贷、</w:t>
      </w:r>
      <w:r>
        <w:rPr>
          <w:rFonts w:hint="eastAsia" w:ascii="宋体" w:hAnsi="宋体" w:cs="宋体"/>
          <w:color w:val="auto"/>
          <w:sz w:val="24"/>
          <w:szCs w:val="24"/>
          <w:highlight w:val="none"/>
          <w:lang w:val="en-US" w:eastAsia="zh-CN"/>
        </w:rPr>
        <w:t>典当行</w:t>
      </w:r>
      <w:r>
        <w:rPr>
          <w:rFonts w:hint="default" w:ascii="宋体" w:hAnsi="宋体" w:cs="宋体"/>
          <w:color w:val="auto"/>
          <w:sz w:val="24"/>
          <w:szCs w:val="24"/>
          <w:highlight w:val="none"/>
          <w:lang w:val="en-US" w:eastAsia="zh-CN"/>
        </w:rPr>
        <w:t>、融资担保和</w:t>
      </w:r>
      <w:r>
        <w:rPr>
          <w:rFonts w:hint="eastAsia" w:ascii="宋体" w:hAnsi="宋体" w:cs="宋体"/>
          <w:color w:val="auto"/>
          <w:sz w:val="24"/>
          <w:szCs w:val="24"/>
          <w:highlight w:val="none"/>
          <w:lang w:val="en-US" w:eastAsia="zh-CN"/>
        </w:rPr>
        <w:t>融资租赁年审和监管评级2025年底前完成，具体以省、市地方金融局通知为准。</w:t>
      </w:r>
    </w:p>
    <w:p w14:paraId="68F68DD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cs="宋体"/>
          <w:color w:val="auto"/>
          <w:sz w:val="24"/>
          <w:szCs w:val="24"/>
          <w:highlight w:val="none"/>
          <w:lang w:val="en-US" w:eastAsia="zh-CN"/>
        </w:rPr>
        <w:t>付款方式：合同签订后一周内支付合同总价的70%，等项目完成交易发起人确认后再支付剩余的30%。</w:t>
      </w:r>
    </w:p>
    <w:p w14:paraId="2AD499E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付款按财政政策执行，因</w:t>
      </w:r>
      <w:r>
        <w:rPr>
          <w:rFonts w:hint="eastAsia" w:ascii="宋体" w:hAnsi="宋体" w:cs="宋体"/>
          <w:color w:val="auto"/>
          <w:sz w:val="24"/>
          <w:szCs w:val="24"/>
          <w:highlight w:val="none"/>
          <w:lang w:val="en-US" w:eastAsia="zh-CN"/>
        </w:rPr>
        <w:t>成交人</w:t>
      </w:r>
      <w:r>
        <w:rPr>
          <w:rFonts w:hint="eastAsia" w:ascii="宋体" w:hAnsi="宋体" w:eastAsia="宋体" w:cs="宋体"/>
          <w:color w:val="auto"/>
          <w:sz w:val="24"/>
          <w:szCs w:val="24"/>
          <w:highlight w:val="none"/>
        </w:rPr>
        <w:t>未提供正规合法的等额发票及不符合财政资金支付时间要求等原因造成不能及时付款的，</w:t>
      </w:r>
      <w:r>
        <w:rPr>
          <w:rFonts w:hint="eastAsia" w:ascii="宋体" w:hAnsi="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不承担任何违约责任。</w:t>
      </w:r>
    </w:p>
    <w:p w14:paraId="282C958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p>
    <w:p w14:paraId="2944D8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sectPr>
          <w:footerReference r:id="rId8" w:type="first"/>
          <w:footerReference r:id="rId7" w:type="default"/>
          <w:pgSz w:w="11906" w:h="16838"/>
          <w:pgMar w:top="1247" w:right="1417" w:bottom="1247" w:left="1417" w:header="851" w:footer="992" w:gutter="0"/>
          <w:pgBorders>
            <w:top w:val="none" w:sz="0" w:space="0"/>
            <w:left w:val="none" w:sz="0" w:space="0"/>
            <w:bottom w:val="none" w:sz="0" w:space="0"/>
            <w:right w:val="none" w:sz="0" w:space="0"/>
          </w:pgBorders>
          <w:pgNumType w:start="2"/>
          <w:cols w:space="0" w:num="1"/>
          <w:docGrid w:linePitch="312" w:charSpace="0"/>
        </w:sect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公开竞争</w:t>
      </w:r>
      <w:r>
        <w:rPr>
          <w:rFonts w:hint="eastAsia" w:ascii="宋体" w:hAnsi="宋体" w:eastAsia="宋体" w:cs="宋体"/>
          <w:color w:val="auto"/>
          <w:sz w:val="24"/>
          <w:szCs w:val="24"/>
          <w:highlight w:val="none"/>
        </w:rPr>
        <w:t>文件中打▲内容为实质性要求，不允许有负偏离，否则将以涉及无效响应条款作无效响应。</w:t>
      </w:r>
    </w:p>
    <w:p w14:paraId="5843A60B">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17" w:name="_Toc184310335"/>
      <w:bookmarkEnd w:id="17"/>
      <w:bookmarkStart w:id="18" w:name="_Toc184308100"/>
      <w:bookmarkEnd w:id="18"/>
      <w:bookmarkStart w:id="19" w:name="_Toc184312124"/>
      <w:bookmarkEnd w:id="19"/>
      <w:bookmarkStart w:id="20" w:name="_Toc184308097"/>
      <w:bookmarkEnd w:id="20"/>
      <w:bookmarkStart w:id="21" w:name="_Toc184308040"/>
      <w:bookmarkEnd w:id="21"/>
      <w:bookmarkStart w:id="22" w:name="_Toc184308075"/>
      <w:bookmarkEnd w:id="22"/>
      <w:bookmarkStart w:id="23" w:name="_Toc184310317"/>
      <w:bookmarkEnd w:id="23"/>
      <w:bookmarkStart w:id="24" w:name="_Toc184308096"/>
      <w:bookmarkEnd w:id="24"/>
      <w:bookmarkStart w:id="25" w:name="_Toc184312072"/>
      <w:bookmarkEnd w:id="25"/>
      <w:bookmarkStart w:id="26" w:name="_Toc184312102"/>
      <w:bookmarkEnd w:id="26"/>
      <w:bookmarkStart w:id="27" w:name="_Toc184308068"/>
      <w:bookmarkEnd w:id="27"/>
      <w:bookmarkStart w:id="28" w:name="_Toc184312131"/>
      <w:bookmarkEnd w:id="28"/>
      <w:bookmarkStart w:id="29" w:name="_Toc184312082"/>
      <w:bookmarkEnd w:id="29"/>
      <w:bookmarkStart w:id="30" w:name="_Toc184308106"/>
      <w:bookmarkEnd w:id="30"/>
      <w:bookmarkStart w:id="31" w:name="_Toc184313272"/>
      <w:bookmarkEnd w:id="31"/>
      <w:bookmarkStart w:id="32" w:name="_Toc184312103"/>
      <w:bookmarkEnd w:id="32"/>
      <w:bookmarkStart w:id="33" w:name="_Toc184312107"/>
      <w:bookmarkEnd w:id="33"/>
      <w:bookmarkStart w:id="34" w:name="_Toc184308071"/>
      <w:bookmarkEnd w:id="34"/>
      <w:bookmarkStart w:id="35" w:name="_Toc184310341"/>
      <w:bookmarkEnd w:id="35"/>
      <w:bookmarkStart w:id="36" w:name="_Toc184314417"/>
      <w:bookmarkEnd w:id="36"/>
      <w:bookmarkStart w:id="37" w:name="_Toc184308090"/>
      <w:bookmarkEnd w:id="37"/>
      <w:bookmarkStart w:id="38" w:name="_Toc184313299"/>
      <w:bookmarkEnd w:id="38"/>
      <w:bookmarkStart w:id="39" w:name="_Toc184308041"/>
      <w:bookmarkEnd w:id="39"/>
      <w:bookmarkStart w:id="40" w:name="_Toc184312119"/>
      <w:bookmarkEnd w:id="40"/>
      <w:bookmarkStart w:id="41" w:name="_Toc184310338"/>
      <w:bookmarkEnd w:id="41"/>
      <w:bookmarkStart w:id="42" w:name="_Toc184308066"/>
      <w:bookmarkEnd w:id="42"/>
      <w:bookmarkStart w:id="43" w:name="_Toc184313262"/>
      <w:bookmarkEnd w:id="43"/>
      <w:bookmarkStart w:id="44" w:name="_Toc184313271"/>
      <w:bookmarkEnd w:id="44"/>
      <w:bookmarkStart w:id="45" w:name="_Toc184308080"/>
      <w:bookmarkEnd w:id="45"/>
      <w:bookmarkStart w:id="46" w:name="_Toc184313295"/>
      <w:bookmarkEnd w:id="46"/>
      <w:bookmarkStart w:id="47" w:name="_Toc184314437"/>
      <w:bookmarkEnd w:id="47"/>
      <w:bookmarkStart w:id="48" w:name="_Toc184312083"/>
      <w:bookmarkEnd w:id="48"/>
      <w:bookmarkStart w:id="49" w:name="_Toc184312081"/>
      <w:bookmarkEnd w:id="49"/>
      <w:bookmarkStart w:id="50" w:name="_Toc184313283"/>
      <w:bookmarkEnd w:id="50"/>
      <w:bookmarkStart w:id="51" w:name="_Toc184312073"/>
      <w:bookmarkEnd w:id="51"/>
      <w:bookmarkStart w:id="52" w:name="_Toc184314430"/>
      <w:bookmarkEnd w:id="52"/>
      <w:bookmarkStart w:id="53" w:name="_Toc184314462"/>
      <w:bookmarkEnd w:id="53"/>
      <w:bookmarkStart w:id="54" w:name="_Toc184310282"/>
      <w:bookmarkEnd w:id="54"/>
      <w:bookmarkStart w:id="55" w:name="_Toc184308049"/>
      <w:bookmarkEnd w:id="55"/>
      <w:bookmarkStart w:id="56" w:name="_Toc184314433"/>
      <w:bookmarkEnd w:id="56"/>
      <w:bookmarkStart w:id="57" w:name="_Toc184310290"/>
      <w:bookmarkEnd w:id="57"/>
      <w:bookmarkStart w:id="58" w:name="_Toc184312080"/>
      <w:bookmarkEnd w:id="58"/>
      <w:bookmarkStart w:id="59" w:name="_Toc184308077"/>
      <w:bookmarkEnd w:id="59"/>
      <w:bookmarkStart w:id="60" w:name="_Toc184312085"/>
      <w:bookmarkEnd w:id="60"/>
      <w:bookmarkStart w:id="61" w:name="_Toc184312097"/>
      <w:bookmarkEnd w:id="61"/>
      <w:bookmarkStart w:id="62" w:name="_Toc184313244"/>
      <w:bookmarkEnd w:id="62"/>
      <w:bookmarkStart w:id="63" w:name="_Toc184314457"/>
      <w:bookmarkEnd w:id="63"/>
      <w:bookmarkStart w:id="64" w:name="_Toc184310279"/>
      <w:bookmarkEnd w:id="64"/>
      <w:bookmarkStart w:id="65" w:name="_Toc184314461"/>
      <w:bookmarkEnd w:id="65"/>
      <w:bookmarkStart w:id="66" w:name="_Toc184308095"/>
      <w:bookmarkEnd w:id="66"/>
      <w:bookmarkStart w:id="67" w:name="_Toc184313242"/>
      <w:bookmarkEnd w:id="67"/>
      <w:bookmarkStart w:id="68" w:name="_Toc184310297"/>
      <w:bookmarkEnd w:id="68"/>
      <w:bookmarkStart w:id="69" w:name="_Toc184310311"/>
      <w:bookmarkEnd w:id="69"/>
      <w:bookmarkStart w:id="70" w:name="_Toc184314453"/>
      <w:bookmarkEnd w:id="70"/>
      <w:bookmarkStart w:id="71" w:name="_Toc184313277"/>
      <w:bookmarkEnd w:id="71"/>
      <w:bookmarkStart w:id="72" w:name="_Toc184310310"/>
      <w:bookmarkEnd w:id="72"/>
      <w:bookmarkStart w:id="73" w:name="_Toc184313284"/>
      <w:bookmarkEnd w:id="73"/>
      <w:bookmarkStart w:id="74" w:name="_Toc184314435"/>
      <w:bookmarkEnd w:id="74"/>
      <w:bookmarkStart w:id="75" w:name="_Toc184314432"/>
      <w:bookmarkEnd w:id="75"/>
      <w:bookmarkStart w:id="76" w:name="_Toc184312101"/>
      <w:bookmarkEnd w:id="76"/>
      <w:bookmarkStart w:id="77" w:name="_Toc184308062"/>
      <w:bookmarkEnd w:id="77"/>
      <w:bookmarkStart w:id="78" w:name="_Toc184314463"/>
      <w:bookmarkEnd w:id="78"/>
      <w:bookmarkStart w:id="79" w:name="_Toc184314477"/>
      <w:bookmarkEnd w:id="79"/>
      <w:bookmarkStart w:id="80" w:name="_Toc184313260"/>
      <w:bookmarkEnd w:id="80"/>
      <w:bookmarkStart w:id="81" w:name="_Toc184310296"/>
      <w:bookmarkEnd w:id="81"/>
      <w:bookmarkStart w:id="82" w:name="_Toc184313287"/>
      <w:bookmarkEnd w:id="82"/>
      <w:bookmarkStart w:id="83" w:name="_Toc184314472"/>
      <w:bookmarkEnd w:id="83"/>
      <w:bookmarkStart w:id="84" w:name="_Toc184314459"/>
      <w:bookmarkEnd w:id="84"/>
      <w:bookmarkStart w:id="85" w:name="_Toc184314478"/>
      <w:bookmarkEnd w:id="85"/>
      <w:bookmarkStart w:id="86" w:name="_Toc184313243"/>
      <w:bookmarkEnd w:id="86"/>
      <w:bookmarkStart w:id="87" w:name="_Toc184308101"/>
      <w:bookmarkEnd w:id="87"/>
      <w:bookmarkStart w:id="88" w:name="_Toc184314440"/>
      <w:bookmarkEnd w:id="88"/>
      <w:bookmarkStart w:id="89" w:name="_Toc184312109"/>
      <w:bookmarkEnd w:id="89"/>
      <w:bookmarkStart w:id="90" w:name="_Toc184308043"/>
      <w:bookmarkEnd w:id="90"/>
      <w:bookmarkStart w:id="91" w:name="_Toc184310305"/>
      <w:bookmarkEnd w:id="91"/>
      <w:bookmarkStart w:id="92" w:name="_Toc184313253"/>
      <w:bookmarkEnd w:id="92"/>
      <w:bookmarkStart w:id="93" w:name="_Toc184310277"/>
      <w:bookmarkEnd w:id="93"/>
      <w:bookmarkStart w:id="94" w:name="_Toc184312078"/>
      <w:bookmarkEnd w:id="94"/>
      <w:bookmarkStart w:id="95" w:name="_Toc184312122"/>
      <w:bookmarkEnd w:id="95"/>
      <w:bookmarkStart w:id="96" w:name="_Toc184313301"/>
      <w:bookmarkEnd w:id="96"/>
      <w:bookmarkStart w:id="97" w:name="_Toc184308061"/>
      <w:bookmarkEnd w:id="97"/>
      <w:bookmarkStart w:id="98" w:name="_Toc184313269"/>
      <w:bookmarkEnd w:id="98"/>
      <w:bookmarkStart w:id="99" w:name="_Toc184312069"/>
      <w:bookmarkEnd w:id="99"/>
      <w:bookmarkStart w:id="100" w:name="_Toc184310294"/>
      <w:bookmarkEnd w:id="100"/>
      <w:bookmarkStart w:id="101" w:name="_Toc184308088"/>
      <w:bookmarkEnd w:id="101"/>
      <w:bookmarkStart w:id="102" w:name="_Toc184314467"/>
      <w:bookmarkEnd w:id="102"/>
      <w:bookmarkStart w:id="103" w:name="_Toc184310306"/>
      <w:bookmarkEnd w:id="103"/>
      <w:bookmarkStart w:id="104" w:name="_Toc184314481"/>
      <w:bookmarkEnd w:id="104"/>
      <w:bookmarkStart w:id="105" w:name="_Toc184310316"/>
      <w:bookmarkEnd w:id="105"/>
      <w:bookmarkStart w:id="106" w:name="_Toc184308107"/>
      <w:bookmarkEnd w:id="106"/>
      <w:bookmarkStart w:id="107" w:name="_Toc184310308"/>
      <w:bookmarkEnd w:id="107"/>
      <w:bookmarkStart w:id="108" w:name="_Toc184310275"/>
      <w:bookmarkEnd w:id="108"/>
      <w:bookmarkStart w:id="109" w:name="_Toc184310329"/>
      <w:bookmarkEnd w:id="109"/>
      <w:bookmarkStart w:id="110" w:name="_Toc184313250"/>
      <w:bookmarkEnd w:id="110"/>
      <w:bookmarkStart w:id="111" w:name="_Toc184314456"/>
      <w:bookmarkEnd w:id="111"/>
      <w:bookmarkStart w:id="112" w:name="_Toc184308079"/>
      <w:bookmarkEnd w:id="112"/>
      <w:bookmarkStart w:id="113" w:name="_Toc184313265"/>
      <w:bookmarkEnd w:id="113"/>
      <w:bookmarkStart w:id="114" w:name="_Toc184313254"/>
      <w:bookmarkEnd w:id="114"/>
      <w:bookmarkStart w:id="115" w:name="_Toc184313294"/>
      <w:bookmarkEnd w:id="115"/>
      <w:bookmarkStart w:id="116" w:name="_Toc184308098"/>
      <w:bookmarkEnd w:id="116"/>
      <w:bookmarkStart w:id="117" w:name="_Toc184312095"/>
      <w:bookmarkEnd w:id="117"/>
      <w:bookmarkStart w:id="118" w:name="_Toc184312105"/>
      <w:bookmarkEnd w:id="118"/>
      <w:bookmarkStart w:id="119" w:name="_Toc184313309"/>
      <w:bookmarkEnd w:id="119"/>
      <w:bookmarkStart w:id="120" w:name="_Toc184310321"/>
      <w:bookmarkEnd w:id="120"/>
      <w:bookmarkStart w:id="121" w:name="_Toc184312076"/>
      <w:bookmarkEnd w:id="121"/>
      <w:bookmarkStart w:id="122" w:name="_Toc184313252"/>
      <w:bookmarkEnd w:id="122"/>
      <w:bookmarkStart w:id="123" w:name="_Toc184314466"/>
      <w:bookmarkEnd w:id="123"/>
      <w:bookmarkStart w:id="124" w:name="_Toc184314443"/>
      <w:bookmarkEnd w:id="124"/>
      <w:bookmarkStart w:id="125" w:name="_Toc184310323"/>
      <w:bookmarkEnd w:id="125"/>
      <w:bookmarkStart w:id="126" w:name="_Toc184312088"/>
      <w:bookmarkEnd w:id="126"/>
      <w:bookmarkStart w:id="127" w:name="_Toc184308105"/>
      <w:bookmarkEnd w:id="127"/>
      <w:bookmarkStart w:id="128" w:name="_Toc184308073"/>
      <w:bookmarkEnd w:id="128"/>
      <w:bookmarkStart w:id="129" w:name="_Toc184313248"/>
      <w:bookmarkEnd w:id="129"/>
      <w:bookmarkStart w:id="130" w:name="_Toc184310344"/>
      <w:bookmarkEnd w:id="130"/>
      <w:bookmarkStart w:id="131" w:name="_Toc184310299"/>
      <w:bookmarkEnd w:id="131"/>
      <w:bookmarkStart w:id="132" w:name="_Toc184314475"/>
      <w:bookmarkEnd w:id="132"/>
      <w:bookmarkStart w:id="133" w:name="_Toc184312087"/>
      <w:bookmarkEnd w:id="133"/>
      <w:bookmarkStart w:id="134" w:name="_Toc184313296"/>
      <w:bookmarkEnd w:id="134"/>
      <w:bookmarkStart w:id="135" w:name="_Toc184312136"/>
      <w:bookmarkEnd w:id="135"/>
      <w:bookmarkStart w:id="136" w:name="_Toc184312112"/>
      <w:bookmarkEnd w:id="136"/>
      <w:bookmarkStart w:id="137" w:name="_Toc184314412"/>
      <w:bookmarkEnd w:id="137"/>
      <w:bookmarkStart w:id="138" w:name="_Toc184313307"/>
      <w:bookmarkEnd w:id="138"/>
      <w:bookmarkStart w:id="139" w:name="_Toc184312129"/>
      <w:bookmarkEnd w:id="139"/>
      <w:bookmarkStart w:id="140" w:name="_Toc184310319"/>
      <w:bookmarkEnd w:id="140"/>
      <w:bookmarkStart w:id="141" w:name="_Toc184313278"/>
      <w:bookmarkEnd w:id="141"/>
      <w:bookmarkStart w:id="142" w:name="_Toc184314410"/>
      <w:bookmarkEnd w:id="142"/>
      <w:bookmarkStart w:id="143" w:name="_Toc184310298"/>
      <w:bookmarkEnd w:id="143"/>
      <w:bookmarkStart w:id="144" w:name="_Toc184313256"/>
      <w:bookmarkEnd w:id="144"/>
      <w:bookmarkStart w:id="145" w:name="_Toc184310337"/>
      <w:bookmarkEnd w:id="145"/>
      <w:bookmarkStart w:id="146" w:name="_Toc184312134"/>
      <w:bookmarkEnd w:id="146"/>
      <w:bookmarkStart w:id="147" w:name="_Toc184308078"/>
      <w:bookmarkEnd w:id="147"/>
      <w:bookmarkStart w:id="148" w:name="_Toc184313308"/>
      <w:bookmarkEnd w:id="148"/>
      <w:bookmarkStart w:id="149" w:name="_Toc184312089"/>
      <w:bookmarkEnd w:id="149"/>
      <w:bookmarkStart w:id="150" w:name="_Toc184308089"/>
      <w:bookmarkEnd w:id="150"/>
      <w:bookmarkStart w:id="151" w:name="_Toc184308039"/>
      <w:bookmarkEnd w:id="151"/>
      <w:bookmarkStart w:id="152" w:name="_Toc184308074"/>
      <w:bookmarkEnd w:id="152"/>
      <w:bookmarkStart w:id="153" w:name="_Toc184312077"/>
      <w:bookmarkEnd w:id="153"/>
      <w:bookmarkStart w:id="154" w:name="_Toc184310283"/>
      <w:bookmarkEnd w:id="154"/>
      <w:bookmarkStart w:id="155" w:name="_Toc184312130"/>
      <w:bookmarkEnd w:id="155"/>
      <w:bookmarkStart w:id="156" w:name="_Toc184313270"/>
      <w:bookmarkEnd w:id="156"/>
      <w:bookmarkStart w:id="157" w:name="_Toc184313251"/>
      <w:bookmarkEnd w:id="157"/>
      <w:bookmarkStart w:id="158" w:name="_Toc184308059"/>
      <w:bookmarkEnd w:id="158"/>
      <w:bookmarkStart w:id="159" w:name="_Toc184312126"/>
      <w:bookmarkEnd w:id="159"/>
      <w:bookmarkStart w:id="160" w:name="_Toc184310333"/>
      <w:bookmarkEnd w:id="160"/>
      <w:bookmarkStart w:id="161" w:name="_Toc184313289"/>
      <w:bookmarkEnd w:id="161"/>
      <w:bookmarkStart w:id="162" w:name="_Toc184308037"/>
      <w:bookmarkEnd w:id="162"/>
      <w:bookmarkStart w:id="163" w:name="_Toc184312086"/>
      <w:bookmarkEnd w:id="163"/>
      <w:bookmarkStart w:id="164" w:name="_Toc184310276"/>
      <w:bookmarkEnd w:id="164"/>
      <w:bookmarkStart w:id="165" w:name="_Toc184314450"/>
      <w:bookmarkEnd w:id="165"/>
      <w:bookmarkStart w:id="166" w:name="_Toc184308038"/>
      <w:bookmarkEnd w:id="166"/>
      <w:bookmarkStart w:id="167" w:name="_Toc184308085"/>
      <w:bookmarkEnd w:id="167"/>
      <w:bookmarkStart w:id="168" w:name="_Toc184313305"/>
      <w:bookmarkEnd w:id="168"/>
      <w:bookmarkStart w:id="169" w:name="_Toc184313257"/>
      <w:bookmarkEnd w:id="169"/>
      <w:bookmarkStart w:id="170" w:name="_Toc184308063"/>
      <w:bookmarkEnd w:id="170"/>
      <w:bookmarkStart w:id="171" w:name="_Toc184313286"/>
      <w:bookmarkEnd w:id="171"/>
      <w:bookmarkStart w:id="172" w:name="_Toc184314411"/>
      <w:bookmarkEnd w:id="172"/>
      <w:bookmarkStart w:id="173" w:name="_Toc184314464"/>
      <w:bookmarkEnd w:id="173"/>
      <w:bookmarkStart w:id="174" w:name="_Toc184312113"/>
      <w:bookmarkEnd w:id="174"/>
      <w:bookmarkStart w:id="175" w:name="_Toc184310315"/>
      <w:bookmarkEnd w:id="175"/>
      <w:bookmarkStart w:id="176" w:name="_Toc184313274"/>
      <w:bookmarkEnd w:id="176"/>
      <w:bookmarkStart w:id="177" w:name="_Toc184308094"/>
      <w:bookmarkEnd w:id="177"/>
      <w:bookmarkStart w:id="178" w:name="_Toc184312100"/>
      <w:bookmarkEnd w:id="178"/>
      <w:bookmarkStart w:id="179" w:name="_Toc184313258"/>
      <w:bookmarkEnd w:id="179"/>
      <w:bookmarkStart w:id="180" w:name="_Toc184312132"/>
      <w:bookmarkEnd w:id="180"/>
      <w:bookmarkStart w:id="181" w:name="_Toc184310325"/>
      <w:bookmarkEnd w:id="181"/>
      <w:bookmarkStart w:id="182" w:name="_Toc184313255"/>
      <w:bookmarkEnd w:id="182"/>
      <w:bookmarkStart w:id="183" w:name="_Toc184314418"/>
      <w:bookmarkEnd w:id="183"/>
      <w:bookmarkStart w:id="184" w:name="_Toc184313303"/>
      <w:bookmarkEnd w:id="184"/>
      <w:bookmarkStart w:id="185" w:name="_Toc184310324"/>
      <w:bookmarkEnd w:id="185"/>
      <w:bookmarkStart w:id="186" w:name="_Toc184312106"/>
      <w:bookmarkEnd w:id="186"/>
      <w:bookmarkStart w:id="187" w:name="_Toc184308108"/>
      <w:bookmarkEnd w:id="187"/>
      <w:bookmarkStart w:id="188" w:name="_Toc184314480"/>
      <w:bookmarkEnd w:id="188"/>
      <w:bookmarkStart w:id="189" w:name="_Toc184314425"/>
      <w:bookmarkEnd w:id="189"/>
      <w:bookmarkStart w:id="190" w:name="_Toc184310330"/>
      <w:bookmarkEnd w:id="190"/>
      <w:bookmarkStart w:id="191" w:name="_Toc184314420"/>
      <w:bookmarkEnd w:id="191"/>
      <w:bookmarkStart w:id="192" w:name="_Toc184312139"/>
      <w:bookmarkEnd w:id="192"/>
      <w:bookmarkStart w:id="193" w:name="_Toc184310278"/>
      <w:bookmarkEnd w:id="193"/>
      <w:bookmarkStart w:id="194" w:name="_Toc184312071"/>
      <w:bookmarkEnd w:id="194"/>
      <w:bookmarkStart w:id="195" w:name="_Toc184313290"/>
      <w:bookmarkEnd w:id="195"/>
      <w:bookmarkStart w:id="196" w:name="_Toc184313291"/>
      <w:bookmarkEnd w:id="196"/>
      <w:bookmarkStart w:id="197" w:name="_Toc184312084"/>
      <w:bookmarkEnd w:id="197"/>
      <w:bookmarkStart w:id="198" w:name="_Toc184313268"/>
      <w:bookmarkEnd w:id="198"/>
      <w:bookmarkStart w:id="199" w:name="_Toc184312068"/>
      <w:bookmarkEnd w:id="199"/>
      <w:bookmarkStart w:id="200" w:name="_Toc184314434"/>
      <w:bookmarkEnd w:id="200"/>
      <w:bookmarkStart w:id="201" w:name="_Toc184310322"/>
      <w:bookmarkEnd w:id="201"/>
      <w:bookmarkStart w:id="202" w:name="_Toc184314455"/>
      <w:bookmarkEnd w:id="202"/>
      <w:bookmarkStart w:id="203" w:name="_Toc184314429"/>
      <w:bookmarkEnd w:id="203"/>
      <w:bookmarkStart w:id="204" w:name="_Toc184308042"/>
      <w:bookmarkEnd w:id="204"/>
      <w:bookmarkStart w:id="205" w:name="_Toc184314479"/>
      <w:bookmarkEnd w:id="205"/>
      <w:bookmarkStart w:id="206" w:name="_Toc184312133"/>
      <w:bookmarkEnd w:id="206"/>
      <w:bookmarkStart w:id="207" w:name="_Toc184308053"/>
      <w:bookmarkEnd w:id="207"/>
      <w:bookmarkStart w:id="208" w:name="_Toc184314413"/>
      <w:bookmarkEnd w:id="208"/>
      <w:bookmarkStart w:id="209" w:name="_Toc184308069"/>
      <w:bookmarkEnd w:id="209"/>
      <w:bookmarkStart w:id="210" w:name="_Toc184308064"/>
      <w:bookmarkEnd w:id="210"/>
      <w:bookmarkStart w:id="211" w:name="_Toc184314428"/>
      <w:bookmarkEnd w:id="211"/>
      <w:bookmarkStart w:id="212" w:name="_Toc184312075"/>
      <w:bookmarkEnd w:id="212"/>
      <w:bookmarkStart w:id="213" w:name="_Toc184314444"/>
      <w:bookmarkEnd w:id="213"/>
      <w:bookmarkStart w:id="214" w:name="_Toc184310304"/>
      <w:bookmarkEnd w:id="214"/>
      <w:bookmarkStart w:id="215" w:name="_Toc184308051"/>
      <w:bookmarkEnd w:id="215"/>
      <w:bookmarkStart w:id="216" w:name="_Toc184308092"/>
      <w:bookmarkEnd w:id="216"/>
      <w:bookmarkStart w:id="217" w:name="_Toc184313279"/>
      <w:bookmarkEnd w:id="217"/>
      <w:bookmarkStart w:id="218" w:name="_Toc184310336"/>
      <w:bookmarkEnd w:id="218"/>
      <w:bookmarkStart w:id="219" w:name="_Toc184313292"/>
      <w:bookmarkEnd w:id="219"/>
      <w:bookmarkStart w:id="220" w:name="_Toc184314465"/>
      <w:bookmarkEnd w:id="220"/>
      <w:bookmarkStart w:id="221" w:name="_Toc184314445"/>
      <w:bookmarkEnd w:id="221"/>
      <w:bookmarkStart w:id="222" w:name="_Toc184312111"/>
      <w:bookmarkEnd w:id="222"/>
      <w:bookmarkStart w:id="223" w:name="_Toc184308046"/>
      <w:bookmarkEnd w:id="223"/>
      <w:bookmarkStart w:id="224" w:name="_Toc184310281"/>
      <w:bookmarkEnd w:id="224"/>
      <w:bookmarkStart w:id="225" w:name="_Toc184310295"/>
      <w:bookmarkEnd w:id="225"/>
      <w:bookmarkStart w:id="226" w:name="_Toc184308065"/>
      <w:bookmarkEnd w:id="226"/>
      <w:bookmarkStart w:id="227" w:name="_Toc184313241"/>
      <w:bookmarkEnd w:id="227"/>
      <w:bookmarkStart w:id="228" w:name="_Toc184310300"/>
      <w:bookmarkEnd w:id="228"/>
      <w:bookmarkStart w:id="229" w:name="_Toc184313304"/>
      <w:bookmarkEnd w:id="229"/>
      <w:bookmarkStart w:id="230" w:name="_Toc184310280"/>
      <w:bookmarkEnd w:id="230"/>
      <w:bookmarkStart w:id="231" w:name="_Toc184310327"/>
      <w:bookmarkEnd w:id="231"/>
      <w:bookmarkStart w:id="232" w:name="_Toc184312118"/>
      <w:bookmarkEnd w:id="232"/>
      <w:bookmarkStart w:id="233" w:name="_Toc184310332"/>
      <w:bookmarkEnd w:id="233"/>
      <w:bookmarkStart w:id="234" w:name="_Toc184308045"/>
      <w:bookmarkEnd w:id="234"/>
      <w:bookmarkStart w:id="235" w:name="_Toc184313240"/>
      <w:bookmarkEnd w:id="235"/>
      <w:bookmarkStart w:id="236" w:name="_Toc184314436"/>
      <w:bookmarkEnd w:id="236"/>
      <w:bookmarkStart w:id="237" w:name="_Toc184308076"/>
      <w:bookmarkEnd w:id="237"/>
      <w:bookmarkStart w:id="238" w:name="_Toc184314468"/>
      <w:bookmarkEnd w:id="238"/>
      <w:bookmarkStart w:id="239" w:name="_Toc184314446"/>
      <w:bookmarkEnd w:id="239"/>
      <w:bookmarkStart w:id="240" w:name="_Toc184308070"/>
      <w:bookmarkEnd w:id="240"/>
      <w:bookmarkStart w:id="241" w:name="_Toc184312116"/>
      <w:bookmarkEnd w:id="241"/>
      <w:bookmarkStart w:id="242" w:name="_Toc184310293"/>
      <w:bookmarkEnd w:id="242"/>
      <w:bookmarkStart w:id="243" w:name="_Toc184314416"/>
      <w:bookmarkEnd w:id="243"/>
      <w:bookmarkStart w:id="244" w:name="_Toc184308102"/>
      <w:bookmarkEnd w:id="244"/>
      <w:bookmarkStart w:id="245" w:name="_Toc184310289"/>
      <w:bookmarkEnd w:id="245"/>
      <w:bookmarkStart w:id="246" w:name="_Toc184310284"/>
      <w:bookmarkEnd w:id="246"/>
      <w:bookmarkStart w:id="247" w:name="_Toc184314422"/>
      <w:bookmarkEnd w:id="247"/>
      <w:bookmarkStart w:id="248" w:name="_Toc184308048"/>
      <w:bookmarkEnd w:id="248"/>
      <w:bookmarkStart w:id="249" w:name="_Toc184310288"/>
      <w:bookmarkEnd w:id="249"/>
      <w:bookmarkStart w:id="250" w:name="_Toc184314454"/>
      <w:bookmarkEnd w:id="250"/>
      <w:bookmarkStart w:id="251" w:name="_Toc184313306"/>
      <w:bookmarkEnd w:id="251"/>
      <w:bookmarkStart w:id="252" w:name="_Toc184310309"/>
      <w:bookmarkEnd w:id="252"/>
      <w:bookmarkStart w:id="253" w:name="_Toc184313247"/>
      <w:bookmarkEnd w:id="253"/>
      <w:bookmarkStart w:id="254" w:name="_Toc184308058"/>
      <w:bookmarkEnd w:id="254"/>
      <w:bookmarkStart w:id="255" w:name="_Toc184310274"/>
      <w:bookmarkEnd w:id="255"/>
      <w:bookmarkStart w:id="256" w:name="_Toc184314419"/>
      <w:bookmarkEnd w:id="256"/>
      <w:bookmarkStart w:id="257" w:name="_Toc184313266"/>
      <w:bookmarkEnd w:id="257"/>
      <w:bookmarkStart w:id="258" w:name="_Toc184313273"/>
      <w:bookmarkEnd w:id="258"/>
      <w:bookmarkStart w:id="259" w:name="_Toc184313310"/>
      <w:bookmarkEnd w:id="259"/>
      <w:bookmarkStart w:id="260" w:name="_Toc184313282"/>
      <w:bookmarkEnd w:id="260"/>
      <w:bookmarkStart w:id="261" w:name="_Toc184313275"/>
      <w:bookmarkEnd w:id="261"/>
      <w:bookmarkStart w:id="262" w:name="_Toc184314451"/>
      <w:bookmarkEnd w:id="262"/>
      <w:bookmarkStart w:id="263" w:name="_Toc184313261"/>
      <w:bookmarkEnd w:id="263"/>
      <w:bookmarkStart w:id="264" w:name="_Toc184314449"/>
      <w:bookmarkEnd w:id="264"/>
      <w:bookmarkStart w:id="265" w:name="_Toc184313249"/>
      <w:bookmarkEnd w:id="265"/>
      <w:bookmarkStart w:id="266" w:name="_Toc184310331"/>
      <w:bookmarkEnd w:id="266"/>
      <w:bookmarkStart w:id="267" w:name="_Toc184314421"/>
      <w:bookmarkEnd w:id="267"/>
      <w:bookmarkStart w:id="268" w:name="_Toc184308103"/>
      <w:bookmarkEnd w:id="268"/>
      <w:bookmarkStart w:id="269" w:name="_Toc184308086"/>
      <w:bookmarkEnd w:id="269"/>
      <w:bookmarkStart w:id="270" w:name="_Toc184312123"/>
      <w:bookmarkEnd w:id="270"/>
      <w:bookmarkStart w:id="271" w:name="_Toc184308081"/>
      <w:bookmarkEnd w:id="271"/>
      <w:bookmarkStart w:id="272" w:name="_Toc184310307"/>
      <w:bookmarkEnd w:id="272"/>
      <w:bookmarkStart w:id="273" w:name="_Toc184313302"/>
      <w:bookmarkEnd w:id="273"/>
      <w:bookmarkStart w:id="274" w:name="_Toc184314452"/>
      <w:bookmarkEnd w:id="274"/>
      <w:bookmarkStart w:id="275" w:name="_Toc184313298"/>
      <w:bookmarkEnd w:id="275"/>
      <w:bookmarkStart w:id="276" w:name="_Toc184310303"/>
      <w:bookmarkEnd w:id="276"/>
      <w:bookmarkStart w:id="277" w:name="_Toc184308057"/>
      <w:bookmarkEnd w:id="277"/>
      <w:bookmarkStart w:id="278" w:name="_Toc184314441"/>
      <w:bookmarkEnd w:id="278"/>
      <w:bookmarkStart w:id="279" w:name="_Toc184308052"/>
      <w:bookmarkEnd w:id="279"/>
      <w:bookmarkStart w:id="280" w:name="_Toc184312121"/>
      <w:bookmarkEnd w:id="280"/>
      <w:bookmarkStart w:id="281" w:name="_Toc184310326"/>
      <w:bookmarkEnd w:id="281"/>
      <w:bookmarkStart w:id="282" w:name="_Toc184314473"/>
      <w:bookmarkEnd w:id="282"/>
      <w:bookmarkStart w:id="283" w:name="_Toc184313276"/>
      <w:bookmarkEnd w:id="283"/>
      <w:bookmarkStart w:id="284" w:name="_Toc184313259"/>
      <w:bookmarkEnd w:id="284"/>
      <w:bookmarkStart w:id="285" w:name="_Toc184312094"/>
      <w:bookmarkEnd w:id="285"/>
      <w:bookmarkStart w:id="286" w:name="_Toc184310320"/>
      <w:bookmarkEnd w:id="286"/>
      <w:bookmarkStart w:id="287" w:name="_Toc184314415"/>
      <w:bookmarkEnd w:id="287"/>
      <w:bookmarkStart w:id="288" w:name="_Toc184312138"/>
      <w:bookmarkEnd w:id="288"/>
      <w:bookmarkStart w:id="289" w:name="_Toc184308055"/>
      <w:bookmarkEnd w:id="289"/>
      <w:bookmarkStart w:id="290" w:name="_Toc184312137"/>
      <w:bookmarkEnd w:id="290"/>
      <w:bookmarkStart w:id="291" w:name="_Toc184310342"/>
      <w:bookmarkEnd w:id="291"/>
      <w:bookmarkStart w:id="292" w:name="_Toc184312091"/>
      <w:bookmarkEnd w:id="292"/>
      <w:bookmarkStart w:id="293" w:name="_Toc184312079"/>
      <w:bookmarkEnd w:id="293"/>
      <w:bookmarkStart w:id="294" w:name="_Toc184310328"/>
      <w:bookmarkEnd w:id="294"/>
      <w:bookmarkStart w:id="295" w:name="_Toc184312067"/>
      <w:bookmarkEnd w:id="295"/>
      <w:bookmarkStart w:id="296" w:name="_Toc184312098"/>
      <w:bookmarkEnd w:id="296"/>
      <w:bookmarkStart w:id="297" w:name="_Toc184310312"/>
      <w:bookmarkEnd w:id="297"/>
      <w:bookmarkStart w:id="298" w:name="_Toc184310339"/>
      <w:bookmarkEnd w:id="298"/>
      <w:bookmarkStart w:id="299" w:name="_Toc184310343"/>
      <w:bookmarkEnd w:id="299"/>
      <w:bookmarkStart w:id="300" w:name="_Toc184310301"/>
      <w:bookmarkEnd w:id="300"/>
      <w:bookmarkStart w:id="301" w:name="_Toc184308091"/>
      <w:bookmarkEnd w:id="301"/>
      <w:bookmarkStart w:id="302" w:name="_Toc184308093"/>
      <w:bookmarkEnd w:id="302"/>
      <w:bookmarkStart w:id="303" w:name="_Toc184312093"/>
      <w:bookmarkEnd w:id="303"/>
      <w:bookmarkStart w:id="304" w:name="_Toc184310313"/>
      <w:bookmarkEnd w:id="304"/>
      <w:bookmarkStart w:id="305" w:name="_Toc184312070"/>
      <w:bookmarkEnd w:id="305"/>
      <w:bookmarkStart w:id="306" w:name="_Toc184312074"/>
      <w:bookmarkEnd w:id="306"/>
      <w:bookmarkStart w:id="307" w:name="_Toc184314470"/>
      <w:bookmarkEnd w:id="307"/>
      <w:bookmarkStart w:id="308" w:name="_Toc184314482"/>
      <w:bookmarkEnd w:id="308"/>
      <w:bookmarkStart w:id="309" w:name="_Toc184310302"/>
      <w:bookmarkEnd w:id="309"/>
      <w:bookmarkStart w:id="310" w:name="_Toc184310314"/>
      <w:bookmarkEnd w:id="310"/>
      <w:bookmarkStart w:id="311" w:name="_Toc184310286"/>
      <w:bookmarkEnd w:id="311"/>
      <w:bookmarkStart w:id="312" w:name="_Toc184314448"/>
      <w:bookmarkEnd w:id="312"/>
      <w:bookmarkStart w:id="313" w:name="_Toc184313263"/>
      <w:bookmarkEnd w:id="313"/>
      <w:bookmarkStart w:id="314" w:name="_Toc184313238"/>
      <w:bookmarkEnd w:id="314"/>
      <w:bookmarkStart w:id="315" w:name="_Toc184313280"/>
      <w:bookmarkEnd w:id="315"/>
      <w:bookmarkStart w:id="316" w:name="_Toc184313297"/>
      <w:bookmarkEnd w:id="316"/>
      <w:bookmarkStart w:id="317" w:name="_Toc184308072"/>
      <w:bookmarkEnd w:id="317"/>
      <w:bookmarkStart w:id="318" w:name="_Toc184310292"/>
      <w:bookmarkEnd w:id="318"/>
      <w:bookmarkStart w:id="319" w:name="_Toc184308099"/>
      <w:bookmarkEnd w:id="319"/>
      <w:bookmarkStart w:id="320" w:name="_Toc184312117"/>
      <w:bookmarkEnd w:id="320"/>
      <w:bookmarkStart w:id="321" w:name="_Toc184314427"/>
      <w:bookmarkEnd w:id="321"/>
      <w:bookmarkStart w:id="322" w:name="_Toc184314476"/>
      <w:bookmarkEnd w:id="322"/>
      <w:bookmarkStart w:id="323" w:name="_Toc184308087"/>
      <w:bookmarkEnd w:id="323"/>
      <w:bookmarkStart w:id="324" w:name="_Toc184310287"/>
      <w:bookmarkEnd w:id="324"/>
      <w:bookmarkStart w:id="325" w:name="_Toc184312135"/>
      <w:bookmarkEnd w:id="325"/>
      <w:bookmarkStart w:id="326" w:name="_Toc184312096"/>
      <w:bookmarkEnd w:id="326"/>
      <w:bookmarkStart w:id="327" w:name="_Toc184308083"/>
      <w:bookmarkEnd w:id="327"/>
      <w:bookmarkStart w:id="328" w:name="_Toc184308082"/>
      <w:bookmarkEnd w:id="328"/>
      <w:bookmarkStart w:id="329" w:name="_Toc184308104"/>
      <w:bookmarkEnd w:id="329"/>
      <w:bookmarkStart w:id="330" w:name="_Toc184308084"/>
      <w:bookmarkEnd w:id="330"/>
      <w:bookmarkStart w:id="331" w:name="_Toc184310285"/>
      <w:bookmarkEnd w:id="331"/>
      <w:bookmarkStart w:id="332" w:name="_Toc184313293"/>
      <w:bookmarkEnd w:id="332"/>
      <w:bookmarkStart w:id="333" w:name="_Toc184308060"/>
      <w:bookmarkEnd w:id="333"/>
      <w:bookmarkStart w:id="334" w:name="_Toc184314474"/>
      <w:bookmarkEnd w:id="334"/>
      <w:bookmarkStart w:id="335" w:name="_Toc184314442"/>
      <w:bookmarkEnd w:id="335"/>
      <w:bookmarkStart w:id="336" w:name="_Toc184314431"/>
      <w:bookmarkEnd w:id="336"/>
      <w:bookmarkStart w:id="337" w:name="_Toc184314424"/>
      <w:bookmarkEnd w:id="337"/>
      <w:bookmarkStart w:id="338" w:name="_Toc184308050"/>
      <w:bookmarkEnd w:id="338"/>
      <w:bookmarkStart w:id="339" w:name="_Toc184312099"/>
      <w:bookmarkEnd w:id="339"/>
      <w:bookmarkStart w:id="340" w:name="_Toc184313267"/>
      <w:bookmarkEnd w:id="340"/>
      <w:bookmarkStart w:id="341" w:name="_Toc184308047"/>
      <w:bookmarkEnd w:id="341"/>
      <w:bookmarkStart w:id="342" w:name="_Toc184312115"/>
      <w:bookmarkEnd w:id="342"/>
      <w:bookmarkStart w:id="343" w:name="_Toc184314447"/>
      <w:bookmarkEnd w:id="343"/>
      <w:bookmarkStart w:id="344" w:name="_Toc184312108"/>
      <w:bookmarkEnd w:id="344"/>
      <w:bookmarkStart w:id="345" w:name="_Toc184308056"/>
      <w:bookmarkEnd w:id="345"/>
      <w:bookmarkStart w:id="346" w:name="_Toc184313246"/>
      <w:bookmarkEnd w:id="346"/>
      <w:bookmarkStart w:id="347" w:name="_Toc184310318"/>
      <w:bookmarkEnd w:id="347"/>
      <w:bookmarkStart w:id="348" w:name="_Toc184308067"/>
      <w:bookmarkEnd w:id="348"/>
      <w:bookmarkStart w:id="349" w:name="_Toc184310273"/>
      <w:bookmarkEnd w:id="349"/>
      <w:bookmarkStart w:id="350" w:name="_Toc184314460"/>
      <w:bookmarkEnd w:id="350"/>
      <w:bookmarkStart w:id="351" w:name="_Toc184314438"/>
      <w:bookmarkEnd w:id="351"/>
      <w:bookmarkStart w:id="352" w:name="_Toc184312127"/>
      <w:bookmarkEnd w:id="352"/>
      <w:bookmarkStart w:id="353" w:name="_Toc184312125"/>
      <w:bookmarkEnd w:id="353"/>
      <w:bookmarkStart w:id="354" w:name="_Toc184314426"/>
      <w:bookmarkEnd w:id="354"/>
      <w:bookmarkStart w:id="355" w:name="_Toc184313239"/>
      <w:bookmarkEnd w:id="355"/>
      <w:bookmarkStart w:id="356" w:name="_Toc184308054"/>
      <w:bookmarkEnd w:id="356"/>
      <w:bookmarkStart w:id="357" w:name="_Toc184310334"/>
      <w:bookmarkEnd w:id="357"/>
      <w:bookmarkStart w:id="358" w:name="_Toc184312104"/>
      <w:bookmarkEnd w:id="358"/>
      <w:bookmarkStart w:id="359" w:name="_Toc184314423"/>
      <w:bookmarkEnd w:id="359"/>
      <w:bookmarkStart w:id="360" w:name="_Toc184310291"/>
      <w:bookmarkEnd w:id="360"/>
      <w:bookmarkStart w:id="361" w:name="_Toc184312092"/>
      <w:bookmarkEnd w:id="361"/>
      <w:bookmarkStart w:id="362" w:name="_Toc184312090"/>
      <w:bookmarkEnd w:id="362"/>
      <w:bookmarkStart w:id="363" w:name="_Toc184314439"/>
      <w:bookmarkEnd w:id="363"/>
      <w:bookmarkStart w:id="364" w:name="_Toc184308044"/>
      <w:bookmarkEnd w:id="364"/>
      <w:bookmarkStart w:id="365" w:name="_Toc184313281"/>
      <w:bookmarkEnd w:id="365"/>
      <w:bookmarkStart w:id="366" w:name="_Toc184308036"/>
      <w:bookmarkEnd w:id="366"/>
      <w:bookmarkStart w:id="367" w:name="_Toc184314458"/>
      <w:bookmarkEnd w:id="367"/>
      <w:bookmarkStart w:id="368" w:name="_Toc184313264"/>
      <w:bookmarkEnd w:id="368"/>
      <w:bookmarkStart w:id="369" w:name="_Toc184312128"/>
      <w:bookmarkEnd w:id="369"/>
      <w:bookmarkStart w:id="370" w:name="_Toc184314471"/>
      <w:bookmarkEnd w:id="370"/>
      <w:bookmarkStart w:id="371" w:name="_Toc184313285"/>
      <w:bookmarkEnd w:id="371"/>
      <w:bookmarkStart w:id="372" w:name="_Toc184312120"/>
      <w:bookmarkEnd w:id="372"/>
      <w:bookmarkStart w:id="373" w:name="_Toc184314469"/>
      <w:bookmarkEnd w:id="373"/>
      <w:bookmarkStart w:id="374" w:name="_Toc184312110"/>
      <w:bookmarkEnd w:id="374"/>
      <w:bookmarkStart w:id="375" w:name="_Toc184310272"/>
      <w:bookmarkEnd w:id="375"/>
      <w:bookmarkStart w:id="376" w:name="_Toc184313300"/>
      <w:bookmarkEnd w:id="376"/>
      <w:bookmarkStart w:id="377" w:name="_Toc184314414"/>
      <w:bookmarkEnd w:id="377"/>
      <w:bookmarkStart w:id="378" w:name="_Toc184312114"/>
      <w:bookmarkEnd w:id="378"/>
      <w:bookmarkStart w:id="379" w:name="_Toc184313245"/>
      <w:bookmarkEnd w:id="379"/>
      <w:bookmarkStart w:id="380" w:name="_Toc184310340"/>
      <w:bookmarkEnd w:id="380"/>
      <w:bookmarkStart w:id="381" w:name="_Toc184313288"/>
      <w:bookmarkEnd w:id="381"/>
      <w:r>
        <w:rPr>
          <w:rFonts w:hint="eastAsia" w:ascii="宋体" w:hAnsi="宋体" w:eastAsia="宋体" w:cs="宋体"/>
          <w:b/>
          <w:color w:val="auto"/>
          <w:sz w:val="36"/>
          <w:szCs w:val="36"/>
          <w:highlight w:val="none"/>
        </w:rPr>
        <w:t>交易办法</w:t>
      </w:r>
    </w:p>
    <w:p w14:paraId="2E6F3FC3">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交易办法前附表</w:t>
      </w:r>
    </w:p>
    <w:p w14:paraId="66C3C5BB">
      <w:pPr>
        <w:widowControl/>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1、商务技术部分（</w:t>
      </w:r>
      <w:r>
        <w:rPr>
          <w:rFonts w:hint="eastAsia" w:ascii="宋体" w:hAnsi="宋体" w:cs="宋体"/>
          <w:b/>
          <w:bCs/>
          <w:color w:val="auto"/>
          <w:sz w:val="24"/>
          <w:highlight w:val="none"/>
          <w:lang w:val="en-US" w:eastAsia="zh-CN"/>
        </w:rPr>
        <w:t>90</w:t>
      </w:r>
      <w:r>
        <w:rPr>
          <w:rFonts w:hint="eastAsia" w:ascii="宋体" w:hAnsi="宋体" w:cs="宋体"/>
          <w:b/>
          <w:bCs/>
          <w:color w:val="auto"/>
          <w:sz w:val="24"/>
          <w:highlight w:val="none"/>
        </w:rPr>
        <w:t>分）：</w:t>
      </w:r>
    </w:p>
    <w:tbl>
      <w:tblPr>
        <w:tblStyle w:val="65"/>
        <w:tblW w:w="95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7"/>
        <w:gridCol w:w="1011"/>
        <w:gridCol w:w="5854"/>
        <w:gridCol w:w="914"/>
        <w:gridCol w:w="1026"/>
      </w:tblGrid>
      <w:tr w14:paraId="4DE3D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32C5B29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11" w:type="dxa"/>
            <w:tcBorders>
              <w:top w:val="single" w:color="000000" w:sz="4" w:space="0"/>
              <w:left w:val="nil"/>
              <w:bottom w:val="single" w:color="000000" w:sz="4" w:space="0"/>
              <w:right w:val="single" w:color="000000" w:sz="4" w:space="0"/>
            </w:tcBorders>
            <w:vAlign w:val="center"/>
          </w:tcPr>
          <w:p w14:paraId="640E8E0B">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评分内容</w:t>
            </w:r>
          </w:p>
        </w:tc>
        <w:tc>
          <w:tcPr>
            <w:tcW w:w="5854" w:type="dxa"/>
            <w:tcBorders>
              <w:top w:val="single" w:color="000000" w:sz="4" w:space="0"/>
              <w:left w:val="nil"/>
              <w:bottom w:val="single" w:color="000000" w:sz="4" w:space="0"/>
              <w:right w:val="single" w:color="000000" w:sz="4" w:space="0"/>
            </w:tcBorders>
            <w:vAlign w:val="center"/>
          </w:tcPr>
          <w:p w14:paraId="6F6E72B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评审条款</w:t>
            </w:r>
          </w:p>
        </w:tc>
        <w:tc>
          <w:tcPr>
            <w:tcW w:w="914" w:type="dxa"/>
            <w:tcBorders>
              <w:top w:val="single" w:color="000000" w:sz="4" w:space="0"/>
              <w:left w:val="single" w:color="000000" w:sz="4" w:space="0"/>
              <w:bottom w:val="single" w:color="000000" w:sz="4" w:space="0"/>
              <w:right w:val="single" w:color="000000" w:sz="4" w:space="0"/>
            </w:tcBorders>
            <w:vAlign w:val="center"/>
          </w:tcPr>
          <w:p w14:paraId="55F64FD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1026" w:type="dxa"/>
            <w:tcBorders>
              <w:top w:val="single" w:color="000000" w:sz="4" w:space="0"/>
              <w:left w:val="single" w:color="000000" w:sz="4" w:space="0"/>
              <w:bottom w:val="single" w:color="000000" w:sz="4" w:space="0"/>
              <w:right w:val="single" w:color="000000" w:sz="4" w:space="0"/>
            </w:tcBorders>
            <w:vAlign w:val="center"/>
          </w:tcPr>
          <w:p w14:paraId="3059D0B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主客</w:t>
            </w:r>
          </w:p>
          <w:p w14:paraId="35BCFBE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观分</w:t>
            </w:r>
          </w:p>
        </w:tc>
      </w:tr>
      <w:tr w14:paraId="58982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2F8C42B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11" w:type="dxa"/>
            <w:tcBorders>
              <w:top w:val="single" w:color="000000" w:sz="4" w:space="0"/>
              <w:left w:val="single" w:color="000000" w:sz="4" w:space="0"/>
              <w:bottom w:val="single" w:color="000000" w:sz="4" w:space="0"/>
              <w:right w:val="single" w:color="000000" w:sz="4" w:space="0"/>
            </w:tcBorders>
            <w:vAlign w:val="center"/>
          </w:tcPr>
          <w:p w14:paraId="1A355209">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商务资质</w:t>
            </w:r>
          </w:p>
          <w:p w14:paraId="221645AB">
            <w:pPr>
              <w:jc w:val="center"/>
              <w:rPr>
                <w:rFonts w:hint="eastAsia" w:ascii="Times New Roman" w:hAnsi="Times New Roman" w:cs="Times New Roman"/>
                <w:b w:val="0"/>
                <w:bCs w:val="0"/>
                <w:color w:val="auto"/>
                <w:sz w:val="24"/>
                <w:szCs w:val="24"/>
                <w:highlight w:val="none"/>
                <w:lang w:val="en-US" w:eastAsia="zh-CN"/>
              </w:rPr>
            </w:pPr>
          </w:p>
        </w:tc>
        <w:tc>
          <w:tcPr>
            <w:tcW w:w="5854" w:type="dxa"/>
            <w:tcBorders>
              <w:top w:val="single" w:color="000000" w:sz="4" w:space="0"/>
              <w:left w:val="single" w:color="000000" w:sz="4" w:space="0"/>
              <w:bottom w:val="single" w:color="000000" w:sz="4" w:space="0"/>
              <w:right w:val="single" w:color="000000" w:sz="4" w:space="0"/>
            </w:tcBorders>
            <w:vAlign w:val="center"/>
          </w:tcPr>
          <w:p w14:paraId="01BBBF29">
            <w:pP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具有国家相关行业主管部门颁</w:t>
            </w:r>
            <w:r>
              <w:rPr>
                <w:rFonts w:hint="eastAsia" w:ascii="宋体" w:hAnsi="宋体" w:eastAsia="宋体" w:cs="宋体"/>
                <w:color w:val="auto"/>
                <w:sz w:val="24"/>
                <w:szCs w:val="24"/>
                <w:highlight w:val="none"/>
              </w:rPr>
              <w:t>发的会计师事务所执业证书得2分。（需提供证书扫描件</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加盖公章，不提供不得分。）</w:t>
            </w:r>
          </w:p>
        </w:tc>
        <w:tc>
          <w:tcPr>
            <w:tcW w:w="914" w:type="dxa"/>
            <w:tcBorders>
              <w:top w:val="single" w:color="000000" w:sz="4" w:space="0"/>
              <w:left w:val="single" w:color="000000" w:sz="4" w:space="0"/>
              <w:bottom w:val="single" w:color="000000" w:sz="4" w:space="0"/>
              <w:right w:val="single" w:color="000000" w:sz="4" w:space="0"/>
            </w:tcBorders>
            <w:vAlign w:val="center"/>
          </w:tcPr>
          <w:p w14:paraId="5AA9CAC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p>
        </w:tc>
        <w:tc>
          <w:tcPr>
            <w:tcW w:w="1026" w:type="dxa"/>
            <w:tcBorders>
              <w:top w:val="single" w:color="000000" w:sz="4" w:space="0"/>
              <w:left w:val="single" w:color="000000" w:sz="4" w:space="0"/>
              <w:bottom w:val="single" w:color="000000" w:sz="4" w:space="0"/>
              <w:right w:val="single" w:color="000000" w:sz="4" w:space="0"/>
            </w:tcBorders>
            <w:vAlign w:val="center"/>
          </w:tcPr>
          <w:p w14:paraId="60B2A19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47E25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50FFF83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11" w:type="dxa"/>
            <w:tcBorders>
              <w:top w:val="single" w:color="000000" w:sz="4" w:space="0"/>
              <w:left w:val="single" w:color="000000" w:sz="4" w:space="0"/>
              <w:bottom w:val="single" w:color="000000" w:sz="4" w:space="0"/>
              <w:right w:val="single" w:color="000000" w:sz="4" w:space="0"/>
            </w:tcBorders>
            <w:vAlign w:val="center"/>
          </w:tcPr>
          <w:p w14:paraId="63FD7D34">
            <w:pPr>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审计服务业绩</w:t>
            </w:r>
          </w:p>
          <w:p w14:paraId="3CC852D7">
            <w:pPr>
              <w:jc w:val="center"/>
              <w:rPr>
                <w:rFonts w:hint="eastAsia" w:ascii="Times New Roman" w:hAnsi="Times New Roman" w:cs="Times New Roman"/>
                <w:b w:val="0"/>
                <w:bCs w:val="0"/>
                <w:color w:val="auto"/>
                <w:sz w:val="24"/>
                <w:szCs w:val="24"/>
                <w:highlight w:val="none"/>
                <w:lang w:val="en-US" w:eastAsia="zh-CN"/>
              </w:rPr>
            </w:pPr>
          </w:p>
        </w:tc>
        <w:tc>
          <w:tcPr>
            <w:tcW w:w="5854" w:type="dxa"/>
            <w:tcBorders>
              <w:top w:val="single" w:color="000000" w:sz="4" w:space="0"/>
              <w:left w:val="single" w:color="000000" w:sz="4" w:space="0"/>
              <w:bottom w:val="single" w:color="000000" w:sz="4" w:space="0"/>
              <w:right w:val="single" w:color="000000" w:sz="4" w:space="0"/>
            </w:tcBorders>
            <w:vAlign w:val="center"/>
          </w:tcPr>
          <w:p w14:paraId="7467F0B0">
            <w:pPr>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提供自202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年1月1日以来（以合同签订时间为准），独立承担过类似服务业绩案例的，每提供一个案例合同得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分，本项最高得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分。</w:t>
            </w:r>
          </w:p>
          <w:p w14:paraId="7453554F">
            <w:pPr>
              <w:jc w:val="both"/>
              <w:rPr>
                <w:rFonts w:hint="eastAsia"/>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（提供相关业绩合同扫描件，不提供不得分。）</w:t>
            </w:r>
          </w:p>
        </w:tc>
        <w:tc>
          <w:tcPr>
            <w:tcW w:w="914" w:type="dxa"/>
            <w:tcBorders>
              <w:top w:val="single" w:color="000000" w:sz="4" w:space="0"/>
              <w:left w:val="single" w:color="000000" w:sz="4" w:space="0"/>
              <w:bottom w:val="single" w:color="000000" w:sz="4" w:space="0"/>
              <w:right w:val="single" w:color="000000" w:sz="4" w:space="0"/>
            </w:tcBorders>
            <w:vAlign w:val="center"/>
          </w:tcPr>
          <w:p w14:paraId="3A22A4ED">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1026" w:type="dxa"/>
            <w:tcBorders>
              <w:top w:val="single" w:color="000000" w:sz="4" w:space="0"/>
              <w:left w:val="single" w:color="000000" w:sz="4" w:space="0"/>
              <w:bottom w:val="single" w:color="000000" w:sz="4" w:space="0"/>
              <w:right w:val="single" w:color="000000" w:sz="4" w:space="0"/>
            </w:tcBorders>
            <w:vAlign w:val="center"/>
          </w:tcPr>
          <w:p w14:paraId="1C5C94B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r>
      <w:tr w14:paraId="0540F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3"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0F06721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11" w:type="dxa"/>
            <w:vMerge w:val="restart"/>
            <w:tcBorders>
              <w:top w:val="single" w:color="000000" w:sz="4" w:space="0"/>
              <w:left w:val="single" w:color="000000" w:sz="4" w:space="0"/>
              <w:right w:val="single" w:color="000000" w:sz="4" w:space="0"/>
            </w:tcBorders>
            <w:vAlign w:val="center"/>
          </w:tcPr>
          <w:p w14:paraId="2CB739B1">
            <w:pPr>
              <w:jc w:val="center"/>
              <w:rPr>
                <w:rFonts w:hint="eastAsia" w:ascii="Times New Roman" w:hAnsi="Times New Roman" w:cs="Times New Roman"/>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项目团队人员配置</w:t>
            </w:r>
          </w:p>
        </w:tc>
        <w:tc>
          <w:tcPr>
            <w:tcW w:w="5854" w:type="dxa"/>
            <w:tcBorders>
              <w:top w:val="single" w:color="000000" w:sz="4" w:space="0"/>
              <w:left w:val="single" w:color="000000" w:sz="4" w:space="0"/>
              <w:bottom w:val="single" w:color="000000" w:sz="4" w:space="0"/>
              <w:right w:val="single" w:color="000000" w:sz="4" w:space="0"/>
            </w:tcBorders>
            <w:vAlign w:val="center"/>
          </w:tcPr>
          <w:p w14:paraId="4ED49B0E">
            <w:pPr>
              <w:pStyle w:val="522"/>
              <w:keepNext w:val="0"/>
              <w:keepLines w:val="0"/>
              <w:pageBreakBefore w:val="0"/>
              <w:widowControl w:val="0"/>
              <w:shd w:val="clear" w:color="auto" w:fill="auto"/>
              <w:kinsoku/>
              <w:wordWrap/>
              <w:overflowPunct/>
              <w:topLinePunct w:val="0"/>
              <w:autoSpaceDE/>
              <w:autoSpaceDN/>
              <w:bidi w:val="0"/>
              <w:snapToGrid/>
              <w:spacing w:before="0" w:after="0" w:line="24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拟派的项目团队负责人</w:t>
            </w:r>
          </w:p>
          <w:p w14:paraId="15304007">
            <w:pPr>
              <w:pStyle w:val="522"/>
              <w:keepNext w:val="0"/>
              <w:keepLines w:val="0"/>
              <w:pageBreakBefore w:val="0"/>
              <w:widowControl w:val="0"/>
              <w:numPr>
                <w:ilvl w:val="0"/>
                <w:numId w:val="0"/>
              </w:numPr>
              <w:shd w:val="clear" w:color="auto" w:fill="auto"/>
              <w:kinsoku/>
              <w:wordWrap/>
              <w:overflowPunct/>
              <w:topLinePunct w:val="0"/>
              <w:autoSpaceDE/>
              <w:autoSpaceDN/>
              <w:bidi w:val="0"/>
              <w:snapToGrid/>
              <w:spacing w:before="0" w:after="0" w:line="240" w:lineRule="auto"/>
              <w:ind w:left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具有注册会计师执业资格且相关工作经验满5年得5分、3年及以上得3分、1年及以上得1分，其余不得分；</w:t>
            </w:r>
          </w:p>
          <w:p w14:paraId="4B612D29">
            <w:pPr>
              <w:pStyle w:val="522"/>
              <w:keepNext w:val="0"/>
              <w:keepLines w:val="0"/>
              <w:pageBreakBefore w:val="0"/>
              <w:widowControl w:val="0"/>
              <w:numPr>
                <w:ilvl w:val="0"/>
                <w:numId w:val="0"/>
              </w:numPr>
              <w:shd w:val="clear" w:color="auto" w:fill="auto"/>
              <w:kinsoku/>
              <w:wordWrap/>
              <w:overflowPunct/>
              <w:topLinePunct w:val="0"/>
              <w:autoSpaceDE/>
              <w:autoSpaceDN/>
              <w:bidi w:val="0"/>
              <w:snapToGrid/>
              <w:spacing w:before="0" w:after="0" w:line="240" w:lineRule="auto"/>
              <w:ind w:left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snapToGrid w:val="0"/>
                <w:color w:val="auto"/>
                <w:spacing w:val="-5"/>
                <w:kern w:val="2"/>
                <w:sz w:val="24"/>
                <w:szCs w:val="24"/>
                <w:highlight w:val="none"/>
                <w:lang w:val="en-US" w:eastAsia="zh-CN" w:bidi="ar-SA"/>
              </w:rPr>
              <w:t>2.</w:t>
            </w:r>
            <w:r>
              <w:rPr>
                <w:rFonts w:hint="eastAsia" w:ascii="宋体" w:hAnsi="宋体" w:eastAsia="宋体" w:cs="宋体"/>
                <w:b w:val="0"/>
                <w:bCs w:val="0"/>
                <w:snapToGrid w:val="0"/>
                <w:color w:val="auto"/>
                <w:spacing w:val="-5"/>
                <w:kern w:val="2"/>
                <w:sz w:val="24"/>
                <w:szCs w:val="24"/>
                <w:highlight w:val="none"/>
                <w:lang w:val="en-US" w:eastAsia="zh-CN" w:bidi="ar-SA"/>
              </w:rPr>
              <w:t>具</w:t>
            </w:r>
            <w:r>
              <w:rPr>
                <w:rFonts w:hint="eastAsia" w:ascii="宋体" w:hAnsi="宋体" w:cs="宋体"/>
                <w:b w:val="0"/>
                <w:bCs w:val="0"/>
                <w:snapToGrid w:val="0"/>
                <w:color w:val="auto"/>
                <w:spacing w:val="-5"/>
                <w:kern w:val="2"/>
                <w:sz w:val="24"/>
                <w:szCs w:val="24"/>
                <w:highlight w:val="none"/>
                <w:lang w:val="en-US" w:eastAsia="zh-CN" w:bidi="ar-SA"/>
              </w:rPr>
              <w:t>有</w:t>
            </w:r>
            <w:r>
              <w:rPr>
                <w:rFonts w:hint="eastAsia" w:ascii="宋体" w:hAnsi="宋体" w:eastAsia="宋体" w:cs="宋体"/>
                <w:b w:val="0"/>
                <w:bCs w:val="0"/>
                <w:snapToGrid w:val="0"/>
                <w:color w:val="auto"/>
                <w:spacing w:val="-5"/>
                <w:kern w:val="2"/>
                <w:sz w:val="24"/>
                <w:szCs w:val="24"/>
                <w:highlight w:val="none"/>
                <w:lang w:val="en-US" w:eastAsia="zh-CN" w:bidi="ar-SA"/>
              </w:rPr>
              <w:t>一个企业现场检查经历加1分，最</w:t>
            </w:r>
            <w:r>
              <w:rPr>
                <w:rFonts w:hint="eastAsia" w:ascii="宋体" w:hAnsi="宋体" w:cs="宋体"/>
                <w:b w:val="0"/>
                <w:bCs w:val="0"/>
                <w:snapToGrid w:val="0"/>
                <w:color w:val="auto"/>
                <w:spacing w:val="-5"/>
                <w:kern w:val="2"/>
                <w:sz w:val="24"/>
                <w:szCs w:val="24"/>
                <w:highlight w:val="none"/>
                <w:lang w:val="en-US" w:eastAsia="zh-CN" w:bidi="ar-SA"/>
              </w:rPr>
              <w:t>高</w:t>
            </w:r>
            <w:r>
              <w:rPr>
                <w:rFonts w:hint="eastAsia" w:ascii="宋体" w:hAnsi="宋体" w:eastAsia="宋体" w:cs="宋体"/>
                <w:b w:val="0"/>
                <w:bCs w:val="0"/>
                <w:snapToGrid w:val="0"/>
                <w:color w:val="auto"/>
                <w:spacing w:val="-5"/>
                <w:kern w:val="2"/>
                <w:sz w:val="24"/>
                <w:szCs w:val="24"/>
                <w:highlight w:val="none"/>
                <w:lang w:val="en-US" w:eastAsia="zh-CN" w:bidi="ar-SA"/>
              </w:rPr>
              <w:t>得4分，具</w:t>
            </w:r>
            <w:r>
              <w:rPr>
                <w:rFonts w:hint="eastAsia" w:ascii="宋体" w:hAnsi="宋体" w:cs="宋体"/>
                <w:b w:val="0"/>
                <w:bCs w:val="0"/>
                <w:snapToGrid w:val="0"/>
                <w:color w:val="auto"/>
                <w:spacing w:val="-5"/>
                <w:kern w:val="2"/>
                <w:sz w:val="24"/>
                <w:szCs w:val="24"/>
                <w:highlight w:val="none"/>
                <w:lang w:val="en-US" w:eastAsia="zh-CN" w:bidi="ar-SA"/>
              </w:rPr>
              <w:t>有</w:t>
            </w:r>
            <w:r>
              <w:rPr>
                <w:rFonts w:hint="eastAsia" w:ascii="宋体" w:hAnsi="宋体" w:eastAsia="宋体" w:cs="宋体"/>
                <w:b w:val="0"/>
                <w:bCs w:val="0"/>
                <w:snapToGrid w:val="0"/>
                <w:color w:val="auto"/>
                <w:spacing w:val="-5"/>
                <w:kern w:val="2"/>
                <w:sz w:val="24"/>
                <w:szCs w:val="24"/>
                <w:highlight w:val="none"/>
                <w:lang w:val="en-US" w:eastAsia="zh-CN" w:bidi="ar-SA"/>
              </w:rPr>
              <w:t>地方金融组织现场检查经历的得2分；本项最高6分。</w:t>
            </w:r>
          </w:p>
          <w:p w14:paraId="124425AB">
            <w:pPr>
              <w:pStyle w:val="522"/>
              <w:keepNext w:val="0"/>
              <w:keepLines w:val="0"/>
              <w:pageBreakBefore w:val="0"/>
              <w:widowControl w:val="0"/>
              <w:numPr>
                <w:ilvl w:val="0"/>
                <w:numId w:val="0"/>
              </w:numPr>
              <w:shd w:val="clear" w:color="auto" w:fill="auto"/>
              <w:kinsoku/>
              <w:wordWrap/>
              <w:overflowPunct/>
              <w:topLinePunct w:val="0"/>
              <w:autoSpaceDE/>
              <w:autoSpaceDN/>
              <w:bidi w:val="0"/>
              <w:snapToGrid/>
              <w:spacing w:before="0" w:after="0" w:line="240" w:lineRule="auto"/>
              <w:ind w:left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cs="宋体"/>
                <w:b w:val="0"/>
                <w:bCs w:val="0"/>
                <w:color w:val="auto"/>
                <w:kern w:val="2"/>
                <w:sz w:val="24"/>
                <w:szCs w:val="24"/>
                <w:highlight w:val="none"/>
                <w:lang w:val="en-US" w:eastAsia="zh-CN" w:bidi="ar-SA"/>
              </w:rPr>
              <w:t>人员</w:t>
            </w:r>
            <w:r>
              <w:rPr>
                <w:rFonts w:hint="eastAsia" w:ascii="宋体" w:hAnsi="宋体" w:eastAsia="宋体" w:cs="宋体"/>
                <w:b w:val="0"/>
                <w:bCs w:val="0"/>
                <w:color w:val="auto"/>
                <w:kern w:val="2"/>
                <w:sz w:val="24"/>
                <w:szCs w:val="24"/>
                <w:highlight w:val="none"/>
                <w:lang w:val="en-US" w:eastAsia="zh-CN" w:bidi="ar-SA"/>
              </w:rPr>
              <w:t>证书复印件以及2025年</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月、</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月、</w:t>
            </w:r>
            <w:r>
              <w:rPr>
                <w:rFonts w:hint="eastAsia" w:ascii="宋体"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月连续三个月的社保证明和劳动合同供评审使用，不提供不得分。）</w:t>
            </w:r>
          </w:p>
        </w:tc>
        <w:tc>
          <w:tcPr>
            <w:tcW w:w="914" w:type="dxa"/>
            <w:tcBorders>
              <w:top w:val="single" w:color="000000" w:sz="4" w:space="0"/>
              <w:left w:val="single" w:color="000000" w:sz="4" w:space="0"/>
              <w:bottom w:val="single" w:color="000000" w:sz="4" w:space="0"/>
              <w:right w:val="single" w:color="000000" w:sz="4" w:space="0"/>
            </w:tcBorders>
            <w:vAlign w:val="center"/>
          </w:tcPr>
          <w:p w14:paraId="071423CC">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w:t>
            </w:r>
            <w:r>
              <w:rPr>
                <w:rFonts w:hint="eastAsia" w:ascii="宋体" w:hAnsi="宋体" w:cs="宋体"/>
                <w:color w:val="auto"/>
                <w:sz w:val="24"/>
                <w:szCs w:val="24"/>
                <w:highlight w:val="none"/>
                <w:lang w:val="en-US" w:eastAsia="zh-CN"/>
              </w:rPr>
              <w:t>1</w:t>
            </w:r>
          </w:p>
        </w:tc>
        <w:tc>
          <w:tcPr>
            <w:tcW w:w="1026" w:type="dxa"/>
            <w:tcBorders>
              <w:top w:val="single" w:color="000000" w:sz="4" w:space="0"/>
              <w:left w:val="single" w:color="000000" w:sz="4" w:space="0"/>
              <w:bottom w:val="single" w:color="000000" w:sz="4" w:space="0"/>
              <w:right w:val="single" w:color="000000" w:sz="4" w:space="0"/>
            </w:tcBorders>
            <w:vAlign w:val="center"/>
          </w:tcPr>
          <w:p w14:paraId="7CF9653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r>
      <w:tr w14:paraId="6248B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5"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2CF648F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11" w:type="dxa"/>
            <w:vMerge w:val="continue"/>
            <w:tcBorders>
              <w:left w:val="single" w:color="000000" w:sz="4" w:space="0"/>
              <w:right w:val="single" w:color="000000" w:sz="4" w:space="0"/>
            </w:tcBorders>
            <w:vAlign w:val="center"/>
          </w:tcPr>
          <w:p w14:paraId="6E4561CB">
            <w:pPr>
              <w:jc w:val="center"/>
              <w:rPr>
                <w:rFonts w:hint="eastAsia" w:ascii="Times New Roman" w:hAnsi="Times New Roman" w:cs="Times New Roman"/>
                <w:b w:val="0"/>
                <w:bCs w:val="0"/>
                <w:color w:val="auto"/>
                <w:sz w:val="24"/>
                <w:szCs w:val="24"/>
                <w:highlight w:val="none"/>
                <w:lang w:val="en-US" w:eastAsia="zh-CN"/>
              </w:rPr>
            </w:pPr>
          </w:p>
        </w:tc>
        <w:tc>
          <w:tcPr>
            <w:tcW w:w="5854" w:type="dxa"/>
            <w:tcBorders>
              <w:top w:val="single" w:color="000000" w:sz="4" w:space="0"/>
              <w:left w:val="single" w:color="000000" w:sz="4" w:space="0"/>
              <w:bottom w:val="single" w:color="000000" w:sz="4" w:space="0"/>
              <w:right w:val="single" w:color="000000" w:sz="4" w:space="0"/>
            </w:tcBorders>
            <w:vAlign w:val="center"/>
          </w:tcPr>
          <w:p w14:paraId="036C060E">
            <w:pPr>
              <w:pStyle w:val="522"/>
              <w:keepNext w:val="0"/>
              <w:keepLines w:val="0"/>
              <w:pageBreakBefore w:val="0"/>
              <w:widowControl w:val="0"/>
              <w:numPr>
                <w:ilvl w:val="0"/>
                <w:numId w:val="0"/>
              </w:numPr>
              <w:shd w:val="clear" w:color="auto" w:fill="auto"/>
              <w:kinsoku/>
              <w:wordWrap/>
              <w:overflowPunct/>
              <w:topLinePunct w:val="0"/>
              <w:autoSpaceDE/>
              <w:autoSpaceDN/>
              <w:bidi w:val="0"/>
              <w:snapToGrid/>
              <w:spacing w:before="0" w:after="0" w:line="240" w:lineRule="auto"/>
              <w:ind w:leftChars="0"/>
              <w:rPr>
                <w:rFonts w:hint="eastAsia" w:ascii="宋体" w:hAnsi="宋体" w:eastAsia="宋体" w:cs="宋体"/>
                <w:b w:val="0"/>
                <w:bCs w:val="0"/>
                <w:snapToGrid w:val="0"/>
                <w:color w:val="auto"/>
                <w:spacing w:val="-5"/>
                <w:kern w:val="2"/>
                <w:sz w:val="24"/>
                <w:szCs w:val="24"/>
                <w:highlight w:val="none"/>
                <w:lang w:val="en-US" w:eastAsia="zh-CN" w:bidi="ar-SA"/>
              </w:rPr>
            </w:pPr>
            <w:r>
              <w:rPr>
                <w:rFonts w:hint="eastAsia" w:ascii="宋体" w:hAnsi="宋体" w:eastAsia="宋体" w:cs="宋体"/>
                <w:b w:val="0"/>
                <w:bCs w:val="0"/>
                <w:snapToGrid w:val="0"/>
                <w:color w:val="auto"/>
                <w:spacing w:val="-5"/>
                <w:kern w:val="2"/>
                <w:sz w:val="24"/>
                <w:szCs w:val="24"/>
                <w:highlight w:val="none"/>
                <w:lang w:val="en-US" w:eastAsia="zh-CN" w:bidi="ar-SA"/>
              </w:rPr>
              <w:t>拟配备的项目团队成员中（除项目团队负责人外）</w:t>
            </w:r>
          </w:p>
          <w:p w14:paraId="48F8DD29">
            <w:pPr>
              <w:pStyle w:val="522"/>
              <w:keepNext w:val="0"/>
              <w:keepLines w:val="0"/>
              <w:pageBreakBefore w:val="0"/>
              <w:widowControl w:val="0"/>
              <w:numPr>
                <w:ilvl w:val="0"/>
                <w:numId w:val="0"/>
              </w:numPr>
              <w:shd w:val="clear" w:color="auto" w:fill="auto"/>
              <w:kinsoku/>
              <w:wordWrap/>
              <w:overflowPunct/>
              <w:topLinePunct w:val="0"/>
              <w:autoSpaceDE/>
              <w:autoSpaceDN/>
              <w:bidi w:val="0"/>
              <w:snapToGrid/>
              <w:spacing w:before="0" w:after="0" w:line="240" w:lineRule="auto"/>
              <w:ind w:leftChars="0"/>
              <w:rPr>
                <w:rFonts w:hint="eastAsia" w:ascii="宋体" w:hAnsi="宋体" w:eastAsia="宋体" w:cs="宋体"/>
                <w:b w:val="0"/>
                <w:bCs w:val="0"/>
                <w:snapToGrid w:val="0"/>
                <w:color w:val="auto"/>
                <w:spacing w:val="-5"/>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cs="宋体"/>
                <w:b w:val="0"/>
                <w:bCs w:val="0"/>
                <w:color w:val="0000FF"/>
                <w:kern w:val="2"/>
                <w:sz w:val="24"/>
                <w:szCs w:val="24"/>
                <w:highlight w:val="none"/>
                <w:lang w:val="en-US" w:eastAsia="zh-CN" w:bidi="ar-SA"/>
              </w:rPr>
              <w:t>.</w:t>
            </w:r>
            <w:r>
              <w:rPr>
                <w:rFonts w:hint="eastAsia" w:ascii="宋体" w:hAnsi="宋体" w:eastAsia="宋体" w:cs="宋体"/>
                <w:b w:val="0"/>
                <w:bCs w:val="0"/>
                <w:color w:val="0000FF"/>
                <w:kern w:val="2"/>
                <w:sz w:val="24"/>
                <w:szCs w:val="24"/>
                <w:highlight w:val="none"/>
                <w:lang w:val="en-US" w:eastAsia="zh-CN" w:bidi="ar-SA"/>
              </w:rPr>
              <w:t>拟配备执业注册会计师在</w:t>
            </w:r>
            <w:r>
              <w:rPr>
                <w:rFonts w:hint="eastAsia" w:ascii="宋体" w:hAnsi="宋体" w:cs="宋体"/>
                <w:b w:val="0"/>
                <w:bCs w:val="0"/>
                <w:color w:val="0000FF"/>
                <w:kern w:val="2"/>
                <w:sz w:val="24"/>
                <w:szCs w:val="24"/>
                <w:highlight w:val="none"/>
                <w:lang w:val="en-US" w:eastAsia="zh-CN" w:bidi="ar-SA"/>
              </w:rPr>
              <w:t>交易需求的</w:t>
            </w:r>
            <w:r>
              <w:rPr>
                <w:rFonts w:hint="eastAsia" w:ascii="宋体" w:hAnsi="宋体" w:eastAsia="宋体" w:cs="宋体"/>
                <w:b w:val="0"/>
                <w:bCs w:val="0"/>
                <w:color w:val="0000FF"/>
                <w:kern w:val="2"/>
                <w:sz w:val="24"/>
                <w:szCs w:val="24"/>
                <w:highlight w:val="none"/>
                <w:lang w:val="en-US" w:eastAsia="zh-CN" w:bidi="ar-SA"/>
              </w:rPr>
              <w:t>基础上，每增加1人得1分，最</w:t>
            </w:r>
            <w:r>
              <w:rPr>
                <w:rFonts w:hint="eastAsia" w:ascii="宋体" w:hAnsi="宋体" w:cs="宋体"/>
                <w:b w:val="0"/>
                <w:bCs w:val="0"/>
                <w:color w:val="0000FF"/>
                <w:kern w:val="2"/>
                <w:sz w:val="24"/>
                <w:szCs w:val="24"/>
                <w:highlight w:val="none"/>
                <w:lang w:val="en-US" w:eastAsia="zh-CN" w:bidi="ar-SA"/>
              </w:rPr>
              <w:t>高</w:t>
            </w:r>
            <w:r>
              <w:rPr>
                <w:rFonts w:hint="eastAsia" w:ascii="宋体" w:hAnsi="宋体" w:eastAsia="宋体" w:cs="宋体"/>
                <w:b w:val="0"/>
                <w:bCs w:val="0"/>
                <w:color w:val="0000FF"/>
                <w:kern w:val="2"/>
                <w:sz w:val="24"/>
                <w:szCs w:val="24"/>
                <w:highlight w:val="none"/>
                <w:lang w:val="en-US" w:eastAsia="zh-CN" w:bidi="ar-SA"/>
              </w:rPr>
              <w:t>得</w:t>
            </w:r>
            <w:r>
              <w:rPr>
                <w:rFonts w:hint="eastAsia" w:ascii="宋体" w:hAnsi="宋体" w:cs="宋体"/>
                <w:b w:val="0"/>
                <w:bCs w:val="0"/>
                <w:color w:val="0000FF"/>
                <w:kern w:val="2"/>
                <w:sz w:val="24"/>
                <w:szCs w:val="24"/>
                <w:highlight w:val="none"/>
                <w:lang w:val="en-US" w:eastAsia="zh-CN" w:bidi="ar-SA"/>
              </w:rPr>
              <w:t>3</w:t>
            </w:r>
            <w:r>
              <w:rPr>
                <w:rFonts w:hint="eastAsia" w:ascii="宋体" w:hAnsi="宋体" w:eastAsia="宋体" w:cs="宋体"/>
                <w:b w:val="0"/>
                <w:bCs w:val="0"/>
                <w:color w:val="0000FF"/>
                <w:kern w:val="2"/>
                <w:sz w:val="24"/>
                <w:szCs w:val="24"/>
                <w:highlight w:val="none"/>
                <w:lang w:val="en-US" w:eastAsia="zh-CN" w:bidi="ar-SA"/>
              </w:rPr>
              <w:t>分。</w:t>
            </w:r>
          </w:p>
          <w:p w14:paraId="3D2AAB38">
            <w:pPr>
              <w:pStyle w:val="8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napToGrid w:val="0"/>
                <w:color w:val="auto"/>
                <w:spacing w:val="-5"/>
                <w:kern w:val="2"/>
                <w:sz w:val="24"/>
                <w:szCs w:val="24"/>
                <w:highlight w:val="none"/>
                <w:lang w:val="en-US" w:eastAsia="zh-CN" w:bidi="ar-SA"/>
              </w:rPr>
            </w:pPr>
            <w:r>
              <w:rPr>
                <w:rFonts w:hint="eastAsia" w:ascii="宋体" w:hAnsi="宋体" w:eastAsia="宋体" w:cs="宋体"/>
                <w:b w:val="0"/>
                <w:bCs w:val="0"/>
                <w:snapToGrid w:val="0"/>
                <w:color w:val="auto"/>
                <w:spacing w:val="-5"/>
                <w:kern w:val="2"/>
                <w:sz w:val="24"/>
                <w:szCs w:val="24"/>
                <w:highlight w:val="none"/>
                <w:lang w:val="en-US" w:eastAsia="zh-CN" w:bidi="ar-SA"/>
              </w:rPr>
              <w:t>2.每具备一个现场检查经历或者政策审计经历的，得1分，最高得4分。</w:t>
            </w:r>
          </w:p>
          <w:p w14:paraId="0029266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snapToGrid w:val="0"/>
                <w:color w:val="auto"/>
                <w:spacing w:val="-5"/>
                <w:kern w:val="2"/>
                <w:sz w:val="24"/>
                <w:szCs w:val="24"/>
                <w:highlight w:val="none"/>
                <w:lang w:val="en-US" w:eastAsia="zh-CN" w:bidi="ar-SA"/>
              </w:rPr>
              <w:t>（提供项目的人员表并能够明确证明该人员参与项目的审计报告等佐证材料供评审使用。）</w:t>
            </w:r>
          </w:p>
        </w:tc>
        <w:tc>
          <w:tcPr>
            <w:tcW w:w="914" w:type="dxa"/>
            <w:tcBorders>
              <w:top w:val="single" w:color="000000" w:sz="4" w:space="0"/>
              <w:left w:val="single" w:color="000000" w:sz="4" w:space="0"/>
              <w:bottom w:val="single" w:color="000000" w:sz="4" w:space="0"/>
              <w:right w:val="single" w:color="000000" w:sz="4" w:space="0"/>
            </w:tcBorders>
            <w:vAlign w:val="center"/>
          </w:tcPr>
          <w:p w14:paraId="419245C9">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7</w:t>
            </w:r>
          </w:p>
        </w:tc>
        <w:tc>
          <w:tcPr>
            <w:tcW w:w="1026" w:type="dxa"/>
            <w:tcBorders>
              <w:top w:val="single" w:color="000000" w:sz="4" w:space="0"/>
              <w:left w:val="single" w:color="000000" w:sz="4" w:space="0"/>
              <w:bottom w:val="single" w:color="000000" w:sz="4" w:space="0"/>
              <w:right w:val="single" w:color="000000" w:sz="4" w:space="0"/>
            </w:tcBorders>
            <w:vAlign w:val="center"/>
          </w:tcPr>
          <w:p w14:paraId="0732D3A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79C74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729C91B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11" w:type="dxa"/>
            <w:vMerge w:val="continue"/>
            <w:tcBorders>
              <w:left w:val="single" w:color="000000" w:sz="4" w:space="0"/>
              <w:bottom w:val="single" w:color="000000" w:sz="4" w:space="0"/>
              <w:right w:val="single" w:color="000000" w:sz="4" w:space="0"/>
            </w:tcBorders>
            <w:vAlign w:val="center"/>
          </w:tcPr>
          <w:p w14:paraId="52905823">
            <w:pPr>
              <w:jc w:val="center"/>
              <w:rPr>
                <w:rFonts w:hint="eastAsia" w:ascii="Times New Roman" w:hAnsi="Times New Roman" w:cs="Times New Roman"/>
                <w:b w:val="0"/>
                <w:bCs w:val="0"/>
                <w:color w:val="auto"/>
                <w:sz w:val="24"/>
                <w:szCs w:val="24"/>
                <w:highlight w:val="none"/>
                <w:lang w:val="en-US" w:eastAsia="zh-CN"/>
              </w:rPr>
            </w:pPr>
          </w:p>
        </w:tc>
        <w:tc>
          <w:tcPr>
            <w:tcW w:w="5854" w:type="dxa"/>
            <w:tcBorders>
              <w:top w:val="single" w:color="000000" w:sz="4" w:space="0"/>
              <w:left w:val="single" w:color="000000" w:sz="4" w:space="0"/>
              <w:bottom w:val="single" w:color="000000" w:sz="4" w:space="0"/>
              <w:right w:val="single" w:color="000000" w:sz="4" w:space="0"/>
            </w:tcBorders>
            <w:vAlign w:val="center"/>
          </w:tcPr>
          <w:p w14:paraId="40BF5D94">
            <w:pPr>
              <w:keepNext w:val="0"/>
              <w:keepLines w:val="0"/>
              <w:pageBreakBefore w:val="0"/>
              <w:widowControl w:val="0"/>
              <w:tabs>
                <w:tab w:val="left" w:pos="740"/>
              </w:tabs>
              <w:kinsoku/>
              <w:wordWrap/>
              <w:overflowPunct/>
              <w:topLinePunct w:val="0"/>
              <w:autoSpaceDE/>
              <w:autoSpaceDN/>
              <w:bidi w:val="0"/>
              <w:adjustRightInd w:val="0"/>
              <w:snapToGrid w:val="0"/>
              <w:textAlignment w:val="auto"/>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项目团队人员结构及专业配置结构合理、专业配置齐全得</w:t>
            </w:r>
            <w:r>
              <w:rPr>
                <w:rFonts w:hint="eastAsia" w:ascii="宋体" w:hAnsi="宋体" w:cs="宋体"/>
                <w:b w:val="0"/>
                <w:bCs w:val="0"/>
                <w:color w:val="auto"/>
                <w:kern w:val="2"/>
                <w:sz w:val="24"/>
                <w:szCs w:val="24"/>
                <w:highlight w:val="none"/>
                <w:lang w:val="en-US" w:eastAsia="zh-CN" w:bidi="ar-SA"/>
              </w:rPr>
              <w:t>6-7</w:t>
            </w:r>
            <w:r>
              <w:rPr>
                <w:rFonts w:hint="default" w:ascii="宋体" w:hAnsi="宋体" w:eastAsia="宋体" w:cs="宋体"/>
                <w:b w:val="0"/>
                <w:bCs w:val="0"/>
                <w:color w:val="auto"/>
                <w:kern w:val="2"/>
                <w:sz w:val="24"/>
                <w:szCs w:val="24"/>
                <w:highlight w:val="none"/>
                <w:lang w:val="en-US" w:eastAsia="zh-CN" w:bidi="ar-SA"/>
              </w:rPr>
              <w:t>分；人员结构不够合理、专业配置</w:t>
            </w:r>
            <w:r>
              <w:rPr>
                <w:rFonts w:hint="eastAsia" w:ascii="宋体" w:hAnsi="宋体" w:eastAsia="宋体" w:cs="宋体"/>
                <w:b w:val="0"/>
                <w:bCs w:val="0"/>
                <w:color w:val="auto"/>
                <w:kern w:val="2"/>
                <w:sz w:val="24"/>
                <w:szCs w:val="24"/>
                <w:highlight w:val="none"/>
                <w:lang w:val="en-US" w:eastAsia="zh-CN" w:bidi="ar-SA"/>
              </w:rPr>
              <w:t>存在欠缺</w:t>
            </w:r>
            <w:r>
              <w:rPr>
                <w:rFonts w:hint="default" w:ascii="宋体" w:hAnsi="宋体" w:eastAsia="宋体" w:cs="宋体"/>
                <w:b w:val="0"/>
                <w:bCs w:val="0"/>
                <w:color w:val="auto"/>
                <w:kern w:val="2"/>
                <w:sz w:val="24"/>
                <w:szCs w:val="24"/>
                <w:highlight w:val="none"/>
                <w:lang w:val="en-US" w:eastAsia="zh-CN" w:bidi="ar-SA"/>
              </w:rPr>
              <w:t>的得</w:t>
            </w:r>
            <w:r>
              <w:rPr>
                <w:rFonts w:hint="eastAsia" w:ascii="宋体" w:hAnsi="宋体" w:cs="宋体"/>
                <w:b w:val="0"/>
                <w:bCs w:val="0"/>
                <w:color w:val="auto"/>
                <w:kern w:val="2"/>
                <w:sz w:val="24"/>
                <w:szCs w:val="24"/>
                <w:highlight w:val="none"/>
                <w:lang w:val="en-US" w:eastAsia="zh-CN" w:bidi="ar-SA"/>
              </w:rPr>
              <w:t>4-5</w:t>
            </w:r>
            <w:r>
              <w:rPr>
                <w:rFonts w:hint="default" w:ascii="宋体" w:hAnsi="宋体" w:eastAsia="宋体" w:cs="宋体"/>
                <w:b w:val="0"/>
                <w:bCs w:val="0"/>
                <w:color w:val="auto"/>
                <w:kern w:val="2"/>
                <w:sz w:val="24"/>
                <w:szCs w:val="24"/>
                <w:highlight w:val="none"/>
                <w:lang w:val="en-US" w:eastAsia="zh-CN" w:bidi="ar-SA"/>
              </w:rPr>
              <w:t>人员结构不够合理、专业配置</w:t>
            </w:r>
            <w:r>
              <w:rPr>
                <w:rFonts w:hint="eastAsia" w:ascii="宋体" w:hAnsi="宋体" w:eastAsia="宋体" w:cs="宋体"/>
                <w:b w:val="0"/>
                <w:bCs w:val="0"/>
                <w:color w:val="auto"/>
                <w:kern w:val="2"/>
                <w:sz w:val="24"/>
                <w:szCs w:val="24"/>
                <w:highlight w:val="none"/>
                <w:lang w:val="en-US" w:eastAsia="zh-CN" w:bidi="ar-SA"/>
              </w:rPr>
              <w:t>存在欠缺</w:t>
            </w:r>
            <w:r>
              <w:rPr>
                <w:rFonts w:hint="default" w:ascii="宋体" w:hAnsi="宋体" w:eastAsia="宋体" w:cs="宋体"/>
                <w:b w:val="0"/>
                <w:bCs w:val="0"/>
                <w:color w:val="auto"/>
                <w:kern w:val="2"/>
                <w:sz w:val="24"/>
                <w:szCs w:val="24"/>
                <w:highlight w:val="none"/>
                <w:lang w:val="en-US" w:eastAsia="zh-CN" w:bidi="ar-SA"/>
              </w:rPr>
              <w:t>的得</w:t>
            </w: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3</w:t>
            </w:r>
            <w:r>
              <w:rPr>
                <w:rFonts w:hint="default" w:ascii="宋体" w:hAnsi="宋体" w:eastAsia="宋体" w:cs="宋体"/>
                <w:b w:val="0"/>
                <w:bCs w:val="0"/>
                <w:color w:val="auto"/>
                <w:kern w:val="2"/>
                <w:sz w:val="24"/>
                <w:szCs w:val="24"/>
                <w:highlight w:val="none"/>
                <w:lang w:val="en-US" w:eastAsia="zh-CN" w:bidi="ar-SA"/>
              </w:rPr>
              <w:t>分</w:t>
            </w:r>
            <w:r>
              <w:rPr>
                <w:rFonts w:hint="eastAsia" w:ascii="宋体" w:hAnsi="宋体" w:eastAsia="宋体" w:cs="宋体"/>
                <w:b w:val="0"/>
                <w:bCs w:val="0"/>
                <w:color w:val="auto"/>
                <w:kern w:val="2"/>
                <w:sz w:val="24"/>
                <w:szCs w:val="24"/>
                <w:highlight w:val="none"/>
                <w:lang w:val="en-US" w:eastAsia="zh-CN" w:bidi="ar-SA"/>
              </w:rPr>
              <w:t>。未提供的不得分。</w:t>
            </w:r>
          </w:p>
        </w:tc>
        <w:tc>
          <w:tcPr>
            <w:tcW w:w="914" w:type="dxa"/>
            <w:tcBorders>
              <w:top w:val="single" w:color="000000" w:sz="4" w:space="0"/>
              <w:left w:val="single" w:color="000000" w:sz="4" w:space="0"/>
              <w:bottom w:val="single" w:color="000000" w:sz="4" w:space="0"/>
              <w:right w:val="single" w:color="000000" w:sz="4" w:space="0"/>
            </w:tcBorders>
            <w:vAlign w:val="center"/>
          </w:tcPr>
          <w:p w14:paraId="1B9EEAEC">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7</w:t>
            </w:r>
          </w:p>
        </w:tc>
        <w:tc>
          <w:tcPr>
            <w:tcW w:w="1026" w:type="dxa"/>
            <w:tcBorders>
              <w:top w:val="single" w:color="000000" w:sz="4" w:space="0"/>
              <w:left w:val="single" w:color="000000" w:sz="4" w:space="0"/>
              <w:bottom w:val="single" w:color="000000" w:sz="4" w:space="0"/>
              <w:right w:val="single" w:color="000000" w:sz="4" w:space="0"/>
            </w:tcBorders>
            <w:vAlign w:val="center"/>
          </w:tcPr>
          <w:p w14:paraId="27FE6C60">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27F92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9"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1B491C0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11" w:type="dxa"/>
            <w:tcBorders>
              <w:top w:val="single" w:color="000000" w:sz="4" w:space="0"/>
              <w:left w:val="single" w:color="000000" w:sz="4" w:space="0"/>
              <w:bottom w:val="single" w:color="000000" w:sz="4" w:space="0"/>
              <w:right w:val="single" w:color="000000" w:sz="4" w:space="0"/>
            </w:tcBorders>
            <w:vAlign w:val="center"/>
          </w:tcPr>
          <w:p w14:paraId="1DEC31AB">
            <w:pPr>
              <w:jc w:val="center"/>
              <w:rPr>
                <w:rFonts w:hint="eastAsia" w:ascii="Times New Roman" w:hAnsi="Times New Roman" w:cs="Times New Roman"/>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专项检查报告</w:t>
            </w:r>
          </w:p>
        </w:tc>
        <w:tc>
          <w:tcPr>
            <w:tcW w:w="5854" w:type="dxa"/>
            <w:tcBorders>
              <w:top w:val="single" w:color="000000" w:sz="4" w:space="0"/>
              <w:left w:val="single" w:color="000000" w:sz="4" w:space="0"/>
              <w:bottom w:val="single" w:color="000000" w:sz="4" w:space="0"/>
              <w:right w:val="single" w:color="000000" w:sz="4" w:space="0"/>
            </w:tcBorders>
            <w:vAlign w:val="center"/>
          </w:tcPr>
          <w:p w14:paraId="33802B86">
            <w:pPr>
              <w:pStyle w:val="8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提供相关专项检查报告样例：内容框架合理、充分得6-7分，合理性、充分性一般得4-5分，合理性、充分性有欠缺得1-3分，未提供的不得分</w:t>
            </w:r>
            <w:bookmarkStart w:id="385" w:name="_GoBack"/>
            <w:bookmarkEnd w:id="385"/>
          </w:p>
        </w:tc>
        <w:tc>
          <w:tcPr>
            <w:tcW w:w="914" w:type="dxa"/>
            <w:tcBorders>
              <w:top w:val="single" w:color="000000" w:sz="4" w:space="0"/>
              <w:left w:val="single" w:color="000000" w:sz="4" w:space="0"/>
              <w:bottom w:val="single" w:color="000000" w:sz="4" w:space="0"/>
              <w:right w:val="single" w:color="000000" w:sz="4" w:space="0"/>
            </w:tcBorders>
            <w:vAlign w:val="center"/>
          </w:tcPr>
          <w:p w14:paraId="7FB95430">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0-7</w:t>
            </w:r>
          </w:p>
        </w:tc>
        <w:tc>
          <w:tcPr>
            <w:tcW w:w="1026" w:type="dxa"/>
            <w:tcBorders>
              <w:top w:val="single" w:color="000000" w:sz="4" w:space="0"/>
              <w:left w:val="single" w:color="000000" w:sz="4" w:space="0"/>
              <w:bottom w:val="single" w:color="000000" w:sz="4" w:space="0"/>
              <w:right w:val="single" w:color="000000" w:sz="4" w:space="0"/>
            </w:tcBorders>
            <w:vAlign w:val="center"/>
          </w:tcPr>
          <w:p w14:paraId="557F7B80">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4F8E3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9"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7CBB170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011" w:type="dxa"/>
            <w:tcBorders>
              <w:top w:val="single" w:color="000000" w:sz="4" w:space="0"/>
              <w:left w:val="single" w:color="000000" w:sz="4" w:space="0"/>
              <w:bottom w:val="single" w:color="000000" w:sz="4" w:space="0"/>
              <w:right w:val="single" w:color="000000" w:sz="4" w:space="0"/>
            </w:tcBorders>
            <w:vAlign w:val="center"/>
          </w:tcPr>
          <w:p w14:paraId="48AE4DD3">
            <w:pPr>
              <w:jc w:val="center"/>
              <w:rPr>
                <w:rFonts w:hint="eastAsia" w:ascii="Times New Roman" w:hAnsi="Times New Roman" w:cs="Times New Roman"/>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进度方案</w:t>
            </w:r>
          </w:p>
        </w:tc>
        <w:tc>
          <w:tcPr>
            <w:tcW w:w="5854" w:type="dxa"/>
            <w:tcBorders>
              <w:top w:val="single" w:color="000000" w:sz="4" w:space="0"/>
              <w:left w:val="single" w:color="000000" w:sz="4" w:space="0"/>
              <w:bottom w:val="single" w:color="000000" w:sz="4" w:space="0"/>
              <w:right w:val="single" w:color="000000" w:sz="4" w:space="0"/>
            </w:tcBorders>
            <w:vAlign w:val="center"/>
          </w:tcPr>
          <w:p w14:paraId="3F66C19F">
            <w:pPr>
              <w:keepNext w:val="0"/>
              <w:keepLines w:val="0"/>
              <w:pageBreakBefore w:val="0"/>
              <w:widowControl w:val="0"/>
              <w:kinsoku/>
              <w:wordWrap/>
              <w:overflowPunct/>
              <w:topLinePunct w:val="0"/>
              <w:autoSpaceDE/>
              <w:autoSpaceDN/>
              <w:bidi w:val="0"/>
              <w:adjustRightInd w:val="0"/>
              <w:snapToGrid w:val="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按照进度管控原则，在进度安排，力量配备，协调对接的及时性等方面优化方案；进度控制措施详实、针对性强、合理可行的得7-10分；进度控制措施详实性、针对性和合理性一般的得4-6分；进度控制措施全面性和可行性较差的得1-3分；未提供的不得分。</w:t>
            </w:r>
          </w:p>
        </w:tc>
        <w:tc>
          <w:tcPr>
            <w:tcW w:w="914" w:type="dxa"/>
            <w:tcBorders>
              <w:top w:val="single" w:color="000000" w:sz="4" w:space="0"/>
              <w:left w:val="single" w:color="000000" w:sz="4" w:space="0"/>
              <w:bottom w:val="single" w:color="000000" w:sz="4" w:space="0"/>
              <w:right w:val="single" w:color="000000" w:sz="4" w:space="0"/>
            </w:tcBorders>
            <w:vAlign w:val="center"/>
          </w:tcPr>
          <w:p w14:paraId="332D3BC6">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0-10</w:t>
            </w:r>
          </w:p>
        </w:tc>
        <w:tc>
          <w:tcPr>
            <w:tcW w:w="1026" w:type="dxa"/>
            <w:tcBorders>
              <w:top w:val="single" w:color="000000" w:sz="4" w:space="0"/>
              <w:left w:val="single" w:color="000000" w:sz="4" w:space="0"/>
              <w:bottom w:val="single" w:color="000000" w:sz="4" w:space="0"/>
              <w:right w:val="single" w:color="000000" w:sz="4" w:space="0"/>
            </w:tcBorders>
            <w:vAlign w:val="center"/>
          </w:tcPr>
          <w:p w14:paraId="6E96DC74">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45B41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3"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287E5D9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011" w:type="dxa"/>
            <w:tcBorders>
              <w:top w:val="single" w:color="000000" w:sz="4" w:space="0"/>
              <w:left w:val="single" w:color="000000" w:sz="4" w:space="0"/>
              <w:bottom w:val="single" w:color="000000" w:sz="4" w:space="0"/>
              <w:right w:val="single" w:color="000000" w:sz="4" w:space="0"/>
            </w:tcBorders>
            <w:vAlign w:val="center"/>
          </w:tcPr>
          <w:p w14:paraId="40B8C16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服务质量保证情况</w:t>
            </w:r>
          </w:p>
          <w:p w14:paraId="0BB03645">
            <w:pPr>
              <w:jc w:val="center"/>
              <w:rPr>
                <w:rFonts w:hint="eastAsia" w:ascii="Times New Roman" w:hAnsi="Times New Roman" w:cs="Times New Roman"/>
                <w:b w:val="0"/>
                <w:bCs w:val="0"/>
                <w:color w:val="auto"/>
                <w:sz w:val="24"/>
                <w:szCs w:val="24"/>
                <w:highlight w:val="none"/>
                <w:lang w:val="en-US" w:eastAsia="zh-CN"/>
              </w:rPr>
            </w:pPr>
          </w:p>
        </w:tc>
        <w:tc>
          <w:tcPr>
            <w:tcW w:w="5854" w:type="dxa"/>
            <w:tcBorders>
              <w:top w:val="single" w:color="000000" w:sz="4" w:space="0"/>
              <w:left w:val="single" w:color="000000" w:sz="4" w:space="0"/>
              <w:bottom w:val="single" w:color="000000" w:sz="4" w:space="0"/>
              <w:right w:val="single" w:color="000000" w:sz="4" w:space="0"/>
            </w:tcBorders>
            <w:vAlign w:val="center"/>
          </w:tcPr>
          <w:p w14:paraId="55441E96">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针对本项目的服务质量保障措施的完整性及可行性：方案完整可行的得7-10分；方案较完整、较可行得4-6分；方案略有欠缺但合理的得2-3分；缺乏详尽内容，描述简单的得1分；未提供的不得分。</w:t>
            </w:r>
          </w:p>
        </w:tc>
        <w:tc>
          <w:tcPr>
            <w:tcW w:w="914" w:type="dxa"/>
            <w:tcBorders>
              <w:top w:val="single" w:color="000000" w:sz="4" w:space="0"/>
              <w:left w:val="single" w:color="000000" w:sz="4" w:space="0"/>
              <w:bottom w:val="single" w:color="000000" w:sz="4" w:space="0"/>
              <w:right w:val="single" w:color="000000" w:sz="4" w:space="0"/>
            </w:tcBorders>
            <w:vAlign w:val="center"/>
          </w:tcPr>
          <w:p w14:paraId="5E770DB2">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0-10</w:t>
            </w:r>
          </w:p>
        </w:tc>
        <w:tc>
          <w:tcPr>
            <w:tcW w:w="1026" w:type="dxa"/>
            <w:tcBorders>
              <w:top w:val="single" w:color="000000" w:sz="4" w:space="0"/>
              <w:left w:val="single" w:color="000000" w:sz="4" w:space="0"/>
              <w:bottom w:val="single" w:color="000000" w:sz="4" w:space="0"/>
              <w:right w:val="single" w:color="000000" w:sz="4" w:space="0"/>
            </w:tcBorders>
            <w:vAlign w:val="center"/>
          </w:tcPr>
          <w:p w14:paraId="75FAC93E">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400CE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4E8DCE6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011" w:type="dxa"/>
            <w:tcBorders>
              <w:top w:val="single" w:color="000000" w:sz="4" w:space="0"/>
              <w:left w:val="single" w:color="000000" w:sz="4" w:space="0"/>
              <w:bottom w:val="single" w:color="000000" w:sz="4" w:space="0"/>
              <w:right w:val="single" w:color="000000" w:sz="4" w:space="0"/>
            </w:tcBorders>
            <w:vAlign w:val="center"/>
          </w:tcPr>
          <w:p w14:paraId="763FD651">
            <w:pPr>
              <w:jc w:val="center"/>
              <w:rPr>
                <w:rFonts w:hint="eastAsia" w:ascii="Times New Roman" w:hAnsi="Times New Roman" w:cs="Times New Roman"/>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服务响应承诺</w:t>
            </w:r>
          </w:p>
        </w:tc>
        <w:tc>
          <w:tcPr>
            <w:tcW w:w="5854" w:type="dxa"/>
            <w:tcBorders>
              <w:top w:val="single" w:color="000000" w:sz="4" w:space="0"/>
              <w:left w:val="single" w:color="000000" w:sz="4" w:space="0"/>
              <w:bottom w:val="single" w:color="000000" w:sz="4" w:space="0"/>
              <w:right w:val="single" w:color="000000" w:sz="4" w:space="0"/>
            </w:tcBorders>
            <w:vAlign w:val="center"/>
          </w:tcPr>
          <w:p w14:paraId="7FAF09E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包括对浙江省地方金融组织有关政策的了解，服务期间相关问题与委托人的沟通方案、服务人员到位及时性承诺等内容评分。方案完善、全面、针对性强得7-10分；方案完整、合理可行得4-6分；案笼统、简单、可行性一般得1-3分；</w:t>
            </w:r>
            <w:bookmarkStart w:id="382" w:name="OLE_LINK1"/>
            <w:r>
              <w:rPr>
                <w:rFonts w:hint="eastAsia" w:ascii="宋体" w:hAnsi="宋体" w:eastAsia="宋体" w:cs="宋体"/>
                <w:b w:val="0"/>
                <w:bCs w:val="0"/>
                <w:color w:val="auto"/>
                <w:kern w:val="2"/>
                <w:sz w:val="24"/>
                <w:szCs w:val="24"/>
                <w:highlight w:val="none"/>
                <w:lang w:val="en-US" w:eastAsia="zh-CN" w:bidi="ar-SA"/>
              </w:rPr>
              <w:t>未提供的不得分。</w:t>
            </w:r>
            <w:bookmarkEnd w:id="382"/>
          </w:p>
        </w:tc>
        <w:tc>
          <w:tcPr>
            <w:tcW w:w="914" w:type="dxa"/>
            <w:tcBorders>
              <w:top w:val="single" w:color="000000" w:sz="4" w:space="0"/>
              <w:left w:val="single" w:color="000000" w:sz="4" w:space="0"/>
              <w:bottom w:val="single" w:color="000000" w:sz="4" w:space="0"/>
              <w:right w:val="single" w:color="000000" w:sz="4" w:space="0"/>
            </w:tcBorders>
            <w:vAlign w:val="center"/>
          </w:tcPr>
          <w:p w14:paraId="4F59A3D5">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0-10</w:t>
            </w:r>
          </w:p>
        </w:tc>
        <w:tc>
          <w:tcPr>
            <w:tcW w:w="1026" w:type="dxa"/>
            <w:tcBorders>
              <w:top w:val="single" w:color="000000" w:sz="4" w:space="0"/>
              <w:left w:val="single" w:color="000000" w:sz="4" w:space="0"/>
              <w:bottom w:val="single" w:color="000000" w:sz="4" w:space="0"/>
              <w:right w:val="single" w:color="000000" w:sz="4" w:space="0"/>
            </w:tcBorders>
            <w:vAlign w:val="center"/>
          </w:tcPr>
          <w:p w14:paraId="41410AE4">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5D11F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38EF6A5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011" w:type="dxa"/>
            <w:tcBorders>
              <w:top w:val="single" w:color="000000" w:sz="4" w:space="0"/>
              <w:left w:val="single" w:color="000000" w:sz="4" w:space="0"/>
              <w:bottom w:val="single" w:color="000000" w:sz="4" w:space="0"/>
              <w:right w:val="single" w:color="000000" w:sz="4" w:space="0"/>
            </w:tcBorders>
            <w:vAlign w:val="center"/>
          </w:tcPr>
          <w:p w14:paraId="2D70B14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风险控制及保密措施</w:t>
            </w:r>
          </w:p>
          <w:p w14:paraId="535B2A17">
            <w:pPr>
              <w:jc w:val="center"/>
              <w:rPr>
                <w:rFonts w:hint="eastAsia" w:ascii="Times New Roman" w:hAnsi="Times New Roman" w:cs="Times New Roman"/>
                <w:b w:val="0"/>
                <w:bCs w:val="0"/>
                <w:color w:val="auto"/>
                <w:sz w:val="24"/>
                <w:szCs w:val="24"/>
                <w:highlight w:val="none"/>
                <w:lang w:val="en-US" w:eastAsia="zh-CN"/>
              </w:rPr>
            </w:pPr>
          </w:p>
        </w:tc>
        <w:tc>
          <w:tcPr>
            <w:tcW w:w="5854" w:type="dxa"/>
            <w:tcBorders>
              <w:top w:val="single" w:color="000000" w:sz="4" w:space="0"/>
              <w:left w:val="single" w:color="000000" w:sz="4" w:space="0"/>
              <w:bottom w:val="single" w:color="000000" w:sz="4" w:space="0"/>
              <w:right w:val="single" w:color="000000" w:sz="4" w:space="0"/>
            </w:tcBorders>
            <w:vAlign w:val="center"/>
          </w:tcPr>
          <w:p w14:paraId="41EFBD0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风险控制及保密措施健全，内容完整、合理、完善得7-10分；内容较完整，措施较合理、完善得4-6分；</w:t>
            </w:r>
          </w:p>
          <w:p w14:paraId="377E673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内容不完整，措施较笼统、简略得1-3分；未提供的不得分。</w:t>
            </w:r>
          </w:p>
        </w:tc>
        <w:tc>
          <w:tcPr>
            <w:tcW w:w="914" w:type="dxa"/>
            <w:tcBorders>
              <w:top w:val="single" w:color="000000" w:sz="4" w:space="0"/>
              <w:left w:val="single" w:color="000000" w:sz="4" w:space="0"/>
              <w:bottom w:val="single" w:color="000000" w:sz="4" w:space="0"/>
              <w:right w:val="single" w:color="000000" w:sz="4" w:space="0"/>
            </w:tcBorders>
            <w:vAlign w:val="center"/>
          </w:tcPr>
          <w:p w14:paraId="53C14CFE">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w:t>
            </w:r>
          </w:p>
        </w:tc>
        <w:tc>
          <w:tcPr>
            <w:tcW w:w="1026" w:type="dxa"/>
            <w:tcBorders>
              <w:top w:val="single" w:color="000000" w:sz="4" w:space="0"/>
              <w:left w:val="single" w:color="000000" w:sz="4" w:space="0"/>
              <w:bottom w:val="single" w:color="000000" w:sz="4" w:space="0"/>
              <w:right w:val="single" w:color="000000" w:sz="4" w:space="0"/>
            </w:tcBorders>
            <w:vAlign w:val="center"/>
          </w:tcPr>
          <w:p w14:paraId="1CAA563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4CB4C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7"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06EAA78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011" w:type="dxa"/>
            <w:tcBorders>
              <w:top w:val="single" w:color="000000" w:sz="4" w:space="0"/>
              <w:left w:val="single" w:color="000000" w:sz="4" w:space="0"/>
              <w:bottom w:val="single" w:color="000000" w:sz="4" w:space="0"/>
              <w:right w:val="single" w:color="000000" w:sz="4" w:space="0"/>
            </w:tcBorders>
            <w:vAlign w:val="center"/>
          </w:tcPr>
          <w:p w14:paraId="40DAC43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对本项目的认识</w:t>
            </w:r>
          </w:p>
          <w:p w14:paraId="224EF01E">
            <w:pPr>
              <w:jc w:val="center"/>
              <w:rPr>
                <w:rFonts w:hint="eastAsia" w:ascii="Times New Roman" w:hAnsi="Times New Roman" w:cs="Times New Roman"/>
                <w:b w:val="0"/>
                <w:bCs w:val="0"/>
                <w:color w:val="auto"/>
                <w:sz w:val="24"/>
                <w:szCs w:val="24"/>
                <w:highlight w:val="none"/>
                <w:lang w:val="en-US" w:eastAsia="zh-CN"/>
              </w:rPr>
            </w:pPr>
          </w:p>
        </w:tc>
        <w:tc>
          <w:tcPr>
            <w:tcW w:w="5854" w:type="dxa"/>
            <w:tcBorders>
              <w:top w:val="single" w:color="000000" w:sz="4" w:space="0"/>
              <w:left w:val="single" w:color="000000" w:sz="4" w:space="0"/>
              <w:bottom w:val="single" w:color="000000" w:sz="4" w:space="0"/>
              <w:right w:val="single" w:color="000000" w:sz="4" w:space="0"/>
            </w:tcBorders>
            <w:vAlign w:val="center"/>
          </w:tcPr>
          <w:p w14:paraId="62A57AA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对本项目的认识贴合项目实际、针对性强，工作内容理解全面到位，服务要求中涉及的要点均做出承诺，得7-8分；对工作内容有一定了解，对服务要求涉及的重点内容做出承诺得4-6分；有针对本项目的认识及总体服务承诺，但较为笼统，针对性不强、不够具体得1-3分；未提供的不得分。</w:t>
            </w:r>
          </w:p>
        </w:tc>
        <w:tc>
          <w:tcPr>
            <w:tcW w:w="914" w:type="dxa"/>
            <w:tcBorders>
              <w:top w:val="single" w:color="000000" w:sz="4" w:space="0"/>
              <w:left w:val="single" w:color="000000" w:sz="4" w:space="0"/>
              <w:bottom w:val="single" w:color="000000" w:sz="4" w:space="0"/>
              <w:right w:val="single" w:color="000000" w:sz="4" w:space="0"/>
            </w:tcBorders>
            <w:vAlign w:val="center"/>
          </w:tcPr>
          <w:p w14:paraId="405E0CA0">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w:t>
            </w:r>
          </w:p>
        </w:tc>
        <w:tc>
          <w:tcPr>
            <w:tcW w:w="1026" w:type="dxa"/>
            <w:tcBorders>
              <w:top w:val="single" w:color="000000" w:sz="4" w:space="0"/>
              <w:left w:val="single" w:color="000000" w:sz="4" w:space="0"/>
              <w:bottom w:val="single" w:color="000000" w:sz="4" w:space="0"/>
              <w:right w:val="single" w:color="000000" w:sz="4" w:space="0"/>
            </w:tcBorders>
            <w:vAlign w:val="center"/>
          </w:tcPr>
          <w:p w14:paraId="1F0870A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3D3C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767" w:type="dxa"/>
            <w:tcBorders>
              <w:top w:val="single" w:color="000000" w:sz="4" w:space="0"/>
              <w:left w:val="single" w:color="000000" w:sz="4" w:space="0"/>
              <w:bottom w:val="single" w:color="000000" w:sz="4" w:space="0"/>
              <w:right w:val="single" w:color="000000" w:sz="4" w:space="0"/>
            </w:tcBorders>
            <w:vAlign w:val="center"/>
          </w:tcPr>
          <w:p w14:paraId="2D653B5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011" w:type="dxa"/>
            <w:tcBorders>
              <w:top w:val="single" w:color="000000" w:sz="4" w:space="0"/>
              <w:left w:val="single" w:color="000000" w:sz="4" w:space="0"/>
              <w:bottom w:val="single" w:color="000000" w:sz="4" w:space="0"/>
              <w:right w:val="single" w:color="000000" w:sz="4" w:space="0"/>
            </w:tcBorders>
            <w:vAlign w:val="center"/>
          </w:tcPr>
          <w:p w14:paraId="3ED6C9F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合理化建议</w:t>
            </w:r>
          </w:p>
          <w:p w14:paraId="566A939D">
            <w:pPr>
              <w:jc w:val="center"/>
              <w:rPr>
                <w:rFonts w:hint="eastAsia" w:ascii="Times New Roman" w:hAnsi="Times New Roman" w:cs="Times New Roman"/>
                <w:b w:val="0"/>
                <w:bCs w:val="0"/>
                <w:color w:val="auto"/>
                <w:sz w:val="24"/>
                <w:szCs w:val="24"/>
                <w:highlight w:val="none"/>
                <w:lang w:val="en-US" w:eastAsia="zh-CN"/>
              </w:rPr>
            </w:pPr>
          </w:p>
        </w:tc>
        <w:tc>
          <w:tcPr>
            <w:tcW w:w="5854" w:type="dxa"/>
            <w:tcBorders>
              <w:top w:val="single" w:color="000000" w:sz="4" w:space="0"/>
              <w:left w:val="single" w:color="000000" w:sz="4" w:space="0"/>
              <w:bottom w:val="single" w:color="000000" w:sz="4" w:space="0"/>
              <w:right w:val="single" w:color="000000" w:sz="4" w:space="0"/>
            </w:tcBorders>
            <w:vAlign w:val="center"/>
          </w:tcPr>
          <w:p w14:paraId="7C1F274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对本项目的合理化建议，由评审小组综合评定打分，合理且有针对性的得3分；合理性一般得1-2分；</w:t>
            </w:r>
          </w:p>
          <w:p w14:paraId="3E287C5E">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不提供不得分。</w:t>
            </w:r>
          </w:p>
        </w:tc>
        <w:tc>
          <w:tcPr>
            <w:tcW w:w="914" w:type="dxa"/>
            <w:tcBorders>
              <w:top w:val="single" w:color="000000" w:sz="4" w:space="0"/>
              <w:left w:val="single" w:color="000000" w:sz="4" w:space="0"/>
              <w:bottom w:val="single" w:color="000000" w:sz="4" w:space="0"/>
              <w:right w:val="single" w:color="000000" w:sz="4" w:space="0"/>
            </w:tcBorders>
            <w:vAlign w:val="center"/>
          </w:tcPr>
          <w:p w14:paraId="0FD63452">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w:t>
            </w:r>
          </w:p>
        </w:tc>
        <w:tc>
          <w:tcPr>
            <w:tcW w:w="1026" w:type="dxa"/>
            <w:tcBorders>
              <w:top w:val="single" w:color="000000" w:sz="4" w:space="0"/>
              <w:left w:val="single" w:color="000000" w:sz="4" w:space="0"/>
              <w:bottom w:val="single" w:color="000000" w:sz="4" w:space="0"/>
              <w:right w:val="single" w:color="000000" w:sz="4" w:space="0"/>
            </w:tcBorders>
            <w:vAlign w:val="center"/>
          </w:tcPr>
          <w:p w14:paraId="1E84444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bl>
    <w:p w14:paraId="6AACC1C5">
      <w:pPr>
        <w:widowControl/>
        <w:spacing w:line="360" w:lineRule="auto"/>
        <w:rPr>
          <w:rFonts w:ascii="宋体" w:hAnsi="宋体" w:cs="宋体"/>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1、评分条款中涉及的业绩、荣誉、人员、社保等分公司均有效。</w:t>
      </w:r>
    </w:p>
    <w:p w14:paraId="71FAF7C8">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5B95F996">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3、响应人编制响应文件（商务技术文件部分）时，建议按此目录（序号和内容）提供评审标准相应的商务技术资料。</w:t>
      </w:r>
    </w:p>
    <w:p w14:paraId="438BDD96">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t>2、价格分（</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分）</w:t>
      </w:r>
    </w:p>
    <w:tbl>
      <w:tblPr>
        <w:tblStyle w:val="65"/>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6A20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ign w:val="center"/>
          </w:tcPr>
          <w:p w14:paraId="50F80BD0">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价格权值</w:t>
            </w:r>
          </w:p>
        </w:tc>
        <w:tc>
          <w:tcPr>
            <w:tcW w:w="6905" w:type="dxa"/>
            <w:noWrap/>
            <w:vAlign w:val="center"/>
          </w:tcPr>
          <w:p w14:paraId="03EE2277">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计    算    方    法</w:t>
            </w:r>
          </w:p>
        </w:tc>
      </w:tr>
      <w:tr w14:paraId="6F90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169" w:type="dxa"/>
            <w:noWrap/>
            <w:vAlign w:val="center"/>
          </w:tcPr>
          <w:p w14:paraId="27DB9CC5">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价格权值=0.</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w:t>
            </w:r>
          </w:p>
        </w:tc>
        <w:tc>
          <w:tcPr>
            <w:tcW w:w="6905" w:type="dxa"/>
            <w:noWrap/>
            <w:vAlign w:val="center"/>
          </w:tcPr>
          <w:p w14:paraId="4012A565">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最低有效响应价格为评标基准价</w:t>
            </w:r>
          </w:p>
          <w:p w14:paraId="5C329885">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响应报价得分=(评标基准价／响应报价)×价格权值×100</w:t>
            </w:r>
          </w:p>
          <w:p w14:paraId="29FF90C1">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（计算得分保留小数点后2位）</w:t>
            </w:r>
          </w:p>
        </w:tc>
      </w:tr>
    </w:tbl>
    <w:p w14:paraId="6167F059">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0270688">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一、交易方法</w:t>
      </w:r>
    </w:p>
    <w:p w14:paraId="1A1CBC20">
      <w:pPr>
        <w:adjustRightInd/>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1.本项目采用综合评估法。</w:t>
      </w:r>
      <w:r>
        <w:rPr>
          <w:rFonts w:hint="eastAsia" w:ascii="宋体" w:hAnsi="宋体" w:eastAsia="宋体" w:cs="宋体"/>
          <w:color w:val="auto"/>
          <w:kern w:val="0"/>
          <w:sz w:val="24"/>
          <w:highlight w:val="none"/>
        </w:rPr>
        <w:t>综合评估法，是指响应文件满足公开竞争文件全部实质性要求，且按照评审因素的量化指标评审得分最高的响应人为成交候选人的评标方法。</w:t>
      </w:r>
    </w:p>
    <w:p w14:paraId="448E85E1">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二、交易标准</w:t>
      </w:r>
    </w:p>
    <w:p w14:paraId="0160915D">
      <w:pPr>
        <w:spacing w:line="57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见交易办法前附表。</w:t>
      </w:r>
    </w:p>
    <w:p w14:paraId="3A92581D">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三、交易程序</w:t>
      </w:r>
    </w:p>
    <w:bookmarkEnd w:id="16"/>
    <w:p w14:paraId="1126C1AC">
      <w:pPr>
        <w:spacing w:line="570" w:lineRule="exact"/>
        <w:ind w:firstLine="472" w:firstLineChars="196"/>
        <w:rPr>
          <w:rFonts w:hint="eastAsia" w:ascii="宋体" w:hAnsi="宋体" w:eastAsia="宋体" w:cs="宋体"/>
          <w:color w:val="auto"/>
          <w:kern w:val="0"/>
          <w:sz w:val="24"/>
          <w:highlight w:val="none"/>
        </w:rPr>
      </w:pPr>
      <w:bookmarkStart w:id="383" w:name="_Toc86217003"/>
      <w:bookmarkStart w:id="384" w:name="第五部分"/>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3DCA23A0">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评审委员会应当按照公开竞争文件中规定的评标方法和标准，对符合性审查合格的响应文件进行商务和技术评估，综合比较与评价。</w:t>
      </w:r>
    </w:p>
    <w:p w14:paraId="0B40D292">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评审委员会各成员应当独立对每个响应人的商务和技术文件进行评价，并汇总商务技术得分情况。</w:t>
      </w:r>
    </w:p>
    <w:p w14:paraId="39C04202">
      <w:pPr>
        <w:spacing w:line="570" w:lineRule="exact"/>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606A0806">
      <w:pPr>
        <w:pStyle w:val="139"/>
        <w:spacing w:before="0" w:line="570" w:lineRule="exact"/>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3.4.1响应文件报价出现前后不一致的，按照下列规定修正：</w:t>
      </w:r>
    </w:p>
    <w:p w14:paraId="3FFD295F">
      <w:pPr>
        <w:pStyle w:val="139"/>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3.4.1.1响应文件中交易一览表(报价表)内容与响应文件中相应内容不一致的，以交易一览表(报价表)为准；</w:t>
      </w:r>
    </w:p>
    <w:p w14:paraId="09499DBA">
      <w:pPr>
        <w:pStyle w:val="139"/>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15C5BBBA">
      <w:pPr>
        <w:pStyle w:val="139"/>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3.4.1.3单价金额小数点或者百分比有明显错位的，以交易一览表的总价为准，并修改单价；</w:t>
      </w:r>
    </w:p>
    <w:p w14:paraId="4213ED1C">
      <w:pPr>
        <w:pStyle w:val="139"/>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62244CCB">
      <w:pPr>
        <w:pStyle w:val="139"/>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14:paraId="77B03B64">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3.4.2响应文件出现不是唯一的、有选择性交易报价的，交易无效。</w:t>
      </w:r>
    </w:p>
    <w:p w14:paraId="48CC2FD0">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3.4.3交易报价超过公开竞争文件中规定的预算金额或者最高限价的，交易无效。</w:t>
      </w:r>
    </w:p>
    <w:p w14:paraId="67C2EA10">
      <w:pPr>
        <w:pStyle w:val="139"/>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66FC4FF4">
      <w:pPr>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75A17BC2">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3.6编写评审报告。</w:t>
      </w:r>
      <w:r>
        <w:rPr>
          <w:rFonts w:hint="eastAsia" w:ascii="宋体" w:hAnsi="宋体" w:eastAsia="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4F7700D2">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14:paraId="3EA0C8A1">
      <w:pPr>
        <w:pStyle w:val="139"/>
        <w:spacing w:before="0" w:line="570" w:lineRule="exact"/>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4.1响应人澄清、说明或者补正。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61ECC624">
      <w:pPr>
        <w:pStyle w:val="25"/>
        <w:spacing w:line="570" w:lineRule="exact"/>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4.2交易无效。</w:t>
      </w:r>
      <w:r>
        <w:rPr>
          <w:rFonts w:hint="eastAsia" w:ascii="宋体" w:hAnsi="宋体" w:eastAsia="宋体" w:cs="宋体"/>
          <w:color w:val="auto"/>
          <w:szCs w:val="21"/>
          <w:highlight w:val="none"/>
        </w:rPr>
        <w:t>有下列情形之一的，交易无效：</w:t>
      </w:r>
    </w:p>
    <w:p w14:paraId="3C9B062F">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4.2.1响应人不具备公开竞争文件中规定的资格要求的（响应人未提供有效的资格文件的，视为响应人不具备公开竞争文件中规定的资格要求）；</w:t>
      </w:r>
    </w:p>
    <w:p w14:paraId="53A33569">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4.2.2响应文件未按照公开竞争文件要求签署、盖章的；</w:t>
      </w:r>
    </w:p>
    <w:p w14:paraId="579324A8">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4.2.3响应文件含有交易发起人不能接受的附加条件的；</w:t>
      </w:r>
    </w:p>
    <w:p w14:paraId="16D17908">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4.2.4响应文件中承诺的交易有效期少于公开竞争文件中载明的交易有效期的；</w:t>
      </w:r>
    </w:p>
    <w:p w14:paraId="5AB0F9FA">
      <w:pPr>
        <w:snapToGrid w:val="0"/>
        <w:spacing w:line="57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4.2.5响应文件出现不是唯一的、有选择性交易报价的；</w:t>
      </w:r>
    </w:p>
    <w:p w14:paraId="7313D5F2">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4.2.6交易报价超过公开竞争文件中规定的预算金额或者最高限价的；</w:t>
      </w:r>
    </w:p>
    <w:p w14:paraId="69F3B44A">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562C2F4B">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4.2.8响应人对根据修正原则修正后的报价不确认的；</w:t>
      </w:r>
    </w:p>
    <w:p w14:paraId="01B3B916">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4.2.9响应人提供虚假材料投标的；</w:t>
      </w:r>
    </w:p>
    <w:p w14:paraId="065879A7">
      <w:pPr>
        <w:spacing w:line="57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4.2.10响应人有恶意串通、妨碍其他响应人的竞争行为、损害交易发起人或者其他响应人的合法权益情形的；</w:t>
      </w:r>
    </w:p>
    <w:p w14:paraId="7E19528F">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4.2.11响应人未在电子交易平台传输递交响应文件的，交易无效；</w:t>
      </w:r>
    </w:p>
    <w:p w14:paraId="26821336">
      <w:pPr>
        <w:pStyle w:val="3"/>
        <w:spacing w:line="570" w:lineRule="exact"/>
        <w:ind w:left="862" w:leftChars="205"/>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14:paraId="09A493E8">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4.2.13法律、法规、规章（适用本市的）及省级以上规范性文件（适用本市的）规定的其他无效情形。</w:t>
      </w:r>
    </w:p>
    <w:p w14:paraId="6BA151CD">
      <w:pPr>
        <w:pStyle w:val="25"/>
        <w:snapToGrid w:val="0"/>
        <w:spacing w:line="570" w:lineRule="exact"/>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根据《中华人民共和国政府采购法》第三十六条之规定，在交易过程中，出现下列情形之一的，应予废标：</w:t>
      </w:r>
    </w:p>
    <w:p w14:paraId="05DB70AF">
      <w:pPr>
        <w:pStyle w:val="25"/>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5.1符合专业条件的响应人或者对公开竞争文件作实质响应的响应人不足3家的；</w:t>
      </w:r>
    </w:p>
    <w:p w14:paraId="63D9B7E8">
      <w:pPr>
        <w:pStyle w:val="25"/>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6DB74DEB">
      <w:pPr>
        <w:pStyle w:val="25"/>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5.3响应人的报价均超过了采购预算，交易发起人不能支付的；</w:t>
      </w:r>
    </w:p>
    <w:p w14:paraId="465F1043">
      <w:pPr>
        <w:pStyle w:val="25"/>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77800E33">
      <w:pPr>
        <w:pStyle w:val="25"/>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废标后，代理机构应当将废标理由通知所有响应人。</w:t>
      </w:r>
    </w:p>
    <w:p w14:paraId="64085A3C">
      <w:pPr>
        <w:pStyle w:val="25"/>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6.修改公开竞争文件，重新组织交易活动。</w:t>
      </w:r>
      <w:r>
        <w:rPr>
          <w:rFonts w:hint="eastAsia" w:ascii="宋体" w:hAnsi="宋体" w:eastAsia="宋体"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1452FD7F">
      <w:pPr>
        <w:pStyle w:val="25"/>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7.重新开展交易。</w:t>
      </w:r>
      <w:r>
        <w:rPr>
          <w:rFonts w:hint="eastAsia" w:ascii="宋体" w:hAnsi="宋体" w:eastAsia="宋体" w:cs="宋体"/>
          <w:color w:val="auto"/>
          <w:highlight w:val="none"/>
        </w:rPr>
        <w:t>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、成交结果的，依照下列规定处理：</w:t>
      </w:r>
    </w:p>
    <w:p w14:paraId="417D78C4">
      <w:pPr>
        <w:pStyle w:val="25"/>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或者成交人的，终止本次交易活动，重新开展交易活动。</w:t>
      </w:r>
    </w:p>
    <w:p w14:paraId="1EF2905A">
      <w:pPr>
        <w:pStyle w:val="25"/>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或者成交人但尚未签订合同的，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5AA7C597">
      <w:pPr>
        <w:pStyle w:val="25"/>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7.3书面合同已签订但尚未履行的，撤销合同，从合格的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063B6706">
      <w:pPr>
        <w:pStyle w:val="25"/>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7.4书面合同已经履行，给交易发起人、响应人造成损失的，由责任人承担赔偿责任。</w:t>
      </w:r>
    </w:p>
    <w:p w14:paraId="546CD290">
      <w:pPr>
        <w:pStyle w:val="25"/>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7.5交易当事人有其他违反政府采购法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、成交无效的，依照7.1-7.4规定处理。</w:t>
      </w:r>
    </w:p>
    <w:p w14:paraId="00ED518F">
      <w:pPr>
        <w:pStyle w:val="25"/>
        <w:snapToGrid w:val="0"/>
        <w:spacing w:line="360" w:lineRule="auto"/>
        <w:rPr>
          <w:rFonts w:hint="eastAsia" w:ascii="宋体" w:hAnsi="宋体" w:eastAsia="宋体" w:cs="宋体"/>
          <w:color w:val="auto"/>
          <w:highlight w:val="none"/>
        </w:rPr>
      </w:pPr>
    </w:p>
    <w:p w14:paraId="44F4DF25">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9103293">
      <w:pPr>
        <w:numPr>
          <w:ilvl w:val="0"/>
          <w:numId w:val="2"/>
        </w:num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拟签订的合同文本</w:t>
      </w:r>
    </w:p>
    <w:p w14:paraId="3FFF9CB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14:paraId="4C19336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年  月  日</w:t>
      </w:r>
    </w:p>
    <w:p w14:paraId="4F1973C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5FD9638E">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14:paraId="079C2FE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14:paraId="1FACCB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供、需双方根据项目（交易编号  -  -   ）成交结果和公开竞争文件的要求，并经双方协调一致，订立本合同。</w:t>
      </w:r>
    </w:p>
    <w:p w14:paraId="46BED81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14:paraId="5538F4F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14:paraId="248ECA9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14:paraId="4511CE0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3、公开竞争文件。</w:t>
      </w:r>
    </w:p>
    <w:p w14:paraId="7163372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14:paraId="7275B858">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5、成交单位响应文件。</w:t>
      </w:r>
    </w:p>
    <w:p w14:paraId="03BB02A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6、其他。</w:t>
      </w:r>
    </w:p>
    <w:p w14:paraId="0A41A5DB">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二、合同金额: 本合同金额为（大写）</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元）人民币。</w:t>
      </w:r>
    </w:p>
    <w:p w14:paraId="099000C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附：</w:t>
      </w:r>
    </w:p>
    <w:p w14:paraId="1EA2BCA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《项目清单内容》</w:t>
      </w:r>
    </w:p>
    <w:tbl>
      <w:tblPr>
        <w:tblStyle w:val="65"/>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6A5E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9A86A0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4EC4BBF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169157F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3B171CB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409CF2C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成交总价（元）</w:t>
            </w:r>
          </w:p>
        </w:tc>
      </w:tr>
      <w:tr w14:paraId="558C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3C7751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67B89CB0">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60A0BA39">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762A0AC">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0EB8457E">
            <w:pPr>
              <w:spacing w:line="360" w:lineRule="auto"/>
              <w:jc w:val="center"/>
              <w:rPr>
                <w:rFonts w:hint="eastAsia" w:ascii="宋体" w:hAnsi="宋体" w:eastAsia="宋体" w:cs="宋体"/>
                <w:color w:val="auto"/>
                <w:sz w:val="24"/>
                <w:highlight w:val="none"/>
              </w:rPr>
            </w:pPr>
          </w:p>
        </w:tc>
      </w:tr>
      <w:tr w14:paraId="05C1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2BBDF8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3E8F00B3">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9A466EA">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01B5A63C">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52A4F6FB">
            <w:pPr>
              <w:spacing w:line="360" w:lineRule="auto"/>
              <w:jc w:val="center"/>
              <w:rPr>
                <w:rFonts w:hint="eastAsia" w:ascii="宋体" w:hAnsi="宋体" w:eastAsia="宋体" w:cs="宋体"/>
                <w:color w:val="auto"/>
                <w:sz w:val="24"/>
                <w:highlight w:val="none"/>
              </w:rPr>
            </w:pPr>
          </w:p>
        </w:tc>
      </w:tr>
    </w:tbl>
    <w:p w14:paraId="230E0BAC">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14:paraId="3995E86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1.乙方应按公开竞争文件规定的时间向甲方提供有关技术资料。</w:t>
      </w:r>
    </w:p>
    <w:p w14:paraId="24DA45D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7591D37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四、转包或分包</w:t>
      </w:r>
    </w:p>
    <w:p w14:paraId="3088AB0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1.本合同范围的服务，应由乙方直接提供，乙方不得将本合同范围的服务全部或部分分包给他人供应；</w:t>
      </w:r>
    </w:p>
    <w:p w14:paraId="6B8016E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2.如有转让和未经甲方同意的分包行为，甲方有权解除合同，追究乙方的违约责任。</w:t>
      </w:r>
    </w:p>
    <w:p w14:paraId="3400040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五、服务质量保证期</w:t>
      </w:r>
    </w:p>
    <w:p w14:paraId="659D0AAE">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服务时间：</w:t>
      </w:r>
    </w:p>
    <w:p w14:paraId="737056A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六、合同履行时间、履行方式及履行地点</w:t>
      </w:r>
    </w:p>
    <w:p w14:paraId="4C4E4E8B">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14:paraId="4D28FB6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履行方式：按合同履行。</w:t>
      </w:r>
    </w:p>
    <w:p w14:paraId="704D824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 履行地点：甲方指定地点内。</w:t>
      </w:r>
    </w:p>
    <w:p w14:paraId="2B92C523">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七、款项支付</w:t>
      </w:r>
    </w:p>
    <w:p w14:paraId="58A948E8">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参照交易需求。</w:t>
      </w:r>
    </w:p>
    <w:p w14:paraId="5DB7003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八、税费</w:t>
      </w:r>
    </w:p>
    <w:p w14:paraId="564D69C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14:paraId="1DA0190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九、质量保证及后续服务</w:t>
      </w:r>
    </w:p>
    <w:p w14:paraId="2E3ED0AE">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乙方应按公开竞争文件规定向甲方提供服务。</w:t>
      </w:r>
    </w:p>
    <w:p w14:paraId="0E2F253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乙方提供的服务发生问题或产出重大不良影响的，除按招标文件扣除结算金额外，乙方应负责免费提供后续善后服务，同时承担相应责任。</w:t>
      </w:r>
    </w:p>
    <w:p w14:paraId="2901DA53">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十、违约责任</w:t>
      </w:r>
    </w:p>
    <w:p w14:paraId="4A32863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14:paraId="2EB87ED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2.乙方未能如期提供服务的，每日向甲方支付合同款项的千分之六作为违约金。乙方超过约定日期3个工作日仍不能提供服务的，甲方可解除本合同，追究乙赔偿责任。  3.如发现乙方违反公开竞争文件、响应文件和合同的有关规定，甲方有权根据约定和《杭州市政府采购响应人合同履行和售后服务考核暂行办法》，对乙方进行处罚，并有权提前终止合同。</w:t>
      </w:r>
    </w:p>
    <w:p w14:paraId="3B9E0E81">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十一、争议的解决</w:t>
      </w:r>
    </w:p>
    <w:p w14:paraId="533F2D9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因本合同引起的或与本合同有关的任何争议，合同双方应首先通过协商解决，达成书面协议，如协商不成，可选择下列方式解决。</w:t>
      </w:r>
    </w:p>
    <w:p w14:paraId="7A587D6C">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14:paraId="003DB3B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14:paraId="60A924AE">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十二、合同生效</w:t>
      </w:r>
    </w:p>
    <w:p w14:paraId="7E1E161F">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1.成交方持成交通知书作为与需方签订合同的凭证。</w:t>
      </w:r>
    </w:p>
    <w:p w14:paraId="6AE41AA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2.本合同经需、供双方法定代表人或其授权委托人签字并加盖单位公章或合同章后生效。</w:t>
      </w:r>
    </w:p>
    <w:p w14:paraId="6168D189">
      <w:pPr>
        <w:pStyle w:val="25"/>
        <w:snapToGrid w:val="0"/>
        <w:spacing w:line="360" w:lineRule="auto"/>
        <w:rPr>
          <w:rFonts w:hint="eastAsia" w:ascii="宋体" w:hAnsi="宋体" w:eastAsia="宋体" w:cs="宋体"/>
          <w:color w:val="auto"/>
          <w:highlight w:val="none"/>
        </w:rPr>
      </w:pPr>
    </w:p>
    <w:p w14:paraId="0808705D">
      <w:pPr>
        <w:pStyle w:val="25"/>
        <w:snapToGrid w:val="0"/>
        <w:spacing w:line="360" w:lineRule="auto"/>
        <w:rPr>
          <w:rFonts w:hint="eastAsia" w:ascii="宋体" w:hAnsi="宋体" w:eastAsia="宋体" w:cs="宋体"/>
          <w:color w:val="auto"/>
          <w:highlight w:val="none"/>
        </w:rPr>
      </w:pPr>
    </w:p>
    <w:p w14:paraId="0274239B">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14:paraId="108F5C04">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14:paraId="19E25C0B">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14:paraId="11A7CEB1">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14:paraId="22C4B76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14:paraId="136ABBBE">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14:paraId="54D941D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帐号：                             帐号：</w:t>
      </w:r>
      <w:r>
        <w:rPr>
          <w:rFonts w:hint="eastAsia" w:ascii="宋体" w:hAnsi="宋体" w:eastAsia="宋体" w:cs="宋体"/>
          <w:color w:val="auto"/>
          <w:highlight w:val="none"/>
        </w:rPr>
        <w:br w:type="page"/>
      </w:r>
    </w:p>
    <w:p w14:paraId="34A800DB">
      <w:pPr>
        <w:rPr>
          <w:rFonts w:hint="eastAsia" w:ascii="宋体" w:hAnsi="宋体" w:eastAsia="宋体" w:cs="宋体"/>
          <w:color w:val="auto"/>
          <w:highlight w:val="none"/>
        </w:rPr>
      </w:pPr>
    </w:p>
    <w:p w14:paraId="6A573DBF">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3"/>
      <w:bookmarkEnd w:id="384"/>
      <w:r>
        <w:rPr>
          <w:rFonts w:hint="eastAsia" w:ascii="宋体" w:hAnsi="宋体" w:eastAsia="宋体" w:cs="宋体"/>
          <w:b/>
          <w:color w:val="auto"/>
          <w:sz w:val="36"/>
          <w:szCs w:val="20"/>
          <w:highlight w:val="none"/>
        </w:rPr>
        <w:t>应提交的有关格式范例</w:t>
      </w:r>
    </w:p>
    <w:p w14:paraId="4733C6D6">
      <w:pPr>
        <w:spacing w:line="360" w:lineRule="auto"/>
        <w:jc w:val="center"/>
        <w:outlineLvl w:val="0"/>
        <w:rPr>
          <w:rFonts w:hint="eastAsia" w:ascii="宋体" w:hAnsi="宋体" w:eastAsia="宋体" w:cs="宋体"/>
          <w:b/>
          <w:color w:val="auto"/>
          <w:kern w:val="0"/>
          <w:sz w:val="36"/>
          <w:szCs w:val="36"/>
          <w:highlight w:val="none"/>
        </w:rPr>
      </w:pPr>
    </w:p>
    <w:p w14:paraId="236B82F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715C5EE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F3EEC17">
      <w:pPr>
        <w:spacing w:line="360" w:lineRule="auto"/>
        <w:jc w:val="center"/>
        <w:outlineLvl w:val="0"/>
        <w:rPr>
          <w:rFonts w:hint="eastAsia" w:ascii="宋体" w:hAnsi="宋体" w:eastAsia="宋体" w:cs="宋体"/>
          <w:b/>
          <w:color w:val="auto"/>
          <w:kern w:val="0"/>
          <w:sz w:val="36"/>
          <w:szCs w:val="36"/>
          <w:highlight w:val="none"/>
        </w:rPr>
      </w:pPr>
    </w:p>
    <w:p w14:paraId="6AFBF7C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（1）符合参加交易活动应当具备的一般条件的承诺函…………………（页码）</w:t>
      </w:r>
    </w:p>
    <w:p w14:paraId="4180E4B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（2）本项目的特定资格要求………………………………………………（页码）</w:t>
      </w:r>
    </w:p>
    <w:p w14:paraId="7829541E">
      <w:pPr>
        <w:snapToGrid w:val="0"/>
        <w:spacing w:line="360" w:lineRule="auto"/>
        <w:ind w:firstLine="480" w:firstLineChars="200"/>
        <w:rPr>
          <w:rFonts w:hint="eastAsia" w:ascii="宋体" w:hAnsi="宋体" w:eastAsia="宋体" w:cs="宋体"/>
          <w:color w:val="auto"/>
          <w:sz w:val="24"/>
          <w:highlight w:val="none"/>
        </w:rPr>
      </w:pPr>
    </w:p>
    <w:p w14:paraId="519E8DA8">
      <w:pPr>
        <w:spacing w:line="360" w:lineRule="auto"/>
        <w:ind w:firstLine="480" w:firstLineChars="200"/>
        <w:rPr>
          <w:rFonts w:hint="eastAsia" w:ascii="宋体" w:hAnsi="宋体" w:eastAsia="宋体" w:cs="宋体"/>
          <w:color w:val="auto"/>
          <w:sz w:val="24"/>
          <w:highlight w:val="none"/>
        </w:rPr>
      </w:pPr>
    </w:p>
    <w:p w14:paraId="42111864">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符合参加交易活动应当具备的一般条件的承诺函</w:t>
      </w:r>
    </w:p>
    <w:p w14:paraId="41684C24">
      <w:pPr>
        <w:snapToGrid w:val="0"/>
        <w:spacing w:line="360" w:lineRule="auto"/>
        <w:rPr>
          <w:rFonts w:hint="eastAsia" w:ascii="宋体" w:hAnsi="宋体" w:eastAsia="宋体" w:cs="宋体"/>
          <w:color w:val="auto"/>
          <w:sz w:val="24"/>
          <w:highlight w:val="none"/>
        </w:rPr>
      </w:pPr>
    </w:p>
    <w:p w14:paraId="74E18077">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14:paraId="749AE19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sz w:val="24"/>
          <w:highlight w:val="none"/>
        </w:rPr>
        <w:t>交易活动，郑重承诺：</w:t>
      </w:r>
    </w:p>
    <w:p w14:paraId="07D4DC0F">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14:paraId="5AFAFB0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DD5C04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5AFDB8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E41E89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A53BAD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14:paraId="4BAB3A4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350303A9">
      <w:pPr>
        <w:snapToGrid w:val="0"/>
        <w:spacing w:line="360" w:lineRule="auto"/>
        <w:ind w:firstLine="5520" w:firstLineChars="2300"/>
        <w:rPr>
          <w:rFonts w:hint="eastAsia" w:ascii="宋体" w:hAnsi="宋体" w:eastAsia="宋体" w:cs="宋体"/>
          <w:color w:val="auto"/>
          <w:kern w:val="0"/>
          <w:sz w:val="24"/>
          <w:highlight w:val="none"/>
          <w:lang w:val="zh-CN"/>
        </w:rPr>
      </w:pPr>
    </w:p>
    <w:p w14:paraId="47D002AE">
      <w:pPr>
        <w:snapToGrid w:val="0"/>
        <w:spacing w:line="360" w:lineRule="auto"/>
        <w:ind w:firstLine="5520" w:firstLineChars="2300"/>
        <w:rPr>
          <w:rFonts w:hint="eastAsia" w:ascii="宋体" w:hAnsi="宋体" w:eastAsia="宋体" w:cs="宋体"/>
          <w:color w:val="auto"/>
          <w:kern w:val="0"/>
          <w:sz w:val="24"/>
          <w:highlight w:val="none"/>
          <w:lang w:val="zh-CN"/>
        </w:rPr>
      </w:pPr>
    </w:p>
    <w:p w14:paraId="0BCC2381">
      <w:pPr>
        <w:snapToGrid w:val="0"/>
        <w:spacing w:line="360" w:lineRule="auto"/>
        <w:ind w:firstLine="5520" w:firstLineChars="2300"/>
        <w:rPr>
          <w:rFonts w:hint="eastAsia" w:ascii="宋体" w:hAnsi="宋体" w:eastAsia="宋体" w:cs="宋体"/>
          <w:color w:val="auto"/>
          <w:kern w:val="0"/>
          <w:sz w:val="24"/>
          <w:highlight w:val="none"/>
          <w:lang w:val="zh-CN"/>
        </w:rPr>
      </w:pPr>
    </w:p>
    <w:p w14:paraId="5E64523A">
      <w:pPr>
        <w:snapToGrid w:val="0"/>
        <w:spacing w:line="360" w:lineRule="auto"/>
        <w:ind w:firstLine="5520" w:firstLineChars="2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33B7A7E3">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14:paraId="4BA75B30">
      <w:pPr>
        <w:snapToGrid w:val="0"/>
        <w:spacing w:line="360" w:lineRule="auto"/>
        <w:ind w:right="480"/>
        <w:jc w:val="center"/>
        <w:rPr>
          <w:rFonts w:hint="eastAsia" w:ascii="宋体" w:hAnsi="宋体" w:eastAsia="宋体" w:cs="宋体"/>
          <w:b/>
          <w:color w:val="auto"/>
          <w:kern w:val="0"/>
          <w:sz w:val="32"/>
          <w:szCs w:val="32"/>
          <w:highlight w:val="none"/>
        </w:rPr>
      </w:pPr>
    </w:p>
    <w:p w14:paraId="162A5B17">
      <w:pPr>
        <w:snapToGrid w:val="0"/>
        <w:spacing w:line="360" w:lineRule="auto"/>
        <w:ind w:right="480"/>
        <w:jc w:val="center"/>
        <w:rPr>
          <w:rFonts w:hint="eastAsia" w:ascii="宋体" w:hAnsi="宋体" w:eastAsia="宋体" w:cs="宋体"/>
          <w:b/>
          <w:color w:val="auto"/>
          <w:kern w:val="0"/>
          <w:sz w:val="32"/>
          <w:szCs w:val="32"/>
          <w:highlight w:val="none"/>
        </w:rPr>
      </w:pPr>
    </w:p>
    <w:p w14:paraId="30E7247A">
      <w:pPr>
        <w:snapToGrid w:val="0"/>
        <w:spacing w:line="360" w:lineRule="auto"/>
        <w:ind w:right="480"/>
        <w:jc w:val="center"/>
        <w:rPr>
          <w:rFonts w:hint="eastAsia" w:ascii="宋体" w:hAnsi="宋体" w:eastAsia="宋体" w:cs="宋体"/>
          <w:b/>
          <w:color w:val="auto"/>
          <w:kern w:val="0"/>
          <w:sz w:val="32"/>
          <w:szCs w:val="32"/>
          <w:highlight w:val="none"/>
        </w:rPr>
      </w:pPr>
    </w:p>
    <w:p w14:paraId="52419EFB">
      <w:pPr>
        <w:rPr>
          <w:rFonts w:hint="eastAsia" w:ascii="宋体" w:hAnsi="宋体" w:eastAsia="宋体" w:cs="宋体"/>
          <w:color w:val="auto"/>
          <w:highlight w:val="none"/>
        </w:rPr>
      </w:pPr>
    </w:p>
    <w:p w14:paraId="34F761B8">
      <w:pPr>
        <w:widowControl/>
        <w:spacing w:line="360" w:lineRule="auto"/>
        <w:ind w:left="150"/>
        <w:jc w:val="center"/>
        <w:rPr>
          <w:rFonts w:hint="eastAsia" w:ascii="宋体" w:hAnsi="宋体" w:eastAsia="宋体" w:cs="宋体"/>
          <w:b/>
          <w:color w:val="auto"/>
          <w:kern w:val="0"/>
          <w:sz w:val="32"/>
          <w:szCs w:val="32"/>
          <w:highlight w:val="none"/>
        </w:rPr>
      </w:pPr>
    </w:p>
    <w:p w14:paraId="25F84806">
      <w:pPr>
        <w:widowControl/>
        <w:spacing w:line="360" w:lineRule="auto"/>
        <w:ind w:left="150"/>
        <w:jc w:val="center"/>
        <w:rPr>
          <w:rFonts w:hint="eastAsia" w:ascii="宋体" w:hAnsi="宋体" w:eastAsia="宋体" w:cs="宋体"/>
          <w:b/>
          <w:color w:val="auto"/>
          <w:kern w:val="0"/>
          <w:sz w:val="32"/>
          <w:szCs w:val="32"/>
          <w:highlight w:val="none"/>
        </w:rPr>
      </w:pPr>
    </w:p>
    <w:p w14:paraId="7CBA71F4">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14:paraId="7B940B10">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t>（根据交易公告本项目的特定资格要求提供相应的材料；未要求的，无需提供）</w:t>
      </w:r>
    </w:p>
    <w:p w14:paraId="55AA9356">
      <w:pPr>
        <w:snapToGrid w:val="0"/>
        <w:spacing w:line="360" w:lineRule="auto"/>
        <w:ind w:right="480"/>
        <w:jc w:val="center"/>
        <w:rPr>
          <w:rFonts w:hint="eastAsia" w:ascii="宋体" w:hAnsi="宋体" w:eastAsia="宋体" w:cs="宋体"/>
          <w:b/>
          <w:color w:val="auto"/>
          <w:kern w:val="0"/>
          <w:sz w:val="32"/>
          <w:szCs w:val="32"/>
          <w:highlight w:val="none"/>
        </w:rPr>
      </w:pPr>
    </w:p>
    <w:p w14:paraId="1A2EA659">
      <w:pPr>
        <w:spacing w:line="360" w:lineRule="auto"/>
        <w:jc w:val="center"/>
        <w:outlineLvl w:val="0"/>
        <w:rPr>
          <w:rFonts w:hint="eastAsia" w:ascii="宋体" w:hAnsi="宋体" w:eastAsia="宋体" w:cs="宋体"/>
          <w:b/>
          <w:color w:val="auto"/>
          <w:kern w:val="0"/>
          <w:sz w:val="36"/>
          <w:szCs w:val="36"/>
          <w:highlight w:val="none"/>
        </w:rPr>
      </w:pPr>
    </w:p>
    <w:p w14:paraId="5F8A45B5">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2E159E5B">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5FBEABC">
      <w:pPr>
        <w:spacing w:line="360" w:lineRule="auto"/>
        <w:jc w:val="center"/>
        <w:outlineLvl w:val="0"/>
        <w:rPr>
          <w:rFonts w:hint="eastAsia" w:ascii="宋体" w:hAnsi="宋体" w:eastAsia="宋体" w:cs="宋体"/>
          <w:b/>
          <w:color w:val="auto"/>
          <w:kern w:val="0"/>
          <w:sz w:val="24"/>
          <w:highlight w:val="none"/>
        </w:rPr>
      </w:pPr>
    </w:p>
    <w:p w14:paraId="51B72887">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157DF353">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（1）交易函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55A8F00C">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（3）营业执照</w:t>
      </w:r>
      <w:r>
        <w:rPr>
          <w:rFonts w:hint="eastAsia" w:ascii="宋体" w:hAnsi="宋体" w:eastAsia="宋体" w:cs="宋体"/>
          <w:color w:val="auto"/>
          <w:highlight w:val="none"/>
        </w:rPr>
        <w:t>………………………………………………………………………………（页码）</w:t>
      </w:r>
    </w:p>
    <w:p w14:paraId="2462E364">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1427DD73">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w:t>
      </w:r>
      <w:r>
        <w:rPr>
          <w:rFonts w:hint="eastAsia" w:ascii="宋体" w:hAnsi="宋体" w:eastAsia="宋体" w:cs="宋体"/>
          <w:color w:val="auto"/>
          <w:highlight w:val="none"/>
        </w:rPr>
        <w:t>……………………………………………………（页码）</w:t>
      </w:r>
    </w:p>
    <w:p w14:paraId="3E1719BE">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14:paraId="11BE0E7C">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14:paraId="0450A22C">
      <w:pPr>
        <w:snapToGrid w:val="0"/>
        <w:spacing w:line="360" w:lineRule="auto"/>
        <w:jc w:val="center"/>
        <w:rPr>
          <w:rFonts w:hint="eastAsia" w:ascii="宋体" w:hAnsi="宋体" w:eastAsia="宋体" w:cs="宋体"/>
          <w:b/>
          <w:color w:val="auto"/>
          <w:kern w:val="0"/>
          <w:sz w:val="32"/>
          <w:szCs w:val="32"/>
          <w:highlight w:val="none"/>
          <w:lang w:val="zh-CN"/>
        </w:rPr>
      </w:pPr>
    </w:p>
    <w:p w14:paraId="1BDD69A5">
      <w:pPr>
        <w:snapToGrid w:val="0"/>
        <w:spacing w:line="360" w:lineRule="auto"/>
        <w:jc w:val="center"/>
        <w:rPr>
          <w:rFonts w:hint="eastAsia" w:ascii="宋体" w:hAnsi="宋体" w:eastAsia="宋体" w:cs="宋体"/>
          <w:b/>
          <w:color w:val="auto"/>
          <w:kern w:val="0"/>
          <w:sz w:val="32"/>
          <w:szCs w:val="32"/>
          <w:highlight w:val="none"/>
          <w:lang w:val="zh-CN"/>
        </w:rPr>
      </w:pPr>
    </w:p>
    <w:p w14:paraId="5C5A202A">
      <w:pPr>
        <w:snapToGrid w:val="0"/>
        <w:spacing w:line="360" w:lineRule="auto"/>
        <w:jc w:val="center"/>
        <w:rPr>
          <w:rFonts w:hint="eastAsia" w:ascii="宋体" w:hAnsi="宋体" w:eastAsia="宋体" w:cs="宋体"/>
          <w:b/>
          <w:color w:val="auto"/>
          <w:kern w:val="0"/>
          <w:sz w:val="32"/>
          <w:szCs w:val="32"/>
          <w:highlight w:val="none"/>
          <w:lang w:val="zh-CN"/>
        </w:rPr>
      </w:pPr>
    </w:p>
    <w:p w14:paraId="4F0482D5">
      <w:pPr>
        <w:snapToGrid w:val="0"/>
        <w:spacing w:line="360" w:lineRule="auto"/>
        <w:jc w:val="center"/>
        <w:rPr>
          <w:rFonts w:hint="eastAsia" w:ascii="宋体" w:hAnsi="宋体" w:eastAsia="宋体" w:cs="宋体"/>
          <w:b/>
          <w:color w:val="auto"/>
          <w:kern w:val="0"/>
          <w:sz w:val="32"/>
          <w:szCs w:val="32"/>
          <w:highlight w:val="none"/>
          <w:lang w:val="zh-CN"/>
        </w:rPr>
      </w:pPr>
    </w:p>
    <w:p w14:paraId="1FE4FAAD">
      <w:pPr>
        <w:snapToGrid w:val="0"/>
        <w:spacing w:line="360" w:lineRule="auto"/>
        <w:jc w:val="center"/>
        <w:rPr>
          <w:rFonts w:hint="eastAsia" w:ascii="宋体" w:hAnsi="宋体" w:eastAsia="宋体" w:cs="宋体"/>
          <w:b/>
          <w:color w:val="auto"/>
          <w:kern w:val="0"/>
          <w:sz w:val="32"/>
          <w:szCs w:val="32"/>
          <w:highlight w:val="none"/>
          <w:lang w:val="zh-CN"/>
        </w:rPr>
      </w:pPr>
    </w:p>
    <w:p w14:paraId="5523C711">
      <w:pPr>
        <w:snapToGrid w:val="0"/>
        <w:spacing w:line="360" w:lineRule="auto"/>
        <w:jc w:val="center"/>
        <w:outlineLvl w:val="0"/>
        <w:rPr>
          <w:rFonts w:hint="eastAsia" w:ascii="宋体" w:hAnsi="宋体" w:eastAsia="宋体" w:cs="宋体"/>
          <w:b/>
          <w:color w:val="auto"/>
          <w:kern w:val="0"/>
          <w:sz w:val="32"/>
          <w:szCs w:val="32"/>
          <w:highlight w:val="none"/>
        </w:rPr>
      </w:pPr>
    </w:p>
    <w:p w14:paraId="394D7681">
      <w:pPr>
        <w:snapToGrid w:val="0"/>
        <w:spacing w:line="360" w:lineRule="auto"/>
        <w:jc w:val="center"/>
        <w:outlineLvl w:val="0"/>
        <w:rPr>
          <w:rFonts w:hint="eastAsia" w:ascii="宋体" w:hAnsi="宋体" w:eastAsia="宋体" w:cs="宋体"/>
          <w:b/>
          <w:color w:val="auto"/>
          <w:kern w:val="0"/>
          <w:sz w:val="32"/>
          <w:szCs w:val="32"/>
          <w:highlight w:val="none"/>
        </w:rPr>
      </w:pPr>
    </w:p>
    <w:p w14:paraId="3C941A49">
      <w:pPr>
        <w:rPr>
          <w:rFonts w:hint="eastAsia" w:ascii="宋体" w:hAnsi="宋体" w:eastAsia="宋体" w:cs="宋体"/>
          <w:color w:val="auto"/>
          <w:highlight w:val="none"/>
        </w:rPr>
      </w:pPr>
    </w:p>
    <w:p w14:paraId="0EA8BBE2">
      <w:pPr>
        <w:snapToGrid w:val="0"/>
        <w:spacing w:line="360" w:lineRule="auto"/>
        <w:jc w:val="center"/>
        <w:outlineLvl w:val="0"/>
        <w:rPr>
          <w:rFonts w:hint="eastAsia" w:ascii="宋体" w:hAnsi="宋体" w:eastAsia="宋体" w:cs="宋体"/>
          <w:b/>
          <w:color w:val="auto"/>
          <w:kern w:val="0"/>
          <w:sz w:val="32"/>
          <w:szCs w:val="32"/>
          <w:highlight w:val="none"/>
        </w:rPr>
      </w:pPr>
    </w:p>
    <w:p w14:paraId="1F72DFD6">
      <w:pPr>
        <w:snapToGrid w:val="0"/>
        <w:spacing w:line="360" w:lineRule="auto"/>
        <w:jc w:val="center"/>
        <w:outlineLvl w:val="0"/>
        <w:rPr>
          <w:rFonts w:hint="eastAsia" w:ascii="宋体" w:hAnsi="宋体" w:eastAsia="宋体" w:cs="宋体"/>
          <w:b/>
          <w:color w:val="auto"/>
          <w:kern w:val="0"/>
          <w:sz w:val="32"/>
          <w:szCs w:val="32"/>
          <w:highlight w:val="none"/>
        </w:rPr>
      </w:pPr>
    </w:p>
    <w:p w14:paraId="52F4F34B">
      <w:pPr>
        <w:snapToGrid w:val="0"/>
        <w:spacing w:line="360" w:lineRule="auto"/>
        <w:jc w:val="center"/>
        <w:outlineLvl w:val="0"/>
        <w:rPr>
          <w:rFonts w:hint="eastAsia" w:ascii="宋体" w:hAnsi="宋体" w:eastAsia="宋体" w:cs="宋体"/>
          <w:b/>
          <w:color w:val="auto"/>
          <w:kern w:val="0"/>
          <w:sz w:val="32"/>
          <w:szCs w:val="32"/>
          <w:highlight w:val="none"/>
        </w:rPr>
      </w:pPr>
    </w:p>
    <w:p w14:paraId="2DABE55A">
      <w:pPr>
        <w:snapToGrid w:val="0"/>
        <w:spacing w:line="360" w:lineRule="auto"/>
        <w:jc w:val="center"/>
        <w:outlineLvl w:val="0"/>
        <w:rPr>
          <w:rFonts w:hint="eastAsia" w:ascii="宋体" w:hAnsi="宋体" w:eastAsia="宋体" w:cs="宋体"/>
          <w:b/>
          <w:color w:val="auto"/>
          <w:kern w:val="0"/>
          <w:sz w:val="32"/>
          <w:szCs w:val="32"/>
          <w:highlight w:val="none"/>
        </w:rPr>
      </w:pPr>
    </w:p>
    <w:p w14:paraId="58791743">
      <w:pPr>
        <w:snapToGrid w:val="0"/>
        <w:spacing w:line="360" w:lineRule="auto"/>
        <w:jc w:val="center"/>
        <w:outlineLvl w:val="0"/>
        <w:rPr>
          <w:rFonts w:hint="eastAsia" w:ascii="宋体" w:hAnsi="宋体" w:eastAsia="宋体" w:cs="宋体"/>
          <w:b/>
          <w:color w:val="auto"/>
          <w:kern w:val="0"/>
          <w:sz w:val="32"/>
          <w:szCs w:val="32"/>
          <w:highlight w:val="none"/>
        </w:rPr>
      </w:pPr>
    </w:p>
    <w:p w14:paraId="0DB87553">
      <w:pPr>
        <w:snapToGrid w:val="0"/>
        <w:spacing w:line="360" w:lineRule="auto"/>
        <w:jc w:val="center"/>
        <w:outlineLvl w:val="0"/>
        <w:rPr>
          <w:rFonts w:hint="eastAsia" w:ascii="宋体" w:hAnsi="宋体" w:eastAsia="宋体" w:cs="宋体"/>
          <w:b/>
          <w:color w:val="auto"/>
          <w:kern w:val="0"/>
          <w:sz w:val="32"/>
          <w:szCs w:val="32"/>
          <w:highlight w:val="none"/>
        </w:rPr>
      </w:pPr>
    </w:p>
    <w:p w14:paraId="748A420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E41CEA8">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一、交易函</w:t>
      </w:r>
    </w:p>
    <w:p w14:paraId="78DE9DFD">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14:paraId="7EDA6AB6">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sz w:val="24"/>
          <w:highlight w:val="none"/>
        </w:rPr>
        <w:t>招标的有关活动，并对此项目进行投标。为此：</w:t>
      </w:r>
    </w:p>
    <w:p w14:paraId="3853D838">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14:paraId="100BF337">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7FB29622">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5323A52">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4B443ABA">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14:paraId="36535D4A">
      <w:pPr>
        <w:snapToGrid w:val="0"/>
        <w:spacing w:line="44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4846DFAF">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2.2.1交易函；</w:t>
      </w:r>
    </w:p>
    <w:p w14:paraId="436E71AB">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135FF57A">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2.2.3营业执照；</w:t>
      </w:r>
    </w:p>
    <w:p w14:paraId="48F9AB92">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6EB2128E">
      <w:pPr>
        <w:snapToGrid w:val="0"/>
        <w:spacing w:line="44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2.2.5评审标准相应的商务技术资料；</w:t>
      </w:r>
    </w:p>
    <w:p w14:paraId="5D8FB550">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1CA2F3D0">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14:paraId="3E3E38AD">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4309F293">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2.3.1交易一览表（报价表）。</w:t>
      </w:r>
    </w:p>
    <w:p w14:paraId="119B0785">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3、我方承诺除商务技术偏离表列出的偏离外，我方响应公开竞争文件的全部要求。</w:t>
      </w:r>
    </w:p>
    <w:p w14:paraId="5873D54B">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6C88B869">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7D8BB414">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9FD2DB7">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4.3按照公开竞争文件要求提交履约保证金； </w:t>
      </w:r>
    </w:p>
    <w:p w14:paraId="2F4A05B5">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5C09FCD6">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0E8F92E">
      <w:pPr>
        <w:spacing w:line="44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响应人名称（电子签名）：                          </w:t>
      </w:r>
    </w:p>
    <w:p w14:paraId="6A50CEB0">
      <w:pPr>
        <w:spacing w:line="440" w:lineRule="exact"/>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14:paraId="0A7D2DA6">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9E8DAD1">
      <w:pPr>
        <w:pStyle w:val="24"/>
        <w:rPr>
          <w:rFonts w:hint="eastAsia" w:ascii="宋体" w:hAnsi="宋体" w:eastAsia="宋体" w:cs="宋体"/>
          <w:color w:val="auto"/>
          <w:highlight w:val="none"/>
          <w:lang w:val="en-US"/>
        </w:rPr>
      </w:pPr>
    </w:p>
    <w:p w14:paraId="21C327C6">
      <w:pPr>
        <w:jc w:val="center"/>
        <w:rPr>
          <w:rFonts w:hint="eastAsia" w:ascii="宋体" w:hAnsi="宋体" w:eastAsia="宋体" w:cs="宋体"/>
          <w:b/>
          <w:color w:val="auto"/>
          <w:kern w:val="0"/>
          <w:sz w:val="32"/>
          <w:szCs w:val="32"/>
          <w:highlight w:val="none"/>
        </w:rPr>
      </w:pPr>
    </w:p>
    <w:p w14:paraId="6AEEF7BE">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9728691">
      <w:pPr>
        <w:snapToGrid w:val="0"/>
        <w:spacing w:line="360" w:lineRule="auto"/>
        <w:rPr>
          <w:rFonts w:hint="eastAsia" w:ascii="宋体" w:hAnsi="宋体" w:eastAsia="宋体" w:cs="宋体"/>
          <w:color w:val="auto"/>
          <w:sz w:val="24"/>
          <w:highlight w:val="none"/>
        </w:rPr>
      </w:pPr>
    </w:p>
    <w:p w14:paraId="38749246">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p>
    <w:p w14:paraId="6637DDB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60CDD6E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kern w:val="0"/>
          <w:sz w:val="24"/>
          <w:highlight w:val="none"/>
          <w:lang w:val="zh-CN"/>
        </w:rPr>
        <w:t>交易项目的一切事项，其法律后果由我方承担。</w:t>
      </w:r>
    </w:p>
    <w:p w14:paraId="75B08DA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日止。</w:t>
      </w:r>
    </w:p>
    <w:p w14:paraId="49D1514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58D0AAB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14:paraId="5BB9DF78">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5279847D">
      <w:pPr>
        <w:snapToGrid w:val="0"/>
        <w:spacing w:line="360" w:lineRule="auto"/>
        <w:rPr>
          <w:rFonts w:hint="eastAsia" w:ascii="宋体" w:hAnsi="宋体" w:eastAsia="宋体" w:cs="宋体"/>
          <w:color w:val="auto"/>
          <w:sz w:val="24"/>
          <w:highlight w:val="none"/>
        </w:rPr>
      </w:pPr>
    </w:p>
    <w:p w14:paraId="6778E582">
      <w:pPr>
        <w:snapToGrid w:val="0"/>
        <w:spacing w:line="360" w:lineRule="auto"/>
        <w:rPr>
          <w:rFonts w:hint="eastAsia" w:ascii="宋体" w:hAnsi="宋体" w:eastAsia="宋体" w:cs="宋体"/>
          <w:color w:val="auto"/>
          <w:kern w:val="0"/>
          <w:sz w:val="24"/>
          <w:highlight w:val="none"/>
          <w:lang w:val="zh-CN"/>
        </w:rPr>
      </w:pPr>
    </w:p>
    <w:p w14:paraId="5E1A5CFF">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的身份证明（适用于法定代表人、单位负责人或者自然人本人代表响应人参加投标）</w:t>
      </w:r>
    </w:p>
    <w:p w14:paraId="3326FF22">
      <w:pPr>
        <w:pStyle w:val="15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E9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2FCC7F6D">
            <w:pPr>
              <w:pStyle w:val="15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831B774">
            <w:pPr>
              <w:pStyle w:val="157"/>
              <w:adjustRightInd w:val="0"/>
              <w:spacing w:line="360" w:lineRule="auto"/>
              <w:rPr>
                <w:rFonts w:hint="eastAsia" w:ascii="宋体" w:hAnsi="宋体" w:eastAsia="宋体" w:cs="宋体"/>
                <w:bCs/>
                <w:color w:val="auto"/>
                <w:sz w:val="24"/>
                <w:highlight w:val="none"/>
              </w:rPr>
            </w:pPr>
          </w:p>
        </w:tc>
      </w:tr>
    </w:tbl>
    <w:p w14:paraId="06C75805">
      <w:pPr>
        <w:snapToGrid w:val="0"/>
        <w:spacing w:line="360" w:lineRule="auto"/>
        <w:ind w:firstLine="576"/>
        <w:jc w:val="center"/>
        <w:rPr>
          <w:rFonts w:hint="eastAsia" w:ascii="宋体" w:hAnsi="宋体" w:eastAsia="宋体" w:cs="宋体"/>
          <w:color w:val="auto"/>
          <w:kern w:val="0"/>
          <w:sz w:val="24"/>
          <w:highlight w:val="none"/>
          <w:lang w:val="zh-CN"/>
        </w:rPr>
      </w:pPr>
    </w:p>
    <w:p w14:paraId="62DACFFC">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14:paraId="5739F82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BBAA9BA">
      <w:pPr>
        <w:jc w:val="center"/>
        <w:rPr>
          <w:rFonts w:hint="eastAsia" w:ascii="宋体" w:hAnsi="宋体" w:eastAsia="宋体" w:cs="宋体"/>
          <w:b/>
          <w:color w:val="auto"/>
          <w:kern w:val="0"/>
          <w:sz w:val="32"/>
          <w:szCs w:val="32"/>
          <w:highlight w:val="none"/>
        </w:rPr>
      </w:pPr>
    </w:p>
    <w:p w14:paraId="1DBE717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3A8E1D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三、营业执照</w:t>
      </w:r>
    </w:p>
    <w:p w14:paraId="556D260C">
      <w:pPr>
        <w:jc w:val="center"/>
        <w:rPr>
          <w:rFonts w:hint="eastAsia" w:ascii="宋体" w:hAnsi="宋体" w:eastAsia="宋体" w:cs="宋体"/>
          <w:b/>
          <w:color w:val="auto"/>
          <w:kern w:val="0"/>
          <w:sz w:val="32"/>
          <w:szCs w:val="32"/>
          <w:highlight w:val="none"/>
        </w:rPr>
      </w:pP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A6A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2BEFFEAD">
            <w:pPr>
              <w:pStyle w:val="157"/>
              <w:adjustRightInd w:val="0"/>
              <w:spacing w:line="360" w:lineRule="auto"/>
              <w:rPr>
                <w:rFonts w:hint="eastAsia" w:ascii="宋体" w:hAnsi="宋体" w:eastAsia="宋体" w:cs="宋体"/>
                <w:bCs/>
                <w:color w:val="auto"/>
                <w:sz w:val="24"/>
                <w:highlight w:val="none"/>
              </w:rPr>
            </w:pPr>
          </w:p>
        </w:tc>
      </w:tr>
    </w:tbl>
    <w:p w14:paraId="263C5B16">
      <w:pPr>
        <w:snapToGrid w:val="0"/>
        <w:spacing w:line="360" w:lineRule="auto"/>
        <w:ind w:firstLine="576"/>
        <w:jc w:val="center"/>
        <w:rPr>
          <w:rFonts w:hint="eastAsia" w:ascii="宋体" w:hAnsi="宋体" w:eastAsia="宋体" w:cs="宋体"/>
          <w:color w:val="auto"/>
          <w:kern w:val="0"/>
          <w:sz w:val="24"/>
          <w:highlight w:val="none"/>
          <w:lang w:val="zh-CN"/>
        </w:rPr>
      </w:pPr>
    </w:p>
    <w:p w14:paraId="68BFC196">
      <w:pPr>
        <w:snapToGrid w:val="0"/>
        <w:spacing w:line="360" w:lineRule="auto"/>
        <w:ind w:firstLine="576"/>
        <w:jc w:val="center"/>
        <w:rPr>
          <w:rFonts w:hint="eastAsia" w:ascii="宋体" w:hAnsi="宋体" w:eastAsia="宋体" w:cs="宋体"/>
          <w:color w:val="auto"/>
          <w:kern w:val="0"/>
          <w:sz w:val="24"/>
          <w:highlight w:val="none"/>
          <w:lang w:val="zh-CN"/>
        </w:rPr>
      </w:pPr>
    </w:p>
    <w:p w14:paraId="17D40F3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14:paraId="3B47104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897E7A9">
      <w:pPr>
        <w:jc w:val="center"/>
        <w:rPr>
          <w:rFonts w:hint="eastAsia" w:ascii="宋体" w:hAnsi="宋体" w:eastAsia="宋体" w:cs="宋体"/>
          <w:b/>
          <w:color w:val="auto"/>
          <w:kern w:val="0"/>
          <w:sz w:val="32"/>
          <w:szCs w:val="32"/>
          <w:highlight w:val="none"/>
        </w:rPr>
      </w:pPr>
    </w:p>
    <w:p w14:paraId="025D420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18984DC4">
      <w:pPr>
        <w:jc w:val="center"/>
        <w:rPr>
          <w:rFonts w:hint="eastAsia" w:ascii="宋体" w:hAnsi="宋体" w:eastAsia="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2D76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31FCD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14:paraId="7501566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14:paraId="6D39F5D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1FECB25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648EC21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8A7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4B64F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14:paraId="3C2989B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响应文件按照公开竞争文件要求签署、盖章。</w:t>
            </w:r>
          </w:p>
        </w:tc>
        <w:tc>
          <w:tcPr>
            <w:tcW w:w="3566" w:type="dxa"/>
            <w:vAlign w:val="center"/>
          </w:tcPr>
          <w:p w14:paraId="28E96A8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42B4FAD7">
            <w:pPr>
              <w:jc w:val="center"/>
              <w:rPr>
                <w:rFonts w:hint="eastAsia" w:ascii="宋体" w:hAnsi="宋体" w:eastAsia="宋体" w:cs="宋体"/>
                <w:color w:val="auto"/>
                <w:sz w:val="24"/>
                <w:highlight w:val="none"/>
              </w:rPr>
            </w:pPr>
          </w:p>
          <w:p w14:paraId="49FED5E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2A89046C">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rPr>
              <w:t>页</w:t>
            </w:r>
          </w:p>
        </w:tc>
      </w:tr>
      <w:tr w14:paraId="41C1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DAC34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14:paraId="1EF381E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响应文件中承诺的交易有效期不少于公开竞争文件中载明的交易有效期。</w:t>
            </w:r>
          </w:p>
        </w:tc>
        <w:tc>
          <w:tcPr>
            <w:tcW w:w="3566" w:type="dxa"/>
            <w:vAlign w:val="center"/>
          </w:tcPr>
          <w:p w14:paraId="332F438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交易函</w:t>
            </w:r>
          </w:p>
        </w:tc>
        <w:tc>
          <w:tcPr>
            <w:tcW w:w="1418" w:type="dxa"/>
            <w:vAlign w:val="center"/>
          </w:tcPr>
          <w:p w14:paraId="2A86A967">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rPr>
              <w:t>页</w:t>
            </w:r>
          </w:p>
        </w:tc>
      </w:tr>
      <w:tr w14:paraId="7A83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6DE79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14:paraId="1F9105E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响应文件满足公开竞争文件的其它实质性要求。</w:t>
            </w:r>
          </w:p>
        </w:tc>
        <w:tc>
          <w:tcPr>
            <w:tcW w:w="3566" w:type="dxa"/>
            <w:vAlign w:val="center"/>
          </w:tcPr>
          <w:p w14:paraId="7E54B1DD">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2FF55476">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rPr>
              <w:t>页</w:t>
            </w:r>
          </w:p>
        </w:tc>
      </w:tr>
    </w:tbl>
    <w:p w14:paraId="17B7B67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E1A5718">
      <w:pPr>
        <w:jc w:val="center"/>
        <w:rPr>
          <w:rFonts w:hint="eastAsia" w:ascii="宋体" w:hAnsi="宋体" w:eastAsia="宋体" w:cs="宋体"/>
          <w:b/>
          <w:color w:val="auto"/>
          <w:kern w:val="0"/>
          <w:sz w:val="32"/>
          <w:szCs w:val="32"/>
          <w:highlight w:val="none"/>
        </w:rPr>
      </w:pPr>
    </w:p>
    <w:p w14:paraId="2BDA2840">
      <w:pPr>
        <w:jc w:val="center"/>
        <w:rPr>
          <w:rFonts w:hint="eastAsia" w:ascii="宋体" w:hAnsi="宋体" w:eastAsia="宋体" w:cs="宋体"/>
          <w:b/>
          <w:color w:val="auto"/>
          <w:kern w:val="0"/>
          <w:sz w:val="32"/>
          <w:szCs w:val="32"/>
          <w:highlight w:val="none"/>
        </w:rPr>
      </w:pPr>
    </w:p>
    <w:p w14:paraId="10F57C56">
      <w:pPr>
        <w:rPr>
          <w:rFonts w:hint="eastAsia" w:ascii="宋体" w:hAnsi="宋体" w:eastAsia="宋体" w:cs="宋体"/>
          <w:b/>
          <w:color w:val="auto"/>
          <w:kern w:val="0"/>
          <w:sz w:val="32"/>
          <w:szCs w:val="32"/>
          <w:highlight w:val="none"/>
        </w:rPr>
      </w:pPr>
    </w:p>
    <w:p w14:paraId="6B1EA2F9">
      <w:pPr>
        <w:jc w:val="center"/>
        <w:rPr>
          <w:rFonts w:hint="eastAsia" w:ascii="宋体" w:hAnsi="宋体" w:eastAsia="宋体" w:cs="宋体"/>
          <w:b/>
          <w:color w:val="auto"/>
          <w:kern w:val="0"/>
          <w:sz w:val="32"/>
          <w:szCs w:val="32"/>
          <w:highlight w:val="none"/>
        </w:rPr>
      </w:pPr>
    </w:p>
    <w:p w14:paraId="34F83759">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五、评审标准相应的商务技术资料</w:t>
      </w:r>
    </w:p>
    <w:p w14:paraId="75DDE14A">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（按公开竞争文件第四部分交易办法前附表中“响应文件中评审标准相应的商务技术资料目录”提供资料。）</w:t>
      </w:r>
    </w:p>
    <w:p w14:paraId="4DD65A46">
      <w:pPr>
        <w:jc w:val="center"/>
        <w:rPr>
          <w:rFonts w:hint="eastAsia" w:ascii="宋体" w:hAnsi="宋体" w:eastAsia="宋体" w:cs="宋体"/>
          <w:b/>
          <w:color w:val="auto"/>
          <w:kern w:val="0"/>
          <w:sz w:val="32"/>
          <w:szCs w:val="32"/>
          <w:highlight w:val="none"/>
        </w:rPr>
      </w:pPr>
    </w:p>
    <w:p w14:paraId="5A671047">
      <w:pPr>
        <w:jc w:val="center"/>
        <w:rPr>
          <w:rFonts w:hint="eastAsia" w:ascii="宋体" w:hAnsi="宋体" w:eastAsia="宋体" w:cs="宋体"/>
          <w:b/>
          <w:color w:val="auto"/>
          <w:kern w:val="0"/>
          <w:sz w:val="32"/>
          <w:szCs w:val="32"/>
          <w:highlight w:val="none"/>
        </w:rPr>
      </w:pPr>
    </w:p>
    <w:p w14:paraId="6722034A">
      <w:pPr>
        <w:jc w:val="center"/>
        <w:rPr>
          <w:rFonts w:hint="eastAsia" w:ascii="宋体" w:hAnsi="宋体" w:eastAsia="宋体" w:cs="宋体"/>
          <w:b/>
          <w:color w:val="auto"/>
          <w:kern w:val="0"/>
          <w:sz w:val="32"/>
          <w:szCs w:val="32"/>
          <w:highlight w:val="none"/>
        </w:rPr>
      </w:pPr>
    </w:p>
    <w:p w14:paraId="0E5B7A9C">
      <w:pPr>
        <w:jc w:val="center"/>
        <w:rPr>
          <w:rFonts w:hint="eastAsia" w:ascii="宋体" w:hAnsi="宋体" w:eastAsia="宋体" w:cs="宋体"/>
          <w:b/>
          <w:color w:val="auto"/>
          <w:kern w:val="0"/>
          <w:sz w:val="32"/>
          <w:szCs w:val="32"/>
          <w:highlight w:val="none"/>
        </w:rPr>
      </w:pPr>
    </w:p>
    <w:p w14:paraId="281D83B6">
      <w:pPr>
        <w:jc w:val="center"/>
        <w:rPr>
          <w:rFonts w:hint="eastAsia" w:ascii="宋体" w:hAnsi="宋体" w:eastAsia="宋体" w:cs="宋体"/>
          <w:b/>
          <w:color w:val="auto"/>
          <w:kern w:val="0"/>
          <w:sz w:val="32"/>
          <w:szCs w:val="32"/>
          <w:highlight w:val="none"/>
        </w:rPr>
      </w:pPr>
    </w:p>
    <w:p w14:paraId="76682ED0">
      <w:pPr>
        <w:pStyle w:val="62"/>
        <w:rPr>
          <w:rFonts w:hint="eastAsia" w:ascii="宋体" w:hAnsi="宋体" w:eastAsia="宋体" w:cs="宋体"/>
          <w:b/>
          <w:color w:val="auto"/>
          <w:kern w:val="0"/>
          <w:sz w:val="32"/>
          <w:szCs w:val="32"/>
          <w:highlight w:val="none"/>
        </w:rPr>
      </w:pPr>
    </w:p>
    <w:p w14:paraId="1F1E9D3D">
      <w:pPr>
        <w:pStyle w:val="53"/>
        <w:rPr>
          <w:rFonts w:hint="eastAsia" w:ascii="宋体" w:hAnsi="宋体" w:eastAsia="宋体" w:cs="宋体"/>
          <w:color w:val="auto"/>
          <w:highlight w:val="none"/>
        </w:rPr>
      </w:pPr>
    </w:p>
    <w:p w14:paraId="41DDA1B4">
      <w:pPr>
        <w:jc w:val="center"/>
        <w:rPr>
          <w:rFonts w:hint="eastAsia" w:ascii="宋体" w:hAnsi="宋体" w:eastAsia="宋体" w:cs="宋体"/>
          <w:b/>
          <w:color w:val="auto"/>
          <w:kern w:val="0"/>
          <w:sz w:val="32"/>
          <w:szCs w:val="32"/>
          <w:highlight w:val="none"/>
        </w:rPr>
      </w:pPr>
    </w:p>
    <w:p w14:paraId="621AE9F4">
      <w:pPr>
        <w:jc w:val="center"/>
        <w:rPr>
          <w:rFonts w:hint="eastAsia" w:ascii="宋体" w:hAnsi="宋体" w:eastAsia="宋体" w:cs="宋体"/>
          <w:b/>
          <w:color w:val="auto"/>
          <w:kern w:val="0"/>
          <w:sz w:val="32"/>
          <w:szCs w:val="32"/>
          <w:highlight w:val="none"/>
        </w:rPr>
      </w:pPr>
    </w:p>
    <w:p w14:paraId="371783DA">
      <w:pPr>
        <w:jc w:val="center"/>
        <w:rPr>
          <w:rFonts w:hint="eastAsia" w:ascii="宋体" w:hAnsi="宋体" w:eastAsia="宋体" w:cs="宋体"/>
          <w:b/>
          <w:color w:val="auto"/>
          <w:kern w:val="0"/>
          <w:sz w:val="32"/>
          <w:szCs w:val="32"/>
          <w:highlight w:val="none"/>
        </w:rPr>
      </w:pPr>
    </w:p>
    <w:p w14:paraId="579235D4">
      <w:pPr>
        <w:jc w:val="center"/>
        <w:rPr>
          <w:rFonts w:hint="eastAsia" w:ascii="宋体" w:hAnsi="宋体" w:eastAsia="宋体" w:cs="宋体"/>
          <w:b/>
          <w:color w:val="auto"/>
          <w:kern w:val="0"/>
          <w:sz w:val="32"/>
          <w:szCs w:val="32"/>
          <w:highlight w:val="none"/>
        </w:rPr>
      </w:pPr>
    </w:p>
    <w:p w14:paraId="6102799A">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925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FD1FF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1121115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公开竞争文件章节及具体内容</w:t>
            </w:r>
          </w:p>
        </w:tc>
        <w:tc>
          <w:tcPr>
            <w:tcW w:w="3546" w:type="dxa"/>
          </w:tcPr>
          <w:p w14:paraId="2614759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4EA0690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630F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48F5D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0A52D53F">
            <w:pPr>
              <w:jc w:val="center"/>
              <w:rPr>
                <w:rFonts w:hint="eastAsia" w:ascii="宋体" w:hAnsi="宋体" w:eastAsia="宋体" w:cs="宋体"/>
                <w:b/>
                <w:color w:val="auto"/>
                <w:kern w:val="0"/>
                <w:sz w:val="32"/>
                <w:szCs w:val="32"/>
                <w:highlight w:val="none"/>
              </w:rPr>
            </w:pPr>
          </w:p>
        </w:tc>
        <w:tc>
          <w:tcPr>
            <w:tcW w:w="3546" w:type="dxa"/>
          </w:tcPr>
          <w:p w14:paraId="6AF0AD76">
            <w:pPr>
              <w:jc w:val="center"/>
              <w:rPr>
                <w:rFonts w:hint="eastAsia" w:ascii="宋体" w:hAnsi="宋体" w:eastAsia="宋体" w:cs="宋体"/>
                <w:b/>
                <w:color w:val="auto"/>
                <w:kern w:val="0"/>
                <w:sz w:val="32"/>
                <w:szCs w:val="32"/>
                <w:highlight w:val="none"/>
              </w:rPr>
            </w:pPr>
          </w:p>
        </w:tc>
        <w:tc>
          <w:tcPr>
            <w:tcW w:w="1276" w:type="dxa"/>
          </w:tcPr>
          <w:p w14:paraId="22CCB05C">
            <w:pPr>
              <w:jc w:val="center"/>
              <w:rPr>
                <w:rFonts w:hint="eastAsia" w:ascii="宋体" w:hAnsi="宋体" w:eastAsia="宋体" w:cs="宋体"/>
                <w:b/>
                <w:color w:val="auto"/>
                <w:kern w:val="0"/>
                <w:sz w:val="32"/>
                <w:szCs w:val="32"/>
                <w:highlight w:val="none"/>
              </w:rPr>
            </w:pPr>
          </w:p>
        </w:tc>
      </w:tr>
      <w:tr w14:paraId="7086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E2151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3D1FB411">
            <w:pPr>
              <w:jc w:val="center"/>
              <w:rPr>
                <w:rFonts w:hint="eastAsia" w:ascii="宋体" w:hAnsi="宋体" w:eastAsia="宋体" w:cs="宋体"/>
                <w:b/>
                <w:color w:val="auto"/>
                <w:kern w:val="0"/>
                <w:sz w:val="32"/>
                <w:szCs w:val="32"/>
                <w:highlight w:val="none"/>
              </w:rPr>
            </w:pPr>
          </w:p>
        </w:tc>
        <w:tc>
          <w:tcPr>
            <w:tcW w:w="3546" w:type="dxa"/>
          </w:tcPr>
          <w:p w14:paraId="24CDF2DC">
            <w:pPr>
              <w:jc w:val="center"/>
              <w:rPr>
                <w:rFonts w:hint="eastAsia" w:ascii="宋体" w:hAnsi="宋体" w:eastAsia="宋体" w:cs="宋体"/>
                <w:b/>
                <w:color w:val="auto"/>
                <w:kern w:val="0"/>
                <w:sz w:val="32"/>
                <w:szCs w:val="32"/>
                <w:highlight w:val="none"/>
              </w:rPr>
            </w:pPr>
          </w:p>
        </w:tc>
        <w:tc>
          <w:tcPr>
            <w:tcW w:w="1276" w:type="dxa"/>
          </w:tcPr>
          <w:p w14:paraId="73A9C303">
            <w:pPr>
              <w:jc w:val="center"/>
              <w:rPr>
                <w:rFonts w:hint="eastAsia" w:ascii="宋体" w:hAnsi="宋体" w:eastAsia="宋体" w:cs="宋体"/>
                <w:b/>
                <w:color w:val="auto"/>
                <w:kern w:val="0"/>
                <w:sz w:val="32"/>
                <w:szCs w:val="32"/>
                <w:highlight w:val="none"/>
              </w:rPr>
            </w:pPr>
          </w:p>
        </w:tc>
      </w:tr>
      <w:tr w14:paraId="2AC2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6999A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7698B2AF">
            <w:pPr>
              <w:jc w:val="center"/>
              <w:rPr>
                <w:rFonts w:hint="eastAsia" w:ascii="宋体" w:hAnsi="宋体" w:eastAsia="宋体" w:cs="宋体"/>
                <w:b/>
                <w:color w:val="auto"/>
                <w:kern w:val="0"/>
                <w:sz w:val="32"/>
                <w:szCs w:val="32"/>
                <w:highlight w:val="none"/>
              </w:rPr>
            </w:pPr>
          </w:p>
        </w:tc>
        <w:tc>
          <w:tcPr>
            <w:tcW w:w="3546" w:type="dxa"/>
          </w:tcPr>
          <w:p w14:paraId="573758BB">
            <w:pPr>
              <w:jc w:val="center"/>
              <w:rPr>
                <w:rFonts w:hint="eastAsia" w:ascii="宋体" w:hAnsi="宋体" w:eastAsia="宋体" w:cs="宋体"/>
                <w:b/>
                <w:color w:val="auto"/>
                <w:kern w:val="0"/>
                <w:sz w:val="32"/>
                <w:szCs w:val="32"/>
                <w:highlight w:val="none"/>
              </w:rPr>
            </w:pPr>
          </w:p>
        </w:tc>
        <w:tc>
          <w:tcPr>
            <w:tcW w:w="1276" w:type="dxa"/>
          </w:tcPr>
          <w:p w14:paraId="0CB5A97A">
            <w:pPr>
              <w:jc w:val="center"/>
              <w:rPr>
                <w:rFonts w:hint="eastAsia" w:ascii="宋体" w:hAnsi="宋体" w:eastAsia="宋体" w:cs="宋体"/>
                <w:b/>
                <w:color w:val="auto"/>
                <w:kern w:val="0"/>
                <w:sz w:val="32"/>
                <w:szCs w:val="32"/>
                <w:highlight w:val="none"/>
              </w:rPr>
            </w:pPr>
          </w:p>
        </w:tc>
      </w:tr>
    </w:tbl>
    <w:p w14:paraId="33C3D637">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响应人保证：除商务技术偏离表列出的偏离外，响应人响应公开竞争文件的全部要求</w:t>
      </w:r>
    </w:p>
    <w:p w14:paraId="306E7C8F">
      <w:pPr>
        <w:jc w:val="center"/>
        <w:rPr>
          <w:rFonts w:hint="eastAsia" w:ascii="宋体" w:hAnsi="宋体" w:eastAsia="宋体" w:cs="宋体"/>
          <w:b/>
          <w:color w:val="auto"/>
          <w:kern w:val="0"/>
          <w:sz w:val="32"/>
          <w:szCs w:val="32"/>
          <w:highlight w:val="none"/>
        </w:rPr>
      </w:pPr>
    </w:p>
    <w:p w14:paraId="1A3180A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F5A0366">
      <w:pPr>
        <w:jc w:val="center"/>
        <w:rPr>
          <w:rFonts w:hint="eastAsia" w:ascii="宋体" w:hAnsi="宋体" w:eastAsia="宋体" w:cs="宋体"/>
          <w:b/>
          <w:color w:val="auto"/>
          <w:kern w:val="0"/>
          <w:sz w:val="32"/>
          <w:szCs w:val="32"/>
          <w:highlight w:val="none"/>
        </w:rPr>
      </w:pPr>
    </w:p>
    <w:p w14:paraId="011B956D">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1C910EE">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14:paraId="0F62A813">
      <w:pPr>
        <w:snapToGrid w:val="0"/>
        <w:spacing w:line="360" w:lineRule="auto"/>
        <w:rPr>
          <w:rFonts w:hint="eastAsia" w:ascii="宋体" w:hAnsi="宋体" w:eastAsia="宋体" w:cs="宋体"/>
          <w:color w:val="auto"/>
          <w:sz w:val="24"/>
          <w:highlight w:val="none"/>
        </w:rPr>
      </w:pPr>
    </w:p>
    <w:p w14:paraId="489F4C1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2B782BE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后，我们将严格遵守国家法律法规要求，并郑重承诺：</w:t>
      </w:r>
    </w:p>
    <w:p w14:paraId="7CDF8F9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43D184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54BA989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20AD5D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08B3D17">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D4B5985">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8EC532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14:paraId="70AA122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2E60A5E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F17D44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3AB3EE7">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21201D9">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F26A1FD">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22E55BA3">
      <w:pPr>
        <w:spacing w:line="360" w:lineRule="auto"/>
        <w:jc w:val="center"/>
        <w:rPr>
          <w:rFonts w:hint="eastAsia" w:ascii="宋体" w:hAnsi="宋体" w:eastAsia="宋体" w:cs="宋体"/>
          <w:b/>
          <w:bCs/>
          <w:color w:val="auto"/>
          <w:sz w:val="24"/>
          <w:highlight w:val="none"/>
        </w:rPr>
      </w:pPr>
    </w:p>
    <w:p w14:paraId="714249C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C6E848F">
      <w:pPr>
        <w:spacing w:line="360" w:lineRule="auto"/>
        <w:jc w:val="center"/>
        <w:rPr>
          <w:rFonts w:hint="eastAsia" w:ascii="宋体" w:hAnsi="宋体" w:eastAsia="宋体" w:cs="宋体"/>
          <w:b/>
          <w:bCs/>
          <w:color w:val="auto"/>
          <w:sz w:val="24"/>
          <w:highlight w:val="none"/>
        </w:rPr>
        <w:sectPr>
          <w:pgSz w:w="11906" w:h="16838"/>
          <w:pgMar w:top="1247" w:right="1417" w:bottom="1247" w:left="1417" w:header="851" w:footer="992" w:gutter="0"/>
          <w:pgBorders>
            <w:top w:val="none" w:sz="0" w:space="0"/>
            <w:left w:val="none" w:sz="0" w:space="0"/>
            <w:bottom w:val="none" w:sz="0" w:space="0"/>
            <w:right w:val="none" w:sz="0" w:space="0"/>
          </w:pgBorders>
          <w:cols w:space="0" w:num="1"/>
          <w:docGrid w:linePitch="312" w:charSpace="0"/>
        </w:sectPr>
      </w:pPr>
    </w:p>
    <w:p w14:paraId="53DFB29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C56319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9FEE6E6">
      <w:pPr>
        <w:spacing w:line="360" w:lineRule="auto"/>
        <w:jc w:val="center"/>
        <w:outlineLvl w:val="0"/>
        <w:rPr>
          <w:rFonts w:hint="eastAsia" w:ascii="宋体" w:hAnsi="宋体" w:eastAsia="宋体" w:cs="宋体"/>
          <w:b/>
          <w:color w:val="auto"/>
          <w:kern w:val="0"/>
          <w:sz w:val="36"/>
          <w:szCs w:val="36"/>
          <w:highlight w:val="none"/>
        </w:rPr>
      </w:pPr>
    </w:p>
    <w:p w14:paraId="46D5C369">
      <w:pPr>
        <w:snapToGrid w:val="0"/>
        <w:spacing w:line="360" w:lineRule="auto"/>
        <w:rPr>
          <w:rFonts w:hint="eastAsia" w:ascii="宋体" w:hAnsi="宋体" w:eastAsia="宋体" w:cs="宋体"/>
          <w:color w:val="auto"/>
          <w:sz w:val="24"/>
          <w:highlight w:val="none"/>
        </w:rPr>
        <w:sectPr>
          <w:headerReference r:id="rId10" w:type="first"/>
          <w:footerReference r:id="rId12" w:type="first"/>
          <w:headerReference r:id="rId9" w:type="default"/>
          <w:footerReference r:id="rId11"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宋体" w:hAnsi="宋体" w:eastAsia="宋体" w:cs="宋体"/>
          <w:color w:val="auto"/>
          <w:sz w:val="24"/>
          <w:highlight w:val="none"/>
        </w:rPr>
        <w:t>（1）交易一览表（报价表）………………………………………………………（页码）</w:t>
      </w:r>
    </w:p>
    <w:p w14:paraId="2ECD0703">
      <w:pPr>
        <w:pStyle w:val="70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7B06E61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774DA75A">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15375C80">
      <w:pPr>
        <w:snapToGrid w:val="0"/>
        <w:spacing w:line="360" w:lineRule="auto"/>
        <w:ind w:lef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交易一览表（报价表）(单位均为人民币元)</w:t>
      </w:r>
    </w:p>
    <w:tbl>
      <w:tblPr>
        <w:tblStyle w:val="65"/>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355"/>
        <w:gridCol w:w="2201"/>
        <w:gridCol w:w="1586"/>
        <w:gridCol w:w="1961"/>
        <w:gridCol w:w="1663"/>
        <w:gridCol w:w="2329"/>
        <w:gridCol w:w="1701"/>
      </w:tblGrid>
      <w:tr w14:paraId="6009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337543B">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0EA05F0C">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vAlign w:val="center"/>
          </w:tcPr>
          <w:p w14:paraId="1ECE1B8A">
            <w:pPr>
              <w:spacing w:line="24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服务范围</w:t>
            </w:r>
          </w:p>
        </w:tc>
        <w:tc>
          <w:tcPr>
            <w:tcW w:w="1586" w:type="dxa"/>
            <w:tcBorders>
              <w:top w:val="single" w:color="auto" w:sz="4" w:space="0"/>
              <w:left w:val="single" w:color="auto" w:sz="4" w:space="0"/>
              <w:bottom w:val="single" w:color="auto" w:sz="4" w:space="0"/>
              <w:right w:val="single" w:color="auto" w:sz="4" w:space="0"/>
            </w:tcBorders>
            <w:vAlign w:val="center"/>
          </w:tcPr>
          <w:p w14:paraId="320EB7D7">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具体服务</w:t>
            </w:r>
          </w:p>
        </w:tc>
        <w:tc>
          <w:tcPr>
            <w:tcW w:w="1961" w:type="dxa"/>
            <w:tcBorders>
              <w:top w:val="single" w:color="auto" w:sz="4" w:space="0"/>
              <w:left w:val="single" w:color="auto" w:sz="4" w:space="0"/>
              <w:bottom w:val="single" w:color="auto" w:sz="4" w:space="0"/>
              <w:right w:val="single" w:color="auto" w:sz="4" w:space="0"/>
            </w:tcBorders>
            <w:vAlign w:val="center"/>
          </w:tcPr>
          <w:p w14:paraId="63D8E6EA">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63" w:type="dxa"/>
            <w:tcBorders>
              <w:top w:val="single" w:color="auto" w:sz="4" w:space="0"/>
              <w:left w:val="single" w:color="auto" w:sz="4" w:space="0"/>
              <w:bottom w:val="single" w:color="auto" w:sz="4" w:space="0"/>
              <w:right w:val="single" w:color="auto" w:sz="4" w:space="0"/>
            </w:tcBorders>
            <w:vAlign w:val="center"/>
          </w:tcPr>
          <w:p w14:paraId="6AA270CF">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2329" w:type="dxa"/>
            <w:tcBorders>
              <w:top w:val="single" w:color="auto" w:sz="4" w:space="0"/>
              <w:left w:val="single" w:color="auto" w:sz="4" w:space="0"/>
              <w:bottom w:val="single" w:color="auto" w:sz="4" w:space="0"/>
              <w:right w:val="single" w:color="auto" w:sz="4" w:space="0"/>
            </w:tcBorders>
            <w:vAlign w:val="center"/>
          </w:tcPr>
          <w:p w14:paraId="24E6044D">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1701" w:type="dxa"/>
            <w:tcBorders>
              <w:top w:val="single" w:color="auto" w:sz="4" w:space="0"/>
              <w:left w:val="single" w:color="auto" w:sz="4" w:space="0"/>
              <w:bottom w:val="single" w:color="auto" w:sz="4" w:space="0"/>
              <w:right w:val="single" w:color="auto" w:sz="4" w:space="0"/>
            </w:tcBorders>
            <w:vAlign w:val="center"/>
          </w:tcPr>
          <w:p w14:paraId="585F0C71">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14:paraId="26B4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7E2815D">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355" w:type="dxa"/>
            <w:tcBorders>
              <w:top w:val="single" w:color="auto" w:sz="4" w:space="0"/>
              <w:left w:val="single" w:color="auto" w:sz="4" w:space="0"/>
              <w:bottom w:val="single" w:color="auto" w:sz="4" w:space="0"/>
              <w:right w:val="single" w:color="auto" w:sz="4" w:space="0"/>
            </w:tcBorders>
            <w:vAlign w:val="center"/>
          </w:tcPr>
          <w:p w14:paraId="2F0EFEC8">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3522F14D">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56B08C3D">
            <w:pPr>
              <w:snapToGrid w:val="0"/>
              <w:spacing w:line="240" w:lineRule="auto"/>
              <w:jc w:val="center"/>
              <w:rPr>
                <w:rFonts w:hint="eastAsia" w:ascii="宋体" w:hAnsi="宋体" w:eastAsia="宋体" w:cs="宋体"/>
                <w:color w:val="auto"/>
                <w:sz w:val="24"/>
                <w:highlight w:val="none"/>
              </w:rPr>
            </w:pPr>
          </w:p>
        </w:tc>
        <w:tc>
          <w:tcPr>
            <w:tcW w:w="1961" w:type="dxa"/>
            <w:tcBorders>
              <w:top w:val="single" w:color="auto" w:sz="4" w:space="0"/>
              <w:left w:val="single" w:color="auto" w:sz="4" w:space="0"/>
              <w:bottom w:val="single" w:color="auto" w:sz="4" w:space="0"/>
              <w:right w:val="single" w:color="auto" w:sz="4" w:space="0"/>
            </w:tcBorders>
            <w:vAlign w:val="center"/>
          </w:tcPr>
          <w:p w14:paraId="7B96882C">
            <w:pPr>
              <w:snapToGrid w:val="0"/>
              <w:spacing w:line="240" w:lineRule="auto"/>
              <w:jc w:val="center"/>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7A8E0AAF">
            <w:pPr>
              <w:spacing w:line="240" w:lineRule="auto"/>
              <w:jc w:val="center"/>
              <w:rPr>
                <w:rFonts w:hint="eastAsia" w:ascii="宋体" w:hAnsi="宋体" w:eastAsia="宋体" w:cs="宋体"/>
                <w:color w:val="auto"/>
                <w:sz w:val="24"/>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1A645013">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BF5C029">
            <w:pPr>
              <w:spacing w:line="240" w:lineRule="auto"/>
              <w:jc w:val="center"/>
              <w:rPr>
                <w:rFonts w:hint="eastAsia" w:ascii="宋体" w:hAnsi="宋体" w:eastAsia="宋体" w:cs="宋体"/>
                <w:color w:val="auto"/>
                <w:sz w:val="24"/>
                <w:highlight w:val="none"/>
              </w:rPr>
            </w:pPr>
          </w:p>
        </w:tc>
      </w:tr>
      <w:tr w14:paraId="72DB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2E9F906">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355" w:type="dxa"/>
            <w:tcBorders>
              <w:top w:val="single" w:color="auto" w:sz="4" w:space="0"/>
              <w:left w:val="single" w:color="auto" w:sz="4" w:space="0"/>
              <w:bottom w:val="single" w:color="auto" w:sz="4" w:space="0"/>
              <w:right w:val="single" w:color="auto" w:sz="4" w:space="0"/>
            </w:tcBorders>
            <w:vAlign w:val="center"/>
          </w:tcPr>
          <w:p w14:paraId="5EFB0AD5">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02597050">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06A26C7E">
            <w:pPr>
              <w:snapToGrid w:val="0"/>
              <w:spacing w:line="240" w:lineRule="auto"/>
              <w:jc w:val="center"/>
              <w:rPr>
                <w:rFonts w:hint="eastAsia" w:ascii="宋体" w:hAnsi="宋体" w:eastAsia="宋体" w:cs="宋体"/>
                <w:color w:val="auto"/>
                <w:sz w:val="24"/>
                <w:highlight w:val="none"/>
              </w:rPr>
            </w:pPr>
          </w:p>
        </w:tc>
        <w:tc>
          <w:tcPr>
            <w:tcW w:w="1961" w:type="dxa"/>
            <w:tcBorders>
              <w:top w:val="single" w:color="auto" w:sz="4" w:space="0"/>
              <w:left w:val="single" w:color="auto" w:sz="4" w:space="0"/>
              <w:bottom w:val="single" w:color="auto" w:sz="4" w:space="0"/>
              <w:right w:val="single" w:color="auto" w:sz="4" w:space="0"/>
            </w:tcBorders>
            <w:vAlign w:val="center"/>
          </w:tcPr>
          <w:p w14:paraId="5C809C36">
            <w:pPr>
              <w:snapToGrid w:val="0"/>
              <w:spacing w:line="240" w:lineRule="auto"/>
              <w:jc w:val="center"/>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22E00460">
            <w:pPr>
              <w:spacing w:line="240" w:lineRule="auto"/>
              <w:jc w:val="center"/>
              <w:rPr>
                <w:rFonts w:hint="eastAsia" w:ascii="宋体" w:hAnsi="宋体" w:eastAsia="宋体" w:cs="宋体"/>
                <w:color w:val="auto"/>
                <w:sz w:val="24"/>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7DC4D8E5">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9952133">
            <w:pPr>
              <w:spacing w:line="240" w:lineRule="auto"/>
              <w:jc w:val="center"/>
              <w:rPr>
                <w:rFonts w:hint="eastAsia" w:ascii="宋体" w:hAnsi="宋体" w:eastAsia="宋体" w:cs="宋体"/>
                <w:color w:val="auto"/>
                <w:sz w:val="24"/>
                <w:highlight w:val="none"/>
              </w:rPr>
            </w:pPr>
          </w:p>
        </w:tc>
      </w:tr>
      <w:tr w14:paraId="7523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47CBBAA">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355" w:type="dxa"/>
            <w:tcBorders>
              <w:top w:val="single" w:color="auto" w:sz="4" w:space="0"/>
              <w:left w:val="single" w:color="auto" w:sz="4" w:space="0"/>
              <w:bottom w:val="single" w:color="auto" w:sz="4" w:space="0"/>
              <w:right w:val="single" w:color="auto" w:sz="4" w:space="0"/>
            </w:tcBorders>
            <w:vAlign w:val="center"/>
          </w:tcPr>
          <w:p w14:paraId="64BD4E50">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0B0CF4AE">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2B8F1D6C">
            <w:pPr>
              <w:snapToGrid w:val="0"/>
              <w:spacing w:line="240" w:lineRule="auto"/>
              <w:jc w:val="center"/>
              <w:rPr>
                <w:rFonts w:hint="eastAsia" w:ascii="宋体" w:hAnsi="宋体" w:eastAsia="宋体" w:cs="宋体"/>
                <w:color w:val="auto"/>
                <w:sz w:val="24"/>
                <w:highlight w:val="none"/>
              </w:rPr>
            </w:pPr>
          </w:p>
        </w:tc>
        <w:tc>
          <w:tcPr>
            <w:tcW w:w="1961" w:type="dxa"/>
            <w:tcBorders>
              <w:top w:val="single" w:color="auto" w:sz="4" w:space="0"/>
              <w:left w:val="single" w:color="auto" w:sz="4" w:space="0"/>
              <w:bottom w:val="single" w:color="auto" w:sz="4" w:space="0"/>
              <w:right w:val="single" w:color="auto" w:sz="4" w:space="0"/>
            </w:tcBorders>
            <w:vAlign w:val="center"/>
          </w:tcPr>
          <w:p w14:paraId="52AEF141">
            <w:pPr>
              <w:snapToGrid w:val="0"/>
              <w:spacing w:line="240" w:lineRule="auto"/>
              <w:jc w:val="center"/>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1BF42391">
            <w:pPr>
              <w:spacing w:line="240" w:lineRule="auto"/>
              <w:jc w:val="center"/>
              <w:rPr>
                <w:rFonts w:hint="eastAsia" w:ascii="宋体" w:hAnsi="宋体" w:eastAsia="宋体" w:cs="宋体"/>
                <w:color w:val="auto"/>
                <w:sz w:val="24"/>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3EE7911C">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6B03472">
            <w:pPr>
              <w:spacing w:line="240" w:lineRule="auto"/>
              <w:jc w:val="center"/>
              <w:rPr>
                <w:rFonts w:hint="eastAsia" w:ascii="宋体" w:hAnsi="宋体" w:eastAsia="宋体" w:cs="宋体"/>
                <w:color w:val="auto"/>
                <w:sz w:val="24"/>
                <w:highlight w:val="none"/>
              </w:rPr>
            </w:pPr>
          </w:p>
        </w:tc>
      </w:tr>
      <w:tr w14:paraId="5DF4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05E2A0A">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355" w:type="dxa"/>
            <w:tcBorders>
              <w:top w:val="single" w:color="auto" w:sz="4" w:space="0"/>
              <w:left w:val="single" w:color="auto" w:sz="4" w:space="0"/>
              <w:bottom w:val="single" w:color="auto" w:sz="4" w:space="0"/>
              <w:right w:val="single" w:color="auto" w:sz="4" w:space="0"/>
            </w:tcBorders>
            <w:vAlign w:val="center"/>
          </w:tcPr>
          <w:p w14:paraId="7DC054DF">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62B2E2DF">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3EF06BF9">
            <w:pPr>
              <w:snapToGrid w:val="0"/>
              <w:spacing w:line="240" w:lineRule="auto"/>
              <w:jc w:val="center"/>
              <w:rPr>
                <w:rFonts w:hint="eastAsia" w:ascii="宋体" w:hAnsi="宋体" w:eastAsia="宋体" w:cs="宋体"/>
                <w:color w:val="auto"/>
                <w:sz w:val="24"/>
                <w:highlight w:val="none"/>
              </w:rPr>
            </w:pPr>
          </w:p>
        </w:tc>
        <w:tc>
          <w:tcPr>
            <w:tcW w:w="1961" w:type="dxa"/>
            <w:tcBorders>
              <w:top w:val="single" w:color="auto" w:sz="4" w:space="0"/>
              <w:left w:val="single" w:color="auto" w:sz="4" w:space="0"/>
              <w:bottom w:val="single" w:color="auto" w:sz="4" w:space="0"/>
              <w:right w:val="single" w:color="auto" w:sz="4" w:space="0"/>
            </w:tcBorders>
            <w:vAlign w:val="center"/>
          </w:tcPr>
          <w:p w14:paraId="238895C0">
            <w:pPr>
              <w:snapToGrid w:val="0"/>
              <w:spacing w:line="240" w:lineRule="auto"/>
              <w:jc w:val="center"/>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7C979D9B">
            <w:pPr>
              <w:spacing w:line="240" w:lineRule="auto"/>
              <w:jc w:val="center"/>
              <w:rPr>
                <w:rFonts w:hint="eastAsia" w:ascii="宋体" w:hAnsi="宋体" w:eastAsia="宋体" w:cs="宋体"/>
                <w:color w:val="auto"/>
                <w:sz w:val="24"/>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418F7237">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8657334">
            <w:pPr>
              <w:spacing w:line="240" w:lineRule="auto"/>
              <w:jc w:val="center"/>
              <w:rPr>
                <w:rFonts w:hint="eastAsia" w:ascii="宋体" w:hAnsi="宋体" w:eastAsia="宋体" w:cs="宋体"/>
                <w:color w:val="auto"/>
                <w:sz w:val="24"/>
                <w:highlight w:val="none"/>
              </w:rPr>
            </w:pPr>
          </w:p>
        </w:tc>
      </w:tr>
      <w:tr w14:paraId="2105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3C0A609">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355" w:type="dxa"/>
            <w:tcBorders>
              <w:top w:val="single" w:color="auto" w:sz="4" w:space="0"/>
              <w:left w:val="single" w:color="auto" w:sz="4" w:space="0"/>
              <w:bottom w:val="single" w:color="auto" w:sz="4" w:space="0"/>
              <w:right w:val="single" w:color="auto" w:sz="4" w:space="0"/>
            </w:tcBorders>
            <w:vAlign w:val="center"/>
          </w:tcPr>
          <w:p w14:paraId="7E8D145D">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7DA3AB05">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2B1BA368">
            <w:pPr>
              <w:snapToGrid w:val="0"/>
              <w:spacing w:line="240" w:lineRule="auto"/>
              <w:jc w:val="center"/>
              <w:rPr>
                <w:rFonts w:hint="eastAsia" w:ascii="宋体" w:hAnsi="宋体" w:eastAsia="宋体" w:cs="宋体"/>
                <w:color w:val="auto"/>
                <w:sz w:val="24"/>
                <w:highlight w:val="none"/>
              </w:rPr>
            </w:pPr>
          </w:p>
        </w:tc>
        <w:tc>
          <w:tcPr>
            <w:tcW w:w="1961" w:type="dxa"/>
            <w:tcBorders>
              <w:top w:val="single" w:color="auto" w:sz="4" w:space="0"/>
              <w:left w:val="single" w:color="auto" w:sz="4" w:space="0"/>
              <w:bottom w:val="single" w:color="auto" w:sz="4" w:space="0"/>
              <w:right w:val="single" w:color="auto" w:sz="4" w:space="0"/>
            </w:tcBorders>
            <w:vAlign w:val="center"/>
          </w:tcPr>
          <w:p w14:paraId="2D2D9E45">
            <w:pPr>
              <w:snapToGrid w:val="0"/>
              <w:spacing w:line="240" w:lineRule="auto"/>
              <w:jc w:val="center"/>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77C3395C">
            <w:pPr>
              <w:spacing w:line="240" w:lineRule="auto"/>
              <w:jc w:val="center"/>
              <w:rPr>
                <w:rFonts w:hint="eastAsia" w:ascii="宋体" w:hAnsi="宋体" w:eastAsia="宋体" w:cs="宋体"/>
                <w:color w:val="auto"/>
                <w:sz w:val="24"/>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1AB4C60C">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8544071">
            <w:pPr>
              <w:spacing w:line="240" w:lineRule="auto"/>
              <w:jc w:val="center"/>
              <w:rPr>
                <w:rFonts w:hint="eastAsia" w:ascii="宋体" w:hAnsi="宋体" w:eastAsia="宋体" w:cs="宋体"/>
                <w:color w:val="auto"/>
                <w:sz w:val="24"/>
                <w:highlight w:val="none"/>
              </w:rPr>
            </w:pPr>
          </w:p>
        </w:tc>
      </w:tr>
      <w:tr w14:paraId="4665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14:paraId="1A7F014F">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14:paraId="29496779">
            <w:pPr>
              <w:spacing w:line="240" w:lineRule="auto"/>
              <w:jc w:val="center"/>
              <w:rPr>
                <w:rFonts w:hint="eastAsia" w:ascii="宋体" w:hAnsi="宋体" w:eastAsia="宋体" w:cs="宋体"/>
                <w:color w:val="auto"/>
                <w:sz w:val="24"/>
                <w:highlight w:val="none"/>
              </w:rPr>
            </w:pPr>
          </w:p>
        </w:tc>
      </w:tr>
      <w:tr w14:paraId="2E93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14:paraId="2EC74BE0">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14:paraId="61A07F55">
            <w:pPr>
              <w:spacing w:line="240" w:lineRule="auto"/>
              <w:jc w:val="center"/>
              <w:rPr>
                <w:rFonts w:hint="eastAsia" w:ascii="宋体" w:hAnsi="宋体" w:eastAsia="宋体" w:cs="宋体"/>
                <w:color w:val="auto"/>
                <w:sz w:val="24"/>
                <w:highlight w:val="none"/>
              </w:rPr>
            </w:pPr>
          </w:p>
        </w:tc>
      </w:tr>
    </w:tbl>
    <w:p w14:paraId="0B1F0A5B">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116BB6C9">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14:paraId="0B4CBBA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响应文件含有交易发起人不能接受的附加条件的，交易无效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响应文件含有交易发起人不能接受的附加条件的，交易无效。</w:t>
      </w:r>
    </w:p>
    <w:p w14:paraId="76AA578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7C1DE3E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金额等予以公示。</w:t>
      </w:r>
    </w:p>
    <w:p w14:paraId="6FF8D7EA">
      <w:pPr>
        <w:spacing w:line="360" w:lineRule="auto"/>
        <w:ind w:firstLine="482" w:firstLineChars="200"/>
        <w:rPr>
          <w:rFonts w:hint="eastAsia" w:ascii="宋体" w:hAnsi="宋体" w:eastAsia="宋体" w:cs="宋体"/>
          <w:b/>
          <w:color w:val="auto"/>
          <w:kern w:val="0"/>
          <w:sz w:val="24"/>
          <w:highlight w:val="none"/>
        </w:rPr>
      </w:pPr>
    </w:p>
    <w:p w14:paraId="04CC7BE5">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14:paraId="4E80DC12">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sectPr>
          <w:pgSz w:w="16838" w:h="11906" w:orient="landscape"/>
          <w:pgMar w:top="1417" w:right="1247" w:bottom="1417" w:left="124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0BE8639">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14:paraId="2F79F0CB">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14:paraId="02BFBA31">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一、异议响应人基本信息</w:t>
      </w:r>
    </w:p>
    <w:p w14:paraId="09E3192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14:paraId="62F8ABD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4915BB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366515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1864AC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CCDC01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89F4C6D">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二、异议项目基本情况</w:t>
      </w:r>
    </w:p>
    <w:p w14:paraId="2D38C8F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14:paraId="1E5B25E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89F3A9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14:paraId="6F3C184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公开竞争文件获取日期：</w:t>
      </w:r>
      <w:r>
        <w:rPr>
          <w:rFonts w:hint="eastAsia" w:ascii="宋体" w:hAnsi="宋体" w:cs="宋体"/>
          <w:color w:val="auto"/>
          <w:sz w:val="24"/>
          <w:highlight w:val="none"/>
          <w:u w:val="dotted"/>
        </w:rPr>
        <w:t xml:space="preserve">                                           </w:t>
      </w:r>
    </w:p>
    <w:p w14:paraId="43E2D4EF">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三、异议事项具体内容</w:t>
      </w:r>
    </w:p>
    <w:p w14:paraId="4191014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14:paraId="5058F41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EBD62E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743D78B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58837D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969C7F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异议事项2</w:t>
      </w:r>
    </w:p>
    <w:p w14:paraId="3674379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49B13E0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四、与异议事项相关的异议请求</w:t>
      </w:r>
    </w:p>
    <w:p w14:paraId="07EF291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07C419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277098D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175FE3D">
      <w:pPr>
        <w:spacing w:line="360" w:lineRule="auto"/>
        <w:jc w:val="center"/>
        <w:rPr>
          <w:rFonts w:hint="eastAsia" w:ascii="宋体" w:hAnsi="宋体" w:cs="宋体"/>
          <w:b/>
          <w:bCs/>
          <w:color w:val="auto"/>
          <w:sz w:val="24"/>
          <w:highlight w:val="none"/>
        </w:rPr>
      </w:pPr>
    </w:p>
    <w:p w14:paraId="62915AED">
      <w:pPr>
        <w:spacing w:line="360" w:lineRule="auto"/>
        <w:rPr>
          <w:rFonts w:hint="eastAsia" w:ascii="宋体" w:hAnsi="宋体" w:cs="宋体"/>
          <w:b/>
          <w:color w:val="auto"/>
          <w:sz w:val="24"/>
          <w:highlight w:val="none"/>
        </w:rPr>
      </w:pPr>
    </w:p>
    <w:p w14:paraId="1AE39757">
      <w:pPr>
        <w:spacing w:line="360" w:lineRule="auto"/>
        <w:rPr>
          <w:rFonts w:hint="eastAsia" w:ascii="宋体" w:hAnsi="宋体" w:cs="宋体"/>
          <w:b/>
          <w:color w:val="auto"/>
          <w:sz w:val="24"/>
          <w:highlight w:val="none"/>
        </w:rPr>
      </w:pPr>
    </w:p>
    <w:p w14:paraId="16D1CADB">
      <w:pPr>
        <w:spacing w:line="360" w:lineRule="auto"/>
        <w:rPr>
          <w:rFonts w:hint="eastAsia" w:ascii="宋体" w:hAnsi="宋体" w:cs="宋体"/>
          <w:b/>
          <w:color w:val="auto"/>
          <w:sz w:val="24"/>
          <w:highlight w:val="none"/>
        </w:rPr>
      </w:pPr>
    </w:p>
    <w:p w14:paraId="38B2AF0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异议函制作说明：</w:t>
      </w:r>
    </w:p>
    <w:p w14:paraId="6D7B442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14:paraId="13B70C2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14:paraId="6476AEC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14:paraId="14B6A7D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14:paraId="4AE828D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5.异议函的异议请求应与异议事项相关。</w:t>
      </w:r>
    </w:p>
    <w:p w14:paraId="43CC5C1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38620BCD">
      <w:pPr>
        <w:widowControl/>
        <w:spacing w:line="360" w:lineRule="auto"/>
        <w:ind w:firstLine="600" w:firstLineChars="200"/>
        <w:jc w:val="left"/>
        <w:rPr>
          <w:rFonts w:hint="eastAsia" w:ascii="宋体" w:hAnsi="宋体" w:cs="宋体"/>
          <w:color w:val="auto"/>
          <w:sz w:val="30"/>
          <w:szCs w:val="30"/>
          <w:highlight w:val="none"/>
        </w:rPr>
      </w:pPr>
    </w:p>
    <w:p w14:paraId="0703DD2C">
      <w:pPr>
        <w:spacing w:line="360" w:lineRule="auto"/>
        <w:jc w:val="center"/>
        <w:rPr>
          <w:rFonts w:hint="eastAsia" w:ascii="宋体" w:hAnsi="宋体" w:cs="宋体"/>
          <w:b/>
          <w:color w:val="auto"/>
          <w:spacing w:val="6"/>
          <w:sz w:val="32"/>
          <w:szCs w:val="32"/>
          <w:highlight w:val="none"/>
        </w:rPr>
      </w:pPr>
    </w:p>
    <w:p w14:paraId="74EEC59D">
      <w:pPr>
        <w:spacing w:line="360" w:lineRule="auto"/>
        <w:jc w:val="center"/>
        <w:rPr>
          <w:rFonts w:hint="eastAsia" w:ascii="宋体" w:hAnsi="宋体" w:cs="宋体"/>
          <w:b/>
          <w:color w:val="auto"/>
          <w:spacing w:val="6"/>
          <w:sz w:val="32"/>
          <w:szCs w:val="32"/>
          <w:highlight w:val="none"/>
        </w:rPr>
      </w:pPr>
    </w:p>
    <w:p w14:paraId="23AF6374">
      <w:pPr>
        <w:spacing w:line="360" w:lineRule="auto"/>
        <w:jc w:val="center"/>
        <w:rPr>
          <w:rFonts w:hint="eastAsia" w:ascii="宋体" w:hAnsi="宋体" w:cs="宋体"/>
          <w:b/>
          <w:color w:val="auto"/>
          <w:spacing w:val="6"/>
          <w:sz w:val="32"/>
          <w:szCs w:val="32"/>
          <w:highlight w:val="none"/>
        </w:rPr>
      </w:pPr>
    </w:p>
    <w:p w14:paraId="4879B14C">
      <w:pPr>
        <w:spacing w:line="360" w:lineRule="auto"/>
        <w:jc w:val="center"/>
        <w:rPr>
          <w:rFonts w:hint="eastAsia" w:ascii="宋体" w:hAnsi="宋体" w:cs="宋体"/>
          <w:b/>
          <w:color w:val="auto"/>
          <w:spacing w:val="6"/>
          <w:sz w:val="32"/>
          <w:szCs w:val="32"/>
          <w:highlight w:val="none"/>
        </w:rPr>
      </w:pPr>
    </w:p>
    <w:p w14:paraId="5CB559CA">
      <w:pPr>
        <w:spacing w:line="360" w:lineRule="auto"/>
        <w:jc w:val="center"/>
        <w:rPr>
          <w:rFonts w:hint="eastAsia" w:ascii="宋体" w:hAnsi="宋体" w:cs="宋体"/>
          <w:b/>
          <w:color w:val="auto"/>
          <w:spacing w:val="6"/>
          <w:sz w:val="32"/>
          <w:szCs w:val="32"/>
          <w:highlight w:val="none"/>
        </w:rPr>
      </w:pPr>
    </w:p>
    <w:p w14:paraId="354B16C8">
      <w:pPr>
        <w:spacing w:line="360" w:lineRule="auto"/>
        <w:jc w:val="center"/>
        <w:rPr>
          <w:rFonts w:hint="eastAsia" w:ascii="宋体" w:hAnsi="宋体" w:cs="宋体"/>
          <w:b/>
          <w:color w:val="auto"/>
          <w:spacing w:val="6"/>
          <w:sz w:val="32"/>
          <w:szCs w:val="32"/>
          <w:highlight w:val="none"/>
        </w:rPr>
      </w:pPr>
    </w:p>
    <w:p w14:paraId="619161B2">
      <w:pPr>
        <w:spacing w:line="360" w:lineRule="auto"/>
        <w:jc w:val="center"/>
        <w:rPr>
          <w:rFonts w:hint="eastAsia" w:ascii="宋体" w:hAnsi="宋体" w:cs="宋体"/>
          <w:b/>
          <w:color w:val="auto"/>
          <w:spacing w:val="6"/>
          <w:sz w:val="32"/>
          <w:szCs w:val="32"/>
          <w:highlight w:val="none"/>
        </w:rPr>
      </w:pPr>
    </w:p>
    <w:p w14:paraId="6685FB5B">
      <w:pPr>
        <w:spacing w:line="360" w:lineRule="auto"/>
        <w:jc w:val="center"/>
        <w:rPr>
          <w:rFonts w:hint="eastAsia" w:ascii="宋体" w:hAnsi="宋体" w:cs="宋体"/>
          <w:b/>
          <w:color w:val="auto"/>
          <w:spacing w:val="6"/>
          <w:sz w:val="32"/>
          <w:szCs w:val="32"/>
          <w:highlight w:val="none"/>
        </w:rPr>
      </w:pPr>
    </w:p>
    <w:p w14:paraId="7078E1C2">
      <w:pPr>
        <w:spacing w:line="360" w:lineRule="auto"/>
        <w:jc w:val="center"/>
        <w:rPr>
          <w:rFonts w:hint="eastAsia" w:ascii="宋体" w:hAnsi="宋体" w:cs="宋体"/>
          <w:b/>
          <w:color w:val="auto"/>
          <w:spacing w:val="6"/>
          <w:sz w:val="32"/>
          <w:szCs w:val="32"/>
          <w:highlight w:val="none"/>
        </w:rPr>
      </w:pPr>
    </w:p>
    <w:p w14:paraId="58B9F60C">
      <w:pPr>
        <w:spacing w:line="360" w:lineRule="auto"/>
        <w:jc w:val="center"/>
        <w:rPr>
          <w:rFonts w:hint="eastAsia" w:ascii="宋体" w:hAnsi="宋体" w:cs="宋体"/>
          <w:b/>
          <w:color w:val="auto"/>
          <w:spacing w:val="6"/>
          <w:sz w:val="32"/>
          <w:szCs w:val="32"/>
          <w:highlight w:val="none"/>
        </w:rPr>
      </w:pPr>
    </w:p>
    <w:p w14:paraId="7F833A7F">
      <w:pPr>
        <w:spacing w:line="360" w:lineRule="auto"/>
        <w:jc w:val="center"/>
        <w:rPr>
          <w:rFonts w:hint="eastAsia" w:ascii="宋体" w:hAnsi="宋体" w:cs="宋体"/>
          <w:b/>
          <w:color w:val="auto"/>
          <w:spacing w:val="6"/>
          <w:sz w:val="32"/>
          <w:szCs w:val="32"/>
          <w:highlight w:val="none"/>
        </w:rPr>
      </w:pPr>
    </w:p>
    <w:p w14:paraId="45645721">
      <w:pPr>
        <w:spacing w:line="360" w:lineRule="auto"/>
        <w:jc w:val="center"/>
        <w:rPr>
          <w:rFonts w:hint="eastAsia" w:ascii="宋体" w:hAnsi="宋体" w:cs="宋体"/>
          <w:b/>
          <w:color w:val="auto"/>
          <w:spacing w:val="6"/>
          <w:sz w:val="32"/>
          <w:szCs w:val="32"/>
          <w:highlight w:val="none"/>
        </w:rPr>
      </w:pPr>
    </w:p>
    <w:p w14:paraId="1CB520D9">
      <w:pPr>
        <w:spacing w:line="360" w:lineRule="auto"/>
        <w:jc w:val="left"/>
        <w:rPr>
          <w:rFonts w:hint="eastAsia" w:ascii="宋体" w:hAnsi="宋体" w:cs="宋体"/>
          <w:b/>
          <w:color w:val="auto"/>
          <w:spacing w:val="6"/>
          <w:sz w:val="32"/>
          <w:szCs w:val="32"/>
          <w:highlight w:val="none"/>
        </w:rPr>
      </w:pPr>
    </w:p>
    <w:p w14:paraId="3F3CC5BB">
      <w:pPr>
        <w:spacing w:line="360" w:lineRule="auto"/>
        <w:jc w:val="left"/>
        <w:rPr>
          <w:rFonts w:hint="eastAsia" w:ascii="宋体" w:hAnsi="宋体" w:cs="宋体"/>
          <w:b/>
          <w:color w:val="auto"/>
          <w:spacing w:val="6"/>
          <w:sz w:val="32"/>
          <w:szCs w:val="32"/>
          <w:highlight w:val="none"/>
        </w:rPr>
      </w:pPr>
    </w:p>
    <w:p w14:paraId="615E363A">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572D82B5">
      <w:pPr>
        <w:spacing w:line="360" w:lineRule="auto"/>
        <w:jc w:val="center"/>
        <w:rPr>
          <w:rFonts w:hint="eastAsia" w:ascii="宋体" w:hAnsi="宋体" w:cs="宋体"/>
          <w:b/>
          <w:color w:val="auto"/>
          <w:sz w:val="24"/>
          <w:highlight w:val="none"/>
        </w:rPr>
      </w:pPr>
    </w:p>
    <w:p w14:paraId="7C76F8BE">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78F376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577E445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23454C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759D36">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F7E6BB6">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C50F2D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C6363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D50C76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76C67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51B7C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BF1B3C">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08B0400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1C4B07F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1EC89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496B9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71A92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0CAC1AC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交易名称：</w:t>
      </w:r>
      <w:r>
        <w:rPr>
          <w:rFonts w:hint="eastAsia" w:ascii="宋体" w:hAnsi="宋体" w:cs="宋体"/>
          <w:color w:val="auto"/>
          <w:sz w:val="24"/>
          <w:highlight w:val="none"/>
          <w:u w:val="dotted"/>
        </w:rPr>
        <w:t xml:space="preserve">                                        </w:t>
      </w:r>
    </w:p>
    <w:p w14:paraId="00D731F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交易编号：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672890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2C214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DFFC60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C04E4A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DA6FE2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三、异议基本情况</w:t>
      </w:r>
    </w:p>
    <w:p w14:paraId="7CAA5670">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14:paraId="4650790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2C5609">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14:paraId="0B16C27A">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5E7FD60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875771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8A0085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F84A4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499B9B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9BA723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75EC6B0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6A00EB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078896C6">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E0CB64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04D46E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0E71715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98875C9">
      <w:pPr>
        <w:spacing w:line="360" w:lineRule="auto"/>
        <w:rPr>
          <w:rFonts w:hint="eastAsia" w:ascii="宋体" w:hAnsi="宋体" w:cs="宋体"/>
          <w:b/>
          <w:color w:val="auto"/>
          <w:sz w:val="24"/>
          <w:highlight w:val="none"/>
        </w:rPr>
      </w:pPr>
    </w:p>
    <w:p w14:paraId="6665BBBE">
      <w:pPr>
        <w:spacing w:line="360" w:lineRule="auto"/>
        <w:rPr>
          <w:rFonts w:hint="eastAsia" w:ascii="宋体" w:hAnsi="宋体" w:cs="宋体"/>
          <w:b/>
          <w:color w:val="auto"/>
          <w:sz w:val="24"/>
          <w:highlight w:val="none"/>
        </w:rPr>
      </w:pPr>
    </w:p>
    <w:p w14:paraId="33EFC55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44EEBEE7">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14:paraId="7834CEB1">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BC8CE1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E5B8DC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14:paraId="6DC135B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8D4D7A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0A435B8">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E15521D">
      <w:pPr>
        <w:spacing w:line="360" w:lineRule="auto"/>
        <w:rPr>
          <w:rFonts w:hint="eastAsia" w:ascii="宋体" w:hAnsi="宋体" w:eastAsia="宋体" w:cs="宋体"/>
          <w:b/>
          <w:color w:val="auto"/>
          <w:sz w:val="24"/>
          <w:highlight w:val="none"/>
        </w:rPr>
      </w:pPr>
    </w:p>
    <w:p w14:paraId="59A3E3DE">
      <w:pPr>
        <w:autoSpaceDE w:val="0"/>
        <w:autoSpaceDN w:val="0"/>
        <w:jc w:val="center"/>
        <w:rPr>
          <w:rFonts w:hint="eastAsia" w:ascii="宋体" w:hAnsi="宋体" w:eastAsia="宋体" w:cs="宋体"/>
          <w:b/>
          <w:color w:val="auto"/>
          <w:spacing w:val="6"/>
          <w:sz w:val="32"/>
          <w:szCs w:val="32"/>
          <w:highlight w:val="none"/>
        </w:rPr>
      </w:pPr>
    </w:p>
    <w:p w14:paraId="448A2917">
      <w:pPr>
        <w:autoSpaceDE w:val="0"/>
        <w:autoSpaceDN w:val="0"/>
        <w:jc w:val="left"/>
        <w:rPr>
          <w:rFonts w:hint="eastAsia" w:ascii="宋体" w:hAnsi="宋体" w:eastAsia="宋体" w:cs="宋体"/>
          <w:b/>
          <w:color w:val="auto"/>
          <w:spacing w:val="6"/>
          <w:sz w:val="32"/>
          <w:szCs w:val="32"/>
          <w:highlight w:val="none"/>
        </w:rPr>
      </w:pPr>
    </w:p>
    <w:p w14:paraId="15A16B99">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5B68733">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14:paraId="090B1074">
      <w:pPr>
        <w:autoSpaceDE w:val="0"/>
        <w:autoSpaceDN w:val="0"/>
        <w:jc w:val="center"/>
        <w:rPr>
          <w:rFonts w:hint="eastAsia" w:ascii="宋体" w:hAnsi="宋体" w:eastAsia="宋体" w:cs="宋体"/>
          <w:b/>
          <w:bCs/>
          <w:color w:val="auto"/>
          <w:sz w:val="32"/>
          <w:szCs w:val="32"/>
          <w:highlight w:val="none"/>
        </w:rPr>
      </w:pPr>
    </w:p>
    <w:p w14:paraId="2739F622">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29601728">
      <w:pPr>
        <w:spacing w:line="360" w:lineRule="auto"/>
        <w:rPr>
          <w:rFonts w:hint="eastAsia" w:ascii="宋体" w:hAnsi="宋体" w:eastAsia="宋体" w:cs="宋体"/>
          <w:color w:val="auto"/>
          <w:sz w:val="24"/>
          <w:highlight w:val="none"/>
          <w:u w:val="single"/>
        </w:rPr>
      </w:pPr>
    </w:p>
    <w:p w14:paraId="4302AC07">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（交易发起人）、（代理机构）</w:t>
      </w:r>
    </w:p>
    <w:p w14:paraId="2E57B48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B8FAF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540B7760">
      <w:pPr>
        <w:spacing w:line="360" w:lineRule="auto"/>
        <w:ind w:firstLine="494"/>
        <w:rPr>
          <w:rFonts w:hint="eastAsia" w:ascii="宋体" w:hAnsi="宋体" w:eastAsia="宋体" w:cs="宋体"/>
          <w:color w:val="auto"/>
          <w:sz w:val="24"/>
          <w:highlight w:val="none"/>
        </w:rPr>
      </w:pPr>
    </w:p>
    <w:p w14:paraId="283DEFD2">
      <w:pPr>
        <w:spacing w:line="360" w:lineRule="auto"/>
        <w:ind w:firstLine="494"/>
        <w:rPr>
          <w:rFonts w:hint="eastAsia" w:ascii="宋体" w:hAnsi="宋体" w:eastAsia="宋体" w:cs="宋体"/>
          <w:color w:val="auto"/>
          <w:sz w:val="24"/>
          <w:highlight w:val="none"/>
        </w:rPr>
      </w:pPr>
    </w:p>
    <w:p w14:paraId="0224BC13">
      <w:pPr>
        <w:spacing w:line="360" w:lineRule="auto"/>
        <w:ind w:firstLine="494"/>
        <w:rPr>
          <w:rFonts w:hint="eastAsia" w:ascii="宋体" w:hAnsi="宋体" w:eastAsia="宋体" w:cs="宋体"/>
          <w:color w:val="auto"/>
          <w:sz w:val="24"/>
          <w:highlight w:val="none"/>
        </w:rPr>
      </w:pPr>
    </w:p>
    <w:p w14:paraId="72A7D5BC">
      <w:pPr>
        <w:spacing w:line="360" w:lineRule="auto"/>
        <w:ind w:firstLine="494"/>
        <w:rPr>
          <w:rFonts w:hint="eastAsia" w:ascii="宋体" w:hAnsi="宋体" w:eastAsia="宋体" w:cs="宋体"/>
          <w:color w:val="auto"/>
          <w:sz w:val="24"/>
          <w:highlight w:val="none"/>
        </w:rPr>
      </w:pPr>
    </w:p>
    <w:p w14:paraId="056D0252">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40BC424D">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F0E45B1">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54449EEE">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txbx>
                        <w:txbxContent>
                          <w:p w14:paraId="0CC6C816">
                            <w:pPr>
                              <w:jc w:val="center"/>
                            </w:pPr>
                          </w:p>
                        </w:txbxContent>
                      </wps:txbx>
                      <wps:bodyPr vert="horz" wrap="square" lIns="91440" tIns="45720" rIns="91440" bIns="45720" anchor="t" upright="1">
                        <a:noAutofit/>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dOwWNgAAAAKAQAADwAA&#10;AAAAAAABACAAAAAiAAAAZHJzL2Rvd25yZXYueG1sUEsBAhQAFAAAAAgAh07iQFUpbaUWAgAAUAQA&#10;AA4AAAAAAAAAAQAgAAAAJwEAAGRycy9lMm9Eb2MueG1sUEsFBgAAAAAGAAYAWQEAAK8FAAAAAA==&#10;">
                <v:fill on="t" focussize="0,0"/>
                <v:stroke color="#000000" joinstyle="miter"/>
                <v:imagedata o:title=""/>
                <o:lock v:ext="edit" aspectratio="f"/>
                <v:textbox>
                  <w:txbxContent>
                    <w:p w14:paraId="0CC6C816">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6BB9C772">
      <w:pPr>
        <w:autoSpaceDE w:val="0"/>
        <w:autoSpaceDN w:val="0"/>
        <w:jc w:val="center"/>
        <w:rPr>
          <w:rFonts w:hint="eastAsia" w:ascii="宋体" w:hAnsi="宋体" w:eastAsia="宋体" w:cs="宋体"/>
          <w:b/>
          <w:color w:val="auto"/>
          <w:spacing w:val="6"/>
          <w:sz w:val="32"/>
          <w:szCs w:val="32"/>
          <w:highlight w:val="none"/>
        </w:rPr>
      </w:pPr>
    </w:p>
    <w:p w14:paraId="40824E71">
      <w:pPr>
        <w:autoSpaceDE w:val="0"/>
        <w:autoSpaceDN w:val="0"/>
        <w:jc w:val="center"/>
        <w:rPr>
          <w:rFonts w:hint="eastAsia" w:ascii="宋体" w:hAnsi="宋体" w:eastAsia="宋体" w:cs="宋体"/>
          <w:b/>
          <w:color w:val="auto"/>
          <w:spacing w:val="6"/>
          <w:sz w:val="32"/>
          <w:szCs w:val="32"/>
          <w:highlight w:val="none"/>
        </w:rPr>
      </w:pPr>
    </w:p>
    <w:p w14:paraId="7AC6068C">
      <w:pPr>
        <w:autoSpaceDE w:val="0"/>
        <w:autoSpaceDN w:val="0"/>
        <w:jc w:val="center"/>
        <w:rPr>
          <w:rFonts w:hint="eastAsia" w:ascii="宋体" w:hAnsi="宋体" w:eastAsia="宋体" w:cs="宋体"/>
          <w:b/>
          <w:color w:val="auto"/>
          <w:spacing w:val="6"/>
          <w:sz w:val="32"/>
          <w:szCs w:val="32"/>
          <w:highlight w:val="none"/>
        </w:rPr>
      </w:pPr>
    </w:p>
    <w:p w14:paraId="1B600A8A">
      <w:pPr>
        <w:autoSpaceDE w:val="0"/>
        <w:autoSpaceDN w:val="0"/>
        <w:jc w:val="center"/>
        <w:rPr>
          <w:rFonts w:hint="eastAsia" w:ascii="宋体" w:hAnsi="宋体" w:eastAsia="宋体" w:cs="宋体"/>
          <w:b/>
          <w:color w:val="auto"/>
          <w:spacing w:val="6"/>
          <w:sz w:val="32"/>
          <w:szCs w:val="32"/>
          <w:highlight w:val="none"/>
        </w:rPr>
      </w:pPr>
    </w:p>
    <w:p w14:paraId="078AD56D">
      <w:pPr>
        <w:autoSpaceDE w:val="0"/>
        <w:autoSpaceDN w:val="0"/>
        <w:jc w:val="both"/>
        <w:rPr>
          <w:rFonts w:hint="eastAsia" w:ascii="宋体" w:hAnsi="宋体" w:eastAsia="宋体" w:cs="宋体"/>
          <w:b/>
          <w:color w:val="auto"/>
          <w:spacing w:val="6"/>
          <w:sz w:val="32"/>
          <w:szCs w:val="32"/>
          <w:highlight w:val="none"/>
        </w:rPr>
      </w:pPr>
    </w:p>
    <w:sectPr>
      <w:headerReference r:id="rId14" w:type="first"/>
      <w:footerReference r:id="rId16" w:type="first"/>
      <w:headerReference r:id="rId13" w:type="default"/>
      <w:footerReference r:id="rId15"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001010101"/>
    <w:charset w:val="86"/>
    <w:family w:val="modern"/>
    <w:pitch w:val="default"/>
    <w:sig w:usb0="00000000" w:usb1="00000000" w:usb2="00000000" w:usb3="00000000" w:csb0="00040000"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005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Courier New"/>
    <w:panose1 w:val="00000000000000000000"/>
    <w:charset w:val="00"/>
    <w:family w:val="swiss"/>
    <w:pitch w:val="default"/>
    <w:sig w:usb0="00000000" w:usb1="00000000" w:usb2="00000000" w:usb3="00000000" w:csb0="00000011" w:csb1="00000000"/>
  </w:font>
  <w:font w:name="华文中宋">
    <w:altName w:val="宋体"/>
    <w:panose1 w:val="020106000400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001010101"/>
    <w:charset w:val="86"/>
    <w:family w:val="modern"/>
    <w:pitch w:val="default"/>
    <w:sig w:usb0="00000000" w:usb1="00000000" w:usb2="00000000" w:usb3="00000000" w:csb0="00040000" w:csb1="00000000"/>
  </w:font>
  <w:font w:name="Arial Narrow">
    <w:altName w:val="Arial"/>
    <w:panose1 w:val="020B06060200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002020204"/>
    <w:charset w:val="86"/>
    <w:family w:val="swiss"/>
    <w:pitch w:val="default"/>
    <w:sig w:usb0="00000000" w:usb1="00000000" w:usb2="0000003F" w:usb3="00000000" w:csb0="603F01FF" w:csb1="FFFF0000"/>
  </w:font>
  <w:font w:name="Helvetica">
    <w:altName w:val="Arial"/>
    <w:panose1 w:val="020B06040200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0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Arial"/>
    <w:panose1 w:val="020B05020200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1755A">
    <w:pPr>
      <w:spacing w:before="1" w:line="184" w:lineRule="auto"/>
      <w:ind w:right="287"/>
      <w:jc w:val="right"/>
      <w:rPr>
        <w:rFonts w:hint="eastAsia"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DD549">
    <w:pPr>
      <w:pStyle w:val="41"/>
      <w:jc w:val="center"/>
      <w:rPr>
        <w:rFonts w:ascii="仿宋_GB2312" w:eastAsia="仿宋_GB2312"/>
      </w:rPr>
    </w:pPr>
  </w:p>
  <w:p w14:paraId="0A097E9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AE586">
    <w:pPr>
      <w:spacing w:before="1" w:line="184" w:lineRule="auto"/>
      <w:ind w:right="287"/>
      <w:jc w:val="right"/>
      <w:rPr>
        <w:rFonts w:hint="eastAsia" w:ascii="宋体" w:hAnsi="宋体" w:cs="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9D612E2">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19D612E2">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706F8">
    <w:pPr>
      <w:pStyle w:val="41"/>
      <w:jc w:val="cente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60B1B66">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14:paraId="360B1B66">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rect>
          </w:pict>
        </mc:Fallback>
      </mc:AlternateContent>
    </w:r>
  </w:p>
  <w:p w14:paraId="793AFAF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DF520">
    <w:pPr>
      <w:pStyle w:val="41"/>
      <w:jc w:val="cente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9A002F4">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vert="horz" wrap="none" lIns="0" tIns="0" rIns="0" bIns="0" anchor="t">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JQmC8ywEAAJMDAAAOAAAAAAAAAAEAIAAAAB8BAABkcnMvZTJv&#10;RG9jLnhtbFBLBQYAAAAABgAGAFkBAABcBQAAAAA=&#10;">
              <v:fill on="f" focussize="0,0"/>
              <v:stroke on="f"/>
              <v:imagedata o:title=""/>
              <o:lock v:ext="edit" aspectratio="f"/>
              <v:textbox inset="0mm,0mm,0mm,0mm" style="mso-fit-shape-to-text:t;">
                <w:txbxContent>
                  <w:p w14:paraId="29A002F4">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rect>
          </w:pict>
        </mc:Fallback>
      </mc:AlternateContent>
    </w:r>
  </w:p>
  <w:p w14:paraId="7E137D7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30892">
    <w:pPr>
      <w:pStyle w:val="41"/>
      <w:jc w:val="cente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DED51E8">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vert="horz" wrap="none" lIns="0" tIns="0" rIns="0" bIns="0" anchor="t">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DiRyTJAQAAkwMAAA4AAABkcnMvZTJvRG9jLnhtbK1TS27bMBDdF+gd&#10;CO5jSUZa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pfFzmZ4oSlNz///nX+8+/8&#10;9ycr3iWLuoAlnbwPdzBlSGHS2zdg05eUsH6w9XSxVfWRSdosVsvVKoFLqs0J4WQP1wNg/Ki8ZSmo&#10;ONC7DXaK42eM49H5SOpmXFqdv9XGjNW0kyWaI7EUxX7XT2x3vj6RTJp6Am89/OCsozevuKMR58x8&#10;cmRpGo85gDnYzYFwki5WfOSF4cMhUvuBW2o2dpg40FsN6qa5SsPwOB9OPfxLm/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QOJHJMkBAACTAwAADgAAAAAAAAABACAAAAAfAQAAZHJzL2Uyb0Rv&#10;Yy54bWxQSwUGAAAAAAYABgBZAQAAWgUAAAAA&#10;">
              <v:fill on="f" focussize="0,0"/>
              <v:stroke on="f"/>
              <v:imagedata o:title=""/>
              <o:lock v:ext="edit" aspectratio="f"/>
              <v:textbox inset="0mm,0mm,0mm,0mm" style="mso-fit-shape-to-text:t;">
                <w:txbxContent>
                  <w:p w14:paraId="1DED51E8">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v:textbox>
            </v:rect>
          </w:pict>
        </mc:Fallback>
      </mc:AlternateContent>
    </w:r>
  </w:p>
  <w:p w14:paraId="4C1274C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6AE0">
    <w:pPr>
      <w:pStyle w:val="41"/>
      <w:jc w:val="center"/>
      <w:rPr>
        <w:rFonts w:ascii="仿宋_GB2312" w:eastAsia="仿宋_GB2312"/>
        <w:szCs w:val="24"/>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C974DD2">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vert="horz" wrap="none" lIns="0" tIns="0" rIns="0" bIns="0" anchor="t">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xxB23KAQAAkwMAAA4AAAAAAAAAAQAgAAAAHwEAAGRycy9lMm9E&#10;b2MueG1sUEsFBgAAAAAGAAYAWQEAAFsFAAAAAA==&#10;">
              <v:fill on="f" focussize="0,0"/>
              <v:stroke on="f"/>
              <v:imagedata o:title=""/>
              <o:lock v:ext="edit" aspectratio="f"/>
              <v:textbox inset="0mm,0mm,0mm,0mm" style="mso-fit-shape-to-text:t;">
                <w:txbxContent>
                  <w:p w14:paraId="1C974DD2">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60C2A">
    <w:pPr>
      <w:pStyle w:val="41"/>
      <w:jc w:val="cente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4B16ED8">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vert="horz" wrap="none" lIns="0" tIns="0" rIns="0" bIns="0" anchor="t">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dOgKDywEAAJMDAAAOAAAAAAAAAAEAIAAAAB8BAABkcnMvZTJv&#10;RG9jLnhtbFBLBQYAAAAABgAGAFkBAABcBQAAAAA=&#10;">
              <v:fill on="f" focussize="0,0"/>
              <v:stroke on="f"/>
              <v:imagedata o:title=""/>
              <o:lock v:ext="edit" aspectratio="f"/>
              <v:textbox inset="0mm,0mm,0mm,0mm" style="mso-fit-shape-to-text:t;">
                <w:txbxContent>
                  <w:p w14:paraId="04B16ED8">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2AE3A">
    <w:pPr>
      <w:pStyle w:val="43"/>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1E249">
    <w:pPr>
      <w:pStyle w:val="43"/>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48A23">
    <w:pPr>
      <w:pStyle w:val="43"/>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13641">
    <w:pPr>
      <w:pStyle w:val="4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04E73">
    <w:pPr>
      <w:pStyle w:val="43"/>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E31E5">
    <w:pPr>
      <w:pStyle w:val="43"/>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5"/>
      <w:numFmt w:val="chineseCounting"/>
      <w:suff w:val="space"/>
      <w:lvlText w:val="第%1部分"/>
      <w:lvlJc w:val="left"/>
      <w:rPr>
        <w:rFonts w:hint="eastAsia"/>
      </w:rPr>
    </w:lvl>
  </w:abstractNum>
  <w:abstractNum w:abstractNumId="1">
    <w:nsid w:val="00000001"/>
    <w:multiLevelType w:val="singleLevel"/>
    <w:tmpl w:val="00000001"/>
    <w:lvl w:ilvl="0" w:tentative="0">
      <w:start w:val="1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C27027"/>
    <w:rsid w:val="05696CA5"/>
    <w:rsid w:val="09C9255A"/>
    <w:rsid w:val="0CFB4011"/>
    <w:rsid w:val="20B86854"/>
    <w:rsid w:val="499C3073"/>
    <w:rsid w:val="5B507F4D"/>
    <w:rsid w:val="611567F8"/>
    <w:rsid w:val="79B3196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qFormat/>
    <w:uiPriority w:val="1"/>
  </w:style>
  <w:style w:type="table" w:default="1" w:styleId="65">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20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0"/>
    <w:qFormat/>
    <w:uiPriority w:val="0"/>
    <w:pPr>
      <w:shd w:val="clear" w:color="auto" w:fill="000080"/>
    </w:pPr>
  </w:style>
  <w:style w:type="paragraph" w:styleId="20">
    <w:name w:val="annotation text"/>
    <w:basedOn w:val="1"/>
    <w:link w:val="351"/>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7"/>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1"/>
    <w:link w:val="43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6"/>
    <w:link w:val="27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33"/>
    <w:qFormat/>
    <w:uiPriority w:val="0"/>
    <w:rPr>
      <w:rFonts w:ascii="宋体" w:hAnsi="Courier New" w:cs="Arial"/>
      <w:snapToGrid w:val="0"/>
      <w:szCs w:val="21"/>
    </w:rPr>
  </w:style>
  <w:style w:type="paragraph" w:styleId="34">
    <w:name w:val="toc 2"/>
    <w:basedOn w:val="1"/>
    <w:next w:val="1"/>
    <w:qFormat/>
    <w:uiPriority w:val="0"/>
    <w:pPr>
      <w:ind w:left="420" w:leftChars="200"/>
    </w:p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9"/>
    <w:qFormat/>
    <w:uiPriority w:val="0"/>
    <w:pPr>
      <w:ind w:left="100" w:leftChars="2500"/>
    </w:pPr>
    <w:rPr>
      <w:rFonts w:ascii="宋体"/>
      <w:sz w:val="24"/>
      <w:szCs w:val="21"/>
      <w:lang w:val="zh-CN"/>
    </w:rPr>
  </w:style>
  <w:style w:type="paragraph" w:styleId="38">
    <w:name w:val="Body Text Indent 2"/>
    <w:basedOn w:val="1"/>
    <w:link w:val="315"/>
    <w:qFormat/>
    <w:uiPriority w:val="0"/>
    <w:pPr>
      <w:spacing w:line="360" w:lineRule="auto"/>
      <w:ind w:firstLine="601"/>
      <w:textAlignment w:val="baseline"/>
    </w:pPr>
    <w:rPr>
      <w:rFonts w:ascii="宋体"/>
      <w:kern w:val="0"/>
      <w:sz w:val="28"/>
      <w:szCs w:val="20"/>
    </w:rPr>
  </w:style>
  <w:style w:type="paragraph" w:styleId="39">
    <w:name w:val="endnote text"/>
    <w:basedOn w:val="1"/>
    <w:link w:val="938"/>
    <w:qFormat/>
    <w:uiPriority w:val="0"/>
    <w:rPr>
      <w:lang w:val="zh-CN"/>
    </w:rPr>
  </w:style>
  <w:style w:type="paragraph" w:styleId="40">
    <w:name w:val="Balloon Text"/>
    <w:basedOn w:val="1"/>
    <w:link w:val="196"/>
    <w:qFormat/>
    <w:uiPriority w:val="0"/>
    <w:rPr>
      <w:sz w:val="18"/>
      <w:szCs w:val="18"/>
    </w:rPr>
  </w:style>
  <w:style w:type="paragraph" w:styleId="41">
    <w:name w:val="footer"/>
    <w:basedOn w:val="1"/>
    <w:link w:val="390"/>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7"/>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2"/>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309"/>
    <w:qFormat/>
    <w:uiPriority w:val="0"/>
    <w:pPr>
      <w:spacing w:after="120" w:line="480" w:lineRule="auto"/>
    </w:pPr>
  </w:style>
  <w:style w:type="paragraph" w:styleId="58">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4"/>
    <w:qFormat/>
    <w:uiPriority w:val="0"/>
    <w:rPr>
      <w:b/>
      <w:bCs/>
    </w:rPr>
  </w:style>
  <w:style w:type="paragraph" w:styleId="62">
    <w:name w:val="Body Text First Indent"/>
    <w:basedOn w:val="24"/>
    <w:next w:val="1"/>
    <w:link w:val="328"/>
    <w:qFormat/>
    <w:uiPriority w:val="0"/>
    <w:pPr>
      <w:ind w:firstLine="420"/>
    </w:pPr>
    <w:rPr>
      <w:rFonts w:hAnsi="Calibri" w:cs="Times New Roman"/>
      <w:snapToGrid/>
      <w:szCs w:val="20"/>
    </w:rPr>
  </w:style>
  <w:style w:type="paragraph" w:styleId="63">
    <w:name w:val="Body Text First Indent 2"/>
    <w:basedOn w:val="25"/>
    <w:next w:val="64"/>
    <w:link w:val="129"/>
    <w:qFormat/>
    <w:uiPriority w:val="0"/>
    <w:pPr>
      <w:adjustRightInd/>
      <w:spacing w:after="120" w:line="240" w:lineRule="auto"/>
      <w:ind w:left="420" w:leftChars="200" w:firstLine="210"/>
    </w:pPr>
    <w:rPr>
      <w:sz w:val="21"/>
    </w:rPr>
  </w:style>
  <w:style w:type="paragraph" w:customStyle="1" w:styleId="6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styleId="82">
    <w:name w:val="HTML Sample"/>
    <w:basedOn w:val="72"/>
    <w:qFormat/>
    <w:uiPriority w:val="0"/>
    <w:rPr>
      <w:rFonts w:ascii="Courier New" w:hAnsi="Courier New"/>
    </w:rPr>
  </w:style>
  <w:style w:type="paragraph" w:customStyle="1" w:styleId="83">
    <w:name w:val="Default"/>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样式 正文文本缩进 + 行距: 1.5 倍行距"/>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5">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7">
    <w:name w:val="[Normal]"/>
    <w:qFormat/>
    <w:uiPriority w:val="0"/>
    <w:rPr>
      <w:rFonts w:ascii="宋体" w:hAnsi="宋体" w:eastAsia="宋体" w:cs="Times New Roman"/>
      <w:sz w:val="24"/>
      <w:lang w:val="zh-CN" w:eastAsia="zh-CN" w:bidi="ar-SA"/>
    </w:rPr>
  </w:style>
  <w:style w:type="paragraph" w:styleId="88">
    <w:name w:val="List Paragraph"/>
    <w:basedOn w:val="1"/>
    <w:qFormat/>
    <w:uiPriority w:val="34"/>
    <w:pPr>
      <w:spacing w:line="360" w:lineRule="auto"/>
      <w:ind w:firstLine="200" w:firstLineChars="200"/>
    </w:pPr>
    <w:rPr>
      <w:rFonts w:eastAsia="楷体_GB2312" w:cs="Lucida Sans"/>
      <w:sz w:val="24"/>
    </w:rPr>
  </w:style>
  <w:style w:type="paragraph" w:customStyle="1" w:styleId="89">
    <w:name w:val="正文文本首行缩进 21"/>
    <w:basedOn w:val="25"/>
    <w:qFormat/>
    <w:uiPriority w:val="99"/>
    <w:pPr>
      <w:spacing w:line="200" w:lineRule="atLeast"/>
      <w:ind w:firstLine="420"/>
    </w:pPr>
    <w:rPr>
      <w:rFonts w:hAnsi="Courier New"/>
      <w:spacing w:val="-4"/>
      <w:sz w:val="18"/>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_4541bcb4-3935-442c-bed9-b8f79f6d2daf"/>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61"/>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_c22305f6-440e-491c-8e05-2108088a22b6"/>
    <w:qFormat/>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3"/>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2"/>
    <w:qFormat/>
    <w:uiPriority w:val="0"/>
    <w:rPr>
      <w:rFonts w:ascii="Arial" w:hAnsi="Arial" w:eastAsia="黑体" w:cs="Arial"/>
      <w:snapToGrid w:val="0"/>
      <w:kern w:val="0"/>
      <w:szCs w:val="21"/>
    </w:rPr>
  </w:style>
  <w:style w:type="character" w:customStyle="1" w:styleId="13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字符"/>
    <w:link w:val="49"/>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字符"/>
    <w:link w:val="7"/>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3"/>
    <w:link w:val="178"/>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字符"/>
    <w:link w:val="37"/>
    <w:qFormat/>
    <w:uiPriority w:val="0"/>
    <w:rPr>
      <w:rFonts w:ascii="宋体"/>
      <w:kern w:val="2"/>
      <w:sz w:val="24"/>
      <w:szCs w:val="21"/>
      <w:lang w:val="zh-CN"/>
    </w:rPr>
  </w:style>
  <w:style w:type="character" w:customStyle="1" w:styleId="190">
    <w:name w:val="标题 9 字符"/>
    <w:link w:val="10"/>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qFormat/>
    <w:uiPriority w:val="99"/>
    <w:rPr>
      <w:rFonts w:ascii="Times New Roman" w:hAnsi="Times New Roman" w:eastAsia="宋体" w:cs="Times New Roman"/>
      <w:szCs w:val="24"/>
    </w:rPr>
  </w:style>
  <w:style w:type="character" w:customStyle="1" w:styleId="196">
    <w:name w:val="批注框文本 字符1"/>
    <w:link w:val="40"/>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16"/>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字符"/>
    <w:link w:val="19"/>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2"/>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字符"/>
    <w:link w:val="30"/>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5"/>
    <w:link w:val="230"/>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_560bfe9c-37f3-46d8-86d8-a4281c405832"/>
    <w:qFormat/>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字符"/>
    <w:link w:val="17"/>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3"/>
    <w:qFormat/>
    <w:uiPriority w:val="0"/>
    <w:rPr>
      <w:rFonts w:ascii="仿宋_GB2312" w:eastAsia="仿宋_GB2312" w:cs="仿宋_GB2312"/>
      <w:color w:val="000000"/>
      <w:sz w:val="24"/>
      <w:szCs w:val="24"/>
      <w:lang w:val="en-US" w:eastAsia="zh-CN" w:bidi="ar-SA"/>
    </w:rPr>
  </w:style>
  <w:style w:type="paragraph" w:customStyle="1" w:styleId="24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88"/>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5"/>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_9eb7e57e-b2b4-4cad-92aa-792ad24d14cf"/>
    <w:qFormat/>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2"/>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60"/>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6"/>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1"/>
    <w:qFormat/>
    <w:uiPriority w:val="0"/>
    <w:rPr>
      <w:rFonts w:ascii="仿宋_GB2312" w:eastAsia="仿宋_GB2312"/>
      <w:kern w:val="2"/>
      <w:sz w:val="28"/>
    </w:rPr>
  </w:style>
  <w:style w:type="character" w:customStyle="1" w:styleId="306">
    <w:name w:val="文本正文 Char Char"/>
    <w:qFormat/>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字符"/>
    <w:link w:val="58"/>
    <w:qFormat/>
    <w:uiPriority w:val="0"/>
    <w:rPr>
      <w:rFonts w:ascii="黑体" w:hAnsi="Courier New" w:eastAsia="黑体"/>
    </w:rPr>
  </w:style>
  <w:style w:type="character" w:customStyle="1" w:styleId="309">
    <w:name w:val="正文文本 2 字符1"/>
    <w:link w:val="57"/>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5"/>
    <w:link w:val="420"/>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字符"/>
    <w:link w:val="8"/>
    <w:qFormat/>
    <w:uiPriority w:val="0"/>
    <w:rPr>
      <w:b/>
      <w:bCs/>
      <w:kern w:val="2"/>
      <w:sz w:val="24"/>
      <w:szCs w:val="24"/>
    </w:rPr>
  </w:style>
  <w:style w:type="character" w:customStyle="1" w:styleId="315">
    <w:name w:val="正文文本缩进 2 字符"/>
    <w:link w:val="38"/>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52"/>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文本首行缩进 字符"/>
    <w:link w:val="62"/>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字符1"/>
    <w:link w:val="5"/>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字符"/>
    <w:link w:val="22"/>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0"/>
    <w:qFormat/>
    <w:uiPriority w:val="0"/>
    <w:rPr>
      <w:kern w:val="2"/>
      <w:sz w:val="21"/>
      <w:szCs w:val="24"/>
    </w:rPr>
  </w:style>
  <w:style w:type="character" w:customStyle="1" w:styleId="352">
    <w:name w:val="签名 字符"/>
    <w:link w:val="44"/>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9"/>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5"/>
    <w:qFormat/>
    <w:uiPriority w:val="0"/>
    <w:rPr>
      <w:kern w:val="2"/>
      <w:sz w:val="24"/>
    </w:rPr>
  </w:style>
  <w:style w:type="character" w:customStyle="1" w:styleId="383">
    <w:name w:val="日期 Char1"/>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1"/>
    <w:qFormat/>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字符2"/>
    <w:link w:val="43"/>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2"/>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6"/>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2"/>
    <w:qFormat/>
    <w:uiPriority w:val="0"/>
    <w:rPr>
      <w:rFonts w:ascii="Arial" w:hAnsi="Arial" w:eastAsia="黑体" w:cs="Arial"/>
      <w:snapToGrid w:val="0"/>
      <w:kern w:val="0"/>
      <w:szCs w:val="21"/>
    </w:rPr>
  </w:style>
  <w:style w:type="character" w:customStyle="1" w:styleId="439">
    <w:name w:val="hui"/>
    <w:basedOn w:val="72"/>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5"/>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8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6"/>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33"/>
    <w:next w:val="24"/>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5"/>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3"/>
    <w:next w:val="83"/>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3"/>
    <w:next w:val="83"/>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7"/>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5"/>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8"/>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88"/>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6"/>
    <w:next w:val="1"/>
    <w:qFormat/>
    <w:uiPriority w:val="0"/>
    <w:pPr>
      <w:tabs>
        <w:tab w:val="left" w:pos="1080"/>
      </w:tabs>
      <w:ind w:left="1080" w:hanging="1080"/>
    </w:pPr>
  </w:style>
  <w:style w:type="paragraph" w:customStyle="1" w:styleId="903">
    <w:name w:val="数字标题1"/>
    <w:basedOn w:val="2"/>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0"/>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字符"/>
    <w:link w:val="39"/>
    <w:qFormat/>
    <w:uiPriority w:val="0"/>
    <w:rPr>
      <w:kern w:val="2"/>
      <w:sz w:val="21"/>
      <w:szCs w:val="24"/>
      <w:lang w:val="zh-CN"/>
    </w:rPr>
  </w:style>
  <w:style w:type="character" w:customStyle="1" w:styleId="939">
    <w:name w:val="无间隔 字符"/>
    <w:link w:val="490"/>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88"/>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2"/>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qFormat/>
    <w:uiPriority w:val="0"/>
    <w:tblPr>
      <w:tblCellMar>
        <w:top w:w="0" w:type="dxa"/>
        <w:left w:w="0" w:type="dxa"/>
        <w:bottom w:w="0" w:type="dxa"/>
        <w:right w:w="0" w:type="dxa"/>
      </w:tblCellMar>
    </w:tblPr>
  </w:style>
  <w:style w:type="character" w:customStyle="1" w:styleId="974">
    <w:name w:val="NormalCharacter"/>
    <w:qFormat/>
    <w:uiPriority w:val="0"/>
    <w:rPr>
      <w:rFonts w:ascii="Times New Roman" w:hAnsi="Times New Roman" w:eastAsia="宋体" w:cs="Times New Roman"/>
      <w:kern w:val="2"/>
      <w:sz w:val="21"/>
      <w:szCs w:val="24"/>
      <w:lang w:val="en-US" w:eastAsia="zh-CN" w:bidi="ar-SA"/>
    </w:rPr>
  </w:style>
  <w:style w:type="paragraph" w:customStyle="1" w:styleId="975">
    <w:name w:val="null3"/>
    <w:qFormat/>
    <w:uiPriority w:val="0"/>
    <w:rPr>
      <w:rFonts w:hint="eastAsia" w:ascii="Calibri" w:hAnsi="Calibri" w:eastAsia="宋体" w:cs="Times New Roman"/>
      <w:lang w:val="en-US" w:bidi="ar-SA"/>
    </w:rPr>
  </w:style>
  <w:style w:type="paragraph" w:customStyle="1" w:styleId="976">
    <w:name w:val="Normal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_Style 2"/>
    <w:basedOn w:val="1"/>
    <w:qFormat/>
    <w:uiPriority w:val="34"/>
    <w:pPr>
      <w:ind w:firstLine="420" w:firstLineChars="200"/>
    </w:pPr>
    <w:rPr>
      <w:rFonts w:ascii="等线" w:hAnsi="等线" w:eastAsia="等线"/>
      <w:szCs w:val="22"/>
    </w:rPr>
  </w:style>
  <w:style w:type="paragraph" w:customStyle="1" w:styleId="978">
    <w:name w:val="U_正文2"/>
    <w:basedOn w:val="1"/>
    <w:qFormat/>
    <w:uiPriority w:val="99"/>
    <w:pPr>
      <w:spacing w:before="10" w:beforeLines="10" w:after="10" w:afterLines="10" w:line="300" w:lineRule="auto"/>
    </w:pPr>
    <w:rPr>
      <w:sz w:val="24"/>
      <w:szCs w:val="20"/>
    </w:rPr>
  </w:style>
  <w:style w:type="paragraph" w:customStyle="1" w:styleId="979">
    <w:name w:val="Revision_b76054b5-b5ed-4d21-952c-d47e8bb4d25b"/>
    <w:qFormat/>
    <w:uiPriority w:val="99"/>
    <w:rPr>
      <w:rFonts w:ascii="Times New Roman" w:hAnsi="Times New Roman" w:eastAsia="宋体" w:cs="Times New Roman"/>
      <w:kern w:val="2"/>
      <w:sz w:val="21"/>
      <w:szCs w:val="24"/>
      <w:lang w:val="en-US" w:eastAsia="zh-CN" w:bidi="ar-SA"/>
    </w:rPr>
  </w:style>
  <w:style w:type="paragraph" w:customStyle="1" w:styleId="980">
    <w:name w:val="L_正文"/>
    <w:basedOn w:val="1"/>
    <w:qFormat/>
    <w:uiPriority w:val="0"/>
    <w:pPr>
      <w:wordWrap w:val="0"/>
      <w:jc w:val="left"/>
    </w:pPr>
    <w:rPr>
      <w:kern w:val="0"/>
      <w:szCs w:val="21"/>
      <w:lang w:val="zh-CN" w:eastAsia="zh-CN"/>
    </w:rPr>
  </w:style>
  <w:style w:type="paragraph" w:customStyle="1" w:styleId="981">
    <w:name w:val="NormalIndent"/>
    <w:basedOn w:val="1"/>
    <w:qFormat/>
    <w:uiPriority w:val="0"/>
    <w:pPr>
      <w:widowControl/>
      <w:spacing w:after="200" w:line="240" w:lineRule="auto"/>
      <w:ind w:firstLine="420" w:firstLineChars="0"/>
      <w:jc w:val="left"/>
    </w:pPr>
    <w:rPr>
      <w:rFonts w:cs="宋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41</Pages>
  <Words>16679</Words>
  <Characters>17695</Characters>
  <Paragraphs>1044</Paragraphs>
  <TotalTime>14</TotalTime>
  <ScaleCrop>false</ScaleCrop>
  <LinksUpToDate>false</LinksUpToDate>
  <CharactersWithSpaces>20872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2024-10-10T19:26:00Z</dcterms:created>
  <dc:creator>玥</dc:creator>
  <cp:lastModifiedBy>宇宇妈</cp:lastModifiedBy>
  <cp:lastPrinted>2021-12-27T11:06:00Z</cp:lastPrinted>
  <dcterms:modified xsi:type="dcterms:W3CDTF">2025-07-14T03:59:21Z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55EF0B3E3A33425FB8DED68673572599_13</vt:lpwstr>
  </property>
  <property fmtid="{D5CDD505-2E9C-101B-9397-08002B2CF9AE}" pid="5" name="commondata">
    <vt:lpwstr>eyJoZGlkIjoiMzdkYTNjODAzOWEyZTBjZWI2OWE0Y2U2MTNhOGNiNmUifQ==</vt:lpwstr>
  </property>
  <property fmtid="{D5CDD505-2E9C-101B-9397-08002B2CF9AE}" pid="6" name="KSOTemplateDocerSaveRecord">
    <vt:lpwstr>eyJoZGlkIjoiZWFlNWIyYmVlZTQ4ODhiOGMwMTQwYTdiMzkzMjJkZmEiLCJ1c2VySWQiOiI5ODY5MTE5NjQifQ==</vt:lpwstr>
  </property>
</Properties>
</file>