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7C03A">
      <w:pPr>
        <w:spacing w:line="360" w:lineRule="auto"/>
        <w:jc w:val="center"/>
        <w:rPr>
          <w:rFonts w:hint="eastAsia" w:asciiTheme="minorEastAsia" w:hAnsiTheme="minorEastAsia" w:eastAsiaTheme="minorEastAsia" w:cstheme="minorEastAsia"/>
          <w:b/>
          <w:sz w:val="44"/>
          <w:szCs w:val="44"/>
        </w:rPr>
      </w:pPr>
    </w:p>
    <w:p w14:paraId="54EE6F0D">
      <w:pPr>
        <w:pStyle w:val="28"/>
        <w:widowControl w:val="0"/>
        <w:snapToGrid w:val="0"/>
        <w:spacing w:line="360" w:lineRule="auto"/>
        <w:ind w:firstLine="0"/>
        <w:jc w:val="center"/>
        <w:rPr>
          <w:rFonts w:hint="eastAsia" w:asciiTheme="minorEastAsia" w:hAnsiTheme="minorEastAsia" w:eastAsiaTheme="minorEastAsia" w:cstheme="minorEastAsia"/>
          <w:color w:val="auto"/>
          <w:sz w:val="48"/>
          <w:szCs w:val="48"/>
        </w:rPr>
      </w:pPr>
    </w:p>
    <w:p w14:paraId="63175A0E">
      <w:pPr>
        <w:pStyle w:val="28"/>
        <w:widowControl w:val="0"/>
        <w:snapToGrid w:val="0"/>
        <w:spacing w:line="360" w:lineRule="auto"/>
        <w:ind w:firstLine="0"/>
        <w:jc w:val="center"/>
        <w:rPr>
          <w:rFonts w:hint="eastAsia" w:asciiTheme="minorEastAsia" w:hAnsiTheme="minorEastAsia" w:eastAsiaTheme="minorEastAsia" w:cstheme="minorEastAsia"/>
          <w:bCs/>
          <w:color w:val="auto"/>
          <w:sz w:val="48"/>
          <w:szCs w:val="48"/>
        </w:rPr>
      </w:pPr>
      <w:r>
        <w:rPr>
          <w:rFonts w:hint="eastAsia" w:asciiTheme="minorEastAsia" w:hAnsiTheme="minorEastAsia" w:eastAsiaTheme="minorEastAsia" w:cstheme="minorEastAsia"/>
          <w:color w:val="auto"/>
          <w:sz w:val="48"/>
          <w:szCs w:val="48"/>
        </w:rPr>
        <w:t>杭州市美术职业学校数字底座项目</w:t>
      </w:r>
    </w:p>
    <w:p w14:paraId="61254A54">
      <w:pPr>
        <w:spacing w:line="360" w:lineRule="auto"/>
        <w:jc w:val="center"/>
        <w:rPr>
          <w:rFonts w:hint="eastAsia" w:asciiTheme="minorEastAsia" w:hAnsiTheme="minorEastAsia" w:eastAsiaTheme="minorEastAsia" w:cstheme="minorEastAsia"/>
          <w:sz w:val="48"/>
          <w:szCs w:val="48"/>
        </w:rPr>
      </w:pPr>
    </w:p>
    <w:p w14:paraId="76F8DE57">
      <w:pPr>
        <w:pStyle w:val="9"/>
        <w:rPr>
          <w:rFonts w:hint="eastAsia" w:asciiTheme="minorEastAsia" w:hAnsiTheme="minorEastAsia" w:eastAsiaTheme="minorEastAsia" w:cstheme="minorEastAsia"/>
        </w:rPr>
      </w:pPr>
    </w:p>
    <w:p w14:paraId="3CD74306">
      <w:pPr>
        <w:spacing w:line="360" w:lineRule="auto"/>
        <w:jc w:val="center"/>
        <w:rPr>
          <w:rFonts w:hint="eastAsia" w:asciiTheme="minorEastAsia" w:hAnsiTheme="minorEastAsia" w:eastAsiaTheme="minorEastAsia" w:cstheme="minorEastAsia"/>
          <w:sz w:val="48"/>
          <w:szCs w:val="48"/>
        </w:rPr>
      </w:pPr>
    </w:p>
    <w:p w14:paraId="222F62AF">
      <w:pPr>
        <w:spacing w:line="360" w:lineRule="auto"/>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72"/>
          <w:szCs w:val="72"/>
        </w:rPr>
        <w:t>招标文件</w:t>
      </w:r>
      <w:r>
        <w:rPr>
          <w:rFonts w:hint="eastAsia" w:asciiTheme="minorEastAsia" w:hAnsiTheme="minorEastAsia" w:eastAsiaTheme="minorEastAsia" w:cstheme="minorEastAsia"/>
          <w:sz w:val="48"/>
          <w:szCs w:val="48"/>
        </w:rPr>
        <w:t xml:space="preserve"> </w:t>
      </w:r>
      <w:bookmarkStart w:id="556" w:name="_GoBack"/>
      <w:bookmarkEnd w:id="556"/>
    </w:p>
    <w:p w14:paraId="5A9DB829">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r>
        <w:rPr>
          <w:rFonts w:hint="eastAsia" w:ascii="宋体" w:hAnsi="宋体" w:cs="宋体"/>
          <w:b/>
          <w:bCs/>
          <w:sz w:val="28"/>
          <w:szCs w:val="28"/>
        </w:rPr>
        <w:t>非政府采购项目-</w:t>
      </w:r>
      <w:r>
        <w:rPr>
          <w:rFonts w:hint="eastAsia" w:asciiTheme="minorEastAsia" w:hAnsiTheme="minorEastAsia" w:eastAsiaTheme="minorEastAsia" w:cstheme="minorEastAsia"/>
          <w:b/>
          <w:sz w:val="28"/>
          <w:szCs w:val="28"/>
        </w:rPr>
        <w:t>电子招投标）</w:t>
      </w:r>
    </w:p>
    <w:p w14:paraId="30C65CBC">
      <w:pPr>
        <w:snapToGrid w:val="0"/>
        <w:spacing w:line="360" w:lineRule="auto"/>
        <w:jc w:val="center"/>
        <w:rPr>
          <w:rFonts w:hint="eastAsia" w:asciiTheme="minorEastAsia" w:hAnsiTheme="minorEastAsia" w:eastAsiaTheme="minorEastAsia" w:cstheme="minorEastAsia"/>
          <w:sz w:val="28"/>
          <w:szCs w:val="28"/>
        </w:rPr>
      </w:pPr>
    </w:p>
    <w:p w14:paraId="500FB2E5">
      <w:pPr>
        <w:snapToGrid w:val="0"/>
        <w:spacing w:line="360" w:lineRule="auto"/>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项目编号：</w:t>
      </w:r>
      <w:r>
        <w:rPr>
          <w:rFonts w:hint="eastAsia" w:asciiTheme="minorEastAsia" w:hAnsiTheme="minorEastAsia" w:eastAsiaTheme="minorEastAsia" w:cstheme="minorEastAsia"/>
          <w:sz w:val="28"/>
          <w:szCs w:val="28"/>
          <w:highlight w:val="none"/>
          <w:lang w:eastAsia="zh-CN"/>
        </w:rPr>
        <w:t>MSZX-2025-00</w:t>
      </w:r>
      <w:r>
        <w:rPr>
          <w:rFonts w:hint="eastAsia" w:asciiTheme="minorEastAsia" w:hAnsiTheme="minorEastAsia" w:eastAsiaTheme="minorEastAsia" w:cstheme="minorEastAsia"/>
          <w:sz w:val="28"/>
          <w:szCs w:val="28"/>
          <w:highlight w:val="none"/>
          <w:lang w:eastAsia="zh-CN"/>
        </w:rPr>
        <w:t>7</w:t>
      </w:r>
    </w:p>
    <w:p w14:paraId="2F896962">
      <w:pPr>
        <w:spacing w:line="360" w:lineRule="auto"/>
        <w:rPr>
          <w:rFonts w:hint="eastAsia" w:asciiTheme="minorEastAsia" w:hAnsiTheme="minorEastAsia" w:eastAsiaTheme="minorEastAsia" w:cstheme="minorEastAsia"/>
          <w:sz w:val="28"/>
          <w:szCs w:val="20"/>
        </w:rPr>
      </w:pPr>
    </w:p>
    <w:p w14:paraId="444B1CB2">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44"/>
          <w:szCs w:val="44"/>
        </w:rPr>
        <w:t xml:space="preserve"> </w:t>
      </w:r>
    </w:p>
    <w:p w14:paraId="7AD54FFC">
      <w:pPr>
        <w:spacing w:line="360" w:lineRule="auto"/>
        <w:rPr>
          <w:rFonts w:hint="eastAsia" w:asciiTheme="minorEastAsia" w:hAnsiTheme="minorEastAsia" w:eastAsiaTheme="minorEastAsia" w:cstheme="minorEastAsia"/>
          <w:sz w:val="32"/>
          <w:szCs w:val="32"/>
        </w:rPr>
      </w:pPr>
    </w:p>
    <w:p w14:paraId="32DC03F9">
      <w:pPr>
        <w:rPr>
          <w:rFonts w:hint="eastAsia" w:asciiTheme="minorEastAsia" w:hAnsiTheme="minorEastAsia" w:eastAsiaTheme="minorEastAsia" w:cstheme="minorEastAsia"/>
          <w:sz w:val="32"/>
          <w:szCs w:val="32"/>
        </w:rPr>
      </w:pPr>
    </w:p>
    <w:p w14:paraId="66E5CB14">
      <w:pPr>
        <w:pStyle w:val="9"/>
        <w:ind w:firstLine="640"/>
        <w:rPr>
          <w:rFonts w:hint="eastAsia" w:asciiTheme="minorEastAsia" w:hAnsiTheme="minorEastAsia" w:eastAsiaTheme="minorEastAsia" w:cstheme="minorEastAsia"/>
          <w:sz w:val="32"/>
          <w:szCs w:val="32"/>
        </w:rPr>
      </w:pPr>
    </w:p>
    <w:p w14:paraId="3129FAD5">
      <w:pPr>
        <w:rPr>
          <w:rFonts w:hint="eastAsia" w:asciiTheme="minorEastAsia" w:hAnsiTheme="minorEastAsia" w:eastAsiaTheme="minorEastAsia" w:cstheme="minorEastAsia"/>
        </w:rPr>
      </w:pPr>
    </w:p>
    <w:p w14:paraId="44AF1DFF">
      <w:pPr>
        <w:snapToGrid w:val="0"/>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杭州市美术职业学校</w:t>
      </w:r>
    </w:p>
    <w:p w14:paraId="18283298">
      <w:pPr>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杭州洲源招标代理有限公司</w:t>
      </w:r>
    </w:p>
    <w:p w14:paraId="1034E89C">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32"/>
          <w:szCs w:val="32"/>
        </w:rPr>
        <w:t>二〇二五年七月</w:t>
      </w:r>
      <w:r>
        <w:rPr>
          <w:rFonts w:hint="eastAsia" w:asciiTheme="minorEastAsia" w:hAnsiTheme="minorEastAsia" w:eastAsiaTheme="minorEastAsia" w:cstheme="minorEastAsia"/>
          <w:sz w:val="24"/>
        </w:rPr>
        <w:br w:type="page"/>
      </w:r>
      <w:bookmarkStart w:id="0" w:name="_Hlt67893495"/>
      <w:bookmarkEnd w:id="0"/>
    </w:p>
    <w:p w14:paraId="0E8E3FDC">
      <w:pPr>
        <w:pStyle w:val="29"/>
        <w:rPr>
          <w:rFonts w:hint="eastAsia" w:asciiTheme="minorEastAsia" w:hAnsiTheme="minorEastAsia" w:eastAsiaTheme="minorEastAsia" w:cstheme="minorEastAsia"/>
        </w:rPr>
      </w:pPr>
    </w:p>
    <w:p w14:paraId="1E242820">
      <w:pPr>
        <w:spacing w:line="360" w:lineRule="auto"/>
        <w:jc w:val="center"/>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目  录</w:t>
      </w:r>
    </w:p>
    <w:p w14:paraId="07C94970">
      <w:pPr>
        <w:spacing w:line="360" w:lineRule="auto"/>
        <w:rPr>
          <w:rFonts w:hint="eastAsia" w:asciiTheme="minorEastAsia" w:hAnsiTheme="minorEastAsia" w:eastAsiaTheme="minorEastAsia" w:cstheme="minorEastAsia"/>
          <w:sz w:val="32"/>
          <w:szCs w:val="32"/>
        </w:rPr>
      </w:pPr>
    </w:p>
    <w:p w14:paraId="488360BA">
      <w:pPr>
        <w:spacing w:line="360" w:lineRule="auto"/>
        <w:rPr>
          <w:rFonts w:hint="eastAsia" w:asciiTheme="minorEastAsia" w:hAnsiTheme="minorEastAsia" w:eastAsiaTheme="minorEastAsia" w:cstheme="minorEastAsia"/>
          <w:sz w:val="32"/>
          <w:szCs w:val="32"/>
        </w:rPr>
      </w:pPr>
    </w:p>
    <w:p w14:paraId="4C545839">
      <w:pPr>
        <w:spacing w:line="480" w:lineRule="auto"/>
        <w:ind w:firstLine="2880" w:firstLineChars="9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      招标公告</w:t>
      </w:r>
    </w:p>
    <w:p w14:paraId="2EE4805E">
      <w:pPr>
        <w:spacing w:line="480" w:lineRule="auto"/>
        <w:ind w:firstLine="2880" w:firstLineChars="9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投标人须知</w:t>
      </w:r>
    </w:p>
    <w:p w14:paraId="67A2F0EB">
      <w:pPr>
        <w:spacing w:line="480" w:lineRule="auto"/>
        <w:ind w:firstLine="2880" w:firstLineChars="9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      采购需求</w:t>
      </w:r>
    </w:p>
    <w:p w14:paraId="61E5ABF3">
      <w:pPr>
        <w:spacing w:line="480" w:lineRule="auto"/>
        <w:ind w:firstLine="2880" w:firstLineChars="9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评标办法</w:t>
      </w:r>
    </w:p>
    <w:p w14:paraId="19F8E1D2">
      <w:pPr>
        <w:spacing w:line="480" w:lineRule="auto"/>
        <w:ind w:firstLine="2880" w:firstLineChars="9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第五部分      拟签订的合同文本</w:t>
      </w:r>
    </w:p>
    <w:p w14:paraId="7A93726B">
      <w:pPr>
        <w:spacing w:line="480" w:lineRule="auto"/>
        <w:ind w:firstLine="2880" w:firstLineChars="9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第六部分      应提交的有关格式范例</w:t>
      </w:r>
    </w:p>
    <w:p w14:paraId="6BAD558D">
      <w:pPr>
        <w:spacing w:line="360" w:lineRule="auto"/>
        <w:ind w:firstLine="549" w:firstLineChars="229"/>
        <w:rPr>
          <w:rFonts w:hint="eastAsia" w:asciiTheme="minorEastAsia" w:hAnsiTheme="minorEastAsia" w:eastAsiaTheme="minorEastAsia" w:cstheme="minorEastAsia"/>
          <w:sz w:val="24"/>
        </w:rPr>
      </w:pPr>
      <w:bookmarkStart w:id="1" w:name="_Hlt91233176"/>
      <w:bookmarkEnd w:id="1"/>
      <w:bookmarkStart w:id="2" w:name="_Toc91899869"/>
    </w:p>
    <w:p w14:paraId="6095FB5E">
      <w:pPr>
        <w:spacing w:line="360" w:lineRule="auto"/>
        <w:ind w:firstLine="549" w:firstLineChars="229"/>
        <w:rPr>
          <w:rFonts w:hint="eastAsia" w:asciiTheme="minorEastAsia" w:hAnsiTheme="minorEastAsia" w:eastAsiaTheme="minorEastAsia" w:cstheme="minorEastAsia"/>
          <w:sz w:val="24"/>
        </w:rPr>
      </w:pPr>
    </w:p>
    <w:p w14:paraId="75A02AFF">
      <w:pPr>
        <w:spacing w:line="360" w:lineRule="auto"/>
        <w:ind w:firstLine="549" w:firstLineChars="229"/>
        <w:rPr>
          <w:rFonts w:hint="eastAsia" w:asciiTheme="minorEastAsia" w:hAnsiTheme="minorEastAsia" w:eastAsiaTheme="minorEastAsia" w:cstheme="minorEastAsia"/>
          <w:sz w:val="24"/>
        </w:rPr>
      </w:pPr>
    </w:p>
    <w:p w14:paraId="3CB3D311">
      <w:pPr>
        <w:spacing w:line="360" w:lineRule="auto"/>
        <w:ind w:firstLine="549" w:firstLineChars="229"/>
        <w:rPr>
          <w:rFonts w:hint="eastAsia" w:asciiTheme="minorEastAsia" w:hAnsiTheme="minorEastAsia" w:eastAsiaTheme="minorEastAsia" w:cstheme="minorEastAsia"/>
          <w:sz w:val="24"/>
        </w:rPr>
      </w:pPr>
    </w:p>
    <w:p w14:paraId="5A9C5B92">
      <w:pPr>
        <w:spacing w:line="360" w:lineRule="auto"/>
        <w:ind w:firstLine="549" w:firstLineChars="229"/>
        <w:rPr>
          <w:rFonts w:hint="eastAsia" w:asciiTheme="minorEastAsia" w:hAnsiTheme="minorEastAsia" w:eastAsiaTheme="minorEastAsia" w:cstheme="minorEastAsia"/>
          <w:sz w:val="24"/>
        </w:rPr>
      </w:pPr>
    </w:p>
    <w:p w14:paraId="735DBAFB">
      <w:pPr>
        <w:spacing w:line="360" w:lineRule="auto"/>
        <w:ind w:firstLine="549" w:firstLineChars="229"/>
        <w:rPr>
          <w:rFonts w:hint="eastAsia" w:asciiTheme="minorEastAsia" w:hAnsiTheme="minorEastAsia" w:eastAsiaTheme="minorEastAsia" w:cstheme="minorEastAsia"/>
          <w:sz w:val="24"/>
        </w:rPr>
      </w:pPr>
    </w:p>
    <w:p w14:paraId="359F898F">
      <w:pPr>
        <w:spacing w:line="360" w:lineRule="auto"/>
        <w:ind w:firstLine="549" w:firstLineChars="229"/>
        <w:rPr>
          <w:rFonts w:hint="eastAsia" w:asciiTheme="minorEastAsia" w:hAnsiTheme="minorEastAsia" w:eastAsiaTheme="minorEastAsia" w:cstheme="minorEastAsia"/>
          <w:sz w:val="24"/>
        </w:rPr>
      </w:pPr>
    </w:p>
    <w:p w14:paraId="745996C0">
      <w:pPr>
        <w:spacing w:line="360" w:lineRule="auto"/>
        <w:ind w:firstLine="549" w:firstLineChars="229"/>
        <w:rPr>
          <w:rFonts w:hint="eastAsia" w:asciiTheme="minorEastAsia" w:hAnsiTheme="minorEastAsia" w:eastAsiaTheme="minorEastAsia" w:cstheme="minorEastAsia"/>
          <w:sz w:val="24"/>
        </w:rPr>
      </w:pPr>
    </w:p>
    <w:p w14:paraId="0C6AF6F7">
      <w:pPr>
        <w:spacing w:line="360" w:lineRule="auto"/>
        <w:ind w:firstLine="549" w:firstLineChars="229"/>
        <w:rPr>
          <w:rFonts w:hint="eastAsia" w:asciiTheme="minorEastAsia" w:hAnsiTheme="minorEastAsia" w:eastAsiaTheme="minorEastAsia" w:cstheme="minorEastAsia"/>
          <w:sz w:val="24"/>
        </w:rPr>
      </w:pPr>
    </w:p>
    <w:p w14:paraId="63F1703B">
      <w:pPr>
        <w:spacing w:line="360" w:lineRule="auto"/>
        <w:ind w:firstLine="549" w:firstLineChars="229"/>
        <w:rPr>
          <w:rFonts w:hint="eastAsia" w:asciiTheme="minorEastAsia" w:hAnsiTheme="minorEastAsia" w:eastAsiaTheme="minorEastAsia" w:cstheme="minorEastAsia"/>
          <w:sz w:val="24"/>
        </w:rPr>
      </w:pPr>
    </w:p>
    <w:p w14:paraId="46857D22">
      <w:pPr>
        <w:spacing w:line="360" w:lineRule="auto"/>
        <w:rPr>
          <w:rFonts w:hint="eastAsia" w:asciiTheme="minorEastAsia" w:hAnsiTheme="minorEastAsia" w:eastAsiaTheme="minorEastAsia" w:cstheme="minorEastAsia"/>
          <w:sz w:val="24"/>
        </w:rPr>
      </w:pPr>
    </w:p>
    <w:p w14:paraId="1A8E0CDF">
      <w:pPr>
        <w:spacing w:line="360" w:lineRule="auto"/>
        <w:jc w:val="center"/>
        <w:outlineLvl w:val="0"/>
        <w:rPr>
          <w:rFonts w:hint="eastAsia" w:asciiTheme="minorEastAsia" w:hAnsiTheme="minorEastAsia" w:eastAsiaTheme="minorEastAsia" w:cstheme="minorEastAsia"/>
          <w:b/>
          <w:sz w:val="36"/>
          <w:szCs w:val="20"/>
        </w:rPr>
      </w:pPr>
      <w:bookmarkStart w:id="3" w:name="第一部分"/>
      <w:r>
        <w:rPr>
          <w:rFonts w:hint="eastAsia" w:asciiTheme="minorEastAsia" w:hAnsiTheme="minorEastAsia" w:eastAsiaTheme="minorEastAsia" w:cstheme="minorEastAsia"/>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sz w:val="36"/>
          <w:szCs w:val="20"/>
        </w:rPr>
        <w:t>第一部分 招标公告</w:t>
      </w:r>
    </w:p>
    <w:p w14:paraId="0CCEED7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项目概况</w:t>
      </w:r>
    </w:p>
    <w:p w14:paraId="230A57A0">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杭州市美术职业学校数字底座项目</w:t>
      </w:r>
      <w:r>
        <w:rPr>
          <w:rFonts w:hint="eastAsia" w:ascii="宋体" w:hAnsi="宋体" w:cs="宋体"/>
          <w:sz w:val="24"/>
        </w:rPr>
        <w:t>招标项目的潜在投标人应在乐采云平台（</w:t>
      </w:r>
      <w:r>
        <w:rPr>
          <w:rFonts w:hint="eastAsia" w:ascii="宋体" w:hAnsi="宋体" w:cs="宋体"/>
          <w:bCs/>
          <w:sz w:val="24"/>
        </w:rPr>
        <w:t>https://hzjyg.lecaiyun.com/</w:t>
      </w:r>
      <w:r>
        <w:rPr>
          <w:rFonts w:hint="eastAsia" w:ascii="宋体" w:hAnsi="宋体" w:cs="宋体"/>
          <w:sz w:val="24"/>
        </w:rPr>
        <w:t>）</w:t>
      </w:r>
      <w:r>
        <w:fldChar w:fldCharType="begin"/>
      </w:r>
      <w:r>
        <w:instrText xml:space="preserve"> HYPERLINK "https://www.zcygov.cn/）获取（下载）招标文件，并于2021年" </w:instrText>
      </w:r>
      <w:r>
        <w:fldChar w:fldCharType="separate"/>
      </w:r>
      <w:r>
        <w:rPr>
          <w:rStyle w:val="23"/>
          <w:rFonts w:hint="eastAsia" w:ascii="宋体" w:hAnsi="宋体" w:eastAsia="宋体" w:cs="宋体"/>
          <w:snapToGrid/>
          <w:color w:val="auto"/>
          <w:kern w:val="2"/>
          <w:sz w:val="24"/>
          <w:szCs w:val="24"/>
        </w:rPr>
        <w:t>获取（下载）招标文件，并于</w:t>
      </w:r>
      <w:r>
        <w:rPr>
          <w:rFonts w:hint="eastAsia" w:ascii="宋体" w:hAnsi="宋体" w:cs="宋体"/>
          <w:sz w:val="24"/>
        </w:rPr>
        <w:t>2025年</w:t>
      </w:r>
      <w:r>
        <w:rPr>
          <w:rFonts w:hint="eastAsia" w:ascii="宋体" w:hAnsi="宋体" w:cs="宋体"/>
          <w:sz w:val="24"/>
          <w:lang w:val="en-US" w:eastAsia="zh-CN"/>
        </w:rPr>
        <w:t>08</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w:t>
      </w:r>
      <w:r>
        <w:rPr>
          <w:rFonts w:hint="eastAsia" w:ascii="宋体" w:hAnsi="宋体" w:cs="宋体"/>
          <w:sz w:val="24"/>
        </w:rPr>
        <w:fldChar w:fldCharType="end"/>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w:t>
      </w:r>
      <w:r>
        <w:rPr>
          <w:rFonts w:hint="eastAsia" w:ascii="宋体" w:hAnsi="宋体" w:cs="宋体"/>
          <w:bCs/>
          <w:sz w:val="24"/>
        </w:rPr>
        <w:t>（北京时间）前</w:t>
      </w:r>
      <w:r>
        <w:rPr>
          <w:rFonts w:hint="eastAsia" w:ascii="宋体" w:hAnsi="宋体" w:cs="宋体"/>
          <w:sz w:val="24"/>
        </w:rPr>
        <w:t>递交（上传）投标文件。</w:t>
      </w:r>
    </w:p>
    <w:p w14:paraId="3504780F">
      <w:pPr>
        <w:spacing w:line="360" w:lineRule="auto"/>
        <w:rPr>
          <w:rFonts w:hint="eastAsia" w:asciiTheme="minorEastAsia" w:hAnsiTheme="minorEastAsia" w:eastAsiaTheme="minorEastAsia" w:cstheme="minorEastAsia"/>
          <w:b/>
          <w:sz w:val="24"/>
        </w:rPr>
      </w:pPr>
    </w:p>
    <w:p w14:paraId="6854C214">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一、项目基本情况                                            </w:t>
      </w:r>
    </w:p>
    <w:p w14:paraId="684B9014">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项目编号：</w:t>
      </w:r>
      <w:r>
        <w:rPr>
          <w:rFonts w:hint="eastAsia" w:asciiTheme="minorEastAsia" w:hAnsiTheme="minorEastAsia" w:eastAsiaTheme="minorEastAsia" w:cstheme="minorEastAsia"/>
          <w:sz w:val="24"/>
          <w:lang w:eastAsia="zh-CN"/>
        </w:rPr>
        <w:t>MSZX-2025-007</w:t>
      </w:r>
    </w:p>
    <w:p w14:paraId="019F624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项目名称：杭州市美术职业学校数字底座项目</w:t>
      </w:r>
    </w:p>
    <w:p w14:paraId="31670CB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预算金额（元）：</w:t>
      </w:r>
      <w:r>
        <w:rPr>
          <w:rFonts w:hint="eastAsia" w:ascii="宋体" w:hAnsi="宋体" w:cs="宋体"/>
          <w:sz w:val="24"/>
        </w:rPr>
        <w:t>686000</w:t>
      </w:r>
    </w:p>
    <w:p w14:paraId="3A6BFFD3">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最高限价（元）：</w:t>
      </w:r>
      <w:r>
        <w:rPr>
          <w:rFonts w:hint="eastAsia" w:ascii="宋体" w:hAnsi="宋体" w:cs="宋体"/>
          <w:sz w:val="24"/>
        </w:rPr>
        <w:t>686000</w:t>
      </w:r>
    </w:p>
    <w:p w14:paraId="4F0D6503">
      <w:pPr>
        <w:pStyle w:val="5"/>
        <w:spacing w:line="360" w:lineRule="auto"/>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采购需求：</w:t>
      </w:r>
    </w:p>
    <w:p w14:paraId="282BAEDE">
      <w:pPr>
        <w:pStyle w:val="5"/>
        <w:spacing w:line="360" w:lineRule="auto"/>
        <w:ind w:firstLine="480"/>
        <w:rPr>
          <w:rFonts w:hint="eastAsia" w:asciiTheme="minorEastAsia" w:hAnsiTheme="minorEastAsia" w:eastAsiaTheme="minorEastAsia" w:cstheme="minorEastAsia"/>
          <w:color w:val="auto"/>
          <w:sz w:val="24"/>
        </w:rPr>
      </w:pPr>
    </w:p>
    <w:p w14:paraId="483C0A75">
      <w:pPr>
        <w:pStyle w:val="17"/>
        <w:spacing w:before="0" w:beforeAutospacing="0" w:after="0" w:afterAutospacing="0"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4"/>
        </w:rPr>
        <w:t>标项名称：</w:t>
      </w:r>
      <w:r>
        <w:rPr>
          <w:rFonts w:hint="eastAsia" w:asciiTheme="minorEastAsia" w:hAnsiTheme="minorEastAsia" w:eastAsiaTheme="minorEastAsia" w:cstheme="minorEastAsia"/>
        </w:rPr>
        <w:t>杭州市美术职业学校数字底座项目</w:t>
      </w:r>
      <w:r>
        <w:rPr>
          <w:rFonts w:hint="eastAsia" w:asciiTheme="minorEastAsia" w:hAnsiTheme="minorEastAsia" w:eastAsiaTheme="minorEastAsia" w:cstheme="minorEastAsia"/>
          <w:szCs w:val="24"/>
        </w:rPr>
        <w:t>  </w:t>
      </w:r>
    </w:p>
    <w:p w14:paraId="4E3E36A9">
      <w:pPr>
        <w:pStyle w:val="17"/>
        <w:spacing w:before="0" w:beforeAutospacing="0" w:after="0" w:afterAutospacing="0"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4"/>
        </w:rPr>
        <w:t>数量：1  </w:t>
      </w:r>
    </w:p>
    <w:p w14:paraId="13A8839B">
      <w:pPr>
        <w:pStyle w:val="17"/>
        <w:spacing w:before="0" w:beforeAutospacing="0" w:after="0" w:afterAutospacing="0"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4"/>
        </w:rPr>
        <w:t>预算金额（元）：</w:t>
      </w:r>
      <w:r>
        <w:rPr>
          <w:rFonts w:hint="eastAsia" w:cs="宋体"/>
        </w:rPr>
        <w:t>686000</w:t>
      </w:r>
    </w:p>
    <w:p w14:paraId="4AEA5428">
      <w:pPr>
        <w:pStyle w:val="17"/>
        <w:spacing w:before="0" w:beforeAutospacing="0" w:after="0" w:afterAutospacing="0" w:line="360" w:lineRule="auto"/>
        <w:ind w:firstLine="48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简要规格描述或项目基本概况介绍、用途：</w:t>
      </w:r>
      <w:r>
        <w:rPr>
          <w:rFonts w:hint="eastAsia" w:cs="宋体"/>
          <w:bCs/>
          <w:kern w:val="2"/>
          <w:szCs w:val="24"/>
        </w:rPr>
        <w:t>杭州市美术职业学校数字底座项目，详见招标文件第三部分采购需求。</w:t>
      </w:r>
    </w:p>
    <w:p w14:paraId="0D8DF959">
      <w:pPr>
        <w:pStyle w:val="17"/>
        <w:spacing w:before="0" w:beforeAutospacing="0" w:after="0" w:afterAutospacing="0" w:line="360" w:lineRule="auto"/>
        <w:ind w:firstLine="48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备注：</w:t>
      </w:r>
    </w:p>
    <w:p w14:paraId="07BCF516">
      <w:pPr>
        <w:pStyle w:val="17"/>
        <w:spacing w:before="0" w:beforeAutospacing="0" w:after="0" w:afterAutospacing="0" w:line="360" w:lineRule="auto"/>
        <w:ind w:firstLine="480"/>
        <w:jc w:val="both"/>
        <w:rPr>
          <w:rFonts w:hint="eastAsia" w:asciiTheme="minorEastAsia" w:hAnsiTheme="minorEastAsia" w:eastAsiaTheme="minorEastAsia" w:cstheme="minorEastAsia"/>
          <w:b/>
          <w:bCs/>
          <w:szCs w:val="24"/>
        </w:rPr>
      </w:pPr>
    </w:p>
    <w:p w14:paraId="4E2CDC74">
      <w:pPr>
        <w:spacing w:line="360" w:lineRule="auto"/>
        <w:ind w:firstLine="480" w:firstLineChars="200"/>
        <w:rPr>
          <w:rFonts w:hint="eastAsia" w:ascii="宋体" w:hAnsi="宋体" w:cs="宋体"/>
          <w:bCs/>
          <w:sz w:val="24"/>
        </w:rPr>
      </w:pPr>
      <w:r>
        <w:rPr>
          <w:rFonts w:hint="eastAsia" w:asciiTheme="minorEastAsia" w:hAnsiTheme="minorEastAsia" w:eastAsiaTheme="minorEastAsia" w:cstheme="minorEastAsia"/>
          <w:bCs/>
          <w:sz w:val="24"/>
        </w:rPr>
        <w:t>合同履约期限：</w:t>
      </w:r>
      <w:r>
        <w:rPr>
          <w:rFonts w:hint="eastAsia" w:ascii="宋体" w:hAnsi="宋体" w:cs="宋体"/>
          <w:bCs/>
          <w:sz w:val="24"/>
          <w:szCs w:val="24"/>
        </w:rPr>
        <w:t>合同签订后60个日历日内开发完成，配合采购人上线</w:t>
      </w:r>
      <w:r>
        <w:rPr>
          <w:rFonts w:hint="eastAsia" w:ascii="宋体" w:hAnsi="宋体" w:cs="宋体"/>
          <w:bCs/>
          <w:sz w:val="24"/>
        </w:rPr>
        <w:t>。</w:t>
      </w:r>
    </w:p>
    <w:p w14:paraId="470AFE83">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 w:val="24"/>
        </w:rPr>
        <w:t>本项目（是）接受联合体投标</w:t>
      </w:r>
      <w:r>
        <w:rPr>
          <w:rFonts w:hint="eastAsia" w:asciiTheme="minorEastAsia" w:hAnsiTheme="minorEastAsia" w:eastAsiaTheme="minorEastAsia" w:cstheme="minorEastAsia"/>
          <w:bCs/>
          <w:kern w:val="0"/>
          <w:sz w:val="24"/>
        </w:rPr>
        <w:t>。</w:t>
      </w:r>
    </w:p>
    <w:p w14:paraId="200C915C">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二、申请人的资格要求</w:t>
      </w:r>
    </w:p>
    <w:p w14:paraId="56105542">
      <w:pPr>
        <w:spacing w:line="360" w:lineRule="auto"/>
        <w:ind w:firstLine="480"/>
        <w:jc w:val="left"/>
        <w:rPr>
          <w:rFonts w:hint="eastAsia"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1.满足《中华人民共和国政府采购法》第二十二条规定；未被“信用中国”（www.creditchina.gov.cn)、中国政府采购网（www.ccgp.gov.cn）列入失信被执行人、重大税收违法失信主体、政府采购严重违法失信行为记录名单；</w:t>
      </w:r>
    </w:p>
    <w:p w14:paraId="2DFFD85C">
      <w:pPr>
        <w:spacing w:line="360" w:lineRule="auto"/>
        <w:ind w:firstLine="480" w:firstLineChars="200"/>
        <w:rPr>
          <w:rFonts w:hint="eastAsia"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2.落实政府采购政策需满足的资格要求：</w:t>
      </w:r>
    </w:p>
    <w:p w14:paraId="12464DB4">
      <w:pPr>
        <w:spacing w:line="360" w:lineRule="auto"/>
        <w:ind w:firstLine="480" w:firstLineChars="200"/>
        <w:rPr>
          <w:rFonts w:hint="eastAsia"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z w:val="24"/>
        </w:rPr>
        <w:t>无</w:t>
      </w:r>
      <w:r>
        <w:rPr>
          <w:rFonts w:hint="eastAsia" w:asciiTheme="minorEastAsia" w:hAnsiTheme="minorEastAsia" w:eastAsiaTheme="minorEastAsia" w:cstheme="minorEastAsia"/>
          <w:snapToGrid w:val="0"/>
          <w:kern w:val="28"/>
          <w:sz w:val="24"/>
          <w:szCs w:val="20"/>
        </w:rPr>
        <w:t>（注：不得限制大中型企业与小微企业组成联合体参与投标）；</w:t>
      </w:r>
    </w:p>
    <w:p w14:paraId="60A49489">
      <w:pPr>
        <w:spacing w:line="360" w:lineRule="auto"/>
        <w:ind w:firstLine="482" w:firstLineChars="200"/>
        <w:rPr>
          <w:rFonts w:hint="eastAsia" w:asciiTheme="minorEastAsia" w:hAnsiTheme="minorEastAsia" w:eastAsiaTheme="minorEastAsia" w:cstheme="minorEastAsia"/>
          <w:b/>
          <w:bCs/>
          <w:color w:val="auto"/>
          <w:sz w:val="24"/>
        </w:rPr>
      </w:pPr>
      <w:sdt>
        <w:sdtPr>
          <w:rPr>
            <w:rFonts w:hint="eastAsia" w:asciiTheme="minorEastAsia" w:hAnsiTheme="minorEastAsia" w:eastAsiaTheme="minorEastAsia" w:cstheme="minorEastAsia"/>
            <w:b/>
            <w:bCs/>
            <w:kern w:val="0"/>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kern w:val="0"/>
            <w:sz w:val="24"/>
          </w:rPr>
        </w:sdtEndPr>
        <w:sdtContent>
          <w:r>
            <w:rPr>
              <w:rFonts w:ascii="Wingdings" w:hAnsi="Wingdings" w:eastAsiaTheme="minorEastAsia" w:cstheme="minorEastAsia"/>
              <w:b/>
              <w:bCs/>
              <w:kern w:val="0"/>
              <w:sz w:val="24"/>
            </w:rPr>
            <w:t></w:t>
          </w:r>
        </w:sdtContent>
      </w:sdt>
      <w:r>
        <w:rPr>
          <w:rFonts w:hint="eastAsia" w:asciiTheme="minorEastAsia" w:hAnsiTheme="minorEastAsia" w:eastAsiaTheme="minorEastAsia" w:cstheme="minorEastAsia"/>
          <w:b/>
          <w:bCs/>
          <w:kern w:val="0"/>
          <w:sz w:val="24"/>
        </w:rPr>
        <w:t>专</w:t>
      </w:r>
      <w:r>
        <w:rPr>
          <w:rFonts w:hint="eastAsia" w:asciiTheme="minorEastAsia" w:hAnsiTheme="minorEastAsia" w:eastAsiaTheme="minorEastAsia" w:cstheme="minorEastAsia"/>
          <w:b/>
          <w:bCs/>
          <w:sz w:val="24"/>
        </w:rPr>
        <w:t>门面向中小企业</w:t>
      </w:r>
    </w:p>
    <w:p w14:paraId="7396B21C">
      <w:pPr>
        <w:spacing w:line="360" w:lineRule="auto"/>
        <w:ind w:firstLine="897" w:firstLineChars="374"/>
        <w:rPr>
          <w:rFonts w:hint="eastAsia" w:asciiTheme="minorEastAsia" w:hAnsiTheme="minorEastAsia" w:eastAsiaTheme="minorEastAsia" w:cstheme="minorEastAsia"/>
          <w:color w:val="auto"/>
          <w:sz w:val="24"/>
        </w:rPr>
      </w:pPr>
      <w:sdt>
        <w:sdtPr>
          <w:rPr>
            <w:rFonts w:hint="eastAsia" w:asciiTheme="minorEastAsia" w:hAnsiTheme="minorEastAsia" w:eastAsiaTheme="minorEastAsia" w:cstheme="minorEastAsia"/>
            <w:color w:val="auto"/>
            <w:kern w:val="0"/>
            <w:sz w:val="24"/>
          </w:rPr>
          <w:id w:val="3770465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rPr>
        </w:sdtEndPr>
        <w:sdtContent>
          <w:r>
            <w:rPr>
              <w:rFonts w:hint="eastAsia" w:ascii="Wingdings" w:hAnsi="Wingdings" w:eastAsiaTheme="minorEastAsia" w:cstheme="minorEastAsia"/>
              <w:b/>
              <w:bCs/>
              <w:color w:val="auto"/>
              <w:kern w:val="0"/>
              <w:sz w:val="24"/>
            </w:rPr>
            <w:t>þ</w:t>
          </w:r>
        </w:sdtContent>
      </w:sdt>
      <w:r>
        <w:rPr>
          <w:rFonts w:hint="eastAsia" w:asciiTheme="minorEastAsia" w:hAnsiTheme="minorEastAsia" w:eastAsiaTheme="minorEastAsia" w:cstheme="minorEastAsia"/>
          <w:b/>
          <w:bCs/>
          <w:color w:val="auto"/>
          <w:sz w:val="24"/>
        </w:rPr>
        <w:t>服务全部由符合政策要求的中小企业承接，提供中小企业声明函；</w:t>
      </w:r>
    </w:p>
    <w:p w14:paraId="396EA2A8">
      <w:pPr>
        <w:spacing w:line="360" w:lineRule="auto"/>
        <w:ind w:firstLine="901" w:firstLineChars="374"/>
        <w:rPr>
          <w:rFonts w:hint="eastAsia" w:asciiTheme="minorEastAsia" w:hAnsiTheme="minorEastAsia" w:eastAsiaTheme="minorEastAsia" w:cstheme="minorEastAsia"/>
          <w:b/>
          <w:bCs/>
          <w:color w:val="auto"/>
          <w:sz w:val="24"/>
        </w:rPr>
      </w:pPr>
      <w:sdt>
        <w:sdtPr>
          <w:rPr>
            <w:rFonts w:hint="eastAsia" w:asciiTheme="minorEastAsia" w:hAnsiTheme="minorEastAsia" w:eastAsiaTheme="minorEastAsia" w:cstheme="minorEastAsia"/>
            <w:b/>
            <w:bCs/>
            <w:color w:val="auto"/>
            <w:kern w:val="0"/>
            <w:sz w:val="24"/>
          </w:rPr>
          <w:id w:val="19441029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color w:val="auto"/>
            <w:kern w:val="0"/>
            <w:sz w:val="24"/>
          </w:rPr>
        </w:sdtEndPr>
        <w:sdtContent>
          <w:r>
            <w:rPr>
              <w:rFonts w:ascii="MS Gothic" w:hAnsi="MS Gothic" w:eastAsiaTheme="minorEastAsia" w:cstheme="minorEastAsia"/>
              <w:color w:val="auto"/>
              <w:kern w:val="0"/>
              <w:sz w:val="24"/>
            </w:rPr>
            <w:t>☐</w:t>
          </w:r>
        </w:sdtContent>
      </w:sdt>
      <w:r>
        <w:rPr>
          <w:rFonts w:hint="eastAsia" w:asciiTheme="minorEastAsia" w:hAnsiTheme="minorEastAsia" w:eastAsiaTheme="minorEastAsia" w:cstheme="minorEastAsia"/>
          <w:color w:val="auto"/>
          <w:sz w:val="24"/>
        </w:rPr>
        <w:t>服务全部由符合政策要求的小微企业承接，提供中小企业声明函；</w:t>
      </w:r>
    </w:p>
    <w:p w14:paraId="3F684D4B">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3.本项目的特定资格要求：无；</w:t>
      </w:r>
    </w:p>
    <w:p w14:paraId="38986A9F">
      <w:pPr>
        <w:snapToGrid w:val="0"/>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color w:val="auto"/>
          <w:sz w:val="24"/>
        </w:rPr>
        <w:t>4.单位负责人为同一人或者存在直接控股、管理关系的不同供应商，不得参加同一合同项下的政府采购活动；为采购项目提供整体设计、规范编制</w:t>
      </w:r>
      <w:r>
        <w:rPr>
          <w:rFonts w:hint="eastAsia" w:asciiTheme="minorEastAsia" w:hAnsiTheme="minorEastAsia" w:eastAsiaTheme="minorEastAsia" w:cstheme="minorEastAsia"/>
          <w:sz w:val="24"/>
        </w:rPr>
        <w:t>或者项目管理、监理、检测等服务后不得再参加该采购项目的其他采购活动。</w:t>
      </w:r>
    </w:p>
    <w:p w14:paraId="2A0DC0AC">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三、获取招标文件 </w:t>
      </w:r>
    </w:p>
    <w:p w14:paraId="5D896997">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宋体" w:hAnsi="宋体" w:cs="宋体"/>
          <w:bCs/>
          <w:sz w:val="24"/>
        </w:rPr>
        <w:t>即日起</w:t>
      </w:r>
      <w:r>
        <w:rPr>
          <w:rFonts w:hint="eastAsia" w:asciiTheme="minorEastAsia" w:hAnsiTheme="minorEastAsia" w:eastAsiaTheme="minorEastAsia" w:cstheme="minorEastAsia"/>
          <w:bCs/>
          <w:sz w:val="24"/>
        </w:rPr>
        <w:t>2025年</w:t>
      </w:r>
      <w:r>
        <w:rPr>
          <w:rFonts w:hint="eastAsia" w:asciiTheme="minorEastAsia" w:hAnsiTheme="minorEastAsia" w:eastAsiaTheme="minorEastAsia" w:cstheme="minorEastAsia"/>
          <w:bCs/>
          <w:sz w:val="24"/>
          <w:lang w:val="en-US" w:eastAsia="zh-CN"/>
        </w:rPr>
        <w:t>08</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08</w:t>
      </w:r>
      <w:r>
        <w:rPr>
          <w:rFonts w:hint="eastAsia" w:asciiTheme="minorEastAsia" w:hAnsiTheme="minorEastAsia" w:eastAsiaTheme="minorEastAsia" w:cstheme="minorEastAsia"/>
          <w:bCs/>
          <w:sz w:val="24"/>
        </w:rPr>
        <w:t>日，每天上午00:00至12:00 ，下午12:00至23:59（北京时间，线上获取法定节假日均可，线下获取文件法定节假日除外）</w:t>
      </w:r>
    </w:p>
    <w:p w14:paraId="490B7E85">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地点（网址）：</w:t>
      </w:r>
      <w:r>
        <w:rPr>
          <w:rFonts w:hint="eastAsia" w:ascii="宋体" w:hAnsi="宋体" w:cs="宋体"/>
          <w:sz w:val="24"/>
        </w:rPr>
        <w:t>乐采云平台（https://hzjyg.lecaiyun.com）</w:t>
      </w:r>
      <w:r>
        <w:rPr>
          <w:rFonts w:hint="eastAsia" w:ascii="宋体" w:hAnsi="宋体" w:cs="宋体"/>
          <w:bCs/>
          <w:sz w:val="24"/>
        </w:rPr>
        <w:t>线上获取</w:t>
      </w:r>
    </w:p>
    <w:p w14:paraId="760D831E">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 w:val="24"/>
        </w:rPr>
        <w:t>方式：</w:t>
      </w:r>
      <w:r>
        <w:rPr>
          <w:rFonts w:hint="eastAsia" w:ascii="宋体" w:hAnsi="宋体" w:cs="宋体"/>
          <w:bCs/>
          <w:sz w:val="24"/>
        </w:rPr>
        <w:t>供应商登录</w:t>
      </w:r>
      <w:r>
        <w:rPr>
          <w:rFonts w:hint="eastAsia" w:ascii="宋体" w:hAnsi="宋体" w:cs="宋体"/>
          <w:sz w:val="24"/>
        </w:rPr>
        <w:t>乐采云平台</w:t>
      </w:r>
      <w:r>
        <w:rPr>
          <w:rFonts w:hint="eastAsia" w:ascii="宋体" w:hAnsi="宋体" w:cs="宋体"/>
          <w:bCs/>
          <w:sz w:val="24"/>
        </w:rPr>
        <w:t>https://hzjyg.lecaiyun.com/在线申请获取采购文件（进入“项目采购”应用，在获取采购文件菜单中选择项目，申请获取采购文件）</w:t>
      </w:r>
      <w:r>
        <w:rPr>
          <w:rFonts w:hint="eastAsia" w:asciiTheme="minorEastAsia" w:hAnsiTheme="minorEastAsia" w:eastAsiaTheme="minorEastAsia" w:cstheme="minorEastAsia"/>
          <w:bCs/>
          <w:sz w:val="24"/>
        </w:rPr>
        <w:t xml:space="preserve"> </w:t>
      </w:r>
    </w:p>
    <w:p w14:paraId="28E6E0B9">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四、提交投标文件截止时间、开标时间和地点</w:t>
      </w:r>
    </w:p>
    <w:p w14:paraId="7B211EB6">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提交投标文件截止时间：2025年</w:t>
      </w:r>
      <w:r>
        <w:rPr>
          <w:rFonts w:hint="eastAsia" w:asciiTheme="minorEastAsia" w:hAnsiTheme="minorEastAsia" w:eastAsiaTheme="minorEastAsia" w:cstheme="minorEastAsia"/>
          <w:bCs/>
          <w:sz w:val="24"/>
          <w:lang w:val="en-US" w:eastAsia="zh-CN"/>
        </w:rPr>
        <w:t>08</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08</w:t>
      </w:r>
      <w:r>
        <w:rPr>
          <w:rFonts w:hint="eastAsia" w:asciiTheme="minorEastAsia" w:hAnsiTheme="minorEastAsia" w:eastAsiaTheme="minorEastAsia" w:cstheme="minorEastAsia"/>
          <w:bCs/>
          <w:sz w:val="24"/>
        </w:rPr>
        <w:t>日1</w:t>
      </w:r>
      <w:r>
        <w:rPr>
          <w:rFonts w:hint="eastAsia" w:asciiTheme="minorEastAsia" w:hAnsiTheme="minorEastAsia" w:eastAsiaTheme="minorEastAsia" w:cstheme="minorEastAsia"/>
          <w:bCs/>
          <w:sz w:val="24"/>
          <w:lang w:val="en-US" w:eastAsia="zh-CN"/>
        </w:rPr>
        <w:t>5</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0（北京时间）</w:t>
      </w:r>
    </w:p>
    <w:p w14:paraId="5C45D803">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投标地点（网址）：通过乐采云平台（https://hzjyg.lecaiyun.com/）在线递交</w:t>
      </w:r>
    </w:p>
    <w:p w14:paraId="336E1D29">
      <w:pPr>
        <w:spacing w:line="360" w:lineRule="auto"/>
        <w:ind w:firstLine="480" w:firstLineChars="200"/>
        <w:rPr>
          <w:rFonts w:hint="eastAsia"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开标时间：2025年</w:t>
      </w:r>
      <w:r>
        <w:rPr>
          <w:rFonts w:hint="eastAsia" w:asciiTheme="minorEastAsia" w:hAnsiTheme="minorEastAsia" w:eastAsiaTheme="minorEastAsia" w:cstheme="minorEastAsia"/>
          <w:bCs/>
          <w:sz w:val="24"/>
          <w:lang w:val="en-US" w:eastAsia="zh-CN"/>
        </w:rPr>
        <w:t>08</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08</w:t>
      </w:r>
      <w:r>
        <w:rPr>
          <w:rFonts w:hint="eastAsia" w:asciiTheme="minorEastAsia" w:hAnsiTheme="minorEastAsia" w:eastAsiaTheme="minorEastAsia" w:cstheme="minorEastAsia"/>
          <w:bCs/>
          <w:sz w:val="24"/>
        </w:rPr>
        <w:t>日1</w:t>
      </w:r>
      <w:r>
        <w:rPr>
          <w:rFonts w:hint="eastAsia" w:asciiTheme="minorEastAsia" w:hAnsiTheme="minorEastAsia" w:eastAsiaTheme="minorEastAsia" w:cstheme="minorEastAsia"/>
          <w:bCs/>
          <w:sz w:val="24"/>
          <w:lang w:val="en-US" w:eastAsia="zh-CN"/>
        </w:rPr>
        <w:t>5</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3</w:t>
      </w:r>
      <w:r>
        <w:rPr>
          <w:rFonts w:hint="eastAsia" w:asciiTheme="minorEastAsia" w:hAnsiTheme="minorEastAsia" w:eastAsiaTheme="minorEastAsia" w:cstheme="minorEastAsia"/>
          <w:bCs/>
          <w:sz w:val="24"/>
        </w:rPr>
        <w:t xml:space="preserve">0（北京时间） </w:t>
      </w:r>
    </w:p>
    <w:p w14:paraId="614F4392">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 w:val="24"/>
        </w:rPr>
        <w:t>开标地点（网址）：乐采云平台（https://hzjyg.lecaiyun.com/）（线下：杭州市环站东路97号云峰大厦1号楼16楼）</w:t>
      </w:r>
    </w:p>
    <w:p w14:paraId="478BF60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五、公告期限 </w:t>
      </w:r>
    </w:p>
    <w:p w14:paraId="58E4E4FD">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自本公告发布之日起5个工作日。</w:t>
      </w:r>
    </w:p>
    <w:p w14:paraId="05792DDE">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六、其他补充事宜</w:t>
      </w:r>
    </w:p>
    <w:p w14:paraId="204FF207">
      <w:pPr>
        <w:spacing w:line="360" w:lineRule="auto"/>
        <w:ind w:firstLine="480" w:firstLineChars="200"/>
        <w:rPr>
          <w:rFonts w:hint="eastAsia" w:ascii="宋体" w:hAnsi="宋体" w:cs="宋体"/>
          <w:sz w:val="24"/>
        </w:rPr>
      </w:pPr>
      <w:r>
        <w:rPr>
          <w:rFonts w:hint="eastAsia" w:ascii="宋体" w:hAnsi="宋体" w:cs="宋体"/>
          <w:sz w:val="24"/>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乐采云平台下载专区下载。</w:t>
      </w:r>
    </w:p>
    <w:p w14:paraId="7945A40C">
      <w:pPr>
        <w:spacing w:line="360" w:lineRule="auto"/>
        <w:ind w:firstLine="480" w:firstLineChars="200"/>
        <w:rPr>
          <w:rFonts w:hint="eastAsia" w:ascii="宋体" w:hAnsi="宋体" w:cs="宋体"/>
          <w:sz w:val="24"/>
        </w:rPr>
      </w:pPr>
      <w:r>
        <w:rPr>
          <w:rFonts w:hint="eastAsia" w:ascii="宋体" w:hAnsi="宋体" w:cs="宋体"/>
          <w:sz w:val="24"/>
        </w:rPr>
        <w:t>2.其他事项：</w:t>
      </w:r>
    </w:p>
    <w:p w14:paraId="5FC0E7F9">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3703B56B">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758F4F9C">
      <w:pPr>
        <w:spacing w:line="360" w:lineRule="auto"/>
        <w:ind w:firstLine="480" w:firstLineChars="200"/>
        <w:rPr>
          <w:rFonts w:hint="eastAsia" w:asciiTheme="minorEastAsia" w:hAnsiTheme="minorEastAsia" w:eastAsiaTheme="minorEastAsia" w:cstheme="minorEastAsia"/>
          <w:b/>
          <w:sz w:val="24"/>
        </w:rPr>
      </w:pPr>
      <w:r>
        <w:rPr>
          <w:rFonts w:hint="eastAsia" w:ascii="宋体" w:hAnsi="宋体" w:cs="宋体"/>
          <w:sz w:val="24"/>
        </w:rPr>
        <w:t>（3）招标文件公告期限与招标公告的公告期限一致。</w:t>
      </w:r>
    </w:p>
    <w:p w14:paraId="1C096391">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七、对本次采购提出询问、质疑、投诉，请按以下方式联系</w:t>
      </w:r>
    </w:p>
    <w:p w14:paraId="0C09692E">
      <w:pPr>
        <w:spacing w:line="360" w:lineRule="auto"/>
        <w:ind w:firstLine="480" w:firstLineChars="200"/>
        <w:rPr>
          <w:rFonts w:hint="eastAsia" w:ascii="宋体" w:hAnsi="宋体"/>
          <w:sz w:val="24"/>
        </w:rPr>
      </w:pPr>
      <w:r>
        <w:rPr>
          <w:rFonts w:hint="eastAsia" w:ascii="宋体" w:hAnsi="宋体"/>
          <w:sz w:val="24"/>
        </w:rPr>
        <w:t>1.采购人信息</w:t>
      </w:r>
    </w:p>
    <w:p w14:paraId="6014CCD6">
      <w:pPr>
        <w:spacing w:line="360" w:lineRule="auto"/>
        <w:ind w:firstLine="480" w:firstLineChars="200"/>
        <w:rPr>
          <w:rFonts w:hint="eastAsia" w:ascii="宋体" w:hAnsi="宋体"/>
          <w:sz w:val="24"/>
        </w:rPr>
      </w:pPr>
      <w:r>
        <w:rPr>
          <w:rFonts w:hint="eastAsia" w:ascii="宋体" w:hAnsi="宋体"/>
          <w:sz w:val="24"/>
        </w:rPr>
        <w:t>名称：</w:t>
      </w:r>
      <w:r>
        <w:rPr>
          <w:rFonts w:hint="eastAsia" w:ascii="宋体" w:hAnsi="宋体" w:cs="宋体"/>
          <w:sz w:val="24"/>
        </w:rPr>
        <w:t>杭州市美术职业学校</w:t>
      </w:r>
      <w:r>
        <w:rPr>
          <w:rFonts w:hint="eastAsia" w:ascii="宋体" w:hAnsi="宋体"/>
          <w:sz w:val="24"/>
        </w:rPr>
        <w:t> </w:t>
      </w:r>
    </w:p>
    <w:p w14:paraId="19031519">
      <w:pPr>
        <w:spacing w:line="360" w:lineRule="auto"/>
        <w:ind w:firstLine="480" w:firstLineChars="200"/>
        <w:rPr>
          <w:rFonts w:hint="eastAsia" w:ascii="宋体" w:hAnsi="宋体"/>
          <w:sz w:val="24"/>
        </w:rPr>
      </w:pPr>
      <w:r>
        <w:rPr>
          <w:rFonts w:hint="eastAsia" w:ascii="宋体" w:hAnsi="宋体"/>
          <w:sz w:val="24"/>
        </w:rPr>
        <w:t>地址：</w:t>
      </w:r>
      <w:r>
        <w:rPr>
          <w:rFonts w:hint="eastAsia" w:ascii="宋体" w:hAnsi="宋体" w:cs="宋体"/>
          <w:sz w:val="24"/>
        </w:rPr>
        <w:t>杭州市拱墅区莫干山路142号、杭州市上城区凤凰山脚路166号</w:t>
      </w:r>
      <w:r>
        <w:rPr>
          <w:rFonts w:hint="eastAsia" w:ascii="宋体" w:hAnsi="宋体"/>
          <w:sz w:val="24"/>
        </w:rPr>
        <w:t> </w:t>
      </w:r>
    </w:p>
    <w:p w14:paraId="264D2D7C">
      <w:pPr>
        <w:spacing w:line="360" w:lineRule="auto"/>
        <w:ind w:firstLine="480" w:firstLineChars="200"/>
        <w:rPr>
          <w:rFonts w:hint="eastAsia" w:ascii="宋体" w:hAnsi="宋体"/>
          <w:sz w:val="24"/>
        </w:rPr>
      </w:pPr>
      <w:r>
        <w:rPr>
          <w:rFonts w:hint="eastAsia" w:ascii="宋体" w:hAnsi="宋体"/>
          <w:sz w:val="24"/>
        </w:rPr>
        <w:t>传真：/  </w:t>
      </w:r>
    </w:p>
    <w:p w14:paraId="79D6B9DF">
      <w:pPr>
        <w:spacing w:line="360" w:lineRule="auto"/>
        <w:ind w:firstLine="480" w:firstLineChars="200"/>
        <w:rPr>
          <w:rFonts w:hint="eastAsia" w:ascii="宋体" w:hAnsi="宋体"/>
          <w:sz w:val="24"/>
        </w:rPr>
      </w:pPr>
      <w:r>
        <w:rPr>
          <w:rFonts w:hint="eastAsia" w:ascii="宋体" w:hAnsi="宋体"/>
          <w:sz w:val="24"/>
        </w:rPr>
        <w:t>项目联系人（询问）：</w:t>
      </w:r>
      <w:r>
        <w:rPr>
          <w:rFonts w:hint="eastAsia" w:ascii="宋体" w:hAnsi="宋体" w:cs="宋体"/>
          <w:sz w:val="24"/>
        </w:rPr>
        <w:t>邵老师</w:t>
      </w:r>
    </w:p>
    <w:p w14:paraId="3DA59952">
      <w:pPr>
        <w:spacing w:line="360" w:lineRule="auto"/>
        <w:ind w:firstLine="480" w:firstLineChars="200"/>
        <w:rPr>
          <w:rFonts w:hint="eastAsia" w:ascii="宋体" w:hAnsi="宋体"/>
          <w:sz w:val="24"/>
        </w:rPr>
      </w:pPr>
      <w:r>
        <w:rPr>
          <w:rFonts w:hint="eastAsia" w:ascii="宋体" w:hAnsi="宋体"/>
          <w:sz w:val="24"/>
        </w:rPr>
        <w:t>项目联系方式（询问）：</w:t>
      </w:r>
      <w:r>
        <w:rPr>
          <w:rFonts w:hint="eastAsia" w:ascii="宋体" w:hAnsi="宋体" w:cs="宋体"/>
          <w:sz w:val="24"/>
        </w:rPr>
        <w:t>0571-86809174</w:t>
      </w:r>
    </w:p>
    <w:p w14:paraId="14F7BBA1">
      <w:pPr>
        <w:spacing w:line="360" w:lineRule="auto"/>
        <w:ind w:firstLine="480" w:firstLineChars="200"/>
        <w:rPr>
          <w:rFonts w:hint="eastAsia" w:ascii="宋体" w:hAnsi="宋体"/>
          <w:sz w:val="24"/>
        </w:rPr>
      </w:pPr>
      <w:r>
        <w:rPr>
          <w:rFonts w:hint="eastAsia" w:ascii="宋体" w:hAnsi="宋体"/>
          <w:sz w:val="24"/>
        </w:rPr>
        <w:t>质疑联系人：</w:t>
      </w:r>
      <w:r>
        <w:rPr>
          <w:rFonts w:hint="eastAsia" w:ascii="宋体" w:hAnsi="宋体" w:cs="宋体"/>
          <w:sz w:val="24"/>
        </w:rPr>
        <w:t>周老师</w:t>
      </w:r>
    </w:p>
    <w:p w14:paraId="7EE5C4FC">
      <w:pPr>
        <w:spacing w:line="360" w:lineRule="auto"/>
        <w:ind w:firstLine="480" w:firstLineChars="200"/>
        <w:rPr>
          <w:rFonts w:hint="eastAsia" w:ascii="宋体" w:hAnsi="宋体"/>
          <w:sz w:val="24"/>
        </w:rPr>
      </w:pPr>
      <w:r>
        <w:rPr>
          <w:rFonts w:hint="eastAsia" w:ascii="宋体" w:hAnsi="宋体"/>
          <w:sz w:val="24"/>
        </w:rPr>
        <w:t>质疑联系方式：</w:t>
      </w:r>
      <w:r>
        <w:rPr>
          <w:rFonts w:hint="eastAsia" w:ascii="宋体" w:hAnsi="宋体" w:cs="宋体"/>
          <w:sz w:val="24"/>
        </w:rPr>
        <w:t>0571-87606375</w:t>
      </w:r>
      <w:r>
        <w:rPr>
          <w:rFonts w:hint="eastAsia" w:ascii="宋体" w:hAnsi="宋体"/>
          <w:sz w:val="24"/>
        </w:rPr>
        <w:t>   </w:t>
      </w:r>
    </w:p>
    <w:p w14:paraId="4FC2EBE9">
      <w:pPr>
        <w:spacing w:line="360" w:lineRule="auto"/>
        <w:ind w:firstLine="480" w:firstLineChars="200"/>
        <w:rPr>
          <w:rFonts w:hint="eastAsia" w:ascii="宋体" w:hAnsi="宋体"/>
          <w:sz w:val="24"/>
        </w:rPr>
      </w:pPr>
      <w:r>
        <w:rPr>
          <w:rFonts w:hint="eastAsia" w:ascii="宋体" w:hAnsi="宋体"/>
          <w:sz w:val="24"/>
        </w:rPr>
        <w:t xml:space="preserve">   </w:t>
      </w:r>
    </w:p>
    <w:p w14:paraId="03E126EF">
      <w:pPr>
        <w:spacing w:line="360" w:lineRule="auto"/>
        <w:ind w:firstLine="480" w:firstLineChars="200"/>
        <w:rPr>
          <w:rFonts w:hint="eastAsia" w:ascii="宋体" w:hAnsi="宋体"/>
          <w:sz w:val="24"/>
        </w:rPr>
      </w:pPr>
      <w:r>
        <w:rPr>
          <w:rFonts w:hint="eastAsia" w:ascii="宋体" w:hAnsi="宋体"/>
          <w:sz w:val="24"/>
        </w:rPr>
        <w:t>2.采购代理机构信息            </w:t>
      </w:r>
    </w:p>
    <w:p w14:paraId="6F9F57C4">
      <w:pPr>
        <w:spacing w:line="360" w:lineRule="auto"/>
        <w:ind w:firstLine="480" w:firstLineChars="200"/>
        <w:rPr>
          <w:rFonts w:hint="eastAsia" w:ascii="宋体" w:hAnsi="宋体"/>
          <w:sz w:val="24"/>
        </w:rPr>
      </w:pPr>
      <w:r>
        <w:rPr>
          <w:rFonts w:hint="eastAsia" w:ascii="宋体" w:hAnsi="宋体"/>
          <w:sz w:val="24"/>
        </w:rPr>
        <w:t>名称：杭州洲源招标代理有限公司             </w:t>
      </w:r>
    </w:p>
    <w:p w14:paraId="4EF6FC34">
      <w:pPr>
        <w:spacing w:line="360" w:lineRule="auto"/>
        <w:ind w:firstLine="480" w:firstLineChars="200"/>
        <w:rPr>
          <w:rFonts w:hint="eastAsia" w:ascii="宋体" w:hAnsi="宋体"/>
          <w:sz w:val="24"/>
        </w:rPr>
      </w:pPr>
      <w:r>
        <w:rPr>
          <w:rFonts w:hint="eastAsia" w:ascii="宋体" w:hAnsi="宋体"/>
          <w:sz w:val="24"/>
        </w:rPr>
        <w:t>地址：杭州市环站东路99号云峰大厦1号楼16楼             </w:t>
      </w:r>
    </w:p>
    <w:p w14:paraId="7436366C">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cs="宋体"/>
          <w:sz w:val="24"/>
        </w:rPr>
        <w:t>0571-85292825</w:t>
      </w:r>
      <w:r>
        <w:rPr>
          <w:rFonts w:hint="eastAsia" w:ascii="宋体" w:hAnsi="宋体"/>
          <w:sz w:val="24"/>
        </w:rPr>
        <w:t>             </w:t>
      </w:r>
    </w:p>
    <w:p w14:paraId="5ED2BDC6">
      <w:pPr>
        <w:spacing w:line="360" w:lineRule="auto"/>
        <w:ind w:firstLine="480" w:firstLineChars="200"/>
        <w:rPr>
          <w:rFonts w:hint="eastAsia" w:ascii="宋体" w:hAnsi="宋体"/>
          <w:sz w:val="24"/>
        </w:rPr>
      </w:pPr>
      <w:r>
        <w:rPr>
          <w:rFonts w:hint="eastAsia" w:ascii="宋体" w:hAnsi="宋体"/>
          <w:sz w:val="24"/>
        </w:rPr>
        <w:t>项目联系人（询问）：陈工、羊工              </w:t>
      </w:r>
    </w:p>
    <w:p w14:paraId="55C74E8A">
      <w:pPr>
        <w:spacing w:line="360" w:lineRule="auto"/>
        <w:ind w:firstLine="480" w:firstLineChars="200"/>
        <w:rPr>
          <w:rFonts w:hint="eastAsia" w:ascii="宋体" w:hAnsi="宋体"/>
          <w:sz w:val="24"/>
        </w:rPr>
      </w:pPr>
      <w:r>
        <w:rPr>
          <w:rFonts w:hint="eastAsia" w:ascii="宋体" w:hAnsi="宋体"/>
          <w:sz w:val="24"/>
        </w:rPr>
        <w:t>项目联系方式（询问）：</w:t>
      </w:r>
      <w:r>
        <w:rPr>
          <w:rFonts w:hint="eastAsia" w:ascii="宋体" w:cs="宋体"/>
          <w:sz w:val="24"/>
        </w:rPr>
        <w:t>0571-85292825</w:t>
      </w:r>
      <w:r>
        <w:rPr>
          <w:rFonts w:hint="eastAsia" w:ascii="宋体" w:hAnsi="宋体"/>
          <w:sz w:val="24"/>
        </w:rPr>
        <w:t> </w:t>
      </w:r>
    </w:p>
    <w:p w14:paraId="5A1CD667">
      <w:pPr>
        <w:spacing w:line="360" w:lineRule="auto"/>
        <w:ind w:firstLine="480" w:firstLineChars="200"/>
        <w:rPr>
          <w:rFonts w:hint="eastAsia" w:ascii="宋体" w:hAnsi="宋体"/>
          <w:sz w:val="24"/>
        </w:rPr>
      </w:pPr>
      <w:r>
        <w:rPr>
          <w:rFonts w:hint="eastAsia" w:ascii="宋体" w:hAnsi="宋体"/>
          <w:sz w:val="24"/>
        </w:rPr>
        <w:t>质疑联系人：蓝工             </w:t>
      </w:r>
    </w:p>
    <w:p w14:paraId="1F5A1831">
      <w:pPr>
        <w:spacing w:line="360" w:lineRule="auto"/>
        <w:ind w:firstLine="480" w:firstLineChars="200"/>
        <w:rPr>
          <w:rFonts w:hint="eastAsia" w:ascii="宋体" w:hAnsi="宋体"/>
          <w:sz w:val="24"/>
        </w:rPr>
      </w:pPr>
      <w:r>
        <w:rPr>
          <w:rFonts w:hint="eastAsia" w:ascii="宋体" w:hAnsi="宋体"/>
          <w:sz w:val="24"/>
        </w:rPr>
        <w:t>质疑联系方式：</w:t>
      </w:r>
      <w:r>
        <w:rPr>
          <w:rFonts w:hint="eastAsia" w:ascii="宋体" w:cs="宋体"/>
          <w:sz w:val="24"/>
        </w:rPr>
        <w:t>0571-85292825</w:t>
      </w:r>
      <w:r>
        <w:rPr>
          <w:rFonts w:hint="eastAsia" w:ascii="宋体" w:hAnsi="宋体"/>
          <w:sz w:val="24"/>
        </w:rPr>
        <w:t>　　</w:t>
      </w:r>
    </w:p>
    <w:p w14:paraId="5E5EE36B">
      <w:pPr>
        <w:spacing w:line="360" w:lineRule="auto"/>
        <w:ind w:firstLine="480" w:firstLineChars="200"/>
        <w:rPr>
          <w:rFonts w:hint="eastAsia" w:ascii="宋体" w:hAnsi="宋体"/>
          <w:sz w:val="24"/>
        </w:rPr>
      </w:pPr>
      <w:r>
        <w:rPr>
          <w:rFonts w:hint="eastAsia" w:ascii="宋体" w:hAnsi="宋体"/>
          <w:sz w:val="24"/>
        </w:rPr>
        <w:t>　　     </w:t>
      </w:r>
    </w:p>
    <w:p w14:paraId="794774FB">
      <w:pPr>
        <w:numPr>
          <w:ilvl w:val="0"/>
          <w:numId w:val="1"/>
        </w:numPr>
        <w:spacing w:line="360" w:lineRule="auto"/>
        <w:ind w:firstLine="480" w:firstLineChars="200"/>
        <w:rPr>
          <w:rFonts w:hint="eastAsia" w:ascii="宋体" w:hAnsi="宋体"/>
          <w:sz w:val="24"/>
        </w:rPr>
      </w:pPr>
      <w:r>
        <w:rPr>
          <w:rFonts w:hint="eastAsia" w:ascii="宋体" w:hAnsi="宋体"/>
          <w:sz w:val="24"/>
        </w:rPr>
        <w:t>采购监督管理部门</w:t>
      </w:r>
    </w:p>
    <w:p w14:paraId="455FBDB7">
      <w:pPr>
        <w:spacing w:line="360" w:lineRule="auto"/>
        <w:ind w:firstLine="480" w:firstLineChars="200"/>
        <w:rPr>
          <w:rFonts w:hint="eastAsia" w:ascii="宋体" w:hAnsi="宋体"/>
          <w:sz w:val="24"/>
        </w:rPr>
      </w:pPr>
      <w:r>
        <w:rPr>
          <w:rFonts w:hint="eastAsia" w:ascii="宋体" w:hAnsi="宋体"/>
          <w:sz w:val="24"/>
        </w:rPr>
        <w:t>名称：</w:t>
      </w:r>
      <w:r>
        <w:rPr>
          <w:rFonts w:hint="eastAsia" w:ascii="宋体" w:hAnsi="宋体" w:cs="宋体"/>
          <w:sz w:val="24"/>
        </w:rPr>
        <w:t>杭州市美术职业学校</w:t>
      </w:r>
    </w:p>
    <w:p w14:paraId="04FDEB21">
      <w:pPr>
        <w:spacing w:line="360" w:lineRule="auto"/>
        <w:ind w:firstLine="480" w:firstLineChars="200"/>
        <w:rPr>
          <w:rFonts w:hint="eastAsia" w:ascii="宋体" w:hAnsi="宋体" w:cs="宋体"/>
          <w:sz w:val="24"/>
        </w:rPr>
      </w:pPr>
      <w:r>
        <w:rPr>
          <w:rFonts w:hint="eastAsia" w:ascii="宋体" w:hAnsi="宋体"/>
          <w:sz w:val="24"/>
        </w:rPr>
        <w:t>地址：</w:t>
      </w:r>
      <w:r>
        <w:rPr>
          <w:rFonts w:hint="eastAsia" w:ascii="宋体" w:hAnsi="宋体" w:cs="宋体"/>
          <w:sz w:val="24"/>
        </w:rPr>
        <w:t>杭州市拱墅区莫干山路142号、杭州市上城区凤凰山脚路166号</w:t>
      </w:r>
    </w:p>
    <w:p w14:paraId="1C31F5B5">
      <w:pPr>
        <w:spacing w:line="360" w:lineRule="auto"/>
        <w:ind w:firstLine="480" w:firstLineChars="200"/>
        <w:rPr>
          <w:rFonts w:hint="eastAsia" w:ascii="宋体" w:hAnsi="宋体"/>
          <w:sz w:val="24"/>
        </w:rPr>
      </w:pPr>
      <w:r>
        <w:rPr>
          <w:rFonts w:hint="eastAsia" w:ascii="宋体" w:hAnsi="宋体"/>
          <w:sz w:val="24"/>
        </w:rPr>
        <w:t>传真：/</w:t>
      </w:r>
    </w:p>
    <w:p w14:paraId="43ABD461">
      <w:pPr>
        <w:spacing w:line="360" w:lineRule="auto"/>
        <w:ind w:firstLine="480" w:firstLineChars="200"/>
        <w:rPr>
          <w:rFonts w:hint="eastAsia" w:ascii="宋体" w:hAnsi="宋体" w:cs="宋体"/>
          <w:sz w:val="24"/>
        </w:rPr>
      </w:pPr>
      <w:r>
        <w:rPr>
          <w:rFonts w:hint="eastAsia" w:ascii="宋体" w:hAnsi="宋体" w:cs="宋体"/>
          <w:sz w:val="24"/>
        </w:rPr>
        <w:t>联系人：赵老师</w:t>
      </w:r>
    </w:p>
    <w:p w14:paraId="4639DA18">
      <w:pPr>
        <w:spacing w:line="360" w:lineRule="auto"/>
        <w:ind w:firstLine="480"/>
        <w:rPr>
          <w:rFonts w:hint="eastAsia" w:ascii="宋体" w:hAnsi="宋体" w:cs="宋体"/>
          <w:sz w:val="24"/>
        </w:rPr>
      </w:pPr>
      <w:r>
        <w:rPr>
          <w:rFonts w:hint="eastAsia" w:ascii="宋体" w:hAnsi="宋体" w:cs="宋体"/>
          <w:sz w:val="24"/>
        </w:rPr>
        <w:t>监督投诉电话：0571-86070960</w:t>
      </w:r>
    </w:p>
    <w:p w14:paraId="1746A3EF">
      <w:pPr>
        <w:pStyle w:val="5"/>
        <w:rPr>
          <w:rFonts w:hint="eastAsia" w:asciiTheme="minorEastAsia" w:hAnsiTheme="minorEastAsia" w:eastAsiaTheme="minorEastAsia" w:cstheme="minorEastAsia"/>
          <w:color w:val="auto"/>
        </w:rPr>
      </w:pPr>
    </w:p>
    <w:p w14:paraId="41FD5893">
      <w:pPr>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若对项目采购电子交易系统操作有疑问，可登录乐采云（https://hzjyg.lecaiyun.com/），点击右侧咨询小采，获取采小蜜智能服务管家帮助，或拨打乐采云服务热线95763获取热线服务帮助。</w:t>
      </w:r>
    </w:p>
    <w:p w14:paraId="39C094C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CA问题联系电话（人工）：汇信CA 400-888-4636；天谷CA 400-087-8198。</w:t>
      </w:r>
    </w:p>
    <w:p w14:paraId="1A596419">
      <w:pPr>
        <w:widowControl/>
        <w:jc w:val="left"/>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br w:type="page"/>
      </w:r>
    </w:p>
    <w:p w14:paraId="5B4A65EF">
      <w:pPr>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第二部分</w:t>
      </w:r>
      <w:bookmarkEnd w:id="8"/>
      <w:r>
        <w:rPr>
          <w:rFonts w:hint="eastAsia" w:asciiTheme="minorEastAsia" w:hAnsiTheme="minorEastAsia" w:eastAsiaTheme="minorEastAsia" w:cstheme="minorEastAsia"/>
          <w:b/>
          <w:sz w:val="36"/>
          <w:szCs w:val="20"/>
        </w:rPr>
        <w:t xml:space="preserve"> 投标人须知</w:t>
      </w:r>
      <w:bookmarkEnd w:id="9"/>
    </w:p>
    <w:p w14:paraId="038C18AE">
      <w:pPr>
        <w:spacing w:line="360" w:lineRule="auto"/>
        <w:ind w:firstLine="3845" w:firstLineChars="1197"/>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06"/>
        <w:gridCol w:w="1546"/>
        <w:gridCol w:w="6972"/>
      </w:tblGrid>
      <w:tr w14:paraId="31C0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32" w:type="pct"/>
          </w:tcPr>
          <w:p w14:paraId="2821E0DE">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847" w:type="pct"/>
            <w:vAlign w:val="center"/>
          </w:tcPr>
          <w:p w14:paraId="0BC58477">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3820" w:type="pct"/>
            <w:vAlign w:val="center"/>
          </w:tcPr>
          <w:p w14:paraId="0D934324">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1A95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3DA74AAD">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847" w:type="pct"/>
            <w:vAlign w:val="center"/>
          </w:tcPr>
          <w:p w14:paraId="77AA2C39">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3820" w:type="pct"/>
            <w:vAlign w:val="center"/>
          </w:tcPr>
          <w:p w14:paraId="7D6F8005">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服务类。</w:t>
            </w:r>
          </w:p>
        </w:tc>
      </w:tr>
      <w:tr w14:paraId="7FD2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77BDA59A">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p>
        </w:tc>
        <w:tc>
          <w:tcPr>
            <w:tcW w:w="847" w:type="pct"/>
            <w:vAlign w:val="center"/>
          </w:tcPr>
          <w:p w14:paraId="010F8C69">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采购标的及其对应的中小企业划分标准所属行业</w:t>
            </w:r>
          </w:p>
        </w:tc>
        <w:tc>
          <w:tcPr>
            <w:tcW w:w="3820" w:type="pct"/>
            <w:vAlign w:val="center"/>
          </w:tcPr>
          <w:p w14:paraId="21B6C6B6">
            <w:pPr>
              <w:pStyle w:val="17"/>
              <w:adjustRightInd w:val="0"/>
              <w:spacing w:before="0" w:beforeAutospacing="0" w:after="0" w:afterAutospacing="0" w:line="360" w:lineRule="auto"/>
              <w:ind w:right="143" w:rightChars="6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标的：</w:t>
            </w:r>
            <w:r>
              <w:rPr>
                <w:rFonts w:hint="eastAsia" w:asciiTheme="minorEastAsia" w:hAnsiTheme="minorEastAsia" w:eastAsiaTheme="minorEastAsia" w:cstheme="minorEastAsia"/>
                <w:u w:val="single"/>
              </w:rPr>
              <w:t>杭州市美术职业学校数字底座项目</w:t>
            </w:r>
            <w:r>
              <w:rPr>
                <w:rFonts w:hint="eastAsia" w:asciiTheme="minorEastAsia" w:hAnsiTheme="minorEastAsia" w:eastAsiaTheme="minorEastAsia" w:cstheme="minorEastAsia"/>
              </w:rPr>
              <w:t>，属于</w:t>
            </w:r>
            <w:r>
              <w:rPr>
                <w:rFonts w:hint="eastAsia" w:asciiTheme="minorEastAsia" w:hAnsiTheme="minorEastAsia" w:eastAsiaTheme="minorEastAsia" w:cstheme="minorEastAsia"/>
                <w:u w:val="single"/>
              </w:rPr>
              <w:t xml:space="preserve"> （十二）软件和信息技术服务业 </w:t>
            </w:r>
            <w:r>
              <w:rPr>
                <w:rFonts w:hint="eastAsia" w:asciiTheme="minorEastAsia" w:hAnsiTheme="minorEastAsia" w:eastAsiaTheme="minorEastAsia" w:cstheme="minorEastAsia"/>
              </w:rPr>
              <w:t>；</w:t>
            </w:r>
          </w:p>
          <w:p w14:paraId="5F030563">
            <w:pPr>
              <w:pStyle w:val="3"/>
              <w:numPr>
                <w:ilvl w:val="0"/>
                <w:numId w:val="2"/>
              </w:numPr>
              <w:tabs>
                <w:tab w:val="clear" w:pos="432"/>
              </w:tabs>
              <w:ind w:left="422" w:leftChars="-5"/>
              <w:rPr>
                <w:rFonts w:hint="eastAsia" w:ascii="宋体" w:hAnsi="宋体" w:eastAsia="宋体" w:cs="宋体"/>
                <w:b w:val="0"/>
                <w:bCs w:val="0"/>
                <w:sz w:val="24"/>
                <w:szCs w:val="24"/>
              </w:rPr>
            </w:pPr>
            <w:r>
              <w:rPr>
                <w:rFonts w:hint="eastAsia" w:ascii="宋体" w:hAnsi="宋体" w:eastAsia="宋体" w:cs="宋体"/>
                <w:b w:val="0"/>
                <w:bCs w:val="0"/>
                <w:sz w:val="24"/>
                <w:szCs w:val="24"/>
              </w:rPr>
              <w:t>中小企业划分标准（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A39918">
            <w:pPr>
              <w:pStyle w:val="3"/>
              <w:tabs>
                <w:tab w:val="clear" w:pos="432"/>
              </w:tabs>
              <w:ind w:left="0" w:firstLine="0"/>
              <w:rPr>
                <w:rFonts w:hint="eastAsia" w:ascii="宋体" w:hAnsi="宋体" w:eastAsia="宋体" w:cs="宋体"/>
                <w:b w:val="0"/>
                <w:bCs w:val="0"/>
                <w:kern w:val="0"/>
                <w:sz w:val="24"/>
                <w:szCs w:val="24"/>
                <w:shd w:val="clear" w:color="auto" w:fill="FFFFFF" w:themeFill="background1"/>
                <w:lang w:val="en-US"/>
              </w:rPr>
            </w:pPr>
            <w:r>
              <w:rPr>
                <w:rFonts w:hint="eastAsia" w:ascii="宋体" w:hAnsi="宋体" w:eastAsia="宋体" w:cs="宋体"/>
                <w:b w:val="0"/>
                <w:bCs w:val="0"/>
                <w:sz w:val="24"/>
                <w:szCs w:val="24"/>
              </w:rPr>
              <w:t>（2）</w:t>
            </w:r>
            <w:r>
              <w:rPr>
                <w:rFonts w:hint="eastAsia" w:ascii="宋体" w:hAnsi="宋体" w:eastAsia="宋体" w:cs="宋体"/>
                <w:b w:val="0"/>
                <w:bCs w:val="0"/>
                <w:kern w:val="0"/>
                <w:sz w:val="24"/>
                <w:szCs w:val="24"/>
                <w:shd w:val="clear" w:color="auto" w:fill="FFFFFF" w:themeFill="background1"/>
                <w:lang w:val="en-US"/>
              </w:rPr>
              <w:t>中小企业扶持力度：</w:t>
            </w:r>
          </w:p>
          <w:p w14:paraId="7B966E95">
            <w:pPr>
              <w:pStyle w:val="3"/>
              <w:tabs>
                <w:tab w:val="clear" w:pos="432"/>
              </w:tabs>
              <w:ind w:left="12" w:hanging="12" w:hangingChars="5"/>
              <w:rPr>
                <w:rFonts w:hint="eastAsia" w:ascii="宋体" w:hAnsi="宋体" w:eastAsia="宋体" w:cs="宋体"/>
                <w:kern w:val="0"/>
                <w:sz w:val="24"/>
                <w:szCs w:val="24"/>
                <w:shd w:val="clear" w:color="auto" w:fill="FFFFFF" w:themeFill="background1"/>
                <w:lang w:val="en-US"/>
              </w:rPr>
            </w:pPr>
            <w:r>
              <w:rPr>
                <w:rFonts w:hint="eastAsia" w:ascii="宋体" w:hAnsi="宋体" w:eastAsia="宋体" w:cs="宋体"/>
                <w:kern w:val="0"/>
                <w:sz w:val="24"/>
                <w:szCs w:val="24"/>
                <w:shd w:val="clear" w:color="auto" w:fill="FFFFFF" w:themeFill="background1"/>
              </w:rPr>
              <w:sym w:font="Wingdings" w:char="00FE"/>
            </w:r>
            <w:r>
              <w:rPr>
                <w:rFonts w:hint="eastAsia" w:ascii="宋体" w:hAnsi="宋体" w:eastAsia="宋体" w:cs="宋体"/>
                <w:kern w:val="0"/>
                <w:sz w:val="24"/>
                <w:szCs w:val="24"/>
                <w:shd w:val="clear" w:color="auto" w:fill="FFFFFF" w:themeFill="background1"/>
                <w:lang w:val="en-US"/>
              </w:rPr>
              <w:t>A本项目专门面向中小企业，不做价格扶持。</w:t>
            </w:r>
          </w:p>
          <w:p w14:paraId="13CF169D">
            <w:pPr>
              <w:pStyle w:val="3"/>
              <w:tabs>
                <w:tab w:val="clear" w:pos="432"/>
              </w:tabs>
              <w:ind w:left="12" w:hanging="12" w:hangingChars="5"/>
              <w:rPr>
                <w:rFonts w:hint="eastAsia" w:ascii="宋体" w:hAnsi="宋体" w:eastAsia="宋体" w:cs="宋体"/>
                <w:b w:val="0"/>
                <w:bCs w:val="0"/>
                <w:kern w:val="0"/>
                <w:sz w:val="24"/>
                <w:szCs w:val="24"/>
                <w:shd w:val="clear" w:color="auto" w:fill="FFFFFF" w:themeFill="background1"/>
                <w:lang w:val="en-US"/>
              </w:rPr>
            </w:pPr>
            <w:r>
              <w:rPr>
                <w:rFonts w:hint="eastAsia" w:ascii="宋体" w:hAnsi="宋体" w:eastAsia="宋体" w:cs="宋体"/>
                <w:b w:val="0"/>
                <w:bCs w:val="0"/>
                <w:kern w:val="0"/>
                <w:sz w:val="24"/>
                <w:szCs w:val="24"/>
                <w:shd w:val="clear" w:color="auto" w:fill="FFFFFF" w:themeFill="background1"/>
              </w:rPr>
              <w:sym w:font="Wingdings" w:char="00A8"/>
            </w:r>
            <w:r>
              <w:rPr>
                <w:rFonts w:hint="eastAsia" w:ascii="宋体" w:hAnsi="宋体" w:eastAsia="宋体" w:cs="宋体"/>
                <w:b w:val="0"/>
                <w:bCs w:val="0"/>
                <w:kern w:val="0"/>
                <w:sz w:val="24"/>
                <w:szCs w:val="24"/>
                <w:shd w:val="clear" w:color="auto" w:fill="FFFFFF" w:themeFill="background1"/>
                <w:lang w:val="en-US"/>
              </w:rPr>
              <w:t>B本项目预留</w:t>
            </w:r>
            <w:r>
              <w:rPr>
                <w:rFonts w:hint="eastAsia" w:ascii="宋体" w:hAnsi="宋体" w:eastAsia="宋体" w:cs="宋体"/>
                <w:b w:val="0"/>
                <w:bCs w:val="0"/>
                <w:kern w:val="0"/>
                <w:sz w:val="24"/>
                <w:szCs w:val="24"/>
                <w:u w:val="single"/>
                <w:shd w:val="clear" w:color="auto" w:fill="FFFFFF" w:themeFill="background1"/>
                <w:lang w:val="en-US"/>
              </w:rPr>
              <w:t xml:space="preserve"> 40 </w:t>
            </w:r>
            <w:r>
              <w:rPr>
                <w:rFonts w:hint="eastAsia" w:ascii="宋体" w:hAnsi="宋体" w:eastAsia="宋体" w:cs="宋体"/>
                <w:b w:val="0"/>
                <w:bCs w:val="0"/>
                <w:kern w:val="0"/>
                <w:sz w:val="24"/>
                <w:szCs w:val="24"/>
                <w:u w:val="single"/>
                <w:shd w:val="clear" w:color="auto" w:fill="FFFFFF" w:themeFill="background1"/>
              </w:rPr>
              <w:t>%</w:t>
            </w:r>
            <w:r>
              <w:rPr>
                <w:rFonts w:hint="eastAsia" w:ascii="宋体" w:hAnsi="宋体" w:eastAsia="宋体" w:cs="宋体"/>
                <w:b w:val="0"/>
                <w:bCs w:val="0"/>
                <w:kern w:val="0"/>
                <w:sz w:val="24"/>
                <w:szCs w:val="24"/>
                <w:shd w:val="clear" w:color="auto" w:fill="FFFFFF" w:themeFill="background1"/>
                <w:lang w:val="en-US"/>
              </w:rPr>
              <w:t>份额给中小企业，其中</w:t>
            </w:r>
            <w:r>
              <w:rPr>
                <w:rFonts w:hint="eastAsia" w:ascii="宋体" w:hAnsi="宋体" w:eastAsia="宋体" w:cs="宋体"/>
                <w:b w:val="0"/>
                <w:bCs w:val="0"/>
                <w:kern w:val="0"/>
                <w:sz w:val="24"/>
                <w:szCs w:val="24"/>
                <w:u w:val="single"/>
                <w:shd w:val="clear" w:color="auto" w:fill="FFFFFF" w:themeFill="background1"/>
                <w:lang w:val="en-US"/>
              </w:rPr>
              <w:t xml:space="preserve"> 70 </w:t>
            </w:r>
            <w:r>
              <w:rPr>
                <w:rFonts w:hint="eastAsia" w:ascii="宋体" w:hAnsi="宋体" w:eastAsia="宋体" w:cs="宋体"/>
                <w:b w:val="0"/>
                <w:bCs w:val="0"/>
                <w:kern w:val="0"/>
                <w:sz w:val="24"/>
                <w:szCs w:val="24"/>
                <w:u w:val="single"/>
                <w:shd w:val="clear" w:color="auto" w:fill="FFFFFF" w:themeFill="background1"/>
              </w:rPr>
              <w:t>%</w:t>
            </w:r>
            <w:r>
              <w:rPr>
                <w:rFonts w:hint="eastAsia" w:ascii="宋体" w:hAnsi="宋体" w:eastAsia="宋体" w:cs="宋体"/>
                <w:b w:val="0"/>
                <w:bCs w:val="0"/>
                <w:kern w:val="0"/>
                <w:sz w:val="24"/>
                <w:szCs w:val="24"/>
                <w:shd w:val="clear" w:color="auto" w:fill="FFFFFF" w:themeFill="background1"/>
                <w:lang w:val="en-US"/>
              </w:rPr>
              <w:t>给小微企业，不再做价格扶持；</w:t>
            </w:r>
          </w:p>
          <w:p w14:paraId="3E61A254">
            <w:pPr>
              <w:pStyle w:val="17"/>
              <w:adjustRightInd w:val="0"/>
              <w:spacing w:before="0" w:beforeAutospacing="0" w:after="0" w:afterAutospacing="0" w:line="360" w:lineRule="auto"/>
              <w:ind w:right="143" w:rightChars="68"/>
              <w:jc w:val="both"/>
              <w:rPr>
                <w:rFonts w:hint="eastAsia" w:asciiTheme="minorEastAsia" w:hAnsiTheme="minorEastAsia" w:eastAsiaTheme="minorEastAsia" w:cstheme="minorEastAsia"/>
              </w:rPr>
            </w:pPr>
            <w:r>
              <w:rPr>
                <w:rFonts w:hint="eastAsia" w:cs="宋体"/>
                <w:szCs w:val="24"/>
                <w:shd w:val="clear" w:color="auto" w:fill="FFFFFF" w:themeFill="background1"/>
              </w:rPr>
              <w:sym w:font="Wingdings" w:char="00A8"/>
            </w:r>
            <w:r>
              <w:rPr>
                <w:rFonts w:hint="eastAsia" w:cs="宋体"/>
                <w:szCs w:val="24"/>
                <w:shd w:val="clear" w:color="auto" w:fill="FFFFFF" w:themeFill="background1"/>
              </w:rPr>
              <w:t>C对于未预留份额专门面向中小企业的政府采购服务项目，以及预留份额政府采购服务项目中的非预留部分标项，对小型和微型企业的投标报价给予</w:t>
            </w:r>
            <w:r>
              <w:rPr>
                <w:rFonts w:hint="eastAsia" w:cs="宋体"/>
                <w:szCs w:val="24"/>
                <w:u w:val="single"/>
                <w:shd w:val="clear" w:color="auto" w:fill="FFFFFF" w:themeFill="background1"/>
              </w:rPr>
              <w:t>10</w:t>
            </w:r>
            <w:r>
              <w:rPr>
                <w:rFonts w:hint="eastAsia" w:cs="宋体"/>
                <w:szCs w:val="24"/>
                <w:shd w:val="clear" w:color="auto" w:fill="FFFFFF" w:themeFill="background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宋体"/>
                <w:szCs w:val="24"/>
                <w:u w:val="single"/>
                <w:shd w:val="clear" w:color="auto" w:fill="FFFFFF" w:themeFill="background1"/>
              </w:rPr>
              <w:t>4%</w:t>
            </w:r>
            <w:r>
              <w:rPr>
                <w:rFonts w:hint="eastAsia" w:cs="宋体"/>
                <w:szCs w:val="24"/>
                <w:shd w:val="clear" w:color="auto" w:fill="FFFFFF" w:themeFill="background1"/>
              </w:rPr>
              <w:t>的扣除，用扣除后的价格参加评审。组成联合体或者接受分包的小微企业与联合体内其他企业、分包企业之间存在直接控股、管理关系的，不享受价格扣除优惠政策。</w:t>
            </w:r>
          </w:p>
        </w:tc>
      </w:tr>
      <w:tr w14:paraId="2B74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5624EC35">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p>
        </w:tc>
        <w:tc>
          <w:tcPr>
            <w:tcW w:w="847" w:type="pct"/>
            <w:vAlign w:val="center"/>
          </w:tcPr>
          <w:p w14:paraId="6D6B6E33">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3820" w:type="pct"/>
            <w:vAlign w:val="center"/>
          </w:tcPr>
          <w:p w14:paraId="76178279">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sym w:font="Wingdings" w:char="F0FE"/>
            </w:r>
            <w:r>
              <w:rPr>
                <w:rFonts w:hint="eastAsia" w:asciiTheme="minorEastAsia" w:hAnsiTheme="minorEastAsia" w:eastAsiaTheme="minorEastAsia" w:cstheme="minorEastAsia"/>
                <w:b/>
                <w:bCs/>
                <w:kern w:val="0"/>
                <w:sz w:val="24"/>
              </w:rPr>
              <w:t>A本项目不允许采购进口产品；</w:t>
            </w:r>
          </w:p>
          <w:p w14:paraId="70FC4885">
            <w:pPr>
              <w:adjustRightInd w:val="0"/>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☐B可以就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采购进口产品。优先采购向我国企业转让技术、与我国企业签订消化吸收再创新方案的供应商的进口产品，详见</w:t>
            </w:r>
            <w:r>
              <w:rPr>
                <w:rFonts w:hint="eastAsia" w:asciiTheme="minorEastAsia" w:hAnsiTheme="minorEastAsia" w:eastAsiaTheme="minorEastAsia" w:cstheme="minorEastAsia"/>
                <w:kern w:val="0"/>
                <w:sz w:val="24"/>
                <w:u w:val="single"/>
              </w:rPr>
              <w:t>评分标准</w:t>
            </w:r>
            <w:r>
              <w:rPr>
                <w:rFonts w:hint="eastAsia" w:asciiTheme="minorEastAsia" w:hAnsiTheme="minorEastAsia" w:eastAsiaTheme="minorEastAsia" w:cstheme="minorEastAsia"/>
                <w:kern w:val="0"/>
                <w:sz w:val="24"/>
              </w:rPr>
              <w:t>。</w:t>
            </w:r>
          </w:p>
        </w:tc>
      </w:tr>
      <w:tr w14:paraId="3BA2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1663C373">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4</w:t>
            </w:r>
          </w:p>
        </w:tc>
        <w:tc>
          <w:tcPr>
            <w:tcW w:w="847" w:type="pct"/>
            <w:vAlign w:val="center"/>
          </w:tcPr>
          <w:p w14:paraId="754D634A">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3820" w:type="pct"/>
            <w:vAlign w:val="center"/>
          </w:tcPr>
          <w:p w14:paraId="78D44A32">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szCs w:val="24"/>
              </w:rPr>
              <w:sym w:font="Wingdings" w:char="00A8"/>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同意将非主体、非关键性的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工作分包（需报备，经采购人同意）；</w:t>
            </w:r>
          </w:p>
          <w:p w14:paraId="75ED2641">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szCs w:val="24"/>
              </w:rPr>
              <w:sym w:font="Wingdings" w:char="00FE"/>
            </w:r>
            <w:r>
              <w:rPr>
                <w:rFonts w:hint="eastAsia" w:asciiTheme="minorEastAsia" w:hAnsiTheme="minorEastAsia" w:eastAsiaTheme="minorEastAsia" w:cstheme="minorEastAsia"/>
                <w:b/>
                <w:bCs/>
                <w:kern w:val="0"/>
                <w:sz w:val="24"/>
              </w:rPr>
              <w:t>B</w:t>
            </w:r>
            <w:r>
              <w:rPr>
                <w:rFonts w:hint="eastAsia" w:asciiTheme="minorEastAsia" w:hAnsiTheme="minorEastAsia" w:eastAsiaTheme="minorEastAsia" w:cstheme="minorEastAsia"/>
                <w:b/>
                <w:bCs/>
                <w:sz w:val="24"/>
              </w:rPr>
              <w:t>不同意分包。</w:t>
            </w:r>
          </w:p>
        </w:tc>
      </w:tr>
      <w:tr w14:paraId="3F24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07F4D202">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w:t>
            </w:r>
          </w:p>
        </w:tc>
        <w:tc>
          <w:tcPr>
            <w:tcW w:w="847" w:type="pct"/>
            <w:vAlign w:val="center"/>
          </w:tcPr>
          <w:p w14:paraId="04553A4A">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3820" w:type="pct"/>
            <w:vAlign w:val="center"/>
          </w:tcPr>
          <w:p w14:paraId="0AB82EC1">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sym w:font="Wingdings" w:char="00FE"/>
            </w:r>
            <w:r>
              <w:rPr>
                <w:rFonts w:hint="eastAsia" w:asciiTheme="minorEastAsia" w:hAnsiTheme="minorEastAsia" w:eastAsiaTheme="minorEastAsia" w:cstheme="minorEastAsia"/>
                <w:b/>
                <w:bCs/>
                <w:kern w:val="0"/>
                <w:sz w:val="24"/>
              </w:rPr>
              <w:t>A</w:t>
            </w:r>
            <w:r>
              <w:rPr>
                <w:rFonts w:hint="eastAsia" w:asciiTheme="minorEastAsia" w:hAnsiTheme="minorEastAsia" w:eastAsiaTheme="minorEastAsia" w:cstheme="minorEastAsia"/>
                <w:b/>
                <w:bCs/>
                <w:sz w:val="24"/>
              </w:rPr>
              <w:t>不组织；</w:t>
            </w:r>
          </w:p>
          <w:p w14:paraId="37437ACD">
            <w:pPr>
              <w:adjustRightInd w:val="0"/>
              <w:snapToGrid w:val="0"/>
              <w:spacing w:line="360" w:lineRule="auto"/>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kern w:val="0"/>
                <w:sz w:val="24"/>
              </w:rPr>
              <w:t>☐B组织，</w:t>
            </w: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szCs w:val="20"/>
              </w:rPr>
              <w:t>。</w:t>
            </w:r>
          </w:p>
        </w:tc>
      </w:tr>
      <w:tr w14:paraId="503F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00A03DCC">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6</w:t>
            </w:r>
          </w:p>
        </w:tc>
        <w:tc>
          <w:tcPr>
            <w:tcW w:w="847" w:type="pct"/>
            <w:vAlign w:val="center"/>
          </w:tcPr>
          <w:p w14:paraId="53DA981C">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履约保证金</w:t>
            </w:r>
          </w:p>
        </w:tc>
        <w:tc>
          <w:tcPr>
            <w:tcW w:w="3820" w:type="pct"/>
            <w:vAlign w:val="center"/>
          </w:tcPr>
          <w:p w14:paraId="7ED0446B">
            <w:pPr>
              <w:adjustRightInd w:val="0"/>
              <w:snapToGrid w:val="0"/>
              <w:spacing w:line="360" w:lineRule="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 w:val="24"/>
              </w:rPr>
              <w:sym w:font="Wingdings" w:char="00FE"/>
            </w:r>
            <w:r>
              <w:rPr>
                <w:rFonts w:hint="eastAsia" w:asciiTheme="minorEastAsia" w:hAnsiTheme="minorEastAsia" w:eastAsiaTheme="minorEastAsia" w:cstheme="minorEastAsia"/>
                <w:b/>
                <w:bCs/>
                <w:kern w:val="0"/>
                <w:sz w:val="24"/>
              </w:rPr>
              <w:t>A本项目不设履约保证金；</w:t>
            </w:r>
          </w:p>
          <w:p w14:paraId="46C256C5">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sym w:font="Wingdings" w:char="00A8"/>
            </w:r>
            <w:r>
              <w:rPr>
                <w:rFonts w:hint="eastAsia" w:asciiTheme="minorEastAsia" w:hAnsiTheme="minorEastAsia" w:eastAsiaTheme="minorEastAsia" w:cstheme="minorEastAsia"/>
                <w:snapToGrid w:val="0"/>
                <w:kern w:val="0"/>
                <w:sz w:val="24"/>
              </w:rPr>
              <w:t>B</w:t>
            </w:r>
            <w:r>
              <w:rPr>
                <w:rFonts w:hint="eastAsia" w:asciiTheme="minorEastAsia" w:hAnsiTheme="minorEastAsia" w:eastAsiaTheme="minorEastAsia" w:cstheme="minorEastAsia"/>
                <w:kern w:val="0"/>
                <w:sz w:val="24"/>
              </w:rPr>
              <w:t>中标供应商在合同签订后7个工作日内，须向采购人提交合同金额最高</w:t>
            </w:r>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的履约保证金。履约保证金以金融机构、担保机构出具的保函等非现金形式缴纳。</w:t>
            </w:r>
          </w:p>
        </w:tc>
      </w:tr>
      <w:tr w14:paraId="0D48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049BF73E">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p>
        </w:tc>
        <w:tc>
          <w:tcPr>
            <w:tcW w:w="847" w:type="pct"/>
            <w:vAlign w:val="center"/>
          </w:tcPr>
          <w:p w14:paraId="2F1E17E8">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3820" w:type="pct"/>
            <w:vAlign w:val="center"/>
          </w:tcPr>
          <w:p w14:paraId="2037D025">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sym w:font="Wingdings" w:char="00FE"/>
            </w:r>
            <w:r>
              <w:rPr>
                <w:rFonts w:hint="eastAsia" w:asciiTheme="minorEastAsia" w:hAnsiTheme="minorEastAsia" w:eastAsiaTheme="minorEastAsia" w:cstheme="minorEastAsia"/>
                <w:b/>
                <w:bCs/>
                <w:kern w:val="0"/>
                <w:sz w:val="24"/>
              </w:rPr>
              <w:t>A</w:t>
            </w:r>
            <w:r>
              <w:rPr>
                <w:rFonts w:hint="eastAsia" w:asciiTheme="minorEastAsia" w:hAnsiTheme="minorEastAsia" w:eastAsiaTheme="minorEastAsia" w:cstheme="minorEastAsia"/>
                <w:b/>
                <w:bCs/>
                <w:sz w:val="24"/>
              </w:rPr>
              <w:t>不要求提供；</w:t>
            </w:r>
          </w:p>
          <w:p w14:paraId="7C2D28D1">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☐B要求提供（未提供样品或提供样品不满足采购需求实质性条件的供应商，投标无效）：</w:t>
            </w:r>
          </w:p>
          <w:p w14:paraId="125C6EDD">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snapToGrid w:val="0"/>
                <w:kern w:val="28"/>
                <w:sz w:val="24"/>
              </w:rPr>
              <w:t>样品：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w:t>
            </w:r>
          </w:p>
          <w:p w14:paraId="54B6A3D8">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snapToGrid w:val="0"/>
                <w:kern w:val="28"/>
                <w:sz w:val="24"/>
              </w:rPr>
              <w:t>样品制作的标准和要求：</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w:t>
            </w:r>
          </w:p>
          <w:p w14:paraId="230C58AE">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kern w:val="0"/>
                <w:sz w:val="24"/>
              </w:rPr>
              <w:t>（3）样品的评审方法以及评审标准</w:t>
            </w:r>
            <w:r>
              <w:rPr>
                <w:rFonts w:hint="eastAsia" w:asciiTheme="minorEastAsia" w:hAnsiTheme="minorEastAsia" w:eastAsiaTheme="minorEastAsia" w:cstheme="minorEastAsia"/>
                <w:snapToGrid w:val="0"/>
                <w:kern w:val="28"/>
                <w:sz w:val="24"/>
              </w:rPr>
              <w:t>：</w:t>
            </w:r>
          </w:p>
          <w:p w14:paraId="5C844B5C">
            <w:pPr>
              <w:spacing w:line="360" w:lineRule="auto"/>
              <w:ind w:firstLine="240" w:firstLineChars="100"/>
              <w:rPr>
                <w:rFonts w:hint="eastAsia"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3126820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z w:val="24"/>
              </w:rPr>
              <w:t>样品分未超过价格分的50%；</w:t>
            </w:r>
          </w:p>
          <w:p w14:paraId="7E8C7539">
            <w:pPr>
              <w:spacing w:line="360" w:lineRule="auto"/>
              <w:ind w:firstLine="240" w:firstLineChars="100"/>
              <w:rPr>
                <w:rFonts w:hint="eastAsia" w:asciiTheme="minorEastAsia" w:hAnsiTheme="minorEastAsia" w:eastAsiaTheme="minorEastAsia" w:cstheme="minorEastAsia"/>
                <w:kern w:val="0"/>
                <w:sz w:val="24"/>
              </w:rPr>
            </w:pPr>
            <w:sdt>
              <w:sdtPr>
                <w:rPr>
                  <w:rFonts w:hint="eastAsia" w:asciiTheme="minorEastAsia" w:hAnsiTheme="minorEastAsia" w:eastAsiaTheme="minorEastAsia" w:cstheme="minorEastAsia"/>
                  <w:kern w:val="0"/>
                  <w:sz w:val="24"/>
                </w:rPr>
                <w:id w:val="50093531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z w:val="24"/>
              </w:rPr>
              <w:t>样品分超过价格分的50%，理由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w:t>
            </w:r>
          </w:p>
          <w:p w14:paraId="7C91292C">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napToGrid w:val="0"/>
                <w:kern w:val="28"/>
                <w:sz w:val="24"/>
              </w:rPr>
              <w:t>详见招标文件第四部分</w:t>
            </w:r>
            <w:r>
              <w:rPr>
                <w:rFonts w:hint="eastAsia" w:asciiTheme="minorEastAsia" w:hAnsiTheme="minorEastAsia" w:eastAsiaTheme="minorEastAsia" w:cstheme="minorEastAsia"/>
                <w:sz w:val="24"/>
                <w:u w:val="single"/>
              </w:rPr>
              <w:t>评标办分法</w:t>
            </w:r>
            <w:r>
              <w:rPr>
                <w:rFonts w:hint="eastAsia" w:asciiTheme="minorEastAsia" w:hAnsiTheme="minorEastAsia" w:eastAsiaTheme="minorEastAsia" w:cstheme="minorEastAsia"/>
                <w:kern w:val="0"/>
                <w:sz w:val="24"/>
              </w:rPr>
              <w:t xml:space="preserve">。 </w:t>
            </w:r>
          </w:p>
          <w:p w14:paraId="3350820B">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（4）是否需要随样品提交检测报告：☐否；☐是，检测机构的要求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；检测内容</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w:t>
            </w:r>
          </w:p>
          <w:p w14:paraId="4CE2A948">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（5）提供样品的时间：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；联系人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28"/>
                <w:sz w:val="24"/>
              </w:rPr>
              <w:t>联系电话：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。请投标人在上述时间内提供样品并按规定位置安装完毕。超过截止时间的，采购人或采购代理机构将不予接收，并将清场并封闭样品现场。</w:t>
            </w:r>
          </w:p>
          <w:p w14:paraId="503F301C">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E55E02">
            <w:pPr>
              <w:adjustRightInd w:val="0"/>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（7）制作、运输、安装和保管样品所发生的一切费用由投标人自理。</w:t>
            </w:r>
          </w:p>
        </w:tc>
      </w:tr>
      <w:tr w14:paraId="72C2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4D6EA881">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8</w:t>
            </w:r>
          </w:p>
        </w:tc>
        <w:tc>
          <w:tcPr>
            <w:tcW w:w="1546" w:type="dxa"/>
            <w:vAlign w:val="center"/>
          </w:tcPr>
          <w:p w14:paraId="4135D0BF">
            <w:pPr>
              <w:snapToGrid w:val="0"/>
              <w:spacing w:line="360" w:lineRule="auto"/>
              <w:jc w:val="center"/>
              <w:rPr>
                <w:rFonts w:hint="eastAsia" w:asciiTheme="minorEastAsia" w:hAnsiTheme="minorEastAsia" w:eastAsiaTheme="minorEastAsia" w:cstheme="minorEastAsia"/>
                <w:bCs/>
                <w:sz w:val="24"/>
              </w:rPr>
            </w:pPr>
            <w:r>
              <w:rPr>
                <w:rFonts w:hint="eastAsia" w:ascii="宋体" w:hAnsi="宋体" w:cs="仿宋_GB2312"/>
                <w:b/>
                <w:bCs w:val="0"/>
                <w:color w:val="auto"/>
                <w:sz w:val="24"/>
                <w:highlight w:val="none"/>
              </w:rPr>
              <w:t>方案讲解演示</w:t>
            </w:r>
          </w:p>
        </w:tc>
        <w:tc>
          <w:tcPr>
            <w:tcW w:w="6973" w:type="dxa"/>
            <w:vAlign w:val="center"/>
          </w:tcPr>
          <w:p w14:paraId="7E5EF25E">
            <w:pPr>
              <w:spacing w:line="360" w:lineRule="auto"/>
              <w:ind w:right="143" w:rightChars="68" w:firstLine="81" w:firstLineChars="34"/>
              <w:jc w:val="left"/>
              <w:rPr>
                <w:rFonts w:ascii="宋体" w:hAnsi="宋体"/>
                <w:b w:val="0"/>
                <w:bCs/>
                <w:color w:val="auto"/>
                <w:sz w:val="24"/>
                <w:highlight w:val="none"/>
              </w:rPr>
            </w:pPr>
            <w:r>
              <w:rPr>
                <w:rFonts w:hint="eastAsia" w:ascii="宋体" w:hAnsi="宋体" w:cs="宋体"/>
                <w:b w:val="0"/>
                <w:bCs/>
                <w:color w:val="auto"/>
                <w:sz w:val="24"/>
                <w:highlight w:val="none"/>
              </w:rPr>
              <w:sym w:font="Wingdings 2" w:char="00A3"/>
            </w:r>
            <w:r>
              <w:rPr>
                <w:rFonts w:hint="eastAsia" w:ascii="宋体" w:hAnsi="MS Gothic" w:cs="Arial"/>
                <w:b w:val="0"/>
                <w:bCs/>
                <w:color w:val="auto"/>
                <w:sz w:val="24"/>
                <w:highlight w:val="none"/>
              </w:rPr>
              <w:t xml:space="preserve"> </w:t>
            </w:r>
            <w:r>
              <w:rPr>
                <w:rFonts w:hint="eastAsia" w:ascii="宋体" w:hAnsi="宋体" w:cs="Arial"/>
                <w:b w:val="0"/>
                <w:bCs/>
                <w:color w:val="auto"/>
                <w:sz w:val="24"/>
                <w:highlight w:val="none"/>
              </w:rPr>
              <w:t>A</w:t>
            </w:r>
            <w:r>
              <w:rPr>
                <w:rFonts w:hint="eastAsia" w:ascii="宋体" w:hAnsi="宋体"/>
                <w:b w:val="0"/>
                <w:bCs/>
                <w:color w:val="auto"/>
                <w:sz w:val="24"/>
                <w:highlight w:val="none"/>
              </w:rPr>
              <w:t>不组织；</w:t>
            </w:r>
          </w:p>
          <w:p w14:paraId="51C13817">
            <w:pPr>
              <w:spacing w:line="360" w:lineRule="auto"/>
              <w:ind w:right="143" w:rightChars="68" w:firstLine="82" w:firstLineChars="34"/>
              <w:jc w:val="left"/>
              <w:rPr>
                <w:rFonts w:ascii="宋体" w:hAnsi="宋体"/>
                <w:b/>
                <w:bCs w:val="0"/>
                <w:color w:val="auto"/>
                <w:sz w:val="24"/>
                <w:highlight w:val="none"/>
              </w:rPr>
            </w:pPr>
            <w:r>
              <w:rPr>
                <w:rFonts w:hint="eastAsia" w:ascii="宋体" w:hAnsi="宋体" w:cs="宋体"/>
                <w:b/>
                <w:bCs w:val="0"/>
                <w:color w:val="auto"/>
                <w:sz w:val="24"/>
                <w:highlight w:val="none"/>
              </w:rPr>
              <w:sym w:font="Wingdings 2" w:char="0052"/>
            </w:r>
            <w:r>
              <w:rPr>
                <w:rFonts w:hint="eastAsia" w:ascii="宋体" w:hAnsi="MS Gothic" w:cs="Arial"/>
                <w:b/>
                <w:bCs w:val="0"/>
                <w:color w:val="auto"/>
                <w:sz w:val="24"/>
                <w:highlight w:val="none"/>
              </w:rPr>
              <w:t xml:space="preserve"> </w:t>
            </w:r>
            <w:r>
              <w:rPr>
                <w:rFonts w:hint="eastAsia" w:ascii="宋体" w:hAnsi="宋体"/>
                <w:b/>
                <w:bCs w:val="0"/>
                <w:color w:val="auto"/>
                <w:sz w:val="24"/>
                <w:highlight w:val="none"/>
              </w:rPr>
              <w:t>B组织。</w:t>
            </w:r>
          </w:p>
          <w:p w14:paraId="260E22D6">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（1）在评标时安排每个投标人进行方案讲解演示。每个投标人时间不超过</w:t>
            </w:r>
            <w:r>
              <w:rPr>
                <w:rFonts w:hint="eastAsia" w:ascii="宋体" w:hAnsi="宋体"/>
                <w:bCs/>
                <w:color w:val="auto"/>
                <w:sz w:val="24"/>
                <w:highlight w:val="none"/>
                <w:lang w:val="en-US" w:eastAsia="zh-CN"/>
              </w:rPr>
              <w:t>15</w:t>
            </w:r>
            <w:r>
              <w:rPr>
                <w:rFonts w:hint="eastAsia" w:ascii="宋体" w:hAnsi="宋体"/>
                <w:bCs/>
                <w:color w:val="auto"/>
                <w:sz w:val="24"/>
                <w:highlight w:val="none"/>
              </w:rPr>
              <w:t>分钟，讲解次序以投标文件解密时间先后次序为准，讲解演示人员不超过3人。讲解演示结束后按要求解答评标委员会提问。</w:t>
            </w:r>
          </w:p>
          <w:p w14:paraId="7C81DFEE">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（2）方案讲解演示可选择以下其中一种方式：</w:t>
            </w:r>
          </w:p>
          <w:p w14:paraId="261050DD">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方式一：录屏讲解演示：若投标人不到现场，提供演示录屏（视频格式为非常规格式提供视频安装软件，以免无法播放），可与备份文件一起邮寄，需明确备注。</w:t>
            </w:r>
          </w:p>
          <w:p w14:paraId="2DB510DD">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注：因投标人自身原因导致无法演示或者演示效果不理想的，责任自负。</w:t>
            </w:r>
          </w:p>
          <w:p w14:paraId="2E39135C">
            <w:pPr>
              <w:snapToGrid w:val="0"/>
              <w:spacing w:line="360" w:lineRule="auto"/>
              <w:ind w:right="143" w:rightChars="68" w:firstLine="81" w:firstLineChars="34"/>
              <w:jc w:val="left"/>
              <w:rPr>
                <w:rFonts w:hint="eastAsia" w:asciiTheme="minorEastAsia" w:hAnsiTheme="minorEastAsia" w:eastAsiaTheme="minorEastAsia" w:cstheme="minorEastAsia"/>
                <w:b/>
                <w:kern w:val="0"/>
                <w:sz w:val="24"/>
                <w:lang w:val="zh-CN"/>
              </w:rPr>
            </w:pPr>
            <w:r>
              <w:rPr>
                <w:rFonts w:hint="eastAsia" w:ascii="宋体" w:hAnsi="宋体"/>
                <w:bCs/>
                <w:color w:val="auto"/>
                <w:sz w:val="24"/>
                <w:highlight w:val="none"/>
              </w:rPr>
              <w:t>方式二：现场讲解演示：地点为</w:t>
            </w:r>
            <w:r>
              <w:rPr>
                <w:rFonts w:hint="eastAsia" w:ascii="宋体" w:hAnsi="宋体"/>
                <w:bCs/>
                <w:color w:val="auto"/>
                <w:sz w:val="24"/>
                <w:highlight w:val="none"/>
                <w:u w:val="single"/>
              </w:rPr>
              <w:t xml:space="preserve">  杭州市上城区环站东路99号云峰大厦1号楼16楼评标室 </w:t>
            </w:r>
            <w:r>
              <w:rPr>
                <w:rFonts w:hint="eastAsia" w:ascii="宋体" w:hAnsi="宋体"/>
                <w:bCs/>
                <w:color w:val="auto"/>
                <w:sz w:val="24"/>
                <w:highlight w:val="none"/>
              </w:rPr>
              <w:t>，讲解演示所用电脑等设备由投标人自备。现场讲解演示人员进场时提供讲解人员名单（加盖公章）及身份证明，否则不得讲解演示。</w:t>
            </w:r>
          </w:p>
        </w:tc>
      </w:tr>
      <w:tr w14:paraId="0948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31AA38A0">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9</w:t>
            </w:r>
          </w:p>
        </w:tc>
        <w:tc>
          <w:tcPr>
            <w:tcW w:w="847" w:type="pct"/>
            <w:vAlign w:val="center"/>
          </w:tcPr>
          <w:p w14:paraId="7F8CAA8F">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投标人应当提供的资格、资信证明文件</w:t>
            </w:r>
          </w:p>
        </w:tc>
        <w:tc>
          <w:tcPr>
            <w:tcW w:w="3820" w:type="pct"/>
            <w:vAlign w:val="center"/>
          </w:tcPr>
          <w:p w14:paraId="7CACDA0C">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（1）资格证明文件：见招标文件第二部分11.1。</w:t>
            </w:r>
          </w:p>
          <w:p w14:paraId="61860922">
            <w:pPr>
              <w:adjustRightInd w:val="0"/>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投标人未提供有效的资格证明文件的，视为投标人不具备招标文件中规定的资格要求，投标无效。</w:t>
            </w:r>
          </w:p>
          <w:p w14:paraId="7B59BD19">
            <w:pPr>
              <w:adjustRightInd w:val="0"/>
              <w:snapToGrid w:val="0"/>
              <w:spacing w:line="360" w:lineRule="auto"/>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z w:val="24"/>
              </w:rPr>
              <w:t>（2）资信证明文件：根据招标文件第四部分评标标准提供。</w:t>
            </w:r>
          </w:p>
        </w:tc>
      </w:tr>
      <w:tr w14:paraId="1632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03245052">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10</w:t>
            </w:r>
          </w:p>
        </w:tc>
        <w:tc>
          <w:tcPr>
            <w:tcW w:w="847" w:type="pct"/>
            <w:vAlign w:val="center"/>
          </w:tcPr>
          <w:p w14:paraId="1F6B31B2">
            <w:pPr>
              <w:snapToGrid w:val="0"/>
              <w:spacing w:line="360" w:lineRule="auto"/>
              <w:jc w:val="left"/>
              <w:rPr>
                <w:rFonts w:hint="eastAsia" w:asciiTheme="minorEastAsia" w:hAnsiTheme="minorEastAsia" w:eastAsiaTheme="minorEastAsia" w:cstheme="minorEastAsia"/>
                <w:b/>
                <w:sz w:val="24"/>
              </w:rPr>
            </w:pPr>
            <w:r>
              <w:rPr>
                <w:rFonts w:hint="eastAsia" w:ascii="宋体" w:hAnsi="宋体" w:cs="宋体"/>
                <w:b/>
                <w:sz w:val="24"/>
              </w:rPr>
              <w:t>节能产品、环境标志产品</w:t>
            </w:r>
          </w:p>
        </w:tc>
        <w:tc>
          <w:tcPr>
            <w:tcW w:w="3820" w:type="pct"/>
            <w:vAlign w:val="center"/>
          </w:tcPr>
          <w:p w14:paraId="7FFD5FEF">
            <w:pPr>
              <w:snapToGrid w:val="0"/>
              <w:spacing w:line="360" w:lineRule="auto"/>
              <w:ind w:firstLine="480" w:firstLineChars="200"/>
              <w:jc w:val="left"/>
              <w:rPr>
                <w:rFonts w:hint="eastAsia" w:asciiTheme="minorEastAsia" w:hAnsiTheme="minorEastAsia" w:eastAsiaTheme="minorEastAsia" w:cstheme="minorEastAsia"/>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63D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191BC905">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11</w:t>
            </w:r>
          </w:p>
        </w:tc>
        <w:tc>
          <w:tcPr>
            <w:tcW w:w="847" w:type="pct"/>
            <w:vAlign w:val="center"/>
          </w:tcPr>
          <w:p w14:paraId="3187A590">
            <w:pPr>
              <w:snapToGrid w:val="0"/>
              <w:spacing w:line="360" w:lineRule="auto"/>
              <w:jc w:val="left"/>
              <w:rPr>
                <w:rFonts w:hint="eastAsia" w:asciiTheme="minorEastAsia" w:hAnsiTheme="minorEastAsia" w:eastAsiaTheme="minorEastAsia" w:cstheme="minorEastAsia"/>
                <w:b/>
                <w:sz w:val="24"/>
              </w:rPr>
            </w:pPr>
            <w:r>
              <w:rPr>
                <w:rFonts w:hint="eastAsia" w:ascii="宋体" w:hAnsi="宋体" w:cs="宋体"/>
                <w:b/>
                <w:sz w:val="24"/>
              </w:rPr>
              <w:t>报价要求</w:t>
            </w:r>
          </w:p>
        </w:tc>
        <w:tc>
          <w:tcPr>
            <w:tcW w:w="3820" w:type="pct"/>
            <w:vAlign w:val="center"/>
          </w:tcPr>
          <w:p w14:paraId="3957B8B7">
            <w:pPr>
              <w:snapToGrid w:val="0"/>
              <w:spacing w:line="360" w:lineRule="auto"/>
              <w:ind w:firstLine="480" w:firstLineChars="200"/>
              <w:jc w:val="left"/>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有关本项目实施所需的所有费用（含税费）均计入报价。投标文件</w:t>
            </w:r>
            <w:r>
              <w:rPr>
                <w:rFonts w:hint="eastAsia" w:ascii="宋体" w:hAnsi="宋体" w:cs="宋体"/>
                <w:bCs/>
                <w:sz w:val="24"/>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kern w:val="0"/>
                <w:sz w:val="24"/>
                <w:lang w:val="zh-CN"/>
              </w:rPr>
              <w:t>投标文件中价格全部采用人民币报价。招标文件未列明，而投标人认为必需的费用也需列入报价。提醒：验收时检测费用由采购人承担，不包含在投标总价中。</w:t>
            </w:r>
          </w:p>
          <w:p w14:paraId="4AD96139">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投标报价出现下列情形的，投标无效：</w:t>
            </w:r>
          </w:p>
          <w:p w14:paraId="766B2725">
            <w:pPr>
              <w:snapToGrid w:val="0"/>
              <w:spacing w:line="360" w:lineRule="auto"/>
              <w:ind w:firstLine="240" w:firstLineChars="100"/>
              <w:jc w:val="left"/>
              <w:rPr>
                <w:rFonts w:hint="eastAsia" w:ascii="宋体" w:hAnsi="宋体" w:cs="宋体"/>
                <w:bCs/>
                <w:kern w:val="0"/>
                <w:sz w:val="24"/>
                <w:lang w:val="zh-CN"/>
              </w:rPr>
            </w:pPr>
            <w:r>
              <w:rPr>
                <w:rFonts w:hint="eastAsia" w:ascii="宋体" w:hAnsi="宋体" w:cs="宋体"/>
                <w:bCs/>
                <w:kern w:val="0"/>
                <w:sz w:val="24"/>
                <w:lang w:val="zh-CN"/>
              </w:rPr>
              <w:t>投标文件出现不是唯一的、有选择性投标报价的；</w:t>
            </w:r>
          </w:p>
          <w:p w14:paraId="08916EFD">
            <w:pPr>
              <w:snapToGrid w:val="0"/>
              <w:spacing w:line="360" w:lineRule="auto"/>
              <w:ind w:firstLine="240" w:firstLineChars="100"/>
              <w:jc w:val="left"/>
              <w:rPr>
                <w:rFonts w:hint="eastAsia" w:ascii="宋体" w:hAnsi="宋体" w:cs="宋体"/>
                <w:bCs/>
                <w:kern w:val="0"/>
                <w:sz w:val="24"/>
                <w:lang w:val="zh-CN"/>
              </w:rPr>
            </w:pPr>
            <w:r>
              <w:rPr>
                <w:rFonts w:hint="eastAsia" w:ascii="宋体" w:hAnsi="宋体" w:cs="宋体"/>
                <w:bCs/>
                <w:kern w:val="0"/>
                <w:sz w:val="24"/>
                <w:lang w:val="zh-CN"/>
              </w:rPr>
              <w:t>投标报价超过招标文件中规定的预算金额或者最高限价的；</w:t>
            </w:r>
          </w:p>
          <w:p w14:paraId="3C32C739">
            <w:pPr>
              <w:spacing w:line="360" w:lineRule="auto"/>
              <w:ind w:firstLine="240" w:firstLineChars="100"/>
              <w:jc w:val="left"/>
              <w:rPr>
                <w:rFonts w:hint="eastAsia" w:ascii="宋体" w:hAnsi="宋体" w:cs="宋体"/>
                <w:bCs/>
                <w:sz w:val="24"/>
              </w:rPr>
            </w:pPr>
            <w:r>
              <w:rPr>
                <w:rFonts w:hint="eastAsia" w:ascii="宋体" w:hAnsi="宋体" w:cs="宋体"/>
                <w:bCs/>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rPr>
              <w:t>；</w:t>
            </w:r>
          </w:p>
          <w:p w14:paraId="22EAA0A8">
            <w:pPr>
              <w:spacing w:line="360" w:lineRule="auto"/>
              <w:ind w:firstLine="240" w:firstLineChars="100"/>
              <w:jc w:val="left"/>
              <w:rPr>
                <w:rFonts w:hint="eastAsia" w:asciiTheme="minorEastAsia" w:hAnsiTheme="minorEastAsia" w:eastAsiaTheme="minorEastAsia" w:cstheme="minorEastAsia"/>
                <w:sz w:val="24"/>
              </w:rPr>
            </w:pPr>
            <w:r>
              <w:rPr>
                <w:rFonts w:hint="eastAsia" w:ascii="宋体" w:hAnsi="宋体" w:cs="宋体"/>
                <w:bCs/>
                <w:kern w:val="0"/>
                <w:sz w:val="24"/>
              </w:rPr>
              <w:t>投标人对根据修正原则修正后的报价不确认的</w:t>
            </w:r>
            <w:r>
              <w:rPr>
                <w:rFonts w:hint="eastAsia" w:ascii="宋体" w:hAnsi="宋体" w:cs="宋体"/>
                <w:bCs/>
                <w:sz w:val="24"/>
              </w:rPr>
              <w:t>。</w:t>
            </w:r>
          </w:p>
        </w:tc>
      </w:tr>
      <w:tr w14:paraId="512A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44EDAFF4">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12</w:t>
            </w:r>
          </w:p>
        </w:tc>
        <w:tc>
          <w:tcPr>
            <w:tcW w:w="847" w:type="pct"/>
            <w:vAlign w:val="center"/>
          </w:tcPr>
          <w:p w14:paraId="5B3FFC17">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3820" w:type="pct"/>
            <w:vAlign w:val="center"/>
          </w:tcPr>
          <w:p w14:paraId="5D21C3C3">
            <w:pPr>
              <w:adjustRightInd w:val="0"/>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供应商中标后也可在“乐采云”平台申请政采贷：操作路径：登录杭州市教育局非依法招标（小额）项目平台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219D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Align w:val="center"/>
          </w:tcPr>
          <w:p w14:paraId="1D6218B6">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13</w:t>
            </w:r>
          </w:p>
        </w:tc>
        <w:tc>
          <w:tcPr>
            <w:tcW w:w="847" w:type="pct"/>
            <w:vAlign w:val="center"/>
          </w:tcPr>
          <w:p w14:paraId="2B9105EB">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备份投标文件送达地点和签收人员 </w:t>
            </w:r>
          </w:p>
        </w:tc>
        <w:tc>
          <w:tcPr>
            <w:tcW w:w="3820" w:type="pct"/>
            <w:vAlign w:val="center"/>
          </w:tcPr>
          <w:p w14:paraId="64895DDE">
            <w:pPr>
              <w:pStyle w:val="12"/>
              <w:adjustRightInd w:val="0"/>
              <w:snapToGrid w:val="0"/>
              <w:spacing w:line="360" w:lineRule="auto"/>
              <w:rPr>
                <w:rFonts w:hint="eastAsia" w:asciiTheme="minorEastAsia" w:hAnsiTheme="minorEastAsia" w:eastAsiaTheme="minorEastAsia" w:cstheme="minorEastAsia"/>
                <w:kern w:val="28"/>
                <w:sz w:val="24"/>
              </w:rPr>
            </w:pPr>
            <w:r>
              <w:rPr>
                <w:rFonts w:hint="eastAsia" w:asciiTheme="minorEastAsia" w:hAnsiTheme="minorEastAsia" w:eastAsiaTheme="minorEastAsia" w:cstheme="minorEastAsia"/>
                <w:kern w:val="28"/>
                <w:sz w:val="24"/>
                <w:szCs w:val="24"/>
              </w:rPr>
              <w:t>备份投标文件送达地点：</w:t>
            </w:r>
            <w:r>
              <w:rPr>
                <w:rFonts w:hint="eastAsia" w:asciiTheme="minorEastAsia" w:hAnsiTheme="minorEastAsia" w:eastAsiaTheme="minorEastAsia" w:cstheme="minorEastAsia"/>
                <w:sz w:val="24"/>
                <w:szCs w:val="24"/>
                <w:u w:val="single"/>
              </w:rPr>
              <w:t>杭州市环站东路97号云峰大厦1号楼16楼（接受邮寄，需在投标截止前寄达签收）</w:t>
            </w:r>
            <w:r>
              <w:rPr>
                <w:rFonts w:hint="eastAsia" w:asciiTheme="minorEastAsia" w:hAnsiTheme="minorEastAsia" w:eastAsiaTheme="minorEastAsia" w:cstheme="minorEastAsia"/>
                <w:kern w:val="28"/>
                <w:sz w:val="24"/>
                <w:szCs w:val="24"/>
              </w:rPr>
              <w:t>；备份投标文件签收人员联系电话：</w:t>
            </w:r>
            <w:r>
              <w:rPr>
                <w:rFonts w:hint="eastAsia" w:asciiTheme="minorEastAsia" w:hAnsiTheme="minorEastAsia" w:eastAsiaTheme="minorEastAsia" w:cstheme="minorEastAsia"/>
                <w:sz w:val="24"/>
                <w:szCs w:val="24"/>
                <w:u w:val="single"/>
              </w:rPr>
              <w:t>成晓松 18221599746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采购人、采购代理机构不强制或变相强制投标人提交备份投标文件。</w:t>
            </w:r>
          </w:p>
        </w:tc>
      </w:tr>
      <w:tr w14:paraId="0435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Merge w:val="restart"/>
            <w:vAlign w:val="center"/>
          </w:tcPr>
          <w:p w14:paraId="15F81D5D">
            <w:pPr>
              <w:adjustRightInd w:val="0"/>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14</w:t>
            </w:r>
          </w:p>
        </w:tc>
        <w:tc>
          <w:tcPr>
            <w:tcW w:w="847" w:type="pct"/>
            <w:vMerge w:val="restart"/>
            <w:vAlign w:val="center"/>
          </w:tcPr>
          <w:p w14:paraId="23AF4322">
            <w:pPr>
              <w:adjustRightInd w:val="0"/>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3820" w:type="pct"/>
            <w:vAlign w:val="center"/>
          </w:tcPr>
          <w:p w14:paraId="32AF6231">
            <w:pPr>
              <w:adjustRightInd w:val="0"/>
              <w:snapToGrid w:val="0"/>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联合体投标的，联合体各方分别提供与联合体协议中规定的分工内容相应的业绩证明材料，业绩数量以提供材料较少的一方为准。</w:t>
            </w:r>
          </w:p>
        </w:tc>
      </w:tr>
      <w:tr w14:paraId="0AAE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Merge w:val="continue"/>
          </w:tcPr>
          <w:p w14:paraId="50A3145D">
            <w:pPr>
              <w:adjustRightInd w:val="0"/>
              <w:snapToGrid w:val="0"/>
              <w:spacing w:line="360" w:lineRule="auto"/>
              <w:jc w:val="center"/>
              <w:rPr>
                <w:rFonts w:hint="eastAsia" w:asciiTheme="minorEastAsia" w:hAnsiTheme="minorEastAsia" w:eastAsiaTheme="minorEastAsia" w:cstheme="minorEastAsia"/>
                <w:b/>
                <w:sz w:val="24"/>
              </w:rPr>
            </w:pPr>
          </w:p>
        </w:tc>
        <w:tc>
          <w:tcPr>
            <w:tcW w:w="847" w:type="pct"/>
            <w:vMerge w:val="continue"/>
            <w:vAlign w:val="center"/>
          </w:tcPr>
          <w:p w14:paraId="5B8BDD3D">
            <w:pPr>
              <w:adjustRightInd w:val="0"/>
              <w:snapToGrid w:val="0"/>
              <w:spacing w:line="360" w:lineRule="auto"/>
              <w:jc w:val="left"/>
              <w:rPr>
                <w:rFonts w:hint="eastAsia" w:asciiTheme="minorEastAsia" w:hAnsiTheme="minorEastAsia" w:eastAsiaTheme="minorEastAsia" w:cstheme="minorEastAsia"/>
                <w:b/>
                <w:sz w:val="24"/>
              </w:rPr>
            </w:pPr>
          </w:p>
        </w:tc>
        <w:tc>
          <w:tcPr>
            <w:tcW w:w="3820" w:type="pct"/>
            <w:vAlign w:val="center"/>
          </w:tcPr>
          <w:p w14:paraId="2C5A87D7">
            <w:pPr>
              <w:spacing w:line="360" w:lineRule="auto"/>
              <w:rPr>
                <w:rFonts w:hint="eastAsia" w:asciiTheme="minorEastAsia" w:hAnsiTheme="minorEastAsia" w:eastAsiaTheme="minorEastAsia" w:cstheme="minorEastAsia"/>
                <w:snapToGrid w:val="0"/>
                <w:color w:val="auto"/>
                <w:kern w:val="28"/>
                <w:sz w:val="24"/>
              </w:rPr>
            </w:pPr>
            <w:sdt>
              <w:sdtPr>
                <w:rPr>
                  <w:rFonts w:hint="eastAsia" w:asciiTheme="minorEastAsia" w:hAnsiTheme="minorEastAsia" w:eastAsiaTheme="minorEastAsia" w:cstheme="minorEastAsia"/>
                  <w:color w:val="auto"/>
                  <w:kern w:val="0"/>
                  <w:sz w:val="24"/>
                </w:rPr>
                <w:id w:val="6373823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rPr>
              </w:sdtEndPr>
              <w:sdtContent>
                <w:r>
                  <w:rPr>
                    <w:rFonts w:hint="eastAsia" w:asciiTheme="minorEastAsia" w:hAnsiTheme="minorEastAsia" w:eastAsiaTheme="minorEastAsia" w:cstheme="minorEastAsia"/>
                    <w:color w:val="auto"/>
                    <w:kern w:val="0"/>
                    <w:sz w:val="24"/>
                  </w:rPr>
                  <w:t>☐</w:t>
                </w:r>
              </w:sdtContent>
            </w:sdt>
            <w:r>
              <w:rPr>
                <w:rFonts w:hint="eastAsia" w:asciiTheme="minorEastAsia" w:hAnsiTheme="minorEastAsia" w:eastAsiaTheme="minorEastAsia" w:cstheme="minorEastAsia"/>
                <w:snapToGrid w:val="0"/>
                <w:color w:val="auto"/>
                <w:kern w:val="28"/>
                <w:sz w:val="24"/>
              </w:rPr>
              <w:t>联合体投标的，联合体各方均需按招标文件第四部分评标标准要求提供资信证明文件，否则视为不符合相关要求。</w:t>
            </w:r>
          </w:p>
          <w:p w14:paraId="48EF0C32">
            <w:pPr>
              <w:adjustRightInd w:val="0"/>
              <w:snapToGrid w:val="0"/>
              <w:spacing w:line="360" w:lineRule="auto"/>
              <w:rPr>
                <w:rFonts w:hint="eastAsia" w:asciiTheme="minorEastAsia" w:hAnsiTheme="minorEastAsia" w:eastAsiaTheme="minorEastAsia" w:cstheme="minorEastAsia"/>
                <w:snapToGrid w:val="0"/>
                <w:color w:val="auto"/>
                <w:kern w:val="28"/>
                <w:sz w:val="24"/>
              </w:rPr>
            </w:pPr>
            <w:sdt>
              <w:sdtPr>
                <w:rPr>
                  <w:rFonts w:hint="eastAsia" w:asciiTheme="minorEastAsia" w:hAnsiTheme="minorEastAsia" w:eastAsiaTheme="minorEastAsia" w:cstheme="minorEastAsia"/>
                  <w:color w:val="auto"/>
                  <w:kern w:val="0"/>
                  <w:sz w:val="24"/>
                </w:rPr>
                <w:id w:val="126958499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rPr>
              </w:sdtEndPr>
              <w:sdtContent>
                <w:r>
                  <w:rPr>
                    <w:rFonts w:hint="eastAsia" w:asciiTheme="minorEastAsia" w:hAnsiTheme="minorEastAsia" w:eastAsiaTheme="minorEastAsia" w:cstheme="minorEastAsia"/>
                    <w:color w:val="auto"/>
                    <w:kern w:val="0"/>
                    <w:sz w:val="24"/>
                  </w:rPr>
                  <w:sym w:font="Wingdings" w:char="F0FE"/>
                </w:r>
              </w:sdtContent>
            </w:sdt>
            <w:r>
              <w:rPr>
                <w:rFonts w:hint="eastAsia" w:asciiTheme="minorEastAsia" w:hAnsiTheme="minorEastAsia" w:eastAsiaTheme="minorEastAsia" w:cstheme="minorEastAsia"/>
                <w:snapToGrid w:val="0"/>
                <w:color w:val="auto"/>
                <w:kern w:val="28"/>
                <w:sz w:val="24"/>
              </w:rPr>
              <w:t>联合体投标的，联合体中有一方或者联合体成员根据分工按招标文件第四部分评标标准要求提供资信证明文件的，视为符合了相关要求。</w:t>
            </w:r>
          </w:p>
        </w:tc>
      </w:tr>
      <w:tr w14:paraId="50D1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Merge w:val="continue"/>
          </w:tcPr>
          <w:p w14:paraId="790ACF4D">
            <w:pPr>
              <w:adjustRightInd w:val="0"/>
              <w:snapToGrid w:val="0"/>
              <w:spacing w:line="360" w:lineRule="auto"/>
              <w:jc w:val="center"/>
              <w:rPr>
                <w:rFonts w:hint="eastAsia" w:asciiTheme="minorEastAsia" w:hAnsiTheme="minorEastAsia" w:eastAsiaTheme="minorEastAsia" w:cstheme="minorEastAsia"/>
                <w:b/>
                <w:sz w:val="24"/>
              </w:rPr>
            </w:pPr>
          </w:p>
        </w:tc>
        <w:tc>
          <w:tcPr>
            <w:tcW w:w="847" w:type="pct"/>
            <w:vMerge w:val="continue"/>
            <w:vAlign w:val="center"/>
          </w:tcPr>
          <w:p w14:paraId="73F06576">
            <w:pPr>
              <w:adjustRightInd w:val="0"/>
              <w:snapToGrid w:val="0"/>
              <w:spacing w:line="360" w:lineRule="auto"/>
              <w:jc w:val="left"/>
              <w:rPr>
                <w:rFonts w:hint="eastAsia" w:asciiTheme="minorEastAsia" w:hAnsiTheme="minorEastAsia" w:eastAsiaTheme="minorEastAsia" w:cstheme="minorEastAsia"/>
                <w:b/>
                <w:sz w:val="24"/>
              </w:rPr>
            </w:pPr>
          </w:p>
        </w:tc>
        <w:tc>
          <w:tcPr>
            <w:tcW w:w="3820" w:type="pct"/>
            <w:vAlign w:val="center"/>
          </w:tcPr>
          <w:p w14:paraId="53F005E0">
            <w:pPr>
              <w:spacing w:line="360" w:lineRule="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lang w:val="en"/>
              </w:rPr>
              <w:t>本项目评审报告</w:t>
            </w:r>
            <w:r>
              <w:rPr>
                <w:rFonts w:hint="eastAsia" w:asciiTheme="minorEastAsia" w:hAnsiTheme="minorEastAsia" w:eastAsiaTheme="minorEastAsia" w:cstheme="minorEastAsia"/>
                <w:b/>
                <w:bCs/>
                <w:color w:val="auto"/>
                <w:kern w:val="0"/>
                <w:sz w:val="24"/>
                <w:szCs w:val="24"/>
                <w:lang w:val="en"/>
              </w:rPr>
              <w:t>推荐的中标候选人数量：</w:t>
            </w:r>
            <w:r>
              <w:rPr>
                <w:rFonts w:hint="eastAsia" w:asciiTheme="minorEastAsia" w:hAnsiTheme="minorEastAsia" w:eastAsiaTheme="minorEastAsia" w:cstheme="minorEastAsia"/>
                <w:b/>
                <w:bCs/>
                <w:color w:val="auto"/>
                <w:kern w:val="0"/>
                <w:sz w:val="24"/>
                <w:szCs w:val="24"/>
                <w:u w:val="single"/>
              </w:rPr>
              <w:t xml:space="preserve"> </w:t>
            </w:r>
            <w:r>
              <w:rPr>
                <w:rFonts w:hint="eastAsia" w:asciiTheme="minorEastAsia" w:hAnsiTheme="minorEastAsia" w:eastAsiaTheme="minorEastAsia" w:cstheme="minorEastAsia"/>
                <w:b/>
                <w:bCs/>
                <w:color w:val="auto"/>
                <w:sz w:val="24"/>
                <w:szCs w:val="24"/>
                <w:u w:val="single"/>
              </w:rPr>
              <w:t>3家</w:t>
            </w:r>
            <w:r>
              <w:rPr>
                <w:rFonts w:hint="eastAsia" w:asciiTheme="minorEastAsia" w:hAnsiTheme="minorEastAsia" w:eastAsiaTheme="minorEastAsia" w:cstheme="minorEastAsia"/>
                <w:b/>
                <w:bCs/>
                <w:color w:val="auto"/>
                <w:kern w:val="0"/>
                <w:sz w:val="24"/>
                <w:szCs w:val="24"/>
                <w:u w:val="single"/>
              </w:rPr>
              <w:t xml:space="preserve"> </w:t>
            </w:r>
            <w:r>
              <w:rPr>
                <w:rFonts w:hint="eastAsia" w:asciiTheme="minorEastAsia" w:hAnsiTheme="minorEastAsia" w:eastAsiaTheme="minorEastAsia" w:cstheme="minorEastAsia"/>
                <w:b/>
                <w:bCs/>
                <w:color w:val="auto"/>
                <w:kern w:val="0"/>
                <w:sz w:val="24"/>
                <w:szCs w:val="24"/>
                <w:lang w:val="en"/>
              </w:rPr>
              <w:t>。</w:t>
            </w:r>
          </w:p>
        </w:tc>
      </w:tr>
      <w:tr w14:paraId="7310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2" w:type="pct"/>
            <w:vMerge w:val="continue"/>
          </w:tcPr>
          <w:p w14:paraId="28F14CFB">
            <w:pPr>
              <w:adjustRightInd w:val="0"/>
              <w:snapToGrid w:val="0"/>
              <w:spacing w:line="360" w:lineRule="auto"/>
              <w:jc w:val="center"/>
              <w:rPr>
                <w:rFonts w:hint="eastAsia" w:asciiTheme="minorEastAsia" w:hAnsiTheme="minorEastAsia" w:eastAsiaTheme="minorEastAsia" w:cstheme="minorEastAsia"/>
                <w:b/>
                <w:sz w:val="24"/>
              </w:rPr>
            </w:pPr>
          </w:p>
        </w:tc>
        <w:tc>
          <w:tcPr>
            <w:tcW w:w="847" w:type="pct"/>
            <w:vMerge w:val="continue"/>
            <w:vAlign w:val="center"/>
          </w:tcPr>
          <w:p w14:paraId="3619EFDE">
            <w:pPr>
              <w:adjustRightInd w:val="0"/>
              <w:snapToGrid w:val="0"/>
              <w:spacing w:line="360" w:lineRule="auto"/>
              <w:jc w:val="left"/>
              <w:rPr>
                <w:rFonts w:hint="eastAsia" w:asciiTheme="minorEastAsia" w:hAnsiTheme="minorEastAsia" w:eastAsiaTheme="minorEastAsia" w:cstheme="minorEastAsia"/>
                <w:b/>
                <w:sz w:val="24"/>
              </w:rPr>
            </w:pPr>
          </w:p>
        </w:tc>
        <w:tc>
          <w:tcPr>
            <w:tcW w:w="3820" w:type="pct"/>
            <w:vAlign w:val="center"/>
          </w:tcPr>
          <w:p w14:paraId="1D0F48C0">
            <w:pPr>
              <w:adjustRightInd w:val="0"/>
              <w:snapToGrid w:val="0"/>
              <w:spacing w:line="360" w:lineRule="auto"/>
              <w:ind w:right="143" w:rightChars="68" w:firstLine="81" w:firstLineChars="34"/>
              <w:jc w:val="left"/>
              <w:rPr>
                <w:rFonts w:hint="eastAsia" w:asciiTheme="minorEastAsia" w:hAnsiTheme="minorEastAsia" w:eastAsiaTheme="minorEastAsia" w:cstheme="minorEastAsia"/>
                <w:color w:val="auto"/>
                <w:kern w:val="28"/>
                <w:sz w:val="24"/>
              </w:rPr>
            </w:pPr>
            <w:r>
              <w:rPr>
                <w:rFonts w:hint="eastAsia" w:asciiTheme="minorEastAsia" w:hAnsiTheme="minorEastAsia" w:eastAsiaTheme="minorEastAsia" w:cstheme="minorEastAsia"/>
                <w:color w:val="auto"/>
                <w:sz w:val="24"/>
              </w:rPr>
              <w:t>（1）中标通知书发出之日起30日（鼓励有条件的缩短至10个工作日）内，中标供应商持中标通知书与采购人签订合同。</w:t>
            </w:r>
          </w:p>
          <w:p w14:paraId="50EAD633">
            <w:pPr>
              <w:adjustRightInd w:val="0"/>
              <w:snapToGrid w:val="0"/>
              <w:spacing w:line="360" w:lineRule="auto"/>
              <w:ind w:right="143" w:rightChars="68" w:firstLine="81" w:firstLineChars="34"/>
              <w:jc w:val="left"/>
              <w:rPr>
                <w:rFonts w:hint="eastAsia" w:asciiTheme="minorEastAsia" w:hAnsiTheme="minorEastAsia" w:eastAsiaTheme="minorEastAsia" w:cstheme="minorEastAsia"/>
                <w:color w:val="auto"/>
                <w:kern w:val="28"/>
                <w:sz w:val="24"/>
              </w:rPr>
            </w:pPr>
            <w:r>
              <w:rPr>
                <w:rFonts w:hint="eastAsia" w:asciiTheme="minorEastAsia" w:hAnsiTheme="minorEastAsia" w:eastAsiaTheme="minorEastAsia" w:cstheme="minorEastAsia"/>
                <w:color w:val="auto"/>
                <w:kern w:val="28"/>
                <w:sz w:val="24"/>
              </w:rPr>
              <w:t>（2）</w:t>
            </w:r>
            <w:r>
              <w:rPr>
                <w:rFonts w:hint="eastAsia" w:asciiTheme="minorEastAsia" w:hAnsiTheme="minorEastAsia" w:eastAsiaTheme="minorEastAsia" w:cstheme="minorEastAsia"/>
                <w:color w:val="auto"/>
                <w:sz w:val="24"/>
              </w:rPr>
              <w:t>中标供应商在收到中标通知后7个工作日内提交纸质版胶装投标文件（内容同电子投标文件）一正两副或系统解密版三份，用于项目资料存档。（邮寄地址：杭州市环站东路97号云峰大厦1号楼16楼 成晓松 18221599746收）</w:t>
            </w:r>
          </w:p>
          <w:p w14:paraId="762AFEBF">
            <w:pPr>
              <w:snapToGrid w:val="0"/>
              <w:spacing w:line="360" w:lineRule="auto"/>
              <w:ind w:right="143" w:rightChars="68" w:firstLine="81" w:firstLineChars="34"/>
              <w:jc w:val="left"/>
              <w:rPr>
                <w:rFonts w:hint="eastAsia" w:asciiTheme="minorEastAsia" w:hAnsiTheme="minorEastAsia" w:eastAsiaTheme="minorEastAsia" w:cstheme="minorEastAsia"/>
                <w:bCs/>
                <w:color w:val="auto"/>
                <w:sz w:val="24"/>
                <w:shd w:val="clear" w:color="auto" w:fill="FFFFFF" w:themeFill="background1"/>
              </w:rPr>
            </w:pPr>
            <w:r>
              <w:rPr>
                <w:rFonts w:hint="eastAsia" w:asciiTheme="minorEastAsia" w:hAnsiTheme="minorEastAsia" w:eastAsiaTheme="minorEastAsia" w:cstheme="minorEastAsia"/>
                <w:bCs/>
                <w:color w:val="auto"/>
                <w:kern w:val="28"/>
                <w:sz w:val="24"/>
                <w:shd w:val="clear" w:color="auto" w:fill="FFFFFF" w:themeFill="background1"/>
              </w:rPr>
              <w:t>（3）</w:t>
            </w:r>
            <w:r>
              <w:rPr>
                <w:rFonts w:hint="eastAsia" w:asciiTheme="minorEastAsia" w:hAnsiTheme="minorEastAsia" w:eastAsiaTheme="minorEastAsia" w:cstheme="minorEastAsia"/>
                <w:bCs/>
                <w:color w:val="auto"/>
                <w:sz w:val="24"/>
                <w:shd w:val="clear" w:color="auto" w:fill="FFFFFF" w:themeFill="background1"/>
              </w:rPr>
              <w:t>本项目招标代理服务费收费标准为：</w:t>
            </w:r>
            <w:r>
              <w:rPr>
                <w:rFonts w:hint="eastAsia" w:ascii="宋体" w:hAnsi="宋体"/>
                <w:bCs/>
                <w:color w:val="auto"/>
                <w:sz w:val="24"/>
              </w:rPr>
              <w:t>参照计价格[2002]1980号文规定八折计取，不足陆仟元按陆仟元计。</w:t>
            </w:r>
          </w:p>
          <w:p w14:paraId="2631DE3A">
            <w:pPr>
              <w:snapToGrid w:val="0"/>
              <w:spacing w:line="360" w:lineRule="auto"/>
              <w:ind w:right="143" w:rightChars="68"/>
              <w:jc w:val="left"/>
              <w:rPr>
                <w:rFonts w:hint="eastAsia" w:asciiTheme="minorEastAsia" w:hAnsiTheme="minorEastAsia" w:eastAsiaTheme="minorEastAsia" w:cstheme="minorEastAsia"/>
                <w:bCs/>
                <w:color w:val="auto"/>
                <w:sz w:val="24"/>
                <w:shd w:val="clear" w:color="auto" w:fill="FFFFFF" w:themeFill="background1"/>
              </w:rPr>
            </w:pPr>
            <w:r>
              <w:rPr>
                <w:rFonts w:hint="eastAsia" w:asciiTheme="minorEastAsia" w:hAnsiTheme="minorEastAsia" w:eastAsiaTheme="minorEastAsia" w:cstheme="minorEastAsia"/>
                <w:bCs/>
                <w:color w:val="auto"/>
                <w:sz w:val="24"/>
                <w:shd w:val="clear" w:color="auto" w:fill="FFFFFF" w:themeFill="background1"/>
              </w:rPr>
              <w:sym w:font="Wingdings 2" w:char="00A3"/>
            </w:r>
            <w:r>
              <w:rPr>
                <w:rFonts w:hint="eastAsia" w:asciiTheme="minorEastAsia" w:hAnsiTheme="minorEastAsia" w:eastAsiaTheme="minorEastAsia" w:cstheme="minorEastAsia"/>
                <w:bCs/>
                <w:color w:val="auto"/>
                <w:sz w:val="24"/>
                <w:shd w:val="clear" w:color="auto" w:fill="FFFFFF" w:themeFill="background1"/>
              </w:rPr>
              <w:t>A采购人在招标完成后支付；</w:t>
            </w:r>
          </w:p>
          <w:p w14:paraId="7FECD1F6">
            <w:pPr>
              <w:snapToGrid w:val="0"/>
              <w:spacing w:line="360" w:lineRule="auto"/>
              <w:ind w:right="143" w:rightChars="68"/>
              <w:jc w:val="left"/>
              <w:rPr>
                <w:rFonts w:hint="eastAsia" w:asciiTheme="minorEastAsia" w:hAnsiTheme="minorEastAsia" w:eastAsiaTheme="minorEastAsia" w:cstheme="minorEastAsia"/>
                <w:b/>
                <w:color w:val="auto"/>
                <w:sz w:val="24"/>
                <w:shd w:val="clear" w:color="auto" w:fill="FFFFFF" w:themeFill="background1"/>
              </w:rPr>
            </w:pPr>
            <w:r>
              <w:rPr>
                <w:rFonts w:hint="eastAsia" w:asciiTheme="minorEastAsia" w:hAnsiTheme="minorEastAsia" w:eastAsiaTheme="minorEastAsia" w:cstheme="minorEastAsia"/>
                <w:b/>
                <w:color w:val="auto"/>
                <w:sz w:val="24"/>
                <w:shd w:val="clear" w:color="auto" w:fill="FFFFFF" w:themeFill="background1"/>
              </w:rPr>
              <w:sym w:font="Wingdings 2" w:char="0052"/>
            </w:r>
            <w:r>
              <w:rPr>
                <w:rFonts w:hint="eastAsia" w:asciiTheme="minorEastAsia" w:hAnsiTheme="minorEastAsia" w:eastAsiaTheme="minorEastAsia" w:cstheme="minorEastAsia"/>
                <w:b/>
                <w:color w:val="auto"/>
                <w:sz w:val="24"/>
                <w:shd w:val="clear" w:color="auto" w:fill="FFFFFF" w:themeFill="background1"/>
              </w:rPr>
              <w:t>B由中标供应商在领取中标通知书后7个工作日内向采购代理机构一次性缴纳。</w:t>
            </w:r>
          </w:p>
          <w:p w14:paraId="5F0567D2">
            <w:pPr>
              <w:snapToGrid w:val="0"/>
              <w:spacing w:line="360" w:lineRule="auto"/>
              <w:ind w:right="143" w:rightChars="68" w:firstLine="81" w:firstLineChars="34"/>
              <w:jc w:val="left"/>
              <w:rPr>
                <w:rFonts w:hint="eastAsia" w:asciiTheme="minorEastAsia" w:hAnsiTheme="minorEastAsia" w:eastAsiaTheme="minorEastAsia" w:cstheme="minorEastAsia"/>
                <w:bCs/>
                <w:color w:val="auto"/>
                <w:sz w:val="24"/>
                <w:shd w:val="clear" w:color="auto" w:fill="FFFFFF" w:themeFill="background1"/>
              </w:rPr>
            </w:pPr>
            <w:r>
              <w:rPr>
                <w:rFonts w:hint="eastAsia" w:asciiTheme="minorEastAsia" w:hAnsiTheme="minorEastAsia" w:eastAsiaTheme="minorEastAsia" w:cstheme="minorEastAsia"/>
                <w:bCs/>
                <w:color w:val="auto"/>
                <w:sz w:val="24"/>
                <w:shd w:val="clear" w:color="auto" w:fill="FFFFFF" w:themeFill="background1"/>
              </w:rPr>
              <w:t>收款单位：杭州洲源招标代理有限公司</w:t>
            </w:r>
          </w:p>
          <w:p w14:paraId="39DB29D8">
            <w:pPr>
              <w:snapToGrid w:val="0"/>
              <w:spacing w:line="360" w:lineRule="auto"/>
              <w:ind w:right="143" w:rightChars="68" w:firstLine="81" w:firstLineChars="34"/>
              <w:jc w:val="left"/>
              <w:rPr>
                <w:rFonts w:hint="eastAsia" w:asciiTheme="minorEastAsia" w:hAnsiTheme="minorEastAsia" w:eastAsiaTheme="minorEastAsia" w:cstheme="minorEastAsia"/>
                <w:bCs/>
                <w:color w:val="auto"/>
                <w:sz w:val="24"/>
                <w:shd w:val="clear" w:color="auto" w:fill="FFFFFF" w:themeFill="background1"/>
              </w:rPr>
            </w:pPr>
            <w:r>
              <w:rPr>
                <w:rFonts w:hint="eastAsia" w:asciiTheme="minorEastAsia" w:hAnsiTheme="minorEastAsia" w:eastAsiaTheme="minorEastAsia" w:cstheme="minorEastAsia"/>
                <w:bCs/>
                <w:color w:val="auto"/>
                <w:sz w:val="24"/>
                <w:shd w:val="clear" w:color="auto" w:fill="FFFFFF" w:themeFill="background1"/>
              </w:rPr>
              <w:t>开户银行：中信银行杭州西湖支行</w:t>
            </w:r>
          </w:p>
          <w:p w14:paraId="7FFA9177">
            <w:pPr>
              <w:adjustRightInd w:val="0"/>
              <w:snapToGrid w:val="0"/>
              <w:spacing w:line="360" w:lineRule="auto"/>
              <w:ind w:right="143" w:rightChars="68" w:firstLine="81" w:firstLineChars="34"/>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Cs/>
                <w:color w:val="auto"/>
                <w:sz w:val="24"/>
                <w:shd w:val="clear" w:color="auto" w:fill="FFFFFF" w:themeFill="background1"/>
              </w:rPr>
              <w:t>帐    号：8110801012701859954</w:t>
            </w:r>
          </w:p>
        </w:tc>
      </w:tr>
      <w:tr w14:paraId="47FB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1" w:hRule="atLeast"/>
        </w:trPr>
        <w:tc>
          <w:tcPr>
            <w:tcW w:w="332" w:type="pct"/>
            <w:vAlign w:val="center"/>
          </w:tcPr>
          <w:p w14:paraId="7D32069D">
            <w:pPr>
              <w:adjustRightInd w:val="0"/>
              <w:snapToGrid w:val="0"/>
              <w:spacing w:line="360" w:lineRule="auto"/>
              <w:jc w:val="center"/>
              <w:rPr>
                <w:rFonts w:hint="default" w:asciiTheme="minorEastAsia" w:hAnsiTheme="minorEastAsia" w:eastAsiaTheme="minorEastAsia" w:cstheme="minorEastAsia"/>
                <w:b/>
                <w:sz w:val="24"/>
                <w:lang w:val="en-US" w:eastAsia="zh-CN"/>
              </w:rPr>
            </w:pPr>
            <w:bookmarkStart w:id="11" w:name="第三部分"/>
            <w:bookmarkStart w:id="12" w:name="_Toc164416483"/>
            <w:r>
              <w:rPr>
                <w:rFonts w:hint="eastAsia" w:asciiTheme="minorEastAsia" w:hAnsiTheme="minorEastAsia" w:eastAsiaTheme="minorEastAsia" w:cstheme="minorEastAsia"/>
                <w:b/>
                <w:sz w:val="24"/>
                <w:lang w:val="en-US" w:eastAsia="zh-CN"/>
              </w:rPr>
              <w:t>15</w:t>
            </w:r>
          </w:p>
        </w:tc>
        <w:tc>
          <w:tcPr>
            <w:tcW w:w="1546" w:type="dxa"/>
            <w:vAlign w:val="center"/>
          </w:tcPr>
          <w:p w14:paraId="37949786">
            <w:pPr>
              <w:snapToGrid w:val="0"/>
              <w:spacing w:line="360" w:lineRule="auto"/>
              <w:jc w:val="center"/>
              <w:rPr>
                <w:rFonts w:hint="eastAsia" w:asciiTheme="minorEastAsia" w:hAnsiTheme="minorEastAsia" w:eastAsiaTheme="minorEastAsia" w:cstheme="minorEastAsia"/>
                <w:b/>
                <w:sz w:val="24"/>
              </w:rPr>
            </w:pPr>
            <w:r>
              <w:rPr>
                <w:rFonts w:hint="eastAsia" w:ascii="宋体" w:hAnsi="宋体" w:cs="宋体"/>
                <w:b/>
                <w:color w:val="auto"/>
                <w:sz w:val="24"/>
                <w:highlight w:val="none"/>
              </w:rPr>
              <w:t>材料审核</w:t>
            </w:r>
          </w:p>
        </w:tc>
        <w:tc>
          <w:tcPr>
            <w:tcW w:w="6972" w:type="dxa"/>
            <w:vAlign w:val="center"/>
          </w:tcPr>
          <w:p w14:paraId="041757A5">
            <w:pPr>
              <w:snapToGrid w:val="0"/>
              <w:spacing w:line="360" w:lineRule="auto"/>
              <w:ind w:right="143" w:rightChars="68"/>
              <w:rPr>
                <w:rFonts w:hint="eastAsia" w:ascii="宋体" w:hAnsi="宋体" w:cs="宋体"/>
                <w:b/>
                <w:bCs/>
                <w:color w:val="auto"/>
                <w:sz w:val="24"/>
                <w:highlight w:val="none"/>
              </w:rPr>
            </w:pPr>
            <w:r>
              <w:rPr>
                <w:rFonts w:hint="eastAsia" w:ascii="宋体" w:hAnsi="宋体" w:cs="宋体"/>
                <w:color w:val="auto"/>
                <w:sz w:val="24"/>
                <w:highlight w:val="none"/>
              </w:rPr>
              <w:t>根据《浙江省财政厅关于进一步规范政府采购秩序促进公平竞争的通知》（浙财采监〔2025〕2号）相关规定，</w:t>
            </w:r>
            <w:r>
              <w:rPr>
                <w:rFonts w:hint="eastAsia" w:ascii="宋体" w:hAnsi="宋体" w:cs="宋体"/>
                <w:b/>
                <w:bCs/>
                <w:color w:val="auto"/>
                <w:sz w:val="24"/>
                <w:highlight w:val="none"/>
              </w:rPr>
              <w:t>评审结束后、合同签订前，采购人、采购代理机构将通过网站查询、原件核对等方式对中标（成交）供应商在投标（响应）文件中涉及客观分评审内容的检测报告、认证证书等资料的真实性进行复核。</w:t>
            </w:r>
          </w:p>
          <w:p w14:paraId="178EE45B">
            <w:pPr>
              <w:snapToGrid w:val="0"/>
              <w:spacing w:line="360" w:lineRule="auto"/>
              <w:ind w:right="143" w:rightChars="68"/>
              <w:rPr>
                <w:rFonts w:hint="eastAsia" w:asciiTheme="minorEastAsia" w:hAnsiTheme="minorEastAsia" w:eastAsiaTheme="minorEastAsia" w:cstheme="minorEastAsia"/>
                <w:bCs/>
                <w:sz w:val="24"/>
                <w:shd w:val="clear" w:color="auto" w:fill="FFFFFF" w:themeFill="background1"/>
              </w:rPr>
            </w:pPr>
            <w:r>
              <w:rPr>
                <w:rFonts w:hint="eastAsia" w:ascii="宋体" w:hAnsi="宋体" w:cs="宋体"/>
                <w:color w:val="auto"/>
                <w:sz w:val="24"/>
                <w:highlight w:val="none"/>
              </w:rPr>
              <w:t>如采购人或采购代理机构向供应商要求提交涉及客观分评审内容的资料时，供应商务必按要求提交相关材料。</w:t>
            </w:r>
          </w:p>
        </w:tc>
      </w:tr>
      <w:bookmarkEnd w:id="10"/>
    </w:tbl>
    <w:p w14:paraId="6941E1CE">
      <w:pP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br w:type="page"/>
      </w:r>
    </w:p>
    <w:p w14:paraId="75733B57">
      <w:pPr>
        <w:spacing w:line="360" w:lineRule="auto"/>
        <w:ind w:firstLine="3845" w:firstLineChars="1197"/>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一、总则</w:t>
      </w:r>
    </w:p>
    <w:p w14:paraId="129F851F">
      <w:pPr>
        <w:snapToGrid w:val="0"/>
        <w:spacing w:line="360" w:lineRule="auto"/>
        <w:ind w:firstLine="361" w:firstLineChars="15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1.适用范围</w:t>
      </w:r>
    </w:p>
    <w:p w14:paraId="1CE419B8">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本招标文件适用于该项目的招标、投标、开标、资格审查及信用信息查询、评标、定标、合同、验收等行为（法律、法规另有规定的，从其规定）。</w:t>
      </w:r>
    </w:p>
    <w:p w14:paraId="39CE71F6">
      <w:pPr>
        <w:spacing w:line="360" w:lineRule="auto"/>
        <w:outlineLvl w:val="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2.定义</w:t>
      </w:r>
    </w:p>
    <w:p w14:paraId="28976FD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“采购人”系指招标公告中载明的本项目的采购人。</w:t>
      </w:r>
    </w:p>
    <w:p w14:paraId="4B5A1EB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“采购代理机构”系指招标公告中载明的本项目的采购代理机构。</w:t>
      </w:r>
    </w:p>
    <w:p w14:paraId="5E1DCE2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“投标人”系指是指响应招标、参加投标竞争的法人、其他组织或者自然人。</w:t>
      </w:r>
    </w:p>
    <w:p w14:paraId="4D36B6E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1CE81B2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3AFF19">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2.6“电子交易平台”系指本项目政府采购活动所依托的乐采云（https://hzjyg.lecaiyun.com/）。</w:t>
      </w:r>
    </w:p>
    <w:p w14:paraId="06A555A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kern w:val="0"/>
          <w:sz w:val="24"/>
        </w:rPr>
        <w:sym w:font="Wingdings 2" w:char="0052"/>
      </w:r>
      <w:r>
        <w:rPr>
          <w:rFonts w:hint="eastAsia" w:asciiTheme="minorEastAsia" w:hAnsiTheme="minorEastAsia" w:eastAsiaTheme="minorEastAsia" w:cstheme="minorEastAsia"/>
          <w:sz w:val="24"/>
        </w:rPr>
        <w:t>” 系指适用本项目的要求，“</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 系指不适用本项目的要求。</w:t>
      </w:r>
    </w:p>
    <w:p w14:paraId="3BE6B252">
      <w:pPr>
        <w:spacing w:line="360" w:lineRule="auto"/>
        <w:ind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采购项目需要落实的政府采购政策</w:t>
      </w:r>
    </w:p>
    <w:p w14:paraId="3F87ECEB">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kern w:val="0"/>
          <w:sz w:val="24"/>
        </w:rPr>
        <w:t>优先采购向我国企业转让技术、与我国企业签订消化吸收再创新方案的供应商的进口产品</w:t>
      </w:r>
      <w:r>
        <w:rPr>
          <w:rFonts w:hint="eastAsia" w:asciiTheme="minorEastAsia" w:hAnsiTheme="minorEastAsia" w:eastAsiaTheme="minorEastAsia" w:cstheme="minorEastAsia"/>
          <w:sz w:val="24"/>
        </w:rPr>
        <w:t>。</w:t>
      </w:r>
    </w:p>
    <w:p w14:paraId="512F73A2">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支持绿色发展</w:t>
      </w:r>
    </w:p>
    <w:p w14:paraId="46D421CD">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34898E5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54EFCE2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3.2.3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769DA7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3.2.4鼓励供应商在参加采购过程中开展绿色设计、选择绿色材料、打造绿色制造工艺、开展绿色运输、做好废弃产品回收处理，实现产品全周期的绿色环保。鼓励采购单位对其提高预付款比例、免收履约保证金。</w:t>
      </w:r>
    </w:p>
    <w:p w14:paraId="72E9D8AB">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3.3支持中小企业发展</w:t>
      </w:r>
    </w:p>
    <w:p w14:paraId="6EB947A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F9AEB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符合中小企业划分标准的个体工商户，在采购活动中视同中小企业。</w:t>
      </w:r>
    </w:p>
    <w:p w14:paraId="72870E37">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3.3.2</w:t>
      </w:r>
      <w:r>
        <w:rPr>
          <w:rFonts w:hint="eastAsia" w:asciiTheme="minorEastAsia" w:hAnsiTheme="minorEastAsia" w:eastAsiaTheme="minorEastAsia" w:cstheme="minorEastAsia"/>
          <w:kern w:val="0"/>
          <w:sz w:val="24"/>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B46097">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以联合体形式参加采购活动，联合体各方均为中小企业的，联合体视同中小企业。其中，联合体各方均为小微企业的，联合体视同小微企业。</w:t>
      </w:r>
    </w:p>
    <w:p w14:paraId="12F93BB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8E2FCD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3.3.4符合《关于促进残疾人就业政府采购政策的通知》（财库〔2017〕141号）规定的条件并提供《残疾人福利性单位声明函》（附件1）的残疾人福利性单位视同小型、微型企业；</w:t>
      </w:r>
    </w:p>
    <w:p w14:paraId="413525E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D34707">
      <w:pPr>
        <w:snapToGrid w:val="0"/>
        <w:spacing w:line="348" w:lineRule="auto"/>
        <w:ind w:firstLine="482" w:firstLineChars="200"/>
        <w:rPr>
          <w:rFonts w:hint="eastAsia" w:ascii="宋体" w:hAnsi="宋体" w:cs="宋体"/>
          <w:b/>
          <w:bCs/>
          <w:sz w:val="24"/>
        </w:rPr>
      </w:pPr>
      <w:r>
        <w:rPr>
          <w:rFonts w:hint="eastAsia" w:ascii="宋体" w:hAnsi="宋体" w:cs="宋体"/>
          <w:b/>
          <w:bCs/>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BE5326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3.3.7中小企业享受扶持政策获得政府采购合同的，小微企业不得将合同分包给大中型企业，中型企业不得将合同分包给大型企业。</w:t>
      </w:r>
    </w:p>
    <w:p w14:paraId="116CA51C">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w:t>
      </w:r>
      <w:r>
        <w:rPr>
          <w:rFonts w:hint="eastAsia" w:asciiTheme="minorEastAsia" w:hAnsiTheme="minorEastAsia" w:eastAsiaTheme="minorEastAsia" w:cstheme="minorEastAsia"/>
          <w:bCs/>
          <w:sz w:val="24"/>
        </w:rPr>
        <w:t>支持创新发展</w:t>
      </w:r>
    </w:p>
    <w:p w14:paraId="432D6E55">
      <w:pPr>
        <w:snapToGrid w:val="0"/>
        <w:spacing w:line="348" w:lineRule="auto"/>
        <w:ind w:firstLine="420" w:firstLineChars="175"/>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40EE8261">
      <w:pPr>
        <w:snapToGrid w:val="0"/>
        <w:spacing w:line="348" w:lineRule="auto"/>
        <w:ind w:firstLine="420" w:firstLineChars="175"/>
        <w:rPr>
          <w:rFonts w:hint="eastAsia" w:ascii="宋体" w:hAnsi="宋体" w:cs="宋体"/>
          <w:sz w:val="24"/>
        </w:rPr>
      </w:pPr>
      <w:r>
        <w:rPr>
          <w:rFonts w:hint="eastAsia" w:ascii="宋体" w:hAnsi="宋体" w:cs="宋体"/>
          <w:sz w:val="24"/>
        </w:rPr>
        <w:t>3.4.2采购人应当贯彻落实知识产权保护相关法律法规，应当采购使用正版软件。</w:t>
      </w:r>
    </w:p>
    <w:p w14:paraId="190C925E">
      <w:pPr>
        <w:snapToGrid w:val="0"/>
        <w:spacing w:line="348"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14:paraId="466C0634">
      <w:pPr>
        <w:spacing w:line="360" w:lineRule="auto"/>
        <w:ind w:firstLine="240" w:firstLineChars="100"/>
        <w:rPr>
          <w:rFonts w:hint="eastAsia" w:asciiTheme="minorEastAsia" w:hAnsiTheme="minorEastAsia" w:eastAsiaTheme="minorEastAsia" w:cstheme="minorEastAsia"/>
          <w:b/>
          <w:sz w:val="24"/>
        </w:rPr>
      </w:pPr>
      <w:r>
        <w:rPr>
          <w:rFonts w:hint="eastAsia" w:ascii="宋体" w:hAnsi="宋体" w:cs="宋体"/>
          <w:sz w:val="24"/>
        </w:rPr>
        <w:t>平等对待内外资企业和符合条件的破产重整企业，切实保障企业公平竞争，平等维护企业的合法利益。</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b/>
          <w:sz w:val="24"/>
        </w:rPr>
        <w:t>4. 询问、质疑、投诉</w:t>
      </w:r>
    </w:p>
    <w:p w14:paraId="31CAFB29">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4.1</w:t>
      </w:r>
      <w:r>
        <w:rPr>
          <w:rFonts w:hint="eastAsia" w:ascii="宋体" w:hAnsi="宋体" w:cs="宋体"/>
          <w:kern w:val="0"/>
          <w:sz w:val="24"/>
          <w:lang w:val="zh-CN"/>
        </w:rPr>
        <w:t>鼓励供应商在线提起询问，路径为：乐彩云-项目采购-询问质疑投诉-询问列表；鼓励供应商在线提起质疑，路径为：乐彩云-项目采购-询问质疑投诉-质疑列表。质疑供应商对在线质疑答复不满意的，可向同级采购监督管理部门提起投诉。</w:t>
      </w:r>
    </w:p>
    <w:p w14:paraId="32904169">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4.2供应商询问</w:t>
      </w:r>
    </w:p>
    <w:p w14:paraId="4009C320">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76B8CC">
      <w:pPr>
        <w:autoSpaceDE w:val="0"/>
        <w:autoSpaceDN w:val="0"/>
        <w:spacing w:line="360" w:lineRule="auto"/>
        <w:ind w:firstLine="240" w:firstLineChars="1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4.3供应商质疑</w:t>
      </w:r>
    </w:p>
    <w:p w14:paraId="6856B7D6">
      <w:pPr>
        <w:pStyle w:val="1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.1提出质疑的供应商应当是参与所质疑项目采购活动的供应商。潜在供应商已依法获取其可质疑的招标文件的，可以对该文件提出质疑。</w:t>
      </w:r>
    </w:p>
    <w:p w14:paraId="1B199317">
      <w:pPr>
        <w:pStyle w:val="1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C445B2">
      <w:pPr>
        <w:pStyle w:val="5"/>
        <w:spacing w:line="360" w:lineRule="auto"/>
        <w:ind w:firstLine="960" w:firstLineChars="4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4.3.2.1对招标文件提出质疑的，质疑期限为供应商获得招标文件之日或者招标文件公告期限届满之日起计算。</w:t>
      </w:r>
    </w:p>
    <w:p w14:paraId="7BE7AB3B">
      <w:pPr>
        <w:pStyle w:val="12"/>
        <w:spacing w:line="360" w:lineRule="auto"/>
        <w:ind w:left="958" w:leftChars="45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4.3.2.2对采购过程提出质疑的，质疑期限为各采购程序环节结束之日起计算。</w:t>
      </w:r>
    </w:p>
    <w:p w14:paraId="6292D105">
      <w:pPr>
        <w:pStyle w:val="12"/>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4.3.2.3对采购结果提出质疑的，质疑期限自采购结果公告期限届满之日起计算。</w:t>
      </w:r>
    </w:p>
    <w:p w14:paraId="41B1B973">
      <w:pPr>
        <w:pStyle w:val="1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w:t>
      </w:r>
      <w:r>
        <w:rPr>
          <w:rFonts w:hint="eastAsia" w:asciiTheme="minorEastAsia" w:hAnsiTheme="minorEastAsia" w:eastAsiaTheme="minorEastAsia" w:cstheme="minorEastAsia"/>
          <w:sz w:val="24"/>
        </w:rPr>
        <w:t>供应商提出质疑应当提交质疑函和必要的证明材料。质疑函应当包括下列内容：</w:t>
      </w:r>
    </w:p>
    <w:p w14:paraId="2B3EFB91">
      <w:pPr>
        <w:pStyle w:val="12"/>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4.3.3.1供应商的姓名或者名称、地址、邮编、联系人及联系电话；</w:t>
      </w:r>
    </w:p>
    <w:p w14:paraId="4EFC6392">
      <w:pPr>
        <w:pStyle w:val="12"/>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4.3.3.2质疑项目的名称、编号；</w:t>
      </w:r>
    </w:p>
    <w:p w14:paraId="3E3A101E">
      <w:pPr>
        <w:pStyle w:val="12"/>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4.3.3.3具体、明确的质疑事项和与质疑事项相关的请求；</w:t>
      </w:r>
    </w:p>
    <w:p w14:paraId="0F9D33A0">
      <w:pPr>
        <w:pStyle w:val="12"/>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4.3.3.4事实依据；</w:t>
      </w:r>
    </w:p>
    <w:p w14:paraId="5F03C858">
      <w:pPr>
        <w:pStyle w:val="12"/>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4.3.3.5必要的法律依据；</w:t>
      </w:r>
    </w:p>
    <w:p w14:paraId="182B1FA5">
      <w:pPr>
        <w:pStyle w:val="12"/>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4.3.3.6提出质疑的日期。</w:t>
      </w:r>
    </w:p>
    <w:p w14:paraId="16FC62FA">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7A8A7648">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169C48F5">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4.3.4对同一采购程序环节的质疑，供应商须在法定质疑期内一次性提出。</w:t>
      </w:r>
    </w:p>
    <w:p w14:paraId="7F6DE60A">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.5</w:t>
      </w:r>
      <w:r>
        <w:rPr>
          <w:rFonts w:hint="eastAsia"/>
          <w:lang w:val="zh-CN"/>
        </w:rPr>
        <w:t>采购人或者采购机构应当在收到供应商的书面质疑后七个工作日内作出答复，并以书面形式通知质疑供应商和其他与质疑处理结果有利害关系的采购当事人，但答复的内容不得涉及商业秘密。</w:t>
      </w:r>
    </w:p>
    <w:p w14:paraId="43C0D781">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.6询问或者质疑事项可能影响采购结果的，采购人应当暂停签订合同，已经签订合同的，应当中止履行合同。</w:t>
      </w:r>
    </w:p>
    <w:p w14:paraId="2B0B398A">
      <w:pPr>
        <w:pStyle w:val="30"/>
        <w:shd w:val="clear" w:color="auto" w:fill="FFFFFF"/>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4.4供应商投诉</w:t>
      </w:r>
    </w:p>
    <w:p w14:paraId="6ED7D1F7">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4.4.1</w:t>
      </w:r>
      <w:r>
        <w:rPr>
          <w:rFonts w:hint="eastAsia"/>
          <w:lang w:val="zh-CN"/>
        </w:rPr>
        <w:t>质疑供应商对采购人、采购机构的答复不满意或者采购人、采购机构未在规定的时间内作出答复的，可以在答复期满后十五个工作日内向采购监督管理部门提出投诉。</w:t>
      </w:r>
    </w:p>
    <w:p w14:paraId="59D1AA31">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7ED9DB4D">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4.4.3供应商投诉应当有明确的请求和必要的证明材料。</w:t>
      </w:r>
    </w:p>
    <w:p w14:paraId="184D05E6">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4.4.4</w:t>
      </w:r>
      <w:r>
        <w:rPr>
          <w:rFonts w:hint="eastAsia"/>
          <w:lang w:val="zh-CN"/>
        </w:rPr>
        <w:t>以联合体形式参加采购活动的，其投诉应当由组成联合体的所有供应商共同提出。</w:t>
      </w:r>
    </w:p>
    <w:p w14:paraId="2B80B1EA">
      <w:pPr>
        <w:pStyle w:val="30"/>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投诉书范本及制作说明详见附件3。</w:t>
      </w:r>
    </w:p>
    <w:p w14:paraId="77296C90">
      <w:pPr>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二、招标文件的构成、澄清、修改</w:t>
      </w:r>
    </w:p>
    <w:p w14:paraId="33197065">
      <w:pPr>
        <w:pStyle w:val="1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5．招标文件的构成</w:t>
      </w:r>
    </w:p>
    <w:p w14:paraId="225891EC">
      <w:pPr>
        <w:pStyle w:val="1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招标文件包括下列文件及附件：</w:t>
      </w:r>
    </w:p>
    <w:p w14:paraId="7464FD04">
      <w:pPr>
        <w:pStyle w:val="1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5.1.1招标公告；</w:t>
      </w:r>
    </w:p>
    <w:p w14:paraId="1096B586">
      <w:pPr>
        <w:pStyle w:val="1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5.1.2投标人须知；</w:t>
      </w:r>
    </w:p>
    <w:p w14:paraId="2452F566">
      <w:pPr>
        <w:pStyle w:val="1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5.1.3采购需求；</w:t>
      </w:r>
    </w:p>
    <w:p w14:paraId="793ACFE6">
      <w:pPr>
        <w:pStyle w:val="1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5.1.4评标办法；</w:t>
      </w:r>
    </w:p>
    <w:p w14:paraId="4BE7DDD3">
      <w:pPr>
        <w:pStyle w:val="1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5.1.5拟签订的合同文本；</w:t>
      </w:r>
    </w:p>
    <w:p w14:paraId="51F201EC">
      <w:pPr>
        <w:pStyle w:val="1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5.1.6</w:t>
      </w:r>
      <w:r>
        <w:rPr>
          <w:rFonts w:hint="eastAsia" w:asciiTheme="minorEastAsia" w:hAnsiTheme="minorEastAsia" w:eastAsiaTheme="minorEastAsia" w:cstheme="minorEastAsia"/>
          <w:sz w:val="24"/>
          <w:szCs w:val="24"/>
        </w:rPr>
        <w:t>应提交的有关格式范例。</w:t>
      </w:r>
    </w:p>
    <w:p w14:paraId="7B46AD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5.2与本项目有关的</w:t>
      </w:r>
      <w:r>
        <w:rPr>
          <w:rFonts w:hint="eastAsia" w:asciiTheme="minorEastAsia" w:hAnsiTheme="minorEastAsia" w:eastAsiaTheme="minorEastAsia" w:cstheme="minorEastAsia"/>
          <w:bCs/>
          <w:sz w:val="24"/>
        </w:rPr>
        <w:t>澄清或者修改的内容为招标文件的组成部分</w:t>
      </w:r>
      <w:r>
        <w:rPr>
          <w:rFonts w:hint="eastAsia" w:asciiTheme="minorEastAsia" w:hAnsiTheme="minorEastAsia" w:eastAsiaTheme="minorEastAsia" w:cstheme="minorEastAsia"/>
          <w:sz w:val="24"/>
        </w:rPr>
        <w:t>。</w:t>
      </w:r>
    </w:p>
    <w:p w14:paraId="4D405F27">
      <w:pPr>
        <w:pStyle w:val="1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招标文件的澄清、修改</w:t>
      </w:r>
    </w:p>
    <w:p w14:paraId="1C0EB450">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6.1已获取招标文件的潜在投标人，若有问题需要澄清，应于投标截止时间前，以书面形式向采购代理机构提出。</w:t>
      </w:r>
    </w:p>
    <w:p w14:paraId="3115974D">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678BCC">
      <w:pPr>
        <w:pStyle w:val="8"/>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三、投标</w:t>
      </w:r>
    </w:p>
    <w:p w14:paraId="7BA34E61">
      <w:pPr>
        <w:pStyle w:val="1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招标文件的获取</w:t>
      </w:r>
    </w:p>
    <w:p w14:paraId="0D5A2464">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详见招标公告中获取招标文件的时间期限、地点、方式及招标文件售价。</w:t>
      </w:r>
    </w:p>
    <w:p w14:paraId="4B7DBE59">
      <w:pPr>
        <w:pStyle w:val="1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8.开标前答疑会或现场考察</w:t>
      </w:r>
    </w:p>
    <w:p w14:paraId="5F040CD7">
      <w:pPr>
        <w:pStyle w:val="1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采购人组织潜在投标人现场考察或者召开开标前答疑会的，潜在投标人按第二部分投标人须知前附表的规定参加现场考察或者开标前答疑会。</w:t>
      </w:r>
    </w:p>
    <w:p w14:paraId="3CA333F9">
      <w:pPr>
        <w:pStyle w:val="12"/>
        <w:spacing w:line="360" w:lineRule="auto"/>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9.投标保证金</w:t>
      </w:r>
    </w:p>
    <w:p w14:paraId="0F85F253">
      <w:pPr>
        <w:pStyle w:val="5"/>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本项目不需缴纳投标保证金。</w:t>
      </w:r>
    </w:p>
    <w:p w14:paraId="02AFC45E">
      <w:pPr>
        <w:pStyle w:val="1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投标文件的语言</w:t>
      </w:r>
    </w:p>
    <w:p w14:paraId="27A72D39">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投标文件及投标人与采购有关的来往通知、函件和文件均应使用中文。</w:t>
      </w:r>
    </w:p>
    <w:p w14:paraId="05AD856C">
      <w:pPr>
        <w:pStyle w:val="1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 投标文件的组成</w:t>
      </w:r>
    </w:p>
    <w:p w14:paraId="059CA506">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11.1资格文件：</w:t>
      </w:r>
    </w:p>
    <w:p w14:paraId="0E21C664">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355203CB">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asciiTheme="minorEastAsia" w:hAnsiTheme="minorEastAsia" w:eastAsiaTheme="minorEastAsia" w:cstheme="minorEastAsia"/>
          <w:snapToGrid w:val="0"/>
          <w:kern w:val="28"/>
          <w:sz w:val="24"/>
          <w:szCs w:val="20"/>
        </w:rPr>
        <w:t>联合协议（如果有)；</w:t>
      </w:r>
    </w:p>
    <w:p w14:paraId="2635134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5E74F994">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78D32BCD">
      <w:pPr>
        <w:snapToGrid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w:t>
      </w:r>
      <w:r>
        <w:rPr>
          <w:rFonts w:hint="eastAsia" w:asciiTheme="minorEastAsia" w:hAnsiTheme="minorEastAsia" w:eastAsiaTheme="minorEastAsia" w:cstheme="minorEastAsia"/>
          <w:sz w:val="24"/>
        </w:rPr>
        <w:t>2商务技术</w:t>
      </w:r>
      <w:r>
        <w:rPr>
          <w:rFonts w:hint="eastAsia" w:asciiTheme="minorEastAsia" w:hAnsiTheme="minorEastAsia" w:eastAsiaTheme="minorEastAsia" w:cstheme="minorEastAsia"/>
          <w:sz w:val="24"/>
          <w:lang w:val="zh-CN"/>
        </w:rPr>
        <w:t>文件：</w:t>
      </w:r>
    </w:p>
    <w:p w14:paraId="5C493ED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11.2.1投标函；</w:t>
      </w:r>
      <w:r>
        <w:rPr>
          <w:rFonts w:hint="eastAsia" w:asciiTheme="minorEastAsia" w:hAnsiTheme="minorEastAsia" w:eastAsiaTheme="minorEastAsia" w:cstheme="minorEastAsia"/>
          <w:sz w:val="24"/>
          <w:lang w:val="zh-CN"/>
        </w:rPr>
        <w:t xml:space="preserve"> </w:t>
      </w:r>
    </w:p>
    <w:p w14:paraId="17D27375">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11.2.2授权委托书或法定代表人（单位负责人、自然人本人）身份证明；</w:t>
      </w:r>
    </w:p>
    <w:p w14:paraId="69080FB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11.2.3分包意向协议</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2F1C585C">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11.2.4符合性审查资料；</w:t>
      </w:r>
    </w:p>
    <w:p w14:paraId="650E8287">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11.2.5评标标准相应的商务技术资料；</w:t>
      </w:r>
    </w:p>
    <w:p w14:paraId="6BFDFB25">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11.2.6投标标的清单；</w:t>
      </w:r>
    </w:p>
    <w:p w14:paraId="25AB8368">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11.2.7商务技术偏离表；</w:t>
      </w:r>
    </w:p>
    <w:p w14:paraId="21345104">
      <w:pPr>
        <w:snapToGrid w:val="0"/>
        <w:spacing w:line="360" w:lineRule="auto"/>
        <w:ind w:firstLine="960" w:firstLineChars="4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采购供应商廉洁自律承诺书；</w:t>
      </w:r>
    </w:p>
    <w:p w14:paraId="404E74D4">
      <w:pPr>
        <w:snapToGrid w:val="0"/>
        <w:spacing w:line="360" w:lineRule="auto"/>
        <w:ind w:firstLine="480" w:firstLineChars="200"/>
        <w:rPr>
          <w:rFonts w:hint="eastAsia"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kern w:val="0"/>
          <w:sz w:val="24"/>
          <w:lang w:val="zh-CN"/>
        </w:rPr>
        <w:t>11.</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sz w:val="24"/>
        </w:rPr>
        <w:t xml:space="preserve">报价文件： </w:t>
      </w:r>
    </w:p>
    <w:p w14:paraId="0C8097A3">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11.3.1开标一览表（报价表）；</w:t>
      </w:r>
    </w:p>
    <w:p w14:paraId="61D55C5D">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11.3.2中小企业声明函（如果有）。</w:t>
      </w:r>
    </w:p>
    <w:p w14:paraId="1B32178E">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注：</w:t>
      </w:r>
    </w:p>
    <w:p w14:paraId="578177E3">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投标文件含有采购人不能接受的附加条件的，投标无效；</w:t>
      </w:r>
    </w:p>
    <w:p w14:paraId="15838E4D">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投标人提供虚假材料投标的，投标无效。</w:t>
      </w:r>
    </w:p>
    <w:p w14:paraId="0E7A3A72">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投标人应对投标文件中材料的真实性、合法性负责。</w:t>
      </w:r>
    </w:p>
    <w:p w14:paraId="7B6C5D6F">
      <w:pPr>
        <w:pStyle w:val="31"/>
        <w:snapToGrid w:val="0"/>
        <w:spacing w:before="0"/>
        <w:ind w:firstLine="0" w:firstLineChars="0"/>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12</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投标文件的编制</w:t>
      </w:r>
    </w:p>
    <w:p w14:paraId="527169C8">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467FAC">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1E51F7D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12.3使用“乐采云电子交易客户端”需要提前申领CA数字证书，申领流程请自行前往“乐采云平台-下载专区-电子交易客户端-CA驱动和申领流程”进行查阅。</w:t>
      </w:r>
    </w:p>
    <w:p w14:paraId="2570FA73">
      <w:pPr>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13.投标文件的签署、盖章</w:t>
      </w:r>
    </w:p>
    <w:p w14:paraId="601803DF">
      <w:pPr>
        <w:pStyle w:val="31"/>
        <w:snapToGrid w:val="0"/>
        <w:spacing w:before="0"/>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13.1投标文件按照招标文件第六部分格式要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▲投标人的投标文件未按照招标文件要求签署、盖章的，其投标无效</w:t>
      </w:r>
      <w:r>
        <w:rPr>
          <w:rFonts w:hint="eastAsia" w:asciiTheme="minorEastAsia" w:hAnsiTheme="minorEastAsia" w:eastAsiaTheme="minorEastAsia" w:cstheme="minorEastAsia"/>
          <w:szCs w:val="24"/>
        </w:rPr>
        <w:t>。</w:t>
      </w:r>
    </w:p>
    <w:p w14:paraId="2B70F0C5">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13.2为确保网上操作合法、有效和安全，投标人应当在投标截止时间前完成在“乐采云平台”的身份认证，确保在电子投标过程中能够对相关数据电文进行加密和使用电子签名。</w:t>
      </w:r>
    </w:p>
    <w:p w14:paraId="1E6AFC8F">
      <w:pPr>
        <w:pStyle w:val="31"/>
        <w:snapToGrid w:val="0"/>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13.3招标文件对投标文件签署、盖章的要求适用于电子签名。</w:t>
      </w:r>
    </w:p>
    <w:p w14:paraId="14B9EB5C">
      <w:pPr>
        <w:pStyle w:val="31"/>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14. 投标文件的提交、补充、修改、撤回</w:t>
      </w:r>
    </w:p>
    <w:p w14:paraId="7378FBB1">
      <w:pPr>
        <w:pStyle w:val="31"/>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szCs w:val="24"/>
        </w:rPr>
        <w:t>供应商撤回投标不得损害国家利益、社会公共利益、采购人利益、代理机构利益、其他供应商利益，否则，供应商撤销（撤回）投标无效。</w:t>
      </w:r>
      <w:r>
        <w:rPr>
          <w:rFonts w:hint="eastAsia" w:asciiTheme="minorEastAsia" w:hAnsiTheme="minorEastAsia" w:eastAsiaTheme="minorEastAsia" w:cstheme="minorEastAsia"/>
          <w:szCs w:val="24"/>
        </w:rPr>
        <w:t>投标截止时间前未完成传输的，视为撤回投标文件。投标截止时间后递交的投标文件，电子交易平台将拒收。</w:t>
      </w:r>
    </w:p>
    <w:p w14:paraId="16DDA307">
      <w:pPr>
        <w:pStyle w:val="31"/>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5B7CF0F7">
      <w:pPr>
        <w:pStyle w:val="31"/>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3E9C9312">
      <w:pPr>
        <w:pStyle w:val="1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15.备份投标文件</w:t>
      </w:r>
    </w:p>
    <w:p w14:paraId="350770C7">
      <w:pPr>
        <w:pStyle w:val="12"/>
        <w:spacing w:line="360" w:lineRule="auto"/>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sz w:val="24"/>
          <w:szCs w:val="24"/>
        </w:rPr>
        <w:t>但采购人、采购代理机构不强制或变相强制投标人提交备份投标文件。</w:t>
      </w:r>
    </w:p>
    <w:p w14:paraId="07C2E8D3">
      <w:pPr>
        <w:pStyle w:val="12"/>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15.2备份投标文件须在“乐采云投标客户端”制作生成，并储存在</w:t>
      </w:r>
      <w:r>
        <w:rPr>
          <w:rFonts w:hint="eastAsia" w:asciiTheme="minorEastAsia" w:hAnsiTheme="minorEastAsia" w:eastAsiaTheme="minorEastAsia" w:cstheme="minorEastAsia"/>
          <w:sz w:val="24"/>
        </w:rPr>
        <w:t>DVD光盘等存储介质</w:t>
      </w:r>
      <w:r>
        <w:rPr>
          <w:rFonts w:hint="eastAsia" w:asciiTheme="minorEastAsia" w:hAnsiTheme="minorEastAsia" w:eastAsiaTheme="minorEastAsia" w:cs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sz w:val="24"/>
        </w:rPr>
        <w:t>不符合上述制作、</w:t>
      </w:r>
      <w:r>
        <w:rPr>
          <w:rFonts w:hint="eastAsia" w:asciiTheme="minorEastAsia" w:hAnsiTheme="minorEastAsia" w:eastAsiaTheme="minorEastAsia" w:cstheme="minorEastAsia"/>
          <w:b/>
          <w:sz w:val="24"/>
          <w:szCs w:val="24"/>
        </w:rPr>
        <w:t>存储、密封规定的备份投标文件将被视为无效或者被拒绝接收。</w:t>
      </w:r>
    </w:p>
    <w:p w14:paraId="61D09F81">
      <w:pPr>
        <w:pStyle w:val="1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59C0ABC">
      <w:pPr>
        <w:pStyle w:val="1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sz w:val="24"/>
          <w:szCs w:val="24"/>
        </w:rPr>
        <w:t>招标文件第二部分投标人须知前附表规定的备份投标文件送达地点；</w:t>
      </w:r>
      <w:r>
        <w:rPr>
          <w:rFonts w:hint="eastAsia" w:asciiTheme="minorEastAsia" w:hAnsiTheme="minorEastAsia" w:eastAsiaTheme="minorEastAsia" w:cs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6F424EB8">
      <w:pPr>
        <w:pStyle w:val="12"/>
        <w:spacing w:line="360" w:lineRule="auto"/>
        <w:ind w:firstLine="479" w:firstLineChars="19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15.5投标人仅提交备份投标文件，未在电子交易平台传输递交投标文件的，投标无效。</w:t>
      </w:r>
    </w:p>
    <w:p w14:paraId="35E1184D">
      <w:pPr>
        <w:pStyle w:val="31"/>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16.投标文件的无效处理</w:t>
      </w:r>
    </w:p>
    <w:p w14:paraId="387A9356">
      <w:pPr>
        <w:pStyle w:val="9"/>
        <w:spacing w:line="360" w:lineRule="auto"/>
        <w:ind w:firstLine="360"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有招标文件第四部分4.2规定的情形之一的，投标无效。</w:t>
      </w:r>
    </w:p>
    <w:p w14:paraId="4D86EB54">
      <w:pPr>
        <w:pStyle w:val="31"/>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17.投标有效期</w:t>
      </w:r>
    </w:p>
    <w:p w14:paraId="5F71A0B9">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17.1投标有效期为从提交投标文件的截止之日起90天。▲</w:t>
      </w:r>
      <w:r>
        <w:rPr>
          <w:rFonts w:hint="eastAsia" w:asciiTheme="minorEastAsia" w:hAnsiTheme="minorEastAsia" w:eastAsiaTheme="minorEastAsia" w:cstheme="minorEastAsia"/>
          <w:b/>
          <w:sz w:val="24"/>
          <w:szCs w:val="20"/>
        </w:rPr>
        <w:t>投标人的投标文件中承</w:t>
      </w:r>
      <w:r>
        <w:rPr>
          <w:rFonts w:hint="eastAsia" w:asciiTheme="minorEastAsia" w:hAnsiTheme="minorEastAsia" w:eastAsiaTheme="minorEastAsia" w:cstheme="minorEastAsia"/>
          <w:b/>
          <w:sz w:val="24"/>
          <w:szCs w:val="21"/>
        </w:rPr>
        <w:t>诺的投标有效期少于招标文件中载明的投标有效期的，投标无效。</w:t>
      </w:r>
    </w:p>
    <w:p w14:paraId="0433EAE7">
      <w:pPr>
        <w:pStyle w:val="31"/>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17.2投标文件合格投递后，自投标截止日期起，在投标有效期内有效。</w:t>
      </w:r>
    </w:p>
    <w:p w14:paraId="7276835C">
      <w:pPr>
        <w:pStyle w:val="31"/>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5B0520ED">
      <w:pPr>
        <w:pStyle w:val="31"/>
        <w:spacing w:before="0"/>
        <w:ind w:firstLine="480"/>
        <w:rPr>
          <w:rFonts w:hint="eastAsia" w:asciiTheme="minorEastAsia" w:hAnsiTheme="minorEastAsia" w:eastAsiaTheme="minorEastAsia" w:cstheme="minorEastAsia"/>
        </w:rPr>
      </w:pPr>
      <w:r>
        <w:rPr>
          <w:rFonts w:hint="eastAsia" w:ascii="宋体" w:hAnsi="宋体" w:cs="宋体"/>
        </w:rPr>
        <w:t>17.4在投标截止时间起至投标有效期届满，供应商投标文件不可撤销。</w:t>
      </w:r>
    </w:p>
    <w:p w14:paraId="68876ACD">
      <w:pPr>
        <w:pStyle w:val="31"/>
        <w:spacing w:before="0"/>
        <w:ind w:firstLine="1928" w:firstLineChars="6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四、开标、资格审查与信用信息查询</w:t>
      </w:r>
    </w:p>
    <w:p w14:paraId="40934352">
      <w:pPr>
        <w:pStyle w:val="32"/>
        <w:spacing w:before="0" w:line="360" w:lineRule="auto"/>
        <w:ind w:left="0" w:firstLine="241"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18.开标</w:t>
      </w:r>
      <w:r>
        <w:rPr>
          <w:rFonts w:hint="eastAsia" w:asciiTheme="minorEastAsia" w:hAnsiTheme="minorEastAsia" w:eastAsiaTheme="minorEastAsia" w:cstheme="minorEastAsia"/>
          <w:sz w:val="24"/>
        </w:rPr>
        <w:t xml:space="preserve"> </w:t>
      </w:r>
    </w:p>
    <w:p w14:paraId="1E814ED9">
      <w:pPr>
        <w:pStyle w:val="32"/>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18.1采购代理机构按照招标文件规定的时间通过电子交易平台组织开标，所有投标人均应当准时在线参加。投标人不足3家的，不得开标。</w:t>
      </w:r>
    </w:p>
    <w:p w14:paraId="72B00DE5">
      <w:pPr>
        <w:pStyle w:val="32"/>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7D839982">
      <w:pPr>
        <w:pStyle w:val="32"/>
        <w:spacing w:before="0" w:line="360" w:lineRule="auto"/>
        <w:ind w:left="0" w:firstLine="241"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　18.3投标</w:t>
      </w:r>
      <w:r>
        <w:rPr>
          <w:rFonts w:hint="eastAsia" w:asciiTheme="minorEastAsia" w:hAnsiTheme="minorEastAsia" w:eastAsiaTheme="minorEastAsia" w:cstheme="minorEastAsia"/>
          <w:b/>
          <w:sz w:val="24"/>
        </w:rPr>
        <w:t>文件未按时解密，投标人提供了备份投标文件的，以备份投标文件作为依据，否则视为投标文件撤回。投标文件已按时解密的，备份投标文件自动失效。</w:t>
      </w:r>
    </w:p>
    <w:p w14:paraId="366B84D0">
      <w:pPr>
        <w:widowControl/>
        <w:spacing w:line="360" w:lineRule="auto"/>
        <w:jc w:val="left"/>
        <w:rPr>
          <w:rFonts w:hint="eastAsia"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szCs w:val="20"/>
        </w:rPr>
        <w:t>　19</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szCs w:val="20"/>
        </w:rPr>
        <w:t>资格审查</w:t>
      </w:r>
    </w:p>
    <w:p w14:paraId="775040C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19.1</w:t>
      </w:r>
      <w:r>
        <w:rPr>
          <w:rFonts w:hint="eastAsia" w:asciiTheme="minorEastAsia" w:hAnsiTheme="minorEastAsia" w:eastAsiaTheme="minorEastAsia" w:cstheme="minorEastAsia"/>
          <w:sz w:val="24"/>
        </w:rPr>
        <w:t>采购人或采购代理机构依据法律法规和招标文件的规定，对投标人的资格进行审查。</w:t>
      </w:r>
    </w:p>
    <w:p w14:paraId="351169B5">
      <w:pPr>
        <w:pStyle w:val="31"/>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19.2投标人未按照招标文件要求提供与</w:t>
      </w:r>
      <w:r>
        <w:rPr>
          <w:rFonts w:hint="eastAsia" w:asciiTheme="minorEastAsia" w:hAnsiTheme="minorEastAsia" w:eastAsiaTheme="minorEastAsia" w:cstheme="minorEastAsia"/>
        </w:rPr>
        <w:t>资格条件相应的</w:t>
      </w:r>
      <w:r>
        <w:rPr>
          <w:rFonts w:hint="eastAsia" w:asciiTheme="minorEastAsia" w:hAnsiTheme="minorEastAsia" w:eastAsiaTheme="minorEastAsia" w:cstheme="minorEastAsia"/>
          <w:kern w:val="0"/>
          <w:szCs w:val="24"/>
        </w:rPr>
        <w:t>有效资格证明材料的，视为</w:t>
      </w:r>
      <w:r>
        <w:rPr>
          <w:rFonts w:hint="eastAsia" w:asciiTheme="minorEastAsia" w:hAnsiTheme="minorEastAsia" w:eastAsiaTheme="minorEastAsia" w:cstheme="minorEastAsia"/>
        </w:rPr>
        <w:t>投标人不具备招标文件中规定的资格要求，其投标无效。</w:t>
      </w:r>
    </w:p>
    <w:p w14:paraId="61161D08">
      <w:pPr>
        <w:pStyle w:val="31"/>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3对未通过资格审查的投标人，采购人或采购代理机构告知其未通过的原因。</w:t>
      </w:r>
    </w:p>
    <w:p w14:paraId="435B6FDE">
      <w:pPr>
        <w:pStyle w:val="31"/>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4合格投标人不足3家的，不再评标。</w:t>
      </w:r>
    </w:p>
    <w:p w14:paraId="0550BA25">
      <w:pPr>
        <w:pStyle w:val="31"/>
        <w:adjustRightInd w:val="0"/>
        <w:snapToGrid w:val="0"/>
        <w:spacing w:before="0"/>
        <w:ind w:firstLine="480"/>
        <w:rPr>
          <w:rStyle w:val="24"/>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F931088">
      <w:pPr>
        <w:pStyle w:val="31"/>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20.信用信息查询</w:t>
      </w:r>
    </w:p>
    <w:p w14:paraId="3F50090D">
      <w:pPr>
        <w:pStyle w:val="31"/>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20.1信用信息查询渠道及截止时间：采购代理机构将在资格审查时通过“信用中国”网站(www.creditchina.gov.cn)、中国政府采购网(www.ccgp.gov.cn)渠道查询投标人接受资格时的信用记录。</w:t>
      </w:r>
    </w:p>
    <w:p w14:paraId="73BF44A1">
      <w:pPr>
        <w:pStyle w:val="31"/>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20.2信用信息查询记录和证据留存的具体方式：现场查询的投标人的信用记录、查询结果经确认后将与采购文件一起存档。</w:t>
      </w:r>
    </w:p>
    <w:p w14:paraId="0FE3F87C">
      <w:pPr>
        <w:pStyle w:val="31"/>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20.3信用信息的使用规则：经查询列入失信被执行人名单、重大税收违法失信主体、政府采购严重违法失信行为记录名单的投标人将被拒绝参与采购活动。</w:t>
      </w:r>
    </w:p>
    <w:p w14:paraId="0D47E4FE">
      <w:pPr>
        <w:pStyle w:val="31"/>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rPr>
        <w:t>。</w:t>
      </w:r>
    </w:p>
    <w:p w14:paraId="51063EE8">
      <w:pPr>
        <w:snapToGrid w:val="0"/>
        <w:spacing w:line="360" w:lineRule="auto"/>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五、评标</w:t>
      </w:r>
    </w:p>
    <w:p w14:paraId="3EDA38AA">
      <w:pPr>
        <w:spacing w:line="360" w:lineRule="auto"/>
        <w:rPr>
          <w:rFonts w:hint="eastAsia" w:asciiTheme="minorEastAsia" w:hAnsiTheme="minorEastAsia" w:eastAsiaTheme="minorEastAsia" w:cstheme="minorEastAsia"/>
          <w:b/>
          <w:sz w:val="24"/>
        </w:rPr>
      </w:pPr>
      <w:bookmarkStart w:id="13" w:name="_Toc91899903"/>
      <w:r>
        <w:rPr>
          <w:rFonts w:hint="eastAsia" w:asciiTheme="minorEastAsia" w:hAnsiTheme="minorEastAsia" w:eastAsiaTheme="minorEastAsia" w:cstheme="minorEastAsia"/>
          <w:b/>
          <w:sz w:val="24"/>
        </w:rPr>
        <w:t>21.</w:t>
      </w:r>
      <w:r>
        <w:rPr>
          <w:rFonts w:hint="eastAsia" w:asciiTheme="minorEastAsia" w:hAnsiTheme="minorEastAsia" w:eastAsiaTheme="minorEastAsia" w:cs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sz w:val="24"/>
        </w:rPr>
        <w:t>详见招标文件第四部分评标办法。</w:t>
      </w:r>
    </w:p>
    <w:p w14:paraId="140B1E20">
      <w:pPr>
        <w:snapToGrid w:val="0"/>
        <w:spacing w:line="360" w:lineRule="auto"/>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六、定标</w:t>
      </w:r>
    </w:p>
    <w:p w14:paraId="4835B377">
      <w:pPr>
        <w:pStyle w:val="9"/>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22.确定中标供应商</w:t>
      </w:r>
    </w:p>
    <w:p w14:paraId="42E89C94">
      <w:pPr>
        <w:pStyle w:val="31"/>
        <w:adjustRightInd w:val="0"/>
        <w:snapToGrid w:val="0"/>
        <w:spacing w:before="0"/>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一般在收到评审报告当天确定中标或者成交供应商。中标、成交通知书和中标、成交结果公告应当在规定时间内同时发出。</w:t>
      </w:r>
    </w:p>
    <w:p w14:paraId="11723B02">
      <w:pPr>
        <w:pStyle w:val="31"/>
        <w:snapToGrid w:val="0"/>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23.中标通知与中标结果公告</w:t>
      </w:r>
    </w:p>
    <w:p w14:paraId="5FDBFC94">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23.1自中标人确定之日起2个工作日内，采购代理机构通过电子交易平台向中标人发出中标通知书，同时编制发布采购结果公告。采购代理机构也可以以纸质形式进行中标通知。</w:t>
      </w:r>
    </w:p>
    <w:p w14:paraId="4C47B623">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sz w:val="24"/>
        </w:rPr>
        <w:t>资格审查情况、评审专家抽取规则、符合性审查情况、</w:t>
      </w:r>
      <w:bookmarkEnd w:id="14"/>
      <w:r>
        <w:rPr>
          <w:rFonts w:hint="eastAsia" w:asciiTheme="minorEastAsia" w:hAnsiTheme="minorEastAsia" w:eastAsiaTheme="minorEastAsia" w:cstheme="minorEastAsia"/>
          <w:sz w:val="24"/>
        </w:rPr>
        <w:t>未中标情况说明、中标公告期限以及评审专家名单、评分汇总及明细。</w:t>
      </w:r>
    </w:p>
    <w:p w14:paraId="5E936B0C">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23.3公告期限为1个工作日。</w:t>
      </w:r>
    </w:p>
    <w:p w14:paraId="4FB4B57C">
      <w:pPr>
        <w:pStyle w:val="31"/>
        <w:snapToGrid w:val="0"/>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24.由于中标、成交供应商原因导致重新采购的，应当承担支付代理费和专家评审费等费用在内的赔偿责任。</w:t>
      </w:r>
    </w:p>
    <w:p w14:paraId="3081215B">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七、合同授予</w:t>
      </w:r>
    </w:p>
    <w:p w14:paraId="74F5D05F">
      <w:pPr>
        <w:pStyle w:val="9"/>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25.合同主要条款详见第五部分拟签订的合同文本。</w:t>
      </w:r>
    </w:p>
    <w:p w14:paraId="3A838E72">
      <w:pPr>
        <w:pStyle w:val="9"/>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26.合同的签订</w:t>
      </w:r>
    </w:p>
    <w:p w14:paraId="5B8A47C3">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26.1</w:t>
      </w:r>
      <w:r>
        <w:rPr>
          <w:rFonts w:hint="eastAsia" w:asciiTheme="minorEastAsia" w:hAnsiTheme="minorEastAsia" w:eastAsiaTheme="minorEastAsia" w:cstheme="minorEastAsia"/>
          <w:kern w:val="0"/>
          <w:sz w:val="24"/>
        </w:rPr>
        <w:t xml:space="preserve"> 采购人与中标人应当通过电子交易平台在中标通知书发出之日起30日（鼓励有条件的缩短至10个工作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0475D683">
      <w:pPr>
        <w:pStyle w:val="31"/>
        <w:snapToGrid w:val="0"/>
        <w:spacing w:before="0"/>
        <w:ind w:firstLine="48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26.2中标人按规定的日期、时间、地点，由法定代表人或其授权代表与采购人代表签订合同。如中标人为联合体的，由联合体成员各方法定代表人或其授权代表与采购人代表签订合同。</w:t>
      </w:r>
    </w:p>
    <w:p w14:paraId="77582001">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26.3如签订合同并生效后，中标供应商无故拒绝或延期，除按照合同条款处理外，列入不良行为记录一次，并给予通报。</w:t>
      </w:r>
    </w:p>
    <w:p w14:paraId="43F3AD87">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26.4中标供应商拒绝与采购人签订合同的，采购人可以按照评审报告推荐的中标或者成交候选人名单排序，确定下一候选人为中标供应商，也可以重新开展采购活动。</w:t>
      </w:r>
    </w:p>
    <w:p w14:paraId="0E0F8BF1">
      <w:pPr>
        <w:pStyle w:val="9"/>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27. 履约保证金</w:t>
      </w:r>
    </w:p>
    <w:p w14:paraId="5F3554E4">
      <w:pPr>
        <w:tabs>
          <w:tab w:val="left" w:pos="0"/>
        </w:tabs>
        <w:spacing w:line="360" w:lineRule="auto"/>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拟签订的合同文本要求中标供应商提交履约保证金的，中标供应商应当以支票、汇票、本票或者金融机构、担保机构出具的保函等非现金形式提交</w:t>
      </w:r>
      <w:r>
        <w:rPr>
          <w:rFonts w:hint="eastAsia" w:asciiTheme="minorEastAsia" w:hAnsiTheme="minorEastAsia" w:eastAsiaTheme="minorEastAsia" w:cstheme="minorEastAsia"/>
          <w:sz w:val="24"/>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53E2517">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en-US"/>
        </w:rPr>
        <w:t>28.预付款</w:t>
      </w:r>
    </w:p>
    <w:p w14:paraId="6CDA206D">
      <w:pPr>
        <w:spacing w:line="360" w:lineRule="auto"/>
        <w:ind w:firstLine="480" w:firstLineChars="200"/>
      </w:pPr>
      <w:r>
        <w:rPr>
          <w:rFonts w:hint="eastAsia" w:ascii="宋体" w:hAnsi="宋体"/>
          <w:sz w:val="24"/>
        </w:rPr>
        <w:t>采购单位应当在采购合同中约定预付款，对中小企业合同预付款比例原则上不低于合同金额的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w:t>
      </w:r>
    </w:p>
    <w:p w14:paraId="58C7564D">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35086CEB">
      <w:pPr>
        <w:pStyle w:val="31"/>
        <w:snapToGrid w:val="0"/>
        <w:spacing w:before="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2</w:t>
      </w:r>
      <w:r>
        <w:rPr>
          <w:rFonts w:hint="eastAsia" w:asciiTheme="minorEastAsia" w:hAnsiTheme="minorEastAsia" w:eastAsiaTheme="minorEastAsia" w:cstheme="minorEastAsia"/>
          <w:b/>
          <w:bCs/>
          <w:szCs w:val="24"/>
        </w:rPr>
        <w:t>9</w:t>
      </w:r>
      <w:r>
        <w:rPr>
          <w:rFonts w:hint="eastAsia" w:asciiTheme="minorEastAsia" w:hAnsiTheme="minorEastAsia" w:eastAsiaTheme="minorEastAsia" w:cstheme="minorEastAsia"/>
          <w:b/>
          <w:szCs w:val="24"/>
        </w:rPr>
        <w:t>.电子交易活动的中止。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采购过程中出现以下情形，导致电子交易平台无法正常运行，或者无法保证电子交易的公平、公正和安全时，采购代理机构可中止电子交易活动：</w:t>
      </w:r>
    </w:p>
    <w:p w14:paraId="676EC557">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29.1电子交易平台发生故障而无法登录访问的； </w:t>
      </w:r>
    </w:p>
    <w:p w14:paraId="63FF2383">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29.2电子交易平台应用或数据库出现错误，不能进行正常操作的；</w:t>
      </w:r>
    </w:p>
    <w:p w14:paraId="1FFE09EF">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29.3电子交易平台发现严重安全漏洞，有潜在泄密危险的；</w:t>
      </w:r>
    </w:p>
    <w:p w14:paraId="7E3E767C">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29.4病毒发作导致不能进行正常操作的； </w:t>
      </w:r>
    </w:p>
    <w:p w14:paraId="3B54B7E0">
      <w:pPr>
        <w:pStyle w:val="31"/>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29.5其他无法保证电子交易的公平、公正和安全的情况。</w:t>
      </w:r>
    </w:p>
    <w:p w14:paraId="71E6F86B">
      <w:pPr>
        <w:pStyle w:val="31"/>
        <w:snapToGrid w:val="0"/>
        <w:spacing w:before="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30.出现以上情形，不影响采购公平、公正性的，采购组织机构可以待上述情形消除后继续组织电子交易活动，也可以决定某些环节以纸质形式进行；影响或可能影响采购公平、公正性的，应当重新采购。</w:t>
      </w:r>
    </w:p>
    <w:p w14:paraId="78C838D1">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216C041F">
      <w:pPr>
        <w:pStyle w:val="9"/>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31.验收</w:t>
      </w:r>
    </w:p>
    <w:p w14:paraId="2BF4EC2C">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06F345">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31.2采购人可以邀请参加本项目的其他投标人或者第三方机构参与验收。参与验收的投标人或者第三方机构的意见作为验收书的参考资料一并存档。</w:t>
      </w:r>
    </w:p>
    <w:p w14:paraId="1B87D197">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89C143">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3"/>
      <w:bookmarkStart w:id="15" w:name="_Hlt68057669"/>
      <w:bookmarkEnd w:id="15"/>
      <w:bookmarkStart w:id="16" w:name="_Hlt74729768"/>
      <w:bookmarkEnd w:id="16"/>
      <w:bookmarkStart w:id="17" w:name="_Hlt75236011"/>
      <w:bookmarkEnd w:id="17"/>
      <w:bookmarkStart w:id="18" w:name="_Hlt68403820"/>
      <w:bookmarkEnd w:id="18"/>
      <w:bookmarkStart w:id="19" w:name="_Hlt68072998"/>
      <w:bookmarkEnd w:id="19"/>
      <w:bookmarkStart w:id="20" w:name="_Hlt75236101"/>
      <w:bookmarkEnd w:id="20"/>
      <w:bookmarkStart w:id="21" w:name="_Hlt68072990"/>
      <w:bookmarkEnd w:id="21"/>
      <w:bookmarkStart w:id="22" w:name="_Hlt74730295"/>
      <w:bookmarkEnd w:id="22"/>
      <w:bookmarkStart w:id="23" w:name="_Hlt68073093"/>
      <w:bookmarkEnd w:id="23"/>
      <w:bookmarkStart w:id="24" w:name="_Hlt74714665"/>
      <w:bookmarkEnd w:id="24"/>
      <w:bookmarkStart w:id="25" w:name="_Hlt75236290"/>
      <w:bookmarkEnd w:id="25"/>
      <w:bookmarkStart w:id="26" w:name="_Hlt74707468"/>
      <w:bookmarkEnd w:id="26"/>
    </w:p>
    <w:bookmarkEnd w:id="11"/>
    <w:bookmarkEnd w:id="12"/>
    <w:p w14:paraId="5629EC83">
      <w:pPr>
        <w:rPr>
          <w:rFonts w:hint="eastAsia" w:asciiTheme="minorEastAsia" w:hAnsiTheme="minorEastAsia" w:eastAsiaTheme="minorEastAsia" w:cstheme="minorEastAsia"/>
          <w:b/>
          <w:sz w:val="36"/>
          <w:szCs w:val="36"/>
        </w:rPr>
      </w:pPr>
      <w:bookmarkStart w:id="27" w:name="第四部分"/>
      <w:r>
        <w:rPr>
          <w:rFonts w:hint="eastAsia" w:asciiTheme="minorEastAsia" w:hAnsiTheme="minorEastAsia" w:eastAsiaTheme="minorEastAsia" w:cstheme="minorEastAsia"/>
          <w:b/>
          <w:sz w:val="36"/>
          <w:szCs w:val="36"/>
        </w:rPr>
        <w:br w:type="page"/>
      </w:r>
    </w:p>
    <w:p w14:paraId="5070DE34">
      <w:pPr>
        <w:spacing w:line="360" w:lineRule="auto"/>
        <w:jc w:val="center"/>
        <w:outlineLvl w:val="0"/>
        <w:rPr>
          <w:rFonts w:hint="eastAsia" w:asciiTheme="minorEastAsia" w:hAnsiTheme="minorEastAsia" w:eastAsiaTheme="minorEastAsia" w:cstheme="minorEastAsia"/>
          <w:b/>
          <w:bCs/>
          <w:kern w:val="44"/>
          <w:sz w:val="24"/>
          <w:szCs w:val="24"/>
        </w:rPr>
      </w:pPr>
      <w:r>
        <w:rPr>
          <w:rFonts w:hint="eastAsia" w:asciiTheme="minorEastAsia" w:hAnsiTheme="minorEastAsia" w:eastAsiaTheme="minorEastAsia" w:cstheme="minorEastAsia"/>
          <w:b/>
          <w:sz w:val="36"/>
          <w:szCs w:val="36"/>
        </w:rPr>
        <w:t>第三部分   采购需求</w:t>
      </w:r>
    </w:p>
    <w:p w14:paraId="6448382D">
      <w:pPr>
        <w:adjustRightInd w:val="0"/>
        <w:spacing w:line="360" w:lineRule="auto"/>
        <w:rPr>
          <w:rFonts w:hint="eastAsia" w:ascii="宋体" w:hAnsi="宋体" w:cs="宋体"/>
          <w:b/>
          <w:sz w:val="28"/>
          <w:szCs w:val="28"/>
        </w:rPr>
      </w:pPr>
      <w:r>
        <w:rPr>
          <w:rFonts w:hint="eastAsia" w:ascii="宋体" w:hAnsi="宋体" w:cs="宋体"/>
          <w:b/>
          <w:sz w:val="28"/>
          <w:szCs w:val="28"/>
        </w:rPr>
        <w:t>一、项目概况</w:t>
      </w:r>
    </w:p>
    <w:p w14:paraId="31B1F4A5">
      <w:pPr>
        <w:pStyle w:val="3"/>
        <w:ind w:hanging="12"/>
        <w:rPr>
          <w:rFonts w:hint="eastAsia" w:ascii="宋体" w:hAnsi="宋体" w:eastAsia="宋体" w:cs="宋体"/>
          <w:bCs w:val="0"/>
          <w:sz w:val="24"/>
          <w:szCs w:val="24"/>
          <w:lang w:val="en-US"/>
        </w:rPr>
      </w:pPr>
      <w:r>
        <w:rPr>
          <w:rFonts w:hint="eastAsia" w:ascii="宋体" w:hAnsi="宋体" w:eastAsia="宋体" w:cs="宋体"/>
          <w:bCs w:val="0"/>
          <w:sz w:val="24"/>
          <w:szCs w:val="24"/>
          <w:lang w:val="en-US"/>
        </w:rPr>
        <w:t>1.项目背景</w:t>
      </w:r>
    </w:p>
    <w:p w14:paraId="5F72A098">
      <w:pPr>
        <w:spacing w:line="360" w:lineRule="auto"/>
        <w:ind w:firstLine="480" w:firstLineChars="200"/>
        <w:rPr>
          <w:sz w:val="24"/>
        </w:rPr>
      </w:pPr>
      <w:bookmarkStart w:id="28" w:name="OLE_LINK5"/>
      <w:r>
        <w:rPr>
          <w:rFonts w:hint="eastAsia"/>
          <w:sz w:val="24"/>
        </w:rPr>
        <w:t>本次项目将全面提升学校教育现代化水平，构建高效、智能、节能、平安、和谐的校园环境，“量身定制”一套科学合理、可操作性强、前瞻性与实用性并重、特色鲜明的信息化标杆学校。以信息技术为驱动，推动学校教学模式创新、管理效率提升、校园文化繁荣，为学生提供更加个性化、智能化的学习空间，为教师创造更加便捷、高效的工作环境。</w:t>
      </w:r>
      <w:bookmarkEnd w:id="28"/>
    </w:p>
    <w:p w14:paraId="18AEA307">
      <w:pPr>
        <w:spacing w:line="360" w:lineRule="auto"/>
        <w:ind w:firstLine="480" w:firstLineChars="200"/>
        <w:rPr>
          <w:rFonts w:hint="eastAsia" w:ascii="宋体" w:hAnsi="宋体" w:eastAsia="宋体" w:cs="宋体"/>
          <w:sz w:val="24"/>
        </w:rPr>
      </w:pPr>
      <w:r>
        <w:rPr>
          <w:rFonts w:hint="eastAsia"/>
          <w:sz w:val="24"/>
        </w:rPr>
        <w:t>《教育部关于加强新</w:t>
      </w:r>
      <w:r>
        <w:rPr>
          <w:rFonts w:hint="eastAsia" w:ascii="宋体" w:hAnsi="宋体" w:eastAsia="宋体" w:cs="宋体"/>
          <w:sz w:val="24"/>
        </w:rPr>
        <w:t>时代教育管理信息化工作的通知》指出，到2025年，新时代教育管理信息化制度体系基本形成，信息系统实现优化整合，一体化水平大幅提升；数据实现“一数一源”，数据孤岛得以打通，数据效能充分发挥；在线服务灵活便捷，“一网通办”深入普及，服务体验明显提升；现代化的教育管理与监测体系基本形成，多元参与的应用生态基本建立；教育决策科学化、管理精准化、服务个性化水平全面提升，支撑构建高质量教育体系。</w:t>
      </w:r>
    </w:p>
    <w:p w14:paraId="49D09D31">
      <w:pPr>
        <w:spacing w:line="360" w:lineRule="auto"/>
        <w:ind w:firstLine="480" w:firstLineChars="200"/>
        <w:rPr>
          <w:sz w:val="24"/>
        </w:rPr>
      </w:pPr>
      <w:r>
        <w:rPr>
          <w:rFonts w:hint="eastAsia" w:ascii="宋体" w:hAnsi="宋体" w:eastAsia="宋体" w:cs="宋体"/>
          <w:sz w:val="24"/>
        </w:rPr>
        <w:t>《职业教育提质培优行动计划（2020—2023年）》指出，以落实《职业院校数字校园规范》，推动各地研制校本数据中心建设指南，指导职业院校系统设计学校信息化整体解决方案。引导职业院校提升信息化基础能力，建设高速</w:t>
      </w:r>
      <w:r>
        <w:rPr>
          <w:rFonts w:hint="eastAsia"/>
          <w:sz w:val="24"/>
        </w:rPr>
        <w:t>稳定的校园网络，联通校内行政教务教学、学生德育等应用系统，统筹建设一体化智能化教学、管理与服务平台。</w:t>
      </w:r>
    </w:p>
    <w:p w14:paraId="4B1A938D">
      <w:pPr>
        <w:spacing w:line="360" w:lineRule="auto"/>
        <w:ind w:firstLine="480" w:firstLineChars="200"/>
        <w:rPr>
          <w:sz w:val="24"/>
        </w:rPr>
      </w:pPr>
      <w:r>
        <w:rPr>
          <w:rFonts w:hint="eastAsia"/>
          <w:sz w:val="24"/>
        </w:rPr>
        <w:t>因此，在这多方背景支撑下，基于学校现有基础环境，加强长远规划和顶层设计，以集约、创新、高效为关键目标；积极利用现有设备、现有应用、现有数据实现再造再用；这是学校长久以来的规范和需求突破的主要思路。</w:t>
      </w:r>
    </w:p>
    <w:p w14:paraId="10248BAC">
      <w:pPr>
        <w:spacing w:line="360" w:lineRule="auto"/>
        <w:ind w:firstLine="420" w:firstLineChars="175"/>
        <w:rPr>
          <w:sz w:val="24"/>
        </w:rPr>
      </w:pPr>
      <w:r>
        <w:rPr>
          <w:rFonts w:hint="eastAsia"/>
          <w:sz w:val="24"/>
        </w:rPr>
        <w:t>深入学校角色业务、部门业务的迭代与开发，为校园管理、事件决策、家校服务实现互联互通的综合服务通道。</w:t>
      </w:r>
    </w:p>
    <w:p w14:paraId="34CBBBBA">
      <w:pPr>
        <w:spacing w:line="360" w:lineRule="auto"/>
        <w:ind w:firstLine="422" w:firstLineChars="175"/>
        <w:rPr>
          <w:rFonts w:hint="eastAsia" w:ascii="宋体" w:hAnsi="宋体" w:cs="宋体"/>
          <w:b/>
          <w:bCs/>
          <w:sz w:val="24"/>
          <w:szCs w:val="24"/>
        </w:rPr>
      </w:pPr>
      <w:r>
        <w:rPr>
          <w:rFonts w:hint="eastAsia" w:ascii="宋体" w:hAnsi="宋体" w:cs="宋体"/>
          <w:b/>
          <w:bCs/>
          <w:sz w:val="24"/>
          <w:szCs w:val="24"/>
        </w:rPr>
        <w:t>2.建设目标</w:t>
      </w:r>
    </w:p>
    <w:p w14:paraId="339DAE66">
      <w:pPr>
        <w:spacing w:line="360" w:lineRule="auto"/>
        <w:ind w:firstLine="480" w:firstLineChars="200"/>
        <w:rPr>
          <w:sz w:val="24"/>
        </w:rPr>
      </w:pPr>
      <w:r>
        <w:rPr>
          <w:rFonts w:hint="eastAsia"/>
          <w:sz w:val="24"/>
        </w:rPr>
        <w:t>贯彻落实教育部印发《关于加快推进现代职业教育体系建设改革重点任务的通知》中提出的建设职业教育信息化标杆学校的重点任务，根据《职业教育信息化标杆学校建设指南》并结合学校实际，完善顶层设计、补齐短板空白，全面运用数字化理念和数字化思维，建设数字化教学与管理综合服务系统平台，以资源为驱动重构教学生态，以数据为驱动重建治理体系，以场景为驱动重塑服务体系，全方位推进教学模式、管理模式和服务模式的变革，为学校的高质量发展和师生的全面发展提供有力支撑。项目建设遵循“统一规划、分步实施、实用先行”的原则。</w:t>
      </w:r>
    </w:p>
    <w:p w14:paraId="11B24728">
      <w:pPr>
        <w:spacing w:line="360" w:lineRule="auto"/>
        <w:ind w:firstLine="480" w:firstLineChars="200"/>
        <w:rPr>
          <w:rFonts w:hint="eastAsia" w:ascii="宋体" w:hAnsi="宋体" w:cs="宋体"/>
          <w:sz w:val="24"/>
        </w:rPr>
      </w:pPr>
      <w:r>
        <w:rPr>
          <w:rFonts w:hint="eastAsia" w:ascii="宋体" w:hAnsi="宋体" w:cs="宋体"/>
          <w:sz w:val="24"/>
        </w:rPr>
        <w:t>1）夯实基座，完善数字基础设施</w:t>
      </w:r>
    </w:p>
    <w:p w14:paraId="3A38946F">
      <w:pPr>
        <w:spacing w:line="360" w:lineRule="auto"/>
        <w:ind w:firstLine="480" w:firstLineChars="200"/>
        <w:rPr>
          <w:rFonts w:hint="eastAsia" w:ascii="宋体" w:hAnsi="宋体" w:cs="宋体"/>
          <w:sz w:val="24"/>
        </w:rPr>
      </w:pPr>
      <w:r>
        <w:rPr>
          <w:rFonts w:hint="eastAsia" w:ascii="宋体" w:hAnsi="宋体" w:cs="宋体"/>
          <w:sz w:val="24"/>
        </w:rPr>
        <w:t>通过构建多维数据归集能力，实现全校教育数据的有效归集和有序互通。构建数据质量管理能力，能够对不同格式、不同生产库的数据进行有效归集、清洗治理、有序编目、规范存储。构建数据标准治理能力，实现多数据的层层分析，从源始库到主题库，从数据主题库到数据专题库，实现数据的独立到数据的任意组合出分析效应。根据业务数据情况与质量，以业务需求为导向，构建为各业务场景服务的数据专题库。建立数据服务场景，为用户提供场景服务工具能力，同时为用户解决场景需求的调研与研发。</w:t>
      </w:r>
    </w:p>
    <w:p w14:paraId="4460B09C">
      <w:pPr>
        <w:spacing w:line="360" w:lineRule="auto"/>
        <w:ind w:firstLine="480" w:firstLineChars="200"/>
        <w:rPr>
          <w:rFonts w:hint="eastAsia" w:ascii="宋体" w:hAnsi="宋体" w:cs="宋体"/>
          <w:sz w:val="24"/>
        </w:rPr>
      </w:pPr>
      <w:r>
        <w:rPr>
          <w:rFonts w:hint="eastAsia" w:ascii="宋体" w:hAnsi="宋体" w:cs="宋体"/>
          <w:sz w:val="24"/>
        </w:rPr>
        <w:t>2）数智服务，发挥数据资产价值</w:t>
      </w:r>
    </w:p>
    <w:p w14:paraId="1A7656AE">
      <w:pPr>
        <w:spacing w:line="360" w:lineRule="auto"/>
        <w:ind w:firstLine="480" w:firstLineChars="200"/>
        <w:rPr>
          <w:rFonts w:hint="eastAsia" w:ascii="宋体" w:hAnsi="宋体" w:cs="宋体"/>
          <w:sz w:val="24"/>
        </w:rPr>
      </w:pPr>
      <w:r>
        <w:rPr>
          <w:rFonts w:hint="eastAsia" w:ascii="宋体" w:hAnsi="宋体" w:cs="宋体"/>
          <w:sz w:val="24"/>
        </w:rPr>
        <w:t>智慧校园数智服务平台是以数字基座和应用融合为支撑，解决教务教学、学生管理、校务管理等业务治理，构建校园“一网通办”综合服务体系。构建场景互联、业务协作的应用服务能力平台；辐射校务协同、学生德育等业务管理，打造清晰的业务闭环。</w:t>
      </w:r>
    </w:p>
    <w:p w14:paraId="507ABA7B">
      <w:pPr>
        <w:spacing w:line="360" w:lineRule="auto"/>
        <w:ind w:firstLine="480" w:firstLineChars="200"/>
        <w:rPr>
          <w:rFonts w:hint="eastAsia" w:ascii="宋体" w:hAnsi="宋体" w:cs="宋体"/>
          <w:sz w:val="24"/>
        </w:rPr>
      </w:pPr>
      <w:r>
        <w:rPr>
          <w:rFonts w:hint="eastAsia" w:ascii="宋体" w:hAnsi="宋体" w:cs="宋体"/>
          <w:sz w:val="24"/>
        </w:rPr>
        <w:t>3）争创信息化标杆学校</w:t>
      </w:r>
    </w:p>
    <w:p w14:paraId="02FE2E29">
      <w:pPr>
        <w:spacing w:line="360" w:lineRule="auto"/>
        <w:ind w:firstLine="480" w:firstLineChars="200"/>
        <w:rPr>
          <w:sz w:val="24"/>
        </w:rPr>
      </w:pPr>
      <w:r>
        <w:rPr>
          <w:rFonts w:hint="eastAsia"/>
          <w:sz w:val="24"/>
        </w:rPr>
        <w:t>打造地区职业教育数据智能化服务体系，服务于教育管理、教育教学、教育决策。并按照教育部全国职业教育智慧大脑院校中台数据标准及接口规范的要求，统一数据标准，实现自动接入和数据上报。</w:t>
      </w:r>
    </w:p>
    <w:p w14:paraId="00B6B4DB">
      <w:pPr>
        <w:spacing w:line="360" w:lineRule="auto"/>
        <w:ind w:firstLine="480" w:firstLineChars="200"/>
        <w:rPr>
          <w:sz w:val="24"/>
        </w:rPr>
      </w:pPr>
      <w:r>
        <w:rPr>
          <w:rFonts w:hint="eastAsia"/>
          <w:sz w:val="24"/>
        </w:rPr>
        <w:t>通过全面监测数据上报质量，反向思考如何优化学校信息化不足；打造一批应用创新、服务智能、数据赋能的应用服务系统，推动学校数字化转型，构建信息化标杆学校。</w:t>
      </w:r>
    </w:p>
    <w:p w14:paraId="692D123E">
      <w:pPr>
        <w:spacing w:line="360" w:lineRule="auto"/>
        <w:ind w:left="420" w:leftChars="200"/>
        <w:rPr>
          <w:rFonts w:hint="eastAsia"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3.建设原则</w:t>
      </w:r>
    </w:p>
    <w:p w14:paraId="524D43F4">
      <w:pPr>
        <w:spacing w:line="360" w:lineRule="auto"/>
        <w:ind w:left="420" w:leftChars="200"/>
        <w:rPr>
          <w:rFonts w:hint="eastAsia" w:ascii="宋体" w:hAnsi="宋体" w:cs="宋体"/>
          <w:sz w:val="24"/>
        </w:rPr>
      </w:pPr>
      <w:r>
        <w:rPr>
          <w:rFonts w:hint="eastAsia" w:ascii="宋体" w:hAnsi="宋体" w:cs="宋体"/>
          <w:sz w:val="24"/>
        </w:rPr>
        <w:t>（1）科学合理性</w:t>
      </w:r>
    </w:p>
    <w:p w14:paraId="560F4BAA">
      <w:pPr>
        <w:spacing w:line="360" w:lineRule="auto"/>
        <w:ind w:firstLine="480" w:firstLineChars="200"/>
        <w:rPr>
          <w:sz w:val="24"/>
        </w:rPr>
      </w:pPr>
      <w:r>
        <w:rPr>
          <w:rFonts w:hint="eastAsia"/>
          <w:sz w:val="24"/>
        </w:rPr>
        <w:t>为了确保项目具有较长的生命周期，充分考虑到将来的技术发展需要，投标供应商提供的软件系统应选择适应云计算、大数据等技术与产品，在标准和接口方面要求具有良好的开放性。采用多层体系架构和开放平台的开发技术，便于将来新增系统的应用扩展和信息资源整合。</w:t>
      </w:r>
    </w:p>
    <w:p w14:paraId="6A4167F4">
      <w:pPr>
        <w:spacing w:line="360" w:lineRule="auto"/>
        <w:ind w:firstLine="480" w:firstLineChars="200"/>
        <w:rPr>
          <w:rFonts w:hint="eastAsia" w:ascii="宋体" w:hAnsi="宋体" w:cs="宋体"/>
          <w:sz w:val="24"/>
        </w:rPr>
      </w:pPr>
      <w:r>
        <w:rPr>
          <w:rFonts w:hint="eastAsia" w:ascii="宋体" w:hAnsi="宋体" w:cs="宋体"/>
          <w:sz w:val="24"/>
        </w:rPr>
        <w:t>（2）开放性及可扩展性</w:t>
      </w:r>
    </w:p>
    <w:p w14:paraId="3AB85CC0">
      <w:pPr>
        <w:spacing w:line="360" w:lineRule="auto"/>
        <w:ind w:firstLine="480" w:firstLineChars="200"/>
        <w:rPr>
          <w:sz w:val="24"/>
        </w:rPr>
      </w:pPr>
      <w:r>
        <w:rPr>
          <w:rFonts w:hint="eastAsia"/>
          <w:sz w:val="24"/>
        </w:rPr>
        <w:t>系统需采用面向对象和模块化的设计理念，便于更新、扩充、升级。系统的功能应满足当前业务处理的需求，并充分考虑未来业务种类不断增长和用户不断增长的需求。整个系统低耦合、模块化设计，当系统规模扩大，系统可以比较简单地予以修改、调整就能适应,充分满足用户的个性化需求，达到良好效果。</w:t>
      </w:r>
    </w:p>
    <w:p w14:paraId="692B405D">
      <w:pPr>
        <w:spacing w:line="360" w:lineRule="auto"/>
        <w:ind w:firstLine="480" w:firstLineChars="200"/>
        <w:rPr>
          <w:rFonts w:hint="eastAsia" w:ascii="宋体" w:hAnsi="宋体" w:cs="宋体"/>
          <w:sz w:val="24"/>
        </w:rPr>
      </w:pPr>
      <w:r>
        <w:rPr>
          <w:rFonts w:hint="eastAsia" w:ascii="宋体" w:hAnsi="宋体" w:cs="宋体"/>
          <w:sz w:val="24"/>
        </w:rPr>
        <w:t>（3）可维护性及可管理性</w:t>
      </w:r>
    </w:p>
    <w:p w14:paraId="38BDAAC9">
      <w:pPr>
        <w:spacing w:line="360" w:lineRule="auto"/>
        <w:ind w:firstLine="480" w:firstLineChars="200"/>
        <w:rPr>
          <w:rFonts w:hint="eastAsia" w:ascii="宋体" w:hAnsi="宋体" w:cs="宋体"/>
          <w:sz w:val="24"/>
        </w:rPr>
      </w:pPr>
      <w:r>
        <w:rPr>
          <w:rFonts w:hint="eastAsia" w:ascii="宋体" w:hAnsi="宋体" w:cs="宋体"/>
          <w:sz w:val="24"/>
        </w:rPr>
        <w:t>在系统开发中，保证系统的可维护性，合理设计应用体系结构，系统需要提供友好的二次开发接口，方便对功能进行增加和修改。整个系统必须要易于管理，操作简单、易学、易用，便于进行系统配置，在设备、安全性、数据流量、性能等方面得到有效的监控、管理及诊断。</w:t>
      </w:r>
    </w:p>
    <w:p w14:paraId="040B71A8">
      <w:pPr>
        <w:spacing w:line="360" w:lineRule="auto"/>
        <w:ind w:firstLine="480" w:firstLineChars="200"/>
        <w:rPr>
          <w:rFonts w:hint="eastAsia" w:ascii="宋体" w:hAnsi="宋体" w:cs="宋体"/>
          <w:sz w:val="24"/>
        </w:rPr>
      </w:pPr>
      <w:r>
        <w:rPr>
          <w:rFonts w:hint="eastAsia" w:ascii="宋体" w:hAnsi="宋体" w:cs="宋体"/>
          <w:sz w:val="24"/>
        </w:rPr>
        <w:t>（4）规范性和标准化</w:t>
      </w:r>
    </w:p>
    <w:p w14:paraId="2E1123B5">
      <w:pPr>
        <w:spacing w:line="360" w:lineRule="auto"/>
        <w:ind w:firstLine="480" w:firstLineChars="200"/>
        <w:rPr>
          <w:sz w:val="24"/>
        </w:rPr>
      </w:pPr>
      <w:r>
        <w:rPr>
          <w:rFonts w:hint="eastAsia"/>
          <w:sz w:val="24"/>
        </w:rPr>
        <w:t>系统的设计和开发必须遵循有关的国家、省、市和行业相关管理规范，符合计算机行业规范和检验业务规范。设计、开发和管理维护各阶段的技术文档要完整、规范、条理清晰。</w:t>
      </w:r>
    </w:p>
    <w:p w14:paraId="07EB9F52">
      <w:pPr>
        <w:spacing w:line="360" w:lineRule="auto"/>
        <w:ind w:firstLine="480" w:firstLineChars="200"/>
        <w:rPr>
          <w:rFonts w:hint="eastAsia" w:ascii="宋体" w:hAnsi="宋体" w:cs="宋体"/>
          <w:sz w:val="24"/>
        </w:rPr>
      </w:pPr>
      <w:r>
        <w:rPr>
          <w:rFonts w:hint="eastAsia" w:ascii="宋体" w:hAnsi="宋体" w:cs="宋体"/>
          <w:sz w:val="24"/>
        </w:rPr>
        <w:t>（5）高稳定和高性能</w:t>
      </w:r>
    </w:p>
    <w:p w14:paraId="2A572A21">
      <w:pPr>
        <w:adjustRightInd w:val="0"/>
        <w:snapToGrid w:val="0"/>
        <w:spacing w:line="360" w:lineRule="auto"/>
        <w:ind w:firstLine="420" w:firstLineChars="175"/>
        <w:rPr>
          <w:sz w:val="24"/>
        </w:rPr>
      </w:pPr>
      <w:r>
        <w:rPr>
          <w:rFonts w:hint="eastAsia"/>
          <w:sz w:val="24"/>
        </w:rPr>
        <w:t>系统开发和硬件配置规范，提供合理有效的应急方案，确保系统的高稳定，杜绝出现系统停止运转、页面无法访问等现象。保证各种应用特别是关键业务应用的稳定高效运行，能够在高访问负载情况下，向各类服务对象提供可靠的公众服务。网站的信息发布形式应综合静态、半动态、动态等多种形式。</w:t>
      </w:r>
    </w:p>
    <w:p w14:paraId="723D484D">
      <w:pPr>
        <w:adjustRightInd w:val="0"/>
        <w:snapToGrid w:val="0"/>
        <w:spacing w:line="360" w:lineRule="auto"/>
        <w:ind w:firstLine="422" w:firstLineChars="175"/>
        <w:rPr>
          <w:rFonts w:hint="eastAsia" w:ascii="宋体" w:hAnsi="宋体" w:cs="宋体"/>
          <w:b/>
          <w:bCs/>
          <w:snapToGrid w:val="0"/>
          <w:sz w:val="24"/>
        </w:rPr>
      </w:pPr>
      <w:r>
        <w:rPr>
          <w:rFonts w:hint="eastAsia" w:ascii="宋体" w:hAnsi="宋体" w:cs="宋体"/>
          <w:b/>
          <w:bCs/>
          <w:sz w:val="24"/>
        </w:rPr>
        <w:t>4.整体要求</w:t>
      </w:r>
    </w:p>
    <w:p w14:paraId="1F585231">
      <w:pPr>
        <w:adjustRightInd w:val="0"/>
        <w:snapToGrid w:val="0"/>
        <w:spacing w:line="360" w:lineRule="auto"/>
        <w:ind w:firstLine="420" w:firstLineChars="175"/>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（1）性能要求</w:t>
      </w:r>
    </w:p>
    <w:p w14:paraId="40297E9B">
      <w:pPr>
        <w:spacing w:line="360" w:lineRule="auto"/>
        <w:ind w:firstLine="420" w:firstLineChars="175"/>
        <w:rPr>
          <w:rFonts w:hint="eastAsia" w:ascii="宋体" w:hAnsi="宋体" w:cs="宋体"/>
          <w:sz w:val="24"/>
        </w:rPr>
      </w:pPr>
      <w:r>
        <w:rPr>
          <w:rFonts w:hint="eastAsia" w:ascii="宋体" w:hAnsi="宋体" w:cs="宋体"/>
          <w:sz w:val="24"/>
        </w:rPr>
        <w:t>①系统支持不限数量的应用接入，不限制流程数与用户数；</w:t>
      </w:r>
    </w:p>
    <w:p w14:paraId="4ED6DBEC">
      <w:pPr>
        <w:spacing w:line="360" w:lineRule="auto"/>
        <w:ind w:firstLine="420" w:firstLineChars="175"/>
        <w:rPr>
          <w:rFonts w:hint="eastAsia" w:ascii="宋体" w:hAnsi="宋体" w:cs="宋体"/>
          <w:sz w:val="24"/>
        </w:rPr>
      </w:pPr>
      <w:r>
        <w:rPr>
          <w:rFonts w:hint="eastAsia" w:ascii="宋体" w:hAnsi="宋体" w:cs="宋体"/>
          <w:sz w:val="24"/>
        </w:rPr>
        <w:t>②系统架构实现负载均衡，应用系统能支持1000以上终端同时在线，并发数达到500人（达到500并发后，单页面响应时间不高于3秒），数据中台需要支持100以上终端同时在线，并发数达到20人（达到20并发后，单页面响应时间不高于3秒）；支持通过增加服务器集群部署实现性能扩容。单笔业务录入/修改响应时间≤1秒，单笔业务以外的其他业务响应时间≤3秒。</w:t>
      </w:r>
    </w:p>
    <w:p w14:paraId="4B01BF03">
      <w:pPr>
        <w:spacing w:line="360" w:lineRule="auto"/>
        <w:ind w:firstLine="420" w:firstLineChars="175"/>
        <w:rPr>
          <w:rFonts w:hint="eastAsia" w:ascii="宋体" w:hAnsi="宋体" w:cs="宋体"/>
          <w:sz w:val="24"/>
        </w:rPr>
      </w:pPr>
      <w:r>
        <w:rPr>
          <w:rFonts w:hint="eastAsia" w:ascii="宋体" w:hAnsi="宋体" w:cs="宋体"/>
          <w:sz w:val="24"/>
        </w:rPr>
        <w:t>③系统采用容器云技术进行部署安装，并通过管理控制台实现系统的统一部署、编排、监控等运维管理，并提供可视化运维管理界面，方便运维人员操作。</w:t>
      </w:r>
    </w:p>
    <w:p w14:paraId="2FF0C443">
      <w:pPr>
        <w:spacing w:line="360" w:lineRule="auto"/>
        <w:ind w:firstLine="420" w:firstLineChars="175"/>
        <w:rPr>
          <w:rFonts w:hint="eastAsia" w:ascii="宋体" w:hAnsi="宋体" w:cs="宋体"/>
          <w:sz w:val="24"/>
        </w:rPr>
      </w:pPr>
      <w:r>
        <w:rPr>
          <w:rFonts w:hint="eastAsia" w:ascii="宋体" w:hAnsi="宋体" w:cs="宋体"/>
          <w:sz w:val="24"/>
        </w:rPr>
        <w:t>④门户端运行的服务及应用满足响应式开发设计与运行，确保用户可以无损在多端访问。</w:t>
      </w:r>
    </w:p>
    <w:p w14:paraId="5FC79139">
      <w:pPr>
        <w:spacing w:line="360" w:lineRule="auto"/>
        <w:ind w:firstLine="420" w:firstLineChars="175"/>
        <w:rPr>
          <w:rFonts w:hint="eastAsia" w:ascii="宋体" w:hAnsi="宋体" w:cs="宋体"/>
          <w:sz w:val="24"/>
        </w:rPr>
      </w:pPr>
      <w:r>
        <w:rPr>
          <w:rFonts w:hint="eastAsia" w:ascii="宋体" w:hAnsi="宋体" w:cs="宋体"/>
          <w:sz w:val="24"/>
        </w:rPr>
        <w:t>⑤平均延时：普通页面，小于1秒，最大不超过5秒；查询页面，小于3秒，最大不超过20秒。</w:t>
      </w:r>
    </w:p>
    <w:p w14:paraId="2468D152">
      <w:pPr>
        <w:spacing w:line="360" w:lineRule="auto"/>
        <w:ind w:firstLine="420" w:firstLineChars="175"/>
        <w:rPr>
          <w:rFonts w:hint="eastAsia" w:ascii="宋体" w:hAnsi="宋体" w:cs="宋体"/>
          <w:sz w:val="24"/>
        </w:rPr>
      </w:pPr>
      <w:r>
        <w:rPr>
          <w:rFonts w:hint="eastAsia" w:ascii="宋体" w:hAnsi="宋体" w:cs="宋体"/>
          <w:sz w:val="24"/>
        </w:rPr>
        <w:t>⑥支持负载均衡、可扩展性。</w:t>
      </w:r>
    </w:p>
    <w:p w14:paraId="1D26A8BB">
      <w:pPr>
        <w:pStyle w:val="11"/>
        <w:ind w:left="0" w:right="-252" w:firstLine="420" w:firstLineChars="175"/>
        <w:rPr>
          <w:rFonts w:cs="宋体"/>
          <w:sz w:val="24"/>
        </w:rPr>
      </w:pPr>
      <w:r>
        <w:rPr>
          <w:rFonts w:cs="宋体"/>
          <w:sz w:val="24"/>
        </w:rPr>
        <w:t>⑦具有良好的安全性，备份和恢复机制完善，系统提供详尽的操作日志管理功能，详细记录各用户的具体操作。</w:t>
      </w:r>
    </w:p>
    <w:p w14:paraId="134145E7">
      <w:pPr>
        <w:pStyle w:val="11"/>
        <w:ind w:left="0" w:right="-252" w:firstLine="420" w:firstLineChars="175"/>
        <w:rPr>
          <w:rFonts w:cs="宋体"/>
          <w:sz w:val="24"/>
        </w:rPr>
      </w:pPr>
      <w:r>
        <w:rPr>
          <w:rFonts w:cs="宋体"/>
          <w:sz w:val="24"/>
        </w:rPr>
        <w:t>（2）技术要求</w:t>
      </w:r>
    </w:p>
    <w:p w14:paraId="3B4F21D3">
      <w:pPr>
        <w:pStyle w:val="11"/>
        <w:spacing w:line="360" w:lineRule="auto"/>
        <w:ind w:left="0" w:right="-252" w:firstLine="420" w:firstLineChars="175"/>
        <w:rPr>
          <w:rFonts w:cs="宋体"/>
          <w:sz w:val="24"/>
        </w:rPr>
      </w:pPr>
      <w:r>
        <w:rPr>
          <w:rFonts w:cs="宋体"/>
          <w:sz w:val="24"/>
        </w:rPr>
        <w:t>①</w:t>
      </w:r>
      <w:r>
        <w:rPr>
          <w:rFonts w:hint="default" w:cs="宋体"/>
          <w:sz w:val="24"/>
        </w:rPr>
        <w:t>平台基于B/S架构，支持多种浏览器，兼容edge、Google Chrome、FireFox、360浏览器等主流浏览器；平台均可运行于Linux、Unix、Windows、银河麒麟等高安全性操作系统。</w:t>
      </w:r>
    </w:p>
    <w:p w14:paraId="1557B8EC">
      <w:pPr>
        <w:pStyle w:val="11"/>
        <w:spacing w:line="360" w:lineRule="auto"/>
        <w:ind w:left="0" w:right="-252" w:firstLine="420" w:firstLineChars="175"/>
        <w:rPr>
          <w:rFonts w:cs="宋体"/>
          <w:sz w:val="24"/>
        </w:rPr>
      </w:pPr>
      <w:r>
        <w:rPr>
          <w:rFonts w:cs="宋体"/>
          <w:sz w:val="24"/>
        </w:rPr>
        <w:t>②</w:t>
      </w:r>
      <w:r>
        <w:rPr>
          <w:rFonts w:hint="default" w:cs="宋体"/>
          <w:sz w:val="24"/>
        </w:rPr>
        <w:t>采用HTML5响应式网页设计，兼容Android／iOS/鸿蒙操作系统的主流移动浏览器；自动适应屏幕宽度，支持PC、PAD、手机等多种终端灵活接入。</w:t>
      </w:r>
    </w:p>
    <w:p w14:paraId="62C9A4EA">
      <w:pPr>
        <w:pStyle w:val="11"/>
        <w:spacing w:line="360" w:lineRule="auto"/>
        <w:ind w:left="0" w:right="-252" w:firstLine="420" w:firstLineChars="175"/>
        <w:rPr>
          <w:rFonts w:cs="宋体"/>
          <w:sz w:val="24"/>
        </w:rPr>
      </w:pPr>
      <w:r>
        <w:rPr>
          <w:rFonts w:cs="宋体"/>
          <w:sz w:val="24"/>
        </w:rPr>
        <w:t>③</w:t>
      </w:r>
      <w:r>
        <w:rPr>
          <w:rFonts w:hint="default" w:cs="宋体"/>
          <w:sz w:val="24"/>
        </w:rPr>
        <w:t>软件平台遵循J2EE技术体系。</w:t>
      </w:r>
    </w:p>
    <w:p w14:paraId="39E7EFB1">
      <w:pPr>
        <w:pStyle w:val="11"/>
        <w:spacing w:line="360" w:lineRule="auto"/>
        <w:ind w:left="0" w:right="-252" w:firstLine="420" w:firstLineChars="175"/>
        <w:rPr>
          <w:rFonts w:cs="宋体"/>
          <w:sz w:val="24"/>
        </w:rPr>
      </w:pPr>
      <w:r>
        <w:rPr>
          <w:rFonts w:cs="宋体"/>
          <w:sz w:val="24"/>
        </w:rPr>
        <w:t>④</w:t>
      </w:r>
      <w:r>
        <w:rPr>
          <w:rFonts w:hint="default" w:cs="宋体"/>
          <w:sz w:val="24"/>
        </w:rPr>
        <w:t>平台遵循Oauth2.0标准，为学校老师及第三方提供基于RestFul方式的身份认证、业务数据等开放WEB Services服务，同时提供JSON数据交换格式进行报文传输。</w:t>
      </w:r>
    </w:p>
    <w:p w14:paraId="7D6D630E">
      <w:pPr>
        <w:pStyle w:val="11"/>
        <w:spacing w:line="360" w:lineRule="auto"/>
        <w:ind w:left="0" w:right="-252" w:firstLine="420" w:firstLineChars="175"/>
        <w:rPr>
          <w:rFonts w:cs="宋体"/>
          <w:sz w:val="24"/>
        </w:rPr>
      </w:pPr>
      <w:r>
        <w:rPr>
          <w:rFonts w:cs="宋体"/>
          <w:sz w:val="24"/>
        </w:rPr>
        <w:t>⑤</w:t>
      </w:r>
      <w:r>
        <w:rPr>
          <w:rFonts w:hint="default" w:cs="宋体"/>
          <w:sz w:val="24"/>
        </w:rPr>
        <w:t>操作模式便捷，有电脑及软件基础知识的人员，无须经过专业培训，即可快速掌握软件操作。</w:t>
      </w:r>
    </w:p>
    <w:p w14:paraId="59E349B7">
      <w:pPr>
        <w:pStyle w:val="11"/>
        <w:spacing w:line="360" w:lineRule="auto"/>
        <w:ind w:left="0" w:right="-252" w:firstLine="420" w:firstLineChars="175"/>
        <w:rPr>
          <w:rFonts w:cs="宋体"/>
          <w:sz w:val="24"/>
        </w:rPr>
      </w:pPr>
      <w:r>
        <w:rPr>
          <w:rFonts w:cs="宋体"/>
          <w:sz w:val="24"/>
        </w:rPr>
        <w:t>⑥</w:t>
      </w:r>
      <w:r>
        <w:rPr>
          <w:rFonts w:hint="default" w:cs="宋体"/>
          <w:sz w:val="24"/>
        </w:rPr>
        <w:t>所有平台都支持IPv4/Ipv6双协议栈、由SSL+HTTP协议构建的可进行加密传输、身份认证的https网络协议。</w:t>
      </w:r>
    </w:p>
    <w:p w14:paraId="4FC2F79E">
      <w:pPr>
        <w:pStyle w:val="11"/>
        <w:spacing w:line="360" w:lineRule="auto"/>
        <w:ind w:left="0" w:right="-252" w:firstLine="420" w:firstLineChars="175"/>
        <w:rPr>
          <w:rFonts w:cs="宋体"/>
          <w:sz w:val="24"/>
        </w:rPr>
      </w:pPr>
      <w:r>
        <w:rPr>
          <w:rFonts w:cs="宋体"/>
          <w:sz w:val="24"/>
        </w:rPr>
        <w:t>⑦</w:t>
      </w:r>
      <w:r>
        <w:rPr>
          <w:rFonts w:hint="default" w:cs="宋体"/>
          <w:sz w:val="24"/>
        </w:rPr>
        <w:t>所有系统均采用本地化部署，应按要求部署在学校指定的服务器资源环境上。</w:t>
      </w:r>
    </w:p>
    <w:p w14:paraId="6509138A">
      <w:pPr>
        <w:pStyle w:val="11"/>
        <w:spacing w:line="360" w:lineRule="auto"/>
        <w:ind w:left="0" w:right="-252" w:firstLine="420" w:firstLineChars="175"/>
        <w:rPr>
          <w:rFonts w:cs="宋体"/>
          <w:sz w:val="24"/>
        </w:rPr>
      </w:pPr>
      <w:r>
        <w:rPr>
          <w:rFonts w:cs="宋体"/>
          <w:sz w:val="24"/>
        </w:rPr>
        <w:t>（3）安全要求</w:t>
      </w:r>
    </w:p>
    <w:p w14:paraId="21230E1A">
      <w:pPr>
        <w:pStyle w:val="11"/>
        <w:spacing w:line="360" w:lineRule="auto"/>
        <w:ind w:left="0" w:right="-252" w:firstLine="420" w:firstLineChars="175"/>
        <w:rPr>
          <w:rFonts w:cs="宋体"/>
          <w:sz w:val="24"/>
        </w:rPr>
      </w:pPr>
      <w:r>
        <w:rPr>
          <w:rFonts w:cs="宋体"/>
          <w:sz w:val="24"/>
        </w:rPr>
        <w:t>①</w:t>
      </w:r>
      <w:r>
        <w:rPr>
          <w:rFonts w:hint="default" w:cs="宋体"/>
          <w:sz w:val="24"/>
        </w:rPr>
        <w:t>安全依据</w:t>
      </w:r>
    </w:p>
    <w:p w14:paraId="3A5FB31E">
      <w:pPr>
        <w:pStyle w:val="11"/>
        <w:spacing w:line="360" w:lineRule="auto"/>
        <w:ind w:left="0" w:right="-252" w:firstLine="420" w:firstLineChars="175"/>
        <w:rPr>
          <w:rFonts w:cs="宋体"/>
          <w:sz w:val="24"/>
        </w:rPr>
      </w:pPr>
      <w:r>
        <w:rPr>
          <w:rFonts w:hint="default" w:cs="宋体"/>
          <w:sz w:val="24"/>
        </w:rPr>
        <w:t>本项目要求参考等级保护二级安全防护的要求进行开发，实现在统一安全策略下防护，平台免受来自外部及内部的威胁源发起的恶意攻击，抵御较为严重的自然灾难及其他相当危害程度的威胁所造成的主要资源损害，能够发现安全漏洞和安全事件，在平台遭到损害后，能够较快恢复系统功能与服务。</w:t>
      </w:r>
    </w:p>
    <w:p w14:paraId="0A0D8D29">
      <w:pPr>
        <w:pStyle w:val="11"/>
        <w:spacing w:line="360" w:lineRule="auto"/>
        <w:ind w:left="0" w:right="-252" w:firstLine="420" w:firstLineChars="175"/>
        <w:rPr>
          <w:rFonts w:cs="宋体"/>
          <w:sz w:val="24"/>
        </w:rPr>
      </w:pPr>
      <w:r>
        <w:rPr>
          <w:rFonts w:cs="宋体"/>
          <w:sz w:val="24"/>
        </w:rPr>
        <w:t>②</w:t>
      </w:r>
      <w:r>
        <w:rPr>
          <w:rFonts w:hint="default" w:cs="宋体"/>
          <w:sz w:val="24"/>
        </w:rPr>
        <w:t>数据备份</w:t>
      </w:r>
    </w:p>
    <w:p w14:paraId="73FC630D">
      <w:pPr>
        <w:pStyle w:val="11"/>
        <w:spacing w:line="360" w:lineRule="auto"/>
        <w:ind w:left="0" w:right="-252" w:firstLine="420" w:firstLineChars="175"/>
        <w:rPr>
          <w:rFonts w:cs="宋体"/>
          <w:sz w:val="24"/>
        </w:rPr>
      </w:pPr>
      <w:r>
        <w:rPr>
          <w:rFonts w:hint="default" w:cs="宋体"/>
          <w:sz w:val="24"/>
        </w:rPr>
        <w:t>在基础设施条件允许的环境下，支持通过服务器系统脚本自动化处理模式，具备以每日为周期，全量或增量方式，将资源、文件、配置信息和基础业务数据进行本地或异地灾难备份机制和数据恢复机制，可方便、可靠、高效、最大限度地减少数据遗失的可能，有效保障数据的安全。</w:t>
      </w:r>
    </w:p>
    <w:p w14:paraId="19E9B10B">
      <w:pPr>
        <w:pStyle w:val="11"/>
        <w:spacing w:line="360" w:lineRule="auto"/>
        <w:ind w:left="0" w:right="-252" w:firstLine="420" w:firstLineChars="175"/>
        <w:rPr>
          <w:rFonts w:cs="宋体"/>
          <w:sz w:val="24"/>
        </w:rPr>
      </w:pPr>
      <w:r>
        <w:rPr>
          <w:rFonts w:cs="宋体"/>
          <w:sz w:val="24"/>
        </w:rPr>
        <w:t>③</w:t>
      </w:r>
      <w:r>
        <w:rPr>
          <w:rFonts w:hint="default" w:cs="宋体"/>
          <w:sz w:val="24"/>
        </w:rPr>
        <w:t>信息安全</w:t>
      </w:r>
    </w:p>
    <w:p w14:paraId="5CA5CEC9">
      <w:pPr>
        <w:pStyle w:val="11"/>
        <w:spacing w:line="360" w:lineRule="auto"/>
        <w:ind w:left="0" w:right="-252" w:firstLine="420" w:firstLineChars="175"/>
        <w:rPr>
          <w:rFonts w:cs="宋体"/>
          <w:sz w:val="24"/>
        </w:rPr>
      </w:pPr>
      <w:r>
        <w:rPr>
          <w:rFonts w:hint="default" w:cs="宋体"/>
          <w:sz w:val="24"/>
        </w:rPr>
        <w:t>用户严格按照平台权限和控制体系的授权访问数据和信息，禁止超越权限的操作。为提高平台的信息安全性，要求对平台操作行为建立统一的日志管理系统，至少保存6个月以上的日志记录，包括查询记录、登录记录、访问记录、操作记录等。要求对数据进行强化管理，确保数据的准确性、及时性；需制定一个数据管理机制，数据管理手段和措施。保障业务数据一旦在系统产生，具有明确数据时效性，一致性，对于如密码、手机号、工资、身体状况等敏感数据实现脱敏处理，敏感数据加密存放。</w:t>
      </w:r>
    </w:p>
    <w:p w14:paraId="62BEF473">
      <w:pPr>
        <w:pStyle w:val="11"/>
        <w:numPr>
          <w:ilvl w:val="0"/>
          <w:numId w:val="3"/>
        </w:numPr>
        <w:spacing w:line="360" w:lineRule="auto"/>
        <w:ind w:left="0" w:right="-252" w:firstLine="420" w:firstLineChars="175"/>
        <w:rPr>
          <w:rFonts w:cs="宋体"/>
          <w:sz w:val="24"/>
        </w:rPr>
      </w:pPr>
      <w:r>
        <w:rPr>
          <w:rFonts w:cs="宋体"/>
          <w:sz w:val="24"/>
        </w:rPr>
        <w:t>其他要求</w:t>
      </w:r>
    </w:p>
    <w:p w14:paraId="5C90C58C">
      <w:pPr>
        <w:pStyle w:val="11"/>
        <w:spacing w:line="360" w:lineRule="auto"/>
        <w:ind w:left="0" w:right="-252" w:firstLine="420" w:firstLineChars="175"/>
        <w:rPr>
          <w:rFonts w:cs="宋体"/>
          <w:sz w:val="24"/>
        </w:rPr>
      </w:pPr>
      <w:r>
        <w:rPr>
          <w:rFonts w:cs="宋体"/>
          <w:sz w:val="24"/>
        </w:rPr>
        <w:t>①</w:t>
      </w:r>
      <w:r>
        <w:rPr>
          <w:rFonts w:hint="default" w:cs="宋体"/>
          <w:sz w:val="24"/>
        </w:rPr>
        <w:t>二级等保</w:t>
      </w:r>
    </w:p>
    <w:p w14:paraId="64196589">
      <w:pPr>
        <w:pStyle w:val="11"/>
        <w:spacing w:line="360" w:lineRule="auto"/>
        <w:ind w:left="0" w:right="-252" w:firstLine="420" w:firstLineChars="175"/>
        <w:rPr>
          <w:rFonts w:cs="宋体"/>
          <w:sz w:val="24"/>
        </w:rPr>
      </w:pPr>
      <w:r>
        <w:rPr>
          <w:rFonts w:hint="default" w:cs="宋体"/>
          <w:sz w:val="24"/>
        </w:rPr>
        <w:t>本次项目软件内容需满足二级等保要求，并完成二级等保检测，等保检测费用由中标方承担。</w:t>
      </w:r>
    </w:p>
    <w:p w14:paraId="0A9FC2E3">
      <w:pPr>
        <w:pStyle w:val="11"/>
        <w:spacing w:line="360" w:lineRule="auto"/>
        <w:ind w:left="0" w:right="-252" w:firstLine="420" w:firstLineChars="175"/>
        <w:rPr>
          <w:rFonts w:cs="宋体"/>
          <w:sz w:val="24"/>
        </w:rPr>
      </w:pPr>
      <w:r>
        <w:rPr>
          <w:rFonts w:cs="宋体"/>
          <w:sz w:val="24"/>
        </w:rPr>
        <w:t>②</w:t>
      </w:r>
      <w:r>
        <w:rPr>
          <w:rFonts w:hint="default" w:cs="宋体"/>
          <w:sz w:val="24"/>
        </w:rPr>
        <w:t>信创环境</w:t>
      </w:r>
    </w:p>
    <w:p w14:paraId="39A40283">
      <w:pPr>
        <w:pStyle w:val="11"/>
        <w:spacing w:line="360" w:lineRule="auto"/>
        <w:ind w:left="0" w:right="-252" w:firstLine="420" w:firstLineChars="175"/>
        <w:rPr>
          <w:rFonts w:cs="宋体"/>
          <w:sz w:val="24"/>
        </w:rPr>
      </w:pPr>
      <w:r>
        <w:rPr>
          <w:rFonts w:hint="default" w:cs="宋体"/>
          <w:sz w:val="24"/>
        </w:rPr>
        <w:t>本次项目软件需适配信创环境，包括信创操作系统、信创数据库；建设方满足信创环节部署时，中标方根据建设方要求，迁移一次信创服务，确保数据和应用程序安全使用</w:t>
      </w:r>
      <w:r>
        <w:rPr>
          <w:rFonts w:cs="宋体"/>
          <w:sz w:val="24"/>
        </w:rPr>
        <w:t>。（费用含在报价中）</w:t>
      </w:r>
    </w:p>
    <w:p w14:paraId="573B1D72">
      <w:pPr>
        <w:pStyle w:val="11"/>
        <w:spacing w:line="360" w:lineRule="auto"/>
        <w:ind w:left="0" w:right="-252" w:firstLine="420" w:firstLineChars="175"/>
        <w:rPr>
          <w:rFonts w:cs="宋体"/>
          <w:sz w:val="24"/>
        </w:rPr>
      </w:pPr>
      <w:r>
        <w:rPr>
          <w:rFonts w:cs="宋体"/>
          <w:sz w:val="24"/>
        </w:rPr>
        <w:t>③</w:t>
      </w:r>
      <w:r>
        <w:rPr>
          <w:rFonts w:hint="default" w:cs="宋体"/>
          <w:sz w:val="24"/>
        </w:rPr>
        <w:t>前后端安全部署</w:t>
      </w:r>
    </w:p>
    <w:p w14:paraId="4C952B55">
      <w:pPr>
        <w:pStyle w:val="11"/>
        <w:spacing w:line="360" w:lineRule="auto"/>
        <w:ind w:left="0" w:right="-252" w:firstLine="420" w:firstLineChars="175"/>
        <w:rPr>
          <w:rFonts w:cs="宋体"/>
          <w:sz w:val="24"/>
        </w:rPr>
      </w:pPr>
      <w:r>
        <w:rPr>
          <w:rFonts w:hint="default" w:cs="宋体"/>
          <w:sz w:val="24"/>
        </w:rPr>
        <w:t>本次项目软件系统应满足前后端分离的架构，支持前端（应用端）互联网环境，且后端（数据端）内网环境相结合适配方式</w:t>
      </w:r>
      <w:r>
        <w:rPr>
          <w:rFonts w:cs="宋体"/>
          <w:sz w:val="24"/>
        </w:rPr>
        <w:t>。</w:t>
      </w:r>
    </w:p>
    <w:p w14:paraId="1D4E13F3">
      <w:pPr>
        <w:pStyle w:val="11"/>
        <w:spacing w:line="360" w:lineRule="auto"/>
        <w:ind w:left="0" w:right="-252"/>
        <w:rPr>
          <w:rFonts w:cs="宋体"/>
          <w:b/>
          <w:bCs/>
          <w:szCs w:val="28"/>
        </w:rPr>
      </w:pPr>
      <w:r>
        <w:rPr>
          <w:rFonts w:cs="宋体"/>
          <w:b/>
          <w:bCs/>
          <w:szCs w:val="28"/>
        </w:rPr>
        <w:t>二、建设内容</w:t>
      </w:r>
    </w:p>
    <w:p w14:paraId="3003D726">
      <w:pPr>
        <w:pStyle w:val="11"/>
        <w:spacing w:line="360" w:lineRule="auto"/>
        <w:ind w:left="0" w:right="-252" w:firstLine="422" w:firstLineChars="175"/>
        <w:rPr>
          <w:rFonts w:cs="宋体"/>
          <w:b/>
          <w:bCs/>
          <w:sz w:val="24"/>
          <w:szCs w:val="24"/>
        </w:rPr>
      </w:pPr>
      <w:r>
        <w:rPr>
          <w:rFonts w:cs="宋体"/>
          <w:b/>
          <w:bCs/>
          <w:sz w:val="24"/>
          <w:szCs w:val="24"/>
        </w:rPr>
        <w:t>1.内容清单</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699"/>
        <w:gridCol w:w="4726"/>
      </w:tblGrid>
      <w:tr w14:paraId="0907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51" w:type="dxa"/>
            <w:vAlign w:val="center"/>
          </w:tcPr>
          <w:p w14:paraId="74AAFE7D">
            <w:pPr>
              <w:jc w:val="center"/>
              <w:rPr>
                <w:rFonts w:hint="eastAsia" w:ascii="宋体" w:hAnsi="宋体" w:cs="宋体"/>
                <w:sz w:val="24"/>
              </w:rPr>
            </w:pPr>
            <w:r>
              <w:rPr>
                <w:rFonts w:hint="eastAsia" w:ascii="宋体" w:hAnsi="宋体" w:cs="宋体"/>
                <w:sz w:val="24"/>
              </w:rPr>
              <w:t>序号</w:t>
            </w:r>
          </w:p>
        </w:tc>
        <w:tc>
          <w:tcPr>
            <w:tcW w:w="2126" w:type="dxa"/>
            <w:vAlign w:val="center"/>
          </w:tcPr>
          <w:p w14:paraId="775BC827">
            <w:pPr>
              <w:jc w:val="center"/>
              <w:rPr>
                <w:rFonts w:hint="eastAsia" w:ascii="宋体" w:hAnsi="宋体" w:cs="宋体"/>
                <w:sz w:val="24"/>
              </w:rPr>
            </w:pPr>
            <w:r>
              <w:rPr>
                <w:rFonts w:hint="eastAsia" w:ascii="宋体" w:hAnsi="宋体" w:cs="宋体"/>
                <w:sz w:val="24"/>
              </w:rPr>
              <w:t>项目内容</w:t>
            </w:r>
          </w:p>
        </w:tc>
        <w:tc>
          <w:tcPr>
            <w:tcW w:w="3722" w:type="dxa"/>
            <w:vAlign w:val="center"/>
          </w:tcPr>
          <w:p w14:paraId="2A9ECA5A">
            <w:pPr>
              <w:jc w:val="center"/>
              <w:rPr>
                <w:rFonts w:hint="eastAsia" w:ascii="宋体" w:hAnsi="宋体" w:cs="宋体"/>
                <w:sz w:val="24"/>
              </w:rPr>
            </w:pPr>
            <w:r>
              <w:rPr>
                <w:rFonts w:hint="eastAsia" w:ascii="宋体" w:hAnsi="宋体" w:cs="宋体"/>
                <w:sz w:val="24"/>
              </w:rPr>
              <w:t>模块内容</w:t>
            </w:r>
          </w:p>
        </w:tc>
      </w:tr>
      <w:tr w14:paraId="6BED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326978A1">
            <w:pPr>
              <w:jc w:val="center"/>
              <w:rPr>
                <w:rFonts w:hint="eastAsia" w:ascii="宋体" w:hAnsi="宋体" w:cs="宋体"/>
                <w:sz w:val="24"/>
              </w:rPr>
            </w:pPr>
            <w:r>
              <w:rPr>
                <w:rFonts w:hint="eastAsia" w:ascii="宋体" w:hAnsi="宋体" w:cs="宋体"/>
                <w:sz w:val="24"/>
              </w:rPr>
              <w:t>1</w:t>
            </w:r>
          </w:p>
        </w:tc>
        <w:tc>
          <w:tcPr>
            <w:tcW w:w="2126" w:type="dxa"/>
            <w:vMerge w:val="restart"/>
            <w:vAlign w:val="center"/>
          </w:tcPr>
          <w:p w14:paraId="1A117B47">
            <w:pPr>
              <w:jc w:val="center"/>
              <w:rPr>
                <w:rFonts w:hint="eastAsia" w:ascii="宋体" w:hAnsi="宋体" w:cs="宋体"/>
                <w:sz w:val="24"/>
              </w:rPr>
            </w:pPr>
            <w:r>
              <w:rPr>
                <w:rFonts w:hint="eastAsia" w:ascii="宋体" w:hAnsi="宋体" w:cs="宋体"/>
                <w:sz w:val="24"/>
              </w:rPr>
              <w:t>数据中台（校本大数据中心）</w:t>
            </w:r>
          </w:p>
        </w:tc>
        <w:tc>
          <w:tcPr>
            <w:tcW w:w="3722" w:type="dxa"/>
            <w:vAlign w:val="center"/>
          </w:tcPr>
          <w:p w14:paraId="7487CE21">
            <w:pPr>
              <w:jc w:val="center"/>
              <w:rPr>
                <w:rFonts w:hint="eastAsia" w:ascii="宋体" w:hAnsi="宋体" w:cs="宋体"/>
                <w:sz w:val="24"/>
              </w:rPr>
            </w:pPr>
            <w:r>
              <w:rPr>
                <w:rFonts w:hint="eastAsia" w:ascii="宋体" w:hAnsi="宋体" w:cs="宋体"/>
                <w:sz w:val="24"/>
              </w:rPr>
              <w:t>数据标准管理</w:t>
            </w:r>
          </w:p>
        </w:tc>
      </w:tr>
      <w:tr w14:paraId="2C7F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61BAA50A">
            <w:pPr>
              <w:jc w:val="center"/>
              <w:rPr>
                <w:rFonts w:hint="eastAsia" w:ascii="宋体" w:hAnsi="宋体" w:cs="宋体"/>
                <w:sz w:val="24"/>
              </w:rPr>
            </w:pPr>
          </w:p>
        </w:tc>
        <w:tc>
          <w:tcPr>
            <w:tcW w:w="2126" w:type="dxa"/>
            <w:vMerge w:val="continue"/>
            <w:vAlign w:val="center"/>
          </w:tcPr>
          <w:p w14:paraId="7E7A1E48">
            <w:pPr>
              <w:jc w:val="center"/>
              <w:rPr>
                <w:rFonts w:hint="eastAsia" w:ascii="宋体" w:hAnsi="宋体" w:cs="宋体"/>
                <w:sz w:val="24"/>
              </w:rPr>
            </w:pPr>
          </w:p>
        </w:tc>
        <w:tc>
          <w:tcPr>
            <w:tcW w:w="3722" w:type="dxa"/>
            <w:vAlign w:val="center"/>
          </w:tcPr>
          <w:p w14:paraId="0D47E1ED">
            <w:pPr>
              <w:jc w:val="center"/>
              <w:rPr>
                <w:rFonts w:hint="eastAsia" w:ascii="宋体" w:hAnsi="宋体" w:cs="宋体"/>
                <w:sz w:val="24"/>
              </w:rPr>
            </w:pPr>
            <w:r>
              <w:rPr>
                <w:rFonts w:hint="eastAsia" w:ascii="宋体" w:hAnsi="宋体" w:cs="宋体"/>
                <w:sz w:val="24"/>
              </w:rPr>
              <w:t>数据集成管理</w:t>
            </w:r>
          </w:p>
        </w:tc>
      </w:tr>
      <w:tr w14:paraId="7F40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10066B1C">
            <w:pPr>
              <w:jc w:val="center"/>
              <w:rPr>
                <w:rFonts w:hint="eastAsia" w:ascii="宋体" w:hAnsi="宋体" w:cs="宋体"/>
                <w:sz w:val="24"/>
              </w:rPr>
            </w:pPr>
          </w:p>
        </w:tc>
        <w:tc>
          <w:tcPr>
            <w:tcW w:w="2126" w:type="dxa"/>
            <w:vMerge w:val="continue"/>
            <w:vAlign w:val="center"/>
          </w:tcPr>
          <w:p w14:paraId="1A538369">
            <w:pPr>
              <w:jc w:val="center"/>
              <w:rPr>
                <w:rFonts w:hint="eastAsia" w:ascii="宋体" w:hAnsi="宋体" w:cs="宋体"/>
                <w:sz w:val="24"/>
              </w:rPr>
            </w:pPr>
          </w:p>
        </w:tc>
        <w:tc>
          <w:tcPr>
            <w:tcW w:w="3722" w:type="dxa"/>
            <w:vAlign w:val="center"/>
          </w:tcPr>
          <w:p w14:paraId="5BD41874">
            <w:pPr>
              <w:jc w:val="center"/>
              <w:rPr>
                <w:rFonts w:hint="eastAsia" w:ascii="宋体" w:hAnsi="宋体" w:cs="宋体"/>
                <w:sz w:val="24"/>
              </w:rPr>
            </w:pPr>
            <w:r>
              <w:rPr>
                <w:rFonts w:hint="eastAsia" w:ascii="宋体" w:hAnsi="宋体" w:cs="宋体"/>
                <w:sz w:val="24"/>
              </w:rPr>
              <w:t>数据仓库管理</w:t>
            </w:r>
          </w:p>
        </w:tc>
      </w:tr>
      <w:tr w14:paraId="5B93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328FABD6">
            <w:pPr>
              <w:jc w:val="center"/>
              <w:rPr>
                <w:rFonts w:hint="eastAsia" w:ascii="宋体" w:hAnsi="宋体" w:cs="宋体"/>
                <w:sz w:val="24"/>
              </w:rPr>
            </w:pPr>
          </w:p>
        </w:tc>
        <w:tc>
          <w:tcPr>
            <w:tcW w:w="2126" w:type="dxa"/>
            <w:vMerge w:val="continue"/>
            <w:vAlign w:val="center"/>
          </w:tcPr>
          <w:p w14:paraId="2209CDE7">
            <w:pPr>
              <w:jc w:val="center"/>
              <w:rPr>
                <w:rFonts w:hint="eastAsia" w:ascii="宋体" w:hAnsi="宋体" w:cs="宋体"/>
                <w:sz w:val="24"/>
              </w:rPr>
            </w:pPr>
          </w:p>
        </w:tc>
        <w:tc>
          <w:tcPr>
            <w:tcW w:w="3722" w:type="dxa"/>
            <w:vAlign w:val="center"/>
          </w:tcPr>
          <w:p w14:paraId="4008A2CF">
            <w:pPr>
              <w:jc w:val="center"/>
              <w:rPr>
                <w:rFonts w:hint="eastAsia" w:ascii="宋体" w:hAnsi="宋体" w:cs="宋体"/>
                <w:sz w:val="24"/>
              </w:rPr>
            </w:pPr>
            <w:r>
              <w:rPr>
                <w:rFonts w:hint="eastAsia" w:ascii="宋体" w:hAnsi="宋体" w:cs="宋体"/>
                <w:sz w:val="24"/>
              </w:rPr>
              <w:t>数据质量管理</w:t>
            </w:r>
          </w:p>
        </w:tc>
      </w:tr>
      <w:tr w14:paraId="18E6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33B0496">
            <w:pPr>
              <w:jc w:val="center"/>
              <w:rPr>
                <w:rFonts w:hint="eastAsia" w:ascii="宋体" w:hAnsi="宋体" w:cs="宋体"/>
                <w:sz w:val="24"/>
              </w:rPr>
            </w:pPr>
          </w:p>
        </w:tc>
        <w:tc>
          <w:tcPr>
            <w:tcW w:w="2126" w:type="dxa"/>
            <w:vMerge w:val="continue"/>
            <w:vAlign w:val="center"/>
          </w:tcPr>
          <w:p w14:paraId="09E5EBA9">
            <w:pPr>
              <w:jc w:val="center"/>
              <w:rPr>
                <w:rFonts w:hint="eastAsia" w:ascii="宋体" w:hAnsi="宋体" w:cs="宋体"/>
                <w:sz w:val="24"/>
              </w:rPr>
            </w:pPr>
          </w:p>
        </w:tc>
        <w:tc>
          <w:tcPr>
            <w:tcW w:w="3722" w:type="dxa"/>
            <w:vAlign w:val="center"/>
          </w:tcPr>
          <w:p w14:paraId="42E3D8AB">
            <w:pPr>
              <w:jc w:val="center"/>
              <w:rPr>
                <w:rFonts w:hint="eastAsia" w:ascii="宋体" w:hAnsi="宋体" w:cs="宋体"/>
                <w:sz w:val="24"/>
              </w:rPr>
            </w:pPr>
            <w:r>
              <w:rPr>
                <w:rFonts w:hint="eastAsia" w:ascii="宋体" w:hAnsi="宋体" w:cs="宋体"/>
                <w:sz w:val="24"/>
              </w:rPr>
              <w:t>数据任务调度</w:t>
            </w:r>
          </w:p>
        </w:tc>
      </w:tr>
      <w:tr w14:paraId="65C7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4703EA46">
            <w:pPr>
              <w:jc w:val="center"/>
              <w:rPr>
                <w:rFonts w:hint="eastAsia" w:ascii="宋体" w:hAnsi="宋体" w:cs="宋体"/>
                <w:sz w:val="24"/>
              </w:rPr>
            </w:pPr>
          </w:p>
        </w:tc>
        <w:tc>
          <w:tcPr>
            <w:tcW w:w="2126" w:type="dxa"/>
            <w:vMerge w:val="continue"/>
            <w:vAlign w:val="center"/>
          </w:tcPr>
          <w:p w14:paraId="3C221C2A">
            <w:pPr>
              <w:jc w:val="center"/>
              <w:rPr>
                <w:rFonts w:hint="eastAsia" w:ascii="宋体" w:hAnsi="宋体" w:cs="宋体"/>
                <w:sz w:val="24"/>
              </w:rPr>
            </w:pPr>
          </w:p>
        </w:tc>
        <w:tc>
          <w:tcPr>
            <w:tcW w:w="3722" w:type="dxa"/>
            <w:vAlign w:val="center"/>
          </w:tcPr>
          <w:p w14:paraId="166E9A67">
            <w:pPr>
              <w:jc w:val="center"/>
              <w:rPr>
                <w:rFonts w:hint="eastAsia" w:ascii="宋体" w:hAnsi="宋体" w:cs="宋体"/>
                <w:sz w:val="24"/>
              </w:rPr>
            </w:pPr>
            <w:r>
              <w:rPr>
                <w:rFonts w:hint="eastAsia" w:ascii="宋体" w:hAnsi="宋体" w:cs="宋体"/>
                <w:sz w:val="24"/>
              </w:rPr>
              <w:t>数据安全管理</w:t>
            </w:r>
          </w:p>
        </w:tc>
      </w:tr>
      <w:tr w14:paraId="2DD5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420C7F0F">
            <w:pPr>
              <w:jc w:val="center"/>
              <w:rPr>
                <w:rFonts w:hint="eastAsia" w:ascii="宋体" w:hAnsi="宋体" w:cs="宋体"/>
                <w:sz w:val="24"/>
              </w:rPr>
            </w:pPr>
            <w:r>
              <w:rPr>
                <w:rFonts w:hint="eastAsia" w:ascii="宋体" w:hAnsi="宋体" w:cs="宋体"/>
                <w:sz w:val="24"/>
              </w:rPr>
              <w:t>2</w:t>
            </w:r>
          </w:p>
        </w:tc>
        <w:tc>
          <w:tcPr>
            <w:tcW w:w="2126" w:type="dxa"/>
            <w:vMerge w:val="restart"/>
            <w:vAlign w:val="center"/>
          </w:tcPr>
          <w:p w14:paraId="348F8C96">
            <w:pPr>
              <w:jc w:val="center"/>
              <w:rPr>
                <w:rFonts w:hint="eastAsia" w:ascii="宋体" w:hAnsi="宋体" w:cs="宋体"/>
                <w:sz w:val="24"/>
              </w:rPr>
            </w:pPr>
            <w:r>
              <w:rPr>
                <w:rFonts w:hint="eastAsia" w:ascii="宋体" w:hAnsi="宋体" w:cs="宋体"/>
                <w:sz w:val="24"/>
              </w:rPr>
              <w:t>校务管理系统</w:t>
            </w:r>
          </w:p>
        </w:tc>
        <w:tc>
          <w:tcPr>
            <w:tcW w:w="3722" w:type="dxa"/>
            <w:vAlign w:val="center"/>
          </w:tcPr>
          <w:p w14:paraId="12630959">
            <w:pPr>
              <w:jc w:val="center"/>
              <w:rPr>
                <w:rFonts w:hint="eastAsia" w:ascii="宋体" w:hAnsi="宋体" w:cs="宋体"/>
                <w:sz w:val="24"/>
              </w:rPr>
            </w:pPr>
            <w:r>
              <w:rPr>
                <w:rFonts w:hint="eastAsia" w:ascii="宋体" w:hAnsi="宋体" w:cs="宋体"/>
                <w:sz w:val="24"/>
              </w:rPr>
              <w:t>学生值周管理</w:t>
            </w:r>
          </w:p>
        </w:tc>
      </w:tr>
      <w:tr w14:paraId="43D7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2354A8B0">
            <w:pPr>
              <w:jc w:val="center"/>
              <w:rPr>
                <w:rFonts w:hint="eastAsia" w:ascii="宋体" w:hAnsi="宋体" w:cs="宋体"/>
                <w:sz w:val="24"/>
              </w:rPr>
            </w:pPr>
          </w:p>
        </w:tc>
        <w:tc>
          <w:tcPr>
            <w:tcW w:w="2126" w:type="dxa"/>
            <w:vMerge w:val="continue"/>
            <w:vAlign w:val="center"/>
          </w:tcPr>
          <w:p w14:paraId="1F99EDE6">
            <w:pPr>
              <w:jc w:val="center"/>
              <w:rPr>
                <w:rFonts w:hint="eastAsia" w:ascii="宋体" w:hAnsi="宋体" w:cs="宋体"/>
                <w:sz w:val="24"/>
              </w:rPr>
            </w:pPr>
          </w:p>
        </w:tc>
        <w:tc>
          <w:tcPr>
            <w:tcW w:w="3722" w:type="dxa"/>
            <w:vAlign w:val="center"/>
          </w:tcPr>
          <w:p w14:paraId="06B340B4">
            <w:pPr>
              <w:jc w:val="center"/>
              <w:rPr>
                <w:rFonts w:hint="eastAsia" w:ascii="宋体" w:hAnsi="宋体" w:cs="宋体"/>
                <w:sz w:val="24"/>
              </w:rPr>
            </w:pPr>
            <w:r>
              <w:rPr>
                <w:rFonts w:hint="eastAsia" w:ascii="宋体" w:hAnsi="宋体" w:cs="宋体"/>
                <w:sz w:val="24"/>
              </w:rPr>
              <w:t>校行事历管理</w:t>
            </w:r>
          </w:p>
        </w:tc>
      </w:tr>
      <w:tr w14:paraId="2C88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C4C8DA4">
            <w:pPr>
              <w:jc w:val="center"/>
              <w:rPr>
                <w:rFonts w:hint="eastAsia" w:ascii="宋体" w:hAnsi="宋体" w:cs="宋体"/>
                <w:sz w:val="24"/>
              </w:rPr>
            </w:pPr>
          </w:p>
        </w:tc>
        <w:tc>
          <w:tcPr>
            <w:tcW w:w="2126" w:type="dxa"/>
            <w:vMerge w:val="continue"/>
            <w:vAlign w:val="center"/>
          </w:tcPr>
          <w:p w14:paraId="060E629E">
            <w:pPr>
              <w:jc w:val="center"/>
              <w:rPr>
                <w:rFonts w:hint="eastAsia" w:ascii="宋体" w:hAnsi="宋体" w:cs="宋体"/>
                <w:sz w:val="24"/>
              </w:rPr>
            </w:pPr>
          </w:p>
        </w:tc>
        <w:tc>
          <w:tcPr>
            <w:tcW w:w="3722" w:type="dxa"/>
            <w:vAlign w:val="center"/>
          </w:tcPr>
          <w:p w14:paraId="2D031373">
            <w:pPr>
              <w:jc w:val="center"/>
              <w:rPr>
                <w:rFonts w:hint="eastAsia" w:ascii="宋体" w:hAnsi="宋体" w:cs="宋体"/>
                <w:sz w:val="24"/>
              </w:rPr>
            </w:pPr>
            <w:r>
              <w:rPr>
                <w:rFonts w:hint="eastAsia" w:ascii="宋体" w:hAnsi="宋体" w:cs="宋体"/>
                <w:sz w:val="24"/>
              </w:rPr>
              <w:t>通知公告管理</w:t>
            </w:r>
          </w:p>
        </w:tc>
      </w:tr>
      <w:tr w14:paraId="6F22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373AB53C">
            <w:pPr>
              <w:jc w:val="center"/>
              <w:rPr>
                <w:rFonts w:hint="eastAsia" w:ascii="宋体" w:hAnsi="宋体" w:cs="宋体"/>
                <w:sz w:val="24"/>
              </w:rPr>
            </w:pPr>
          </w:p>
        </w:tc>
        <w:tc>
          <w:tcPr>
            <w:tcW w:w="2126" w:type="dxa"/>
            <w:vMerge w:val="continue"/>
            <w:vAlign w:val="center"/>
          </w:tcPr>
          <w:p w14:paraId="7DC6FB15">
            <w:pPr>
              <w:jc w:val="center"/>
              <w:rPr>
                <w:rFonts w:hint="eastAsia" w:ascii="宋体" w:hAnsi="宋体" w:cs="宋体"/>
                <w:sz w:val="24"/>
              </w:rPr>
            </w:pPr>
          </w:p>
        </w:tc>
        <w:tc>
          <w:tcPr>
            <w:tcW w:w="3722" w:type="dxa"/>
            <w:vAlign w:val="center"/>
          </w:tcPr>
          <w:p w14:paraId="134F0EF4">
            <w:pPr>
              <w:jc w:val="center"/>
              <w:rPr>
                <w:rFonts w:hint="eastAsia" w:ascii="宋体" w:hAnsi="宋体" w:cs="宋体"/>
                <w:sz w:val="24"/>
              </w:rPr>
            </w:pPr>
            <w:r>
              <w:rPr>
                <w:rFonts w:hint="eastAsia" w:ascii="宋体" w:hAnsi="宋体" w:cs="宋体"/>
                <w:sz w:val="24"/>
              </w:rPr>
              <w:t>优秀毕业生管理</w:t>
            </w:r>
          </w:p>
        </w:tc>
      </w:tr>
      <w:tr w14:paraId="36FC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09716152">
            <w:pPr>
              <w:jc w:val="center"/>
              <w:rPr>
                <w:rFonts w:hint="eastAsia" w:ascii="宋体" w:hAnsi="宋体" w:cs="宋体"/>
                <w:sz w:val="24"/>
              </w:rPr>
            </w:pPr>
          </w:p>
        </w:tc>
        <w:tc>
          <w:tcPr>
            <w:tcW w:w="2126" w:type="dxa"/>
            <w:vMerge w:val="continue"/>
            <w:vAlign w:val="center"/>
          </w:tcPr>
          <w:p w14:paraId="46A9E861">
            <w:pPr>
              <w:jc w:val="center"/>
              <w:rPr>
                <w:rFonts w:hint="eastAsia" w:ascii="宋体" w:hAnsi="宋体" w:cs="宋体"/>
                <w:sz w:val="24"/>
              </w:rPr>
            </w:pPr>
          </w:p>
        </w:tc>
        <w:tc>
          <w:tcPr>
            <w:tcW w:w="3722" w:type="dxa"/>
            <w:vAlign w:val="center"/>
          </w:tcPr>
          <w:p w14:paraId="5BB18102">
            <w:pPr>
              <w:jc w:val="center"/>
              <w:rPr>
                <w:rFonts w:hint="eastAsia" w:ascii="宋体" w:hAnsi="宋体" w:cs="宋体"/>
                <w:sz w:val="24"/>
              </w:rPr>
            </w:pPr>
            <w:r>
              <w:rPr>
                <w:rFonts w:hint="eastAsia" w:ascii="宋体" w:hAnsi="宋体" w:cs="宋体"/>
                <w:sz w:val="24"/>
              </w:rPr>
              <w:t>临时调课管理</w:t>
            </w:r>
          </w:p>
        </w:tc>
      </w:tr>
      <w:tr w14:paraId="1AEF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51" w:type="dxa"/>
            <w:vMerge w:val="continue"/>
            <w:vAlign w:val="center"/>
          </w:tcPr>
          <w:p w14:paraId="6C2D8D3D">
            <w:pPr>
              <w:jc w:val="center"/>
              <w:rPr>
                <w:rFonts w:hint="eastAsia" w:ascii="宋体" w:hAnsi="宋体" w:cs="宋体"/>
                <w:sz w:val="24"/>
              </w:rPr>
            </w:pPr>
          </w:p>
        </w:tc>
        <w:tc>
          <w:tcPr>
            <w:tcW w:w="2126" w:type="dxa"/>
            <w:vMerge w:val="continue"/>
            <w:vAlign w:val="center"/>
          </w:tcPr>
          <w:p w14:paraId="49093390">
            <w:pPr>
              <w:jc w:val="center"/>
              <w:rPr>
                <w:rFonts w:hint="eastAsia" w:ascii="宋体" w:hAnsi="宋体" w:cs="宋体"/>
                <w:sz w:val="24"/>
              </w:rPr>
            </w:pPr>
          </w:p>
        </w:tc>
        <w:tc>
          <w:tcPr>
            <w:tcW w:w="3722" w:type="dxa"/>
            <w:vAlign w:val="center"/>
          </w:tcPr>
          <w:p w14:paraId="54452445">
            <w:pPr>
              <w:jc w:val="center"/>
              <w:rPr>
                <w:rFonts w:hint="eastAsia" w:ascii="宋体" w:hAnsi="宋体" w:cs="宋体"/>
                <w:sz w:val="24"/>
              </w:rPr>
            </w:pPr>
            <w:r>
              <w:rPr>
                <w:rFonts w:hint="eastAsia" w:ascii="宋体" w:hAnsi="宋体" w:cs="宋体"/>
                <w:sz w:val="24"/>
              </w:rPr>
              <w:t>课堂考勤管理</w:t>
            </w:r>
          </w:p>
        </w:tc>
      </w:tr>
      <w:tr w14:paraId="6811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563CFFD2">
            <w:pPr>
              <w:jc w:val="center"/>
              <w:rPr>
                <w:rFonts w:hint="eastAsia" w:ascii="宋体" w:hAnsi="宋体" w:cs="宋体"/>
                <w:sz w:val="24"/>
              </w:rPr>
            </w:pPr>
            <w:r>
              <w:rPr>
                <w:rFonts w:hint="eastAsia" w:ascii="宋体" w:hAnsi="宋体" w:cs="宋体"/>
                <w:sz w:val="24"/>
              </w:rPr>
              <w:t>3</w:t>
            </w:r>
          </w:p>
        </w:tc>
        <w:tc>
          <w:tcPr>
            <w:tcW w:w="2126" w:type="dxa"/>
            <w:vMerge w:val="restart"/>
            <w:vAlign w:val="center"/>
          </w:tcPr>
          <w:p w14:paraId="50AAFDB3">
            <w:pPr>
              <w:jc w:val="center"/>
              <w:rPr>
                <w:rFonts w:hint="eastAsia" w:ascii="宋体" w:hAnsi="宋体" w:cs="宋体"/>
                <w:sz w:val="24"/>
              </w:rPr>
            </w:pPr>
            <w:r>
              <w:rPr>
                <w:rFonts w:hint="eastAsia" w:ascii="宋体" w:hAnsi="宋体" w:cs="宋体"/>
                <w:sz w:val="24"/>
              </w:rPr>
              <w:t>数据应用系统</w:t>
            </w:r>
          </w:p>
        </w:tc>
        <w:tc>
          <w:tcPr>
            <w:tcW w:w="3722" w:type="dxa"/>
            <w:vAlign w:val="center"/>
          </w:tcPr>
          <w:p w14:paraId="03914F63">
            <w:pPr>
              <w:jc w:val="center"/>
              <w:rPr>
                <w:rFonts w:hint="eastAsia" w:ascii="宋体" w:hAnsi="宋体" w:cs="宋体"/>
                <w:sz w:val="24"/>
              </w:rPr>
            </w:pPr>
            <w:r>
              <w:rPr>
                <w:rFonts w:hint="eastAsia" w:ascii="宋体" w:hAnsi="宋体" w:cs="宋体"/>
                <w:sz w:val="24"/>
              </w:rPr>
              <w:t>教学教务查询</w:t>
            </w:r>
          </w:p>
        </w:tc>
      </w:tr>
      <w:tr w14:paraId="1650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083B6524">
            <w:pPr>
              <w:jc w:val="center"/>
              <w:rPr>
                <w:rFonts w:hint="eastAsia" w:ascii="宋体" w:hAnsi="宋体" w:cs="宋体"/>
                <w:sz w:val="24"/>
              </w:rPr>
            </w:pPr>
          </w:p>
        </w:tc>
        <w:tc>
          <w:tcPr>
            <w:tcW w:w="2126" w:type="dxa"/>
            <w:vMerge w:val="continue"/>
            <w:vAlign w:val="center"/>
          </w:tcPr>
          <w:p w14:paraId="51B76F42">
            <w:pPr>
              <w:jc w:val="center"/>
              <w:rPr>
                <w:rFonts w:hint="eastAsia" w:ascii="宋体" w:hAnsi="宋体" w:cs="宋体"/>
                <w:sz w:val="24"/>
              </w:rPr>
            </w:pPr>
          </w:p>
        </w:tc>
        <w:tc>
          <w:tcPr>
            <w:tcW w:w="3722" w:type="dxa"/>
            <w:vAlign w:val="center"/>
          </w:tcPr>
          <w:p w14:paraId="1AB0BBF7">
            <w:pPr>
              <w:jc w:val="center"/>
              <w:rPr>
                <w:rFonts w:hint="eastAsia" w:ascii="宋体" w:hAnsi="宋体" w:cs="宋体"/>
                <w:sz w:val="24"/>
              </w:rPr>
            </w:pPr>
            <w:r>
              <w:rPr>
                <w:rFonts w:hint="eastAsia" w:ascii="宋体" w:hAnsi="宋体" w:cs="宋体"/>
                <w:sz w:val="24"/>
              </w:rPr>
              <w:t>学生信息查询</w:t>
            </w:r>
          </w:p>
        </w:tc>
      </w:tr>
      <w:tr w14:paraId="760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D7E7A94">
            <w:pPr>
              <w:jc w:val="center"/>
              <w:rPr>
                <w:rFonts w:hint="eastAsia" w:ascii="宋体" w:hAnsi="宋体" w:cs="宋体"/>
                <w:sz w:val="24"/>
              </w:rPr>
            </w:pPr>
          </w:p>
        </w:tc>
        <w:tc>
          <w:tcPr>
            <w:tcW w:w="2126" w:type="dxa"/>
            <w:vMerge w:val="continue"/>
            <w:vAlign w:val="center"/>
          </w:tcPr>
          <w:p w14:paraId="6CF484DA">
            <w:pPr>
              <w:jc w:val="center"/>
              <w:rPr>
                <w:rFonts w:hint="eastAsia" w:ascii="宋体" w:hAnsi="宋体" w:cs="宋体"/>
                <w:sz w:val="24"/>
              </w:rPr>
            </w:pPr>
          </w:p>
        </w:tc>
        <w:tc>
          <w:tcPr>
            <w:tcW w:w="3722" w:type="dxa"/>
            <w:vAlign w:val="center"/>
          </w:tcPr>
          <w:p w14:paraId="54AD0C7C">
            <w:pPr>
              <w:jc w:val="center"/>
              <w:rPr>
                <w:rFonts w:hint="eastAsia" w:ascii="宋体" w:hAnsi="宋体" w:cs="宋体"/>
                <w:sz w:val="24"/>
              </w:rPr>
            </w:pPr>
            <w:r>
              <w:rPr>
                <w:rFonts w:hint="eastAsia" w:ascii="宋体" w:hAnsi="宋体" w:cs="宋体"/>
                <w:sz w:val="24"/>
              </w:rPr>
              <w:t>教师信息查询</w:t>
            </w:r>
          </w:p>
        </w:tc>
      </w:tr>
      <w:tr w14:paraId="6AEC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50085E97">
            <w:pPr>
              <w:jc w:val="center"/>
              <w:rPr>
                <w:rFonts w:hint="eastAsia" w:ascii="宋体" w:hAnsi="宋体" w:cs="宋体"/>
                <w:sz w:val="24"/>
              </w:rPr>
            </w:pPr>
            <w:r>
              <w:rPr>
                <w:rFonts w:hint="eastAsia" w:ascii="宋体" w:hAnsi="宋体" w:cs="宋体"/>
                <w:sz w:val="24"/>
              </w:rPr>
              <w:t>4</w:t>
            </w:r>
          </w:p>
        </w:tc>
        <w:tc>
          <w:tcPr>
            <w:tcW w:w="2126" w:type="dxa"/>
            <w:vMerge w:val="restart"/>
            <w:vAlign w:val="center"/>
          </w:tcPr>
          <w:p w14:paraId="57425E6D">
            <w:pPr>
              <w:jc w:val="center"/>
              <w:rPr>
                <w:rFonts w:hint="eastAsia" w:ascii="宋体" w:hAnsi="宋体" w:cs="宋体"/>
                <w:sz w:val="24"/>
              </w:rPr>
            </w:pPr>
            <w:r>
              <w:rPr>
                <w:rFonts w:hint="eastAsia" w:ascii="宋体" w:hAnsi="宋体" w:cs="宋体"/>
                <w:sz w:val="24"/>
              </w:rPr>
              <w:t>数据驾驶舱</w:t>
            </w:r>
          </w:p>
        </w:tc>
        <w:tc>
          <w:tcPr>
            <w:tcW w:w="3722" w:type="dxa"/>
            <w:vAlign w:val="center"/>
          </w:tcPr>
          <w:p w14:paraId="1DF90D53">
            <w:pPr>
              <w:jc w:val="center"/>
              <w:rPr>
                <w:rFonts w:hint="eastAsia" w:ascii="宋体" w:hAnsi="宋体" w:cs="宋体"/>
                <w:sz w:val="24"/>
              </w:rPr>
            </w:pPr>
            <w:r>
              <w:rPr>
                <w:rFonts w:hint="eastAsia" w:ascii="宋体" w:hAnsi="宋体" w:cs="宋体"/>
                <w:sz w:val="24"/>
              </w:rPr>
              <w:t>寝室驾驶舱</w:t>
            </w:r>
          </w:p>
        </w:tc>
      </w:tr>
      <w:tr w14:paraId="5E3E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39FFE427">
            <w:pPr>
              <w:jc w:val="center"/>
              <w:rPr>
                <w:rFonts w:hint="eastAsia" w:ascii="宋体" w:hAnsi="宋体" w:cs="宋体"/>
                <w:sz w:val="24"/>
              </w:rPr>
            </w:pPr>
          </w:p>
        </w:tc>
        <w:tc>
          <w:tcPr>
            <w:tcW w:w="2126" w:type="dxa"/>
            <w:vMerge w:val="continue"/>
            <w:vAlign w:val="center"/>
          </w:tcPr>
          <w:p w14:paraId="7A87556D">
            <w:pPr>
              <w:jc w:val="center"/>
              <w:rPr>
                <w:rFonts w:hint="eastAsia" w:ascii="宋体" w:hAnsi="宋体" w:cs="宋体"/>
                <w:sz w:val="24"/>
              </w:rPr>
            </w:pPr>
          </w:p>
        </w:tc>
        <w:tc>
          <w:tcPr>
            <w:tcW w:w="3722" w:type="dxa"/>
            <w:vAlign w:val="center"/>
          </w:tcPr>
          <w:p w14:paraId="460B60FA">
            <w:pPr>
              <w:jc w:val="center"/>
              <w:rPr>
                <w:rFonts w:hint="eastAsia" w:ascii="宋体" w:hAnsi="宋体" w:cs="宋体"/>
                <w:sz w:val="24"/>
              </w:rPr>
            </w:pPr>
            <w:r>
              <w:rPr>
                <w:rFonts w:hint="eastAsia" w:ascii="宋体" w:hAnsi="宋体" w:cs="宋体"/>
                <w:sz w:val="24"/>
              </w:rPr>
              <w:t>考勤驾驶舱</w:t>
            </w:r>
          </w:p>
        </w:tc>
      </w:tr>
      <w:tr w14:paraId="720B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6609B783">
            <w:pPr>
              <w:jc w:val="center"/>
              <w:rPr>
                <w:rFonts w:hint="eastAsia" w:ascii="宋体" w:hAnsi="宋体" w:cs="宋体"/>
                <w:sz w:val="24"/>
              </w:rPr>
            </w:pPr>
          </w:p>
        </w:tc>
        <w:tc>
          <w:tcPr>
            <w:tcW w:w="2126" w:type="dxa"/>
            <w:vMerge w:val="continue"/>
            <w:vAlign w:val="center"/>
          </w:tcPr>
          <w:p w14:paraId="1200B31B">
            <w:pPr>
              <w:jc w:val="center"/>
              <w:rPr>
                <w:rFonts w:hint="eastAsia" w:ascii="宋体" w:hAnsi="宋体" w:cs="宋体"/>
                <w:sz w:val="24"/>
              </w:rPr>
            </w:pPr>
          </w:p>
        </w:tc>
        <w:tc>
          <w:tcPr>
            <w:tcW w:w="3722" w:type="dxa"/>
            <w:vAlign w:val="center"/>
          </w:tcPr>
          <w:p w14:paraId="30F8A6CE">
            <w:pPr>
              <w:jc w:val="center"/>
              <w:rPr>
                <w:rFonts w:hint="eastAsia" w:ascii="宋体" w:hAnsi="宋体" w:cs="宋体"/>
                <w:sz w:val="24"/>
              </w:rPr>
            </w:pPr>
            <w:r>
              <w:rPr>
                <w:rFonts w:hint="eastAsia" w:ascii="宋体" w:hAnsi="宋体" w:cs="宋体"/>
                <w:sz w:val="24"/>
              </w:rPr>
              <w:t>学校基本情况驾驶舱</w:t>
            </w:r>
          </w:p>
        </w:tc>
      </w:tr>
      <w:tr w14:paraId="35C1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D9779DF">
            <w:pPr>
              <w:jc w:val="center"/>
              <w:rPr>
                <w:rFonts w:hint="eastAsia" w:ascii="宋体" w:hAnsi="宋体" w:cs="宋体"/>
                <w:sz w:val="24"/>
              </w:rPr>
            </w:pPr>
          </w:p>
        </w:tc>
        <w:tc>
          <w:tcPr>
            <w:tcW w:w="2126" w:type="dxa"/>
            <w:vMerge w:val="continue"/>
            <w:vAlign w:val="center"/>
          </w:tcPr>
          <w:p w14:paraId="088C1212">
            <w:pPr>
              <w:jc w:val="center"/>
              <w:rPr>
                <w:rFonts w:hint="eastAsia" w:ascii="宋体" w:hAnsi="宋体" w:cs="宋体"/>
                <w:sz w:val="24"/>
              </w:rPr>
            </w:pPr>
          </w:p>
        </w:tc>
        <w:tc>
          <w:tcPr>
            <w:tcW w:w="3722" w:type="dxa"/>
            <w:vAlign w:val="center"/>
          </w:tcPr>
          <w:p w14:paraId="5B2DDC02">
            <w:pPr>
              <w:jc w:val="center"/>
              <w:rPr>
                <w:rFonts w:hint="eastAsia" w:ascii="宋体" w:hAnsi="宋体" w:cs="宋体"/>
                <w:sz w:val="24"/>
              </w:rPr>
            </w:pPr>
            <w:r>
              <w:rPr>
                <w:rFonts w:hint="eastAsia" w:ascii="宋体" w:hAnsi="宋体" w:cs="宋体"/>
                <w:sz w:val="24"/>
              </w:rPr>
              <w:t>学校数据资产驾驶舱</w:t>
            </w:r>
          </w:p>
        </w:tc>
      </w:tr>
    </w:tbl>
    <w:p w14:paraId="03D86BFA">
      <w:pPr>
        <w:spacing w:line="360" w:lineRule="auto"/>
        <w:ind w:firstLine="422" w:firstLineChars="17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2.功能参数</w:t>
      </w:r>
    </w:p>
    <w:p w14:paraId="43CCBDD7">
      <w:pPr>
        <w:ind w:firstLine="422" w:firstLineChars="17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（1）数据中台（校本大数据中心）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73"/>
        <w:gridCol w:w="6700"/>
      </w:tblGrid>
      <w:tr w14:paraId="5C6B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trPr>
        <w:tc>
          <w:tcPr>
            <w:tcW w:w="709" w:type="dxa"/>
            <w:shd w:val="clear" w:color="auto" w:fill="auto"/>
            <w:vAlign w:val="center"/>
          </w:tcPr>
          <w:p w14:paraId="6D2CB62B">
            <w:pPr>
              <w:widowControl/>
              <w:jc w:val="center"/>
              <w:rPr>
                <w:rFonts w:hint="eastAsia" w:ascii="宋体" w:hAnsi="宋体" w:cs="宋体"/>
                <w:color w:val="000000"/>
                <w:kern w:val="0"/>
                <w:sz w:val="24"/>
              </w:rPr>
            </w:pPr>
            <w:r>
              <w:rPr>
                <w:rFonts w:hint="eastAsia" w:ascii="宋体" w:hAnsi="宋体" w:cs="宋体"/>
                <w:color w:val="000000"/>
                <w:kern w:val="0"/>
                <w:sz w:val="24"/>
              </w:rPr>
              <w:t>模块</w:t>
            </w:r>
          </w:p>
        </w:tc>
        <w:tc>
          <w:tcPr>
            <w:tcW w:w="1573" w:type="dxa"/>
            <w:shd w:val="clear" w:color="auto" w:fill="auto"/>
            <w:vAlign w:val="center"/>
          </w:tcPr>
          <w:p w14:paraId="172ECF27">
            <w:pPr>
              <w:widowControl/>
              <w:jc w:val="center"/>
              <w:rPr>
                <w:rFonts w:hint="eastAsia" w:ascii="宋体" w:hAnsi="宋体" w:cs="宋体"/>
                <w:color w:val="000000"/>
                <w:kern w:val="0"/>
                <w:sz w:val="24"/>
              </w:rPr>
            </w:pPr>
            <w:r>
              <w:rPr>
                <w:rFonts w:hint="eastAsia" w:ascii="宋体" w:hAnsi="宋体" w:cs="宋体"/>
                <w:color w:val="000000"/>
                <w:kern w:val="0"/>
                <w:sz w:val="24"/>
              </w:rPr>
              <w:t>功能</w:t>
            </w:r>
          </w:p>
        </w:tc>
        <w:tc>
          <w:tcPr>
            <w:tcW w:w="6700" w:type="dxa"/>
            <w:shd w:val="clear" w:color="auto" w:fill="auto"/>
            <w:vAlign w:val="center"/>
          </w:tcPr>
          <w:p w14:paraId="55C97F1E">
            <w:pPr>
              <w:widowControl/>
              <w:jc w:val="center"/>
              <w:rPr>
                <w:rFonts w:hint="eastAsia" w:ascii="宋体" w:hAnsi="宋体" w:cs="宋体"/>
                <w:color w:val="000000"/>
                <w:kern w:val="0"/>
                <w:sz w:val="24"/>
              </w:rPr>
            </w:pPr>
            <w:r>
              <w:rPr>
                <w:rFonts w:hint="eastAsia" w:ascii="宋体" w:hAnsi="宋体" w:cs="宋体"/>
                <w:color w:val="000000"/>
                <w:kern w:val="0"/>
                <w:sz w:val="24"/>
              </w:rPr>
              <w:t>需求概述</w:t>
            </w:r>
          </w:p>
        </w:tc>
      </w:tr>
      <w:tr w14:paraId="0BB0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vAlign w:val="center"/>
          </w:tcPr>
          <w:p w14:paraId="25C14B1F">
            <w:pPr>
              <w:widowControl/>
              <w:jc w:val="center"/>
              <w:rPr>
                <w:rFonts w:hint="eastAsia" w:ascii="宋体" w:hAnsi="宋体" w:cs="宋体"/>
                <w:color w:val="000000"/>
                <w:kern w:val="0"/>
                <w:sz w:val="24"/>
              </w:rPr>
            </w:pPr>
            <w:r>
              <w:rPr>
                <w:rFonts w:hint="eastAsia" w:ascii="宋体" w:hAnsi="宋体" w:cs="宋体"/>
                <w:color w:val="000000"/>
                <w:kern w:val="0"/>
                <w:sz w:val="24"/>
              </w:rPr>
              <w:t>数据标准管理</w:t>
            </w:r>
          </w:p>
        </w:tc>
        <w:tc>
          <w:tcPr>
            <w:tcW w:w="1573" w:type="dxa"/>
            <w:shd w:val="clear" w:color="auto" w:fill="auto"/>
            <w:vAlign w:val="center"/>
          </w:tcPr>
          <w:p w14:paraId="44DD5F90">
            <w:pPr>
              <w:widowControl/>
              <w:jc w:val="left"/>
              <w:rPr>
                <w:rFonts w:hint="eastAsia" w:ascii="宋体" w:hAnsi="宋体" w:cs="宋体"/>
                <w:color w:val="000000"/>
                <w:kern w:val="0"/>
                <w:sz w:val="24"/>
              </w:rPr>
            </w:pPr>
            <w:r>
              <w:rPr>
                <w:rFonts w:hint="eastAsia" w:ascii="宋体" w:hAnsi="宋体" w:cs="宋体"/>
                <w:color w:val="000000"/>
                <w:kern w:val="0"/>
                <w:sz w:val="24"/>
              </w:rPr>
              <w:t>数据标准管理功能</w:t>
            </w:r>
          </w:p>
        </w:tc>
        <w:tc>
          <w:tcPr>
            <w:tcW w:w="6700" w:type="dxa"/>
            <w:shd w:val="clear" w:color="auto" w:fill="auto"/>
            <w:vAlign w:val="center"/>
          </w:tcPr>
          <w:p w14:paraId="0F8A4B60">
            <w:pPr>
              <w:widowControl/>
              <w:jc w:val="left"/>
              <w:rPr>
                <w:rFonts w:hint="eastAsia" w:ascii="宋体" w:hAnsi="宋体" w:cs="宋体"/>
                <w:color w:val="000000"/>
                <w:kern w:val="0"/>
                <w:sz w:val="24"/>
              </w:rPr>
            </w:pPr>
            <w:r>
              <w:rPr>
                <w:rFonts w:hint="eastAsia" w:ascii="宋体" w:hAnsi="宋体" w:cs="宋体"/>
                <w:color w:val="000000"/>
                <w:kern w:val="0"/>
                <w:sz w:val="24"/>
              </w:rPr>
              <w:t>1.模型标准管理</w:t>
            </w:r>
            <w:r>
              <w:rPr>
                <w:rFonts w:hint="eastAsia" w:ascii="宋体" w:hAnsi="宋体" w:cs="宋体"/>
                <w:color w:val="000000"/>
                <w:kern w:val="0"/>
                <w:sz w:val="24"/>
              </w:rPr>
              <w:br w:type="textWrapping"/>
            </w:r>
            <w:r>
              <w:rPr>
                <w:rFonts w:hint="eastAsia" w:ascii="宋体" w:hAnsi="宋体" w:cs="宋体"/>
                <w:color w:val="000000"/>
                <w:kern w:val="0"/>
                <w:sz w:val="24"/>
              </w:rPr>
              <w:t>标准目录构建：支持按业务域创建多级目录（如“教学管理→学生数据→基础信息”），内置国标及国家中职院校数据标准，覆盖学生学籍、全国教师系统等核心信息规范。</w:t>
            </w:r>
            <w:r>
              <w:rPr>
                <w:rFonts w:hint="eastAsia" w:ascii="宋体" w:hAnsi="宋体" w:cs="宋体"/>
                <w:color w:val="000000"/>
                <w:kern w:val="0"/>
                <w:sz w:val="24"/>
              </w:rPr>
              <w:br w:type="textWrapping"/>
            </w:r>
            <w:r>
              <w:rPr>
                <w:rFonts w:hint="eastAsia" w:ascii="宋体" w:hAnsi="宋体" w:cs="宋体"/>
                <w:color w:val="000000"/>
                <w:kern w:val="0"/>
                <w:sz w:val="24"/>
              </w:rPr>
              <w:t>标准表结构设计：支持可视化配置标准编号、</w:t>
            </w:r>
            <w:r>
              <w:rPr>
                <w:rFonts w:ascii="宋体" w:hAnsi="宋体" w:cs="宋体"/>
                <w:color w:val="000000"/>
                <w:kern w:val="0"/>
                <w:sz w:val="24"/>
              </w:rPr>
              <w:t>标准</w:t>
            </w:r>
            <w:r>
              <w:rPr>
                <w:rFonts w:hint="eastAsia" w:ascii="宋体" w:hAnsi="宋体" w:cs="宋体"/>
                <w:color w:val="000000"/>
                <w:kern w:val="0"/>
                <w:sz w:val="24"/>
              </w:rPr>
              <w:t>模型</w:t>
            </w:r>
            <w:r>
              <w:rPr>
                <w:rFonts w:ascii="宋体" w:hAnsi="宋体" w:cs="宋体"/>
                <w:color w:val="000000"/>
                <w:kern w:val="0"/>
                <w:sz w:val="24"/>
              </w:rPr>
              <w:t>表</w:t>
            </w:r>
            <w:r>
              <w:rPr>
                <w:rFonts w:hint="eastAsia" w:ascii="宋体" w:hAnsi="宋体" w:cs="宋体"/>
                <w:color w:val="000000"/>
                <w:kern w:val="0"/>
                <w:sz w:val="24"/>
              </w:rPr>
              <w:t>名称、模型</w:t>
            </w:r>
            <w:r>
              <w:rPr>
                <w:rFonts w:ascii="宋体" w:hAnsi="宋体" w:cs="宋体"/>
                <w:color w:val="000000"/>
                <w:kern w:val="0"/>
                <w:sz w:val="24"/>
              </w:rPr>
              <w:t>数据项</w:t>
            </w:r>
            <w:r>
              <w:rPr>
                <w:rFonts w:hint="eastAsia" w:ascii="宋体" w:hAnsi="宋体" w:cs="宋体"/>
                <w:color w:val="000000"/>
                <w:kern w:val="0"/>
                <w:sz w:val="24"/>
              </w:rPr>
              <w:t>信息、</w:t>
            </w:r>
            <w:r>
              <w:rPr>
                <w:rFonts w:ascii="宋体" w:hAnsi="宋体" w:cs="宋体"/>
                <w:color w:val="000000"/>
                <w:kern w:val="0"/>
                <w:sz w:val="24"/>
              </w:rPr>
              <w:t>是否</w:t>
            </w:r>
            <w:r>
              <w:rPr>
                <w:rFonts w:hint="eastAsia" w:ascii="宋体" w:hAnsi="宋体" w:cs="宋体"/>
                <w:color w:val="000000"/>
                <w:kern w:val="0"/>
                <w:sz w:val="24"/>
              </w:rPr>
              <w:t>主键等基础属性；支持导入Excel表结构；支持引用已有的模型标准或字段标准。</w:t>
            </w:r>
            <w:r>
              <w:rPr>
                <w:rFonts w:hint="eastAsia" w:ascii="宋体" w:hAnsi="宋体" w:cs="宋体"/>
                <w:color w:val="000000"/>
                <w:kern w:val="0"/>
                <w:sz w:val="24"/>
              </w:rPr>
              <w:br w:type="textWrapping"/>
            </w:r>
            <w:r>
              <w:rPr>
                <w:rFonts w:hint="eastAsia" w:ascii="宋体" w:hAnsi="宋体" w:cs="宋体"/>
                <w:color w:val="000000"/>
                <w:kern w:val="0"/>
                <w:sz w:val="24"/>
              </w:rPr>
              <w:t>2.字段标准管理</w:t>
            </w:r>
            <w:r>
              <w:rPr>
                <w:rFonts w:hint="eastAsia" w:ascii="宋体" w:hAnsi="宋体" w:cs="宋体"/>
                <w:color w:val="000000"/>
                <w:kern w:val="0"/>
                <w:sz w:val="24"/>
              </w:rPr>
              <w:br w:type="textWrapping"/>
            </w:r>
            <w:r>
              <w:rPr>
                <w:rFonts w:hint="eastAsia" w:ascii="宋体" w:hAnsi="宋体" w:cs="宋体"/>
                <w:color w:val="000000"/>
                <w:kern w:val="0"/>
                <w:sz w:val="24"/>
              </w:rPr>
              <w:t>目录管理：支持多层级目录创建。</w:t>
            </w:r>
            <w:r>
              <w:rPr>
                <w:rFonts w:hint="eastAsia" w:ascii="宋体" w:hAnsi="宋体" w:cs="宋体"/>
                <w:color w:val="000000"/>
                <w:kern w:val="0"/>
                <w:sz w:val="24"/>
              </w:rPr>
              <w:br w:type="textWrapping"/>
            </w:r>
            <w:r>
              <w:rPr>
                <w:rFonts w:hint="eastAsia" w:ascii="宋体" w:hAnsi="宋体" w:cs="宋体"/>
                <w:color w:val="000000"/>
                <w:kern w:val="0"/>
                <w:sz w:val="24"/>
              </w:rPr>
              <w:t>新建字段</w:t>
            </w:r>
            <w:r>
              <w:rPr>
                <w:rFonts w:ascii="宋体" w:hAnsi="宋体" w:cs="宋体"/>
                <w:color w:val="000000"/>
                <w:kern w:val="0"/>
                <w:sz w:val="24"/>
              </w:rPr>
              <w:t>标准</w:t>
            </w:r>
            <w:r>
              <w:rPr>
                <w:rFonts w:hint="eastAsia" w:ascii="宋体" w:hAnsi="宋体" w:cs="宋体"/>
                <w:color w:val="000000"/>
                <w:kern w:val="0"/>
                <w:sz w:val="24"/>
              </w:rPr>
              <w:t>：</w:t>
            </w:r>
            <w:r>
              <w:rPr>
                <w:rFonts w:ascii="宋体" w:hAnsi="宋体" w:cs="宋体"/>
                <w:kern w:val="0"/>
                <w:sz w:val="24"/>
                <w:lang w:bidi="ar"/>
              </w:rPr>
              <w:t>编号、字段英文名、字段中文名、数据类型、字段长度、字段精度、默认值、引用代码、是否必填、标准级别。</w:t>
            </w:r>
            <w:r>
              <w:rPr>
                <w:rFonts w:hint="eastAsia" w:ascii="宋体" w:hAnsi="宋体" w:cs="宋体"/>
                <w:color w:val="000000"/>
                <w:kern w:val="0"/>
                <w:sz w:val="24"/>
              </w:rPr>
              <w:br w:type="textWrapping"/>
            </w:r>
            <w:r>
              <w:rPr>
                <w:rFonts w:hint="eastAsia" w:ascii="宋体" w:hAnsi="宋体" w:cs="宋体"/>
                <w:color w:val="000000"/>
                <w:kern w:val="0"/>
                <w:sz w:val="24"/>
              </w:rPr>
              <w:t>标准维护：支持对字段标准内容编辑、复制、下载、删除等维护操作。</w:t>
            </w:r>
          </w:p>
        </w:tc>
      </w:tr>
      <w:tr w14:paraId="5AF2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A3ACC81">
            <w:pPr>
              <w:widowControl/>
              <w:jc w:val="left"/>
              <w:rPr>
                <w:rFonts w:hint="eastAsia" w:ascii="宋体" w:hAnsi="宋体" w:cs="宋体"/>
                <w:color w:val="000000"/>
                <w:kern w:val="0"/>
                <w:sz w:val="24"/>
              </w:rPr>
            </w:pPr>
          </w:p>
        </w:tc>
        <w:tc>
          <w:tcPr>
            <w:tcW w:w="1573" w:type="dxa"/>
            <w:shd w:val="clear" w:color="auto" w:fill="auto"/>
            <w:vAlign w:val="center"/>
          </w:tcPr>
          <w:p w14:paraId="165BA909">
            <w:pPr>
              <w:widowControl/>
              <w:jc w:val="left"/>
              <w:rPr>
                <w:rFonts w:hint="eastAsia" w:ascii="宋体" w:hAnsi="宋体" w:cs="宋体"/>
                <w:color w:val="000000"/>
                <w:kern w:val="0"/>
                <w:sz w:val="24"/>
              </w:rPr>
            </w:pPr>
            <w:r>
              <w:rPr>
                <w:rFonts w:hint="eastAsia" w:ascii="宋体" w:hAnsi="宋体" w:cs="宋体"/>
                <w:color w:val="000000"/>
                <w:kern w:val="0"/>
                <w:sz w:val="24"/>
              </w:rPr>
              <w:t>数据标准建立</w:t>
            </w:r>
          </w:p>
        </w:tc>
        <w:tc>
          <w:tcPr>
            <w:tcW w:w="6700" w:type="dxa"/>
            <w:shd w:val="clear" w:color="auto" w:fill="auto"/>
            <w:vAlign w:val="center"/>
          </w:tcPr>
          <w:p w14:paraId="702C5899">
            <w:pPr>
              <w:widowControl/>
              <w:jc w:val="left"/>
              <w:rPr>
                <w:rFonts w:hint="eastAsia" w:ascii="宋体" w:hAnsi="宋体" w:cs="宋体"/>
                <w:color w:val="000000"/>
                <w:kern w:val="0"/>
                <w:sz w:val="24"/>
              </w:rPr>
            </w:pPr>
            <w:r>
              <w:rPr>
                <w:rFonts w:hint="eastAsia" w:ascii="宋体" w:hAnsi="宋体" w:cs="宋体"/>
                <w:color w:val="000000"/>
                <w:kern w:val="0"/>
                <w:sz w:val="24"/>
              </w:rPr>
              <w:t>内置“教育管理</w:t>
            </w:r>
            <w:r>
              <w:rPr>
                <w:rFonts w:ascii="宋体" w:hAnsi="宋体" w:cs="宋体"/>
                <w:color w:val="000000"/>
                <w:kern w:val="0"/>
                <w:sz w:val="24"/>
              </w:rPr>
              <w:t>基础信息</w:t>
            </w:r>
            <w:r>
              <w:rPr>
                <w:rFonts w:hint="eastAsia" w:ascii="宋体" w:hAnsi="宋体" w:cs="宋体"/>
                <w:color w:val="000000"/>
                <w:kern w:val="0"/>
                <w:sz w:val="24"/>
              </w:rPr>
              <w:t>”“中职院校数据标准”等模型标准预制模板，减少重复维护工作。</w:t>
            </w:r>
          </w:p>
        </w:tc>
      </w:tr>
      <w:tr w14:paraId="32A7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C2E3983">
            <w:pPr>
              <w:widowControl/>
              <w:jc w:val="left"/>
              <w:rPr>
                <w:rFonts w:hint="eastAsia" w:ascii="宋体" w:hAnsi="宋体" w:cs="宋体"/>
                <w:color w:val="000000"/>
                <w:kern w:val="0"/>
                <w:sz w:val="24"/>
              </w:rPr>
            </w:pPr>
          </w:p>
        </w:tc>
        <w:tc>
          <w:tcPr>
            <w:tcW w:w="1573" w:type="dxa"/>
            <w:shd w:val="clear" w:color="auto" w:fill="auto"/>
            <w:vAlign w:val="center"/>
          </w:tcPr>
          <w:p w14:paraId="343BFA31">
            <w:pPr>
              <w:widowControl/>
              <w:jc w:val="left"/>
              <w:rPr>
                <w:rFonts w:hint="eastAsia" w:ascii="宋体" w:hAnsi="宋体" w:cs="宋体"/>
                <w:color w:val="000000"/>
                <w:kern w:val="0"/>
                <w:sz w:val="24"/>
              </w:rPr>
            </w:pPr>
            <w:r>
              <w:rPr>
                <w:rFonts w:ascii="宋体" w:hAnsi="宋体" w:cs="宋体"/>
                <w:color w:val="000000"/>
                <w:kern w:val="0"/>
                <w:sz w:val="24"/>
              </w:rPr>
              <w:t>模型标准</w:t>
            </w:r>
            <w:r>
              <w:rPr>
                <w:rFonts w:hint="eastAsia" w:ascii="宋体" w:hAnsi="宋体" w:cs="宋体"/>
                <w:color w:val="000000"/>
                <w:kern w:val="0"/>
                <w:sz w:val="24"/>
              </w:rPr>
              <w:t>数组成</w:t>
            </w:r>
            <w:r>
              <w:rPr>
                <w:rFonts w:ascii="宋体" w:hAnsi="宋体" w:cs="宋体"/>
                <w:color w:val="000000"/>
                <w:kern w:val="0"/>
                <w:sz w:val="24"/>
              </w:rPr>
              <w:t>标准</w:t>
            </w:r>
          </w:p>
        </w:tc>
        <w:tc>
          <w:tcPr>
            <w:tcW w:w="6700" w:type="dxa"/>
            <w:shd w:val="clear" w:color="auto" w:fill="auto"/>
            <w:vAlign w:val="center"/>
          </w:tcPr>
          <w:p w14:paraId="10C49E63">
            <w:pPr>
              <w:widowControl/>
              <w:jc w:val="left"/>
              <w:rPr>
                <w:rFonts w:hint="eastAsia" w:ascii="宋体" w:hAnsi="宋体" w:cs="宋体"/>
                <w:color w:val="000000"/>
                <w:kern w:val="0"/>
                <w:sz w:val="24"/>
              </w:rPr>
            </w:pPr>
            <w:r>
              <w:rPr>
                <w:rFonts w:hint="eastAsia" w:ascii="宋体" w:hAnsi="宋体" w:cs="宋体"/>
                <w:color w:val="000000"/>
                <w:kern w:val="0"/>
                <w:sz w:val="24"/>
              </w:rPr>
              <w:t>编号：数据项的唯一标识；</w:t>
            </w:r>
          </w:p>
          <w:p w14:paraId="7EED8E98">
            <w:pPr>
              <w:widowControl/>
              <w:jc w:val="left"/>
              <w:rPr>
                <w:rFonts w:hint="eastAsia" w:ascii="宋体" w:hAnsi="宋体" w:cs="宋体"/>
                <w:color w:val="000000"/>
                <w:kern w:val="0"/>
                <w:sz w:val="24"/>
              </w:rPr>
            </w:pPr>
            <w:r>
              <w:rPr>
                <w:rFonts w:hint="eastAsia" w:ascii="宋体" w:hAnsi="宋体" w:cs="宋体"/>
                <w:color w:val="000000"/>
                <w:kern w:val="0"/>
                <w:sz w:val="24"/>
              </w:rPr>
              <w:t xml:space="preserve">数据项名：由中文简称的汉语拼音首字母大写组成，与中文简称一一对应，宜在实际数据结构中采用； </w:t>
            </w:r>
          </w:p>
          <w:p w14:paraId="20B75FF9">
            <w:pPr>
              <w:widowControl/>
              <w:jc w:val="left"/>
              <w:rPr>
                <w:rFonts w:hint="eastAsia" w:ascii="宋体" w:hAnsi="宋体" w:cs="宋体"/>
                <w:color w:val="000000"/>
                <w:kern w:val="0"/>
                <w:sz w:val="24"/>
              </w:rPr>
            </w:pPr>
            <w:r>
              <w:rPr>
                <w:rFonts w:hint="eastAsia" w:ascii="宋体" w:hAnsi="宋体" w:cs="宋体"/>
                <w:color w:val="000000"/>
                <w:kern w:val="0"/>
                <w:sz w:val="24"/>
              </w:rPr>
              <w:t xml:space="preserve">中文简称：所用的数据元的名称，具有语义，面向用户； </w:t>
            </w:r>
            <w:r>
              <w:rPr>
                <w:rFonts w:hint="eastAsia" w:ascii="宋体" w:hAnsi="宋体" w:cs="宋体"/>
                <w:color w:val="000000"/>
                <w:kern w:val="0"/>
                <w:sz w:val="24"/>
              </w:rPr>
              <w:br w:type="textWrapping"/>
            </w:r>
            <w:r>
              <w:rPr>
                <w:rFonts w:hint="eastAsia" w:ascii="宋体" w:hAnsi="宋体" w:cs="宋体"/>
                <w:color w:val="000000"/>
                <w:kern w:val="0"/>
                <w:sz w:val="24"/>
              </w:rPr>
              <w:t xml:space="preserve">数据类型：数据项容纳的数据类型，在数据项中简称其为类型； </w:t>
            </w:r>
            <w:r>
              <w:rPr>
                <w:rFonts w:hint="eastAsia" w:ascii="宋体" w:hAnsi="宋体" w:cs="宋体"/>
                <w:color w:val="000000"/>
                <w:kern w:val="0"/>
                <w:sz w:val="24"/>
              </w:rPr>
              <w:br w:type="textWrapping"/>
            </w:r>
            <w:r>
              <w:rPr>
                <w:rFonts w:hint="eastAsia" w:ascii="宋体" w:hAnsi="宋体" w:cs="宋体"/>
                <w:color w:val="000000"/>
                <w:kern w:val="0"/>
                <w:sz w:val="24"/>
              </w:rPr>
              <w:t xml:space="preserve">字段长度：数据项能容纳的最大字符数； </w:t>
            </w:r>
            <w:r>
              <w:rPr>
                <w:rFonts w:hint="eastAsia" w:ascii="宋体" w:hAnsi="宋体" w:cs="宋体"/>
                <w:color w:val="000000"/>
                <w:kern w:val="0"/>
                <w:sz w:val="24"/>
              </w:rPr>
              <w:br w:type="textWrapping"/>
            </w:r>
            <w:r>
              <w:rPr>
                <w:rFonts w:ascii="宋体" w:hAnsi="宋体" w:cs="宋体"/>
                <w:color w:val="000000"/>
                <w:kern w:val="0"/>
                <w:sz w:val="24"/>
              </w:rPr>
              <w:t>是否必填</w:t>
            </w:r>
            <w:r>
              <w:rPr>
                <w:rFonts w:hint="eastAsia" w:ascii="宋体" w:hAnsi="宋体" w:cs="宋体"/>
                <w:color w:val="000000"/>
                <w:kern w:val="0"/>
                <w:sz w:val="24"/>
              </w:rPr>
              <w:t>：数据项约束状态的描述，即</w:t>
            </w:r>
            <w:r>
              <w:rPr>
                <w:rFonts w:ascii="宋体" w:hAnsi="宋体" w:cs="宋体"/>
                <w:color w:val="000000"/>
                <w:kern w:val="0"/>
                <w:sz w:val="24"/>
              </w:rPr>
              <w:t>必填</w:t>
            </w:r>
            <w:r>
              <w:rPr>
                <w:rFonts w:hint="eastAsia" w:ascii="宋体" w:hAnsi="宋体" w:cs="宋体"/>
                <w:color w:val="000000"/>
                <w:kern w:val="0"/>
                <w:sz w:val="24"/>
              </w:rPr>
              <w:t>数据项或</w:t>
            </w:r>
            <w:r>
              <w:rPr>
                <w:rFonts w:ascii="宋体" w:hAnsi="宋体" w:cs="宋体"/>
                <w:color w:val="000000"/>
                <w:kern w:val="0"/>
                <w:sz w:val="24"/>
              </w:rPr>
              <w:t>选填</w:t>
            </w:r>
            <w:r>
              <w:rPr>
                <w:rFonts w:hint="eastAsia" w:ascii="宋体" w:hAnsi="宋体" w:cs="宋体"/>
                <w:color w:val="000000"/>
                <w:kern w:val="0"/>
                <w:sz w:val="24"/>
              </w:rPr>
              <w:t xml:space="preserve">数据项；   </w:t>
            </w:r>
            <w:r>
              <w:rPr>
                <w:rFonts w:hint="eastAsia" w:ascii="宋体" w:hAnsi="宋体" w:cs="宋体"/>
                <w:color w:val="000000"/>
                <w:kern w:val="0"/>
                <w:sz w:val="24"/>
              </w:rPr>
              <w:br w:type="textWrapping"/>
            </w:r>
            <w:r>
              <w:rPr>
                <w:rFonts w:ascii="宋体" w:hAnsi="宋体" w:cs="宋体"/>
                <w:color w:val="000000"/>
                <w:kern w:val="0"/>
                <w:sz w:val="24"/>
              </w:rPr>
              <w:t>是否</w:t>
            </w:r>
            <w:r>
              <w:rPr>
                <w:rFonts w:hint="eastAsia" w:ascii="宋体" w:hAnsi="宋体" w:cs="宋体"/>
                <w:color w:val="000000"/>
                <w:kern w:val="0"/>
                <w:sz w:val="24"/>
              </w:rPr>
              <w:t xml:space="preserve">主键：数据项是否数据主键； </w:t>
            </w:r>
          </w:p>
        </w:tc>
      </w:tr>
      <w:tr w14:paraId="0005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vAlign w:val="center"/>
          </w:tcPr>
          <w:p w14:paraId="121C9663">
            <w:pPr>
              <w:widowControl/>
              <w:jc w:val="center"/>
              <w:rPr>
                <w:rFonts w:hint="eastAsia" w:ascii="宋体" w:hAnsi="宋体" w:cs="宋体"/>
                <w:color w:val="000000"/>
                <w:kern w:val="0"/>
                <w:sz w:val="24"/>
              </w:rPr>
            </w:pPr>
            <w:r>
              <w:rPr>
                <w:rFonts w:hint="eastAsia" w:ascii="宋体" w:hAnsi="宋体" w:cs="宋体"/>
                <w:color w:val="000000"/>
                <w:kern w:val="0"/>
                <w:sz w:val="24"/>
              </w:rPr>
              <w:t>数据集成管理</w:t>
            </w:r>
          </w:p>
        </w:tc>
        <w:tc>
          <w:tcPr>
            <w:tcW w:w="1573" w:type="dxa"/>
            <w:shd w:val="clear" w:color="auto" w:fill="auto"/>
            <w:vAlign w:val="center"/>
          </w:tcPr>
          <w:p w14:paraId="1F365567">
            <w:pPr>
              <w:widowControl/>
              <w:jc w:val="left"/>
              <w:rPr>
                <w:rFonts w:hint="eastAsia" w:ascii="宋体" w:hAnsi="宋体" w:cs="宋体"/>
                <w:color w:val="000000"/>
                <w:kern w:val="0"/>
                <w:sz w:val="24"/>
              </w:rPr>
            </w:pPr>
            <w:r>
              <w:rPr>
                <w:rFonts w:hint="eastAsia" w:ascii="宋体" w:hAnsi="宋体" w:cs="宋体"/>
                <w:color w:val="000000"/>
                <w:kern w:val="0"/>
                <w:sz w:val="24"/>
              </w:rPr>
              <w:t>数据源管理</w:t>
            </w:r>
          </w:p>
        </w:tc>
        <w:tc>
          <w:tcPr>
            <w:tcW w:w="6700" w:type="dxa"/>
            <w:shd w:val="clear" w:color="auto" w:fill="auto"/>
            <w:vAlign w:val="center"/>
          </w:tcPr>
          <w:p w14:paraId="23213E52">
            <w:pPr>
              <w:widowControl/>
              <w:jc w:val="left"/>
              <w:rPr>
                <w:rFonts w:hint="eastAsia" w:ascii="宋体" w:hAnsi="宋体" w:cs="宋体"/>
                <w:color w:val="000000"/>
                <w:kern w:val="0"/>
                <w:sz w:val="24"/>
              </w:rPr>
            </w:pPr>
            <w:r>
              <w:rPr>
                <w:rFonts w:hint="eastAsia" w:ascii="宋体" w:hAnsi="宋体" w:cs="宋体"/>
                <w:color w:val="000000"/>
                <w:kern w:val="0"/>
                <w:sz w:val="24"/>
              </w:rPr>
              <w:t>支持数据库：支持MySQL、ORACLE、HIVE、DB2、达梦、OCEANBASE等主流数据库及国产化数据库，适配学校现有业务系统（如一卡通管理系统、教务管理系统）的数据库对接需求。</w:t>
            </w:r>
            <w:r>
              <w:rPr>
                <w:rFonts w:hint="eastAsia" w:ascii="宋体" w:hAnsi="宋体" w:cs="宋体"/>
                <w:color w:val="000000"/>
                <w:kern w:val="0"/>
                <w:sz w:val="24"/>
              </w:rPr>
              <w:br w:type="textWrapping"/>
            </w:r>
            <w:r>
              <w:rPr>
                <w:rFonts w:hint="eastAsia" w:ascii="宋体" w:hAnsi="宋体" w:cs="宋体"/>
                <w:color w:val="000000"/>
                <w:kern w:val="0"/>
                <w:sz w:val="24"/>
              </w:rPr>
              <w:t>新建数据源：提供可视化界面配置连接参数，支持配置数据源的IP主机名、端口、数据库用户名、密码、数据库名等，并支持在线链接测试。</w:t>
            </w:r>
            <w:r>
              <w:rPr>
                <w:rFonts w:hint="eastAsia" w:ascii="宋体" w:hAnsi="宋体" w:cs="宋体"/>
                <w:color w:val="000000"/>
                <w:kern w:val="0"/>
                <w:sz w:val="24"/>
              </w:rPr>
              <w:br w:type="textWrapping"/>
            </w:r>
            <w:r>
              <w:rPr>
                <w:rFonts w:hint="eastAsia" w:ascii="宋体" w:hAnsi="宋体" w:cs="宋体"/>
                <w:color w:val="000000"/>
                <w:kern w:val="0"/>
                <w:sz w:val="24"/>
              </w:rPr>
              <w:t>数据源审核：新建数据源提交后，由学校数据管理员进行审核，审核后可通过数据仓库进行数据整库同步的配置工作。</w:t>
            </w:r>
          </w:p>
        </w:tc>
      </w:tr>
      <w:tr w14:paraId="58E6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22031EF">
            <w:pPr>
              <w:widowControl/>
              <w:jc w:val="left"/>
              <w:rPr>
                <w:rFonts w:hint="eastAsia" w:ascii="宋体" w:hAnsi="宋体" w:cs="宋体"/>
                <w:color w:val="000000"/>
                <w:kern w:val="0"/>
                <w:sz w:val="24"/>
              </w:rPr>
            </w:pPr>
          </w:p>
        </w:tc>
        <w:tc>
          <w:tcPr>
            <w:tcW w:w="1573" w:type="dxa"/>
            <w:shd w:val="clear" w:color="auto" w:fill="auto"/>
            <w:vAlign w:val="center"/>
          </w:tcPr>
          <w:p w14:paraId="33374240">
            <w:pPr>
              <w:widowControl/>
              <w:jc w:val="left"/>
              <w:rPr>
                <w:rFonts w:hint="eastAsia" w:ascii="宋体" w:hAnsi="宋体" w:cs="宋体"/>
                <w:color w:val="000000"/>
                <w:kern w:val="0"/>
                <w:sz w:val="24"/>
              </w:rPr>
            </w:pPr>
            <w:r>
              <w:rPr>
                <w:rFonts w:hint="eastAsia" w:ascii="宋体" w:hAnsi="宋体" w:cs="宋体"/>
                <w:color w:val="000000"/>
                <w:kern w:val="0"/>
                <w:sz w:val="24"/>
              </w:rPr>
              <w:t>数据归集</w:t>
            </w:r>
          </w:p>
        </w:tc>
        <w:tc>
          <w:tcPr>
            <w:tcW w:w="6700" w:type="dxa"/>
            <w:shd w:val="clear" w:color="auto" w:fill="auto"/>
            <w:vAlign w:val="center"/>
          </w:tcPr>
          <w:p w14:paraId="017B6D30">
            <w:pPr>
              <w:widowControl/>
              <w:jc w:val="left"/>
              <w:rPr>
                <w:rFonts w:hint="eastAsia" w:ascii="宋体" w:hAnsi="宋体" w:cs="宋体"/>
                <w:color w:val="000000"/>
                <w:kern w:val="0"/>
                <w:sz w:val="24"/>
              </w:rPr>
            </w:pPr>
            <w:r>
              <w:rPr>
                <w:rFonts w:hint="eastAsia" w:ascii="宋体" w:hAnsi="宋体" w:cs="宋体"/>
                <w:color w:val="000000"/>
                <w:kern w:val="0"/>
                <w:sz w:val="24"/>
              </w:rPr>
              <w:t>1.基于接口的对接方式</w:t>
            </w:r>
            <w:r>
              <w:rPr>
                <w:rFonts w:hint="eastAsia" w:ascii="宋体" w:hAnsi="宋体" w:cs="宋体"/>
                <w:color w:val="000000"/>
                <w:kern w:val="0"/>
                <w:sz w:val="24"/>
              </w:rPr>
              <w:br w:type="textWrapping"/>
            </w:r>
            <w:r>
              <w:rPr>
                <w:rFonts w:hint="eastAsia" w:ascii="宋体" w:hAnsi="宋体" w:cs="宋体"/>
                <w:color w:val="000000"/>
                <w:kern w:val="0"/>
                <w:sz w:val="24"/>
              </w:rPr>
              <w:t>接口方式归集应具备创建数据表自动生成写入接口功能，满足第三方业务数据归集，功能主要包括：</w:t>
            </w:r>
          </w:p>
          <w:p w14:paraId="387195DD">
            <w:pPr>
              <w:widowControl/>
              <w:jc w:val="left"/>
              <w:rPr>
                <w:rFonts w:hint="eastAsia" w:ascii="宋体" w:hAnsi="宋体" w:cs="宋体"/>
                <w:color w:val="000000"/>
                <w:kern w:val="0"/>
                <w:sz w:val="24"/>
              </w:rPr>
            </w:pPr>
            <w:r>
              <w:rPr>
                <w:rFonts w:hint="eastAsia" w:ascii="宋体" w:hAnsi="宋体" w:cs="宋体"/>
                <w:color w:val="000000"/>
                <w:kern w:val="0"/>
                <w:sz w:val="24"/>
              </w:rPr>
              <w:t>1）系统应具备创建原始库数据表功能，且自动生成数据写入API接口；</w:t>
            </w:r>
          </w:p>
          <w:p w14:paraId="206FBC0C">
            <w:pPr>
              <w:widowControl/>
              <w:jc w:val="left"/>
              <w:rPr>
                <w:rFonts w:hint="eastAsia" w:ascii="宋体" w:hAnsi="宋体" w:cs="宋体"/>
                <w:color w:val="000000"/>
                <w:kern w:val="0"/>
                <w:sz w:val="24"/>
              </w:rPr>
            </w:pPr>
            <w:r>
              <w:rPr>
                <w:rFonts w:hint="eastAsia" w:ascii="宋体" w:hAnsi="宋体" w:cs="宋体"/>
                <w:color w:val="000000"/>
                <w:kern w:val="0"/>
                <w:sz w:val="24"/>
              </w:rPr>
              <w:t>2）接口生成应具备自动创建安全令牌功能，实现各API接口加密传输。</w:t>
            </w:r>
            <w:r>
              <w:rPr>
                <w:rFonts w:hint="eastAsia" w:ascii="宋体" w:hAnsi="宋体" w:cs="宋体"/>
                <w:color w:val="000000"/>
                <w:kern w:val="0"/>
                <w:sz w:val="24"/>
              </w:rPr>
              <w:br w:type="textWrapping"/>
            </w:r>
            <w:r>
              <w:rPr>
                <w:rFonts w:hint="eastAsia" w:ascii="宋体" w:hAnsi="宋体" w:cs="宋体"/>
                <w:color w:val="000000"/>
                <w:kern w:val="0"/>
                <w:sz w:val="24"/>
              </w:rPr>
              <w:t>2.数据库采集</w:t>
            </w:r>
            <w:r>
              <w:rPr>
                <w:rFonts w:hint="eastAsia" w:ascii="宋体" w:hAnsi="宋体" w:cs="宋体"/>
                <w:color w:val="000000"/>
                <w:kern w:val="0"/>
                <w:sz w:val="24"/>
              </w:rPr>
              <w:br w:type="textWrapping"/>
            </w:r>
            <w:r>
              <w:rPr>
                <w:rFonts w:hint="eastAsia" w:ascii="宋体" w:hAnsi="宋体" w:cs="宋体"/>
                <w:color w:val="000000"/>
                <w:kern w:val="0"/>
                <w:sz w:val="24"/>
              </w:rPr>
              <w:t>基于关系型数据库的采集方式，对各业务部门的业务系统的数据库类型、</w:t>
            </w:r>
            <w:r>
              <w:rPr>
                <w:rFonts w:hint="eastAsia" w:ascii="宋体" w:hAnsi="宋体" w:cs="宋体"/>
                <w:kern w:val="0"/>
                <w:sz w:val="24"/>
              </w:rPr>
              <w:t>数据库地址</w:t>
            </w:r>
            <w:r>
              <w:rPr>
                <w:rFonts w:hint="eastAsia" w:ascii="宋体" w:hAnsi="宋体" w:cs="宋体"/>
                <w:color w:val="000000"/>
                <w:kern w:val="0"/>
                <w:sz w:val="24"/>
              </w:rPr>
              <w:t>等多方面进行调研</w:t>
            </w:r>
            <w:r>
              <w:rPr>
                <w:rFonts w:ascii="宋体" w:hAnsi="宋体" w:cs="宋体"/>
                <w:color w:val="000000"/>
                <w:kern w:val="0"/>
                <w:sz w:val="24"/>
              </w:rPr>
              <w:t>并</w:t>
            </w:r>
            <w:r>
              <w:rPr>
                <w:rFonts w:hint="eastAsia" w:ascii="宋体" w:hAnsi="宋体" w:cs="宋体"/>
                <w:color w:val="000000"/>
                <w:kern w:val="0"/>
                <w:sz w:val="24"/>
              </w:rPr>
              <w:t>获取</w:t>
            </w:r>
            <w:r>
              <w:rPr>
                <w:rFonts w:ascii="宋体" w:hAnsi="宋体" w:cs="宋体"/>
                <w:color w:val="000000"/>
                <w:kern w:val="0"/>
                <w:sz w:val="24"/>
              </w:rPr>
              <w:t>数据库信息</w:t>
            </w:r>
            <w:r>
              <w:rPr>
                <w:rFonts w:hint="eastAsia" w:ascii="宋体" w:hAnsi="宋体" w:cs="宋体"/>
                <w:color w:val="000000"/>
                <w:kern w:val="0"/>
                <w:sz w:val="24"/>
              </w:rPr>
              <w:t>，可使数据源管理功能连接业务系统的数据库，直接读取相关数据结构和内容，并配置数据同步规则即可进行数据同步任务。</w:t>
            </w:r>
            <w:r>
              <w:rPr>
                <w:rFonts w:hint="eastAsia" w:ascii="宋体" w:hAnsi="宋体" w:cs="宋体"/>
                <w:color w:val="000000"/>
                <w:kern w:val="0"/>
                <w:sz w:val="24"/>
              </w:rPr>
              <w:br w:type="textWrapping"/>
            </w:r>
            <w:r>
              <w:rPr>
                <w:rFonts w:hint="eastAsia" w:ascii="宋体" w:hAnsi="宋体" w:cs="宋体"/>
                <w:color w:val="000000"/>
                <w:kern w:val="0"/>
                <w:sz w:val="24"/>
              </w:rPr>
              <w:t>3.基于本地文件的对接方式</w:t>
            </w:r>
            <w:r>
              <w:rPr>
                <w:rFonts w:hint="eastAsia" w:ascii="宋体" w:hAnsi="宋体" w:cs="宋体"/>
                <w:color w:val="000000"/>
                <w:kern w:val="0"/>
                <w:sz w:val="24"/>
              </w:rPr>
              <w:br w:type="textWrapping"/>
            </w:r>
            <w:r>
              <w:rPr>
                <w:rFonts w:hint="eastAsia" w:ascii="宋体" w:hAnsi="宋体" w:cs="宋体"/>
                <w:color w:val="000000"/>
                <w:kern w:val="0"/>
                <w:sz w:val="24"/>
              </w:rPr>
              <w:t>基于数仓已有表结构，下载导入模板后录入数据，直接点击上传文件，即可一键将本地Excel</w:t>
            </w:r>
            <w:r>
              <w:rPr>
                <w:rFonts w:ascii="宋体" w:hAnsi="宋体" w:cs="宋体"/>
                <w:color w:val="000000"/>
                <w:kern w:val="0"/>
                <w:sz w:val="24"/>
              </w:rPr>
              <w:t>、CSV</w:t>
            </w:r>
            <w:r>
              <w:rPr>
                <w:rFonts w:hint="eastAsia" w:ascii="宋体" w:hAnsi="宋体" w:cs="宋体"/>
                <w:color w:val="000000"/>
                <w:kern w:val="0"/>
                <w:sz w:val="24"/>
              </w:rPr>
              <w:t>文件数据导入数仓。</w:t>
            </w:r>
          </w:p>
        </w:tc>
      </w:tr>
      <w:tr w14:paraId="0F2A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7F45E65B">
            <w:pPr>
              <w:widowControl/>
              <w:jc w:val="left"/>
              <w:rPr>
                <w:rFonts w:hint="eastAsia" w:ascii="宋体" w:hAnsi="宋体" w:cs="宋体"/>
                <w:color w:val="000000"/>
                <w:kern w:val="0"/>
                <w:sz w:val="24"/>
              </w:rPr>
            </w:pPr>
          </w:p>
        </w:tc>
        <w:tc>
          <w:tcPr>
            <w:tcW w:w="1573" w:type="dxa"/>
            <w:shd w:val="clear" w:color="auto" w:fill="auto"/>
            <w:vAlign w:val="center"/>
          </w:tcPr>
          <w:p w14:paraId="01D34A50">
            <w:pPr>
              <w:widowControl/>
              <w:jc w:val="left"/>
              <w:rPr>
                <w:rFonts w:hint="eastAsia" w:ascii="宋体" w:hAnsi="宋体" w:cs="宋体"/>
                <w:color w:val="000000"/>
                <w:kern w:val="0"/>
                <w:sz w:val="24"/>
              </w:rPr>
            </w:pPr>
            <w:r>
              <w:rPr>
                <w:rFonts w:hint="eastAsia" w:ascii="宋体" w:hAnsi="宋体" w:cs="宋体"/>
                <w:color w:val="000000"/>
                <w:kern w:val="0"/>
                <w:sz w:val="24"/>
              </w:rPr>
              <w:t>数据接入配置</w:t>
            </w:r>
          </w:p>
        </w:tc>
        <w:tc>
          <w:tcPr>
            <w:tcW w:w="6700" w:type="dxa"/>
            <w:shd w:val="clear" w:color="auto" w:fill="auto"/>
            <w:vAlign w:val="center"/>
          </w:tcPr>
          <w:p w14:paraId="1AAE2EDC">
            <w:pPr>
              <w:widowControl/>
              <w:jc w:val="left"/>
              <w:rPr>
                <w:rFonts w:hint="eastAsia" w:ascii="宋体" w:hAnsi="宋体" w:cs="宋体"/>
                <w:color w:val="000000"/>
                <w:kern w:val="0"/>
                <w:sz w:val="24"/>
              </w:rPr>
            </w:pPr>
            <w:r>
              <w:rPr>
                <w:rFonts w:hint="eastAsia" w:ascii="宋体" w:hAnsi="宋体" w:cs="宋体"/>
                <w:color w:val="000000"/>
                <w:kern w:val="0"/>
                <w:sz w:val="24"/>
              </w:rPr>
              <w:t>1.离线</w:t>
            </w:r>
            <w:r>
              <w:rPr>
                <w:rFonts w:ascii="宋体" w:hAnsi="宋体" w:cs="宋体"/>
                <w:color w:val="000000"/>
                <w:kern w:val="0"/>
                <w:sz w:val="24"/>
              </w:rPr>
              <w:t>同步任务</w:t>
            </w:r>
            <w:r>
              <w:rPr>
                <w:rFonts w:hint="eastAsia" w:ascii="宋体" w:hAnsi="宋体" w:cs="宋体"/>
                <w:color w:val="000000"/>
                <w:kern w:val="0"/>
                <w:sz w:val="24"/>
              </w:rPr>
              <w:br w:type="textWrapping"/>
            </w:r>
            <w:r>
              <w:rPr>
                <w:rFonts w:hint="eastAsia" w:ascii="宋体" w:hAnsi="宋体" w:cs="宋体"/>
                <w:color w:val="000000"/>
                <w:kern w:val="0"/>
                <w:sz w:val="24"/>
              </w:rPr>
              <w:t>对于及时性要求不高的数据，采用离线同步的方式进行数据接入，离线同步数据采用T+1的机制更新数据，即当天创建的数据同步任务，第二天凌晨开始执行任务，数据会在第二天更新。</w:t>
            </w:r>
            <w:r>
              <w:rPr>
                <w:rFonts w:hint="eastAsia" w:ascii="宋体" w:hAnsi="宋体" w:cs="宋体"/>
                <w:color w:val="000000"/>
                <w:kern w:val="0"/>
                <w:sz w:val="24"/>
              </w:rPr>
              <w:br w:type="textWrapping"/>
            </w:r>
            <w:r>
              <w:rPr>
                <w:rFonts w:hint="eastAsia" w:ascii="宋体" w:hAnsi="宋体" w:cs="宋体"/>
                <w:color w:val="000000"/>
                <w:kern w:val="0"/>
                <w:sz w:val="24"/>
              </w:rPr>
              <w:t>2.实时</w:t>
            </w:r>
            <w:r>
              <w:rPr>
                <w:rFonts w:ascii="宋体" w:hAnsi="宋体" w:cs="宋体"/>
                <w:color w:val="000000"/>
                <w:kern w:val="0"/>
                <w:sz w:val="24"/>
              </w:rPr>
              <w:t>同步任务</w:t>
            </w:r>
            <w:r>
              <w:rPr>
                <w:rFonts w:hint="eastAsia" w:ascii="宋体" w:hAnsi="宋体" w:cs="宋体"/>
                <w:color w:val="000000"/>
                <w:kern w:val="0"/>
                <w:sz w:val="24"/>
              </w:rPr>
              <w:br w:type="textWrapping"/>
            </w:r>
            <w:r>
              <w:rPr>
                <w:rFonts w:hint="eastAsia" w:ascii="宋体" w:hAnsi="宋体" w:cs="宋体"/>
                <w:color w:val="000000"/>
                <w:kern w:val="0"/>
                <w:sz w:val="24"/>
              </w:rPr>
              <w:t>对于及时性要求非常高的数据，如：考勤、消费、门禁等应用数据，采用实时同步的方式进行数据接入。实时同步数据会继续实际用户需求来更新数据。</w:t>
            </w:r>
          </w:p>
        </w:tc>
      </w:tr>
      <w:tr w14:paraId="64DA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vAlign w:val="center"/>
          </w:tcPr>
          <w:p w14:paraId="1B37E1BE">
            <w:pPr>
              <w:widowControl/>
              <w:jc w:val="center"/>
              <w:rPr>
                <w:rFonts w:hint="eastAsia" w:ascii="宋体" w:hAnsi="宋体" w:cs="宋体"/>
                <w:color w:val="000000"/>
                <w:kern w:val="0"/>
                <w:sz w:val="24"/>
              </w:rPr>
            </w:pPr>
            <w:r>
              <w:rPr>
                <w:rFonts w:hint="eastAsia" w:ascii="宋体" w:hAnsi="宋体" w:cs="宋体"/>
                <w:color w:val="000000"/>
                <w:kern w:val="0"/>
                <w:sz w:val="24"/>
              </w:rPr>
              <w:t>数据仓库管理</w:t>
            </w:r>
          </w:p>
        </w:tc>
        <w:tc>
          <w:tcPr>
            <w:tcW w:w="1573" w:type="dxa"/>
            <w:shd w:val="clear" w:color="auto" w:fill="auto"/>
            <w:vAlign w:val="center"/>
          </w:tcPr>
          <w:p w14:paraId="323702D8">
            <w:pPr>
              <w:widowControl/>
              <w:jc w:val="left"/>
              <w:rPr>
                <w:rFonts w:hint="eastAsia" w:ascii="宋体" w:hAnsi="宋体" w:cs="宋体"/>
                <w:color w:val="000000"/>
                <w:kern w:val="0"/>
                <w:sz w:val="24"/>
              </w:rPr>
            </w:pPr>
            <w:r>
              <w:rPr>
                <w:rFonts w:hint="eastAsia" w:ascii="宋体" w:hAnsi="宋体" w:cs="宋体"/>
                <w:color w:val="000000"/>
                <w:kern w:val="0"/>
                <w:sz w:val="24"/>
              </w:rPr>
              <w:t>项目管理</w:t>
            </w:r>
          </w:p>
        </w:tc>
        <w:tc>
          <w:tcPr>
            <w:tcW w:w="6700" w:type="dxa"/>
            <w:shd w:val="clear" w:color="auto" w:fill="auto"/>
            <w:vAlign w:val="center"/>
          </w:tcPr>
          <w:p w14:paraId="7268163B">
            <w:pPr>
              <w:widowControl/>
              <w:jc w:val="left"/>
              <w:rPr>
                <w:rFonts w:hint="eastAsia" w:ascii="宋体" w:hAnsi="宋体" w:cs="宋体"/>
                <w:color w:val="000000"/>
                <w:kern w:val="0"/>
                <w:sz w:val="24"/>
              </w:rPr>
            </w:pPr>
            <w:r>
              <w:rPr>
                <w:rFonts w:hint="eastAsia" w:ascii="宋体" w:hAnsi="宋体" w:cs="宋体"/>
                <w:color w:val="000000"/>
                <w:kern w:val="0"/>
                <w:sz w:val="24"/>
              </w:rPr>
              <w:t>1.业务板块</w:t>
            </w:r>
            <w:r>
              <w:rPr>
                <w:rFonts w:hint="eastAsia" w:ascii="宋体" w:hAnsi="宋体" w:cs="宋体"/>
                <w:color w:val="000000"/>
                <w:kern w:val="0"/>
                <w:sz w:val="24"/>
              </w:rPr>
              <w:br w:type="textWrapping"/>
            </w:r>
            <w:r>
              <w:rPr>
                <w:rFonts w:hint="eastAsia" w:ascii="宋体" w:hAnsi="宋体" w:cs="宋体"/>
                <w:color w:val="000000"/>
                <w:kern w:val="0"/>
                <w:sz w:val="24"/>
              </w:rPr>
              <w:t>提供用户对所有业务进行分类管理的功能，实现数据归集前对数据和开发者权限进行分类管理，功能主要包括：</w:t>
            </w:r>
            <w:r>
              <w:rPr>
                <w:rFonts w:hint="eastAsia" w:ascii="宋体" w:hAnsi="宋体" w:cs="宋体"/>
                <w:color w:val="000000"/>
                <w:kern w:val="0"/>
                <w:sz w:val="24"/>
              </w:rPr>
              <w:br w:type="textWrapping"/>
            </w:r>
            <w:r>
              <w:rPr>
                <w:rFonts w:hint="eastAsia" w:ascii="宋体" w:hAnsi="宋体" w:cs="宋体"/>
                <w:color w:val="000000"/>
                <w:kern w:val="0"/>
                <w:sz w:val="24"/>
              </w:rPr>
              <w:t>平台具备新建、修改、删除业务板块功能。</w:t>
            </w:r>
            <w:r>
              <w:rPr>
                <w:rFonts w:hint="eastAsia" w:ascii="宋体" w:hAnsi="宋体" w:cs="宋体"/>
                <w:color w:val="000000"/>
                <w:kern w:val="0"/>
                <w:sz w:val="24"/>
              </w:rPr>
              <w:br w:type="textWrapping"/>
            </w:r>
            <w:r>
              <w:rPr>
                <w:rFonts w:hint="eastAsia" w:ascii="宋体" w:hAnsi="宋体" w:cs="宋体"/>
                <w:color w:val="000000"/>
                <w:kern w:val="0"/>
                <w:sz w:val="24"/>
              </w:rPr>
              <w:t>平台具备对业务板块下数据域的管理，数据域可作为分工的标准，具备关联到相关业务原始库的管理员账号，具备根据场景定义数据域，为未来数据建模服务；平台应具备数据域的新建、修改、删除功能。</w:t>
            </w:r>
            <w:r>
              <w:rPr>
                <w:rFonts w:hint="eastAsia" w:ascii="宋体" w:hAnsi="宋体" w:cs="宋体"/>
                <w:color w:val="000000"/>
                <w:kern w:val="0"/>
                <w:sz w:val="24"/>
              </w:rPr>
              <w:br w:type="textWrapping"/>
            </w:r>
            <w:r>
              <w:rPr>
                <w:rFonts w:hint="eastAsia" w:ascii="宋体" w:hAnsi="宋体" w:cs="宋体"/>
                <w:color w:val="000000"/>
                <w:kern w:val="0"/>
                <w:sz w:val="24"/>
              </w:rPr>
              <w:t>2.项目管理</w:t>
            </w:r>
            <w:r>
              <w:rPr>
                <w:rFonts w:hint="eastAsia" w:ascii="宋体" w:hAnsi="宋体" w:cs="宋体"/>
                <w:color w:val="000000"/>
                <w:kern w:val="0"/>
                <w:sz w:val="24"/>
              </w:rPr>
              <w:br w:type="textWrapping"/>
            </w:r>
            <w:r>
              <w:rPr>
                <w:rFonts w:hint="eastAsia" w:ascii="宋体" w:hAnsi="宋体" w:cs="宋体"/>
                <w:color w:val="000000"/>
                <w:kern w:val="0"/>
                <w:sz w:val="24"/>
              </w:rPr>
              <w:t>基于数据归集需求创建项目，并配置项目协作开发者与权限设置，功能主要包括：</w:t>
            </w:r>
            <w:r>
              <w:rPr>
                <w:rFonts w:hint="eastAsia" w:ascii="宋体" w:hAnsi="宋体" w:cs="宋体"/>
                <w:color w:val="000000"/>
                <w:kern w:val="0"/>
                <w:sz w:val="24"/>
              </w:rPr>
              <w:br w:type="textWrapping"/>
            </w:r>
            <w:r>
              <w:rPr>
                <w:rFonts w:hint="eastAsia" w:ascii="宋体" w:hAnsi="宋体" w:cs="宋体"/>
                <w:color w:val="000000"/>
                <w:kern w:val="0"/>
                <w:sz w:val="24"/>
              </w:rPr>
              <w:t>项目管理：具备项目的新建、编辑、删除等功能；</w:t>
            </w:r>
            <w:r>
              <w:rPr>
                <w:rFonts w:hint="eastAsia" w:ascii="宋体" w:hAnsi="宋体" w:cs="宋体"/>
                <w:color w:val="000000"/>
                <w:kern w:val="0"/>
                <w:sz w:val="24"/>
              </w:rPr>
              <w:br w:type="textWrapping"/>
            </w:r>
            <w:r>
              <w:rPr>
                <w:rFonts w:hint="eastAsia" w:ascii="宋体" w:hAnsi="宋体" w:cs="宋体"/>
                <w:color w:val="000000"/>
                <w:kern w:val="0"/>
                <w:sz w:val="24"/>
              </w:rPr>
              <w:t>成员管理：具备对项目下协作开发者的添加，支持添加第三方开发者、管理员等；</w:t>
            </w:r>
            <w:r>
              <w:rPr>
                <w:rFonts w:hint="eastAsia" w:ascii="宋体" w:hAnsi="宋体" w:cs="宋体"/>
                <w:color w:val="000000"/>
                <w:kern w:val="0"/>
                <w:sz w:val="24"/>
              </w:rPr>
              <w:br w:type="textWrapping"/>
            </w:r>
            <w:r>
              <w:rPr>
                <w:rFonts w:hint="eastAsia" w:ascii="宋体" w:hAnsi="宋体" w:cs="宋体"/>
                <w:color w:val="000000"/>
                <w:kern w:val="0"/>
                <w:sz w:val="24"/>
              </w:rPr>
              <w:t>权限管理：具备对添加成员的权限配置，支持不同角色配置该项目下不同模块的查看、新建、编辑、删除等。</w:t>
            </w:r>
          </w:p>
        </w:tc>
      </w:tr>
      <w:tr w14:paraId="53FF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8EA4B08">
            <w:pPr>
              <w:widowControl/>
              <w:jc w:val="left"/>
              <w:rPr>
                <w:rFonts w:hint="eastAsia" w:ascii="宋体" w:hAnsi="宋体" w:cs="宋体"/>
                <w:color w:val="000000"/>
                <w:kern w:val="0"/>
                <w:sz w:val="24"/>
              </w:rPr>
            </w:pPr>
          </w:p>
        </w:tc>
        <w:tc>
          <w:tcPr>
            <w:tcW w:w="1573" w:type="dxa"/>
            <w:shd w:val="clear" w:color="auto" w:fill="auto"/>
            <w:vAlign w:val="center"/>
          </w:tcPr>
          <w:p w14:paraId="46436E94">
            <w:pPr>
              <w:widowControl/>
              <w:jc w:val="left"/>
              <w:rPr>
                <w:rFonts w:hint="eastAsia" w:ascii="宋体" w:hAnsi="宋体" w:cs="宋体"/>
                <w:color w:val="000000"/>
                <w:kern w:val="0"/>
                <w:sz w:val="24"/>
              </w:rPr>
            </w:pPr>
            <w:r>
              <w:rPr>
                <w:rFonts w:hint="eastAsia" w:ascii="宋体" w:hAnsi="宋体" w:cs="宋体"/>
                <w:color w:val="000000"/>
                <w:kern w:val="0"/>
                <w:sz w:val="24"/>
              </w:rPr>
              <w:t>原始库管理</w:t>
            </w:r>
          </w:p>
        </w:tc>
        <w:tc>
          <w:tcPr>
            <w:tcW w:w="6700" w:type="dxa"/>
            <w:shd w:val="clear" w:color="auto" w:fill="auto"/>
            <w:vAlign w:val="center"/>
          </w:tcPr>
          <w:p w14:paraId="64FF7598">
            <w:pPr>
              <w:widowControl/>
              <w:jc w:val="left"/>
              <w:rPr>
                <w:rFonts w:hint="eastAsia" w:ascii="宋体" w:hAnsi="宋体" w:cs="宋体"/>
                <w:color w:val="000000"/>
                <w:kern w:val="0"/>
                <w:sz w:val="24"/>
              </w:rPr>
            </w:pPr>
            <w:r>
              <w:rPr>
                <w:rFonts w:hint="eastAsia" w:ascii="宋体" w:hAnsi="宋体" w:cs="宋体"/>
                <w:color w:val="000000"/>
                <w:kern w:val="0"/>
                <w:sz w:val="24"/>
              </w:rPr>
              <w:t>1.数据库同步需支持数据源至少包括</w:t>
            </w:r>
            <w:r>
              <w:rPr>
                <w:rFonts w:ascii="宋体" w:hAnsi="宋体" w:cs="宋体"/>
                <w:color w:val="000000"/>
                <w:kern w:val="0"/>
                <w:sz w:val="24"/>
              </w:rPr>
              <w:t>MYSQL</w:t>
            </w:r>
            <w:r>
              <w:rPr>
                <w:rFonts w:hint="eastAsia" w:ascii="宋体" w:hAnsi="宋体" w:cs="宋体"/>
                <w:color w:val="000000"/>
                <w:kern w:val="0"/>
                <w:sz w:val="24"/>
              </w:rPr>
              <w:t>、</w:t>
            </w:r>
            <w:r>
              <w:rPr>
                <w:rFonts w:ascii="宋体" w:hAnsi="宋体" w:cs="宋体"/>
                <w:color w:val="000000"/>
                <w:kern w:val="0"/>
                <w:sz w:val="24"/>
              </w:rPr>
              <w:t>POSTGRESQL</w:t>
            </w:r>
            <w:r>
              <w:rPr>
                <w:rFonts w:hint="eastAsia" w:ascii="宋体" w:hAnsi="宋体" w:cs="宋体"/>
                <w:color w:val="000000"/>
                <w:kern w:val="0"/>
                <w:sz w:val="24"/>
              </w:rPr>
              <w:t>、</w:t>
            </w:r>
            <w:r>
              <w:rPr>
                <w:rFonts w:ascii="宋体" w:hAnsi="宋体" w:cs="宋体"/>
                <w:color w:val="000000"/>
                <w:kern w:val="0"/>
                <w:sz w:val="24"/>
              </w:rPr>
              <w:t>HIVE</w:t>
            </w:r>
            <w:r>
              <w:rPr>
                <w:rFonts w:hint="eastAsia" w:ascii="宋体" w:hAnsi="宋体" w:cs="宋体"/>
                <w:color w:val="000000"/>
                <w:kern w:val="0"/>
                <w:sz w:val="24"/>
              </w:rPr>
              <w:t>、</w:t>
            </w:r>
            <w:r>
              <w:rPr>
                <w:rFonts w:ascii="宋体" w:hAnsi="宋体" w:cs="宋体"/>
                <w:color w:val="000000"/>
                <w:kern w:val="0"/>
                <w:sz w:val="24"/>
              </w:rPr>
              <w:t>SPARK</w:t>
            </w:r>
            <w:r>
              <w:rPr>
                <w:rFonts w:hint="eastAsia" w:ascii="宋体" w:hAnsi="宋体" w:cs="宋体"/>
                <w:color w:val="000000"/>
                <w:kern w:val="0"/>
                <w:sz w:val="24"/>
              </w:rPr>
              <w:t>、</w:t>
            </w:r>
            <w:r>
              <w:rPr>
                <w:rFonts w:ascii="宋体" w:hAnsi="宋体" w:cs="宋体"/>
                <w:color w:val="000000"/>
                <w:kern w:val="0"/>
                <w:sz w:val="24"/>
              </w:rPr>
              <w:t>CLICKHOUSE</w:t>
            </w:r>
            <w:r>
              <w:rPr>
                <w:rFonts w:hint="eastAsia" w:ascii="宋体" w:hAnsi="宋体" w:cs="宋体"/>
                <w:color w:val="000000"/>
                <w:kern w:val="0"/>
                <w:sz w:val="24"/>
              </w:rPr>
              <w:t>、</w:t>
            </w:r>
            <w:r>
              <w:rPr>
                <w:rFonts w:ascii="宋体" w:hAnsi="宋体" w:cs="宋体"/>
                <w:color w:val="000000"/>
                <w:kern w:val="0"/>
                <w:sz w:val="24"/>
              </w:rPr>
              <w:t>ORACLE</w:t>
            </w:r>
            <w:r>
              <w:rPr>
                <w:rFonts w:hint="eastAsia" w:ascii="宋体" w:hAnsi="宋体" w:cs="宋体"/>
                <w:color w:val="000000"/>
                <w:kern w:val="0"/>
                <w:sz w:val="24"/>
              </w:rPr>
              <w:t>、</w:t>
            </w:r>
            <w:r>
              <w:rPr>
                <w:rFonts w:ascii="宋体" w:hAnsi="宋体" w:cs="宋体"/>
                <w:color w:val="000000"/>
                <w:kern w:val="0"/>
                <w:sz w:val="24"/>
              </w:rPr>
              <w:t>SQLSERVER</w:t>
            </w:r>
            <w:r>
              <w:rPr>
                <w:rFonts w:hint="eastAsia" w:ascii="宋体" w:hAnsi="宋体" w:cs="宋体"/>
                <w:color w:val="000000"/>
                <w:kern w:val="0"/>
                <w:sz w:val="24"/>
              </w:rPr>
              <w:t>、</w:t>
            </w:r>
            <w:bookmarkStart w:id="29" w:name="OLE_LINK62"/>
            <w:r>
              <w:rPr>
                <w:rFonts w:ascii="宋体" w:hAnsi="宋体" w:cs="宋体"/>
                <w:color w:val="000000"/>
                <w:kern w:val="0"/>
                <w:sz w:val="24"/>
              </w:rPr>
              <w:t>达梦</w:t>
            </w:r>
            <w:bookmarkEnd w:id="29"/>
            <w:r>
              <w:rPr>
                <w:rFonts w:hint="eastAsia"/>
                <w:sz w:val="24"/>
              </w:rPr>
              <w:t>、人大金仓</w:t>
            </w:r>
            <w:r>
              <w:rPr>
                <w:rFonts w:hint="eastAsia" w:ascii="宋体" w:hAnsi="宋体" w:cs="宋体"/>
                <w:color w:val="000000"/>
                <w:kern w:val="0"/>
                <w:sz w:val="24"/>
              </w:rPr>
              <w:t>、</w:t>
            </w:r>
            <w:r>
              <w:rPr>
                <w:rFonts w:ascii="宋体" w:hAnsi="宋体" w:cs="宋体"/>
                <w:color w:val="000000"/>
                <w:kern w:val="0"/>
                <w:sz w:val="24"/>
              </w:rPr>
              <w:t>OCEANBASE</w:t>
            </w:r>
            <w:r>
              <w:rPr>
                <w:rFonts w:hint="eastAsia" w:ascii="宋体" w:hAnsi="宋体" w:cs="宋体"/>
                <w:color w:val="000000"/>
                <w:kern w:val="0"/>
                <w:sz w:val="24"/>
              </w:rPr>
              <w:t>等几种数据库；</w:t>
            </w:r>
          </w:p>
          <w:p w14:paraId="642F3F5F">
            <w:pPr>
              <w:widowControl/>
              <w:jc w:val="left"/>
              <w:rPr>
                <w:rFonts w:hint="eastAsia" w:ascii="宋体" w:hAnsi="宋体" w:cs="宋体"/>
                <w:color w:val="000000"/>
                <w:kern w:val="0"/>
                <w:sz w:val="24"/>
              </w:rPr>
            </w:pPr>
            <w:r>
              <w:rPr>
                <w:rFonts w:hint="eastAsia" w:ascii="宋体" w:hAnsi="宋体" w:cs="宋体"/>
                <w:color w:val="000000"/>
                <w:kern w:val="0"/>
                <w:sz w:val="24"/>
              </w:rPr>
              <w:t>2.原始库表管理</w:t>
            </w:r>
            <w:r>
              <w:rPr>
                <w:rFonts w:hint="eastAsia" w:ascii="宋体" w:hAnsi="宋体" w:cs="宋体"/>
                <w:color w:val="000000"/>
                <w:kern w:val="0"/>
                <w:sz w:val="24"/>
              </w:rPr>
              <w:br w:type="textWrapping"/>
            </w:r>
            <w:r>
              <w:rPr>
                <w:rFonts w:hint="eastAsia" w:ascii="宋体" w:hAnsi="宋体" w:cs="宋体"/>
                <w:color w:val="000000"/>
                <w:kern w:val="0"/>
                <w:sz w:val="24"/>
              </w:rPr>
              <w:t>提供原始库功能管理功能，具备新建数据表、整库同步、自动生成接入API等功能，功能主要包括：</w:t>
            </w:r>
            <w:r>
              <w:rPr>
                <w:rFonts w:hint="eastAsia" w:ascii="宋体" w:hAnsi="宋体" w:cs="宋体"/>
                <w:color w:val="000000"/>
                <w:kern w:val="0"/>
                <w:sz w:val="24"/>
              </w:rPr>
              <w:br w:type="textWrapping"/>
            </w:r>
            <w:r>
              <w:rPr>
                <w:rFonts w:hint="eastAsia" w:ascii="宋体" w:hAnsi="宋体" w:cs="宋体"/>
                <w:color w:val="000000"/>
                <w:kern w:val="0"/>
                <w:sz w:val="24"/>
              </w:rPr>
              <w:t>1）原始库数据资源目录管理：具备资源目录的新建、编辑、删除等功能，且具备创建多级资源目录；</w:t>
            </w:r>
            <w:r>
              <w:rPr>
                <w:rFonts w:hint="eastAsia" w:ascii="宋体" w:hAnsi="宋体" w:cs="宋体"/>
                <w:color w:val="000000"/>
                <w:kern w:val="0"/>
                <w:sz w:val="24"/>
              </w:rPr>
              <w:br w:type="textWrapping"/>
            </w:r>
            <w:r>
              <w:rPr>
                <w:rFonts w:hint="eastAsia" w:ascii="宋体" w:hAnsi="宋体" w:cs="宋体"/>
                <w:color w:val="000000"/>
                <w:kern w:val="0"/>
                <w:sz w:val="24"/>
              </w:rPr>
              <w:t>2）具备新建原始库数据表功能，功能应具备</w:t>
            </w:r>
            <w:r>
              <w:rPr>
                <w:rFonts w:ascii="宋体" w:hAnsi="宋体" w:cs="宋体"/>
                <w:color w:val="000000"/>
                <w:kern w:val="0"/>
                <w:sz w:val="24"/>
              </w:rPr>
              <w:t>选择</w:t>
            </w:r>
            <w:r>
              <w:rPr>
                <w:rFonts w:hint="eastAsia" w:ascii="宋体" w:hAnsi="宋体" w:cs="宋体"/>
                <w:color w:val="000000"/>
                <w:kern w:val="0"/>
                <w:sz w:val="24"/>
              </w:rPr>
              <w:t>数据域、</w:t>
            </w:r>
            <w:r>
              <w:rPr>
                <w:rFonts w:ascii="宋体" w:hAnsi="宋体" w:cs="宋体"/>
                <w:color w:val="000000"/>
                <w:kern w:val="0"/>
                <w:sz w:val="24"/>
              </w:rPr>
              <w:t>设置所属</w:t>
            </w:r>
            <w:r>
              <w:rPr>
                <w:rFonts w:hint="eastAsia" w:ascii="宋体" w:hAnsi="宋体" w:cs="宋体"/>
                <w:color w:val="000000"/>
                <w:kern w:val="0"/>
                <w:sz w:val="24"/>
              </w:rPr>
              <w:t xml:space="preserve">数据目录，且满足支持表结构配置、表结构导入、关键字段脱敏、关键字段加密等功能； </w:t>
            </w:r>
            <w:r>
              <w:rPr>
                <w:rFonts w:hint="eastAsia" w:ascii="宋体" w:hAnsi="宋体" w:cs="宋体"/>
                <w:color w:val="000000"/>
                <w:kern w:val="0"/>
                <w:sz w:val="24"/>
              </w:rPr>
              <w:br w:type="textWrapping"/>
            </w:r>
            <w:r>
              <w:rPr>
                <w:rFonts w:hint="eastAsia" w:ascii="宋体" w:hAnsi="宋体" w:cs="宋体"/>
                <w:color w:val="000000"/>
                <w:kern w:val="0"/>
                <w:sz w:val="24"/>
              </w:rPr>
              <w:t>3）原始库建表后系统应自动生成数据写入的API接口，且API接口应通过令牌获取，确保数据接口安全。</w:t>
            </w:r>
            <w:r>
              <w:rPr>
                <w:rFonts w:hint="eastAsia" w:ascii="宋体" w:hAnsi="宋体" w:cs="宋体"/>
                <w:color w:val="000000"/>
                <w:kern w:val="0"/>
                <w:sz w:val="24"/>
              </w:rPr>
              <w:br w:type="textWrapping"/>
            </w:r>
            <w:r>
              <w:rPr>
                <w:rFonts w:hint="eastAsia" w:ascii="宋体" w:hAnsi="宋体" w:cs="宋体"/>
                <w:color w:val="000000"/>
                <w:kern w:val="0"/>
                <w:sz w:val="24"/>
              </w:rPr>
              <w:t>3.整库同步功能</w:t>
            </w:r>
            <w:r>
              <w:rPr>
                <w:rFonts w:hint="eastAsia" w:ascii="宋体" w:hAnsi="宋体" w:cs="宋体"/>
                <w:color w:val="000000"/>
                <w:kern w:val="0"/>
                <w:sz w:val="24"/>
              </w:rPr>
              <w:br w:type="textWrapping"/>
            </w:r>
            <w:r>
              <w:rPr>
                <w:rFonts w:hint="eastAsia" w:ascii="宋体" w:hAnsi="宋体" w:cs="宋体"/>
                <w:color w:val="000000"/>
                <w:kern w:val="0"/>
                <w:sz w:val="24"/>
              </w:rPr>
              <w:t>原始库管理应具备选择相应业务板块后批量整库同步功能</w:t>
            </w:r>
          </w:p>
          <w:p w14:paraId="57F3F709">
            <w:pPr>
              <w:widowControl/>
              <w:jc w:val="left"/>
              <w:rPr>
                <w:rFonts w:eastAsiaTheme="minorEastAsia"/>
                <w:b/>
                <w:bCs/>
              </w:rPr>
            </w:pPr>
            <w:r>
              <w:rPr>
                <w:rFonts w:hint="eastAsia" w:ascii="宋体" w:hAnsi="宋体" w:cs="宋体"/>
                <w:color w:val="000000"/>
                <w:kern w:val="0"/>
                <w:sz w:val="24"/>
              </w:rPr>
              <w:t>满足业务库与数据仓或业务库与业务库进行数据同步，功能主要包括：</w:t>
            </w:r>
            <w:r>
              <w:rPr>
                <w:rFonts w:hint="eastAsia" w:ascii="宋体" w:hAnsi="宋体" w:cs="宋体"/>
                <w:color w:val="000000"/>
                <w:kern w:val="0"/>
                <w:sz w:val="24"/>
              </w:rPr>
              <w:br w:type="textWrapping"/>
            </w:r>
            <w:r>
              <w:rPr>
                <w:rFonts w:hint="eastAsia" w:ascii="宋体" w:hAnsi="宋体" w:cs="宋体"/>
                <w:color w:val="000000"/>
                <w:kern w:val="0"/>
                <w:sz w:val="24"/>
              </w:rPr>
              <w:t>1）新建整库数据表：根据</w:t>
            </w:r>
            <w:r>
              <w:rPr>
                <w:rFonts w:ascii="宋体" w:hAnsi="宋体" w:cs="宋体"/>
                <w:color w:val="000000"/>
                <w:kern w:val="0"/>
                <w:sz w:val="24"/>
              </w:rPr>
              <w:t>业务来源库数据表</w:t>
            </w:r>
            <w:r>
              <w:rPr>
                <w:rFonts w:hint="eastAsia" w:ascii="宋体" w:hAnsi="宋体" w:cs="宋体"/>
                <w:color w:val="000000"/>
                <w:kern w:val="0"/>
                <w:sz w:val="24"/>
              </w:rPr>
              <w:t>，具备在原始库一键创建</w:t>
            </w:r>
            <w:r>
              <w:rPr>
                <w:rFonts w:ascii="宋体" w:hAnsi="宋体" w:cs="宋体"/>
                <w:color w:val="000000"/>
                <w:kern w:val="0"/>
                <w:sz w:val="24"/>
              </w:rPr>
              <w:t>目标</w:t>
            </w:r>
            <w:r>
              <w:rPr>
                <w:rFonts w:hint="eastAsia" w:ascii="宋体" w:hAnsi="宋体" w:cs="宋体"/>
                <w:color w:val="000000"/>
                <w:kern w:val="0"/>
                <w:sz w:val="24"/>
              </w:rPr>
              <w:t>表；通过配置各类型来源数据与目标数据实现表结构同步，并支持</w:t>
            </w:r>
            <w:r>
              <w:rPr>
                <w:rFonts w:ascii="宋体" w:hAnsi="宋体" w:cs="宋体"/>
                <w:color w:val="000000"/>
                <w:kern w:val="0"/>
                <w:sz w:val="24"/>
              </w:rPr>
              <w:t>选择</w:t>
            </w:r>
            <w:r>
              <w:rPr>
                <w:rFonts w:hint="eastAsia" w:ascii="宋体" w:hAnsi="宋体" w:cs="宋体"/>
                <w:color w:val="000000"/>
                <w:kern w:val="0"/>
                <w:sz w:val="24"/>
              </w:rPr>
              <w:t>全量表或部分表同步；满足</w:t>
            </w:r>
            <w:r>
              <w:rPr>
                <w:rFonts w:ascii="宋体" w:hAnsi="宋体" w:cs="宋体"/>
                <w:color w:val="000000"/>
                <w:kern w:val="0"/>
                <w:sz w:val="24"/>
              </w:rPr>
              <w:t>来源</w:t>
            </w:r>
            <w:r>
              <w:rPr>
                <w:rFonts w:hint="eastAsia" w:ascii="宋体" w:hAnsi="宋体" w:cs="宋体"/>
                <w:color w:val="000000"/>
                <w:kern w:val="0"/>
                <w:sz w:val="24"/>
              </w:rPr>
              <w:t>库与数据</w:t>
            </w:r>
            <w:r>
              <w:rPr>
                <w:rFonts w:ascii="宋体" w:hAnsi="宋体" w:cs="宋体"/>
                <w:color w:val="000000"/>
                <w:kern w:val="0"/>
                <w:sz w:val="24"/>
              </w:rPr>
              <w:t>中台</w:t>
            </w:r>
            <w:r>
              <w:rPr>
                <w:rFonts w:hint="eastAsia" w:ascii="宋体" w:hAnsi="宋体" w:cs="宋体"/>
                <w:color w:val="000000"/>
                <w:kern w:val="0"/>
                <w:sz w:val="24"/>
              </w:rPr>
              <w:t>或</w:t>
            </w:r>
            <w:r>
              <w:rPr>
                <w:rFonts w:ascii="宋体" w:hAnsi="宋体" w:cs="宋体"/>
                <w:color w:val="000000"/>
                <w:kern w:val="0"/>
                <w:sz w:val="24"/>
              </w:rPr>
              <w:t>来源</w:t>
            </w:r>
            <w:r>
              <w:rPr>
                <w:rFonts w:hint="eastAsia" w:ascii="宋体" w:hAnsi="宋体" w:cs="宋体"/>
                <w:color w:val="000000"/>
                <w:kern w:val="0"/>
                <w:sz w:val="24"/>
              </w:rPr>
              <w:t>库与</w:t>
            </w:r>
            <w:r>
              <w:rPr>
                <w:rFonts w:ascii="宋体" w:hAnsi="宋体" w:cs="宋体"/>
                <w:color w:val="000000"/>
                <w:kern w:val="0"/>
                <w:sz w:val="24"/>
              </w:rPr>
              <w:t>来源</w:t>
            </w:r>
            <w:r>
              <w:rPr>
                <w:rFonts w:hint="eastAsia" w:ascii="宋体" w:hAnsi="宋体" w:cs="宋体"/>
                <w:color w:val="000000"/>
                <w:kern w:val="0"/>
                <w:sz w:val="24"/>
              </w:rPr>
              <w:t>库进行数据同步。</w:t>
            </w:r>
            <w:r>
              <w:rPr>
                <w:rFonts w:hint="eastAsia" w:ascii="宋体" w:hAnsi="宋体" w:cs="宋体"/>
                <w:color w:val="000000"/>
                <w:kern w:val="0"/>
                <w:sz w:val="24"/>
              </w:rPr>
              <w:br w:type="textWrapping"/>
            </w:r>
            <w:r>
              <w:rPr>
                <w:rFonts w:hint="eastAsia" w:ascii="宋体" w:hAnsi="宋体" w:cs="宋体"/>
                <w:color w:val="000000"/>
                <w:kern w:val="0"/>
                <w:sz w:val="24"/>
              </w:rPr>
              <w:t>2）数据同步规则应具备选择是否自动删除同名表、选择</w:t>
            </w:r>
            <w:r>
              <w:rPr>
                <w:rFonts w:ascii="宋体" w:hAnsi="宋体" w:cs="宋体"/>
                <w:color w:val="000000"/>
                <w:kern w:val="0"/>
                <w:sz w:val="24"/>
              </w:rPr>
              <w:t>每日</w:t>
            </w:r>
            <w:r>
              <w:rPr>
                <w:rFonts w:hint="eastAsia" w:ascii="宋体" w:hAnsi="宋体" w:cs="宋体"/>
                <w:color w:val="000000"/>
                <w:kern w:val="0"/>
                <w:sz w:val="24"/>
              </w:rPr>
              <w:t>全量或</w:t>
            </w:r>
            <w:r>
              <w:rPr>
                <w:rFonts w:ascii="宋体" w:hAnsi="宋体" w:cs="宋体"/>
                <w:color w:val="000000"/>
                <w:kern w:val="0"/>
                <w:sz w:val="24"/>
              </w:rPr>
              <w:t>每日</w:t>
            </w:r>
            <w:r>
              <w:rPr>
                <w:rFonts w:hint="eastAsia" w:ascii="宋体" w:hAnsi="宋体" w:cs="宋体"/>
                <w:color w:val="000000"/>
                <w:kern w:val="0"/>
                <w:sz w:val="24"/>
              </w:rPr>
              <w:t>增量</w:t>
            </w:r>
            <w:r>
              <w:rPr>
                <w:rFonts w:ascii="宋体" w:hAnsi="宋体" w:cs="宋体"/>
                <w:color w:val="000000"/>
                <w:kern w:val="0"/>
                <w:sz w:val="24"/>
              </w:rPr>
              <w:t>的</w:t>
            </w:r>
            <w:r>
              <w:rPr>
                <w:rFonts w:hint="eastAsia" w:ascii="宋体" w:hAnsi="宋体" w:cs="宋体"/>
                <w:color w:val="000000"/>
                <w:kern w:val="0"/>
                <w:sz w:val="24"/>
              </w:rPr>
              <w:t>同步方式，</w:t>
            </w:r>
            <w:r>
              <w:rPr>
                <w:rFonts w:ascii="宋体" w:hAnsi="宋体" w:cs="宋体"/>
                <w:color w:val="000000"/>
                <w:kern w:val="0"/>
                <w:sz w:val="24"/>
              </w:rPr>
              <w:t>每日全量或者分批上传的并发配置</w:t>
            </w:r>
            <w:r>
              <w:rPr>
                <w:rFonts w:hint="eastAsia" w:ascii="宋体" w:hAnsi="宋体" w:cs="宋体"/>
                <w:color w:val="000000"/>
                <w:kern w:val="0"/>
                <w:sz w:val="24"/>
              </w:rPr>
              <w:t>规则</w:t>
            </w:r>
            <w:r>
              <w:rPr>
                <w:rFonts w:ascii="宋体" w:hAnsi="宋体" w:cs="宋体"/>
                <w:color w:val="000000"/>
                <w:kern w:val="0"/>
                <w:sz w:val="24"/>
              </w:rPr>
              <w:t>，</w:t>
            </w:r>
            <w:r>
              <w:rPr>
                <w:rFonts w:hint="eastAsia" w:ascii="宋体" w:hAnsi="宋体" w:cs="宋体"/>
                <w:color w:val="000000"/>
                <w:kern w:val="0"/>
                <w:sz w:val="24"/>
              </w:rPr>
              <w:t>配置</w:t>
            </w:r>
            <w:r>
              <w:rPr>
                <w:rFonts w:ascii="宋体" w:hAnsi="宋体" w:cs="宋体"/>
                <w:color w:val="000000"/>
                <w:kern w:val="0"/>
                <w:sz w:val="24"/>
              </w:rPr>
              <w:t>数据同步</w:t>
            </w:r>
            <w:r>
              <w:rPr>
                <w:rFonts w:hint="eastAsia" w:ascii="宋体" w:hAnsi="宋体" w:cs="宋体"/>
                <w:color w:val="000000"/>
                <w:kern w:val="0"/>
                <w:sz w:val="24"/>
              </w:rPr>
              <w:t>。</w:t>
            </w:r>
          </w:p>
        </w:tc>
      </w:tr>
      <w:tr w14:paraId="3151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B34C5F3">
            <w:pPr>
              <w:widowControl/>
              <w:jc w:val="left"/>
              <w:rPr>
                <w:rFonts w:hint="eastAsia" w:ascii="宋体" w:hAnsi="宋体" w:cs="宋体"/>
                <w:color w:val="000000"/>
                <w:kern w:val="0"/>
                <w:sz w:val="24"/>
              </w:rPr>
            </w:pPr>
          </w:p>
        </w:tc>
        <w:tc>
          <w:tcPr>
            <w:tcW w:w="1573" w:type="dxa"/>
            <w:shd w:val="clear" w:color="auto" w:fill="auto"/>
            <w:vAlign w:val="center"/>
          </w:tcPr>
          <w:p w14:paraId="521DD64A">
            <w:pPr>
              <w:widowControl/>
              <w:jc w:val="left"/>
              <w:rPr>
                <w:rFonts w:hint="eastAsia" w:ascii="宋体" w:hAnsi="宋体" w:cs="宋体"/>
                <w:color w:val="000000"/>
                <w:kern w:val="0"/>
                <w:sz w:val="24"/>
              </w:rPr>
            </w:pPr>
            <w:r>
              <w:rPr>
                <w:rFonts w:hint="eastAsia" w:ascii="宋体" w:hAnsi="宋体" w:cs="宋体"/>
                <w:color w:val="000000"/>
                <w:kern w:val="0"/>
                <w:sz w:val="24"/>
              </w:rPr>
              <w:t>标准库管理</w:t>
            </w:r>
          </w:p>
        </w:tc>
        <w:tc>
          <w:tcPr>
            <w:tcW w:w="6700" w:type="dxa"/>
            <w:shd w:val="clear" w:color="auto" w:fill="auto"/>
            <w:vAlign w:val="center"/>
          </w:tcPr>
          <w:p w14:paraId="7CF79EC5">
            <w:pPr>
              <w:widowControl/>
              <w:jc w:val="left"/>
              <w:rPr>
                <w:rFonts w:hint="eastAsia" w:ascii="宋体" w:hAnsi="宋体" w:cs="宋体"/>
                <w:b/>
                <w:bCs/>
              </w:rPr>
            </w:pPr>
            <w:r>
              <w:rPr>
                <w:rFonts w:hint="eastAsia" w:ascii="宋体" w:hAnsi="宋体" w:cs="宋体"/>
                <w:color w:val="000000"/>
                <w:kern w:val="0"/>
                <w:sz w:val="24"/>
              </w:rPr>
              <w:t>1.标准库表管理</w:t>
            </w:r>
            <w:r>
              <w:rPr>
                <w:rFonts w:hint="eastAsia" w:ascii="宋体" w:hAnsi="宋体" w:cs="宋体"/>
                <w:color w:val="000000"/>
                <w:kern w:val="0"/>
                <w:sz w:val="24"/>
              </w:rPr>
              <w:br w:type="textWrapping"/>
            </w:r>
            <w:r>
              <w:rPr>
                <w:rFonts w:hint="eastAsia" w:ascii="宋体" w:hAnsi="宋体" w:cs="宋体"/>
                <w:color w:val="000000"/>
                <w:kern w:val="0"/>
                <w:sz w:val="24"/>
              </w:rPr>
              <w:t>标准库功能管理应具备新建数据表、导出</w:t>
            </w:r>
            <w:r>
              <w:rPr>
                <w:rFonts w:ascii="宋体" w:hAnsi="宋体" w:cs="宋体"/>
                <w:color w:val="000000"/>
                <w:kern w:val="0"/>
                <w:sz w:val="24"/>
              </w:rPr>
              <w:t>数据</w:t>
            </w:r>
            <w:r>
              <w:rPr>
                <w:rFonts w:hint="eastAsia" w:ascii="宋体" w:hAnsi="宋体" w:cs="宋体"/>
                <w:color w:val="000000"/>
                <w:kern w:val="0"/>
                <w:sz w:val="24"/>
              </w:rPr>
              <w:t>（管理员账号）等功能：</w:t>
            </w:r>
            <w:r>
              <w:rPr>
                <w:rFonts w:hint="eastAsia" w:ascii="宋体" w:hAnsi="宋体" w:cs="宋体"/>
                <w:color w:val="000000"/>
                <w:kern w:val="0"/>
                <w:sz w:val="24"/>
              </w:rPr>
              <w:br w:type="textWrapping"/>
            </w:r>
            <w:r>
              <w:rPr>
                <w:rFonts w:hint="eastAsia" w:ascii="宋体" w:hAnsi="宋体" w:cs="宋体"/>
                <w:color w:val="000000"/>
                <w:kern w:val="0"/>
                <w:sz w:val="24"/>
              </w:rPr>
              <w:t>1）标准库数据资源目录管理：具备资源目录的新建、编辑、删除等功能，且具备创建多级资源目录；</w:t>
            </w:r>
            <w:r>
              <w:rPr>
                <w:rFonts w:hint="eastAsia" w:ascii="宋体" w:hAnsi="宋体" w:cs="宋体"/>
                <w:color w:val="000000"/>
                <w:kern w:val="0"/>
                <w:sz w:val="24"/>
              </w:rPr>
              <w:br w:type="textWrapping"/>
            </w:r>
            <w:r>
              <w:rPr>
                <w:rFonts w:hint="eastAsia" w:ascii="宋体" w:hAnsi="宋体" w:cs="宋体"/>
                <w:color w:val="000000"/>
                <w:kern w:val="0"/>
                <w:sz w:val="24"/>
              </w:rPr>
              <w:t>2）具备选新建标准库数据表功能；功能应具备</w:t>
            </w:r>
            <w:r>
              <w:rPr>
                <w:rFonts w:ascii="宋体" w:hAnsi="宋体" w:cs="宋体"/>
                <w:color w:val="000000"/>
                <w:kern w:val="0"/>
                <w:sz w:val="24"/>
              </w:rPr>
              <w:t>选择</w:t>
            </w:r>
            <w:r>
              <w:rPr>
                <w:rFonts w:hint="eastAsia" w:ascii="宋体" w:hAnsi="宋体" w:cs="宋体"/>
                <w:color w:val="000000"/>
                <w:kern w:val="0"/>
                <w:sz w:val="24"/>
              </w:rPr>
              <w:t>数据域、</w:t>
            </w:r>
            <w:r>
              <w:rPr>
                <w:rFonts w:ascii="宋体" w:hAnsi="宋体" w:cs="宋体"/>
                <w:color w:val="000000"/>
                <w:kern w:val="0"/>
                <w:sz w:val="24"/>
              </w:rPr>
              <w:t>选择</w:t>
            </w:r>
            <w:r>
              <w:rPr>
                <w:rFonts w:hint="eastAsia" w:ascii="宋体" w:hAnsi="宋体" w:cs="宋体"/>
                <w:color w:val="000000"/>
                <w:kern w:val="0"/>
                <w:sz w:val="24"/>
              </w:rPr>
              <w:t>数据</w:t>
            </w:r>
            <w:r>
              <w:rPr>
                <w:rFonts w:ascii="宋体" w:hAnsi="宋体" w:cs="宋体"/>
                <w:color w:val="000000"/>
                <w:kern w:val="0"/>
                <w:sz w:val="24"/>
              </w:rPr>
              <w:t>所属</w:t>
            </w:r>
            <w:r>
              <w:rPr>
                <w:rFonts w:hint="eastAsia" w:ascii="宋体" w:hAnsi="宋体" w:cs="宋体"/>
                <w:color w:val="000000"/>
                <w:kern w:val="0"/>
                <w:sz w:val="24"/>
              </w:rPr>
              <w:t xml:space="preserve">目录，且支持表结构配置、可自定义关键字段脱敏、关键字段加密等功能； </w:t>
            </w:r>
            <w:r>
              <w:rPr>
                <w:rFonts w:hint="eastAsia" w:ascii="宋体" w:hAnsi="宋体" w:cs="宋体"/>
                <w:color w:val="000000"/>
                <w:kern w:val="0"/>
                <w:sz w:val="24"/>
              </w:rPr>
              <w:br w:type="textWrapping"/>
            </w:r>
            <w:r>
              <w:rPr>
                <w:rFonts w:hint="eastAsia" w:ascii="宋体" w:hAnsi="宋体" w:cs="宋体"/>
                <w:color w:val="000000"/>
                <w:kern w:val="0"/>
                <w:sz w:val="24"/>
              </w:rPr>
              <w:t>3）表结构配置具备从原始库选择多表多字段进行</w:t>
            </w:r>
            <w:r>
              <w:rPr>
                <w:rFonts w:ascii="宋体" w:hAnsi="宋体" w:cs="宋体"/>
                <w:color w:val="000000"/>
                <w:kern w:val="0"/>
                <w:sz w:val="24"/>
              </w:rPr>
              <w:t>创建</w:t>
            </w:r>
            <w:r>
              <w:rPr>
                <w:rFonts w:hint="eastAsia" w:ascii="宋体" w:hAnsi="宋体" w:cs="宋体"/>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4）标准库管理具备数据血缘查看功能，查看表血缘、字段血缘；</w:t>
            </w:r>
            <w:r>
              <w:rPr>
                <w:rFonts w:hint="eastAsia" w:ascii="宋体" w:hAnsi="宋体" w:cs="宋体"/>
                <w:color w:val="000000"/>
                <w:kern w:val="0"/>
                <w:sz w:val="24"/>
              </w:rPr>
              <w:br w:type="textWrapping"/>
            </w:r>
            <w:r>
              <w:rPr>
                <w:rFonts w:hint="eastAsia" w:ascii="宋体" w:hAnsi="宋体" w:cs="宋体"/>
                <w:color w:val="000000"/>
                <w:kern w:val="0"/>
                <w:sz w:val="24"/>
              </w:rPr>
              <w:t>5）标准库管理具备数据预览功能；</w:t>
            </w:r>
            <w:r>
              <w:rPr>
                <w:rFonts w:hint="eastAsia" w:ascii="宋体" w:hAnsi="宋体" w:cs="宋体"/>
                <w:color w:val="000000"/>
                <w:kern w:val="0"/>
                <w:sz w:val="24"/>
              </w:rPr>
              <w:br w:type="textWrapping"/>
            </w:r>
            <w:r>
              <w:rPr>
                <w:rFonts w:hint="eastAsia" w:ascii="宋体" w:hAnsi="宋体" w:cs="宋体"/>
                <w:color w:val="000000"/>
                <w:kern w:val="0"/>
                <w:sz w:val="24"/>
              </w:rPr>
              <w:t>6）标准库管理具备操作记录查询功能，可查看操作人、操作时间、操作内容。</w:t>
            </w:r>
            <w:r>
              <w:rPr>
                <w:rFonts w:hint="eastAsia" w:ascii="宋体" w:hAnsi="宋体" w:cs="宋体"/>
                <w:color w:val="000000"/>
                <w:kern w:val="0"/>
                <w:sz w:val="24"/>
              </w:rPr>
              <w:br w:type="textWrapping"/>
            </w:r>
            <w:r>
              <w:rPr>
                <w:rFonts w:hint="eastAsia" w:ascii="宋体" w:hAnsi="宋体" w:cs="宋体"/>
                <w:color w:val="000000"/>
                <w:kern w:val="0"/>
                <w:sz w:val="24"/>
              </w:rPr>
              <w:t>2.标准引用建表</w:t>
            </w:r>
            <w:r>
              <w:rPr>
                <w:rFonts w:hint="eastAsia" w:ascii="宋体" w:hAnsi="宋体" w:cs="宋体"/>
                <w:color w:val="000000"/>
                <w:kern w:val="0"/>
                <w:sz w:val="24"/>
              </w:rPr>
              <w:br w:type="textWrapping"/>
            </w:r>
            <w:r>
              <w:rPr>
                <w:rFonts w:hint="eastAsia" w:ascii="宋体" w:hAnsi="宋体" w:cs="宋体"/>
                <w:color w:val="000000"/>
                <w:kern w:val="0"/>
                <w:sz w:val="24"/>
              </w:rPr>
              <w:t>创建标准库表机构时，可通过可视化界面引用相关模型标准、字段标准等信息。</w:t>
            </w:r>
          </w:p>
        </w:tc>
      </w:tr>
      <w:tr w14:paraId="374F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EE0C27F">
            <w:pPr>
              <w:widowControl/>
              <w:jc w:val="left"/>
              <w:rPr>
                <w:rFonts w:hint="eastAsia" w:ascii="宋体" w:hAnsi="宋体" w:cs="宋体"/>
                <w:color w:val="000000"/>
                <w:kern w:val="0"/>
                <w:sz w:val="24"/>
              </w:rPr>
            </w:pPr>
          </w:p>
        </w:tc>
        <w:tc>
          <w:tcPr>
            <w:tcW w:w="1573" w:type="dxa"/>
            <w:shd w:val="clear" w:color="auto" w:fill="auto"/>
            <w:vAlign w:val="center"/>
          </w:tcPr>
          <w:p w14:paraId="49194471">
            <w:pPr>
              <w:widowControl/>
              <w:jc w:val="left"/>
              <w:rPr>
                <w:rFonts w:hint="eastAsia" w:ascii="宋体" w:hAnsi="宋体" w:cs="宋体"/>
                <w:color w:val="000000"/>
                <w:kern w:val="0"/>
                <w:sz w:val="24"/>
              </w:rPr>
            </w:pPr>
            <w:r>
              <w:rPr>
                <w:rFonts w:hint="eastAsia" w:ascii="宋体" w:hAnsi="宋体" w:cs="宋体"/>
                <w:color w:val="000000"/>
                <w:kern w:val="0"/>
                <w:sz w:val="24"/>
              </w:rPr>
              <w:t>主题库管理</w:t>
            </w:r>
          </w:p>
        </w:tc>
        <w:tc>
          <w:tcPr>
            <w:tcW w:w="6700" w:type="dxa"/>
            <w:shd w:val="clear" w:color="auto" w:fill="auto"/>
            <w:vAlign w:val="center"/>
          </w:tcPr>
          <w:p w14:paraId="6F941BE9">
            <w:pPr>
              <w:widowControl/>
              <w:jc w:val="left"/>
              <w:rPr>
                <w:rFonts w:hint="eastAsia" w:ascii="宋体" w:hAnsi="宋体" w:cs="宋体"/>
                <w:color w:val="000000"/>
                <w:kern w:val="0"/>
                <w:sz w:val="24"/>
              </w:rPr>
            </w:pPr>
            <w:r>
              <w:rPr>
                <w:rFonts w:hint="eastAsia" w:ascii="宋体" w:hAnsi="宋体" w:cs="宋体"/>
                <w:color w:val="000000"/>
                <w:kern w:val="0"/>
                <w:sz w:val="24"/>
              </w:rPr>
              <w:t>1.主题库表管理</w:t>
            </w:r>
            <w:r>
              <w:rPr>
                <w:rFonts w:hint="eastAsia" w:ascii="宋体" w:hAnsi="宋体" w:cs="宋体"/>
                <w:color w:val="000000"/>
                <w:kern w:val="0"/>
                <w:sz w:val="24"/>
              </w:rPr>
              <w:br w:type="textWrapping"/>
            </w:r>
            <w:r>
              <w:rPr>
                <w:rFonts w:hint="eastAsia" w:ascii="宋体" w:hAnsi="宋体" w:cs="宋体"/>
                <w:color w:val="000000"/>
                <w:kern w:val="0"/>
                <w:sz w:val="24"/>
              </w:rPr>
              <w:t>1）主题库管理具备新建数据表、导出</w:t>
            </w:r>
            <w:r>
              <w:rPr>
                <w:rFonts w:ascii="宋体" w:hAnsi="宋体" w:cs="宋体"/>
                <w:color w:val="000000"/>
                <w:kern w:val="0"/>
                <w:sz w:val="24"/>
              </w:rPr>
              <w:t>数据</w:t>
            </w:r>
            <w:r>
              <w:rPr>
                <w:rFonts w:hint="eastAsia" w:ascii="宋体" w:hAnsi="宋体" w:cs="宋体"/>
                <w:color w:val="000000"/>
                <w:kern w:val="0"/>
                <w:sz w:val="24"/>
              </w:rPr>
              <w:t>等功能；</w:t>
            </w:r>
            <w:r>
              <w:rPr>
                <w:rFonts w:hint="eastAsia" w:ascii="宋体" w:hAnsi="宋体" w:cs="宋体"/>
                <w:color w:val="000000"/>
                <w:kern w:val="0"/>
                <w:sz w:val="24"/>
              </w:rPr>
              <w:br w:type="textWrapping"/>
            </w:r>
            <w:r>
              <w:rPr>
                <w:rFonts w:hint="eastAsia" w:ascii="宋体" w:hAnsi="宋体" w:cs="宋体"/>
                <w:color w:val="000000"/>
                <w:kern w:val="0"/>
                <w:sz w:val="24"/>
              </w:rPr>
              <w:t>2）具备资源目录的新建、编辑、删除等功能，且具备创建多级资源目录；</w:t>
            </w:r>
            <w:r>
              <w:rPr>
                <w:rFonts w:hint="eastAsia" w:ascii="宋体" w:hAnsi="宋体" w:cs="宋体"/>
                <w:color w:val="000000"/>
                <w:kern w:val="0"/>
                <w:sz w:val="24"/>
              </w:rPr>
              <w:br w:type="textWrapping"/>
            </w:r>
            <w:r>
              <w:rPr>
                <w:rFonts w:hint="eastAsia" w:ascii="宋体" w:hAnsi="宋体" w:cs="宋体"/>
                <w:color w:val="000000"/>
                <w:kern w:val="0"/>
                <w:sz w:val="24"/>
              </w:rPr>
              <w:t>3）具备新建主题库数据表功能，能够无限制的建表；功能应</w:t>
            </w:r>
            <w:r>
              <w:rPr>
                <w:rFonts w:ascii="宋体" w:hAnsi="宋体" w:cs="宋体"/>
                <w:color w:val="000000"/>
                <w:kern w:val="0"/>
                <w:sz w:val="24"/>
              </w:rPr>
              <w:t>具备选择</w:t>
            </w:r>
            <w:r>
              <w:rPr>
                <w:rFonts w:hint="eastAsia" w:ascii="宋体" w:hAnsi="宋体" w:cs="宋体"/>
                <w:color w:val="000000"/>
                <w:kern w:val="0"/>
                <w:sz w:val="24"/>
              </w:rPr>
              <w:t>数据域、</w:t>
            </w:r>
            <w:r>
              <w:rPr>
                <w:rFonts w:ascii="宋体" w:hAnsi="宋体" w:cs="宋体"/>
                <w:color w:val="000000"/>
                <w:kern w:val="0"/>
                <w:sz w:val="24"/>
              </w:rPr>
              <w:t>设置所属</w:t>
            </w:r>
            <w:r>
              <w:rPr>
                <w:rFonts w:hint="eastAsia" w:ascii="宋体" w:hAnsi="宋体" w:cs="宋体"/>
                <w:color w:val="000000"/>
                <w:kern w:val="0"/>
                <w:sz w:val="24"/>
              </w:rPr>
              <w:t xml:space="preserve">目录，且支持表结构配置、关键字段脱敏、关键字段加密等功能； </w:t>
            </w:r>
            <w:r>
              <w:rPr>
                <w:rFonts w:hint="eastAsia" w:ascii="宋体" w:hAnsi="宋体" w:cs="宋体"/>
                <w:color w:val="000000"/>
                <w:kern w:val="0"/>
                <w:sz w:val="24"/>
              </w:rPr>
              <w:br w:type="textWrapping"/>
            </w:r>
            <w:r>
              <w:rPr>
                <w:rFonts w:hint="eastAsia" w:ascii="宋体" w:hAnsi="宋体" w:cs="宋体"/>
                <w:color w:val="000000"/>
                <w:kern w:val="0"/>
                <w:sz w:val="24"/>
              </w:rPr>
              <w:t>4）表结构配置具备从</w:t>
            </w:r>
            <w:r>
              <w:rPr>
                <w:rFonts w:ascii="宋体" w:hAnsi="宋体" w:cs="宋体"/>
                <w:color w:val="000000"/>
                <w:kern w:val="0"/>
                <w:sz w:val="24"/>
              </w:rPr>
              <w:t>标准</w:t>
            </w:r>
            <w:r>
              <w:rPr>
                <w:rFonts w:hint="eastAsia" w:ascii="宋体" w:hAnsi="宋体" w:cs="宋体"/>
                <w:color w:val="000000"/>
                <w:kern w:val="0"/>
                <w:sz w:val="24"/>
              </w:rPr>
              <w:t>库选择多表多字段进行</w:t>
            </w:r>
            <w:r>
              <w:rPr>
                <w:rFonts w:ascii="宋体" w:hAnsi="宋体" w:cs="宋体"/>
                <w:color w:val="000000"/>
                <w:kern w:val="0"/>
                <w:sz w:val="24"/>
              </w:rPr>
              <w:t>创建</w:t>
            </w:r>
            <w:r>
              <w:rPr>
                <w:rFonts w:hint="eastAsia" w:ascii="宋体" w:hAnsi="宋体" w:cs="宋体"/>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5）主题库管理具备数据血缘查看功能，查看表血缘、字段血缘；</w:t>
            </w:r>
            <w:r>
              <w:rPr>
                <w:rFonts w:hint="eastAsia" w:ascii="宋体" w:hAnsi="宋体" w:cs="宋体"/>
                <w:color w:val="000000"/>
                <w:kern w:val="0"/>
                <w:sz w:val="24"/>
              </w:rPr>
              <w:br w:type="textWrapping"/>
            </w:r>
            <w:r>
              <w:rPr>
                <w:rFonts w:hint="eastAsia" w:ascii="宋体" w:hAnsi="宋体" w:cs="宋体"/>
                <w:color w:val="000000"/>
                <w:kern w:val="0"/>
                <w:sz w:val="24"/>
              </w:rPr>
              <w:t>6）主题库管理具备数据预览功能；</w:t>
            </w:r>
            <w:r>
              <w:rPr>
                <w:rFonts w:hint="eastAsia" w:ascii="宋体" w:hAnsi="宋体" w:cs="宋体"/>
                <w:color w:val="000000"/>
                <w:kern w:val="0"/>
                <w:sz w:val="24"/>
              </w:rPr>
              <w:br w:type="textWrapping"/>
            </w:r>
            <w:r>
              <w:rPr>
                <w:rFonts w:hint="eastAsia" w:ascii="宋体" w:hAnsi="宋体" w:cs="宋体"/>
                <w:color w:val="000000"/>
                <w:kern w:val="0"/>
                <w:sz w:val="24"/>
              </w:rPr>
              <w:t>7）主题库管理具备操作记录查询功能，可查看操作人、操作时间、操作内容。</w:t>
            </w:r>
          </w:p>
          <w:p w14:paraId="47D6F83E">
            <w:pPr>
              <w:widowControl/>
              <w:jc w:val="left"/>
              <w:rPr>
                <w:b/>
                <w:bCs/>
              </w:rPr>
            </w:pPr>
            <w:r>
              <w:rPr>
                <w:rFonts w:hint="eastAsia" w:ascii="宋体" w:hAnsi="宋体" w:cs="宋体"/>
                <w:color w:val="000000"/>
                <w:kern w:val="0"/>
                <w:sz w:val="24"/>
              </w:rPr>
              <w:t xml:space="preserve">8）数据查询功能支持类似于excel的模式进行高级搜索，便于利用； </w:t>
            </w:r>
            <w:r>
              <w:rPr>
                <w:rFonts w:hint="eastAsia" w:ascii="宋体" w:hAnsi="宋体" w:cs="宋体"/>
                <w:color w:val="000000"/>
                <w:kern w:val="0"/>
                <w:sz w:val="24"/>
              </w:rPr>
              <w:br w:type="textWrapping"/>
            </w:r>
            <w:r>
              <w:rPr>
                <w:rFonts w:hint="eastAsia" w:ascii="宋体" w:hAnsi="宋体" w:cs="宋体"/>
                <w:color w:val="000000"/>
                <w:kern w:val="0"/>
                <w:sz w:val="24"/>
              </w:rPr>
              <w:t>2.快速开发管理</w:t>
            </w:r>
            <w:r>
              <w:rPr>
                <w:rFonts w:hint="eastAsia" w:ascii="宋体" w:hAnsi="宋体" w:cs="宋体"/>
                <w:color w:val="000000"/>
                <w:kern w:val="0"/>
                <w:sz w:val="24"/>
              </w:rPr>
              <w:br w:type="textWrapping"/>
            </w:r>
            <w:r>
              <w:rPr>
                <w:rFonts w:hint="eastAsia" w:ascii="宋体" w:hAnsi="宋体" w:cs="宋体"/>
                <w:color w:val="000000"/>
                <w:kern w:val="0"/>
                <w:sz w:val="24"/>
              </w:rPr>
              <w:t>1）可以直接获取标准库数据信息，支持随意拖动一张或多张表；</w:t>
            </w:r>
            <w:r>
              <w:rPr>
                <w:rFonts w:hint="eastAsia" w:ascii="宋体" w:hAnsi="宋体" w:cs="宋体"/>
                <w:color w:val="000000"/>
                <w:kern w:val="0"/>
                <w:sz w:val="24"/>
              </w:rPr>
              <w:br w:type="textWrapping"/>
            </w:r>
            <w:r>
              <w:rPr>
                <w:rFonts w:hint="eastAsia" w:ascii="宋体" w:hAnsi="宋体" w:cs="宋体"/>
                <w:color w:val="000000"/>
                <w:kern w:val="0"/>
                <w:sz w:val="24"/>
              </w:rPr>
              <w:t>2）表与表之间的关联可以进行左关联、右关联和</w:t>
            </w:r>
            <w:r>
              <w:rPr>
                <w:rFonts w:ascii="宋体" w:hAnsi="宋体" w:cs="宋体"/>
                <w:color w:val="000000"/>
                <w:kern w:val="0"/>
                <w:sz w:val="24"/>
              </w:rPr>
              <w:t>内</w:t>
            </w:r>
            <w:r>
              <w:rPr>
                <w:rFonts w:hint="eastAsia" w:ascii="宋体" w:hAnsi="宋体" w:cs="宋体"/>
                <w:color w:val="000000"/>
                <w:kern w:val="0"/>
                <w:sz w:val="24"/>
              </w:rPr>
              <w:t>关联</w:t>
            </w:r>
            <w:r>
              <w:rPr>
                <w:rFonts w:ascii="宋体" w:hAnsi="宋体" w:cs="宋体"/>
                <w:color w:val="000000"/>
                <w:kern w:val="0"/>
                <w:sz w:val="24"/>
              </w:rPr>
              <w:t>、外关联</w:t>
            </w:r>
            <w:r>
              <w:rPr>
                <w:rFonts w:hint="eastAsia" w:ascii="宋体" w:hAnsi="宋体" w:cs="宋体"/>
                <w:color w:val="000000"/>
                <w:kern w:val="0"/>
                <w:sz w:val="24"/>
              </w:rPr>
              <w:t>。</w:t>
            </w:r>
          </w:p>
        </w:tc>
      </w:tr>
      <w:tr w14:paraId="6F61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42C64E83">
            <w:pPr>
              <w:widowControl/>
              <w:jc w:val="left"/>
              <w:rPr>
                <w:rFonts w:hint="eastAsia" w:ascii="宋体" w:hAnsi="宋体" w:cs="宋体"/>
                <w:color w:val="000000"/>
                <w:kern w:val="0"/>
                <w:sz w:val="24"/>
              </w:rPr>
            </w:pPr>
          </w:p>
        </w:tc>
        <w:tc>
          <w:tcPr>
            <w:tcW w:w="1573" w:type="dxa"/>
            <w:shd w:val="clear" w:color="auto" w:fill="auto"/>
            <w:vAlign w:val="center"/>
          </w:tcPr>
          <w:p w14:paraId="7ABFE2F1">
            <w:pPr>
              <w:widowControl/>
              <w:jc w:val="left"/>
              <w:rPr>
                <w:rFonts w:hint="eastAsia" w:ascii="宋体" w:hAnsi="宋体" w:cs="宋体"/>
                <w:color w:val="FF0000"/>
                <w:kern w:val="0"/>
                <w:sz w:val="24"/>
              </w:rPr>
            </w:pPr>
            <w:r>
              <w:rPr>
                <w:rFonts w:hint="eastAsia" w:ascii="宋体" w:hAnsi="宋体" w:cs="宋体"/>
                <w:color w:val="000000"/>
                <w:kern w:val="0"/>
                <w:sz w:val="24"/>
              </w:rPr>
              <w:t>数据指标应用库</w:t>
            </w:r>
          </w:p>
        </w:tc>
        <w:tc>
          <w:tcPr>
            <w:tcW w:w="6700" w:type="dxa"/>
            <w:shd w:val="clear" w:color="auto" w:fill="auto"/>
            <w:vAlign w:val="center"/>
          </w:tcPr>
          <w:p w14:paraId="3C0B1592">
            <w:pPr>
              <w:widowControl/>
              <w:jc w:val="left"/>
              <w:rPr>
                <w:rFonts w:hint="eastAsia" w:ascii="宋体" w:hAnsi="宋体" w:cs="宋体"/>
                <w:b/>
                <w:bCs/>
                <w:color w:val="FF0000"/>
                <w:kern w:val="0"/>
                <w:sz w:val="24"/>
              </w:rPr>
            </w:pPr>
            <w:r>
              <w:rPr>
                <w:rFonts w:hint="eastAsia" w:ascii="宋体" w:hAnsi="宋体" w:cs="宋体"/>
                <w:color w:val="000000"/>
                <w:kern w:val="0"/>
                <w:sz w:val="24"/>
              </w:rPr>
              <w:t>1.指标管理</w:t>
            </w:r>
            <w:r>
              <w:rPr>
                <w:rFonts w:hint="eastAsia" w:ascii="宋体" w:hAnsi="宋体" w:cs="宋体"/>
                <w:color w:val="000000"/>
                <w:kern w:val="0"/>
                <w:sz w:val="24"/>
              </w:rPr>
              <w:br w:type="textWrapping"/>
            </w:r>
            <w:r>
              <w:rPr>
                <w:rFonts w:hint="eastAsia" w:ascii="宋体" w:hAnsi="宋体" w:cs="宋体"/>
                <w:color w:val="000000"/>
                <w:kern w:val="0"/>
                <w:sz w:val="24"/>
              </w:rPr>
              <w:t>1）具备新建指标、编辑指标、删除指标</w:t>
            </w:r>
            <w:r>
              <w:rPr>
                <w:rFonts w:ascii="宋体" w:hAnsi="宋体" w:cs="宋体"/>
                <w:color w:val="000000"/>
                <w:kern w:val="0"/>
                <w:sz w:val="24"/>
              </w:rPr>
              <w:t>、</w:t>
            </w:r>
            <w:r>
              <w:rPr>
                <w:rFonts w:hint="eastAsia" w:ascii="宋体" w:hAnsi="宋体" w:cs="宋体"/>
                <w:color w:val="000000"/>
                <w:kern w:val="0"/>
                <w:sz w:val="24"/>
              </w:rPr>
              <w:t>搜索指标等功能，满足日常的指标维护：</w:t>
            </w:r>
            <w:r>
              <w:rPr>
                <w:rFonts w:hint="eastAsia" w:ascii="宋体" w:hAnsi="宋体" w:cs="宋体"/>
                <w:color w:val="000000"/>
                <w:kern w:val="0"/>
                <w:sz w:val="24"/>
              </w:rPr>
              <w:br w:type="textWrapping"/>
            </w:r>
            <w:r>
              <w:rPr>
                <w:rFonts w:hint="eastAsia" w:ascii="宋体" w:hAnsi="宋体" w:cs="宋体"/>
                <w:color w:val="000000"/>
                <w:kern w:val="0"/>
                <w:sz w:val="24"/>
              </w:rPr>
              <w:t>2）具备指标目录管理功能，满足新建目录、编辑目录、删除目录；</w:t>
            </w:r>
            <w:r>
              <w:rPr>
                <w:rFonts w:hint="eastAsia" w:ascii="宋体" w:hAnsi="宋体" w:cs="宋体"/>
                <w:color w:val="000000"/>
                <w:kern w:val="0"/>
                <w:sz w:val="24"/>
              </w:rPr>
              <w:br w:type="textWrapping"/>
            </w:r>
            <w:r>
              <w:rPr>
                <w:rFonts w:hint="eastAsia" w:ascii="宋体" w:hAnsi="宋体" w:cs="宋体"/>
                <w:color w:val="000000"/>
                <w:kern w:val="0"/>
                <w:sz w:val="24"/>
              </w:rPr>
              <w:t>3）</w:t>
            </w:r>
            <w:r>
              <w:rPr>
                <w:rFonts w:ascii="宋体" w:hAnsi="宋体" w:cs="宋体"/>
                <w:color w:val="000000"/>
                <w:kern w:val="0"/>
                <w:sz w:val="24"/>
              </w:rPr>
              <w:t>支持</w:t>
            </w:r>
            <w:r>
              <w:rPr>
                <w:rFonts w:hint="eastAsia" w:ascii="宋体" w:hAnsi="宋体" w:cs="宋体"/>
                <w:color w:val="000000"/>
                <w:kern w:val="0"/>
                <w:sz w:val="24"/>
              </w:rPr>
              <w:t>对指标元数据导出，并能够查看指标名称、简介、数据等功能；</w:t>
            </w:r>
            <w:r>
              <w:rPr>
                <w:rFonts w:hint="eastAsia" w:ascii="宋体" w:hAnsi="宋体" w:cs="宋体"/>
                <w:color w:val="000000"/>
                <w:kern w:val="0"/>
                <w:sz w:val="24"/>
              </w:rPr>
              <w:br w:type="textWrapping"/>
            </w:r>
            <w:r>
              <w:rPr>
                <w:rFonts w:hint="eastAsia" w:ascii="宋体" w:hAnsi="宋体" w:cs="宋体"/>
                <w:color w:val="000000"/>
                <w:kern w:val="0"/>
                <w:sz w:val="24"/>
              </w:rPr>
              <w:t>4）具备指标表创建功能，满足对指标中文名、英文名、指标简介、保存目录、</w:t>
            </w:r>
            <w:r>
              <w:rPr>
                <w:rFonts w:ascii="宋体" w:hAnsi="宋体" w:cs="宋体"/>
                <w:color w:val="000000"/>
                <w:kern w:val="0"/>
                <w:sz w:val="24"/>
              </w:rPr>
              <w:t>表</w:t>
            </w:r>
            <w:r>
              <w:rPr>
                <w:rFonts w:hint="eastAsia" w:ascii="宋体" w:hAnsi="宋体" w:cs="宋体"/>
                <w:color w:val="000000"/>
                <w:kern w:val="0"/>
                <w:sz w:val="24"/>
              </w:rPr>
              <w:t>结构字段等功能操作；</w:t>
            </w:r>
            <w:r>
              <w:rPr>
                <w:rFonts w:hint="eastAsia" w:ascii="宋体" w:hAnsi="宋体" w:cs="宋体"/>
                <w:color w:val="000000"/>
                <w:kern w:val="0"/>
                <w:sz w:val="24"/>
              </w:rPr>
              <w:br w:type="textWrapping"/>
            </w:r>
            <w:r>
              <w:rPr>
                <w:rFonts w:hint="eastAsia" w:ascii="宋体" w:hAnsi="宋体" w:cs="宋体"/>
                <w:color w:val="000000"/>
                <w:kern w:val="0"/>
                <w:sz w:val="24"/>
              </w:rPr>
              <w:t>5）具备指标搜索功能；</w:t>
            </w:r>
            <w:r>
              <w:rPr>
                <w:rFonts w:hint="eastAsia" w:ascii="宋体" w:hAnsi="宋体" w:cs="宋体"/>
                <w:color w:val="000000"/>
                <w:kern w:val="0"/>
                <w:sz w:val="24"/>
              </w:rPr>
              <w:br w:type="textWrapping"/>
            </w:r>
            <w:r>
              <w:rPr>
                <w:rFonts w:hint="eastAsia" w:ascii="宋体" w:hAnsi="宋体" w:cs="宋体"/>
                <w:color w:val="000000"/>
                <w:kern w:val="0"/>
                <w:sz w:val="24"/>
              </w:rPr>
              <w:t>2.指标开发</w:t>
            </w:r>
            <w:r>
              <w:rPr>
                <w:rFonts w:hint="eastAsia" w:ascii="宋体" w:hAnsi="宋体" w:cs="宋体"/>
                <w:color w:val="000000"/>
                <w:kern w:val="0"/>
                <w:sz w:val="24"/>
              </w:rPr>
              <w:br w:type="textWrapping"/>
            </w:r>
            <w:r>
              <w:rPr>
                <w:rFonts w:hint="eastAsia" w:ascii="宋体" w:hAnsi="宋体" w:cs="宋体"/>
                <w:color w:val="000000"/>
                <w:kern w:val="0"/>
                <w:sz w:val="24"/>
              </w:rPr>
              <w:t>1）</w:t>
            </w:r>
            <w:r>
              <w:rPr>
                <w:rFonts w:ascii="宋体" w:hAnsi="宋体" w:cs="宋体"/>
                <w:color w:val="000000"/>
                <w:kern w:val="0"/>
                <w:sz w:val="24"/>
              </w:rPr>
              <w:t>具备通过可视化页面</w:t>
            </w:r>
            <w:r>
              <w:rPr>
                <w:rFonts w:ascii="Arial" w:hAnsi="Arial" w:eastAsia="Arial" w:cs="Arial"/>
                <w:szCs w:val="21"/>
                <w:shd w:val="clear" w:color="auto" w:fill="FFFFFF"/>
              </w:rPr>
              <w:t>编写指标SQL代码的形式进行指标开发</w:t>
            </w:r>
            <w:r>
              <w:rPr>
                <w:rFonts w:hint="eastAsia" w:ascii="宋体" w:hAnsi="宋体" w:cs="宋体"/>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2）</w:t>
            </w:r>
            <w:r>
              <w:rPr>
                <w:rFonts w:ascii="宋体" w:hAnsi="宋体" w:cs="宋体"/>
                <w:color w:val="000000"/>
                <w:kern w:val="0"/>
                <w:sz w:val="24"/>
              </w:rPr>
              <w:t>支持设置任务上线状态、任务执行状态设置功能。</w:t>
            </w:r>
            <w:r>
              <w:rPr>
                <w:rFonts w:hint="eastAsia" w:ascii="宋体" w:hAnsi="宋体" w:cs="宋体"/>
                <w:color w:val="000000"/>
                <w:kern w:val="0"/>
                <w:sz w:val="24"/>
              </w:rPr>
              <w:br w:type="textWrapping"/>
            </w:r>
            <w:r>
              <w:rPr>
                <w:rFonts w:hint="eastAsia" w:ascii="宋体" w:hAnsi="宋体" w:cs="宋体"/>
                <w:color w:val="000000"/>
                <w:kern w:val="0"/>
                <w:sz w:val="24"/>
              </w:rPr>
              <w:t>3）指标查看：提供指标用户查看指标信息功能，应具备在页面上预览指标表数据、查看指标数据更新时间、查看数据指标的血缘关系、操作记录等信息。</w:t>
            </w:r>
            <w:r>
              <w:rPr>
                <w:rFonts w:hint="eastAsia" w:ascii="宋体" w:hAnsi="宋体" w:cs="宋体"/>
                <w:color w:val="000000"/>
                <w:kern w:val="0"/>
                <w:sz w:val="24"/>
              </w:rPr>
              <w:br w:type="textWrapping"/>
            </w:r>
            <w:r>
              <w:rPr>
                <w:rFonts w:hint="eastAsia" w:ascii="宋体" w:hAnsi="宋体" w:cs="宋体"/>
                <w:color w:val="000000"/>
                <w:kern w:val="0"/>
                <w:sz w:val="24"/>
              </w:rPr>
              <w:t>4）任务</w:t>
            </w:r>
            <w:r>
              <w:rPr>
                <w:rFonts w:ascii="宋体" w:hAnsi="宋体" w:cs="宋体"/>
                <w:color w:val="000000"/>
                <w:kern w:val="0"/>
                <w:sz w:val="24"/>
              </w:rPr>
              <w:t>运维信息查看</w:t>
            </w:r>
            <w:r>
              <w:rPr>
                <w:rFonts w:hint="eastAsia" w:ascii="宋体" w:hAnsi="宋体" w:cs="宋体"/>
                <w:color w:val="000000"/>
                <w:kern w:val="0"/>
                <w:sz w:val="24"/>
              </w:rPr>
              <w:t>：</w:t>
            </w:r>
            <w:r>
              <w:rPr>
                <w:rFonts w:ascii="宋体" w:hAnsi="宋体" w:cs="宋体"/>
                <w:color w:val="000000"/>
                <w:kern w:val="0"/>
                <w:sz w:val="24"/>
              </w:rPr>
              <w:t>支持</w:t>
            </w:r>
            <w:r>
              <w:rPr>
                <w:rFonts w:hint="eastAsia" w:ascii="宋体" w:hAnsi="宋体" w:cs="宋体"/>
                <w:color w:val="000000"/>
                <w:kern w:val="0"/>
                <w:sz w:val="24"/>
              </w:rPr>
              <w:t>用户查看</w:t>
            </w:r>
            <w:r>
              <w:rPr>
                <w:rFonts w:ascii="宋体" w:hAnsi="宋体" w:cs="宋体"/>
                <w:color w:val="000000"/>
                <w:kern w:val="0"/>
                <w:sz w:val="24"/>
              </w:rPr>
              <w:t>指标任务运维信息</w:t>
            </w:r>
            <w:r>
              <w:rPr>
                <w:rFonts w:hint="eastAsia" w:ascii="宋体" w:hAnsi="宋体" w:cs="宋体"/>
                <w:color w:val="000000"/>
                <w:kern w:val="0"/>
                <w:sz w:val="24"/>
              </w:rPr>
              <w:t>功能，具备查看任务</w:t>
            </w:r>
            <w:r>
              <w:rPr>
                <w:rFonts w:ascii="宋体" w:hAnsi="宋体" w:cs="宋体"/>
                <w:color w:val="000000"/>
                <w:kern w:val="0"/>
                <w:sz w:val="24"/>
              </w:rPr>
              <w:t>基本信息</w:t>
            </w:r>
            <w:r>
              <w:rPr>
                <w:rFonts w:hint="eastAsia" w:ascii="宋体" w:hAnsi="宋体" w:cs="宋体"/>
                <w:color w:val="000000"/>
                <w:kern w:val="0"/>
                <w:sz w:val="24"/>
              </w:rPr>
              <w:t>，查看任务日志、</w:t>
            </w:r>
            <w:r>
              <w:rPr>
                <w:rFonts w:ascii="宋体" w:hAnsi="宋体" w:cs="宋体"/>
                <w:color w:val="000000"/>
                <w:kern w:val="0"/>
                <w:sz w:val="24"/>
              </w:rPr>
              <w:t>设置任务上下线</w:t>
            </w:r>
            <w:r>
              <w:rPr>
                <w:rFonts w:hint="eastAsia" w:ascii="宋体" w:hAnsi="宋体" w:cs="宋体"/>
                <w:color w:val="000000"/>
                <w:kern w:val="0"/>
                <w:sz w:val="24"/>
              </w:rPr>
              <w:t>功能。</w:t>
            </w:r>
          </w:p>
        </w:tc>
      </w:tr>
      <w:tr w14:paraId="6A9C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14:paraId="44CBFC92">
            <w:pPr>
              <w:widowControl/>
              <w:jc w:val="center"/>
              <w:rPr>
                <w:rFonts w:hint="eastAsia" w:ascii="宋体" w:hAnsi="宋体" w:cs="宋体"/>
                <w:color w:val="000000"/>
                <w:kern w:val="0"/>
                <w:sz w:val="24"/>
              </w:rPr>
            </w:pPr>
            <w:r>
              <w:rPr>
                <w:rFonts w:hint="eastAsia" w:ascii="宋体" w:hAnsi="宋体" w:cs="宋体"/>
                <w:color w:val="000000"/>
                <w:kern w:val="0"/>
                <w:sz w:val="24"/>
              </w:rPr>
              <w:t>数据质量管理</w:t>
            </w:r>
          </w:p>
        </w:tc>
        <w:tc>
          <w:tcPr>
            <w:tcW w:w="1573" w:type="dxa"/>
            <w:shd w:val="clear" w:color="auto" w:fill="auto"/>
            <w:vAlign w:val="center"/>
          </w:tcPr>
          <w:p w14:paraId="484131E1">
            <w:pPr>
              <w:widowControl/>
              <w:jc w:val="left"/>
              <w:rPr>
                <w:rFonts w:hint="eastAsia" w:ascii="宋体" w:hAnsi="宋体" w:cs="宋体"/>
                <w:color w:val="000000"/>
                <w:kern w:val="0"/>
                <w:sz w:val="24"/>
              </w:rPr>
            </w:pPr>
            <w:r>
              <w:rPr>
                <w:rFonts w:hint="eastAsia" w:ascii="宋体" w:hAnsi="宋体" w:cs="宋体"/>
                <w:color w:val="000000"/>
                <w:kern w:val="0"/>
                <w:sz w:val="24"/>
              </w:rPr>
              <w:t>数据治理</w:t>
            </w:r>
          </w:p>
        </w:tc>
        <w:tc>
          <w:tcPr>
            <w:tcW w:w="6700" w:type="dxa"/>
            <w:shd w:val="clear" w:color="auto" w:fill="auto"/>
            <w:vAlign w:val="center"/>
          </w:tcPr>
          <w:p w14:paraId="6EB489B5">
            <w:pPr>
              <w:widowControl/>
              <w:jc w:val="left"/>
              <w:rPr>
                <w:rFonts w:hint="eastAsia" w:ascii="宋体" w:hAnsi="宋体" w:cs="宋体"/>
                <w:color w:val="000000"/>
                <w:kern w:val="0"/>
                <w:sz w:val="24"/>
              </w:rPr>
            </w:pPr>
            <w:r>
              <w:rPr>
                <w:rFonts w:hint="eastAsia" w:ascii="宋体" w:hAnsi="宋体" w:cs="宋体"/>
                <w:color w:val="000000"/>
                <w:kern w:val="0"/>
                <w:sz w:val="24"/>
              </w:rPr>
              <w:t>1．数据治理概览</w:t>
            </w:r>
          </w:p>
          <w:p w14:paraId="330E6E7E">
            <w:pPr>
              <w:widowControl/>
              <w:jc w:val="left"/>
              <w:rPr>
                <w:rFonts w:hint="eastAsia" w:ascii="宋体" w:hAnsi="宋体" w:cs="宋体"/>
                <w:color w:val="000000"/>
                <w:kern w:val="0"/>
                <w:sz w:val="24"/>
              </w:rPr>
            </w:pPr>
            <w:r>
              <w:rPr>
                <w:rFonts w:hint="eastAsia" w:ascii="宋体" w:hAnsi="宋体" w:cs="宋体"/>
                <w:color w:val="000000"/>
                <w:kern w:val="0"/>
                <w:sz w:val="24"/>
              </w:rPr>
              <w:t>具备从总体方面统计数据治理任务</w:t>
            </w:r>
            <w:r>
              <w:rPr>
                <w:rFonts w:ascii="宋体" w:hAnsi="宋体" w:cs="宋体"/>
                <w:color w:val="000000"/>
                <w:kern w:val="0"/>
                <w:sz w:val="24"/>
              </w:rPr>
              <w:t>总量、异常数据表、异常数据项</w:t>
            </w:r>
            <w:r>
              <w:rPr>
                <w:rFonts w:hint="eastAsia" w:ascii="宋体" w:hAnsi="宋体" w:cs="宋体"/>
                <w:color w:val="000000"/>
                <w:kern w:val="0"/>
                <w:sz w:val="24"/>
              </w:rPr>
              <w:t>等信息。</w:t>
            </w:r>
          </w:p>
          <w:p w14:paraId="7495689C">
            <w:pPr>
              <w:widowControl/>
              <w:jc w:val="left"/>
              <w:rPr>
                <w:rFonts w:hint="eastAsia" w:ascii="宋体" w:hAnsi="宋体" w:cs="宋体"/>
                <w:b/>
                <w:bCs/>
                <w:color w:val="000000"/>
                <w:kern w:val="0"/>
                <w:sz w:val="24"/>
              </w:rPr>
            </w:pPr>
            <w:r>
              <w:rPr>
                <w:rFonts w:hint="eastAsia" w:ascii="宋体" w:hAnsi="宋体" w:cs="宋体"/>
                <w:color w:val="000000"/>
                <w:kern w:val="0"/>
                <w:sz w:val="24"/>
              </w:rPr>
              <w:t>2.单表治理</w:t>
            </w:r>
          </w:p>
          <w:p w14:paraId="1DC1ADEA">
            <w:pPr>
              <w:widowControl/>
              <w:jc w:val="left"/>
              <w:rPr>
                <w:rFonts w:hint="eastAsia" w:ascii="宋体" w:hAnsi="宋体" w:cs="宋体"/>
                <w:color w:val="000000"/>
                <w:kern w:val="0"/>
                <w:sz w:val="24"/>
              </w:rPr>
            </w:pPr>
            <w:r>
              <w:rPr>
                <w:rFonts w:hint="eastAsia" w:ascii="宋体" w:hAnsi="宋体" w:cs="宋体"/>
                <w:color w:val="000000"/>
                <w:kern w:val="0"/>
                <w:sz w:val="24"/>
              </w:rPr>
              <w:t>系统提供单表治理能力，主要包括：格式校验、字符长度校验、数据值校验、空值校验、数据重复校验等数据治理规则；同时具备自定义规则，规则生成后即可运行数据治理任务，任务完成后，生成相应的数据治理报告。</w:t>
            </w:r>
          </w:p>
          <w:p w14:paraId="2EDB6ECB">
            <w:pPr>
              <w:widowControl/>
              <w:jc w:val="left"/>
              <w:rPr>
                <w:rFonts w:hint="eastAsia" w:ascii="宋体" w:hAnsi="宋体" w:cs="宋体"/>
                <w:b/>
                <w:bCs/>
                <w:color w:val="000000"/>
                <w:kern w:val="0"/>
                <w:sz w:val="24"/>
              </w:rPr>
            </w:pPr>
            <w:r>
              <w:rPr>
                <w:rFonts w:hint="eastAsia" w:ascii="宋体" w:hAnsi="宋体" w:cs="宋体"/>
                <w:color w:val="000000"/>
                <w:kern w:val="0"/>
                <w:sz w:val="24"/>
              </w:rPr>
              <w:t>3.多表治理</w:t>
            </w:r>
          </w:p>
          <w:p w14:paraId="7E7CF6ED">
            <w:pPr>
              <w:widowControl/>
              <w:jc w:val="left"/>
              <w:rPr>
                <w:rFonts w:eastAsiaTheme="minorEastAsia"/>
              </w:rPr>
            </w:pPr>
            <w:r>
              <w:rPr>
                <w:rFonts w:hint="eastAsia" w:ascii="宋体" w:hAnsi="宋体" w:cs="宋体"/>
                <w:color w:val="000000"/>
                <w:kern w:val="0"/>
                <w:sz w:val="24"/>
              </w:rPr>
              <w:t>系统提供多表治理能力，具备多个数据源之间的不同表的数据量差异、表结构差异、数据值差异的检测能力；具备同类数据源不同表时，提供指定其中数据质量相对较高的表为标准表，其它的表为治理表，满足设置标准表和治理表的治理字段，进行数据检测，检测数据异常点，并形成数据治理报告。</w:t>
            </w:r>
          </w:p>
        </w:tc>
      </w:tr>
      <w:tr w14:paraId="33F8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1C8108FA">
            <w:pPr>
              <w:widowControl/>
              <w:jc w:val="center"/>
              <w:rPr>
                <w:rFonts w:hint="eastAsia" w:ascii="宋体" w:hAnsi="宋体" w:cs="宋体"/>
                <w:color w:val="000000"/>
                <w:kern w:val="0"/>
                <w:sz w:val="24"/>
              </w:rPr>
            </w:pPr>
            <w:r>
              <w:rPr>
                <w:rFonts w:hint="eastAsia" w:ascii="宋体" w:hAnsi="宋体" w:cs="宋体"/>
                <w:color w:val="000000"/>
                <w:kern w:val="0"/>
                <w:sz w:val="24"/>
              </w:rPr>
              <w:t>数据任务调度</w:t>
            </w:r>
          </w:p>
        </w:tc>
        <w:tc>
          <w:tcPr>
            <w:tcW w:w="1573" w:type="dxa"/>
            <w:shd w:val="clear" w:color="auto" w:fill="auto"/>
            <w:vAlign w:val="center"/>
          </w:tcPr>
          <w:p w14:paraId="37175ECE">
            <w:pPr>
              <w:widowControl/>
              <w:jc w:val="left"/>
              <w:rPr>
                <w:rFonts w:hint="eastAsia" w:ascii="宋体" w:hAnsi="宋体" w:cs="宋体"/>
                <w:color w:val="000000"/>
                <w:kern w:val="0"/>
                <w:sz w:val="24"/>
              </w:rPr>
            </w:pPr>
            <w:r>
              <w:rPr>
                <w:rFonts w:hint="eastAsia" w:ascii="宋体" w:hAnsi="宋体" w:cs="宋体"/>
                <w:color w:val="000000"/>
                <w:kern w:val="0"/>
                <w:sz w:val="24"/>
              </w:rPr>
              <w:t>任务调度统计</w:t>
            </w:r>
          </w:p>
        </w:tc>
        <w:tc>
          <w:tcPr>
            <w:tcW w:w="6700" w:type="dxa"/>
            <w:shd w:val="clear" w:color="auto" w:fill="auto"/>
            <w:vAlign w:val="center"/>
          </w:tcPr>
          <w:p w14:paraId="6026E073">
            <w:pPr>
              <w:widowControl/>
              <w:jc w:val="left"/>
              <w:rPr>
                <w:rFonts w:hint="eastAsia" w:ascii="宋体" w:hAnsi="宋体" w:cs="宋体"/>
                <w:color w:val="000000"/>
                <w:kern w:val="0"/>
                <w:sz w:val="24"/>
              </w:rPr>
            </w:pPr>
            <w:r>
              <w:rPr>
                <w:rFonts w:hint="eastAsia" w:ascii="宋体" w:hAnsi="宋体" w:cs="宋体"/>
                <w:color w:val="000000"/>
                <w:kern w:val="0"/>
                <w:sz w:val="24"/>
              </w:rPr>
              <w:t>任务调度统计是通过图表方式展示数据任务运行状态的健康情况，便于数据管理员对任务监测和跟踪：</w:t>
            </w:r>
            <w:r>
              <w:rPr>
                <w:rFonts w:hint="eastAsia" w:ascii="宋体" w:hAnsi="宋体" w:cs="宋体"/>
                <w:color w:val="000000"/>
                <w:kern w:val="0"/>
                <w:sz w:val="24"/>
              </w:rPr>
              <w:br w:type="textWrapping"/>
            </w:r>
            <w:r>
              <w:rPr>
                <w:rFonts w:hint="eastAsia" w:ascii="宋体" w:hAnsi="宋体" w:cs="宋体"/>
                <w:color w:val="000000"/>
                <w:kern w:val="0"/>
                <w:sz w:val="24"/>
              </w:rPr>
              <w:t>1.任务状态统计：提供查看任务统计总览，并以图表的形式展示当前任务状态，主要包括：提交成功、正在运行、暂停、停止、失败、成功等；</w:t>
            </w:r>
            <w:r>
              <w:rPr>
                <w:rFonts w:hint="eastAsia" w:ascii="宋体" w:hAnsi="宋体" w:cs="宋体"/>
                <w:color w:val="000000"/>
                <w:kern w:val="0"/>
                <w:sz w:val="24"/>
              </w:rPr>
              <w:br w:type="textWrapping"/>
            </w:r>
            <w:r>
              <w:rPr>
                <w:rFonts w:hint="eastAsia" w:ascii="宋体" w:hAnsi="宋体" w:cs="宋体"/>
                <w:color w:val="000000"/>
                <w:kern w:val="0"/>
                <w:sz w:val="24"/>
              </w:rPr>
              <w:t>2.流程状态统计：提供查看流程统计总览，并以图表的形式展示当前任务状态，主要包括：成功、运行、停止、失败、成功等，满足根据时间进行筛选查看。</w:t>
            </w:r>
          </w:p>
        </w:tc>
      </w:tr>
      <w:tr w14:paraId="7C39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1920DB16">
            <w:pPr>
              <w:widowControl/>
              <w:jc w:val="center"/>
              <w:rPr>
                <w:rFonts w:hint="eastAsia" w:ascii="宋体" w:hAnsi="宋体" w:cs="宋体"/>
                <w:color w:val="000000"/>
                <w:kern w:val="0"/>
                <w:sz w:val="24"/>
              </w:rPr>
            </w:pPr>
          </w:p>
        </w:tc>
        <w:tc>
          <w:tcPr>
            <w:tcW w:w="1573" w:type="dxa"/>
            <w:shd w:val="clear" w:color="auto" w:fill="auto"/>
            <w:vAlign w:val="center"/>
          </w:tcPr>
          <w:p w14:paraId="16228BEC">
            <w:pPr>
              <w:widowControl/>
              <w:jc w:val="left"/>
              <w:rPr>
                <w:rFonts w:hint="eastAsia" w:ascii="宋体" w:hAnsi="宋体" w:cs="宋体"/>
                <w:color w:val="000000"/>
                <w:kern w:val="0"/>
                <w:sz w:val="24"/>
              </w:rPr>
            </w:pPr>
            <w:r>
              <w:rPr>
                <w:rFonts w:hint="eastAsia" w:ascii="宋体" w:hAnsi="宋体" w:cs="宋体"/>
                <w:color w:val="000000"/>
                <w:kern w:val="0"/>
                <w:sz w:val="24"/>
              </w:rPr>
              <w:t>资源中心</w:t>
            </w:r>
          </w:p>
        </w:tc>
        <w:tc>
          <w:tcPr>
            <w:tcW w:w="6700" w:type="dxa"/>
            <w:shd w:val="clear" w:color="auto" w:fill="auto"/>
            <w:vAlign w:val="center"/>
          </w:tcPr>
          <w:p w14:paraId="65464EF3">
            <w:pPr>
              <w:widowControl/>
              <w:jc w:val="left"/>
              <w:rPr>
                <w:rFonts w:hint="eastAsia" w:ascii="宋体" w:hAnsi="宋体" w:cs="宋体"/>
                <w:color w:val="000000"/>
                <w:kern w:val="0"/>
                <w:sz w:val="24"/>
              </w:rPr>
            </w:pPr>
            <w:r>
              <w:rPr>
                <w:rFonts w:hint="eastAsia" w:ascii="宋体" w:hAnsi="宋体" w:cs="宋体"/>
                <w:color w:val="000000"/>
                <w:kern w:val="0"/>
                <w:sz w:val="24"/>
              </w:rPr>
              <w:t>资源中心应具备对任务调度的可执行文件管理，可执行文件资源主要是用于复杂的数据开发处理（如新老身份证规则转换、不同地图经纬度互转等开发文件）：</w:t>
            </w:r>
            <w:r>
              <w:rPr>
                <w:rFonts w:hint="eastAsia" w:ascii="宋体" w:hAnsi="宋体" w:cs="宋体"/>
                <w:color w:val="000000"/>
                <w:kern w:val="0"/>
                <w:sz w:val="24"/>
              </w:rPr>
              <w:br w:type="textWrapping"/>
            </w:r>
            <w:r>
              <w:rPr>
                <w:rFonts w:hint="eastAsia" w:ascii="宋体" w:hAnsi="宋体" w:cs="宋体"/>
                <w:color w:val="000000"/>
                <w:kern w:val="0"/>
                <w:sz w:val="24"/>
              </w:rPr>
              <w:t>1.资源管理：具备创建文件夹，上传数据处理文件资源（UDF函数），同时具备查看文件名称、所属用户、描述、大小、更新时间；</w:t>
            </w:r>
            <w:r>
              <w:rPr>
                <w:rFonts w:hint="eastAsia" w:ascii="宋体" w:hAnsi="宋体" w:cs="宋体"/>
                <w:color w:val="000000"/>
                <w:kern w:val="0"/>
                <w:sz w:val="24"/>
              </w:rPr>
              <w:br w:type="textWrapping"/>
            </w:r>
            <w:r>
              <w:rPr>
                <w:rFonts w:hint="eastAsia" w:ascii="宋体" w:hAnsi="宋体" w:cs="宋体"/>
                <w:color w:val="000000"/>
                <w:kern w:val="0"/>
                <w:sz w:val="24"/>
              </w:rPr>
              <w:t>2.函数管理：具备基于资源文件创建函数，用于SQL调用资源执行；函数管理应具备查看函数名称、所属用户组、类名、类型、JAR包、更新时间等功能。</w:t>
            </w:r>
          </w:p>
        </w:tc>
      </w:tr>
      <w:tr w14:paraId="7798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F00DD73">
            <w:pPr>
              <w:widowControl/>
              <w:jc w:val="left"/>
              <w:rPr>
                <w:rFonts w:hint="eastAsia" w:ascii="宋体" w:hAnsi="宋体" w:cs="宋体"/>
                <w:color w:val="000000"/>
                <w:kern w:val="0"/>
                <w:sz w:val="24"/>
              </w:rPr>
            </w:pPr>
          </w:p>
        </w:tc>
        <w:tc>
          <w:tcPr>
            <w:tcW w:w="1573" w:type="dxa"/>
            <w:shd w:val="clear" w:color="auto" w:fill="auto"/>
            <w:vAlign w:val="center"/>
          </w:tcPr>
          <w:p w14:paraId="08D22DA8">
            <w:pPr>
              <w:widowControl/>
              <w:jc w:val="left"/>
              <w:rPr>
                <w:rFonts w:hint="eastAsia" w:ascii="宋体" w:hAnsi="宋体" w:cs="宋体"/>
                <w:color w:val="000000"/>
                <w:kern w:val="0"/>
                <w:sz w:val="24"/>
              </w:rPr>
            </w:pPr>
            <w:r>
              <w:rPr>
                <w:rFonts w:hint="eastAsia" w:ascii="宋体" w:hAnsi="宋体" w:cs="宋体"/>
                <w:color w:val="000000"/>
                <w:kern w:val="0"/>
                <w:sz w:val="24"/>
              </w:rPr>
              <w:t>工作流管理</w:t>
            </w:r>
          </w:p>
        </w:tc>
        <w:tc>
          <w:tcPr>
            <w:tcW w:w="6700" w:type="dxa"/>
            <w:shd w:val="clear" w:color="auto" w:fill="auto"/>
            <w:vAlign w:val="center"/>
          </w:tcPr>
          <w:p w14:paraId="46039343">
            <w:pPr>
              <w:widowControl/>
              <w:jc w:val="left"/>
              <w:rPr>
                <w:rFonts w:hint="eastAsia" w:ascii="宋体" w:hAnsi="宋体" w:cs="宋体"/>
                <w:color w:val="000000"/>
                <w:kern w:val="0"/>
                <w:sz w:val="24"/>
              </w:rPr>
            </w:pPr>
            <w:r>
              <w:rPr>
                <w:rFonts w:hint="eastAsia" w:ascii="宋体" w:hAnsi="宋体" w:cs="宋体"/>
                <w:color w:val="000000"/>
                <w:kern w:val="0"/>
                <w:sz w:val="24"/>
              </w:rPr>
              <w:t>提供可定义多流程任务的工作流管理功能，并且支持多类型、多步骤的配置，功能主要包括：</w:t>
            </w:r>
            <w:r>
              <w:rPr>
                <w:rFonts w:hint="eastAsia" w:ascii="宋体" w:hAnsi="宋体" w:cs="宋体"/>
                <w:color w:val="000000"/>
                <w:kern w:val="0"/>
                <w:sz w:val="24"/>
              </w:rPr>
              <w:br w:type="textWrapping"/>
            </w:r>
            <w:r>
              <w:rPr>
                <w:rFonts w:hint="eastAsia" w:ascii="宋体" w:hAnsi="宋体" w:cs="宋体"/>
                <w:color w:val="000000"/>
                <w:kern w:val="0"/>
                <w:sz w:val="24"/>
              </w:rPr>
              <w:t>1.工作流定义：应具备工作流类型、步骤的配置功能，提供手动创建工作流和导入工作流的两种方式；</w:t>
            </w:r>
            <w:r>
              <w:rPr>
                <w:rFonts w:hint="eastAsia" w:ascii="宋体" w:hAnsi="宋体" w:cs="宋体"/>
                <w:color w:val="000000"/>
                <w:kern w:val="0"/>
                <w:sz w:val="24"/>
              </w:rPr>
              <w:br w:type="textWrapping"/>
            </w:r>
            <w:r>
              <w:rPr>
                <w:rFonts w:hint="eastAsia" w:ascii="宋体" w:hAnsi="宋体" w:cs="宋体"/>
                <w:color w:val="000000"/>
                <w:kern w:val="0"/>
                <w:sz w:val="24"/>
              </w:rPr>
              <w:t>2.工作流实例：具备实现查看工作流名称、状态、运行类型、调度时间、开始时间、结束时间、运行时长、运行次数等参数；</w:t>
            </w:r>
            <w:r>
              <w:rPr>
                <w:rFonts w:hint="eastAsia" w:ascii="宋体" w:hAnsi="宋体" w:cs="宋体"/>
                <w:color w:val="000000"/>
                <w:kern w:val="0"/>
                <w:sz w:val="24"/>
              </w:rPr>
              <w:br w:type="textWrapping"/>
            </w:r>
            <w:r>
              <w:rPr>
                <w:rFonts w:hint="eastAsia" w:ascii="宋体" w:hAnsi="宋体" w:cs="宋体"/>
                <w:color w:val="000000"/>
                <w:kern w:val="0"/>
                <w:sz w:val="24"/>
              </w:rPr>
              <w:t>3.工作流管理：满足通过网格图查看某一工作流的上游、下游任务，并能够查看已上线工作流与下线工作流等关联关系。</w:t>
            </w:r>
          </w:p>
        </w:tc>
      </w:tr>
      <w:tr w14:paraId="5D6E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253BAFD4">
            <w:pPr>
              <w:widowControl/>
              <w:jc w:val="left"/>
              <w:rPr>
                <w:rFonts w:hint="eastAsia" w:ascii="宋体" w:hAnsi="宋体" w:cs="宋体"/>
                <w:color w:val="000000"/>
                <w:kern w:val="0"/>
                <w:sz w:val="24"/>
              </w:rPr>
            </w:pPr>
          </w:p>
        </w:tc>
        <w:tc>
          <w:tcPr>
            <w:tcW w:w="1573" w:type="dxa"/>
            <w:shd w:val="clear" w:color="auto" w:fill="auto"/>
            <w:vAlign w:val="center"/>
          </w:tcPr>
          <w:p w14:paraId="2BC4C5D7">
            <w:pPr>
              <w:widowControl/>
              <w:jc w:val="left"/>
              <w:rPr>
                <w:rFonts w:hint="eastAsia" w:ascii="宋体" w:hAnsi="宋体" w:cs="宋体"/>
                <w:color w:val="000000"/>
                <w:kern w:val="0"/>
                <w:sz w:val="24"/>
              </w:rPr>
            </w:pPr>
            <w:r>
              <w:rPr>
                <w:rFonts w:hint="eastAsia" w:ascii="宋体" w:hAnsi="宋体" w:cs="宋体"/>
                <w:color w:val="000000"/>
                <w:kern w:val="0"/>
                <w:sz w:val="24"/>
              </w:rPr>
              <w:t>任务管理</w:t>
            </w:r>
          </w:p>
        </w:tc>
        <w:tc>
          <w:tcPr>
            <w:tcW w:w="6700" w:type="dxa"/>
            <w:shd w:val="clear" w:color="auto" w:fill="auto"/>
            <w:vAlign w:val="center"/>
          </w:tcPr>
          <w:p w14:paraId="283426BC">
            <w:pPr>
              <w:widowControl/>
              <w:jc w:val="left"/>
              <w:rPr>
                <w:rFonts w:hint="eastAsia" w:ascii="宋体" w:hAnsi="宋体" w:cs="宋体"/>
                <w:color w:val="000000"/>
                <w:kern w:val="0"/>
                <w:sz w:val="24"/>
              </w:rPr>
            </w:pPr>
            <w:r>
              <w:rPr>
                <w:rFonts w:hint="eastAsia" w:ascii="宋体" w:hAnsi="宋体" w:cs="宋体"/>
                <w:color w:val="000000"/>
                <w:kern w:val="0"/>
                <w:sz w:val="24"/>
              </w:rPr>
              <w:t>提供用于数据处理（交换、清洗等）任务的管理配置功能，满足用户日常数据交换、数据清洗等数据归集与治理工作，功能主要包括：</w:t>
            </w:r>
            <w:r>
              <w:rPr>
                <w:rFonts w:hint="eastAsia" w:ascii="宋体" w:hAnsi="宋体" w:cs="宋体"/>
                <w:color w:val="000000"/>
                <w:kern w:val="0"/>
                <w:sz w:val="24"/>
              </w:rPr>
              <w:br w:type="textWrapping"/>
            </w:r>
            <w:r>
              <w:rPr>
                <w:rFonts w:hint="eastAsia" w:ascii="宋体" w:hAnsi="宋体" w:cs="宋体"/>
                <w:color w:val="000000"/>
                <w:kern w:val="0"/>
                <w:sz w:val="24"/>
              </w:rPr>
              <w:t>1.创建任务：提供自定义任务类型，具备自定义任务优先级，主要包括最高、高、一般、低、最低；同时具备设置失败重试次数、失败重试间隔、延时执行时间等参数配置。</w:t>
            </w:r>
            <w:r>
              <w:rPr>
                <w:rFonts w:hint="eastAsia" w:ascii="宋体" w:hAnsi="宋体" w:cs="宋体"/>
                <w:color w:val="000000"/>
                <w:kern w:val="0"/>
                <w:sz w:val="24"/>
              </w:rPr>
              <w:br w:type="textWrapping"/>
            </w:r>
            <w:r>
              <w:rPr>
                <w:rFonts w:hint="eastAsia" w:ascii="宋体" w:hAnsi="宋体" w:cs="宋体"/>
                <w:color w:val="000000"/>
                <w:kern w:val="0"/>
                <w:sz w:val="24"/>
              </w:rPr>
              <w:t>2.查看任务：提供查看任务名称、所属工作流名称、工作流状态、版本、上游任务、更新时间等参数。</w:t>
            </w:r>
          </w:p>
        </w:tc>
      </w:tr>
      <w:tr w14:paraId="1FF9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40444FB">
            <w:pPr>
              <w:widowControl/>
              <w:jc w:val="left"/>
              <w:rPr>
                <w:rFonts w:hint="eastAsia" w:ascii="宋体" w:hAnsi="宋体" w:cs="宋体"/>
                <w:color w:val="000000"/>
                <w:kern w:val="0"/>
                <w:sz w:val="24"/>
              </w:rPr>
            </w:pPr>
          </w:p>
        </w:tc>
        <w:tc>
          <w:tcPr>
            <w:tcW w:w="1573" w:type="dxa"/>
            <w:shd w:val="clear" w:color="auto" w:fill="auto"/>
            <w:vAlign w:val="center"/>
          </w:tcPr>
          <w:p w14:paraId="4AC809E0">
            <w:pPr>
              <w:widowControl/>
              <w:jc w:val="left"/>
              <w:rPr>
                <w:rFonts w:hint="eastAsia" w:ascii="宋体" w:hAnsi="宋体" w:cs="宋体"/>
                <w:color w:val="000000"/>
                <w:kern w:val="0"/>
                <w:sz w:val="24"/>
              </w:rPr>
            </w:pPr>
            <w:r>
              <w:rPr>
                <w:rFonts w:hint="eastAsia" w:ascii="宋体" w:hAnsi="宋体" w:cs="宋体"/>
                <w:color w:val="000000"/>
                <w:kern w:val="0"/>
                <w:sz w:val="24"/>
              </w:rPr>
              <w:t>监控中心</w:t>
            </w:r>
          </w:p>
        </w:tc>
        <w:tc>
          <w:tcPr>
            <w:tcW w:w="6700" w:type="dxa"/>
            <w:shd w:val="clear" w:color="auto" w:fill="auto"/>
            <w:vAlign w:val="center"/>
          </w:tcPr>
          <w:p w14:paraId="07F6C6B5">
            <w:pPr>
              <w:widowControl/>
              <w:jc w:val="left"/>
              <w:rPr>
                <w:rFonts w:hint="eastAsia" w:ascii="宋体" w:hAnsi="宋体" w:cs="宋体"/>
                <w:color w:val="000000"/>
                <w:kern w:val="0"/>
                <w:sz w:val="24"/>
              </w:rPr>
            </w:pPr>
            <w:r>
              <w:rPr>
                <w:rFonts w:hint="eastAsia" w:ascii="宋体" w:hAnsi="宋体" w:cs="宋体"/>
                <w:color w:val="000000"/>
                <w:kern w:val="0"/>
                <w:sz w:val="24"/>
              </w:rPr>
              <w:t>提供对服务器、数据库等运行情况监控功能，功能主要包括：</w:t>
            </w:r>
            <w:r>
              <w:rPr>
                <w:rFonts w:hint="eastAsia" w:ascii="宋体" w:hAnsi="宋体" w:cs="宋体"/>
                <w:color w:val="000000"/>
                <w:kern w:val="0"/>
                <w:sz w:val="24"/>
              </w:rPr>
              <w:br w:type="textWrapping"/>
            </w:r>
            <w:r>
              <w:rPr>
                <w:rFonts w:hint="eastAsia" w:ascii="宋体" w:hAnsi="宋体" w:cs="宋体"/>
                <w:color w:val="000000"/>
                <w:kern w:val="0"/>
                <w:sz w:val="24"/>
              </w:rPr>
              <w:t>1.管理节点：具备查看管理节点的处理器使用量、内存使用量、平均负载等相关参数信息；</w:t>
            </w:r>
            <w:r>
              <w:rPr>
                <w:rFonts w:hint="eastAsia" w:ascii="宋体" w:hAnsi="宋体" w:cs="宋体"/>
                <w:color w:val="000000"/>
                <w:kern w:val="0"/>
                <w:sz w:val="24"/>
              </w:rPr>
              <w:br w:type="textWrapping"/>
            </w:r>
            <w:r>
              <w:rPr>
                <w:rFonts w:hint="eastAsia" w:ascii="宋体" w:hAnsi="宋体" w:cs="宋体"/>
                <w:color w:val="000000"/>
                <w:kern w:val="0"/>
                <w:sz w:val="24"/>
              </w:rPr>
              <w:t>2.工作节点：具备查看工作节点的处理器使用量、内存使用量、平均负载等相关参数；</w:t>
            </w:r>
            <w:r>
              <w:rPr>
                <w:rFonts w:hint="eastAsia" w:ascii="宋体" w:hAnsi="宋体" w:cs="宋体"/>
                <w:color w:val="000000"/>
                <w:kern w:val="0"/>
                <w:sz w:val="24"/>
              </w:rPr>
              <w:br w:type="textWrapping"/>
            </w:r>
            <w:r>
              <w:rPr>
                <w:rFonts w:hint="eastAsia" w:ascii="宋体" w:hAnsi="宋体" w:cs="宋体"/>
                <w:color w:val="000000"/>
                <w:kern w:val="0"/>
                <w:sz w:val="24"/>
              </w:rPr>
              <w:t>3.数据库连接：具备查看数据库健康状况、最大连接数、当前连接数等参数。</w:t>
            </w:r>
          </w:p>
        </w:tc>
      </w:tr>
      <w:tr w14:paraId="4792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42FDFFB">
            <w:pPr>
              <w:widowControl/>
              <w:jc w:val="left"/>
              <w:rPr>
                <w:rFonts w:hint="eastAsia" w:ascii="宋体" w:hAnsi="宋体" w:cs="宋体"/>
                <w:color w:val="000000"/>
                <w:kern w:val="0"/>
                <w:sz w:val="24"/>
              </w:rPr>
            </w:pPr>
          </w:p>
        </w:tc>
        <w:tc>
          <w:tcPr>
            <w:tcW w:w="1573" w:type="dxa"/>
            <w:shd w:val="clear" w:color="auto" w:fill="auto"/>
            <w:vAlign w:val="center"/>
          </w:tcPr>
          <w:p w14:paraId="76E28F0D">
            <w:pPr>
              <w:widowControl/>
              <w:jc w:val="left"/>
              <w:rPr>
                <w:rFonts w:hint="eastAsia" w:ascii="宋体" w:hAnsi="宋体" w:cs="宋体"/>
                <w:color w:val="000000"/>
                <w:kern w:val="0"/>
                <w:sz w:val="24"/>
              </w:rPr>
            </w:pPr>
            <w:r>
              <w:rPr>
                <w:rFonts w:hint="eastAsia" w:ascii="宋体" w:hAnsi="宋体" w:cs="宋体"/>
                <w:color w:val="000000"/>
                <w:kern w:val="0"/>
                <w:sz w:val="24"/>
              </w:rPr>
              <w:t>Kafka管理</w:t>
            </w:r>
          </w:p>
        </w:tc>
        <w:tc>
          <w:tcPr>
            <w:tcW w:w="6700" w:type="dxa"/>
            <w:shd w:val="clear" w:color="auto" w:fill="auto"/>
            <w:vAlign w:val="center"/>
          </w:tcPr>
          <w:p w14:paraId="77E21D78">
            <w:pPr>
              <w:widowControl/>
              <w:jc w:val="left"/>
              <w:rPr>
                <w:rFonts w:hint="eastAsia" w:ascii="宋体" w:hAnsi="宋体" w:cs="宋体"/>
                <w:color w:val="000000"/>
                <w:kern w:val="0"/>
                <w:sz w:val="24"/>
              </w:rPr>
            </w:pPr>
            <w:r>
              <w:rPr>
                <w:rFonts w:hint="eastAsia" w:ascii="宋体" w:hAnsi="宋体" w:cs="宋体"/>
                <w:color w:val="000000"/>
                <w:kern w:val="0"/>
                <w:sz w:val="24"/>
              </w:rPr>
              <w:t>（1）topic申请</w:t>
            </w:r>
          </w:p>
          <w:p w14:paraId="658ED9F3">
            <w:pPr>
              <w:widowControl/>
              <w:jc w:val="left"/>
              <w:rPr>
                <w:rFonts w:hint="eastAsia" w:ascii="宋体" w:hAnsi="宋体" w:cs="宋体"/>
                <w:color w:val="000000"/>
                <w:kern w:val="0"/>
                <w:sz w:val="24"/>
              </w:rPr>
            </w:pPr>
            <w:r>
              <w:rPr>
                <w:rFonts w:hint="eastAsia" w:ascii="宋体" w:hAnsi="宋体" w:cs="宋体"/>
                <w:color w:val="000000"/>
                <w:kern w:val="0"/>
                <w:sz w:val="24"/>
              </w:rPr>
              <w:t>1、生产者：申请topic，包括新建Topic和数据申请中生成的Topic，设置数据保留的天数；</w:t>
            </w:r>
          </w:p>
          <w:p w14:paraId="2D72B2E5">
            <w:pPr>
              <w:widowControl/>
              <w:jc w:val="left"/>
              <w:rPr>
                <w:rFonts w:hint="eastAsia" w:ascii="宋体" w:hAnsi="宋体" w:cs="宋体"/>
                <w:color w:val="000000"/>
                <w:kern w:val="0"/>
                <w:sz w:val="24"/>
              </w:rPr>
            </w:pPr>
            <w:r>
              <w:rPr>
                <w:rFonts w:hint="eastAsia" w:ascii="宋体" w:hAnsi="宋体" w:cs="宋体"/>
                <w:color w:val="000000"/>
                <w:kern w:val="0"/>
                <w:sz w:val="24"/>
              </w:rPr>
              <w:t>2、消费者：申请topic，设置所属项目</w:t>
            </w:r>
            <w:r>
              <w:rPr>
                <w:rFonts w:ascii="宋体" w:hAnsi="宋体" w:cs="宋体"/>
                <w:color w:val="000000"/>
                <w:kern w:val="0"/>
                <w:sz w:val="24"/>
              </w:rPr>
              <w:t>、设置</w:t>
            </w:r>
            <w:r>
              <w:rPr>
                <w:rFonts w:hint="eastAsia" w:ascii="宋体" w:hAnsi="宋体" w:cs="宋体"/>
                <w:color w:val="000000"/>
                <w:kern w:val="0"/>
                <w:sz w:val="24"/>
              </w:rPr>
              <w:t>topic</w:t>
            </w:r>
            <w:r>
              <w:rPr>
                <w:rFonts w:ascii="宋体" w:hAnsi="宋体" w:cs="宋体"/>
                <w:color w:val="000000"/>
                <w:kern w:val="0"/>
                <w:sz w:val="24"/>
              </w:rPr>
              <w:t>、申请理由</w:t>
            </w:r>
            <w:r>
              <w:rPr>
                <w:rFonts w:hint="eastAsia" w:ascii="宋体" w:hAnsi="宋体" w:cs="宋体"/>
                <w:color w:val="000000"/>
                <w:kern w:val="0"/>
                <w:sz w:val="24"/>
              </w:rPr>
              <w:t>；</w:t>
            </w:r>
          </w:p>
          <w:p w14:paraId="601F2115">
            <w:pPr>
              <w:widowControl/>
              <w:jc w:val="left"/>
              <w:rPr>
                <w:rFonts w:hint="eastAsia" w:ascii="宋体" w:hAnsi="宋体" w:cs="宋体"/>
                <w:color w:val="000000"/>
                <w:kern w:val="0"/>
                <w:sz w:val="24"/>
              </w:rPr>
            </w:pPr>
            <w:r>
              <w:rPr>
                <w:rFonts w:hint="eastAsia" w:ascii="宋体" w:hAnsi="宋体" w:cs="宋体"/>
                <w:color w:val="000000"/>
                <w:kern w:val="0"/>
                <w:sz w:val="24"/>
              </w:rPr>
              <w:t>（2）topic审批</w:t>
            </w:r>
          </w:p>
          <w:p w14:paraId="61EEA1F3">
            <w:pPr>
              <w:widowControl/>
              <w:jc w:val="left"/>
              <w:rPr>
                <w:rFonts w:hint="eastAsia" w:ascii="宋体" w:hAnsi="宋体" w:cs="宋体"/>
                <w:color w:val="000000"/>
                <w:kern w:val="0"/>
                <w:sz w:val="24"/>
              </w:rPr>
            </w:pPr>
            <w:r>
              <w:rPr>
                <w:rFonts w:hint="eastAsia" w:ascii="宋体" w:hAnsi="宋体" w:cs="宋体"/>
                <w:color w:val="000000"/>
                <w:kern w:val="0"/>
                <w:sz w:val="24"/>
              </w:rPr>
              <w:t>1、生产者审核：审核生产者topic，并可设置保留的时间；</w:t>
            </w:r>
          </w:p>
          <w:p w14:paraId="071D32CF">
            <w:pPr>
              <w:widowControl/>
              <w:jc w:val="left"/>
              <w:rPr>
                <w:rFonts w:hint="eastAsia" w:ascii="宋体" w:hAnsi="宋体" w:cs="宋体"/>
                <w:color w:val="000000"/>
                <w:kern w:val="0"/>
                <w:sz w:val="24"/>
              </w:rPr>
            </w:pPr>
            <w:r>
              <w:rPr>
                <w:rFonts w:hint="eastAsia" w:ascii="宋体" w:hAnsi="宋体" w:cs="宋体"/>
                <w:color w:val="000000"/>
                <w:kern w:val="0"/>
                <w:sz w:val="24"/>
              </w:rPr>
              <w:t>2、消费者审核：审核消费者topic，具备审核通过与不通过；</w:t>
            </w:r>
          </w:p>
          <w:p w14:paraId="5E7C9425">
            <w:pPr>
              <w:widowControl/>
              <w:jc w:val="left"/>
              <w:rPr>
                <w:rFonts w:hint="eastAsia" w:ascii="宋体" w:hAnsi="宋体" w:cs="宋体"/>
                <w:color w:val="000000"/>
                <w:kern w:val="0"/>
                <w:sz w:val="24"/>
              </w:rPr>
            </w:pPr>
            <w:r>
              <w:rPr>
                <w:rFonts w:hint="eastAsia" w:ascii="宋体" w:hAnsi="宋体" w:cs="宋体"/>
                <w:color w:val="000000"/>
                <w:kern w:val="0"/>
                <w:sz w:val="24"/>
              </w:rPr>
              <w:t>（3）Kafka信息</w:t>
            </w:r>
          </w:p>
          <w:p w14:paraId="52534AE0">
            <w:pPr>
              <w:widowControl/>
              <w:jc w:val="left"/>
              <w:rPr>
                <w:rFonts w:hint="eastAsia" w:ascii="宋体" w:hAnsi="宋体" w:cs="宋体"/>
                <w:color w:val="000000"/>
                <w:kern w:val="0"/>
                <w:sz w:val="24"/>
              </w:rPr>
            </w:pPr>
            <w:r>
              <w:rPr>
                <w:rFonts w:hint="eastAsia" w:ascii="宋体" w:hAnsi="宋体" w:cs="宋体"/>
                <w:color w:val="000000"/>
                <w:kern w:val="0"/>
                <w:sz w:val="24"/>
              </w:rPr>
              <w:t>可查看包括Kafka账号与密码、认证方式、Kafka集群ip、端口、数据写入速度、数据存储容量、数据保留时间、操作权限；</w:t>
            </w:r>
          </w:p>
        </w:tc>
      </w:tr>
      <w:tr w14:paraId="454B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6604402">
            <w:pPr>
              <w:widowControl/>
              <w:jc w:val="left"/>
              <w:rPr>
                <w:rFonts w:hint="eastAsia" w:ascii="宋体" w:hAnsi="宋体" w:cs="宋体"/>
                <w:color w:val="000000"/>
                <w:kern w:val="0"/>
                <w:sz w:val="24"/>
              </w:rPr>
            </w:pPr>
          </w:p>
        </w:tc>
        <w:tc>
          <w:tcPr>
            <w:tcW w:w="1573" w:type="dxa"/>
            <w:shd w:val="clear" w:color="auto" w:fill="auto"/>
            <w:vAlign w:val="center"/>
          </w:tcPr>
          <w:p w14:paraId="5477EBDD">
            <w:pPr>
              <w:widowControl/>
              <w:jc w:val="left"/>
              <w:rPr>
                <w:rFonts w:hint="eastAsia" w:ascii="宋体" w:hAnsi="宋体" w:cs="宋体"/>
                <w:color w:val="000000"/>
                <w:kern w:val="0"/>
                <w:sz w:val="24"/>
              </w:rPr>
            </w:pPr>
            <w:r>
              <w:rPr>
                <w:rFonts w:hint="eastAsia" w:ascii="宋体" w:hAnsi="宋体" w:cs="宋体"/>
                <w:color w:val="000000"/>
                <w:kern w:val="0"/>
                <w:sz w:val="24"/>
              </w:rPr>
              <w:t>任务管理</w:t>
            </w:r>
          </w:p>
        </w:tc>
        <w:tc>
          <w:tcPr>
            <w:tcW w:w="6700" w:type="dxa"/>
            <w:shd w:val="clear" w:color="auto" w:fill="auto"/>
            <w:vAlign w:val="center"/>
          </w:tcPr>
          <w:p w14:paraId="24FB8C70">
            <w:pPr>
              <w:widowControl/>
              <w:jc w:val="left"/>
              <w:rPr>
                <w:rFonts w:hint="eastAsia" w:ascii="宋体" w:hAnsi="宋体" w:cs="宋体"/>
                <w:color w:val="000000"/>
                <w:kern w:val="0"/>
                <w:sz w:val="24"/>
              </w:rPr>
            </w:pPr>
            <w:r>
              <w:rPr>
                <w:rFonts w:hint="eastAsia" w:ascii="宋体" w:hAnsi="宋体" w:cs="宋体"/>
                <w:color w:val="000000"/>
                <w:kern w:val="0"/>
                <w:sz w:val="24"/>
              </w:rPr>
              <w:t>（1）新建计算任务</w:t>
            </w:r>
          </w:p>
          <w:p w14:paraId="58F1E769">
            <w:pPr>
              <w:widowControl/>
              <w:jc w:val="left"/>
              <w:rPr>
                <w:rFonts w:hint="eastAsia" w:ascii="宋体" w:hAnsi="宋体" w:cs="宋体"/>
                <w:color w:val="000000"/>
                <w:kern w:val="0"/>
                <w:sz w:val="24"/>
              </w:rPr>
            </w:pPr>
            <w:r>
              <w:rPr>
                <w:rFonts w:hint="eastAsia" w:ascii="宋体" w:hAnsi="宋体" w:cs="宋体"/>
                <w:color w:val="000000"/>
                <w:kern w:val="0"/>
                <w:sz w:val="24"/>
              </w:rPr>
              <w:t>基于flink实时任务管理，设置任务模式（Local Cluster、Standalone Cluster、YARN PER）、运行参数、状态保存、三方JAR、Topic、实时同步脚本；</w:t>
            </w:r>
          </w:p>
          <w:p w14:paraId="1721A422">
            <w:pPr>
              <w:widowControl/>
              <w:jc w:val="left"/>
              <w:rPr>
                <w:rFonts w:hint="eastAsia" w:ascii="宋体" w:hAnsi="宋体" w:cs="宋体"/>
                <w:color w:val="000000"/>
                <w:kern w:val="0"/>
                <w:sz w:val="24"/>
              </w:rPr>
            </w:pPr>
            <w:r>
              <w:rPr>
                <w:rFonts w:hint="eastAsia" w:ascii="宋体" w:hAnsi="宋体" w:cs="宋体"/>
                <w:color w:val="000000"/>
                <w:kern w:val="0"/>
                <w:sz w:val="24"/>
              </w:rPr>
              <w:t>（2）实时任务</w:t>
            </w:r>
          </w:p>
          <w:p w14:paraId="4B93A43C">
            <w:pPr>
              <w:widowControl/>
              <w:jc w:val="left"/>
              <w:rPr>
                <w:rFonts w:hint="eastAsia" w:ascii="宋体" w:hAnsi="宋体" w:cs="宋体"/>
                <w:color w:val="000000"/>
                <w:kern w:val="0"/>
                <w:sz w:val="24"/>
              </w:rPr>
            </w:pPr>
            <w:r>
              <w:rPr>
                <w:rFonts w:hint="eastAsia" w:ascii="宋体" w:hAnsi="宋体" w:cs="宋体"/>
                <w:color w:val="000000"/>
                <w:kern w:val="0"/>
                <w:sz w:val="24"/>
              </w:rPr>
              <w:t>新建任务、启动、恢复、备份、查看、修改、复制、删除等任务管理；</w:t>
            </w:r>
          </w:p>
          <w:p w14:paraId="20945DF5">
            <w:pPr>
              <w:widowControl/>
              <w:jc w:val="left"/>
              <w:rPr>
                <w:rFonts w:hint="eastAsia" w:ascii="宋体" w:hAnsi="宋体" w:cs="宋体"/>
                <w:color w:val="000000"/>
                <w:kern w:val="0"/>
                <w:sz w:val="24"/>
              </w:rPr>
            </w:pPr>
            <w:r>
              <w:rPr>
                <w:rFonts w:hint="eastAsia" w:ascii="宋体" w:hAnsi="宋体" w:cs="宋体"/>
                <w:color w:val="000000"/>
                <w:kern w:val="0"/>
                <w:sz w:val="24"/>
              </w:rPr>
              <w:t>（3）实时任务日志</w:t>
            </w:r>
          </w:p>
          <w:p w14:paraId="35F868F5">
            <w:pPr>
              <w:widowControl/>
              <w:jc w:val="left"/>
              <w:rPr>
                <w:rFonts w:hint="eastAsia" w:ascii="宋体" w:hAnsi="宋体" w:cs="宋体"/>
                <w:color w:val="000000"/>
                <w:kern w:val="0"/>
                <w:sz w:val="24"/>
              </w:rPr>
            </w:pPr>
            <w:r>
              <w:rPr>
                <w:rFonts w:hint="eastAsia" w:ascii="宋体" w:hAnsi="宋体" w:cs="宋体"/>
                <w:color w:val="000000"/>
                <w:kern w:val="0"/>
                <w:sz w:val="24"/>
              </w:rPr>
              <w:t>可以查询实时任务日志，包括运行状态成功还是失败，以及查看详情；</w:t>
            </w:r>
          </w:p>
        </w:tc>
      </w:tr>
      <w:tr w14:paraId="00B4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2312EEA3">
            <w:pPr>
              <w:widowControl/>
              <w:jc w:val="center"/>
              <w:rPr>
                <w:rFonts w:hint="eastAsia" w:ascii="宋体" w:hAnsi="宋体" w:cs="宋体"/>
                <w:color w:val="000000"/>
                <w:kern w:val="0"/>
                <w:sz w:val="24"/>
              </w:rPr>
            </w:pPr>
            <w:r>
              <w:rPr>
                <w:rFonts w:hint="eastAsia" w:ascii="宋体" w:hAnsi="宋体" w:cs="宋体"/>
                <w:color w:val="000000"/>
                <w:kern w:val="0"/>
                <w:sz w:val="24"/>
              </w:rPr>
              <w:t>数据安全管理</w:t>
            </w:r>
          </w:p>
        </w:tc>
        <w:tc>
          <w:tcPr>
            <w:tcW w:w="1573" w:type="dxa"/>
            <w:shd w:val="clear" w:color="auto" w:fill="auto"/>
            <w:vAlign w:val="center"/>
          </w:tcPr>
          <w:p w14:paraId="4F5BB975">
            <w:pPr>
              <w:widowControl/>
              <w:jc w:val="left"/>
              <w:rPr>
                <w:rFonts w:hint="eastAsia" w:ascii="宋体" w:hAnsi="宋体" w:cs="宋体"/>
                <w:kern w:val="0"/>
                <w:sz w:val="24"/>
              </w:rPr>
            </w:pPr>
            <w:r>
              <w:rPr>
                <w:rFonts w:hint="eastAsia" w:ascii="宋体" w:hAnsi="宋体" w:cs="宋体"/>
                <w:kern w:val="0"/>
                <w:sz w:val="24"/>
              </w:rPr>
              <w:t>数据备份</w:t>
            </w:r>
          </w:p>
        </w:tc>
        <w:tc>
          <w:tcPr>
            <w:tcW w:w="6700" w:type="dxa"/>
            <w:shd w:val="clear" w:color="auto" w:fill="auto"/>
            <w:vAlign w:val="center"/>
          </w:tcPr>
          <w:p w14:paraId="40A3B263">
            <w:pPr>
              <w:widowControl/>
              <w:jc w:val="left"/>
              <w:rPr>
                <w:rFonts w:hint="eastAsia" w:ascii="宋体" w:hAnsi="宋体" w:cs="宋体"/>
                <w:kern w:val="0"/>
                <w:sz w:val="24"/>
              </w:rPr>
            </w:pPr>
            <w:r>
              <w:rPr>
                <w:rFonts w:hint="eastAsia" w:ascii="宋体" w:hAnsi="宋体" w:cs="宋体"/>
                <w:kern w:val="0"/>
                <w:sz w:val="24"/>
              </w:rPr>
              <w:t>数据仓应具备基于大数据集群层面备份机制，功能主要包括：</w:t>
            </w:r>
            <w:r>
              <w:rPr>
                <w:rFonts w:hint="eastAsia" w:ascii="宋体" w:hAnsi="宋体" w:cs="宋体"/>
                <w:kern w:val="0"/>
                <w:sz w:val="24"/>
              </w:rPr>
              <w:br w:type="textWrapping"/>
            </w:r>
            <w:r>
              <w:rPr>
                <w:rFonts w:hint="eastAsia" w:ascii="宋体" w:hAnsi="宋体" w:cs="宋体"/>
                <w:kern w:val="0"/>
                <w:sz w:val="24"/>
              </w:rPr>
              <w:t>1.数据备份：数据备份应具备跨环境的异地备份能力（异地环境由用户方提供）。</w:t>
            </w:r>
            <w:r>
              <w:rPr>
                <w:rFonts w:hint="eastAsia" w:ascii="宋体" w:hAnsi="宋体" w:cs="宋体"/>
                <w:kern w:val="0"/>
                <w:sz w:val="24"/>
              </w:rPr>
              <w:br w:type="textWrapping"/>
            </w:r>
            <w:r>
              <w:rPr>
                <w:rFonts w:hint="eastAsia" w:ascii="宋体" w:hAnsi="宋体" w:cs="宋体"/>
                <w:kern w:val="0"/>
                <w:sz w:val="24"/>
              </w:rPr>
              <w:t>2.存储节点：数据备份应支撑一主多重，将数据默认存储到多个不同的存储节点。</w:t>
            </w:r>
            <w:r>
              <w:rPr>
                <w:rFonts w:hint="eastAsia" w:ascii="宋体" w:hAnsi="宋体" w:cs="宋体"/>
                <w:kern w:val="0"/>
                <w:sz w:val="24"/>
              </w:rPr>
              <w:br w:type="textWrapping"/>
            </w:r>
            <w:r>
              <w:rPr>
                <w:rFonts w:hint="eastAsia" w:ascii="宋体" w:hAnsi="宋体" w:cs="宋体"/>
                <w:kern w:val="0"/>
                <w:sz w:val="24"/>
              </w:rPr>
              <w:t>3.数据恢复：当发生故障时，系统应具备数据恢复能力。</w:t>
            </w:r>
          </w:p>
        </w:tc>
      </w:tr>
      <w:tr w14:paraId="5632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0C31100F">
            <w:pPr>
              <w:widowControl/>
              <w:jc w:val="center"/>
              <w:rPr>
                <w:rFonts w:hint="eastAsia" w:ascii="宋体" w:hAnsi="宋体" w:cs="宋体"/>
                <w:color w:val="000000"/>
                <w:kern w:val="0"/>
                <w:sz w:val="24"/>
              </w:rPr>
            </w:pPr>
          </w:p>
        </w:tc>
        <w:tc>
          <w:tcPr>
            <w:tcW w:w="1573" w:type="dxa"/>
            <w:shd w:val="clear" w:color="auto" w:fill="auto"/>
            <w:vAlign w:val="center"/>
          </w:tcPr>
          <w:p w14:paraId="534EF1C9">
            <w:pPr>
              <w:widowControl/>
              <w:jc w:val="left"/>
              <w:rPr>
                <w:rFonts w:hint="eastAsia" w:ascii="宋体" w:hAnsi="宋体" w:cs="宋体"/>
                <w:kern w:val="0"/>
                <w:sz w:val="24"/>
              </w:rPr>
            </w:pPr>
            <w:r>
              <w:rPr>
                <w:rFonts w:hint="eastAsia" w:ascii="宋体" w:hAnsi="宋体" w:cs="宋体"/>
                <w:kern w:val="0"/>
                <w:sz w:val="24"/>
              </w:rPr>
              <w:t>敏感数据</w:t>
            </w:r>
          </w:p>
        </w:tc>
        <w:tc>
          <w:tcPr>
            <w:tcW w:w="6700" w:type="dxa"/>
            <w:shd w:val="clear" w:color="auto" w:fill="auto"/>
            <w:vAlign w:val="center"/>
          </w:tcPr>
          <w:p w14:paraId="5A23EA69">
            <w:pPr>
              <w:widowControl/>
              <w:jc w:val="left"/>
              <w:rPr>
                <w:rFonts w:hint="eastAsia" w:ascii="宋体" w:hAnsi="宋体" w:cs="宋体"/>
                <w:kern w:val="0"/>
                <w:sz w:val="24"/>
              </w:rPr>
            </w:pPr>
            <w:r>
              <w:rPr>
                <w:rFonts w:hint="eastAsia" w:ascii="宋体" w:hAnsi="宋体" w:cs="宋体"/>
                <w:kern w:val="0"/>
                <w:sz w:val="24"/>
              </w:rPr>
              <w:t>定义敏感数据，具备在字段层面对敏感字段进行配置。</w:t>
            </w:r>
          </w:p>
        </w:tc>
      </w:tr>
      <w:tr w14:paraId="2858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14:paraId="6C2EF58E">
            <w:pPr>
              <w:widowControl/>
              <w:jc w:val="center"/>
              <w:rPr>
                <w:rFonts w:hint="eastAsia" w:ascii="宋体" w:hAnsi="宋体" w:cs="宋体"/>
                <w:color w:val="000000"/>
                <w:kern w:val="0"/>
                <w:sz w:val="24"/>
              </w:rPr>
            </w:pPr>
          </w:p>
        </w:tc>
        <w:tc>
          <w:tcPr>
            <w:tcW w:w="1573" w:type="dxa"/>
            <w:shd w:val="clear" w:color="auto" w:fill="auto"/>
            <w:vAlign w:val="center"/>
          </w:tcPr>
          <w:p w14:paraId="114A177F">
            <w:pPr>
              <w:widowControl/>
              <w:jc w:val="left"/>
              <w:rPr>
                <w:rFonts w:hint="eastAsia" w:ascii="宋体" w:hAnsi="宋体" w:cs="宋体"/>
                <w:kern w:val="0"/>
                <w:sz w:val="24"/>
              </w:rPr>
            </w:pPr>
            <w:r>
              <w:rPr>
                <w:rFonts w:hint="eastAsia" w:ascii="宋体" w:hAnsi="宋体" w:cs="宋体"/>
                <w:kern w:val="0"/>
                <w:sz w:val="24"/>
              </w:rPr>
              <w:t>数据加密</w:t>
            </w:r>
          </w:p>
        </w:tc>
        <w:tc>
          <w:tcPr>
            <w:tcW w:w="6700" w:type="dxa"/>
            <w:shd w:val="clear" w:color="auto" w:fill="auto"/>
            <w:vAlign w:val="center"/>
          </w:tcPr>
          <w:p w14:paraId="26FB43A4">
            <w:pPr>
              <w:widowControl/>
              <w:jc w:val="left"/>
              <w:rPr>
                <w:rFonts w:hint="eastAsia" w:ascii="宋体" w:hAnsi="宋体" w:cs="宋体"/>
                <w:kern w:val="0"/>
                <w:sz w:val="24"/>
              </w:rPr>
            </w:pPr>
            <w:r>
              <w:rPr>
                <w:rFonts w:hint="eastAsia" w:ascii="宋体" w:hAnsi="宋体" w:cs="宋体"/>
                <w:kern w:val="0"/>
                <w:sz w:val="24"/>
              </w:rPr>
              <w:t>对数据库存储的敏感数据进行加密，满足国密加密要求,无论是外部攻击导致的“拖库”,还是内部高权限账户的越权访问,都无法对没有权限的加密数据进行破解和提取,从而保障数据的访问安全。</w:t>
            </w:r>
          </w:p>
        </w:tc>
      </w:tr>
      <w:tr w14:paraId="13D4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6302B68">
            <w:pPr>
              <w:widowControl/>
              <w:jc w:val="left"/>
              <w:rPr>
                <w:rFonts w:hint="eastAsia" w:ascii="宋体" w:hAnsi="宋体" w:cs="宋体"/>
                <w:color w:val="000000"/>
                <w:kern w:val="0"/>
                <w:sz w:val="24"/>
              </w:rPr>
            </w:pPr>
          </w:p>
        </w:tc>
        <w:tc>
          <w:tcPr>
            <w:tcW w:w="1573" w:type="dxa"/>
            <w:shd w:val="clear" w:color="auto" w:fill="auto"/>
            <w:vAlign w:val="center"/>
          </w:tcPr>
          <w:p w14:paraId="50CFE794">
            <w:pPr>
              <w:widowControl/>
              <w:jc w:val="left"/>
              <w:rPr>
                <w:rFonts w:hint="eastAsia" w:ascii="宋体" w:hAnsi="宋体" w:cs="宋体"/>
                <w:color w:val="FF0000"/>
                <w:kern w:val="0"/>
                <w:sz w:val="24"/>
              </w:rPr>
            </w:pPr>
            <w:r>
              <w:rPr>
                <w:rFonts w:hint="eastAsia" w:ascii="宋体" w:hAnsi="宋体" w:cs="宋体"/>
                <w:color w:val="000000"/>
                <w:kern w:val="0"/>
                <w:sz w:val="24"/>
              </w:rPr>
              <w:t>令牌管理</w:t>
            </w:r>
          </w:p>
        </w:tc>
        <w:tc>
          <w:tcPr>
            <w:tcW w:w="6700" w:type="dxa"/>
            <w:shd w:val="clear" w:color="auto" w:fill="auto"/>
            <w:vAlign w:val="center"/>
          </w:tcPr>
          <w:p w14:paraId="2E715D7D">
            <w:pPr>
              <w:widowControl/>
              <w:jc w:val="left"/>
              <w:rPr>
                <w:rFonts w:hint="eastAsia" w:ascii="宋体" w:hAnsi="宋体" w:cs="宋体"/>
                <w:color w:val="FF0000"/>
                <w:kern w:val="0"/>
                <w:sz w:val="24"/>
              </w:rPr>
            </w:pPr>
            <w:r>
              <w:rPr>
                <w:rFonts w:hint="eastAsia" w:ascii="宋体" w:hAnsi="宋体" w:cs="宋体"/>
                <w:color w:val="000000"/>
                <w:kern w:val="0"/>
                <w:sz w:val="24"/>
              </w:rPr>
              <w:t>提供创建令牌功能，并具备设置令牌的失效时间，自动生成token，为第三方接口调用作为获取接口的秘钥，实现接口的安全使用。</w:t>
            </w:r>
          </w:p>
        </w:tc>
      </w:tr>
      <w:tr w14:paraId="47EE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47A071F">
            <w:pPr>
              <w:widowControl/>
              <w:jc w:val="left"/>
              <w:rPr>
                <w:rFonts w:hint="eastAsia" w:ascii="宋体" w:hAnsi="宋体" w:cs="宋体"/>
                <w:color w:val="000000"/>
                <w:kern w:val="0"/>
                <w:sz w:val="24"/>
              </w:rPr>
            </w:pPr>
          </w:p>
        </w:tc>
        <w:tc>
          <w:tcPr>
            <w:tcW w:w="1573" w:type="dxa"/>
            <w:shd w:val="clear" w:color="auto" w:fill="auto"/>
            <w:vAlign w:val="center"/>
          </w:tcPr>
          <w:p w14:paraId="144D4767">
            <w:pPr>
              <w:widowControl/>
              <w:jc w:val="left"/>
              <w:rPr>
                <w:rFonts w:hint="eastAsia" w:ascii="宋体" w:hAnsi="宋体" w:cs="宋体"/>
                <w:kern w:val="0"/>
                <w:sz w:val="24"/>
              </w:rPr>
            </w:pPr>
            <w:r>
              <w:rPr>
                <w:rFonts w:hint="eastAsia" w:ascii="宋体" w:hAnsi="宋体" w:cs="宋体"/>
                <w:kern w:val="0"/>
                <w:sz w:val="24"/>
              </w:rPr>
              <w:t>安全设置</w:t>
            </w:r>
          </w:p>
        </w:tc>
        <w:tc>
          <w:tcPr>
            <w:tcW w:w="6700" w:type="dxa"/>
            <w:shd w:val="clear" w:color="auto" w:fill="auto"/>
            <w:vAlign w:val="center"/>
          </w:tcPr>
          <w:p w14:paraId="3A4D6821">
            <w:pPr>
              <w:widowControl/>
              <w:jc w:val="left"/>
              <w:rPr>
                <w:rFonts w:hint="eastAsia" w:ascii="宋体" w:hAnsi="宋体" w:cs="宋体"/>
                <w:kern w:val="0"/>
                <w:sz w:val="24"/>
              </w:rPr>
            </w:pPr>
            <w:r>
              <w:rPr>
                <w:rFonts w:hint="eastAsia" w:ascii="宋体" w:hAnsi="宋体" w:cs="宋体"/>
                <w:kern w:val="0"/>
                <w:sz w:val="24"/>
              </w:rPr>
              <w:t>提供数据被使用的安全条件设置功能，具体安全设置功能如下：</w:t>
            </w:r>
            <w:r>
              <w:rPr>
                <w:rFonts w:hint="eastAsia" w:ascii="宋体" w:hAnsi="宋体" w:cs="宋体"/>
                <w:kern w:val="0"/>
                <w:sz w:val="24"/>
              </w:rPr>
              <w:br w:type="textWrapping"/>
            </w:r>
            <w:r>
              <w:rPr>
                <w:rFonts w:hint="eastAsia" w:ascii="宋体" w:hAnsi="宋体" w:cs="宋体"/>
                <w:kern w:val="0"/>
                <w:sz w:val="24"/>
              </w:rPr>
              <w:t>1.水印设置：具备在原始库、标准库、主题库等数据查询可预览数据内容的功能下设置水印，避免数据被截图、拍照等操作使用。</w:t>
            </w:r>
            <w:r>
              <w:rPr>
                <w:rFonts w:hint="eastAsia" w:ascii="宋体" w:hAnsi="宋体" w:cs="宋体"/>
                <w:kern w:val="0"/>
                <w:sz w:val="24"/>
              </w:rPr>
              <w:br w:type="textWrapping"/>
            </w:r>
            <w:r>
              <w:rPr>
                <w:rFonts w:hint="eastAsia" w:ascii="宋体" w:hAnsi="宋体" w:cs="宋体"/>
                <w:kern w:val="0"/>
                <w:sz w:val="24"/>
              </w:rPr>
              <w:t>2.数据导出设置：具备设置单个用户单日导出数据表的上限数量设置功能，防止用户批量导出数据。</w:t>
            </w:r>
            <w:r>
              <w:rPr>
                <w:rFonts w:hint="eastAsia" w:ascii="宋体" w:hAnsi="宋体" w:cs="宋体"/>
                <w:kern w:val="0"/>
                <w:sz w:val="24"/>
              </w:rPr>
              <w:br w:type="textWrapping"/>
            </w:r>
            <w:r>
              <w:rPr>
                <w:rFonts w:hint="eastAsia" w:ascii="宋体" w:hAnsi="宋体" w:cs="宋体"/>
                <w:kern w:val="0"/>
                <w:sz w:val="24"/>
              </w:rPr>
              <w:t>3.实时任务总内存设置：具备设置单个数据治理任务内存上限设置，满足数据环境资源的有效使用，避免服务器环境超负荷。</w:t>
            </w:r>
          </w:p>
        </w:tc>
      </w:tr>
      <w:tr w14:paraId="519D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055B2F4">
            <w:pPr>
              <w:widowControl/>
              <w:jc w:val="left"/>
              <w:rPr>
                <w:rFonts w:hint="eastAsia" w:ascii="宋体" w:hAnsi="宋体" w:cs="宋体"/>
                <w:color w:val="000000"/>
                <w:kern w:val="0"/>
                <w:sz w:val="24"/>
              </w:rPr>
            </w:pPr>
          </w:p>
        </w:tc>
        <w:tc>
          <w:tcPr>
            <w:tcW w:w="1573" w:type="dxa"/>
            <w:shd w:val="clear" w:color="auto" w:fill="auto"/>
            <w:vAlign w:val="center"/>
          </w:tcPr>
          <w:p w14:paraId="451708FE">
            <w:pPr>
              <w:widowControl/>
              <w:jc w:val="left"/>
              <w:rPr>
                <w:rFonts w:hint="eastAsia" w:ascii="宋体" w:hAnsi="宋体" w:cs="宋体"/>
                <w:kern w:val="0"/>
                <w:sz w:val="24"/>
              </w:rPr>
            </w:pPr>
            <w:r>
              <w:rPr>
                <w:rFonts w:hint="eastAsia" w:ascii="宋体" w:hAnsi="宋体" w:cs="宋体"/>
                <w:kern w:val="0"/>
                <w:sz w:val="24"/>
              </w:rPr>
              <w:t>操作日志</w:t>
            </w:r>
          </w:p>
        </w:tc>
        <w:tc>
          <w:tcPr>
            <w:tcW w:w="6700" w:type="dxa"/>
            <w:shd w:val="clear" w:color="auto" w:fill="auto"/>
            <w:vAlign w:val="center"/>
          </w:tcPr>
          <w:p w14:paraId="46618F08">
            <w:pPr>
              <w:widowControl/>
              <w:jc w:val="left"/>
              <w:rPr>
                <w:rFonts w:hint="eastAsia" w:ascii="宋体" w:hAnsi="宋体" w:cs="宋体"/>
                <w:kern w:val="0"/>
                <w:sz w:val="24"/>
              </w:rPr>
            </w:pPr>
            <w:r>
              <w:rPr>
                <w:rFonts w:hint="eastAsia" w:ascii="宋体" w:hAnsi="宋体" w:cs="宋体"/>
                <w:kern w:val="0"/>
                <w:sz w:val="24"/>
              </w:rPr>
              <w:t>提供系统操作和数据库操作日志记录功能，系统管理员能够通过操作日志查看某操作人登录平台后的操作事件、IP地址、操作时间等信息，并具备通过搜索具体操作事件查找的功能；日志满足180天以上存储要求。</w:t>
            </w:r>
          </w:p>
        </w:tc>
      </w:tr>
      <w:tr w14:paraId="58AB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ECCAC18">
            <w:pPr>
              <w:widowControl/>
              <w:jc w:val="left"/>
              <w:rPr>
                <w:rFonts w:hint="eastAsia" w:ascii="宋体" w:hAnsi="宋体" w:cs="宋体"/>
                <w:color w:val="000000"/>
                <w:kern w:val="0"/>
                <w:sz w:val="24"/>
              </w:rPr>
            </w:pPr>
          </w:p>
        </w:tc>
        <w:tc>
          <w:tcPr>
            <w:tcW w:w="1573" w:type="dxa"/>
            <w:shd w:val="clear" w:color="auto" w:fill="auto"/>
            <w:vAlign w:val="center"/>
          </w:tcPr>
          <w:p w14:paraId="3C95A594">
            <w:pPr>
              <w:widowControl/>
              <w:jc w:val="left"/>
              <w:rPr>
                <w:rFonts w:hint="eastAsia" w:ascii="宋体" w:hAnsi="宋体" w:cs="宋体"/>
                <w:color w:val="FF0000"/>
                <w:kern w:val="0"/>
                <w:sz w:val="24"/>
              </w:rPr>
            </w:pPr>
            <w:r>
              <w:rPr>
                <w:rFonts w:hint="eastAsia" w:ascii="宋体" w:hAnsi="宋体" w:cs="宋体"/>
                <w:color w:val="000000"/>
                <w:kern w:val="0"/>
                <w:sz w:val="24"/>
              </w:rPr>
              <w:t>数据权限管理</w:t>
            </w:r>
          </w:p>
        </w:tc>
        <w:tc>
          <w:tcPr>
            <w:tcW w:w="6700" w:type="dxa"/>
            <w:shd w:val="clear" w:color="auto" w:fill="auto"/>
            <w:vAlign w:val="center"/>
          </w:tcPr>
          <w:p w14:paraId="3EFA40B8">
            <w:pPr>
              <w:widowControl/>
              <w:jc w:val="left"/>
              <w:rPr>
                <w:rFonts w:hint="eastAsia" w:ascii="宋体" w:hAnsi="宋体" w:cs="宋体"/>
                <w:color w:val="FF0000"/>
                <w:kern w:val="0"/>
                <w:sz w:val="24"/>
              </w:rPr>
            </w:pPr>
            <w:r>
              <w:rPr>
                <w:rFonts w:hint="eastAsia" w:ascii="宋体" w:hAnsi="宋体" w:cs="宋体"/>
                <w:color w:val="000000"/>
                <w:kern w:val="0"/>
                <w:sz w:val="24"/>
              </w:rPr>
              <w:t>数据仓应满足管理者与开发者的数据运维和使用权限分配功能：</w:t>
            </w:r>
            <w:r>
              <w:rPr>
                <w:rFonts w:hint="eastAsia" w:ascii="宋体" w:hAnsi="宋体" w:cs="宋体"/>
                <w:color w:val="000000"/>
                <w:kern w:val="0"/>
                <w:sz w:val="24"/>
              </w:rPr>
              <w:br w:type="textWrapping"/>
            </w:r>
            <w:r>
              <w:rPr>
                <w:rFonts w:hint="eastAsia" w:ascii="宋体" w:hAnsi="宋体" w:cs="宋体"/>
                <w:color w:val="000000"/>
                <w:kern w:val="0"/>
                <w:sz w:val="24"/>
              </w:rPr>
              <w:t>1.系统应具备在创建项目时可添加项目管理成员，并通过选择项目管理员配置权限角色，如开发者、管理者等。</w:t>
            </w:r>
            <w:r>
              <w:rPr>
                <w:rFonts w:hint="eastAsia" w:ascii="宋体" w:hAnsi="宋体" w:cs="宋体"/>
                <w:color w:val="000000"/>
                <w:kern w:val="0"/>
                <w:sz w:val="24"/>
              </w:rPr>
              <w:br w:type="textWrapping"/>
            </w:r>
            <w:r>
              <w:rPr>
                <w:rFonts w:hint="eastAsia" w:ascii="宋体" w:hAnsi="宋体" w:cs="宋体"/>
                <w:color w:val="000000"/>
                <w:kern w:val="0"/>
                <w:sz w:val="24"/>
              </w:rPr>
              <w:t>2.系统应具备在创建项目时，对项目下所有数据管理工具查看、新建、编辑、删除等功能，并支持按角色授权。</w:t>
            </w:r>
          </w:p>
        </w:tc>
      </w:tr>
      <w:tr w14:paraId="38AC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2A0F5388">
            <w:pPr>
              <w:widowControl/>
              <w:jc w:val="left"/>
              <w:rPr>
                <w:rFonts w:hint="eastAsia" w:ascii="宋体" w:hAnsi="宋体" w:cs="宋体"/>
                <w:color w:val="000000"/>
                <w:kern w:val="0"/>
                <w:sz w:val="24"/>
              </w:rPr>
            </w:pPr>
          </w:p>
        </w:tc>
        <w:tc>
          <w:tcPr>
            <w:tcW w:w="1573" w:type="dxa"/>
            <w:shd w:val="clear" w:color="auto" w:fill="auto"/>
            <w:noWrap/>
            <w:vAlign w:val="center"/>
          </w:tcPr>
          <w:p w14:paraId="13E144E0">
            <w:pPr>
              <w:widowControl/>
              <w:rPr>
                <w:rFonts w:hint="eastAsia" w:ascii="宋体" w:hAnsi="宋体" w:cs="宋体"/>
                <w:kern w:val="0"/>
                <w:sz w:val="24"/>
              </w:rPr>
            </w:pPr>
            <w:r>
              <w:rPr>
                <w:rFonts w:hint="eastAsia" w:ascii="宋体" w:hAnsi="宋体" w:cs="宋体"/>
                <w:kern w:val="0"/>
                <w:sz w:val="24"/>
              </w:rPr>
              <w:t>数据传输管理</w:t>
            </w:r>
          </w:p>
        </w:tc>
        <w:tc>
          <w:tcPr>
            <w:tcW w:w="6700" w:type="dxa"/>
            <w:shd w:val="clear" w:color="auto" w:fill="auto"/>
            <w:vAlign w:val="center"/>
          </w:tcPr>
          <w:p w14:paraId="2AB7AE85">
            <w:pPr>
              <w:widowControl/>
              <w:jc w:val="left"/>
              <w:rPr>
                <w:rFonts w:hint="eastAsia" w:ascii="宋体" w:hAnsi="宋体" w:cs="宋体"/>
                <w:kern w:val="0"/>
                <w:sz w:val="24"/>
              </w:rPr>
            </w:pPr>
            <w:r>
              <w:rPr>
                <w:rFonts w:hint="eastAsia" w:ascii="宋体" w:hAnsi="宋体" w:cs="宋体"/>
                <w:kern w:val="0"/>
                <w:sz w:val="24"/>
              </w:rPr>
              <w:t>1.支持提供给第三方应用或业务系统获取数据的每个API接口中，在数据传输时通过国密算法对整条数据记录做加密；</w:t>
            </w:r>
            <w:r>
              <w:rPr>
                <w:rFonts w:hint="eastAsia" w:ascii="宋体" w:hAnsi="宋体" w:cs="宋体"/>
                <w:kern w:val="0"/>
                <w:sz w:val="24"/>
              </w:rPr>
              <w:br w:type="textWrapping"/>
            </w:r>
            <w:r>
              <w:rPr>
                <w:rFonts w:hint="eastAsia" w:ascii="宋体" w:hAnsi="宋体" w:cs="宋体"/>
                <w:kern w:val="0"/>
                <w:sz w:val="24"/>
              </w:rPr>
              <w:t>2.支持每个第三方业务系统申请者获取到加密数据后，需要通过获取接口申请时的秘钥方可进行数据解密。</w:t>
            </w:r>
            <w:r>
              <w:rPr>
                <w:rFonts w:hint="eastAsia" w:ascii="宋体" w:hAnsi="宋体" w:cs="宋体"/>
                <w:kern w:val="0"/>
                <w:sz w:val="24"/>
              </w:rPr>
              <w:br w:type="textWrapping"/>
            </w:r>
            <w:r>
              <w:rPr>
                <w:rFonts w:hint="eastAsia" w:ascii="宋体" w:hAnsi="宋体" w:cs="宋体"/>
                <w:kern w:val="0"/>
                <w:sz w:val="24"/>
              </w:rPr>
              <w:t>3.支持建表时对特定字段数据进行加密设置，使用的国密加密算法，以实现数据库的加密存储，保证数据安全。</w:t>
            </w:r>
          </w:p>
        </w:tc>
      </w:tr>
    </w:tbl>
    <w:p w14:paraId="4723AEA9">
      <w:pPr>
        <w:spacing w:line="360" w:lineRule="auto"/>
        <w:ind w:left="-10" w:leftChars="-5"/>
        <w:rPr>
          <w:rFonts w:hint="eastAsia" w:asciiTheme="minorEastAsia" w:hAnsiTheme="minorEastAsia" w:eastAsiaTheme="minorEastAsia" w:cstheme="minorEastAsia"/>
          <w:b/>
          <w:sz w:val="24"/>
          <w:szCs w:val="24"/>
        </w:rPr>
      </w:pPr>
    </w:p>
    <w:p w14:paraId="2D55201C">
      <w:pPr>
        <w:numPr>
          <w:ilvl w:val="0"/>
          <w:numId w:val="2"/>
        </w:numPr>
        <w:spacing w:line="360" w:lineRule="auto"/>
        <w:ind w:left="422" w:leftChars="-5" w:hanging="43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校务管理系统</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6759"/>
      </w:tblGrid>
      <w:tr w14:paraId="4356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6" w:type="dxa"/>
            <w:shd w:val="clear" w:color="auto" w:fill="auto"/>
            <w:vAlign w:val="center"/>
          </w:tcPr>
          <w:p w14:paraId="3E33DCC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模块</w:t>
            </w:r>
          </w:p>
        </w:tc>
        <w:tc>
          <w:tcPr>
            <w:tcW w:w="1276" w:type="dxa"/>
            <w:shd w:val="clear" w:color="auto" w:fill="auto"/>
            <w:vAlign w:val="center"/>
          </w:tcPr>
          <w:p w14:paraId="66EF140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功能</w:t>
            </w:r>
          </w:p>
        </w:tc>
        <w:tc>
          <w:tcPr>
            <w:tcW w:w="6759" w:type="dxa"/>
            <w:shd w:val="clear" w:color="auto" w:fill="auto"/>
            <w:vAlign w:val="center"/>
          </w:tcPr>
          <w:p w14:paraId="2737452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需求概述</w:t>
            </w:r>
          </w:p>
        </w:tc>
      </w:tr>
      <w:tr w14:paraId="5DAF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vAlign w:val="center"/>
          </w:tcPr>
          <w:p w14:paraId="0B28D62D">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学生值周管理</w:t>
            </w:r>
          </w:p>
        </w:tc>
        <w:tc>
          <w:tcPr>
            <w:tcW w:w="1276" w:type="dxa"/>
            <w:shd w:val="clear" w:color="auto" w:fill="auto"/>
            <w:vAlign w:val="center"/>
          </w:tcPr>
          <w:p w14:paraId="46A0F358">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值周教师安排</w:t>
            </w:r>
          </w:p>
        </w:tc>
        <w:tc>
          <w:tcPr>
            <w:tcW w:w="6759" w:type="dxa"/>
            <w:shd w:val="clear" w:color="auto" w:fill="auto"/>
            <w:vAlign w:val="center"/>
          </w:tcPr>
          <w:p w14:paraId="51AA17FD">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1.按周设置各值周教师</w:t>
            </w:r>
          </w:p>
          <w:p w14:paraId="38E4652D">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2.当周可修改值周教师</w:t>
            </w:r>
          </w:p>
        </w:tc>
      </w:tr>
      <w:tr w14:paraId="71E6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6431D05">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507E93AF">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评分项目管理</w:t>
            </w:r>
          </w:p>
        </w:tc>
        <w:tc>
          <w:tcPr>
            <w:tcW w:w="6759" w:type="dxa"/>
            <w:shd w:val="clear" w:color="auto" w:fill="auto"/>
            <w:vAlign w:val="center"/>
          </w:tcPr>
          <w:p w14:paraId="0D1D6120">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设置一级栏目</w:t>
            </w:r>
          </w:p>
          <w:p w14:paraId="24CE66C7">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1.纪律、两操、卫生、五关、住校</w:t>
            </w:r>
          </w:p>
          <w:p w14:paraId="5D113A86">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设置二级栏目</w:t>
            </w:r>
          </w:p>
          <w:p w14:paraId="1192A47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2.关于纪律、两操、卫生、五关、住校的二级栏目</w:t>
            </w:r>
          </w:p>
        </w:tc>
      </w:tr>
      <w:tr w14:paraId="2251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7D608BF6">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6F303CB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权限设置</w:t>
            </w:r>
          </w:p>
        </w:tc>
        <w:tc>
          <w:tcPr>
            <w:tcW w:w="6759" w:type="dxa"/>
            <w:shd w:val="clear" w:color="auto" w:fill="auto"/>
            <w:vAlign w:val="center"/>
          </w:tcPr>
          <w:p w14:paraId="55B499C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1.按权限设置纪律、两操、卫生、五关、住校权限设置。</w:t>
            </w:r>
          </w:p>
        </w:tc>
      </w:tr>
      <w:tr w14:paraId="0880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FA52D18">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7CFE2F1D">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值周检查</w:t>
            </w:r>
          </w:p>
        </w:tc>
        <w:tc>
          <w:tcPr>
            <w:tcW w:w="6759" w:type="dxa"/>
            <w:shd w:val="clear" w:color="auto" w:fill="auto"/>
            <w:vAlign w:val="center"/>
          </w:tcPr>
          <w:p w14:paraId="3C1EE6FF">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值周教师可通过平台对各班级内的卫生、两操等表现情况进行扣分或加分，按班级进行扣分。</w:t>
            </w:r>
          </w:p>
        </w:tc>
      </w:tr>
      <w:tr w14:paraId="625E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5096932">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30F935A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值周教师查询</w:t>
            </w:r>
          </w:p>
        </w:tc>
        <w:tc>
          <w:tcPr>
            <w:tcW w:w="6759" w:type="dxa"/>
            <w:shd w:val="clear" w:color="auto" w:fill="auto"/>
            <w:vAlign w:val="center"/>
          </w:tcPr>
          <w:p w14:paraId="666AAA6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为值周教师提供终端查询服务，更便捷的了解自己所管理的区域情况和班级情况。</w:t>
            </w:r>
          </w:p>
        </w:tc>
      </w:tr>
      <w:tr w14:paraId="39D0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B38F557">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0CFB2463">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五项评比统计</w:t>
            </w:r>
          </w:p>
        </w:tc>
        <w:tc>
          <w:tcPr>
            <w:tcW w:w="6759" w:type="dxa"/>
            <w:shd w:val="clear" w:color="auto" w:fill="auto"/>
            <w:vAlign w:val="center"/>
          </w:tcPr>
          <w:p w14:paraId="6DCCD0B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1.按年级统计</w:t>
            </w:r>
          </w:p>
          <w:p w14:paraId="11CA19DC">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统计各班级，纪律、两操、卫生、五关、住校分数各项分数，并进行排名；</w:t>
            </w:r>
          </w:p>
          <w:p w14:paraId="0B25F408">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点击各项统计，可以查询这一周来的具体明细。</w:t>
            </w:r>
          </w:p>
          <w:p w14:paraId="1A70CE5C">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2.按专业统计</w:t>
            </w:r>
          </w:p>
          <w:p w14:paraId="11FF4C27">
            <w:pPr>
              <w:widowControl/>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统计专业，纪律、两操、卫生、五关、住校分数各项分数的平均分；</w:t>
            </w:r>
          </w:p>
        </w:tc>
      </w:tr>
      <w:tr w14:paraId="1B0C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vAlign w:val="center"/>
          </w:tcPr>
          <w:p w14:paraId="748528B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校行事历管理</w:t>
            </w:r>
          </w:p>
        </w:tc>
        <w:tc>
          <w:tcPr>
            <w:tcW w:w="1276" w:type="dxa"/>
            <w:shd w:val="clear" w:color="auto" w:fill="auto"/>
            <w:vAlign w:val="center"/>
          </w:tcPr>
          <w:p w14:paraId="3C14D76D">
            <w:pPr>
              <w:widowControl/>
              <w:jc w:val="left"/>
              <w:rPr>
                <w:rFonts w:hint="eastAsia" w:ascii="宋体" w:hAnsi="宋体" w:eastAsia="宋体" w:cs="宋体"/>
                <w:color w:val="000000"/>
                <w:kern w:val="0"/>
                <w:sz w:val="24"/>
                <w:szCs w:val="24"/>
                <w:highlight w:val="none"/>
              </w:rPr>
            </w:pPr>
            <w:bookmarkStart w:id="30" w:name="OLE_LINK45"/>
            <w:r>
              <w:rPr>
                <w:rFonts w:hint="eastAsia" w:ascii="宋体" w:hAnsi="宋体" w:eastAsia="宋体" w:cs="宋体"/>
                <w:sz w:val="24"/>
                <w:szCs w:val="24"/>
                <w:highlight w:val="none"/>
              </w:rPr>
              <w:t>行事历</w:t>
            </w:r>
            <w:bookmarkEnd w:id="30"/>
            <w:r>
              <w:rPr>
                <w:rFonts w:hint="eastAsia" w:ascii="宋体" w:hAnsi="宋体" w:eastAsia="宋体" w:cs="宋体"/>
                <w:sz w:val="24"/>
                <w:szCs w:val="24"/>
                <w:highlight w:val="none"/>
              </w:rPr>
              <w:t>管理</w:t>
            </w:r>
          </w:p>
        </w:tc>
        <w:tc>
          <w:tcPr>
            <w:tcW w:w="6759" w:type="dxa"/>
            <w:shd w:val="clear" w:color="auto" w:fill="auto"/>
            <w:vAlign w:val="center"/>
          </w:tcPr>
          <w:p w14:paraId="1B88688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1.发起行事历</w:t>
            </w:r>
          </w:p>
          <w:p w14:paraId="1CBBC91B">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将原来文件式的行事例发布转变为网络协同操作；可按周、学期、学期前等三种方式发起行事例管理。实现行事例的发起、填写、人员时间安排判断冲突，审核后</w:t>
            </w:r>
            <w:bookmarkStart w:id="31" w:name="OLE_LINK18"/>
            <w:r>
              <w:rPr>
                <w:rFonts w:hint="eastAsia" w:ascii="宋体" w:hAnsi="宋体" w:eastAsia="宋体" w:cs="宋体"/>
                <w:sz w:val="24"/>
                <w:szCs w:val="24"/>
                <w:highlight w:val="none"/>
              </w:rPr>
              <w:t>发布到钉钉端</w:t>
            </w:r>
            <w:bookmarkEnd w:id="31"/>
            <w:r>
              <w:rPr>
                <w:rFonts w:hint="eastAsia" w:ascii="宋体" w:hAnsi="宋体" w:eastAsia="宋体" w:cs="宋体"/>
                <w:sz w:val="24"/>
                <w:szCs w:val="24"/>
                <w:highlight w:val="none"/>
              </w:rPr>
              <w:t>，可查看行事例所处状态，如是否截止，领导是否已审核。</w:t>
            </w:r>
          </w:p>
          <w:p w14:paraId="3BF269C8">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2.添加行事例内容</w:t>
            </w:r>
          </w:p>
          <w:p w14:paraId="4528A626">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行事例填报，包括工作安排、地点、人员、负责部门等。</w:t>
            </w:r>
          </w:p>
          <w:p w14:paraId="64A4567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3.行事例审核</w:t>
            </w:r>
          </w:p>
          <w:p w14:paraId="4BC713F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行事例填报完进行调整审核通过后发布到钉钉端。</w:t>
            </w:r>
          </w:p>
        </w:tc>
      </w:tr>
      <w:tr w14:paraId="604C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E1F0187">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3CBBD12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行事例查看</w:t>
            </w:r>
          </w:p>
        </w:tc>
        <w:tc>
          <w:tcPr>
            <w:tcW w:w="6759" w:type="dxa"/>
            <w:shd w:val="clear" w:color="auto" w:fill="auto"/>
            <w:vAlign w:val="center"/>
          </w:tcPr>
          <w:p w14:paraId="212729F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1.PC端查询</w:t>
            </w:r>
          </w:p>
          <w:p w14:paraId="1B97CDD5">
            <w:pPr>
              <w:widowControl/>
              <w:jc w:val="left"/>
              <w:rPr>
                <w:rFonts w:hint="eastAsia" w:ascii="宋体" w:hAnsi="宋体" w:eastAsia="宋体" w:cs="宋体"/>
                <w:sz w:val="24"/>
                <w:szCs w:val="24"/>
                <w:highlight w:val="none"/>
              </w:rPr>
            </w:pPr>
            <w:bookmarkStart w:id="32" w:name="OLE_LINK47"/>
            <w:r>
              <w:rPr>
                <w:rFonts w:hint="eastAsia" w:ascii="宋体" w:hAnsi="宋体" w:eastAsia="宋体" w:cs="宋体"/>
                <w:sz w:val="24"/>
                <w:szCs w:val="24"/>
                <w:highlight w:val="none"/>
              </w:rPr>
              <w:t>支持按天、按周等方式查看，以日历表的形式供选择查看行事例。</w:t>
            </w:r>
          </w:p>
          <w:bookmarkEnd w:id="32"/>
          <w:p w14:paraId="7C59BF59">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2.钉钉端查询</w:t>
            </w:r>
          </w:p>
          <w:p w14:paraId="72F5E66A">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支持按天、按周等方式查看，以日历表的形式供选择查看行事例。</w:t>
            </w:r>
          </w:p>
        </w:tc>
      </w:tr>
      <w:tr w14:paraId="549B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vAlign w:val="center"/>
          </w:tcPr>
          <w:p w14:paraId="75589DB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通知公告</w:t>
            </w:r>
          </w:p>
        </w:tc>
        <w:tc>
          <w:tcPr>
            <w:tcW w:w="1276" w:type="dxa"/>
            <w:shd w:val="clear" w:color="auto" w:fill="auto"/>
            <w:vAlign w:val="center"/>
          </w:tcPr>
          <w:p w14:paraId="5134EE6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通知公告</w:t>
            </w:r>
          </w:p>
        </w:tc>
        <w:tc>
          <w:tcPr>
            <w:tcW w:w="6759" w:type="dxa"/>
            <w:shd w:val="clear" w:color="auto" w:fill="auto"/>
            <w:vAlign w:val="center"/>
          </w:tcPr>
          <w:p w14:paraId="7C5C5362">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通知内容的发布，支持信息的图文混排，可进行添加、删除和修改，可指定通知发布的起始时间，限定接收人，支持回执功能，可查阅通知公告内容已阅读和未阅读的对像。</w:t>
            </w:r>
          </w:p>
        </w:tc>
      </w:tr>
      <w:tr w14:paraId="6556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vAlign w:val="center"/>
          </w:tcPr>
          <w:p w14:paraId="0367DF22">
            <w:pPr>
              <w:widowControl/>
              <w:jc w:val="center"/>
              <w:rPr>
                <w:rFonts w:hint="eastAsia" w:ascii="宋体" w:hAnsi="宋体" w:eastAsia="宋体" w:cs="宋体"/>
                <w:color w:val="000000"/>
                <w:kern w:val="0"/>
                <w:sz w:val="24"/>
                <w:szCs w:val="24"/>
                <w:highlight w:val="none"/>
              </w:rPr>
            </w:pPr>
          </w:p>
        </w:tc>
        <w:tc>
          <w:tcPr>
            <w:tcW w:w="1276" w:type="dxa"/>
            <w:shd w:val="clear" w:color="auto" w:fill="auto"/>
            <w:vAlign w:val="center"/>
          </w:tcPr>
          <w:p w14:paraId="5ED5AD2F">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通知查询</w:t>
            </w:r>
          </w:p>
        </w:tc>
        <w:tc>
          <w:tcPr>
            <w:tcW w:w="6759" w:type="dxa"/>
            <w:shd w:val="clear" w:color="auto" w:fill="auto"/>
            <w:vAlign w:val="center"/>
          </w:tcPr>
          <w:p w14:paraId="129B1477">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1.PC端查询</w:t>
            </w:r>
          </w:p>
          <w:p w14:paraId="454ACEA2">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点击通知公告应用，进入通知列表页，每条通知显示标题、发布时间等。采用不同颜色或图标区分通知的紧急程度和重要级别，重要通知添加特殊颜色或图标，方便用户快速识别。</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通知详情查看：点击通知标题进入详情页面，完整展示通知正文内容，包括文字、图片、链接、附件等。对于图片，支持全屏查看和缩放；对于附件，提供在线预览和下载按钮，用户可根据需求进行操作。</w:t>
            </w:r>
          </w:p>
          <w:p w14:paraId="3DE01D34">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2.钉钉端查询</w:t>
            </w:r>
          </w:p>
          <w:p w14:paraId="5EF1605F">
            <w:pPr>
              <w:widowControl/>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在移动端首页以滚动形式展示最新通知，通过点击内容可进入通知详情页。</w:t>
            </w:r>
          </w:p>
        </w:tc>
      </w:tr>
      <w:tr w14:paraId="4034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15EF148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优秀毕业生管理</w:t>
            </w:r>
          </w:p>
        </w:tc>
        <w:tc>
          <w:tcPr>
            <w:tcW w:w="1276" w:type="dxa"/>
            <w:shd w:val="clear" w:color="auto" w:fill="auto"/>
            <w:vAlign w:val="center"/>
          </w:tcPr>
          <w:p w14:paraId="7AA4B078">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优秀毕业生导入</w:t>
            </w:r>
          </w:p>
        </w:tc>
        <w:tc>
          <w:tcPr>
            <w:tcW w:w="6759" w:type="dxa"/>
            <w:shd w:val="clear" w:color="auto" w:fill="auto"/>
            <w:vAlign w:val="center"/>
          </w:tcPr>
          <w:p w14:paraId="7166CAE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支持批量导入历届优秀毕业生名单，兼容 Excel 文件格式，可自动匹配姓名、班级、毕业年份等字段。系统需校验数据唯一性（如避免重复导入同一学生），并提供导入失败数据批量修正与重新提交功能，确保历史数据快速、准确录入。</w:t>
            </w:r>
          </w:p>
        </w:tc>
      </w:tr>
      <w:tr w14:paraId="04D6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EF3305D">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28B1465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优秀毕业生创建</w:t>
            </w:r>
          </w:p>
        </w:tc>
        <w:tc>
          <w:tcPr>
            <w:tcW w:w="6759" w:type="dxa"/>
            <w:shd w:val="clear" w:color="auto" w:fill="auto"/>
            <w:vAlign w:val="center"/>
          </w:tcPr>
          <w:p w14:paraId="0829DB87">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支持为毕业生管理人员提供预毕业生名单，管理人员可通过系统按班级、按姓名等方式查找学生，并选择创建生成优秀毕业生名单。</w:t>
            </w:r>
          </w:p>
        </w:tc>
      </w:tr>
      <w:tr w14:paraId="5416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716E0B48">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673F75B1">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优秀毕业生查询</w:t>
            </w:r>
          </w:p>
        </w:tc>
        <w:tc>
          <w:tcPr>
            <w:tcW w:w="6759" w:type="dxa"/>
            <w:shd w:val="clear" w:color="auto" w:fill="auto"/>
            <w:vAlign w:val="center"/>
          </w:tcPr>
          <w:p w14:paraId="4A9D697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班级维度查询：支持按年级、专业、班级检索该班级历届优秀毕业生，展示名单及毕业时间等摘要信息，可导出为 PDF文件。</w:t>
            </w:r>
          </w:p>
          <w:p w14:paraId="1F9709E9">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个人维度查询：学生账号登录后可在档案中查询，并支持生成个人荣誉报告。</w:t>
            </w:r>
          </w:p>
        </w:tc>
      </w:tr>
      <w:tr w14:paraId="5AB7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3B32A23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临时调课管理</w:t>
            </w:r>
          </w:p>
        </w:tc>
        <w:tc>
          <w:tcPr>
            <w:tcW w:w="1276" w:type="dxa"/>
            <w:shd w:val="clear" w:color="auto" w:fill="auto"/>
            <w:vAlign w:val="center"/>
          </w:tcPr>
          <w:p w14:paraId="53768FA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平台数据接入</w:t>
            </w:r>
          </w:p>
        </w:tc>
        <w:tc>
          <w:tcPr>
            <w:tcW w:w="6759" w:type="dxa"/>
            <w:shd w:val="clear" w:color="auto" w:fill="auto"/>
            <w:vAlign w:val="center"/>
          </w:tcPr>
          <w:p w14:paraId="1AB71B9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1.钉钉请假数据；</w:t>
            </w:r>
          </w:p>
          <w:p w14:paraId="4C56590E">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2.原有教务数据导入（设定起止周课表）；</w:t>
            </w:r>
          </w:p>
          <w:p w14:paraId="33068A3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注：因考试周结束后，有些课程就停止了，教务处需要重新排课表；</w:t>
            </w:r>
          </w:p>
          <w:p w14:paraId="36CCDF0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3.完成数据初始化，包括课程、专业、班级、教师、教学任务；</w:t>
            </w:r>
          </w:p>
        </w:tc>
      </w:tr>
      <w:tr w14:paraId="3567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63C5DB9">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722354FF">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调课业务</w:t>
            </w:r>
          </w:p>
        </w:tc>
        <w:tc>
          <w:tcPr>
            <w:tcW w:w="6759" w:type="dxa"/>
            <w:shd w:val="clear" w:color="auto" w:fill="auto"/>
            <w:vAlign w:val="center"/>
          </w:tcPr>
          <w:p w14:paraId="6E288EE6">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1.（调课类型）</w:t>
            </w:r>
            <w:bookmarkStart w:id="33" w:name="OLE_LINK52"/>
            <w:r>
              <w:rPr>
                <w:rFonts w:hint="eastAsia" w:ascii="宋体" w:hAnsi="宋体" w:eastAsia="宋体" w:cs="宋体"/>
                <w:color w:val="000000"/>
                <w:kern w:val="0"/>
                <w:sz w:val="24"/>
                <w:szCs w:val="24"/>
                <w:highlight w:val="none"/>
              </w:rPr>
              <w:t>调课分为以下类型：班内老师代换课、教研组内老师代课、校内老师代课、校内老师自修管理、班内老师自修管理、学生自修；</w:t>
            </w:r>
            <w:bookmarkEnd w:id="33"/>
          </w:p>
          <w:p w14:paraId="68702246">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2.（具备撤销功能）</w:t>
            </w:r>
            <w:bookmarkStart w:id="34" w:name="OLE_LINK27"/>
            <w:r>
              <w:rPr>
                <w:rFonts w:hint="eastAsia" w:ascii="宋体" w:hAnsi="宋体" w:eastAsia="宋体" w:cs="宋体"/>
                <w:color w:val="000000"/>
                <w:kern w:val="0"/>
                <w:sz w:val="24"/>
                <w:szCs w:val="24"/>
                <w:highlight w:val="none"/>
              </w:rPr>
              <w:t>老师请假后，如果取消请假，已经调换的课程需要还原</w:t>
            </w:r>
            <w:bookmarkEnd w:id="34"/>
            <w:r>
              <w:rPr>
                <w:rFonts w:hint="eastAsia" w:ascii="宋体" w:hAnsi="宋体" w:eastAsia="宋体" w:cs="宋体"/>
                <w:color w:val="000000"/>
                <w:kern w:val="0"/>
                <w:sz w:val="24"/>
                <w:szCs w:val="24"/>
                <w:highlight w:val="none"/>
              </w:rPr>
              <w:t>；</w:t>
            </w:r>
          </w:p>
          <w:p w14:paraId="6EA990A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3.（具备修改功能）老师周一请假调课至周二之后，如果周二继续请假，需再次调课，被调课老师需要再度确认；</w:t>
            </w:r>
          </w:p>
          <w:p w14:paraId="2E3DE23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4.节假日统一换课，如本周五上下周一的课；</w:t>
            </w:r>
          </w:p>
          <w:p w14:paraId="7E11A313">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5.（信息修改功能）临时调整周五上周四的课，可在线修改星期几。</w:t>
            </w:r>
          </w:p>
        </w:tc>
      </w:tr>
      <w:tr w14:paraId="1224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3E1DF77A">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7DA8C6B7">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调课通知</w:t>
            </w:r>
          </w:p>
        </w:tc>
        <w:tc>
          <w:tcPr>
            <w:tcW w:w="6759" w:type="dxa"/>
            <w:shd w:val="clear" w:color="auto" w:fill="auto"/>
            <w:vAlign w:val="center"/>
          </w:tcPr>
          <w:p w14:paraId="1AE3E2CB">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1.（具备提醒功能）教师课表变动之后，钉钉可通过工作提醒教师去查看课程变动；</w:t>
            </w:r>
          </w:p>
          <w:p w14:paraId="55E5786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2.（临时调课的情况）</w:t>
            </w:r>
            <w:bookmarkStart w:id="35" w:name="OLE_LINK28"/>
            <w:r>
              <w:rPr>
                <w:rFonts w:hint="eastAsia" w:ascii="宋体" w:hAnsi="宋体" w:eastAsia="宋体" w:cs="宋体"/>
                <w:color w:val="000000"/>
                <w:kern w:val="0"/>
                <w:sz w:val="24"/>
                <w:szCs w:val="24"/>
                <w:highlight w:val="none"/>
              </w:rPr>
              <w:t>当天请假课程进行调换课，一对一钉钉提醒通知</w:t>
            </w:r>
            <w:bookmarkEnd w:id="35"/>
            <w:r>
              <w:rPr>
                <w:rFonts w:hint="eastAsia" w:ascii="宋体" w:hAnsi="宋体" w:eastAsia="宋体" w:cs="宋体"/>
                <w:color w:val="000000"/>
                <w:kern w:val="0"/>
                <w:sz w:val="24"/>
                <w:szCs w:val="24"/>
                <w:highlight w:val="none"/>
              </w:rPr>
              <w:t>；</w:t>
            </w:r>
          </w:p>
          <w:p w14:paraId="795E8ED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3.（教师确认功能）</w:t>
            </w:r>
            <w:bookmarkStart w:id="36" w:name="OLE_LINK29"/>
            <w:r>
              <w:rPr>
                <w:rFonts w:hint="eastAsia" w:ascii="宋体" w:hAnsi="宋体" w:eastAsia="宋体" w:cs="宋体"/>
                <w:color w:val="000000"/>
                <w:kern w:val="0"/>
                <w:sz w:val="24"/>
                <w:szCs w:val="24"/>
                <w:highlight w:val="none"/>
              </w:rPr>
              <w:t>每位老师能够清楚看到调动的课程（可通过颜色区分），并电子签名确认</w:t>
            </w:r>
            <w:bookmarkEnd w:id="36"/>
            <w:r>
              <w:rPr>
                <w:rFonts w:hint="eastAsia" w:ascii="宋体" w:hAnsi="宋体" w:eastAsia="宋体" w:cs="宋体"/>
                <w:color w:val="000000"/>
                <w:kern w:val="0"/>
                <w:sz w:val="24"/>
                <w:szCs w:val="24"/>
                <w:highlight w:val="none"/>
              </w:rPr>
              <w:t>；</w:t>
            </w:r>
          </w:p>
          <w:p w14:paraId="51017DA4">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4.（班主任确认功能）班主任能够看到每天班级课表所做的调动。</w:t>
            </w:r>
          </w:p>
        </w:tc>
      </w:tr>
      <w:tr w14:paraId="350D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EA2A177">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10F41C42">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课表查询</w:t>
            </w:r>
          </w:p>
        </w:tc>
        <w:tc>
          <w:tcPr>
            <w:tcW w:w="6759" w:type="dxa"/>
            <w:shd w:val="clear" w:color="auto" w:fill="auto"/>
            <w:vAlign w:val="center"/>
          </w:tcPr>
          <w:p w14:paraId="1BD05CB6">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1.按周查询班级课表、教师课表、场地课表；</w:t>
            </w:r>
          </w:p>
          <w:p w14:paraId="48CBD05A">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2.（权限赋予）专业部教学干事能够有权限（可读不可编辑）能够看部内各个班级、各位老师的实时课表；（临时课表）</w:t>
            </w:r>
          </w:p>
          <w:p w14:paraId="5D6C9B4B">
            <w:pPr>
              <w:widowControl/>
              <w:jc w:val="left"/>
              <w:rPr>
                <w:rFonts w:hint="eastAsia" w:ascii="宋体" w:hAnsi="宋体" w:eastAsia="宋体" w:cs="宋体"/>
                <w:b/>
                <w:bCs/>
                <w:sz w:val="24"/>
                <w:szCs w:val="24"/>
                <w:highlight w:val="none"/>
              </w:rPr>
            </w:pPr>
            <w:r>
              <w:rPr>
                <w:rFonts w:hint="eastAsia" w:ascii="宋体" w:hAnsi="宋体" w:eastAsia="宋体" w:cs="宋体"/>
                <w:color w:val="000000"/>
                <w:kern w:val="0"/>
                <w:sz w:val="24"/>
                <w:szCs w:val="24"/>
                <w:highlight w:val="none"/>
              </w:rPr>
              <w:t>3.</w:t>
            </w:r>
            <w:bookmarkStart w:id="37" w:name="OLE_LINK42"/>
            <w:r>
              <w:rPr>
                <w:rFonts w:hint="eastAsia" w:ascii="宋体" w:hAnsi="宋体" w:eastAsia="宋体" w:cs="宋体"/>
                <w:color w:val="000000"/>
                <w:kern w:val="0"/>
                <w:sz w:val="24"/>
                <w:szCs w:val="24"/>
                <w:highlight w:val="none"/>
              </w:rPr>
              <w:t>可以通过钉钉和网页进行相关查询</w:t>
            </w:r>
            <w:bookmarkEnd w:id="37"/>
            <w:r>
              <w:rPr>
                <w:rFonts w:hint="eastAsia" w:ascii="宋体" w:hAnsi="宋体" w:eastAsia="宋体" w:cs="宋体"/>
                <w:color w:val="000000"/>
                <w:kern w:val="0"/>
                <w:sz w:val="24"/>
                <w:szCs w:val="24"/>
                <w:highlight w:val="none"/>
              </w:rPr>
              <w:t>。</w:t>
            </w:r>
          </w:p>
        </w:tc>
      </w:tr>
      <w:tr w14:paraId="70A2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359362A">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13D842BB">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课时统计</w:t>
            </w:r>
          </w:p>
        </w:tc>
        <w:tc>
          <w:tcPr>
            <w:tcW w:w="6759" w:type="dxa"/>
            <w:shd w:val="clear" w:color="auto" w:fill="auto"/>
            <w:vAlign w:val="center"/>
          </w:tcPr>
          <w:p w14:paraId="5508EB4C">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1.（具备统计功能）按月统计（正常工作日内，需要排除节假日，调休工作日也需要注意）每位老师：代课课时数、自修管理课时数；</w:t>
            </w:r>
          </w:p>
          <w:p w14:paraId="0D14C575">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2.每个学期可以统计全校总的调换课数量；</w:t>
            </w:r>
          </w:p>
        </w:tc>
      </w:tr>
      <w:tr w14:paraId="6E18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55551000">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课堂考勤管理</w:t>
            </w:r>
          </w:p>
        </w:tc>
        <w:tc>
          <w:tcPr>
            <w:tcW w:w="1276" w:type="dxa"/>
            <w:shd w:val="clear" w:color="auto" w:fill="auto"/>
            <w:vAlign w:val="center"/>
          </w:tcPr>
          <w:p w14:paraId="1A400678">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数据接入</w:t>
            </w:r>
          </w:p>
        </w:tc>
        <w:tc>
          <w:tcPr>
            <w:tcW w:w="6759" w:type="dxa"/>
            <w:shd w:val="clear" w:color="auto" w:fill="auto"/>
            <w:vAlign w:val="center"/>
          </w:tcPr>
          <w:p w14:paraId="37BD6016">
            <w:pPr>
              <w:rPr>
                <w:rFonts w:hint="eastAsia" w:ascii="宋体" w:hAnsi="宋体" w:eastAsia="宋体" w:cs="宋体"/>
                <w:sz w:val="24"/>
                <w:szCs w:val="24"/>
                <w:highlight w:val="none"/>
              </w:rPr>
            </w:pPr>
            <w:r>
              <w:rPr>
                <w:rFonts w:hint="eastAsia" w:ascii="宋体" w:hAnsi="宋体" w:eastAsia="宋体" w:cs="宋体"/>
                <w:sz w:val="24"/>
                <w:szCs w:val="24"/>
                <w:highlight w:val="none"/>
              </w:rPr>
              <w:t>1.接入课表数据</w:t>
            </w:r>
          </w:p>
          <w:p w14:paraId="3A1D51AF">
            <w:pPr>
              <w:rPr>
                <w:rFonts w:hint="eastAsia" w:ascii="宋体" w:hAnsi="宋体" w:eastAsia="宋体" w:cs="宋体"/>
                <w:sz w:val="24"/>
                <w:szCs w:val="24"/>
                <w:highlight w:val="none"/>
              </w:rPr>
            </w:pPr>
            <w:r>
              <w:rPr>
                <w:rFonts w:hint="eastAsia" w:ascii="宋体" w:hAnsi="宋体" w:eastAsia="宋体" w:cs="宋体"/>
                <w:sz w:val="24"/>
                <w:szCs w:val="24"/>
                <w:highlight w:val="none"/>
              </w:rPr>
              <w:t>2.接入请假数据</w:t>
            </w:r>
          </w:p>
        </w:tc>
      </w:tr>
      <w:tr w14:paraId="1187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0EDE6C0E">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28B3D1B9">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教师点名</w:t>
            </w:r>
          </w:p>
        </w:tc>
        <w:tc>
          <w:tcPr>
            <w:tcW w:w="6759" w:type="dxa"/>
            <w:shd w:val="clear" w:color="auto" w:fill="auto"/>
            <w:vAlign w:val="center"/>
          </w:tcPr>
          <w:p w14:paraId="69569390">
            <w:pPr>
              <w:rPr>
                <w:rFonts w:hint="eastAsia" w:ascii="宋体" w:hAnsi="宋体" w:eastAsia="宋体" w:cs="宋体"/>
                <w:sz w:val="24"/>
                <w:szCs w:val="24"/>
                <w:highlight w:val="none"/>
              </w:rPr>
            </w:pPr>
            <w:r>
              <w:rPr>
                <w:rFonts w:hint="eastAsia" w:ascii="宋体" w:hAnsi="宋体" w:eastAsia="宋体" w:cs="宋体"/>
                <w:sz w:val="24"/>
                <w:szCs w:val="24"/>
                <w:highlight w:val="none"/>
              </w:rPr>
              <w:t>1.教师通过钉钉进行点名，可以关联到学生请假信息；</w:t>
            </w:r>
          </w:p>
          <w:p w14:paraId="6561E8B4">
            <w:pPr>
              <w:rPr>
                <w:rFonts w:hint="eastAsia" w:ascii="宋体" w:hAnsi="宋体" w:eastAsia="宋体" w:cs="宋体"/>
                <w:sz w:val="24"/>
                <w:szCs w:val="24"/>
                <w:highlight w:val="none"/>
              </w:rPr>
            </w:pPr>
            <w:r>
              <w:rPr>
                <w:rFonts w:hint="eastAsia" w:ascii="宋体" w:hAnsi="宋体" w:eastAsia="宋体" w:cs="宋体"/>
                <w:sz w:val="24"/>
                <w:szCs w:val="24"/>
                <w:highlight w:val="none"/>
              </w:rPr>
              <w:t>2.教师可进行迟到、早退、未到等学生在线登记；</w:t>
            </w:r>
          </w:p>
        </w:tc>
      </w:tr>
      <w:tr w14:paraId="6FA2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51B1EB66">
            <w:pPr>
              <w:widowControl/>
              <w:jc w:val="left"/>
              <w:rPr>
                <w:rFonts w:hint="eastAsia" w:ascii="宋体" w:hAnsi="宋体" w:eastAsia="宋体" w:cs="宋体"/>
                <w:color w:val="000000"/>
                <w:kern w:val="0"/>
                <w:sz w:val="24"/>
                <w:szCs w:val="24"/>
                <w:highlight w:val="none"/>
              </w:rPr>
            </w:pPr>
          </w:p>
        </w:tc>
        <w:tc>
          <w:tcPr>
            <w:tcW w:w="1276" w:type="dxa"/>
            <w:shd w:val="clear" w:color="auto" w:fill="auto"/>
            <w:vAlign w:val="center"/>
          </w:tcPr>
          <w:p w14:paraId="6E023502">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考勤统计</w:t>
            </w:r>
          </w:p>
        </w:tc>
        <w:tc>
          <w:tcPr>
            <w:tcW w:w="6759" w:type="dxa"/>
            <w:shd w:val="clear" w:color="auto" w:fill="auto"/>
            <w:vAlign w:val="center"/>
          </w:tcPr>
          <w:p w14:paraId="44DAA64E">
            <w:pPr>
              <w:rPr>
                <w:rFonts w:hint="eastAsia" w:ascii="宋体" w:hAnsi="宋体" w:eastAsia="宋体" w:cs="宋体"/>
                <w:sz w:val="24"/>
                <w:szCs w:val="24"/>
                <w:highlight w:val="none"/>
              </w:rPr>
            </w:pPr>
            <w:r>
              <w:rPr>
                <w:rFonts w:hint="eastAsia" w:ascii="宋体" w:hAnsi="宋体" w:eastAsia="宋体" w:cs="宋体"/>
                <w:sz w:val="24"/>
                <w:szCs w:val="24"/>
                <w:highlight w:val="none"/>
              </w:rPr>
              <w:t>1.按周统计</w:t>
            </w:r>
          </w:p>
          <w:p w14:paraId="1775D7F4">
            <w:pPr>
              <w:rPr>
                <w:rFonts w:hint="eastAsia" w:ascii="宋体" w:hAnsi="宋体" w:eastAsia="宋体" w:cs="宋体"/>
                <w:sz w:val="24"/>
                <w:szCs w:val="24"/>
                <w:highlight w:val="none"/>
              </w:rPr>
            </w:pPr>
            <w:bookmarkStart w:id="38" w:name="OLE_LINK30"/>
            <w:r>
              <w:rPr>
                <w:rFonts w:hint="eastAsia" w:ascii="宋体" w:hAnsi="宋体" w:eastAsia="宋体" w:cs="宋体"/>
                <w:sz w:val="24"/>
                <w:szCs w:val="24"/>
                <w:highlight w:val="none"/>
              </w:rPr>
              <w:t>以班级为单位，统计每个学生应到节课、请假节课、未到节课、迟到节课；</w:t>
            </w:r>
          </w:p>
          <w:bookmarkEnd w:id="38"/>
          <w:p w14:paraId="39CF39EB">
            <w:pPr>
              <w:rPr>
                <w:rFonts w:hint="eastAsia" w:ascii="宋体" w:hAnsi="宋体" w:eastAsia="宋体" w:cs="宋体"/>
                <w:sz w:val="24"/>
                <w:szCs w:val="24"/>
                <w:highlight w:val="none"/>
              </w:rPr>
            </w:pPr>
            <w:r>
              <w:rPr>
                <w:rFonts w:hint="eastAsia" w:ascii="宋体" w:hAnsi="宋体" w:eastAsia="宋体" w:cs="宋体"/>
                <w:sz w:val="24"/>
                <w:szCs w:val="24"/>
                <w:highlight w:val="none"/>
              </w:rPr>
              <w:t>2.按课程统计</w:t>
            </w:r>
          </w:p>
          <w:p w14:paraId="2077341D">
            <w:pPr>
              <w:rPr>
                <w:rFonts w:hint="eastAsia" w:ascii="宋体" w:hAnsi="宋体" w:eastAsia="宋体" w:cs="宋体"/>
                <w:sz w:val="24"/>
                <w:szCs w:val="24"/>
                <w:highlight w:val="none"/>
              </w:rPr>
            </w:pPr>
            <w:r>
              <w:rPr>
                <w:rFonts w:hint="eastAsia" w:ascii="宋体" w:hAnsi="宋体" w:eastAsia="宋体" w:cs="宋体"/>
                <w:sz w:val="24"/>
                <w:szCs w:val="24"/>
                <w:highlight w:val="none"/>
              </w:rPr>
              <w:t>以班级为单位，统计每个学生应到节课、请假节课、未到节课、迟到节课；</w:t>
            </w:r>
          </w:p>
        </w:tc>
      </w:tr>
    </w:tbl>
    <w:p w14:paraId="6EC6B1DD">
      <w:pPr>
        <w:ind w:left="-10" w:leftChars="-5"/>
        <w:rPr>
          <w:rFonts w:hint="eastAsia" w:asciiTheme="minorEastAsia" w:hAnsiTheme="minorEastAsia" w:eastAsiaTheme="minorEastAsia" w:cstheme="minorEastAsia"/>
          <w:b/>
          <w:sz w:val="36"/>
          <w:szCs w:val="36"/>
        </w:rPr>
      </w:pPr>
    </w:p>
    <w:p w14:paraId="371207C9">
      <w:pPr>
        <w:numPr>
          <w:ilvl w:val="0"/>
          <w:numId w:val="2"/>
        </w:numPr>
        <w:ind w:left="422" w:leftChars="-5" w:hanging="432"/>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24"/>
          <w:szCs w:val="24"/>
        </w:rPr>
        <w:t>数据应用系统</w:t>
      </w:r>
    </w:p>
    <w:tbl>
      <w:tblPr>
        <w:tblStyle w:val="19"/>
        <w:tblW w:w="0" w:type="auto"/>
        <w:tblInd w:w="113" w:type="dxa"/>
        <w:tblLayout w:type="autofit"/>
        <w:tblCellMar>
          <w:top w:w="0" w:type="dxa"/>
          <w:left w:w="108" w:type="dxa"/>
          <w:bottom w:w="0" w:type="dxa"/>
          <w:right w:w="108" w:type="dxa"/>
        </w:tblCellMar>
      </w:tblPr>
      <w:tblGrid>
        <w:gridCol w:w="785"/>
        <w:gridCol w:w="1337"/>
        <w:gridCol w:w="6772"/>
      </w:tblGrid>
      <w:tr w14:paraId="4BA5DCA5">
        <w:tblPrEx>
          <w:tblCellMar>
            <w:top w:w="0" w:type="dxa"/>
            <w:left w:w="108" w:type="dxa"/>
            <w:bottom w:w="0" w:type="dxa"/>
            <w:right w:w="108" w:type="dxa"/>
          </w:tblCellMar>
        </w:tblPrEx>
        <w:trPr>
          <w:tblHead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2B95820">
            <w:pPr>
              <w:widowControl/>
              <w:jc w:val="center"/>
              <w:rPr>
                <w:rFonts w:hint="eastAsia" w:ascii="宋体" w:hAnsi="宋体" w:cs="宋体"/>
                <w:color w:val="000000"/>
                <w:kern w:val="0"/>
                <w:sz w:val="24"/>
              </w:rPr>
            </w:pPr>
            <w:r>
              <w:rPr>
                <w:rFonts w:hint="eastAsia" w:ascii="宋体" w:hAnsi="宋体" w:cs="宋体"/>
                <w:color w:val="000000"/>
                <w:kern w:val="0"/>
                <w:sz w:val="24"/>
              </w:rPr>
              <w:t>模块</w:t>
            </w:r>
          </w:p>
        </w:tc>
        <w:tc>
          <w:tcPr>
            <w:tcW w:w="1337" w:type="dxa"/>
            <w:tcBorders>
              <w:top w:val="single" w:color="auto" w:sz="4" w:space="0"/>
              <w:left w:val="nil"/>
              <w:bottom w:val="single" w:color="auto" w:sz="4" w:space="0"/>
              <w:right w:val="single" w:color="auto" w:sz="4" w:space="0"/>
            </w:tcBorders>
            <w:shd w:val="clear" w:color="auto" w:fill="auto"/>
            <w:vAlign w:val="center"/>
          </w:tcPr>
          <w:p w14:paraId="4787EB5B">
            <w:pPr>
              <w:widowControl/>
              <w:jc w:val="center"/>
              <w:rPr>
                <w:rFonts w:hint="eastAsia" w:ascii="宋体" w:hAnsi="宋体" w:cs="宋体"/>
                <w:color w:val="000000"/>
                <w:kern w:val="0"/>
                <w:sz w:val="24"/>
              </w:rPr>
            </w:pPr>
            <w:r>
              <w:rPr>
                <w:rFonts w:hint="eastAsia" w:ascii="宋体" w:hAnsi="宋体" w:cs="宋体"/>
                <w:color w:val="000000"/>
                <w:kern w:val="0"/>
                <w:sz w:val="24"/>
              </w:rPr>
              <w:t>功能</w:t>
            </w:r>
          </w:p>
        </w:tc>
        <w:tc>
          <w:tcPr>
            <w:tcW w:w="6772" w:type="dxa"/>
            <w:tcBorders>
              <w:top w:val="single" w:color="auto" w:sz="4" w:space="0"/>
              <w:left w:val="nil"/>
              <w:bottom w:val="single" w:color="auto" w:sz="4" w:space="0"/>
              <w:right w:val="single" w:color="auto" w:sz="4" w:space="0"/>
            </w:tcBorders>
            <w:shd w:val="clear" w:color="auto" w:fill="auto"/>
            <w:vAlign w:val="center"/>
          </w:tcPr>
          <w:p w14:paraId="2BF3A2E0">
            <w:pPr>
              <w:widowControl/>
              <w:jc w:val="center"/>
              <w:rPr>
                <w:rFonts w:hint="eastAsia" w:ascii="宋体" w:hAnsi="宋体" w:cs="宋体"/>
                <w:color w:val="000000"/>
                <w:kern w:val="0"/>
                <w:sz w:val="24"/>
              </w:rPr>
            </w:pPr>
            <w:r>
              <w:rPr>
                <w:rFonts w:hint="eastAsia" w:ascii="宋体" w:hAnsi="宋体" w:cs="宋体"/>
                <w:color w:val="000000"/>
                <w:kern w:val="0"/>
                <w:sz w:val="24"/>
              </w:rPr>
              <w:t>需求概述</w:t>
            </w:r>
          </w:p>
        </w:tc>
      </w:tr>
      <w:tr w14:paraId="378EDBB8">
        <w:tblPrEx>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A5A8CDA">
            <w:pPr>
              <w:widowControl/>
              <w:jc w:val="center"/>
              <w:rPr>
                <w:rFonts w:hint="eastAsia" w:ascii="宋体" w:hAnsi="宋体" w:cs="宋体"/>
                <w:color w:val="000000"/>
                <w:kern w:val="0"/>
                <w:sz w:val="24"/>
              </w:rPr>
            </w:pPr>
            <w:r>
              <w:rPr>
                <w:rFonts w:hint="eastAsia" w:ascii="宋体" w:hAnsi="宋体" w:cs="宋体"/>
                <w:color w:val="000000"/>
                <w:kern w:val="0"/>
                <w:sz w:val="24"/>
              </w:rPr>
              <w:t>总体要求</w:t>
            </w:r>
          </w:p>
        </w:tc>
        <w:tc>
          <w:tcPr>
            <w:tcW w:w="1337" w:type="dxa"/>
            <w:tcBorders>
              <w:top w:val="single" w:color="auto" w:sz="4" w:space="0"/>
              <w:left w:val="nil"/>
              <w:bottom w:val="single" w:color="auto" w:sz="4" w:space="0"/>
              <w:right w:val="single" w:color="auto" w:sz="4" w:space="0"/>
            </w:tcBorders>
            <w:shd w:val="clear" w:color="auto" w:fill="auto"/>
            <w:vAlign w:val="center"/>
          </w:tcPr>
          <w:p w14:paraId="3EB966B7">
            <w:pPr>
              <w:widowControl/>
              <w:jc w:val="center"/>
              <w:rPr>
                <w:rFonts w:hint="eastAsia" w:ascii="宋体" w:hAnsi="宋体" w:cs="宋体"/>
                <w:color w:val="000000"/>
                <w:kern w:val="0"/>
                <w:sz w:val="24"/>
              </w:rPr>
            </w:pPr>
            <w:r>
              <w:rPr>
                <w:rFonts w:hint="eastAsia" w:ascii="宋体" w:hAnsi="宋体" w:cs="宋体"/>
                <w:color w:val="000000"/>
                <w:kern w:val="0"/>
                <w:sz w:val="24"/>
              </w:rPr>
              <w:t>/</w:t>
            </w:r>
          </w:p>
        </w:tc>
        <w:tc>
          <w:tcPr>
            <w:tcW w:w="6772" w:type="dxa"/>
            <w:tcBorders>
              <w:top w:val="single" w:color="auto" w:sz="4" w:space="0"/>
              <w:left w:val="nil"/>
              <w:bottom w:val="single" w:color="auto" w:sz="4" w:space="0"/>
              <w:right w:val="single" w:color="auto" w:sz="4" w:space="0"/>
            </w:tcBorders>
            <w:shd w:val="clear" w:color="auto" w:fill="auto"/>
            <w:vAlign w:val="center"/>
          </w:tcPr>
          <w:p w14:paraId="6F95ED1D">
            <w:pPr>
              <w:widowControl/>
              <w:jc w:val="left"/>
              <w:rPr>
                <w:rFonts w:hint="eastAsia" w:ascii="宋体" w:hAnsi="宋体" w:cs="宋体"/>
                <w:color w:val="000000"/>
                <w:kern w:val="0"/>
                <w:sz w:val="24"/>
              </w:rPr>
            </w:pPr>
            <w:r>
              <w:rPr>
                <w:rFonts w:hint="eastAsia" w:ascii="宋体" w:hAnsi="宋体" w:cs="宋体"/>
                <w:color w:val="000000"/>
                <w:kern w:val="0"/>
                <w:sz w:val="24"/>
              </w:rPr>
              <w:t>1、需具备PC端与钉钉端查询；</w:t>
            </w:r>
          </w:p>
        </w:tc>
      </w:tr>
      <w:tr w14:paraId="1FBBF5F7">
        <w:tblPrEx>
          <w:tblCellMar>
            <w:top w:w="0" w:type="dxa"/>
            <w:left w:w="108" w:type="dxa"/>
            <w:bottom w:w="0" w:type="dxa"/>
            <w:right w:w="108" w:type="dxa"/>
          </w:tblCellMar>
        </w:tblPrEx>
        <w:tc>
          <w:tcPr>
            <w:tcW w:w="785" w:type="dxa"/>
            <w:vMerge w:val="restart"/>
            <w:tcBorders>
              <w:top w:val="single" w:color="auto" w:sz="4" w:space="0"/>
              <w:left w:val="single" w:color="auto" w:sz="4" w:space="0"/>
              <w:right w:val="single" w:color="auto" w:sz="4" w:space="0"/>
            </w:tcBorders>
            <w:shd w:val="clear" w:color="auto" w:fill="auto"/>
            <w:vAlign w:val="center"/>
          </w:tcPr>
          <w:p w14:paraId="0AA3A2D4">
            <w:pPr>
              <w:widowControl/>
              <w:jc w:val="center"/>
              <w:rPr>
                <w:rFonts w:hint="eastAsia" w:ascii="宋体" w:hAnsi="宋体" w:cs="宋体"/>
                <w:color w:val="000000"/>
                <w:kern w:val="0"/>
                <w:sz w:val="24"/>
              </w:rPr>
            </w:pPr>
            <w:r>
              <w:rPr>
                <w:rFonts w:hint="eastAsia" w:ascii="宋体" w:hAnsi="宋体" w:cs="宋体"/>
                <w:color w:val="000000"/>
                <w:kern w:val="0"/>
                <w:sz w:val="24"/>
              </w:rPr>
              <w:t>教学教务查询</w:t>
            </w:r>
          </w:p>
        </w:tc>
        <w:tc>
          <w:tcPr>
            <w:tcW w:w="1337" w:type="dxa"/>
            <w:tcBorders>
              <w:top w:val="single" w:color="auto" w:sz="4" w:space="0"/>
              <w:left w:val="nil"/>
              <w:bottom w:val="single" w:color="auto" w:sz="4" w:space="0"/>
              <w:right w:val="single" w:color="auto" w:sz="4" w:space="0"/>
            </w:tcBorders>
            <w:shd w:val="clear" w:color="auto" w:fill="auto"/>
            <w:vAlign w:val="center"/>
          </w:tcPr>
          <w:p w14:paraId="48DB641B">
            <w:pPr>
              <w:widowControl/>
              <w:jc w:val="center"/>
              <w:rPr>
                <w:rFonts w:hint="eastAsia" w:ascii="宋体" w:hAnsi="宋体" w:cs="宋体"/>
                <w:color w:val="000000"/>
                <w:kern w:val="0"/>
                <w:sz w:val="24"/>
              </w:rPr>
            </w:pPr>
            <w:r>
              <w:rPr>
                <w:rFonts w:hint="eastAsia" w:ascii="宋体" w:hAnsi="宋体" w:cs="宋体"/>
                <w:color w:val="000000"/>
                <w:kern w:val="0"/>
                <w:sz w:val="24"/>
              </w:rPr>
              <w:t>课表查询</w:t>
            </w:r>
          </w:p>
        </w:tc>
        <w:tc>
          <w:tcPr>
            <w:tcW w:w="6772" w:type="dxa"/>
            <w:tcBorders>
              <w:top w:val="single" w:color="auto" w:sz="4" w:space="0"/>
              <w:left w:val="nil"/>
              <w:bottom w:val="single" w:color="auto" w:sz="4" w:space="0"/>
              <w:right w:val="single" w:color="auto" w:sz="4" w:space="0"/>
            </w:tcBorders>
            <w:shd w:val="clear" w:color="auto" w:fill="auto"/>
            <w:vAlign w:val="center"/>
          </w:tcPr>
          <w:p w14:paraId="57BA057E">
            <w:pPr>
              <w:widowControl/>
              <w:jc w:val="left"/>
              <w:rPr>
                <w:rFonts w:hint="eastAsia" w:ascii="宋体" w:hAnsi="宋体" w:cs="宋体"/>
                <w:color w:val="000000"/>
                <w:kern w:val="0"/>
                <w:sz w:val="24"/>
              </w:rPr>
            </w:pPr>
            <w:r>
              <w:rPr>
                <w:rFonts w:hint="eastAsia" w:ascii="宋体" w:hAnsi="宋体" w:cs="宋体"/>
                <w:color w:val="000000"/>
                <w:kern w:val="0"/>
                <w:sz w:val="24"/>
              </w:rPr>
              <w:t>1.查询班级课表</w:t>
            </w:r>
          </w:p>
          <w:p w14:paraId="793D4244">
            <w:pPr>
              <w:widowControl/>
              <w:jc w:val="left"/>
              <w:rPr>
                <w:rFonts w:hint="eastAsia" w:ascii="宋体" w:hAnsi="宋体" w:cs="宋体"/>
                <w:color w:val="000000"/>
                <w:kern w:val="0"/>
                <w:sz w:val="24"/>
              </w:rPr>
            </w:pPr>
            <w:r>
              <w:rPr>
                <w:rFonts w:hint="eastAsia" w:ascii="宋体" w:hAnsi="宋体" w:cs="宋体"/>
                <w:color w:val="000000"/>
                <w:kern w:val="0"/>
                <w:sz w:val="24"/>
              </w:rPr>
              <w:t>2.查询教师课表</w:t>
            </w:r>
          </w:p>
          <w:p w14:paraId="2649907C">
            <w:pPr>
              <w:widowControl/>
              <w:jc w:val="left"/>
              <w:rPr>
                <w:rFonts w:hint="eastAsia" w:ascii="宋体" w:hAnsi="宋体" w:cs="宋体"/>
                <w:color w:val="000000"/>
                <w:kern w:val="0"/>
                <w:sz w:val="24"/>
              </w:rPr>
            </w:pPr>
            <w:r>
              <w:rPr>
                <w:rFonts w:hint="eastAsia" w:ascii="宋体" w:hAnsi="宋体" w:cs="宋体"/>
                <w:color w:val="000000"/>
                <w:kern w:val="0"/>
                <w:sz w:val="24"/>
              </w:rPr>
              <w:t>3.查询场地课表</w:t>
            </w:r>
          </w:p>
          <w:p w14:paraId="715060D2">
            <w:pPr>
              <w:widowControl/>
              <w:jc w:val="left"/>
              <w:rPr>
                <w:rFonts w:hint="eastAsia" w:ascii="宋体" w:hAnsi="宋体" w:cs="宋体"/>
                <w:color w:val="000000"/>
                <w:kern w:val="0"/>
                <w:sz w:val="24"/>
              </w:rPr>
            </w:pPr>
            <w:r>
              <w:rPr>
                <w:rFonts w:hint="eastAsia" w:ascii="宋体" w:hAnsi="宋体" w:cs="宋体"/>
                <w:color w:val="000000"/>
                <w:kern w:val="0"/>
                <w:sz w:val="24"/>
              </w:rPr>
              <w:t>4.查询课程课表</w:t>
            </w:r>
          </w:p>
          <w:p w14:paraId="0B7252BC">
            <w:pPr>
              <w:widowControl/>
              <w:jc w:val="left"/>
              <w:rPr>
                <w:rFonts w:hint="eastAsia" w:ascii="宋体" w:hAnsi="宋体" w:cs="宋体"/>
                <w:color w:val="000000"/>
                <w:kern w:val="0"/>
                <w:sz w:val="24"/>
              </w:rPr>
            </w:pPr>
            <w:r>
              <w:rPr>
                <w:rFonts w:hint="eastAsia" w:ascii="宋体" w:hAnsi="宋体" w:cs="宋体"/>
                <w:color w:val="000000"/>
                <w:kern w:val="0"/>
                <w:sz w:val="24"/>
              </w:rPr>
              <w:t>5.需要支持钉钉端与PC端</w:t>
            </w:r>
          </w:p>
          <w:p w14:paraId="14E75E13">
            <w:pPr>
              <w:widowControl/>
              <w:jc w:val="left"/>
              <w:rPr>
                <w:rFonts w:hint="eastAsia" w:ascii="宋体" w:hAnsi="宋体" w:cs="宋体"/>
                <w:color w:val="000000"/>
                <w:kern w:val="0"/>
                <w:sz w:val="24"/>
              </w:rPr>
            </w:pPr>
            <w:bookmarkStart w:id="39" w:name="OLE_LINK34"/>
            <w:r>
              <w:rPr>
                <w:rFonts w:hint="eastAsia" w:ascii="宋体" w:hAnsi="宋体" w:cs="宋体"/>
                <w:color w:val="000000"/>
                <w:kern w:val="0"/>
                <w:sz w:val="24"/>
              </w:rPr>
              <w:t>注：通过数据中台抽取数据实现课表查询；</w:t>
            </w:r>
            <w:bookmarkEnd w:id="39"/>
          </w:p>
        </w:tc>
      </w:tr>
      <w:tr w14:paraId="0BB749BA">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vAlign w:val="center"/>
          </w:tcPr>
          <w:p w14:paraId="148287FA">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17187A6F">
            <w:pPr>
              <w:widowControl/>
              <w:jc w:val="center"/>
              <w:rPr>
                <w:rFonts w:hint="eastAsia" w:ascii="宋体" w:hAnsi="宋体" w:cs="宋体"/>
                <w:color w:val="000000"/>
                <w:kern w:val="0"/>
                <w:sz w:val="24"/>
              </w:rPr>
            </w:pPr>
            <w:r>
              <w:rPr>
                <w:rFonts w:hint="eastAsia" w:ascii="宋体" w:hAnsi="宋体" w:cs="宋体"/>
                <w:color w:val="000000"/>
                <w:kern w:val="0"/>
                <w:sz w:val="24"/>
              </w:rPr>
              <w:t>成绩查询</w:t>
            </w:r>
          </w:p>
        </w:tc>
        <w:tc>
          <w:tcPr>
            <w:tcW w:w="6772" w:type="dxa"/>
            <w:tcBorders>
              <w:top w:val="nil"/>
              <w:left w:val="nil"/>
              <w:bottom w:val="single" w:color="auto" w:sz="4" w:space="0"/>
              <w:right w:val="single" w:color="auto" w:sz="4" w:space="0"/>
            </w:tcBorders>
            <w:shd w:val="clear" w:color="auto" w:fill="auto"/>
            <w:vAlign w:val="center"/>
          </w:tcPr>
          <w:p w14:paraId="7C0E2BA9">
            <w:pPr>
              <w:widowControl/>
              <w:jc w:val="left"/>
              <w:rPr>
                <w:rFonts w:hint="eastAsia" w:ascii="宋体" w:hAnsi="宋体" w:cs="宋体"/>
                <w:color w:val="000000"/>
                <w:kern w:val="0"/>
                <w:sz w:val="24"/>
              </w:rPr>
            </w:pPr>
            <w:r>
              <w:rPr>
                <w:rFonts w:hint="eastAsia" w:ascii="宋体" w:hAnsi="宋体" w:cs="宋体"/>
                <w:color w:val="000000"/>
                <w:kern w:val="0"/>
                <w:sz w:val="24"/>
              </w:rPr>
              <w:t>1.查询学期成绩单</w:t>
            </w:r>
          </w:p>
          <w:p w14:paraId="7EF15634">
            <w:pPr>
              <w:widowControl/>
              <w:jc w:val="left"/>
              <w:rPr>
                <w:rFonts w:hint="eastAsia" w:ascii="宋体" w:hAnsi="宋体" w:cs="宋体"/>
                <w:color w:val="000000"/>
                <w:kern w:val="0"/>
                <w:sz w:val="24"/>
              </w:rPr>
            </w:pPr>
            <w:bookmarkStart w:id="40" w:name="OLE_LINK33"/>
            <w:r>
              <w:rPr>
                <w:rFonts w:hint="eastAsia" w:ascii="宋体" w:hAnsi="宋体" w:cs="宋体"/>
                <w:color w:val="000000"/>
                <w:kern w:val="0"/>
                <w:sz w:val="24"/>
              </w:rPr>
              <w:t>行政领导（班主任）可以查询学生所有课程成绩，包括平时成绩、期中成绩、期末成绩、总评成绩、补考成绩、学分；</w:t>
            </w:r>
          </w:p>
          <w:bookmarkEnd w:id="40"/>
          <w:p w14:paraId="3EBC6093">
            <w:pPr>
              <w:widowControl/>
              <w:jc w:val="left"/>
              <w:rPr>
                <w:rFonts w:hint="eastAsia" w:ascii="宋体" w:hAnsi="宋体" w:cs="宋体"/>
                <w:color w:val="000000"/>
                <w:kern w:val="0"/>
                <w:sz w:val="24"/>
              </w:rPr>
            </w:pPr>
            <w:r>
              <w:rPr>
                <w:rFonts w:hint="eastAsia" w:ascii="宋体" w:hAnsi="宋体" w:cs="宋体"/>
                <w:color w:val="000000"/>
                <w:kern w:val="0"/>
                <w:sz w:val="24"/>
              </w:rPr>
              <w:t>2.查询在校成绩单</w:t>
            </w:r>
          </w:p>
          <w:p w14:paraId="1CF3C338">
            <w:pPr>
              <w:widowControl/>
              <w:jc w:val="left"/>
              <w:rPr>
                <w:rFonts w:hint="eastAsia" w:ascii="宋体" w:hAnsi="宋体" w:cs="宋体"/>
                <w:color w:val="000000"/>
                <w:kern w:val="0"/>
                <w:sz w:val="24"/>
              </w:rPr>
            </w:pPr>
            <w:r>
              <w:rPr>
                <w:rFonts w:hint="eastAsia" w:ascii="宋体" w:hAnsi="宋体" w:cs="宋体"/>
                <w:color w:val="000000"/>
                <w:kern w:val="0"/>
                <w:sz w:val="24"/>
              </w:rPr>
              <w:t>行政领导（班主任）可以查询学生在校成绩，包括平时成绩、期中成绩、期末成绩、总评成绩、补考成绩、学分；</w:t>
            </w:r>
          </w:p>
          <w:p w14:paraId="422C3E7E">
            <w:pPr>
              <w:widowControl/>
              <w:jc w:val="left"/>
              <w:rPr>
                <w:rFonts w:hint="eastAsia" w:ascii="宋体" w:hAnsi="宋体" w:cs="宋体"/>
                <w:color w:val="000000"/>
                <w:kern w:val="0"/>
                <w:sz w:val="24"/>
              </w:rPr>
            </w:pPr>
            <w:bookmarkStart w:id="41" w:name="OLE_LINK35"/>
            <w:r>
              <w:rPr>
                <w:rFonts w:hint="eastAsia" w:ascii="宋体" w:hAnsi="宋体" w:cs="宋体"/>
                <w:color w:val="000000"/>
                <w:kern w:val="0"/>
                <w:sz w:val="24"/>
              </w:rPr>
              <w:t>注：通过数据中台抽取数据实现成绩查询；</w:t>
            </w:r>
            <w:bookmarkEnd w:id="41"/>
          </w:p>
        </w:tc>
      </w:tr>
      <w:tr w14:paraId="3F2E302D">
        <w:tblPrEx>
          <w:tblCellMar>
            <w:top w:w="0" w:type="dxa"/>
            <w:left w:w="108" w:type="dxa"/>
            <w:bottom w:w="0" w:type="dxa"/>
            <w:right w:w="108" w:type="dxa"/>
          </w:tblCellMar>
        </w:tblPrEx>
        <w:tc>
          <w:tcPr>
            <w:tcW w:w="785" w:type="dxa"/>
            <w:vMerge w:val="continue"/>
            <w:tcBorders>
              <w:left w:val="single" w:color="auto" w:sz="4" w:space="0"/>
              <w:bottom w:val="single" w:color="auto" w:sz="4" w:space="0"/>
              <w:right w:val="single" w:color="auto" w:sz="4" w:space="0"/>
            </w:tcBorders>
            <w:vAlign w:val="center"/>
          </w:tcPr>
          <w:p w14:paraId="6D733D9A">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289ABF90">
            <w:pPr>
              <w:widowControl/>
              <w:jc w:val="center"/>
              <w:rPr>
                <w:rFonts w:hint="eastAsia" w:ascii="宋体" w:hAnsi="宋体" w:cs="宋体"/>
                <w:color w:val="000000"/>
                <w:kern w:val="0"/>
                <w:sz w:val="24"/>
              </w:rPr>
            </w:pPr>
            <w:r>
              <w:rPr>
                <w:rFonts w:hint="eastAsia" w:ascii="宋体" w:hAnsi="宋体" w:cs="宋体"/>
                <w:color w:val="000000"/>
                <w:kern w:val="0"/>
                <w:sz w:val="24"/>
              </w:rPr>
              <w:t>评教查询</w:t>
            </w:r>
          </w:p>
        </w:tc>
        <w:tc>
          <w:tcPr>
            <w:tcW w:w="6772" w:type="dxa"/>
            <w:tcBorders>
              <w:top w:val="nil"/>
              <w:left w:val="nil"/>
              <w:bottom w:val="single" w:color="auto" w:sz="4" w:space="0"/>
              <w:right w:val="single" w:color="auto" w:sz="4" w:space="0"/>
            </w:tcBorders>
            <w:shd w:val="clear" w:color="auto" w:fill="auto"/>
            <w:vAlign w:val="center"/>
          </w:tcPr>
          <w:p w14:paraId="76049ACC">
            <w:pPr>
              <w:widowControl/>
              <w:jc w:val="left"/>
              <w:rPr>
                <w:rFonts w:hint="eastAsia" w:ascii="宋体" w:hAnsi="宋体" w:cs="宋体"/>
                <w:color w:val="000000"/>
                <w:kern w:val="0"/>
                <w:sz w:val="24"/>
              </w:rPr>
            </w:pPr>
            <w:r>
              <w:rPr>
                <w:rFonts w:hint="eastAsia" w:ascii="宋体" w:hAnsi="宋体" w:cs="宋体"/>
                <w:color w:val="000000"/>
                <w:kern w:val="0"/>
                <w:sz w:val="24"/>
              </w:rPr>
              <w:t>1.管理人员可以查询评教统计信息；</w:t>
            </w:r>
            <w:r>
              <w:rPr>
                <w:rFonts w:ascii="宋体" w:hAnsi="宋体" w:cs="宋体"/>
                <w:color w:val="000000"/>
                <w:kern w:val="0"/>
                <w:sz w:val="24"/>
              </w:rPr>
              <w:t xml:space="preserve"> </w:t>
            </w:r>
          </w:p>
          <w:p w14:paraId="452ADB27">
            <w:pPr>
              <w:widowControl/>
              <w:jc w:val="left"/>
              <w:rPr>
                <w:rFonts w:hint="eastAsia" w:ascii="宋体" w:hAnsi="宋体" w:cs="宋体"/>
                <w:color w:val="000000"/>
                <w:kern w:val="0"/>
                <w:sz w:val="24"/>
              </w:rPr>
            </w:pPr>
            <w:r>
              <w:rPr>
                <w:rFonts w:hint="eastAsia" w:ascii="宋体" w:hAnsi="宋体" w:cs="宋体"/>
                <w:color w:val="000000"/>
                <w:kern w:val="0"/>
                <w:sz w:val="24"/>
              </w:rPr>
              <w:t>2.管理人员可以查询具体的教师评教内容；</w:t>
            </w:r>
          </w:p>
          <w:p w14:paraId="4D530724">
            <w:pPr>
              <w:widowControl/>
              <w:jc w:val="left"/>
              <w:rPr>
                <w:rFonts w:hint="eastAsia" w:ascii="宋体" w:hAnsi="宋体" w:cs="宋体"/>
                <w:color w:val="000000"/>
                <w:kern w:val="0"/>
                <w:sz w:val="24"/>
              </w:rPr>
            </w:pPr>
            <w:r>
              <w:rPr>
                <w:rFonts w:hint="eastAsia" w:ascii="宋体" w:hAnsi="宋体" w:cs="宋体"/>
                <w:color w:val="000000"/>
                <w:kern w:val="0"/>
                <w:sz w:val="24"/>
              </w:rPr>
              <w:t>注：</w:t>
            </w:r>
            <w:bookmarkStart w:id="42" w:name="OLE_LINK36"/>
            <w:r>
              <w:rPr>
                <w:rFonts w:hint="eastAsia" w:ascii="宋体" w:hAnsi="宋体" w:cs="宋体"/>
                <w:color w:val="000000"/>
                <w:kern w:val="0"/>
                <w:sz w:val="24"/>
              </w:rPr>
              <w:t>通过数据中台抽取数据实现评教数据查询；</w:t>
            </w:r>
            <w:bookmarkEnd w:id="42"/>
          </w:p>
        </w:tc>
      </w:tr>
      <w:tr w14:paraId="47573CAA">
        <w:tblPrEx>
          <w:tblCellMar>
            <w:top w:w="0" w:type="dxa"/>
            <w:left w:w="108" w:type="dxa"/>
            <w:bottom w:w="0" w:type="dxa"/>
            <w:right w:w="108" w:type="dxa"/>
          </w:tblCellMar>
        </w:tblPrEx>
        <w:tc>
          <w:tcPr>
            <w:tcW w:w="785" w:type="dxa"/>
            <w:vMerge w:val="restart"/>
            <w:tcBorders>
              <w:top w:val="nil"/>
              <w:left w:val="single" w:color="auto" w:sz="4" w:space="0"/>
              <w:right w:val="single" w:color="auto" w:sz="4" w:space="0"/>
            </w:tcBorders>
            <w:shd w:val="clear" w:color="auto" w:fill="auto"/>
            <w:vAlign w:val="center"/>
          </w:tcPr>
          <w:p w14:paraId="3C3A0332">
            <w:pPr>
              <w:widowControl/>
              <w:jc w:val="center"/>
              <w:rPr>
                <w:rFonts w:hint="eastAsia" w:ascii="宋体" w:hAnsi="宋体" w:cs="宋体"/>
                <w:color w:val="000000"/>
                <w:kern w:val="0"/>
                <w:sz w:val="24"/>
              </w:rPr>
            </w:pPr>
            <w:r>
              <w:rPr>
                <w:rFonts w:hint="eastAsia" w:ascii="宋体" w:hAnsi="宋体" w:cs="宋体"/>
                <w:color w:val="000000"/>
                <w:kern w:val="0"/>
                <w:sz w:val="24"/>
              </w:rPr>
              <w:t>学生信息查询</w:t>
            </w:r>
          </w:p>
        </w:tc>
        <w:tc>
          <w:tcPr>
            <w:tcW w:w="1337" w:type="dxa"/>
            <w:tcBorders>
              <w:top w:val="nil"/>
              <w:left w:val="nil"/>
              <w:bottom w:val="single" w:color="auto" w:sz="4" w:space="0"/>
              <w:right w:val="single" w:color="auto" w:sz="4" w:space="0"/>
            </w:tcBorders>
            <w:shd w:val="clear" w:color="auto" w:fill="auto"/>
            <w:vAlign w:val="center"/>
          </w:tcPr>
          <w:p w14:paraId="6D8FD82B">
            <w:pPr>
              <w:widowControl/>
              <w:jc w:val="center"/>
              <w:rPr>
                <w:rFonts w:hint="eastAsia" w:ascii="宋体" w:hAnsi="宋体" w:cs="宋体"/>
                <w:color w:val="000000"/>
                <w:kern w:val="0"/>
                <w:sz w:val="24"/>
              </w:rPr>
            </w:pPr>
            <w:r>
              <w:rPr>
                <w:rFonts w:hint="eastAsia" w:ascii="宋体" w:hAnsi="宋体" w:cs="宋体"/>
                <w:color w:val="000000"/>
                <w:kern w:val="0"/>
                <w:sz w:val="24"/>
              </w:rPr>
              <w:t>学籍信息</w:t>
            </w:r>
          </w:p>
        </w:tc>
        <w:tc>
          <w:tcPr>
            <w:tcW w:w="6772" w:type="dxa"/>
            <w:tcBorders>
              <w:top w:val="nil"/>
              <w:left w:val="nil"/>
              <w:bottom w:val="single" w:color="auto" w:sz="4" w:space="0"/>
              <w:right w:val="single" w:color="auto" w:sz="4" w:space="0"/>
            </w:tcBorders>
            <w:shd w:val="clear" w:color="auto" w:fill="auto"/>
            <w:vAlign w:val="center"/>
          </w:tcPr>
          <w:p w14:paraId="2349411C">
            <w:pPr>
              <w:widowControl/>
              <w:jc w:val="left"/>
              <w:rPr>
                <w:rFonts w:hint="eastAsia" w:ascii="宋体" w:hAnsi="宋体" w:cs="宋体"/>
                <w:color w:val="000000"/>
                <w:kern w:val="0"/>
                <w:sz w:val="24"/>
              </w:rPr>
            </w:pPr>
            <w:r>
              <w:rPr>
                <w:rFonts w:hint="eastAsia" w:ascii="宋体" w:hAnsi="宋体" w:cs="宋体"/>
                <w:color w:val="000000"/>
                <w:kern w:val="0"/>
                <w:sz w:val="24"/>
              </w:rPr>
              <w:t>学生的基本信息，如姓名、性别、出生日期、民族、身份证号、入学时间、所学专业、班级等；学生的家庭信息，包括家庭成员姓名、关系、联系方式、家庭住址等，便于学校与家长进行沟通和联系。</w:t>
            </w:r>
          </w:p>
          <w:p w14:paraId="56A1C57E">
            <w:pPr>
              <w:widowControl/>
              <w:jc w:val="left"/>
              <w:rPr>
                <w:rFonts w:hint="eastAsia" w:ascii="宋体" w:hAnsi="宋体" w:cs="宋体"/>
                <w:color w:val="000000"/>
                <w:kern w:val="0"/>
                <w:sz w:val="24"/>
              </w:rPr>
            </w:pPr>
            <w:bookmarkStart w:id="43" w:name="OLE_LINK37"/>
            <w:r>
              <w:rPr>
                <w:rFonts w:hint="eastAsia" w:ascii="宋体" w:hAnsi="宋体" w:cs="宋体"/>
                <w:color w:val="000000"/>
                <w:kern w:val="0"/>
                <w:sz w:val="24"/>
              </w:rPr>
              <w:t>注：通过数据中台抽取数据实现学籍信息查询；</w:t>
            </w:r>
            <w:bookmarkEnd w:id="43"/>
          </w:p>
        </w:tc>
      </w:tr>
      <w:tr w14:paraId="502C995D">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shd w:val="clear" w:color="auto" w:fill="auto"/>
            <w:vAlign w:val="center"/>
          </w:tcPr>
          <w:p w14:paraId="4FF74200">
            <w:pPr>
              <w:widowControl/>
              <w:jc w:val="center"/>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29296AD5">
            <w:pPr>
              <w:widowControl/>
              <w:jc w:val="center"/>
              <w:rPr>
                <w:rFonts w:hint="eastAsia" w:ascii="宋体" w:hAnsi="宋体" w:cs="宋体"/>
                <w:color w:val="000000"/>
                <w:kern w:val="0"/>
                <w:sz w:val="24"/>
              </w:rPr>
            </w:pPr>
            <w:r>
              <w:rPr>
                <w:rFonts w:hint="eastAsia" w:ascii="宋体" w:hAnsi="宋体" w:cs="宋体"/>
                <w:color w:val="000000"/>
                <w:kern w:val="0"/>
                <w:sz w:val="24"/>
              </w:rPr>
              <w:t>课表查询</w:t>
            </w:r>
          </w:p>
        </w:tc>
        <w:tc>
          <w:tcPr>
            <w:tcW w:w="6772" w:type="dxa"/>
            <w:tcBorders>
              <w:top w:val="nil"/>
              <w:left w:val="nil"/>
              <w:bottom w:val="single" w:color="auto" w:sz="4" w:space="0"/>
              <w:right w:val="single" w:color="auto" w:sz="4" w:space="0"/>
            </w:tcBorders>
            <w:shd w:val="clear" w:color="auto" w:fill="auto"/>
            <w:vAlign w:val="center"/>
          </w:tcPr>
          <w:p w14:paraId="4330B54D">
            <w:pPr>
              <w:widowControl/>
              <w:jc w:val="left"/>
              <w:rPr>
                <w:rFonts w:hint="eastAsia" w:ascii="宋体" w:hAnsi="宋体" w:cs="宋体"/>
                <w:color w:val="000000"/>
                <w:kern w:val="0"/>
                <w:sz w:val="24"/>
              </w:rPr>
            </w:pPr>
            <w:r>
              <w:rPr>
                <w:rFonts w:hint="eastAsia" w:ascii="宋体" w:hAnsi="宋体" w:cs="宋体"/>
                <w:color w:val="000000"/>
                <w:kern w:val="0"/>
                <w:sz w:val="24"/>
              </w:rPr>
              <w:t>可以查询班级实时课表；</w:t>
            </w:r>
          </w:p>
          <w:p w14:paraId="694DC25A">
            <w:pPr>
              <w:widowControl/>
              <w:jc w:val="left"/>
              <w:rPr>
                <w:rFonts w:hint="eastAsia" w:ascii="宋体" w:hAnsi="宋体" w:cs="宋体"/>
                <w:color w:val="000000"/>
                <w:kern w:val="0"/>
                <w:sz w:val="24"/>
              </w:rPr>
            </w:pPr>
            <w:bookmarkStart w:id="44" w:name="OLE_LINK39"/>
            <w:r>
              <w:rPr>
                <w:rFonts w:hint="eastAsia" w:ascii="宋体" w:hAnsi="宋体" w:cs="宋体"/>
                <w:color w:val="000000"/>
                <w:kern w:val="0"/>
                <w:sz w:val="24"/>
              </w:rPr>
              <w:t>注：通过数据中台抽取数据实现课表查询；</w:t>
            </w:r>
            <w:bookmarkEnd w:id="44"/>
          </w:p>
        </w:tc>
      </w:tr>
      <w:tr w14:paraId="5BFDAD92">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shd w:val="clear" w:color="auto" w:fill="auto"/>
            <w:vAlign w:val="center"/>
          </w:tcPr>
          <w:p w14:paraId="26591D73">
            <w:pPr>
              <w:widowControl/>
              <w:jc w:val="center"/>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00457F95">
            <w:pPr>
              <w:widowControl/>
              <w:jc w:val="center"/>
              <w:rPr>
                <w:rFonts w:hint="eastAsia" w:ascii="宋体" w:hAnsi="宋体" w:cs="宋体"/>
                <w:color w:val="000000"/>
                <w:kern w:val="0"/>
                <w:sz w:val="24"/>
              </w:rPr>
            </w:pPr>
            <w:r>
              <w:rPr>
                <w:rFonts w:hint="eastAsia" w:ascii="宋体" w:hAnsi="宋体" w:cs="宋体"/>
                <w:color w:val="000000"/>
                <w:kern w:val="0"/>
                <w:sz w:val="24"/>
              </w:rPr>
              <w:t>成绩查询</w:t>
            </w:r>
          </w:p>
        </w:tc>
        <w:tc>
          <w:tcPr>
            <w:tcW w:w="6772" w:type="dxa"/>
            <w:tcBorders>
              <w:top w:val="nil"/>
              <w:left w:val="nil"/>
              <w:bottom w:val="single" w:color="auto" w:sz="4" w:space="0"/>
              <w:right w:val="single" w:color="auto" w:sz="4" w:space="0"/>
            </w:tcBorders>
            <w:shd w:val="clear" w:color="auto" w:fill="auto"/>
            <w:vAlign w:val="center"/>
          </w:tcPr>
          <w:p w14:paraId="08056A61">
            <w:pPr>
              <w:widowControl/>
              <w:jc w:val="left"/>
              <w:rPr>
                <w:rFonts w:hint="eastAsia" w:ascii="宋体" w:hAnsi="宋体" w:cs="宋体"/>
                <w:color w:val="000000"/>
                <w:kern w:val="0"/>
                <w:sz w:val="24"/>
              </w:rPr>
            </w:pPr>
            <w:r>
              <w:rPr>
                <w:rFonts w:hint="eastAsia" w:ascii="宋体" w:hAnsi="宋体" w:cs="宋体"/>
                <w:color w:val="000000"/>
                <w:kern w:val="0"/>
                <w:sz w:val="24"/>
              </w:rPr>
              <w:t>1.查询学期成绩；</w:t>
            </w:r>
          </w:p>
          <w:p w14:paraId="2288A92F">
            <w:pPr>
              <w:widowControl/>
              <w:jc w:val="left"/>
              <w:rPr>
                <w:rFonts w:hint="eastAsia" w:ascii="宋体" w:hAnsi="宋体" w:cs="宋体"/>
                <w:color w:val="000000"/>
                <w:kern w:val="0"/>
                <w:sz w:val="24"/>
              </w:rPr>
            </w:pPr>
            <w:r>
              <w:rPr>
                <w:rFonts w:hint="eastAsia" w:ascii="宋体" w:hAnsi="宋体" w:cs="宋体"/>
                <w:color w:val="000000"/>
                <w:kern w:val="0"/>
                <w:sz w:val="24"/>
              </w:rPr>
              <w:t>2.查询在校成绩；</w:t>
            </w:r>
          </w:p>
          <w:p w14:paraId="17AFBAD4">
            <w:pPr>
              <w:widowControl/>
              <w:jc w:val="left"/>
              <w:rPr>
                <w:rFonts w:hint="eastAsia" w:ascii="宋体" w:hAnsi="宋体" w:cs="宋体"/>
                <w:color w:val="000000"/>
                <w:kern w:val="0"/>
                <w:sz w:val="24"/>
              </w:rPr>
            </w:pPr>
            <w:bookmarkStart w:id="45" w:name="OLE_LINK38"/>
            <w:r>
              <w:rPr>
                <w:rFonts w:hint="eastAsia" w:ascii="宋体" w:hAnsi="宋体" w:cs="宋体"/>
                <w:color w:val="000000"/>
                <w:kern w:val="0"/>
                <w:sz w:val="24"/>
              </w:rPr>
              <w:t>注：通过数据中台抽取数据实现成绩信息查询；</w:t>
            </w:r>
            <w:bookmarkEnd w:id="45"/>
          </w:p>
        </w:tc>
      </w:tr>
      <w:tr w14:paraId="437D5A5C">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vAlign w:val="center"/>
          </w:tcPr>
          <w:p w14:paraId="31536B85">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5B91BDAA">
            <w:pPr>
              <w:widowControl/>
              <w:jc w:val="center"/>
              <w:rPr>
                <w:rFonts w:hint="eastAsia" w:ascii="宋体" w:hAnsi="宋体" w:cs="宋体"/>
                <w:color w:val="000000"/>
                <w:kern w:val="0"/>
                <w:sz w:val="24"/>
              </w:rPr>
            </w:pPr>
            <w:r>
              <w:rPr>
                <w:rFonts w:hint="eastAsia" w:ascii="宋体" w:hAnsi="宋体" w:cs="宋体"/>
                <w:color w:val="000000"/>
                <w:kern w:val="0"/>
                <w:sz w:val="24"/>
              </w:rPr>
              <w:t>学习考勤表现</w:t>
            </w:r>
          </w:p>
        </w:tc>
        <w:tc>
          <w:tcPr>
            <w:tcW w:w="6772" w:type="dxa"/>
            <w:tcBorders>
              <w:top w:val="nil"/>
              <w:left w:val="nil"/>
              <w:bottom w:val="single" w:color="auto" w:sz="4" w:space="0"/>
              <w:right w:val="single" w:color="auto" w:sz="4" w:space="0"/>
            </w:tcBorders>
            <w:shd w:val="clear" w:color="auto" w:fill="auto"/>
            <w:vAlign w:val="center"/>
          </w:tcPr>
          <w:p w14:paraId="550128EB">
            <w:pPr>
              <w:widowControl/>
              <w:jc w:val="left"/>
              <w:rPr>
                <w:rFonts w:hint="eastAsia" w:ascii="宋体" w:hAnsi="宋体" w:cs="宋体"/>
                <w:color w:val="000000"/>
                <w:kern w:val="0"/>
                <w:sz w:val="24"/>
              </w:rPr>
            </w:pPr>
            <w:r>
              <w:rPr>
                <w:rFonts w:hint="eastAsia" w:ascii="宋体" w:hAnsi="宋体" w:cs="宋体"/>
                <w:color w:val="000000"/>
                <w:kern w:val="0"/>
                <w:sz w:val="24"/>
              </w:rPr>
              <w:t>学生的考勤信息，如请假、迟到、早退、旷课次数等，反映学生的学习纪律和态度。</w:t>
            </w:r>
          </w:p>
          <w:p w14:paraId="344AE03F">
            <w:pPr>
              <w:widowControl/>
              <w:jc w:val="left"/>
              <w:rPr>
                <w:rFonts w:hint="eastAsia" w:ascii="宋体" w:hAnsi="宋体" w:cs="宋体"/>
                <w:color w:val="000000"/>
                <w:kern w:val="0"/>
                <w:sz w:val="24"/>
              </w:rPr>
            </w:pPr>
            <w:bookmarkStart w:id="46" w:name="OLE_LINK40"/>
            <w:r>
              <w:rPr>
                <w:rFonts w:hint="eastAsia" w:ascii="宋体" w:hAnsi="宋体" w:cs="宋体"/>
                <w:color w:val="000000"/>
                <w:kern w:val="0"/>
                <w:sz w:val="24"/>
              </w:rPr>
              <w:t>注：通过数据中台抽取数据实现考勤查询；</w:t>
            </w:r>
            <w:bookmarkEnd w:id="46"/>
          </w:p>
        </w:tc>
      </w:tr>
      <w:tr w14:paraId="4F6EDCC1">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vAlign w:val="center"/>
          </w:tcPr>
          <w:p w14:paraId="4BE30001">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2B702C51">
            <w:pPr>
              <w:widowControl/>
              <w:jc w:val="center"/>
              <w:rPr>
                <w:rFonts w:hint="eastAsia" w:ascii="宋体" w:hAnsi="宋体" w:cs="宋体"/>
                <w:color w:val="000000"/>
                <w:kern w:val="0"/>
                <w:sz w:val="24"/>
              </w:rPr>
            </w:pPr>
            <w:r>
              <w:rPr>
                <w:rFonts w:hint="eastAsia" w:ascii="宋体" w:hAnsi="宋体" w:cs="宋体"/>
                <w:color w:val="000000"/>
                <w:kern w:val="0"/>
                <w:sz w:val="24"/>
              </w:rPr>
              <w:t>德育评价信息</w:t>
            </w:r>
          </w:p>
        </w:tc>
        <w:tc>
          <w:tcPr>
            <w:tcW w:w="6772" w:type="dxa"/>
            <w:tcBorders>
              <w:top w:val="nil"/>
              <w:left w:val="nil"/>
              <w:bottom w:val="single" w:color="auto" w:sz="4" w:space="0"/>
              <w:right w:val="single" w:color="auto" w:sz="4" w:space="0"/>
            </w:tcBorders>
            <w:shd w:val="clear" w:color="auto" w:fill="auto"/>
            <w:vAlign w:val="center"/>
          </w:tcPr>
          <w:p w14:paraId="76F2124A">
            <w:pPr>
              <w:widowControl/>
              <w:jc w:val="left"/>
              <w:rPr>
                <w:rFonts w:hint="eastAsia" w:ascii="宋体" w:hAnsi="宋体" w:cs="宋体"/>
                <w:color w:val="000000"/>
                <w:kern w:val="0"/>
                <w:sz w:val="24"/>
              </w:rPr>
            </w:pPr>
            <w:r>
              <w:rPr>
                <w:rFonts w:hint="eastAsia" w:ascii="宋体" w:hAnsi="宋体" w:cs="宋体"/>
                <w:color w:val="000000"/>
                <w:kern w:val="0"/>
                <w:sz w:val="24"/>
              </w:rPr>
              <w:t>学生的日常检查与寝室扣分信息，如违反校规校纪的扣分情况，有助于学校对学生进行行为规范管理。</w:t>
            </w:r>
          </w:p>
          <w:p w14:paraId="59E43578">
            <w:pPr>
              <w:widowControl/>
              <w:jc w:val="left"/>
              <w:rPr>
                <w:rFonts w:hint="eastAsia" w:ascii="宋体" w:hAnsi="宋体" w:cs="宋体"/>
                <w:color w:val="000000"/>
                <w:kern w:val="0"/>
                <w:sz w:val="24"/>
              </w:rPr>
            </w:pPr>
            <w:bookmarkStart w:id="47" w:name="OLE_LINK41"/>
            <w:r>
              <w:rPr>
                <w:rFonts w:hint="eastAsia" w:ascii="宋体" w:hAnsi="宋体" w:cs="宋体"/>
                <w:color w:val="000000"/>
                <w:kern w:val="0"/>
                <w:sz w:val="24"/>
              </w:rPr>
              <w:t>注：通过数据中台抽取数据实现德育查询；</w:t>
            </w:r>
            <w:bookmarkEnd w:id="47"/>
          </w:p>
        </w:tc>
      </w:tr>
      <w:tr w14:paraId="1E416DB7">
        <w:tblPrEx>
          <w:tblCellMar>
            <w:top w:w="0" w:type="dxa"/>
            <w:left w:w="108" w:type="dxa"/>
            <w:bottom w:w="0" w:type="dxa"/>
            <w:right w:w="108" w:type="dxa"/>
          </w:tblCellMar>
        </w:tblPrEx>
        <w:tc>
          <w:tcPr>
            <w:tcW w:w="785" w:type="dxa"/>
            <w:vMerge w:val="continue"/>
            <w:tcBorders>
              <w:left w:val="single" w:color="auto" w:sz="4" w:space="0"/>
              <w:bottom w:val="single" w:color="auto" w:sz="4" w:space="0"/>
              <w:right w:val="single" w:color="auto" w:sz="4" w:space="0"/>
            </w:tcBorders>
            <w:vAlign w:val="center"/>
          </w:tcPr>
          <w:p w14:paraId="6FB41516">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236338B2">
            <w:pPr>
              <w:widowControl/>
              <w:jc w:val="center"/>
              <w:rPr>
                <w:rFonts w:hint="eastAsia" w:ascii="宋体" w:hAnsi="宋体" w:cs="宋体"/>
                <w:color w:val="000000"/>
                <w:kern w:val="0"/>
                <w:sz w:val="24"/>
              </w:rPr>
            </w:pPr>
            <w:bookmarkStart w:id="48" w:name="OLE_LINK19"/>
            <w:bookmarkStart w:id="49" w:name="OLE_LINK17"/>
            <w:r>
              <w:rPr>
                <w:rFonts w:hint="eastAsia" w:ascii="宋体" w:hAnsi="宋体" w:cs="宋体"/>
                <w:color w:val="000000"/>
                <w:kern w:val="0"/>
                <w:sz w:val="24"/>
              </w:rPr>
              <w:t>学生</w:t>
            </w:r>
            <w:bookmarkStart w:id="50" w:name="OLE_LINK16"/>
            <w:r>
              <w:rPr>
                <w:rFonts w:hint="eastAsia" w:ascii="宋体" w:hAnsi="宋体" w:cs="宋体"/>
                <w:color w:val="000000"/>
                <w:kern w:val="0"/>
                <w:sz w:val="24"/>
              </w:rPr>
              <w:t>轨迹</w:t>
            </w:r>
            <w:bookmarkEnd w:id="48"/>
            <w:r>
              <w:rPr>
                <w:rFonts w:hint="eastAsia" w:ascii="宋体" w:hAnsi="宋体" w:cs="宋体"/>
                <w:color w:val="000000"/>
                <w:kern w:val="0"/>
                <w:sz w:val="24"/>
              </w:rPr>
              <w:t>查询</w:t>
            </w:r>
            <w:bookmarkEnd w:id="49"/>
            <w:bookmarkEnd w:id="50"/>
          </w:p>
        </w:tc>
        <w:tc>
          <w:tcPr>
            <w:tcW w:w="6772" w:type="dxa"/>
            <w:tcBorders>
              <w:top w:val="nil"/>
              <w:left w:val="nil"/>
              <w:bottom w:val="single" w:color="auto" w:sz="4" w:space="0"/>
              <w:right w:val="single" w:color="auto" w:sz="4" w:space="0"/>
            </w:tcBorders>
            <w:shd w:val="clear" w:color="auto" w:fill="auto"/>
            <w:vAlign w:val="center"/>
          </w:tcPr>
          <w:p w14:paraId="740FFD41">
            <w:pPr>
              <w:widowControl/>
              <w:jc w:val="left"/>
              <w:rPr>
                <w:rFonts w:hint="eastAsia" w:ascii="宋体" w:hAnsi="宋体" w:cs="宋体"/>
                <w:color w:val="000000"/>
                <w:kern w:val="0"/>
                <w:sz w:val="24"/>
              </w:rPr>
            </w:pPr>
            <w:r>
              <w:rPr>
                <w:rFonts w:hint="eastAsia" w:ascii="宋体" w:hAnsi="宋体" w:cs="宋体"/>
                <w:color w:val="000000"/>
                <w:kern w:val="0"/>
                <w:sz w:val="24"/>
              </w:rPr>
              <w:t>可以查询每个学生在校轨迹查询。</w:t>
            </w:r>
          </w:p>
          <w:p w14:paraId="14F3B20A">
            <w:pPr>
              <w:pStyle w:val="10"/>
              <w:spacing w:line="240" w:lineRule="auto"/>
              <w:ind w:firstLine="0" w:firstLineChars="0"/>
            </w:pPr>
            <w:r>
              <w:rPr>
                <w:rFonts w:hint="eastAsia" w:ascii="宋体" w:hAnsi="宋体" w:cs="宋体"/>
                <w:color w:val="000000"/>
                <w:kern w:val="0"/>
              </w:rPr>
              <w:t>注：通过数据中台抽取数据实现学生轨迹查询。</w:t>
            </w:r>
          </w:p>
        </w:tc>
      </w:tr>
      <w:tr w14:paraId="60A6F233">
        <w:tblPrEx>
          <w:tblCellMar>
            <w:top w:w="0" w:type="dxa"/>
            <w:left w:w="108" w:type="dxa"/>
            <w:bottom w:w="0" w:type="dxa"/>
            <w:right w:w="108" w:type="dxa"/>
          </w:tblCellMar>
        </w:tblPrEx>
        <w:tc>
          <w:tcPr>
            <w:tcW w:w="785" w:type="dxa"/>
            <w:vMerge w:val="restart"/>
            <w:tcBorders>
              <w:top w:val="nil"/>
              <w:left w:val="single" w:color="auto" w:sz="4" w:space="0"/>
              <w:right w:val="single" w:color="auto" w:sz="4" w:space="0"/>
            </w:tcBorders>
            <w:shd w:val="clear" w:color="auto" w:fill="auto"/>
            <w:vAlign w:val="center"/>
          </w:tcPr>
          <w:p w14:paraId="50F7D3AA">
            <w:pPr>
              <w:widowControl/>
              <w:jc w:val="center"/>
              <w:rPr>
                <w:rFonts w:hint="eastAsia" w:ascii="宋体" w:hAnsi="宋体" w:cs="宋体"/>
                <w:color w:val="000000"/>
                <w:kern w:val="0"/>
                <w:sz w:val="24"/>
              </w:rPr>
            </w:pPr>
            <w:r>
              <w:rPr>
                <w:rFonts w:hint="eastAsia" w:ascii="宋体" w:hAnsi="宋体" w:cs="宋体"/>
                <w:color w:val="000000"/>
                <w:kern w:val="0"/>
                <w:sz w:val="24"/>
              </w:rPr>
              <w:t>教师信息查询</w:t>
            </w:r>
          </w:p>
        </w:tc>
        <w:tc>
          <w:tcPr>
            <w:tcW w:w="1337" w:type="dxa"/>
            <w:tcBorders>
              <w:top w:val="nil"/>
              <w:left w:val="nil"/>
              <w:bottom w:val="single" w:color="auto" w:sz="4" w:space="0"/>
              <w:right w:val="single" w:color="auto" w:sz="4" w:space="0"/>
            </w:tcBorders>
            <w:shd w:val="clear" w:color="auto" w:fill="auto"/>
            <w:vAlign w:val="center"/>
          </w:tcPr>
          <w:p w14:paraId="63EB95BD">
            <w:pPr>
              <w:widowControl/>
              <w:jc w:val="center"/>
              <w:rPr>
                <w:rFonts w:hint="eastAsia" w:ascii="宋体" w:hAnsi="宋体" w:cs="宋体"/>
                <w:color w:val="000000"/>
                <w:kern w:val="0"/>
                <w:sz w:val="24"/>
              </w:rPr>
            </w:pPr>
            <w:bookmarkStart w:id="51" w:name="OLE_LINK71"/>
            <w:r>
              <w:rPr>
                <w:rFonts w:hint="eastAsia" w:ascii="宋体" w:hAnsi="宋体" w:cs="宋体"/>
                <w:color w:val="000000"/>
                <w:kern w:val="0"/>
                <w:sz w:val="24"/>
              </w:rPr>
              <w:t>数据抽取</w:t>
            </w:r>
          </w:p>
          <w:bookmarkEnd w:id="51"/>
          <w:p w14:paraId="3BFA8322">
            <w:pPr>
              <w:widowControl/>
              <w:jc w:val="center"/>
              <w:rPr>
                <w:rFonts w:hint="eastAsia" w:ascii="宋体" w:hAnsi="宋体" w:cs="宋体"/>
                <w:color w:val="000000"/>
                <w:kern w:val="0"/>
                <w:sz w:val="24"/>
              </w:rPr>
            </w:pPr>
          </w:p>
        </w:tc>
        <w:tc>
          <w:tcPr>
            <w:tcW w:w="6772" w:type="dxa"/>
            <w:tcBorders>
              <w:top w:val="nil"/>
              <w:left w:val="nil"/>
              <w:bottom w:val="single" w:color="auto" w:sz="4" w:space="0"/>
              <w:right w:val="single" w:color="auto" w:sz="4" w:space="0"/>
            </w:tcBorders>
            <w:shd w:val="clear" w:color="auto" w:fill="auto"/>
            <w:vAlign w:val="center"/>
          </w:tcPr>
          <w:p w14:paraId="4ED295E6">
            <w:pPr>
              <w:widowControl/>
              <w:jc w:val="left"/>
              <w:rPr>
                <w:rFonts w:hint="eastAsia" w:ascii="宋体" w:hAnsi="宋体" w:cs="宋体"/>
                <w:color w:val="000000"/>
                <w:kern w:val="0"/>
                <w:sz w:val="24"/>
              </w:rPr>
            </w:pPr>
            <w:bookmarkStart w:id="52" w:name="OLE_LINK57"/>
            <w:r>
              <w:rPr>
                <w:rFonts w:hint="eastAsia"/>
                <w:sz w:val="24"/>
                <w:highlight w:val="none"/>
              </w:rPr>
              <w:t>从标准库中选择教师表，同时设置表与表之间的关联关系，设置完成后自动创建主题库，主题库中就可以生成数据。同时主题数据查询功能支持类似于excel的模式进行高级搜索，便于利用；</w:t>
            </w:r>
            <w:bookmarkEnd w:id="52"/>
          </w:p>
        </w:tc>
      </w:tr>
      <w:tr w14:paraId="0CFBA440">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shd w:val="clear" w:color="auto" w:fill="auto"/>
            <w:vAlign w:val="center"/>
          </w:tcPr>
          <w:p w14:paraId="00C1413B">
            <w:pPr>
              <w:widowControl/>
              <w:jc w:val="center"/>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10F016D4">
            <w:pPr>
              <w:widowControl/>
              <w:jc w:val="center"/>
              <w:rPr>
                <w:rFonts w:hint="eastAsia" w:ascii="宋体" w:hAnsi="宋体" w:cs="宋体"/>
                <w:color w:val="000000"/>
                <w:kern w:val="0"/>
                <w:sz w:val="24"/>
              </w:rPr>
            </w:pPr>
            <w:r>
              <w:rPr>
                <w:rFonts w:hint="eastAsia" w:ascii="宋体" w:hAnsi="宋体" w:cs="宋体"/>
                <w:color w:val="000000"/>
                <w:kern w:val="0"/>
                <w:sz w:val="24"/>
              </w:rPr>
              <w:t>基本人事信息</w:t>
            </w:r>
          </w:p>
        </w:tc>
        <w:tc>
          <w:tcPr>
            <w:tcW w:w="6772" w:type="dxa"/>
            <w:tcBorders>
              <w:top w:val="nil"/>
              <w:left w:val="nil"/>
              <w:bottom w:val="single" w:color="auto" w:sz="4" w:space="0"/>
              <w:right w:val="single" w:color="auto" w:sz="4" w:space="0"/>
            </w:tcBorders>
            <w:shd w:val="clear" w:color="auto" w:fill="auto"/>
            <w:vAlign w:val="center"/>
          </w:tcPr>
          <w:p w14:paraId="411A23AF">
            <w:pPr>
              <w:widowControl/>
              <w:jc w:val="left"/>
              <w:rPr>
                <w:rFonts w:hint="eastAsia" w:ascii="宋体" w:hAnsi="宋体" w:cs="宋体"/>
                <w:b/>
                <w:bCs/>
                <w:color w:val="000000"/>
                <w:kern w:val="0"/>
                <w:sz w:val="24"/>
              </w:rPr>
            </w:pPr>
            <w:r>
              <w:rPr>
                <w:rFonts w:hint="eastAsia" w:ascii="宋体" w:hAnsi="宋体" w:cs="宋体"/>
                <w:color w:val="000000"/>
                <w:kern w:val="0"/>
                <w:sz w:val="24"/>
              </w:rPr>
              <w:t>包含教职工的姓名、性别、出生日期、民族、政治面貌、身份证号、联系方式、入职时间、所在部门等基础信息，确保信息的准确性和实时性，方便学校进行人员管理和沟通联络。</w:t>
            </w:r>
          </w:p>
          <w:p w14:paraId="22D7D74E">
            <w:pPr>
              <w:widowControl/>
              <w:jc w:val="left"/>
              <w:rPr>
                <w:rFonts w:hint="eastAsia" w:ascii="宋体" w:hAnsi="宋体" w:cs="宋体"/>
                <w:b/>
                <w:bCs/>
                <w:color w:val="000000"/>
                <w:kern w:val="0"/>
                <w:sz w:val="24"/>
              </w:rPr>
            </w:pPr>
            <w:r>
              <w:rPr>
                <w:rFonts w:hint="eastAsia" w:ascii="宋体" w:hAnsi="宋体" w:cs="宋体"/>
                <w:color w:val="000000"/>
                <w:kern w:val="0"/>
                <w:sz w:val="24"/>
              </w:rPr>
              <w:t>可快速单表或多表配置查询项，配置好后能够支持移动端与PC端 ；</w:t>
            </w:r>
          </w:p>
          <w:p w14:paraId="65A884CD">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注：通过数据中台抽取数据实现教师数据查询</w:t>
            </w:r>
            <w:r>
              <w:rPr>
                <w:rFonts w:hint="eastAsia" w:ascii="宋体" w:hAnsi="宋体" w:cs="宋体"/>
                <w:color w:val="000000"/>
                <w:kern w:val="0"/>
                <w:sz w:val="24"/>
                <w:lang w:eastAsia="zh-CN"/>
              </w:rPr>
              <w:t>。</w:t>
            </w:r>
          </w:p>
        </w:tc>
      </w:tr>
      <w:tr w14:paraId="56703016">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shd w:val="clear" w:color="auto" w:fill="auto"/>
            <w:vAlign w:val="center"/>
          </w:tcPr>
          <w:p w14:paraId="06F34050">
            <w:pPr>
              <w:widowControl/>
              <w:jc w:val="center"/>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69EEEA07">
            <w:pPr>
              <w:widowControl/>
              <w:jc w:val="center"/>
              <w:rPr>
                <w:rFonts w:hint="eastAsia" w:ascii="宋体" w:hAnsi="宋体" w:cs="宋体"/>
                <w:color w:val="000000"/>
                <w:kern w:val="0"/>
                <w:sz w:val="24"/>
              </w:rPr>
            </w:pPr>
            <w:r>
              <w:rPr>
                <w:rFonts w:hint="eastAsia" w:ascii="宋体" w:hAnsi="宋体" w:cs="宋体"/>
                <w:color w:val="000000"/>
                <w:kern w:val="0"/>
                <w:sz w:val="24"/>
              </w:rPr>
              <w:t>教务信息</w:t>
            </w:r>
          </w:p>
        </w:tc>
        <w:tc>
          <w:tcPr>
            <w:tcW w:w="6772" w:type="dxa"/>
            <w:tcBorders>
              <w:top w:val="nil"/>
              <w:left w:val="nil"/>
              <w:bottom w:val="single" w:color="auto" w:sz="4" w:space="0"/>
              <w:right w:val="single" w:color="auto" w:sz="4" w:space="0"/>
            </w:tcBorders>
            <w:shd w:val="clear" w:color="auto" w:fill="auto"/>
            <w:vAlign w:val="center"/>
          </w:tcPr>
          <w:p w14:paraId="73B14EE0">
            <w:pPr>
              <w:widowControl/>
              <w:jc w:val="left"/>
              <w:rPr>
                <w:rFonts w:hint="eastAsia" w:ascii="宋体" w:hAnsi="宋体" w:cs="宋体"/>
                <w:color w:val="000000"/>
                <w:kern w:val="0"/>
                <w:sz w:val="24"/>
              </w:rPr>
            </w:pPr>
            <w:r>
              <w:rPr>
                <w:rFonts w:hint="eastAsia" w:ascii="宋体" w:hAnsi="宋体" w:cs="宋体"/>
                <w:color w:val="000000"/>
                <w:kern w:val="0"/>
                <w:sz w:val="24"/>
              </w:rPr>
              <w:t>1.课表查询</w:t>
            </w:r>
          </w:p>
          <w:p w14:paraId="619F5ADC">
            <w:pPr>
              <w:widowControl/>
              <w:jc w:val="left"/>
              <w:rPr>
                <w:rFonts w:hint="eastAsia" w:ascii="宋体" w:hAnsi="宋体" w:cs="宋体"/>
                <w:color w:val="000000"/>
                <w:kern w:val="0"/>
                <w:sz w:val="24"/>
              </w:rPr>
            </w:pPr>
            <w:r>
              <w:rPr>
                <w:rFonts w:hint="eastAsia" w:ascii="宋体" w:hAnsi="宋体" w:cs="宋体"/>
                <w:color w:val="000000"/>
                <w:kern w:val="0"/>
                <w:sz w:val="24"/>
              </w:rPr>
              <w:t>查询自己实时课表</w:t>
            </w:r>
          </w:p>
          <w:p w14:paraId="226132E9">
            <w:pPr>
              <w:widowControl/>
              <w:jc w:val="left"/>
              <w:rPr>
                <w:rFonts w:hint="eastAsia" w:ascii="宋体" w:hAnsi="宋体" w:cs="宋体"/>
                <w:color w:val="000000"/>
                <w:kern w:val="0"/>
                <w:sz w:val="24"/>
              </w:rPr>
            </w:pPr>
            <w:r>
              <w:rPr>
                <w:rFonts w:hint="eastAsia" w:ascii="宋体" w:hAnsi="宋体" w:cs="宋体"/>
                <w:color w:val="000000"/>
                <w:kern w:val="0"/>
                <w:sz w:val="24"/>
              </w:rPr>
              <w:t>2.评教信息</w:t>
            </w:r>
          </w:p>
          <w:p w14:paraId="2412A325">
            <w:pPr>
              <w:widowControl/>
              <w:jc w:val="left"/>
              <w:rPr>
                <w:rFonts w:hint="eastAsia" w:ascii="宋体" w:hAnsi="宋体" w:cs="宋体"/>
                <w:color w:val="000000"/>
                <w:kern w:val="0"/>
                <w:sz w:val="24"/>
              </w:rPr>
            </w:pPr>
            <w:r>
              <w:rPr>
                <w:rFonts w:hint="eastAsia" w:ascii="宋体" w:hAnsi="宋体" w:cs="宋体"/>
                <w:color w:val="000000"/>
                <w:kern w:val="0"/>
                <w:sz w:val="24"/>
              </w:rPr>
              <w:t>教师可查询自己的评教内容；</w:t>
            </w:r>
          </w:p>
          <w:p w14:paraId="018212FE">
            <w:pPr>
              <w:widowControl/>
              <w:jc w:val="left"/>
              <w:rPr>
                <w:rFonts w:hint="eastAsia" w:ascii="宋体" w:hAnsi="宋体" w:cs="宋体"/>
                <w:color w:val="000000"/>
                <w:kern w:val="0"/>
                <w:sz w:val="24"/>
              </w:rPr>
            </w:pPr>
            <w:r>
              <w:rPr>
                <w:rFonts w:hint="eastAsia" w:ascii="宋体" w:hAnsi="宋体" w:cs="宋体"/>
                <w:color w:val="000000"/>
                <w:kern w:val="0"/>
                <w:sz w:val="24"/>
              </w:rPr>
              <w:t>3、课程成绩</w:t>
            </w:r>
          </w:p>
          <w:p w14:paraId="4BD41E22">
            <w:pPr>
              <w:widowControl/>
              <w:jc w:val="left"/>
              <w:rPr>
                <w:rFonts w:hint="eastAsia" w:ascii="宋体" w:hAnsi="宋体" w:cs="宋体"/>
                <w:color w:val="000000"/>
                <w:kern w:val="0"/>
                <w:sz w:val="24"/>
              </w:rPr>
            </w:pPr>
            <w:r>
              <w:rPr>
                <w:rFonts w:hint="eastAsia" w:ascii="宋体" w:hAnsi="宋体" w:cs="宋体"/>
                <w:color w:val="000000"/>
                <w:kern w:val="0"/>
                <w:sz w:val="24"/>
              </w:rPr>
              <w:t>教师可以查询自己所教的</w:t>
            </w:r>
            <w:bookmarkStart w:id="53" w:name="OLE_LINK31"/>
            <w:r>
              <w:rPr>
                <w:rFonts w:hint="eastAsia" w:ascii="宋体" w:hAnsi="宋体" w:cs="宋体"/>
                <w:color w:val="000000"/>
                <w:kern w:val="0"/>
                <w:sz w:val="24"/>
              </w:rPr>
              <w:t>学生</w:t>
            </w:r>
            <w:bookmarkEnd w:id="53"/>
            <w:r>
              <w:rPr>
                <w:rFonts w:hint="eastAsia" w:ascii="宋体" w:hAnsi="宋体" w:cs="宋体"/>
                <w:color w:val="000000"/>
                <w:kern w:val="0"/>
                <w:sz w:val="24"/>
              </w:rPr>
              <w:t>单门</w:t>
            </w:r>
            <w:bookmarkStart w:id="54" w:name="OLE_LINK32"/>
            <w:r>
              <w:rPr>
                <w:rFonts w:hint="eastAsia" w:ascii="宋体" w:hAnsi="宋体" w:cs="宋体"/>
                <w:color w:val="000000"/>
                <w:kern w:val="0"/>
                <w:sz w:val="24"/>
              </w:rPr>
              <w:t>课程成绩，包括平时成绩、期中成绩、期末成绩、总评成绩、补考成绩、学分；</w:t>
            </w:r>
            <w:bookmarkEnd w:id="54"/>
          </w:p>
          <w:p w14:paraId="4F2DA50E">
            <w:pPr>
              <w:widowControl/>
              <w:jc w:val="left"/>
              <w:rPr>
                <w:rFonts w:hint="eastAsia" w:ascii="宋体" w:hAnsi="宋体" w:cs="宋体"/>
                <w:color w:val="000000"/>
                <w:kern w:val="0"/>
                <w:sz w:val="24"/>
              </w:rPr>
            </w:pPr>
            <w:bookmarkStart w:id="55" w:name="OLE_LINK44"/>
            <w:r>
              <w:rPr>
                <w:rFonts w:hint="eastAsia" w:ascii="宋体" w:hAnsi="宋体" w:cs="宋体"/>
                <w:color w:val="000000"/>
                <w:kern w:val="0"/>
                <w:sz w:val="24"/>
              </w:rPr>
              <w:t>注：通过数据中台抽取数据实现数据查询；</w:t>
            </w:r>
            <w:bookmarkEnd w:id="55"/>
          </w:p>
        </w:tc>
      </w:tr>
      <w:tr w14:paraId="4D8435D4">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vAlign w:val="center"/>
          </w:tcPr>
          <w:p w14:paraId="6B8BD6B1">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429BCC44">
            <w:pPr>
              <w:widowControl/>
              <w:jc w:val="center"/>
              <w:rPr>
                <w:rFonts w:hint="eastAsia" w:ascii="宋体" w:hAnsi="宋体" w:cs="宋体"/>
                <w:color w:val="000000"/>
                <w:kern w:val="0"/>
                <w:sz w:val="24"/>
              </w:rPr>
            </w:pPr>
            <w:bookmarkStart w:id="56" w:name="OLE_LINK72"/>
            <w:r>
              <w:rPr>
                <w:rFonts w:hint="eastAsia" w:ascii="宋体" w:hAnsi="宋体" w:cs="宋体"/>
                <w:color w:val="000000"/>
                <w:kern w:val="0"/>
                <w:sz w:val="24"/>
              </w:rPr>
              <w:t>专业技术信息</w:t>
            </w:r>
            <w:bookmarkEnd w:id="56"/>
          </w:p>
        </w:tc>
        <w:tc>
          <w:tcPr>
            <w:tcW w:w="6772" w:type="dxa"/>
            <w:tcBorders>
              <w:top w:val="nil"/>
              <w:left w:val="nil"/>
              <w:bottom w:val="single" w:color="auto" w:sz="4" w:space="0"/>
              <w:right w:val="single" w:color="auto" w:sz="4" w:space="0"/>
            </w:tcBorders>
            <w:shd w:val="clear" w:color="auto" w:fill="auto"/>
            <w:vAlign w:val="center"/>
          </w:tcPr>
          <w:p w14:paraId="4134EFDD">
            <w:pPr>
              <w:widowControl/>
              <w:jc w:val="left"/>
              <w:rPr>
                <w:rFonts w:hint="eastAsia" w:ascii="宋体" w:hAnsi="宋体" w:cs="宋体"/>
                <w:color w:val="000000"/>
                <w:kern w:val="0"/>
                <w:sz w:val="24"/>
              </w:rPr>
            </w:pPr>
            <w:r>
              <w:rPr>
                <w:rFonts w:hint="eastAsia" w:ascii="宋体" w:hAnsi="宋体" w:cs="宋体"/>
                <w:color w:val="000000"/>
                <w:kern w:val="0"/>
                <w:sz w:val="24"/>
              </w:rPr>
              <w:t>详细记录教职工的专业技术职务聘任信息，如职称等级、聘任时间、专业领域等；同时涵盖教师的职业技能证书、行业资格认证等证书信息，全面展示教师的专业能力和技术水平。</w:t>
            </w:r>
          </w:p>
          <w:p w14:paraId="3029F7A8">
            <w:pPr>
              <w:widowControl/>
              <w:ind w:firstLine="480" w:firstLineChars="200"/>
              <w:jc w:val="left"/>
              <w:rPr>
                <w:rFonts w:hint="eastAsia" w:ascii="宋体" w:hAnsi="宋体" w:cs="宋体"/>
                <w:b/>
                <w:bCs/>
                <w:color w:val="000000"/>
                <w:kern w:val="0"/>
                <w:sz w:val="24"/>
              </w:rPr>
            </w:pPr>
            <w:bookmarkStart w:id="57" w:name="OLE_LINK7"/>
            <w:r>
              <w:rPr>
                <w:rFonts w:hint="eastAsia" w:ascii="宋体" w:hAnsi="宋体" w:cs="宋体"/>
                <w:color w:val="000000"/>
                <w:kern w:val="0"/>
                <w:sz w:val="24"/>
              </w:rPr>
              <w:t>可快速单表或多表配置查询项，配置好后能够支持移动端与PC端 ；</w:t>
            </w:r>
            <w:r>
              <w:rPr>
                <w:rFonts w:hint="eastAsia" w:ascii="宋体" w:hAnsi="宋体" w:cs="宋体"/>
                <w:b/>
                <w:bCs/>
                <w:color w:val="000000"/>
                <w:kern w:val="0"/>
                <w:sz w:val="24"/>
              </w:rPr>
              <w:t xml:space="preserve"> </w:t>
            </w:r>
          </w:p>
          <w:bookmarkEnd w:id="57"/>
          <w:p w14:paraId="59E5A139">
            <w:pPr>
              <w:widowControl/>
              <w:jc w:val="left"/>
              <w:rPr>
                <w:rFonts w:hint="eastAsia" w:ascii="宋体" w:hAnsi="宋体" w:cs="宋体"/>
                <w:color w:val="000000"/>
                <w:kern w:val="0"/>
                <w:sz w:val="24"/>
              </w:rPr>
            </w:pPr>
            <w:r>
              <w:rPr>
                <w:rFonts w:hint="eastAsia" w:ascii="宋体" w:hAnsi="宋体" w:cs="宋体"/>
                <w:color w:val="000000"/>
                <w:kern w:val="0"/>
                <w:sz w:val="24"/>
              </w:rPr>
              <w:t>注：通过数据中台抽取数据实现数据查询；</w:t>
            </w:r>
          </w:p>
        </w:tc>
      </w:tr>
      <w:tr w14:paraId="4B28CF0F">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vAlign w:val="center"/>
          </w:tcPr>
          <w:p w14:paraId="2B50CC13">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5D23861E">
            <w:pPr>
              <w:widowControl/>
              <w:jc w:val="center"/>
              <w:rPr>
                <w:rFonts w:hint="eastAsia" w:ascii="宋体" w:hAnsi="宋体" w:cs="宋体"/>
                <w:color w:val="000000"/>
                <w:kern w:val="0"/>
                <w:sz w:val="24"/>
              </w:rPr>
            </w:pPr>
            <w:bookmarkStart w:id="58" w:name="OLE_LINK20"/>
            <w:r>
              <w:rPr>
                <w:rFonts w:hint="eastAsia" w:ascii="宋体" w:hAnsi="宋体" w:cs="宋体"/>
                <w:color w:val="000000"/>
                <w:kern w:val="0"/>
                <w:sz w:val="24"/>
              </w:rPr>
              <w:t>教学科研成果</w:t>
            </w:r>
            <w:bookmarkEnd w:id="58"/>
          </w:p>
        </w:tc>
        <w:tc>
          <w:tcPr>
            <w:tcW w:w="6772" w:type="dxa"/>
            <w:tcBorders>
              <w:top w:val="nil"/>
              <w:left w:val="nil"/>
              <w:bottom w:val="single" w:color="auto" w:sz="4" w:space="0"/>
              <w:right w:val="single" w:color="auto" w:sz="4" w:space="0"/>
            </w:tcBorders>
            <w:shd w:val="clear" w:color="auto" w:fill="auto"/>
            <w:vAlign w:val="center"/>
          </w:tcPr>
          <w:p w14:paraId="338931C8">
            <w:pPr>
              <w:widowControl/>
              <w:jc w:val="left"/>
              <w:rPr>
                <w:rFonts w:hint="eastAsia" w:ascii="宋体" w:hAnsi="宋体" w:cs="宋体"/>
                <w:color w:val="000000"/>
                <w:kern w:val="0"/>
                <w:sz w:val="24"/>
              </w:rPr>
            </w:pPr>
            <w:r>
              <w:rPr>
                <w:rFonts w:hint="eastAsia" w:ascii="宋体" w:hAnsi="宋体" w:cs="宋体"/>
                <w:color w:val="000000"/>
                <w:kern w:val="0"/>
                <w:sz w:val="24"/>
              </w:rPr>
              <w:t>教师指导学生参加各类学科竞赛、技能竞赛的获奖信息，包括竞赛名称、获奖等级、学生姓名等；教师发表的学术论文信息，如论文题目、发表期刊、发表时间等；教师主持或参与的科研项目、课题信息，如项目名称、项目来源、项目经费、研究周期等，有助于评估教师的教学科研能力和贡献。</w:t>
            </w:r>
          </w:p>
          <w:p w14:paraId="1F1097BA">
            <w:pPr>
              <w:widowControl/>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rPr>
              <w:t>可快速单表或多表配置查询项，配置好后能够支持移动端与PC端 ；</w:t>
            </w:r>
            <w:r>
              <w:rPr>
                <w:rFonts w:hint="eastAsia" w:ascii="宋体" w:hAnsi="宋体" w:cs="宋体"/>
                <w:b/>
                <w:bCs/>
                <w:color w:val="000000"/>
                <w:kern w:val="0"/>
                <w:sz w:val="24"/>
              </w:rPr>
              <w:t xml:space="preserve"> </w:t>
            </w:r>
          </w:p>
          <w:p w14:paraId="7E2C0ACC">
            <w:pPr>
              <w:widowControl/>
              <w:jc w:val="left"/>
              <w:rPr>
                <w:rFonts w:hint="eastAsia" w:ascii="宋体" w:hAnsi="宋体" w:cs="宋体"/>
                <w:color w:val="000000"/>
                <w:kern w:val="0"/>
                <w:sz w:val="24"/>
              </w:rPr>
            </w:pPr>
            <w:r>
              <w:rPr>
                <w:rFonts w:hint="eastAsia" w:ascii="宋体" w:hAnsi="宋体" w:cs="宋体"/>
                <w:color w:val="000000"/>
                <w:kern w:val="0"/>
                <w:sz w:val="24"/>
              </w:rPr>
              <w:t>注：通过数据中台抽取数据实现数据查询；</w:t>
            </w:r>
          </w:p>
        </w:tc>
      </w:tr>
      <w:tr w14:paraId="68F08821">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vAlign w:val="center"/>
          </w:tcPr>
          <w:p w14:paraId="1A95D022">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61F58659">
            <w:pPr>
              <w:widowControl/>
              <w:jc w:val="center"/>
              <w:rPr>
                <w:rFonts w:hint="eastAsia" w:ascii="宋体" w:hAnsi="宋体" w:cs="宋体"/>
                <w:color w:val="000000"/>
                <w:kern w:val="0"/>
                <w:sz w:val="24"/>
              </w:rPr>
            </w:pPr>
            <w:bookmarkStart w:id="59" w:name="OLE_LINK73"/>
            <w:r>
              <w:rPr>
                <w:rFonts w:hint="eastAsia" w:ascii="宋体" w:hAnsi="宋体" w:cs="宋体"/>
                <w:color w:val="000000"/>
                <w:kern w:val="0"/>
                <w:sz w:val="24"/>
              </w:rPr>
              <w:t>师德师风记录</w:t>
            </w:r>
            <w:bookmarkEnd w:id="59"/>
          </w:p>
        </w:tc>
        <w:tc>
          <w:tcPr>
            <w:tcW w:w="6772" w:type="dxa"/>
            <w:tcBorders>
              <w:top w:val="nil"/>
              <w:left w:val="nil"/>
              <w:bottom w:val="single" w:color="auto" w:sz="4" w:space="0"/>
              <w:right w:val="single" w:color="auto" w:sz="4" w:space="0"/>
            </w:tcBorders>
            <w:shd w:val="clear" w:color="auto" w:fill="auto"/>
            <w:vAlign w:val="center"/>
          </w:tcPr>
          <w:p w14:paraId="31646307">
            <w:pPr>
              <w:widowControl/>
              <w:jc w:val="left"/>
              <w:rPr>
                <w:rFonts w:hint="eastAsia" w:ascii="宋体" w:hAnsi="宋体" w:cs="宋体"/>
                <w:color w:val="000000"/>
                <w:kern w:val="0"/>
                <w:sz w:val="24"/>
              </w:rPr>
            </w:pPr>
            <w:r>
              <w:rPr>
                <w:rFonts w:hint="eastAsia" w:ascii="宋体" w:hAnsi="宋体" w:cs="宋体"/>
                <w:color w:val="000000"/>
                <w:kern w:val="0"/>
                <w:sz w:val="24"/>
              </w:rPr>
              <w:t>记录教师的师德荣誉信息，如师德标兵、优秀教师等称号；师德考核信息，包括考核等级、考核时间等；以及师德处分信息，如警告、记过等处分情况，加强对教师师德师风的监督和管理。</w:t>
            </w:r>
          </w:p>
          <w:p w14:paraId="73A13E99">
            <w:pPr>
              <w:widowControl/>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rPr>
              <w:t>可快速单表或多表配置查询项，配置好后能够支持移动端与PC端 ；</w:t>
            </w:r>
            <w:bookmarkStart w:id="60" w:name="OLE_LINK8"/>
            <w:r>
              <w:rPr>
                <w:rFonts w:hint="eastAsia" w:ascii="宋体" w:hAnsi="宋体" w:cs="宋体"/>
                <w:b/>
                <w:bCs/>
                <w:color w:val="000000"/>
                <w:kern w:val="0"/>
                <w:sz w:val="24"/>
              </w:rPr>
              <w:t xml:space="preserve"> </w:t>
            </w:r>
          </w:p>
          <w:bookmarkEnd w:id="60"/>
          <w:p w14:paraId="1288DE4B">
            <w:pPr>
              <w:widowControl/>
              <w:jc w:val="left"/>
              <w:rPr>
                <w:rFonts w:hint="eastAsia" w:ascii="宋体" w:hAnsi="宋体" w:cs="宋体"/>
                <w:color w:val="000000"/>
                <w:kern w:val="0"/>
                <w:sz w:val="24"/>
              </w:rPr>
            </w:pPr>
            <w:r>
              <w:rPr>
                <w:rFonts w:hint="eastAsia" w:ascii="宋体" w:hAnsi="宋体" w:cs="宋体"/>
                <w:color w:val="000000"/>
                <w:kern w:val="0"/>
                <w:sz w:val="24"/>
              </w:rPr>
              <w:t>注：通过数据中台抽取数据实现数据查询；</w:t>
            </w:r>
          </w:p>
        </w:tc>
      </w:tr>
      <w:tr w14:paraId="59ECA846">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vAlign w:val="center"/>
          </w:tcPr>
          <w:p w14:paraId="01052710">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31A8AA0D">
            <w:pPr>
              <w:widowControl/>
              <w:jc w:val="center"/>
              <w:rPr>
                <w:rFonts w:hint="eastAsia" w:ascii="宋体" w:hAnsi="宋体" w:cs="宋体"/>
                <w:color w:val="000000"/>
                <w:kern w:val="0"/>
                <w:sz w:val="24"/>
              </w:rPr>
            </w:pPr>
            <w:bookmarkStart w:id="61" w:name="OLE_LINK74"/>
            <w:r>
              <w:rPr>
                <w:rFonts w:hint="eastAsia" w:ascii="宋体" w:hAnsi="宋体" w:cs="宋体"/>
                <w:color w:val="000000"/>
                <w:kern w:val="0"/>
                <w:sz w:val="24"/>
              </w:rPr>
              <w:t>教育培训经历</w:t>
            </w:r>
            <w:bookmarkEnd w:id="61"/>
          </w:p>
        </w:tc>
        <w:tc>
          <w:tcPr>
            <w:tcW w:w="6772" w:type="dxa"/>
            <w:tcBorders>
              <w:top w:val="nil"/>
              <w:left w:val="nil"/>
              <w:bottom w:val="single" w:color="auto" w:sz="4" w:space="0"/>
              <w:right w:val="single" w:color="auto" w:sz="4" w:space="0"/>
            </w:tcBorders>
            <w:shd w:val="clear" w:color="auto" w:fill="auto"/>
            <w:vAlign w:val="center"/>
          </w:tcPr>
          <w:p w14:paraId="143EBE7D">
            <w:pPr>
              <w:widowControl/>
              <w:jc w:val="left"/>
              <w:rPr>
                <w:rFonts w:hint="eastAsia" w:ascii="宋体" w:hAnsi="宋体" w:cs="宋体"/>
                <w:color w:val="000000"/>
                <w:kern w:val="0"/>
                <w:sz w:val="24"/>
              </w:rPr>
            </w:pPr>
            <w:r>
              <w:rPr>
                <w:rFonts w:hint="eastAsia" w:ascii="宋体" w:hAnsi="宋体" w:cs="宋体"/>
                <w:color w:val="000000"/>
                <w:kern w:val="0"/>
                <w:sz w:val="24"/>
              </w:rPr>
              <w:t>教师的学习经历信息，如毕业院校、所学专业、学历层次、学位等；教师参加的国内各类培训信息，包括培训主题、培训时间、培训地点、培训机构等，助力教师的专业成长和发展。</w:t>
            </w:r>
          </w:p>
          <w:p w14:paraId="4A6AA406">
            <w:pPr>
              <w:widowControl/>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rPr>
              <w:t>可快速单表或多表配置查询项，配置好后能够支持移动端与PC端 ；</w:t>
            </w:r>
            <w:r>
              <w:rPr>
                <w:rFonts w:hint="eastAsia" w:ascii="宋体" w:hAnsi="宋体" w:cs="宋体"/>
                <w:b/>
                <w:bCs/>
                <w:color w:val="000000"/>
                <w:kern w:val="0"/>
                <w:sz w:val="24"/>
              </w:rPr>
              <w:t xml:space="preserve"> </w:t>
            </w:r>
          </w:p>
          <w:p w14:paraId="17E146D1">
            <w:pPr>
              <w:widowControl/>
              <w:jc w:val="left"/>
              <w:rPr>
                <w:rFonts w:hint="eastAsia" w:ascii="宋体" w:hAnsi="宋体" w:cs="宋体"/>
                <w:color w:val="000000"/>
                <w:kern w:val="0"/>
                <w:sz w:val="24"/>
              </w:rPr>
            </w:pPr>
            <w:r>
              <w:rPr>
                <w:rFonts w:hint="eastAsia" w:ascii="宋体" w:hAnsi="宋体" w:cs="宋体"/>
                <w:color w:val="000000"/>
                <w:kern w:val="0"/>
                <w:sz w:val="24"/>
              </w:rPr>
              <w:t>注：通过数据中台抽取数据实现数据查询；</w:t>
            </w:r>
          </w:p>
        </w:tc>
      </w:tr>
      <w:tr w14:paraId="048BDD2A">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vAlign w:val="center"/>
          </w:tcPr>
          <w:p w14:paraId="368CAF83">
            <w:pPr>
              <w:widowControl/>
              <w:jc w:val="left"/>
              <w:rPr>
                <w:rFonts w:hint="eastAsia" w:ascii="宋体" w:hAnsi="宋体" w:cs="宋体"/>
                <w:color w:val="000000"/>
                <w:kern w:val="0"/>
                <w:sz w:val="24"/>
              </w:rPr>
            </w:pPr>
          </w:p>
        </w:tc>
        <w:tc>
          <w:tcPr>
            <w:tcW w:w="1337" w:type="dxa"/>
            <w:tcBorders>
              <w:top w:val="nil"/>
              <w:left w:val="nil"/>
              <w:bottom w:val="single" w:color="auto" w:sz="4" w:space="0"/>
              <w:right w:val="single" w:color="auto" w:sz="4" w:space="0"/>
            </w:tcBorders>
            <w:shd w:val="clear" w:color="auto" w:fill="auto"/>
            <w:vAlign w:val="center"/>
          </w:tcPr>
          <w:p w14:paraId="6B1CE6B1">
            <w:pPr>
              <w:widowControl/>
              <w:jc w:val="center"/>
              <w:rPr>
                <w:rFonts w:hint="eastAsia" w:ascii="宋体" w:hAnsi="宋体" w:cs="宋体"/>
                <w:color w:val="000000"/>
                <w:kern w:val="0"/>
                <w:sz w:val="24"/>
              </w:rPr>
            </w:pPr>
            <w:bookmarkStart w:id="62" w:name="OLE_LINK75"/>
            <w:r>
              <w:rPr>
                <w:rFonts w:hint="eastAsia" w:ascii="宋体" w:hAnsi="宋体" w:cs="宋体"/>
                <w:color w:val="000000"/>
                <w:kern w:val="0"/>
                <w:sz w:val="24"/>
              </w:rPr>
              <w:t>工作履历详情</w:t>
            </w:r>
            <w:bookmarkEnd w:id="62"/>
          </w:p>
        </w:tc>
        <w:tc>
          <w:tcPr>
            <w:tcW w:w="6772" w:type="dxa"/>
            <w:tcBorders>
              <w:top w:val="nil"/>
              <w:left w:val="nil"/>
              <w:bottom w:val="single" w:color="auto" w:sz="4" w:space="0"/>
              <w:right w:val="single" w:color="auto" w:sz="4" w:space="0"/>
            </w:tcBorders>
            <w:shd w:val="clear" w:color="auto" w:fill="auto"/>
            <w:vAlign w:val="center"/>
          </w:tcPr>
          <w:p w14:paraId="4E8AF411">
            <w:pPr>
              <w:widowControl/>
              <w:jc w:val="left"/>
              <w:rPr>
                <w:rFonts w:hint="eastAsia" w:ascii="宋体" w:hAnsi="宋体" w:cs="宋体"/>
                <w:color w:val="000000"/>
                <w:kern w:val="0"/>
                <w:sz w:val="24"/>
              </w:rPr>
            </w:pPr>
            <w:r>
              <w:rPr>
                <w:rFonts w:hint="eastAsia" w:ascii="宋体" w:hAnsi="宋体" w:cs="宋体"/>
                <w:color w:val="000000"/>
                <w:kern w:val="0"/>
                <w:sz w:val="24"/>
              </w:rPr>
              <w:t>教师的工作经历信息，如曾任职单位、任职岗位、工作时长等，帮助学校了解教师的职业发展轨迹和工作经验。</w:t>
            </w:r>
          </w:p>
          <w:p w14:paraId="31DBD067">
            <w:pPr>
              <w:widowControl/>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rPr>
              <w:t>可快速单表或多表配置查询项，配置好后能够支持移动端与PC端 ；</w:t>
            </w:r>
            <w:r>
              <w:rPr>
                <w:rFonts w:hint="eastAsia" w:ascii="宋体" w:hAnsi="宋体" w:cs="宋体"/>
                <w:b/>
                <w:bCs/>
                <w:color w:val="000000"/>
                <w:kern w:val="0"/>
                <w:sz w:val="24"/>
              </w:rPr>
              <w:t xml:space="preserve"> </w:t>
            </w:r>
          </w:p>
          <w:p w14:paraId="0A79641C">
            <w:pPr>
              <w:widowControl/>
              <w:jc w:val="left"/>
              <w:rPr>
                <w:rFonts w:hint="eastAsia" w:ascii="宋体" w:hAnsi="宋体" w:cs="宋体"/>
                <w:color w:val="000000"/>
                <w:kern w:val="0"/>
                <w:sz w:val="24"/>
              </w:rPr>
            </w:pPr>
            <w:r>
              <w:rPr>
                <w:rFonts w:hint="eastAsia" w:ascii="宋体" w:hAnsi="宋体" w:cs="宋体"/>
                <w:color w:val="000000"/>
                <w:kern w:val="0"/>
                <w:sz w:val="24"/>
              </w:rPr>
              <w:t>注：通过数据中台抽取数据实现数据查询；</w:t>
            </w:r>
          </w:p>
        </w:tc>
      </w:tr>
      <w:tr w14:paraId="0A4E0F5B">
        <w:tblPrEx>
          <w:tblCellMar>
            <w:top w:w="0" w:type="dxa"/>
            <w:left w:w="108" w:type="dxa"/>
            <w:bottom w:w="0" w:type="dxa"/>
            <w:right w:w="108" w:type="dxa"/>
          </w:tblCellMar>
        </w:tblPrEx>
        <w:tc>
          <w:tcPr>
            <w:tcW w:w="785" w:type="dxa"/>
            <w:vMerge w:val="continue"/>
            <w:tcBorders>
              <w:left w:val="single" w:color="auto" w:sz="4" w:space="0"/>
              <w:right w:val="single" w:color="auto" w:sz="4" w:space="0"/>
            </w:tcBorders>
            <w:vAlign w:val="center"/>
          </w:tcPr>
          <w:p w14:paraId="4B3A0A40">
            <w:pPr>
              <w:widowControl/>
              <w:jc w:val="left"/>
              <w:rPr>
                <w:rFonts w:hint="eastAsia" w:ascii="宋体" w:hAnsi="宋体" w:cs="宋体"/>
                <w:color w:val="000000"/>
                <w:kern w:val="0"/>
                <w:sz w:val="24"/>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81CDD3D">
            <w:pPr>
              <w:widowControl/>
              <w:jc w:val="center"/>
              <w:rPr>
                <w:rFonts w:hint="eastAsia" w:ascii="宋体" w:hAnsi="宋体" w:cs="宋体"/>
                <w:color w:val="000000"/>
                <w:kern w:val="0"/>
                <w:sz w:val="24"/>
              </w:rPr>
            </w:pPr>
            <w:r>
              <w:rPr>
                <w:rFonts w:hint="eastAsia" w:ascii="宋体" w:hAnsi="宋体" w:cs="宋体"/>
                <w:color w:val="000000"/>
                <w:kern w:val="0"/>
                <w:sz w:val="24"/>
              </w:rPr>
              <w:t>消费信息</w:t>
            </w:r>
          </w:p>
        </w:tc>
        <w:tc>
          <w:tcPr>
            <w:tcW w:w="6772" w:type="dxa"/>
            <w:tcBorders>
              <w:top w:val="single" w:color="auto" w:sz="4" w:space="0"/>
              <w:left w:val="single" w:color="auto" w:sz="4" w:space="0"/>
              <w:bottom w:val="single" w:color="auto" w:sz="4" w:space="0"/>
              <w:right w:val="single" w:color="auto" w:sz="4" w:space="0"/>
            </w:tcBorders>
            <w:shd w:val="clear" w:color="auto" w:fill="auto"/>
            <w:vAlign w:val="center"/>
          </w:tcPr>
          <w:p w14:paraId="248AD3CE">
            <w:pPr>
              <w:widowControl/>
              <w:jc w:val="left"/>
              <w:rPr>
                <w:rFonts w:hint="eastAsia" w:ascii="宋体" w:hAnsi="宋体" w:cs="宋体"/>
                <w:color w:val="000000"/>
                <w:kern w:val="0"/>
                <w:sz w:val="24"/>
              </w:rPr>
            </w:pPr>
            <w:r>
              <w:rPr>
                <w:rFonts w:hint="eastAsia" w:ascii="宋体" w:hAnsi="宋体" w:cs="宋体"/>
                <w:color w:val="000000"/>
                <w:kern w:val="0"/>
                <w:sz w:val="24"/>
              </w:rPr>
              <w:t>教师消费账单、充值记录、账户余额等信息查询。</w:t>
            </w:r>
          </w:p>
          <w:p w14:paraId="5B227833">
            <w:pPr>
              <w:widowControl/>
              <w:jc w:val="left"/>
              <w:rPr>
                <w:rFonts w:hint="eastAsia" w:ascii="宋体" w:hAnsi="宋体" w:cs="宋体"/>
                <w:color w:val="000000"/>
                <w:kern w:val="0"/>
                <w:sz w:val="24"/>
              </w:rPr>
            </w:pPr>
            <w:r>
              <w:rPr>
                <w:rFonts w:hint="eastAsia" w:ascii="宋体" w:hAnsi="宋体" w:cs="宋体"/>
                <w:color w:val="000000"/>
                <w:kern w:val="0"/>
                <w:sz w:val="24"/>
              </w:rPr>
              <w:t>注：通过数据中台抽取数据实现数据查询；</w:t>
            </w:r>
          </w:p>
        </w:tc>
      </w:tr>
      <w:tr w14:paraId="6886C2E3">
        <w:tblPrEx>
          <w:tblCellMar>
            <w:top w:w="0" w:type="dxa"/>
            <w:left w:w="108" w:type="dxa"/>
            <w:bottom w:w="0" w:type="dxa"/>
            <w:right w:w="108" w:type="dxa"/>
          </w:tblCellMar>
        </w:tblPrEx>
        <w:tc>
          <w:tcPr>
            <w:tcW w:w="785" w:type="dxa"/>
            <w:vMerge w:val="continue"/>
            <w:tcBorders>
              <w:left w:val="single" w:color="auto" w:sz="4" w:space="0"/>
              <w:bottom w:val="single" w:color="auto" w:sz="4" w:space="0"/>
              <w:right w:val="single" w:color="auto" w:sz="4" w:space="0"/>
            </w:tcBorders>
            <w:vAlign w:val="center"/>
          </w:tcPr>
          <w:p w14:paraId="2CAA15F9">
            <w:pPr>
              <w:widowControl/>
              <w:jc w:val="left"/>
              <w:rPr>
                <w:rFonts w:hint="eastAsia" w:ascii="宋体" w:hAnsi="宋体" w:cs="宋体"/>
                <w:color w:val="000000"/>
                <w:kern w:val="0"/>
                <w:sz w:val="24"/>
              </w:rPr>
            </w:pP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419CBC0">
            <w:pPr>
              <w:widowControl/>
              <w:jc w:val="center"/>
              <w:rPr>
                <w:rFonts w:hint="eastAsia" w:ascii="宋体" w:hAnsi="宋体" w:cs="宋体"/>
                <w:color w:val="000000"/>
                <w:kern w:val="0"/>
                <w:sz w:val="24"/>
              </w:rPr>
            </w:pPr>
            <w:r>
              <w:rPr>
                <w:rFonts w:hint="eastAsia" w:ascii="宋体" w:hAnsi="宋体" w:cs="宋体"/>
                <w:color w:val="000000"/>
                <w:kern w:val="0"/>
                <w:sz w:val="24"/>
              </w:rPr>
              <w:t>查询配置</w:t>
            </w:r>
          </w:p>
        </w:tc>
        <w:tc>
          <w:tcPr>
            <w:tcW w:w="6772" w:type="dxa"/>
            <w:tcBorders>
              <w:top w:val="single" w:color="auto" w:sz="4" w:space="0"/>
              <w:left w:val="single" w:color="auto" w:sz="4" w:space="0"/>
              <w:bottom w:val="single" w:color="auto" w:sz="4" w:space="0"/>
              <w:right w:val="single" w:color="auto" w:sz="4" w:space="0"/>
            </w:tcBorders>
            <w:shd w:val="clear" w:color="auto" w:fill="auto"/>
            <w:vAlign w:val="center"/>
          </w:tcPr>
          <w:p w14:paraId="3CAA3381">
            <w:pPr>
              <w:widowControl/>
              <w:jc w:val="left"/>
              <w:rPr>
                <w:rFonts w:hint="eastAsia" w:ascii="宋体" w:hAnsi="宋体" w:cs="宋体"/>
                <w:color w:val="000000"/>
                <w:kern w:val="0"/>
                <w:sz w:val="24"/>
              </w:rPr>
            </w:pPr>
            <w:r>
              <w:rPr>
                <w:rFonts w:hint="eastAsia" w:ascii="宋体" w:hAnsi="宋体" w:cs="宋体"/>
                <w:color w:val="000000"/>
                <w:kern w:val="0"/>
                <w:sz w:val="24"/>
                <w:highlight w:val="none"/>
              </w:rPr>
              <w:t>可快速单表或多表配置基本人事信息、专业技术信息、教学科研成果、师德师风记录、教育培训经历、工作履历详情查询项，配置好后能够支持移动端与</w:t>
            </w:r>
            <w:r>
              <w:rPr>
                <w:rFonts w:ascii="宋体" w:hAnsi="宋体" w:cs="宋体"/>
                <w:color w:val="000000"/>
                <w:kern w:val="0"/>
                <w:sz w:val="24"/>
                <w:highlight w:val="none"/>
              </w:rPr>
              <w:t>PC</w:t>
            </w:r>
            <w:r>
              <w:rPr>
                <w:rFonts w:hint="eastAsia" w:ascii="宋体" w:hAnsi="宋体" w:cs="宋体"/>
                <w:color w:val="000000"/>
                <w:kern w:val="0"/>
                <w:sz w:val="24"/>
                <w:highlight w:val="none"/>
              </w:rPr>
              <w:t>端</w:t>
            </w:r>
            <w:r>
              <w:rPr>
                <w:rFonts w:hint="eastAsia" w:ascii="宋体" w:hAnsi="宋体" w:cs="宋体"/>
                <w:color w:val="000000"/>
                <w:kern w:val="0"/>
                <w:sz w:val="24"/>
                <w:highlight w:val="none"/>
                <w:lang w:eastAsia="zh-CN"/>
              </w:rPr>
              <w:t>。</w:t>
            </w:r>
          </w:p>
        </w:tc>
      </w:tr>
    </w:tbl>
    <w:p w14:paraId="52803A49">
      <w:pPr>
        <w:ind w:left="-10" w:leftChars="-5"/>
        <w:rPr>
          <w:rFonts w:hint="eastAsia" w:asciiTheme="minorEastAsia" w:hAnsiTheme="minorEastAsia" w:eastAsiaTheme="minorEastAsia" w:cstheme="minorEastAsia"/>
          <w:b/>
          <w:sz w:val="36"/>
          <w:szCs w:val="36"/>
        </w:rPr>
      </w:pPr>
    </w:p>
    <w:p w14:paraId="2357834C">
      <w:pPr>
        <w:numPr>
          <w:ilvl w:val="0"/>
          <w:numId w:val="2"/>
        </w:numPr>
        <w:spacing w:line="360" w:lineRule="auto"/>
        <w:ind w:left="422" w:leftChars="-5" w:hanging="432"/>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24"/>
          <w:szCs w:val="24"/>
        </w:rPr>
        <w:t>数据驾驶舱</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6759"/>
      </w:tblGrid>
      <w:tr w14:paraId="55CE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6" w:type="dxa"/>
            <w:shd w:val="clear" w:color="auto" w:fill="auto"/>
            <w:vAlign w:val="center"/>
          </w:tcPr>
          <w:p w14:paraId="29DFD912">
            <w:pPr>
              <w:widowControl/>
              <w:jc w:val="center"/>
              <w:rPr>
                <w:rFonts w:hint="eastAsia" w:ascii="宋体" w:hAnsi="宋体" w:cs="宋体"/>
                <w:color w:val="000000"/>
                <w:kern w:val="0"/>
                <w:sz w:val="24"/>
              </w:rPr>
            </w:pPr>
            <w:r>
              <w:rPr>
                <w:rFonts w:hint="eastAsia" w:ascii="宋体" w:hAnsi="宋体" w:cs="宋体"/>
                <w:color w:val="000000"/>
                <w:kern w:val="0"/>
                <w:sz w:val="24"/>
              </w:rPr>
              <w:t>模块</w:t>
            </w:r>
          </w:p>
        </w:tc>
        <w:tc>
          <w:tcPr>
            <w:tcW w:w="1276" w:type="dxa"/>
            <w:shd w:val="clear" w:color="auto" w:fill="auto"/>
            <w:vAlign w:val="center"/>
          </w:tcPr>
          <w:p w14:paraId="51919FBD">
            <w:pPr>
              <w:widowControl/>
              <w:jc w:val="center"/>
              <w:rPr>
                <w:rFonts w:hint="eastAsia" w:ascii="宋体" w:hAnsi="宋体" w:cs="宋体"/>
                <w:color w:val="000000"/>
                <w:kern w:val="0"/>
                <w:sz w:val="24"/>
              </w:rPr>
            </w:pPr>
            <w:r>
              <w:rPr>
                <w:rFonts w:hint="eastAsia" w:ascii="宋体" w:hAnsi="宋体" w:cs="宋体"/>
                <w:color w:val="000000"/>
                <w:kern w:val="0"/>
                <w:sz w:val="24"/>
              </w:rPr>
              <w:t>功能</w:t>
            </w:r>
          </w:p>
        </w:tc>
        <w:tc>
          <w:tcPr>
            <w:tcW w:w="6759" w:type="dxa"/>
            <w:shd w:val="clear" w:color="auto" w:fill="auto"/>
            <w:vAlign w:val="center"/>
          </w:tcPr>
          <w:p w14:paraId="08318ADC">
            <w:pPr>
              <w:widowControl/>
              <w:jc w:val="center"/>
              <w:rPr>
                <w:rFonts w:hint="eastAsia" w:ascii="宋体" w:hAnsi="宋体" w:cs="宋体"/>
                <w:color w:val="000000"/>
                <w:kern w:val="0"/>
                <w:sz w:val="24"/>
              </w:rPr>
            </w:pPr>
            <w:r>
              <w:rPr>
                <w:rFonts w:hint="eastAsia" w:ascii="宋体" w:hAnsi="宋体" w:cs="宋体"/>
                <w:color w:val="000000"/>
                <w:kern w:val="0"/>
                <w:sz w:val="24"/>
              </w:rPr>
              <w:t>指标概述</w:t>
            </w:r>
          </w:p>
        </w:tc>
      </w:tr>
      <w:tr w14:paraId="5D54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04BFF8D3">
            <w:pPr>
              <w:widowControl/>
              <w:jc w:val="center"/>
              <w:rPr>
                <w:rFonts w:hint="eastAsia" w:ascii="宋体" w:hAnsi="宋体" w:cs="宋体"/>
                <w:color w:val="000000"/>
                <w:kern w:val="0"/>
                <w:sz w:val="24"/>
              </w:rPr>
            </w:pPr>
            <w:r>
              <w:rPr>
                <w:rFonts w:hint="eastAsia" w:ascii="宋体" w:hAnsi="宋体" w:cs="宋体"/>
                <w:color w:val="000000"/>
                <w:kern w:val="0"/>
                <w:sz w:val="24"/>
              </w:rPr>
              <w:t>总体要求</w:t>
            </w:r>
          </w:p>
        </w:tc>
        <w:tc>
          <w:tcPr>
            <w:tcW w:w="1276" w:type="dxa"/>
            <w:shd w:val="clear" w:color="auto" w:fill="auto"/>
            <w:vAlign w:val="center"/>
          </w:tcPr>
          <w:p w14:paraId="31F31D29">
            <w:pPr>
              <w:widowControl/>
              <w:rPr>
                <w:rFonts w:hint="eastAsia" w:ascii="宋体" w:hAnsi="宋体" w:cs="宋体"/>
                <w:color w:val="000000"/>
                <w:kern w:val="0"/>
                <w:sz w:val="24"/>
              </w:rPr>
            </w:pPr>
            <w:r>
              <w:rPr>
                <w:rFonts w:hint="eastAsia" w:ascii="宋体" w:hAnsi="宋体" w:cs="宋体"/>
                <w:color w:val="000000"/>
                <w:kern w:val="0"/>
                <w:sz w:val="24"/>
              </w:rPr>
              <w:t>/</w:t>
            </w:r>
          </w:p>
        </w:tc>
        <w:tc>
          <w:tcPr>
            <w:tcW w:w="6759" w:type="dxa"/>
            <w:shd w:val="clear" w:color="auto" w:fill="auto"/>
            <w:vAlign w:val="center"/>
          </w:tcPr>
          <w:p w14:paraId="7FEC80AA">
            <w:pPr>
              <w:widowControl/>
              <w:rPr>
                <w:rFonts w:hint="eastAsia" w:ascii="宋体" w:hAnsi="宋体" w:cs="宋体"/>
                <w:color w:val="000000"/>
                <w:kern w:val="0"/>
                <w:sz w:val="24"/>
              </w:rPr>
            </w:pPr>
            <w:bookmarkStart w:id="63" w:name="OLE_LINK21"/>
            <w:r>
              <w:rPr>
                <w:rFonts w:hint="eastAsia" w:ascii="宋体" w:hAnsi="宋体" w:cs="宋体"/>
                <w:color w:val="000000"/>
                <w:kern w:val="0"/>
                <w:sz w:val="24"/>
              </w:rPr>
              <w:t>(1)</w:t>
            </w:r>
            <w:bookmarkEnd w:id="63"/>
            <w:r>
              <w:rPr>
                <w:rFonts w:hint="eastAsia" w:ascii="宋体" w:hAnsi="宋体" w:cs="宋体"/>
                <w:color w:val="000000"/>
                <w:kern w:val="0"/>
                <w:sz w:val="24"/>
              </w:rPr>
              <w:t>需要支持PC端与App端；</w:t>
            </w:r>
          </w:p>
          <w:p w14:paraId="55117B4B">
            <w:pPr>
              <w:widowControl/>
              <w:rPr>
                <w:rFonts w:hint="eastAsia" w:ascii="宋体" w:hAnsi="宋体" w:cs="宋体"/>
                <w:color w:val="000000"/>
                <w:kern w:val="0"/>
                <w:sz w:val="24"/>
              </w:rPr>
            </w:pPr>
            <w:r>
              <w:rPr>
                <w:rFonts w:hint="eastAsia" w:ascii="宋体" w:hAnsi="宋体" w:cs="宋体"/>
                <w:color w:val="000000"/>
                <w:kern w:val="0"/>
                <w:sz w:val="24"/>
              </w:rPr>
              <w:t>(2)驾驶舱需要在钉钉端展示；</w:t>
            </w:r>
          </w:p>
        </w:tc>
      </w:tr>
      <w:tr w14:paraId="0542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6C616055">
            <w:pPr>
              <w:widowControl/>
              <w:jc w:val="left"/>
              <w:rPr>
                <w:rFonts w:hint="eastAsia" w:ascii="宋体" w:hAnsi="宋体" w:cs="宋体"/>
                <w:color w:val="000000"/>
                <w:kern w:val="0"/>
                <w:sz w:val="24"/>
              </w:rPr>
            </w:pPr>
            <w:r>
              <w:rPr>
                <w:rFonts w:hint="eastAsia" w:ascii="宋体" w:hAnsi="宋体" w:cs="宋体"/>
                <w:color w:val="000000"/>
                <w:kern w:val="0"/>
                <w:sz w:val="24"/>
              </w:rPr>
              <w:t>学校基本情况驾驶舱</w:t>
            </w:r>
          </w:p>
        </w:tc>
        <w:tc>
          <w:tcPr>
            <w:tcW w:w="1276" w:type="dxa"/>
            <w:shd w:val="clear" w:color="auto" w:fill="auto"/>
            <w:vAlign w:val="center"/>
          </w:tcPr>
          <w:p w14:paraId="0738DCE7">
            <w:pPr>
              <w:widowControl/>
              <w:jc w:val="left"/>
              <w:rPr>
                <w:rFonts w:hint="eastAsia" w:ascii="宋体" w:hAnsi="宋体" w:cs="宋体"/>
                <w:color w:val="000000"/>
                <w:kern w:val="0"/>
                <w:sz w:val="24"/>
              </w:rPr>
            </w:pPr>
            <w:r>
              <w:rPr>
                <w:rFonts w:hint="eastAsia" w:ascii="宋体" w:hAnsi="宋体" w:cs="宋体"/>
                <w:color w:val="000000"/>
                <w:kern w:val="0"/>
                <w:sz w:val="24"/>
              </w:rPr>
              <w:t>学校基本情况驾驶舱</w:t>
            </w:r>
          </w:p>
        </w:tc>
        <w:tc>
          <w:tcPr>
            <w:tcW w:w="6759" w:type="dxa"/>
            <w:shd w:val="clear" w:color="auto" w:fill="auto"/>
            <w:vAlign w:val="center"/>
          </w:tcPr>
          <w:p w14:paraId="045A126E">
            <w:pPr>
              <w:widowControl/>
              <w:jc w:val="left"/>
              <w:rPr>
                <w:rFonts w:hint="eastAsia" w:ascii="宋体" w:hAnsi="宋体" w:cs="宋体"/>
                <w:color w:val="000000"/>
                <w:kern w:val="0"/>
                <w:sz w:val="24"/>
              </w:rPr>
            </w:pPr>
            <w:r>
              <w:rPr>
                <w:rFonts w:hint="eastAsia" w:ascii="宋体" w:hAnsi="宋体" w:cs="宋体"/>
                <w:color w:val="000000"/>
                <w:kern w:val="0"/>
                <w:sz w:val="24"/>
              </w:rPr>
              <w:t>校情概况大屏是根据全校数字校园建设情况对人才培养、师资队伍、科学研究、专业建设、办学条件等维度进行数据分析展示。</w:t>
            </w:r>
            <w:r>
              <w:rPr>
                <w:rFonts w:hint="eastAsia" w:ascii="宋体" w:hAnsi="宋体" w:cs="宋体"/>
                <w:color w:val="000000"/>
                <w:kern w:val="0"/>
                <w:sz w:val="24"/>
              </w:rPr>
              <w:br w:type="textWrapping"/>
            </w:r>
            <w:r>
              <w:rPr>
                <w:rFonts w:hint="eastAsia" w:ascii="宋体" w:hAnsi="宋体" w:cs="宋体"/>
                <w:color w:val="000000"/>
                <w:kern w:val="0"/>
                <w:sz w:val="24"/>
              </w:rPr>
              <w:t>人才培养维度包括全校系部数、专业数、课程数、在校学生总数、专升本学生数、在校生培养层次结构等指标。</w:t>
            </w:r>
            <w:r>
              <w:rPr>
                <w:rFonts w:hint="eastAsia" w:ascii="宋体" w:hAnsi="宋体" w:cs="宋体"/>
                <w:color w:val="000000"/>
                <w:kern w:val="0"/>
                <w:sz w:val="24"/>
              </w:rPr>
              <w:br w:type="textWrapping"/>
            </w:r>
            <w:r>
              <w:rPr>
                <w:rFonts w:hint="eastAsia" w:ascii="宋体" w:hAnsi="宋体" w:cs="宋体"/>
                <w:color w:val="000000"/>
                <w:kern w:val="0"/>
                <w:sz w:val="24"/>
              </w:rPr>
              <w:t>师资队伍维度包括全校在职教职工数、专任教师数、研究生数、专任教师职级分布、双师型人才分布等指标。</w:t>
            </w:r>
            <w:r>
              <w:rPr>
                <w:rFonts w:hint="eastAsia" w:ascii="宋体" w:hAnsi="宋体" w:cs="宋体"/>
                <w:color w:val="000000"/>
                <w:kern w:val="0"/>
                <w:sz w:val="24"/>
              </w:rPr>
              <w:br w:type="textWrapping"/>
            </w:r>
            <w:r>
              <w:rPr>
                <w:rFonts w:hint="eastAsia" w:ascii="宋体" w:hAnsi="宋体" w:cs="宋体"/>
                <w:color w:val="000000"/>
                <w:kern w:val="0"/>
                <w:sz w:val="24"/>
              </w:rPr>
              <w:t>科学研究维度包括公开发布课题情况、获奖情况、教学科研成果情况等指标。</w:t>
            </w:r>
            <w:r>
              <w:rPr>
                <w:rFonts w:hint="eastAsia" w:ascii="宋体" w:hAnsi="宋体" w:cs="宋体"/>
                <w:color w:val="000000"/>
                <w:kern w:val="0"/>
                <w:sz w:val="24"/>
              </w:rPr>
              <w:br w:type="textWrapping"/>
            </w:r>
            <w:r>
              <w:rPr>
                <w:rFonts w:hint="eastAsia" w:ascii="宋体" w:hAnsi="宋体" w:cs="宋体"/>
                <w:color w:val="000000"/>
                <w:kern w:val="0"/>
                <w:sz w:val="24"/>
              </w:rPr>
              <w:t>专业建设维度包括学校专业群、国家重点专业、省重点专业、特色专业群指标。</w:t>
            </w:r>
            <w:r>
              <w:rPr>
                <w:rFonts w:hint="eastAsia" w:ascii="宋体" w:hAnsi="宋体" w:cs="宋体"/>
                <w:color w:val="000000"/>
                <w:kern w:val="0"/>
                <w:sz w:val="24"/>
              </w:rPr>
              <w:br w:type="textWrapping"/>
            </w:r>
            <w:r>
              <w:rPr>
                <w:rFonts w:hint="eastAsia" w:ascii="宋体" w:hAnsi="宋体" w:cs="宋体"/>
                <w:color w:val="000000"/>
                <w:kern w:val="0"/>
                <w:sz w:val="24"/>
              </w:rPr>
              <w:t>办学条件维度包括学校占地面积、学生宿舍面积、行政用房、固定资产、教学用房面积、教学科研设备等指标。</w:t>
            </w:r>
            <w:r>
              <w:rPr>
                <w:rFonts w:hint="eastAsia" w:ascii="宋体" w:hAnsi="宋体" w:cs="宋体"/>
                <w:color w:val="000000"/>
                <w:kern w:val="0"/>
                <w:sz w:val="24"/>
              </w:rPr>
              <w:br w:type="textWrapping"/>
            </w:r>
            <w:r>
              <w:rPr>
                <w:rFonts w:hint="eastAsia" w:ascii="宋体" w:hAnsi="宋体" w:cs="宋体"/>
                <w:color w:val="000000"/>
                <w:kern w:val="0"/>
                <w:sz w:val="24"/>
              </w:rPr>
              <w:t>注：指标可根据学校数据源情况和业务需求进行调整</w:t>
            </w:r>
          </w:p>
        </w:tc>
      </w:tr>
      <w:tr w14:paraId="57C1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354248DF">
            <w:pPr>
              <w:widowControl/>
              <w:jc w:val="left"/>
              <w:rPr>
                <w:rFonts w:hint="eastAsia" w:ascii="宋体" w:hAnsi="宋体" w:cs="宋体"/>
                <w:color w:val="000000"/>
                <w:kern w:val="0"/>
                <w:sz w:val="24"/>
              </w:rPr>
            </w:pPr>
            <w:r>
              <w:rPr>
                <w:rFonts w:hint="eastAsia" w:ascii="宋体" w:hAnsi="宋体" w:cs="宋体"/>
                <w:color w:val="000000"/>
                <w:kern w:val="0"/>
                <w:sz w:val="24"/>
              </w:rPr>
              <w:t>数据资产驾驶舱</w:t>
            </w:r>
          </w:p>
        </w:tc>
        <w:tc>
          <w:tcPr>
            <w:tcW w:w="1276" w:type="dxa"/>
            <w:shd w:val="clear" w:color="auto" w:fill="auto"/>
            <w:vAlign w:val="center"/>
          </w:tcPr>
          <w:p w14:paraId="13C89F44">
            <w:pPr>
              <w:widowControl/>
              <w:jc w:val="left"/>
              <w:rPr>
                <w:rFonts w:hint="eastAsia" w:ascii="宋体" w:hAnsi="宋体" w:cs="宋体"/>
                <w:color w:val="000000"/>
                <w:kern w:val="0"/>
                <w:sz w:val="24"/>
              </w:rPr>
            </w:pPr>
            <w:r>
              <w:rPr>
                <w:rFonts w:hint="eastAsia" w:ascii="宋体" w:hAnsi="宋体" w:cs="宋体"/>
                <w:color w:val="000000"/>
                <w:kern w:val="0"/>
                <w:sz w:val="24"/>
              </w:rPr>
              <w:t>学校数据资产驾驶舱</w:t>
            </w:r>
          </w:p>
        </w:tc>
        <w:tc>
          <w:tcPr>
            <w:tcW w:w="6759" w:type="dxa"/>
            <w:shd w:val="clear" w:color="auto" w:fill="auto"/>
            <w:vAlign w:val="center"/>
          </w:tcPr>
          <w:p w14:paraId="441CBF4B">
            <w:pPr>
              <w:widowControl/>
              <w:jc w:val="left"/>
              <w:rPr>
                <w:rFonts w:hint="eastAsia" w:ascii="宋体" w:hAnsi="宋体" w:cs="宋体"/>
                <w:color w:val="000000"/>
                <w:kern w:val="0"/>
                <w:sz w:val="24"/>
              </w:rPr>
            </w:pPr>
            <w:r>
              <w:rPr>
                <w:rFonts w:hint="eastAsia" w:ascii="宋体" w:hAnsi="宋体" w:cs="宋体"/>
                <w:color w:val="000000"/>
                <w:kern w:val="0"/>
                <w:sz w:val="24"/>
              </w:rPr>
              <w:t>数据总量：展示当前数据仓库总数据量，如“816.9万条”，体现数据资产的规模。</w:t>
            </w:r>
            <w:r>
              <w:rPr>
                <w:rFonts w:hint="eastAsia" w:ascii="宋体" w:hAnsi="宋体" w:cs="宋体"/>
                <w:color w:val="000000"/>
                <w:kern w:val="0"/>
                <w:sz w:val="24"/>
              </w:rPr>
              <w:br w:type="textWrapping"/>
            </w:r>
            <w:r>
              <w:rPr>
                <w:rFonts w:hint="eastAsia" w:ascii="宋体" w:hAnsi="宋体" w:cs="宋体"/>
                <w:color w:val="000000"/>
                <w:kern w:val="0"/>
                <w:sz w:val="24"/>
              </w:rPr>
              <w:t>存储容量：呈现当前存储总容量，如“2.94G”，反映数据存储占用空间情况。</w:t>
            </w:r>
            <w:r>
              <w:rPr>
                <w:rFonts w:hint="eastAsia" w:ascii="宋体" w:hAnsi="宋体" w:cs="宋体"/>
                <w:color w:val="000000"/>
                <w:kern w:val="0"/>
                <w:sz w:val="24"/>
              </w:rPr>
              <w:br w:type="textWrapping"/>
            </w:r>
            <w:r>
              <w:rPr>
                <w:rFonts w:hint="eastAsia" w:ascii="宋体" w:hAnsi="宋体" w:cs="宋体"/>
                <w:color w:val="000000"/>
                <w:kern w:val="0"/>
                <w:sz w:val="24"/>
              </w:rPr>
              <w:t>数据表数量：显示数据表总数，如“882 张”，展示数据结构组成数量。</w:t>
            </w:r>
            <w:r>
              <w:rPr>
                <w:rFonts w:hint="eastAsia" w:ascii="宋体" w:hAnsi="宋体" w:cs="宋体"/>
                <w:color w:val="000000"/>
                <w:kern w:val="0"/>
                <w:sz w:val="24"/>
              </w:rPr>
              <w:br w:type="textWrapping"/>
            </w:r>
            <w:r>
              <w:rPr>
                <w:rFonts w:hint="eastAsia" w:ascii="宋体" w:hAnsi="宋体" w:cs="宋体"/>
                <w:color w:val="000000"/>
                <w:kern w:val="0"/>
                <w:sz w:val="24"/>
              </w:rPr>
              <w:t>数据源数量：标明数据源个数，如“28 个”，说明数据来源的多样性。</w:t>
            </w:r>
            <w:r>
              <w:rPr>
                <w:rFonts w:hint="eastAsia" w:ascii="宋体" w:hAnsi="宋体" w:cs="宋体"/>
                <w:color w:val="000000"/>
                <w:kern w:val="0"/>
                <w:sz w:val="24"/>
              </w:rPr>
              <w:br w:type="textWrapping"/>
            </w:r>
            <w:r>
              <w:rPr>
                <w:rFonts w:hint="eastAsia" w:ascii="宋体" w:hAnsi="宋体" w:cs="宋体"/>
                <w:color w:val="000000"/>
                <w:kern w:val="0"/>
                <w:sz w:val="24"/>
              </w:rPr>
              <w:t>数据接口数量：给出数据接口数量，如“846 个”，体现数据交互的通道数量。</w:t>
            </w:r>
            <w:r>
              <w:rPr>
                <w:rFonts w:hint="eastAsia" w:ascii="宋体" w:hAnsi="宋体" w:cs="宋体"/>
                <w:color w:val="000000"/>
                <w:kern w:val="0"/>
                <w:sz w:val="24"/>
              </w:rPr>
              <w:br w:type="textWrapping"/>
            </w:r>
            <w:r>
              <w:rPr>
                <w:rFonts w:hint="eastAsia" w:ascii="宋体" w:hAnsi="宋体" w:cs="宋体"/>
                <w:color w:val="000000"/>
                <w:kern w:val="0"/>
                <w:sz w:val="24"/>
              </w:rPr>
              <w:t>调用接口数：如“48 个”，展示正在被使用的接口数量。</w:t>
            </w:r>
            <w:r>
              <w:rPr>
                <w:rFonts w:hint="eastAsia" w:ascii="宋体" w:hAnsi="宋体" w:cs="宋体"/>
                <w:color w:val="000000"/>
                <w:kern w:val="0"/>
                <w:sz w:val="24"/>
              </w:rPr>
              <w:br w:type="textWrapping"/>
            </w:r>
            <w:r>
              <w:rPr>
                <w:rFonts w:hint="eastAsia" w:ascii="宋体" w:hAnsi="宋体" w:cs="宋体"/>
                <w:color w:val="000000"/>
                <w:kern w:val="0"/>
                <w:sz w:val="24"/>
              </w:rPr>
              <w:t>接口调用量：如“228854 次”，反映接口使用的频繁程度。</w:t>
            </w:r>
            <w:r>
              <w:rPr>
                <w:rFonts w:hint="eastAsia" w:ascii="宋体" w:hAnsi="宋体" w:cs="宋体"/>
                <w:color w:val="000000"/>
                <w:kern w:val="0"/>
                <w:sz w:val="24"/>
              </w:rPr>
              <w:br w:type="textWrapping"/>
            </w:r>
            <w:r>
              <w:rPr>
                <w:rFonts w:hint="eastAsia" w:ascii="宋体" w:hAnsi="宋体" w:cs="宋体"/>
                <w:color w:val="000000"/>
                <w:kern w:val="0"/>
                <w:sz w:val="24"/>
              </w:rPr>
              <w:t>调用次数排名：列出调用次数排名靠前的接口及其调用次数，如排名第一的接口调用次数为“133419 次”，方便了解关键数据交互通道。</w:t>
            </w:r>
            <w:r>
              <w:rPr>
                <w:rFonts w:hint="eastAsia" w:ascii="宋体" w:hAnsi="宋体" w:cs="宋体"/>
                <w:color w:val="000000"/>
                <w:kern w:val="0"/>
                <w:sz w:val="24"/>
              </w:rPr>
              <w:br w:type="textWrapping"/>
            </w:r>
            <w:r>
              <w:rPr>
                <w:rFonts w:hint="eastAsia" w:ascii="宋体" w:hAnsi="宋体" w:cs="宋体"/>
                <w:color w:val="000000"/>
                <w:kern w:val="0"/>
                <w:sz w:val="24"/>
              </w:rPr>
              <w:t>近7天数据仓新增情况：以折线图或柱状图形式，展示近 7 天数据仓库每天新增数据量，直观呈现数据增长趋势。</w:t>
            </w:r>
            <w:r>
              <w:rPr>
                <w:rFonts w:hint="eastAsia" w:ascii="宋体" w:hAnsi="宋体" w:cs="宋体"/>
                <w:color w:val="000000"/>
                <w:kern w:val="0"/>
                <w:sz w:val="24"/>
              </w:rPr>
              <w:br w:type="textWrapping"/>
            </w:r>
            <w:r>
              <w:rPr>
                <w:rFonts w:hint="eastAsia" w:ascii="宋体" w:hAnsi="宋体" w:cs="宋体"/>
                <w:color w:val="000000"/>
                <w:kern w:val="0"/>
                <w:sz w:val="24"/>
              </w:rPr>
              <w:t>数据资产走势：通过图表展示一段时间内（如近一个月、一个季度）数据资产总量的变化趋势，辅助决策是否需要扩容等。</w:t>
            </w:r>
            <w:r>
              <w:rPr>
                <w:rFonts w:hint="eastAsia" w:ascii="宋体" w:hAnsi="宋体" w:cs="宋体"/>
                <w:color w:val="000000"/>
                <w:kern w:val="0"/>
                <w:sz w:val="24"/>
              </w:rPr>
              <w:br w:type="textWrapping"/>
            </w:r>
            <w:r>
              <w:rPr>
                <w:rFonts w:hint="eastAsia" w:ascii="宋体" w:hAnsi="宋体" w:cs="宋体"/>
                <w:color w:val="000000"/>
                <w:kern w:val="0"/>
                <w:sz w:val="24"/>
              </w:rPr>
              <w:t>注：指标可根据学校数据源情况和业务需求进行调整</w:t>
            </w:r>
          </w:p>
        </w:tc>
      </w:tr>
      <w:tr w14:paraId="4006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1B67FBAC">
            <w:pPr>
              <w:widowControl/>
              <w:jc w:val="left"/>
              <w:rPr>
                <w:rFonts w:hint="eastAsia" w:ascii="宋体" w:hAnsi="宋体" w:cs="宋体"/>
                <w:color w:val="000000"/>
                <w:kern w:val="0"/>
                <w:sz w:val="24"/>
              </w:rPr>
            </w:pPr>
            <w:r>
              <w:rPr>
                <w:rFonts w:hint="eastAsia" w:ascii="宋体" w:hAnsi="宋体" w:cs="宋体"/>
                <w:color w:val="000000"/>
                <w:kern w:val="0"/>
                <w:sz w:val="24"/>
              </w:rPr>
              <w:t>寝室驾驶舱</w:t>
            </w:r>
          </w:p>
        </w:tc>
        <w:tc>
          <w:tcPr>
            <w:tcW w:w="1276" w:type="dxa"/>
            <w:shd w:val="clear" w:color="auto" w:fill="auto"/>
            <w:vAlign w:val="center"/>
          </w:tcPr>
          <w:p w14:paraId="00AFB971">
            <w:pPr>
              <w:widowControl/>
              <w:jc w:val="left"/>
              <w:rPr>
                <w:rFonts w:hint="eastAsia" w:ascii="宋体" w:hAnsi="宋体" w:cs="宋体"/>
                <w:color w:val="000000"/>
                <w:kern w:val="0"/>
                <w:sz w:val="24"/>
              </w:rPr>
            </w:pPr>
            <w:r>
              <w:rPr>
                <w:rFonts w:hint="eastAsia" w:ascii="宋体" w:hAnsi="宋体" w:cs="宋体"/>
                <w:color w:val="000000"/>
                <w:kern w:val="0"/>
                <w:sz w:val="24"/>
              </w:rPr>
              <w:t>寝室驾驶舱</w:t>
            </w:r>
          </w:p>
        </w:tc>
        <w:tc>
          <w:tcPr>
            <w:tcW w:w="6759" w:type="dxa"/>
            <w:shd w:val="clear" w:color="auto" w:fill="auto"/>
            <w:vAlign w:val="center"/>
          </w:tcPr>
          <w:p w14:paraId="52EC2A5A">
            <w:pPr>
              <w:widowControl/>
              <w:jc w:val="left"/>
              <w:rPr>
                <w:rFonts w:hint="eastAsia" w:ascii="宋体" w:hAnsi="宋体" w:cs="宋体"/>
                <w:color w:val="000000"/>
                <w:kern w:val="0"/>
                <w:sz w:val="24"/>
              </w:rPr>
            </w:pPr>
            <w:r>
              <w:rPr>
                <w:rFonts w:hint="eastAsia" w:ascii="宋体" w:hAnsi="宋体" w:cs="宋体"/>
                <w:color w:val="000000"/>
                <w:kern w:val="0"/>
                <w:sz w:val="24"/>
              </w:rPr>
              <w:t>1、住宿概况</w:t>
            </w:r>
          </w:p>
          <w:p w14:paraId="3C7CC6A9">
            <w:pPr>
              <w:widowControl/>
              <w:jc w:val="left"/>
              <w:rPr>
                <w:rFonts w:hint="eastAsia" w:ascii="宋体" w:hAnsi="宋体" w:cs="宋体"/>
                <w:color w:val="000000"/>
                <w:kern w:val="0"/>
                <w:sz w:val="24"/>
              </w:rPr>
            </w:pPr>
            <w:r>
              <w:rPr>
                <w:rFonts w:hint="eastAsia" w:ascii="宋体" w:hAnsi="宋体" w:cs="宋体"/>
                <w:color w:val="000000"/>
                <w:kern w:val="0"/>
                <w:sz w:val="24"/>
              </w:rPr>
              <w:t>应住宿人数、已经住宿人数、请假人数</w:t>
            </w:r>
          </w:p>
          <w:p w14:paraId="68873430">
            <w:pPr>
              <w:widowControl/>
              <w:jc w:val="left"/>
              <w:rPr>
                <w:rFonts w:hint="eastAsia" w:ascii="宋体" w:hAnsi="宋体" w:cs="宋体"/>
                <w:color w:val="000000"/>
                <w:kern w:val="0"/>
                <w:sz w:val="24"/>
              </w:rPr>
            </w:pPr>
            <w:r>
              <w:rPr>
                <w:rFonts w:hint="eastAsia" w:ascii="宋体" w:hAnsi="宋体" w:cs="宋体"/>
                <w:color w:val="000000"/>
                <w:kern w:val="0"/>
                <w:sz w:val="24"/>
              </w:rPr>
              <w:t>2、实时进出</w:t>
            </w:r>
          </w:p>
          <w:p w14:paraId="0F593D08">
            <w:pPr>
              <w:widowControl/>
              <w:jc w:val="left"/>
              <w:rPr>
                <w:rFonts w:hint="eastAsia" w:ascii="宋体" w:hAnsi="宋体" w:cs="宋体"/>
                <w:color w:val="000000"/>
                <w:kern w:val="0"/>
                <w:sz w:val="24"/>
              </w:rPr>
            </w:pPr>
            <w:r>
              <w:rPr>
                <w:rFonts w:hint="eastAsia" w:ascii="宋体" w:hAnsi="宋体" w:cs="宋体"/>
                <w:color w:val="000000"/>
                <w:kern w:val="0"/>
                <w:sz w:val="24"/>
              </w:rPr>
              <w:t>可以展示实时进出记录，包括考勤时间和头像；</w:t>
            </w:r>
          </w:p>
          <w:p w14:paraId="08015E0C">
            <w:pPr>
              <w:widowControl/>
              <w:jc w:val="left"/>
              <w:rPr>
                <w:rFonts w:hint="eastAsia" w:ascii="宋体" w:hAnsi="宋体" w:cs="宋体"/>
                <w:color w:val="000000"/>
                <w:kern w:val="0"/>
                <w:sz w:val="24"/>
              </w:rPr>
            </w:pPr>
            <w:r>
              <w:rPr>
                <w:rFonts w:hint="eastAsia" w:ascii="宋体" w:hAnsi="宋体" w:cs="宋体"/>
                <w:color w:val="000000"/>
                <w:kern w:val="0"/>
                <w:sz w:val="24"/>
              </w:rPr>
              <w:t>3、按寝室展示未归寝名单</w:t>
            </w:r>
          </w:p>
          <w:p w14:paraId="4DDAD9B5">
            <w:pPr>
              <w:widowControl/>
              <w:jc w:val="left"/>
              <w:rPr>
                <w:rFonts w:hint="eastAsia" w:ascii="宋体" w:hAnsi="宋体" w:cs="宋体"/>
                <w:color w:val="000000"/>
                <w:kern w:val="0"/>
                <w:sz w:val="24"/>
              </w:rPr>
            </w:pPr>
            <w:r>
              <w:rPr>
                <w:rFonts w:hint="eastAsia" w:ascii="宋体" w:hAnsi="宋体" w:cs="宋体"/>
                <w:color w:val="000000"/>
                <w:kern w:val="0"/>
                <w:sz w:val="24"/>
              </w:rPr>
              <w:t>以寝室为单位进行展示；</w:t>
            </w:r>
          </w:p>
          <w:p w14:paraId="2267DB02">
            <w:pPr>
              <w:widowControl/>
              <w:jc w:val="left"/>
              <w:rPr>
                <w:rFonts w:hint="eastAsia" w:ascii="宋体" w:hAnsi="宋体" w:cs="宋体"/>
                <w:color w:val="000000"/>
                <w:kern w:val="0"/>
                <w:sz w:val="24"/>
              </w:rPr>
            </w:pPr>
            <w:r>
              <w:rPr>
                <w:rFonts w:hint="eastAsia" w:ascii="宋体" w:hAnsi="宋体" w:cs="宋体"/>
                <w:color w:val="000000"/>
                <w:kern w:val="0"/>
                <w:sz w:val="24"/>
              </w:rPr>
              <w:t>4、分男女两个大屏展示；</w:t>
            </w:r>
          </w:p>
          <w:p w14:paraId="6D8DC105">
            <w:pPr>
              <w:widowControl/>
              <w:jc w:val="left"/>
              <w:rPr>
                <w:rFonts w:hint="eastAsia" w:ascii="宋体" w:hAnsi="宋体" w:cs="宋体"/>
                <w:color w:val="000000"/>
                <w:kern w:val="0"/>
                <w:sz w:val="24"/>
              </w:rPr>
            </w:pPr>
            <w:r>
              <w:rPr>
                <w:rFonts w:hint="eastAsia" w:ascii="宋体" w:hAnsi="宋体" w:cs="宋体"/>
                <w:color w:val="000000"/>
                <w:kern w:val="0"/>
                <w:sz w:val="24"/>
              </w:rPr>
              <w:t>注：指标可根据学校数据源情况和业务需求进行调整</w:t>
            </w:r>
          </w:p>
        </w:tc>
      </w:tr>
      <w:tr w14:paraId="5C43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61ED463D">
            <w:pPr>
              <w:widowControl/>
              <w:jc w:val="left"/>
              <w:rPr>
                <w:rFonts w:hint="eastAsia" w:ascii="宋体" w:hAnsi="宋体" w:cs="宋体"/>
                <w:color w:val="000000"/>
                <w:kern w:val="0"/>
                <w:sz w:val="24"/>
              </w:rPr>
            </w:pPr>
            <w:r>
              <w:rPr>
                <w:rFonts w:hint="eastAsia" w:ascii="宋体" w:hAnsi="宋体" w:cs="宋体"/>
                <w:color w:val="000000"/>
                <w:kern w:val="0"/>
                <w:sz w:val="24"/>
              </w:rPr>
              <w:t>考勤驾驶舱</w:t>
            </w:r>
          </w:p>
        </w:tc>
        <w:tc>
          <w:tcPr>
            <w:tcW w:w="1276" w:type="dxa"/>
            <w:shd w:val="clear" w:color="auto" w:fill="auto"/>
            <w:vAlign w:val="center"/>
          </w:tcPr>
          <w:p w14:paraId="041E813F">
            <w:pPr>
              <w:widowControl/>
              <w:jc w:val="left"/>
              <w:rPr>
                <w:rFonts w:hint="eastAsia" w:ascii="宋体" w:hAnsi="宋体" w:cs="宋体"/>
                <w:color w:val="000000"/>
                <w:kern w:val="0"/>
                <w:sz w:val="24"/>
              </w:rPr>
            </w:pPr>
            <w:r>
              <w:rPr>
                <w:rFonts w:hint="eastAsia" w:ascii="宋体" w:hAnsi="宋体" w:cs="宋体"/>
                <w:color w:val="000000"/>
                <w:kern w:val="0"/>
                <w:sz w:val="24"/>
              </w:rPr>
              <w:t>考勤驾驶舱</w:t>
            </w:r>
          </w:p>
        </w:tc>
        <w:tc>
          <w:tcPr>
            <w:tcW w:w="6759" w:type="dxa"/>
            <w:shd w:val="clear" w:color="auto" w:fill="auto"/>
            <w:vAlign w:val="center"/>
          </w:tcPr>
          <w:p w14:paraId="50D22D67">
            <w:pPr>
              <w:widowControl/>
              <w:jc w:val="left"/>
              <w:rPr>
                <w:rFonts w:hint="eastAsia" w:ascii="宋体" w:hAnsi="宋体" w:cs="宋体"/>
                <w:color w:val="000000"/>
                <w:kern w:val="0"/>
                <w:sz w:val="24"/>
              </w:rPr>
            </w:pPr>
            <w:r>
              <w:rPr>
                <w:rFonts w:hint="eastAsia" w:ascii="宋体" w:hAnsi="宋体" w:cs="宋体"/>
                <w:color w:val="000000"/>
                <w:kern w:val="0"/>
                <w:sz w:val="24"/>
              </w:rPr>
              <w:t>1.出入记录信息</w:t>
            </w:r>
            <w:r>
              <w:rPr>
                <w:rFonts w:hint="eastAsia" w:ascii="宋体" w:hAnsi="宋体" w:cs="宋体"/>
                <w:color w:val="000000"/>
                <w:kern w:val="0"/>
                <w:sz w:val="24"/>
              </w:rPr>
              <w:br w:type="textWrapping"/>
            </w:r>
            <w:r>
              <w:rPr>
                <w:rFonts w:hint="eastAsia" w:ascii="宋体" w:hAnsi="宋体" w:cs="宋体"/>
                <w:color w:val="000000"/>
                <w:kern w:val="0"/>
                <w:sz w:val="24"/>
              </w:rPr>
              <w:t>每日出入人次：统计每日学生进出校园的总人次，以折线图展示一周内或一个月内的变化趋势。</w:t>
            </w:r>
            <w:r>
              <w:rPr>
                <w:rFonts w:ascii="Times New Roman" w:hAnsi="Times New Roman"/>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高峰时段分析：分析一天中学生出入校园的高峰时段，如早晨上课前、中午午休、下午放学后等，以柱状图展示各时段的出入人次占比。</w:t>
            </w:r>
            <w:r>
              <w:rPr>
                <w:rFonts w:ascii="Times New Roman" w:hAnsi="Times New Roman"/>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异常出入标记：对于非规定时间出入校园（如深夜外出、未请假提前离校）的学生记录进行标记，以红色警示图标突出显示，并列出学生姓名、学号、出入时间及原因。</w:t>
            </w:r>
            <w:r>
              <w:rPr>
                <w:rFonts w:hint="eastAsia" w:ascii="宋体" w:hAnsi="宋体" w:cs="宋体"/>
                <w:color w:val="000000"/>
                <w:kern w:val="0"/>
                <w:sz w:val="24"/>
              </w:rPr>
              <w:br w:type="textWrapping"/>
            </w:r>
            <w:r>
              <w:rPr>
                <w:rFonts w:hint="eastAsia" w:ascii="宋体" w:hAnsi="宋体" w:cs="宋体"/>
                <w:color w:val="000000"/>
                <w:kern w:val="0"/>
                <w:sz w:val="24"/>
              </w:rPr>
              <w:t>2.学生请假信息</w:t>
            </w:r>
            <w:r>
              <w:rPr>
                <w:rFonts w:hint="eastAsia" w:ascii="宋体" w:hAnsi="宋体" w:cs="宋体"/>
                <w:color w:val="000000"/>
                <w:kern w:val="0"/>
                <w:sz w:val="24"/>
              </w:rPr>
              <w:br w:type="textWrapping"/>
            </w:r>
            <w:r>
              <w:rPr>
                <w:rFonts w:hint="eastAsia" w:ascii="宋体" w:hAnsi="宋体" w:cs="宋体"/>
                <w:color w:val="000000"/>
                <w:kern w:val="0"/>
                <w:sz w:val="24"/>
              </w:rPr>
              <w:t>请假总数：统计一定时间段内（如本周、本月）学生请假的总人次</w:t>
            </w:r>
            <w:r>
              <w:rPr>
                <w:rFonts w:hint="eastAsia" w:ascii="宋体" w:hAnsi="宋体" w:cs="宋体"/>
                <w:color w:val="000000"/>
                <w:kern w:val="0"/>
                <w:sz w:val="24"/>
              </w:rPr>
              <w:br w:type="textWrapping"/>
            </w:r>
            <w:r>
              <w:rPr>
                <w:rFonts w:hint="eastAsia" w:ascii="宋体" w:hAnsi="宋体" w:cs="宋体"/>
                <w:color w:val="000000"/>
                <w:kern w:val="0"/>
                <w:sz w:val="24"/>
              </w:rPr>
              <w:t>请假类型占比：以饼图展示不同请假类型（病假、事假、公假等）的占比情况，帮助管理者了解学生请假的主要原因</w:t>
            </w:r>
            <w:r>
              <w:rPr>
                <w:rFonts w:hint="eastAsia" w:ascii="宋体" w:hAnsi="宋体" w:cs="宋体"/>
                <w:color w:val="000000"/>
                <w:kern w:val="0"/>
                <w:sz w:val="24"/>
              </w:rPr>
              <w:br w:type="textWrapping"/>
            </w:r>
            <w:r>
              <w:rPr>
                <w:rFonts w:hint="eastAsia" w:ascii="宋体" w:hAnsi="宋体" w:cs="宋体"/>
                <w:color w:val="000000"/>
                <w:kern w:val="0"/>
                <w:sz w:val="24"/>
              </w:rPr>
              <w:t>请假时长分布：统计不同请假时长（1 天以内、1 - 3 天、3 天以上）的学生人数占比，以柱状图展示</w:t>
            </w:r>
            <w:r>
              <w:rPr>
                <w:rFonts w:hint="eastAsia" w:ascii="宋体" w:hAnsi="宋体" w:cs="宋体"/>
                <w:color w:val="000000"/>
                <w:kern w:val="0"/>
                <w:sz w:val="24"/>
              </w:rPr>
              <w:br w:type="textWrapping"/>
            </w:r>
            <w:r>
              <w:rPr>
                <w:rFonts w:hint="eastAsia" w:ascii="宋体" w:hAnsi="宋体" w:cs="宋体"/>
                <w:color w:val="000000"/>
                <w:kern w:val="0"/>
                <w:sz w:val="24"/>
              </w:rPr>
              <w:t>请假时间趋势：通过折线图展示每周或每月的请假人次变化趋势，若出现异常增长，及时排查是否存在特殊情况</w:t>
            </w:r>
            <w:r>
              <w:rPr>
                <w:rFonts w:hint="eastAsia" w:ascii="宋体" w:hAnsi="宋体" w:cs="宋体"/>
                <w:color w:val="000000"/>
                <w:kern w:val="0"/>
                <w:sz w:val="24"/>
              </w:rPr>
              <w:br w:type="textWrapping"/>
            </w:r>
            <w:r>
              <w:rPr>
                <w:rFonts w:hint="eastAsia" w:ascii="宋体" w:hAnsi="宋体" w:cs="宋体"/>
                <w:color w:val="000000"/>
                <w:kern w:val="0"/>
                <w:sz w:val="24"/>
              </w:rPr>
              <w:t>3.日常考勤信息</w:t>
            </w:r>
            <w:r>
              <w:rPr>
                <w:rFonts w:hint="eastAsia" w:ascii="宋体" w:hAnsi="宋体" w:cs="宋体"/>
                <w:color w:val="000000"/>
                <w:kern w:val="0"/>
                <w:sz w:val="24"/>
              </w:rPr>
              <w:br w:type="textWrapping"/>
            </w:r>
            <w:r>
              <w:rPr>
                <w:rFonts w:hint="eastAsia" w:ascii="宋体" w:hAnsi="宋体" w:cs="宋体"/>
                <w:color w:val="000000"/>
                <w:kern w:val="0"/>
                <w:sz w:val="24"/>
              </w:rPr>
              <w:t>课程出勤率：统计每个班级的出勤率，以图表形式展示各班级的出勤率</w:t>
            </w:r>
            <w:r>
              <w:rPr>
                <w:rFonts w:hint="eastAsia" w:ascii="宋体" w:hAnsi="宋体" w:cs="宋体"/>
                <w:color w:val="000000"/>
                <w:kern w:val="0"/>
                <w:sz w:val="24"/>
              </w:rPr>
              <w:br w:type="textWrapping"/>
            </w:r>
            <w:r>
              <w:rPr>
                <w:rFonts w:hint="eastAsia" w:ascii="宋体" w:hAnsi="宋体" w:cs="宋体"/>
                <w:color w:val="000000"/>
                <w:kern w:val="0"/>
                <w:sz w:val="24"/>
              </w:rPr>
              <w:t>缺勤学生统计：列出每门班级缺勤学生的姓名、学号、缺勤次数及原因，对于多次缺勤的学生进行重点标记</w:t>
            </w:r>
            <w:r>
              <w:rPr>
                <w:rFonts w:hint="eastAsia" w:ascii="宋体" w:hAnsi="宋体" w:cs="宋体"/>
                <w:color w:val="000000"/>
                <w:kern w:val="0"/>
                <w:sz w:val="24"/>
              </w:rPr>
              <w:br w:type="textWrapping"/>
            </w:r>
            <w:r>
              <w:rPr>
                <w:rFonts w:hint="eastAsia" w:ascii="宋体" w:hAnsi="宋体" w:cs="宋体"/>
                <w:color w:val="000000"/>
                <w:kern w:val="0"/>
                <w:sz w:val="24"/>
              </w:rPr>
              <w:t>4.寝室考勤信息</w:t>
            </w:r>
            <w:r>
              <w:rPr>
                <w:rFonts w:hint="eastAsia" w:ascii="宋体" w:hAnsi="宋体" w:cs="宋体"/>
                <w:color w:val="000000"/>
                <w:kern w:val="0"/>
                <w:sz w:val="24"/>
              </w:rPr>
              <w:br w:type="textWrapping"/>
            </w:r>
            <w:r>
              <w:rPr>
                <w:rFonts w:hint="eastAsia" w:ascii="宋体" w:hAnsi="宋体" w:cs="宋体"/>
                <w:color w:val="000000"/>
                <w:kern w:val="0"/>
                <w:sz w:val="24"/>
              </w:rPr>
              <w:t>按班级统计：班级总住宿人数、在寝人数、未归寝人数、请假人数，计算每个班级归寝率</w:t>
            </w:r>
            <w:r>
              <w:rPr>
                <w:rFonts w:hint="eastAsia" w:ascii="宋体" w:hAnsi="宋体" w:cs="宋体"/>
                <w:color w:val="000000"/>
                <w:kern w:val="0"/>
                <w:sz w:val="24"/>
              </w:rPr>
              <w:br w:type="textWrapping"/>
            </w:r>
            <w:r>
              <w:rPr>
                <w:rFonts w:hint="eastAsia" w:ascii="宋体" w:hAnsi="宋体" w:cs="宋体"/>
                <w:color w:val="000000"/>
                <w:kern w:val="0"/>
                <w:sz w:val="24"/>
              </w:rPr>
              <w:t>按寝室统计：寝室总住宿人数、在寝人数、未归寝人数、请假人数，计算每个寝室归寝率</w:t>
            </w:r>
            <w:r>
              <w:rPr>
                <w:rFonts w:hint="eastAsia" w:ascii="宋体" w:hAnsi="宋体" w:cs="宋体"/>
                <w:color w:val="000000"/>
                <w:kern w:val="0"/>
                <w:sz w:val="24"/>
              </w:rPr>
              <w:br w:type="textWrapping"/>
            </w:r>
            <w:r>
              <w:rPr>
                <w:rFonts w:hint="eastAsia" w:ascii="宋体" w:hAnsi="宋体" w:cs="宋体"/>
                <w:color w:val="000000"/>
                <w:kern w:val="0"/>
                <w:sz w:val="24"/>
              </w:rPr>
              <w:t>注：指标可根据学校数据源情况和业务需求进行调整</w:t>
            </w:r>
          </w:p>
        </w:tc>
      </w:tr>
    </w:tbl>
    <w:p w14:paraId="2E24A738">
      <w:pPr>
        <w:ind w:left="-10" w:leftChars="-5"/>
        <w:rPr>
          <w:rFonts w:hint="eastAsia" w:asciiTheme="minorEastAsia" w:hAnsiTheme="minorEastAsia" w:eastAsiaTheme="minorEastAsia" w:cstheme="minorEastAsia"/>
          <w:b/>
          <w:sz w:val="36"/>
          <w:szCs w:val="36"/>
        </w:rPr>
      </w:pPr>
    </w:p>
    <w:p w14:paraId="374CC75D">
      <w:pPr>
        <w:numPr>
          <w:ilvl w:val="0"/>
          <w:numId w:val="2"/>
        </w:numPr>
        <w:spacing w:line="360" w:lineRule="auto"/>
        <w:ind w:left="422" w:leftChars="-5" w:hanging="432"/>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24"/>
          <w:szCs w:val="24"/>
        </w:rPr>
        <w:t>数据治理服务</w:t>
      </w:r>
    </w:p>
    <w:p w14:paraId="2F3BF019">
      <w:pPr>
        <w:spacing w:line="360" w:lineRule="auto"/>
        <w:ind w:firstLine="480" w:firstLineChars="200"/>
        <w:rPr>
          <w:sz w:val="24"/>
        </w:rPr>
      </w:pPr>
      <w:r>
        <w:rPr>
          <w:rFonts w:hint="eastAsia"/>
          <w:sz w:val="24"/>
        </w:rPr>
        <w:t>①数据服务内容</w:t>
      </w:r>
    </w:p>
    <w:p w14:paraId="44D1A2D2">
      <w:pPr>
        <w:spacing w:line="360" w:lineRule="auto"/>
        <w:ind w:firstLine="480" w:firstLineChars="200"/>
        <w:rPr>
          <w:sz w:val="24"/>
        </w:rPr>
      </w:pPr>
      <w:r>
        <w:rPr>
          <w:rFonts w:hint="eastAsia"/>
          <w:sz w:val="24"/>
        </w:rPr>
        <w:t>包括但不限于以下应用系统的数据治理与集成服务内容：</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48"/>
        <w:gridCol w:w="991"/>
        <w:gridCol w:w="4396"/>
      </w:tblGrid>
      <w:tr w14:paraId="6FA4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1" w:type="dxa"/>
            <w:tcBorders>
              <w:top w:val="single" w:color="auto" w:sz="4" w:space="0"/>
              <w:left w:val="single" w:color="auto" w:sz="4" w:space="0"/>
              <w:bottom w:val="single" w:color="auto" w:sz="4" w:space="0"/>
              <w:right w:val="single" w:color="auto" w:sz="4" w:space="0"/>
            </w:tcBorders>
            <w:vAlign w:val="center"/>
          </w:tcPr>
          <w:p w14:paraId="6038ADCF">
            <w:pPr>
              <w:jc w:val="left"/>
              <w:rPr>
                <w:rFonts w:hint="eastAsia" w:ascii="宋体" w:hAnsi="宋体" w:cs="宋体"/>
                <w:sz w:val="24"/>
              </w:rPr>
            </w:pPr>
            <w:r>
              <w:rPr>
                <w:rFonts w:hint="eastAsia" w:ascii="宋体" w:hAnsi="宋体" w:cs="宋体"/>
                <w:sz w:val="24"/>
              </w:rPr>
              <w:t>序号</w:t>
            </w:r>
          </w:p>
        </w:tc>
        <w:tc>
          <w:tcPr>
            <w:tcW w:w="2648" w:type="dxa"/>
            <w:tcBorders>
              <w:top w:val="single" w:color="auto" w:sz="4" w:space="0"/>
              <w:left w:val="single" w:color="auto" w:sz="4" w:space="0"/>
              <w:bottom w:val="single" w:color="auto" w:sz="4" w:space="0"/>
              <w:right w:val="single" w:color="auto" w:sz="4" w:space="0"/>
            </w:tcBorders>
            <w:vAlign w:val="center"/>
          </w:tcPr>
          <w:p w14:paraId="33B3D9A2">
            <w:pPr>
              <w:jc w:val="left"/>
              <w:rPr>
                <w:rFonts w:hint="eastAsia" w:ascii="宋体" w:hAnsi="宋体" w:cs="宋体"/>
                <w:sz w:val="24"/>
              </w:rPr>
            </w:pPr>
            <w:r>
              <w:rPr>
                <w:rFonts w:hint="eastAsia" w:ascii="宋体" w:hAnsi="宋体" w:cs="宋体"/>
                <w:sz w:val="24"/>
              </w:rPr>
              <w:t>系统名称</w:t>
            </w:r>
          </w:p>
        </w:tc>
        <w:tc>
          <w:tcPr>
            <w:tcW w:w="991" w:type="dxa"/>
            <w:tcBorders>
              <w:top w:val="single" w:color="auto" w:sz="4" w:space="0"/>
              <w:left w:val="single" w:color="auto" w:sz="4" w:space="0"/>
              <w:bottom w:val="single" w:color="auto" w:sz="4" w:space="0"/>
              <w:right w:val="single" w:color="auto" w:sz="4" w:space="0"/>
            </w:tcBorders>
            <w:vAlign w:val="center"/>
          </w:tcPr>
          <w:p w14:paraId="6D06C1D0">
            <w:pPr>
              <w:jc w:val="left"/>
              <w:rPr>
                <w:rFonts w:hint="eastAsia" w:ascii="宋体" w:hAnsi="宋体" w:cs="宋体"/>
                <w:sz w:val="24"/>
              </w:rPr>
            </w:pPr>
            <w:r>
              <w:rPr>
                <w:rFonts w:hint="eastAsia" w:ascii="宋体" w:hAnsi="宋体" w:cs="宋体"/>
                <w:sz w:val="24"/>
              </w:rPr>
              <w:t>状态</w:t>
            </w:r>
          </w:p>
        </w:tc>
        <w:tc>
          <w:tcPr>
            <w:tcW w:w="4396" w:type="dxa"/>
            <w:tcBorders>
              <w:top w:val="single" w:color="auto" w:sz="4" w:space="0"/>
              <w:left w:val="single" w:color="auto" w:sz="4" w:space="0"/>
              <w:bottom w:val="single" w:color="auto" w:sz="4" w:space="0"/>
              <w:right w:val="single" w:color="auto" w:sz="4" w:space="0"/>
            </w:tcBorders>
            <w:vAlign w:val="center"/>
          </w:tcPr>
          <w:p w14:paraId="3E6697BA">
            <w:pPr>
              <w:jc w:val="left"/>
              <w:rPr>
                <w:rFonts w:hint="eastAsia" w:ascii="宋体" w:hAnsi="宋体" w:cs="宋体"/>
                <w:sz w:val="24"/>
              </w:rPr>
            </w:pPr>
            <w:r>
              <w:rPr>
                <w:rFonts w:hint="eastAsia" w:ascii="宋体" w:hAnsi="宋体" w:cs="宋体"/>
                <w:sz w:val="24"/>
              </w:rPr>
              <w:t>集成要求</w:t>
            </w:r>
          </w:p>
        </w:tc>
      </w:tr>
      <w:tr w14:paraId="7E9D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1" w:type="dxa"/>
            <w:tcBorders>
              <w:top w:val="single" w:color="auto" w:sz="4" w:space="0"/>
              <w:left w:val="single" w:color="auto" w:sz="4" w:space="0"/>
              <w:bottom w:val="single" w:color="auto" w:sz="4" w:space="0"/>
              <w:right w:val="single" w:color="auto" w:sz="4" w:space="0"/>
            </w:tcBorders>
            <w:vAlign w:val="center"/>
          </w:tcPr>
          <w:p w14:paraId="605B9845">
            <w:pPr>
              <w:jc w:val="center"/>
              <w:rPr>
                <w:rFonts w:hint="eastAsia" w:ascii="宋体" w:hAnsi="宋体" w:cs="宋体"/>
                <w:sz w:val="24"/>
              </w:rPr>
            </w:pPr>
            <w:bookmarkStart w:id="64" w:name="_Hlk198573764"/>
            <w:r>
              <w:rPr>
                <w:rFonts w:hint="eastAsia" w:ascii="宋体" w:hAnsi="宋体" w:cs="宋体"/>
                <w:sz w:val="24"/>
              </w:rPr>
              <w:t>1</w:t>
            </w:r>
          </w:p>
        </w:tc>
        <w:tc>
          <w:tcPr>
            <w:tcW w:w="2648" w:type="dxa"/>
            <w:tcBorders>
              <w:top w:val="single" w:color="auto" w:sz="4" w:space="0"/>
              <w:left w:val="single" w:color="auto" w:sz="4" w:space="0"/>
              <w:bottom w:val="single" w:color="auto" w:sz="4" w:space="0"/>
              <w:right w:val="single" w:color="auto" w:sz="4" w:space="0"/>
            </w:tcBorders>
            <w:vAlign w:val="center"/>
          </w:tcPr>
          <w:p w14:paraId="71E25F23">
            <w:pPr>
              <w:jc w:val="left"/>
              <w:rPr>
                <w:rFonts w:hint="eastAsia" w:ascii="宋体" w:hAnsi="宋体" w:cs="宋体"/>
                <w:sz w:val="24"/>
              </w:rPr>
            </w:pPr>
            <w:r>
              <w:rPr>
                <w:rFonts w:hint="eastAsia" w:ascii="宋体" w:hAnsi="宋体" w:cs="宋体"/>
                <w:sz w:val="24"/>
              </w:rPr>
              <w:t>教学教务管理系统</w:t>
            </w:r>
          </w:p>
        </w:tc>
        <w:tc>
          <w:tcPr>
            <w:tcW w:w="991" w:type="dxa"/>
            <w:tcBorders>
              <w:top w:val="single" w:color="auto" w:sz="4" w:space="0"/>
              <w:left w:val="single" w:color="auto" w:sz="4" w:space="0"/>
              <w:bottom w:val="single" w:color="auto" w:sz="4" w:space="0"/>
              <w:right w:val="single" w:color="auto" w:sz="4" w:space="0"/>
            </w:tcBorders>
            <w:vAlign w:val="center"/>
          </w:tcPr>
          <w:p w14:paraId="705C6AAE">
            <w:pPr>
              <w:jc w:val="left"/>
              <w:rPr>
                <w:rFonts w:hint="eastAsia" w:ascii="宋体" w:hAnsi="宋体" w:cs="宋体"/>
                <w:sz w:val="24"/>
              </w:rPr>
            </w:pPr>
            <w:r>
              <w:rPr>
                <w:rFonts w:hint="eastAsia" w:ascii="宋体" w:hAnsi="宋体" w:cs="宋体"/>
                <w:sz w:val="24"/>
              </w:rPr>
              <w:t>运行中</w:t>
            </w:r>
          </w:p>
        </w:tc>
        <w:tc>
          <w:tcPr>
            <w:tcW w:w="4396" w:type="dxa"/>
            <w:tcBorders>
              <w:top w:val="single" w:color="auto" w:sz="4" w:space="0"/>
              <w:left w:val="single" w:color="auto" w:sz="4" w:space="0"/>
              <w:bottom w:val="single" w:color="auto" w:sz="4" w:space="0"/>
              <w:right w:val="single" w:color="auto" w:sz="4" w:space="0"/>
            </w:tcBorders>
            <w:vAlign w:val="center"/>
          </w:tcPr>
          <w:p w14:paraId="787E3406">
            <w:pPr>
              <w:jc w:val="left"/>
              <w:rPr>
                <w:rFonts w:hint="eastAsia" w:ascii="宋体" w:hAnsi="宋体" w:cs="宋体"/>
                <w:sz w:val="24"/>
              </w:rPr>
            </w:pPr>
            <w:r>
              <w:rPr>
                <w:rFonts w:hint="eastAsia" w:ascii="宋体" w:hAnsi="宋体" w:cs="宋体"/>
                <w:sz w:val="24"/>
              </w:rPr>
              <w:t>完成教学教务业务数据归集与治理</w:t>
            </w:r>
          </w:p>
        </w:tc>
      </w:tr>
      <w:tr w14:paraId="5B17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tcBorders>
              <w:top w:val="single" w:color="auto" w:sz="4" w:space="0"/>
              <w:left w:val="single" w:color="auto" w:sz="4" w:space="0"/>
              <w:bottom w:val="single" w:color="auto" w:sz="4" w:space="0"/>
              <w:right w:val="single" w:color="auto" w:sz="4" w:space="0"/>
            </w:tcBorders>
            <w:vAlign w:val="center"/>
          </w:tcPr>
          <w:p w14:paraId="70C7CA1B">
            <w:pPr>
              <w:jc w:val="center"/>
              <w:rPr>
                <w:rFonts w:hint="eastAsia" w:ascii="宋体" w:hAnsi="宋体" w:cs="宋体"/>
                <w:sz w:val="24"/>
              </w:rPr>
            </w:pPr>
            <w:r>
              <w:rPr>
                <w:rFonts w:hint="eastAsia" w:ascii="宋体" w:hAnsi="宋体" w:cs="宋体"/>
                <w:sz w:val="24"/>
              </w:rPr>
              <w:t>2</w:t>
            </w:r>
          </w:p>
        </w:tc>
        <w:tc>
          <w:tcPr>
            <w:tcW w:w="2648" w:type="dxa"/>
            <w:tcBorders>
              <w:top w:val="single" w:color="auto" w:sz="4" w:space="0"/>
              <w:left w:val="single" w:color="auto" w:sz="4" w:space="0"/>
              <w:bottom w:val="single" w:color="auto" w:sz="4" w:space="0"/>
              <w:right w:val="single" w:color="auto" w:sz="4" w:space="0"/>
            </w:tcBorders>
            <w:vAlign w:val="center"/>
          </w:tcPr>
          <w:p w14:paraId="46F0BF1A">
            <w:pPr>
              <w:jc w:val="left"/>
              <w:rPr>
                <w:rFonts w:hint="eastAsia" w:ascii="宋体" w:hAnsi="宋体" w:cs="宋体"/>
                <w:sz w:val="24"/>
              </w:rPr>
            </w:pPr>
            <w:r>
              <w:rPr>
                <w:rFonts w:hint="eastAsia" w:ascii="宋体" w:hAnsi="宋体" w:cs="宋体"/>
                <w:sz w:val="24"/>
              </w:rPr>
              <w:t>请假宿舍管理系统</w:t>
            </w:r>
          </w:p>
        </w:tc>
        <w:tc>
          <w:tcPr>
            <w:tcW w:w="991" w:type="dxa"/>
            <w:tcBorders>
              <w:top w:val="single" w:color="auto" w:sz="4" w:space="0"/>
              <w:left w:val="single" w:color="auto" w:sz="4" w:space="0"/>
              <w:bottom w:val="single" w:color="auto" w:sz="4" w:space="0"/>
              <w:right w:val="single" w:color="auto" w:sz="4" w:space="0"/>
            </w:tcBorders>
            <w:vAlign w:val="center"/>
          </w:tcPr>
          <w:p w14:paraId="2B059FB8">
            <w:pPr>
              <w:jc w:val="left"/>
              <w:rPr>
                <w:rFonts w:hint="eastAsia" w:ascii="宋体" w:hAnsi="宋体" w:cs="宋体"/>
                <w:sz w:val="24"/>
              </w:rPr>
            </w:pPr>
            <w:r>
              <w:rPr>
                <w:rFonts w:hint="eastAsia" w:ascii="宋体" w:hAnsi="宋体" w:cs="宋体"/>
                <w:sz w:val="24"/>
              </w:rPr>
              <w:t>运行中</w:t>
            </w:r>
          </w:p>
        </w:tc>
        <w:tc>
          <w:tcPr>
            <w:tcW w:w="4396" w:type="dxa"/>
            <w:tcBorders>
              <w:top w:val="single" w:color="auto" w:sz="4" w:space="0"/>
              <w:left w:val="single" w:color="auto" w:sz="4" w:space="0"/>
              <w:bottom w:val="single" w:color="auto" w:sz="4" w:space="0"/>
              <w:right w:val="single" w:color="auto" w:sz="4" w:space="0"/>
            </w:tcBorders>
            <w:vAlign w:val="center"/>
          </w:tcPr>
          <w:p w14:paraId="0D74B480">
            <w:pPr>
              <w:jc w:val="left"/>
              <w:rPr>
                <w:rFonts w:hint="eastAsia" w:ascii="宋体" w:hAnsi="宋体" w:cs="宋体"/>
                <w:sz w:val="24"/>
              </w:rPr>
            </w:pPr>
            <w:r>
              <w:rPr>
                <w:rFonts w:hint="eastAsia" w:ascii="宋体" w:hAnsi="宋体" w:cs="宋体"/>
                <w:sz w:val="24"/>
              </w:rPr>
              <w:t>完成请假宿舍业务数据归集与治理</w:t>
            </w:r>
          </w:p>
        </w:tc>
      </w:tr>
      <w:tr w14:paraId="5E8A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1000D19">
            <w:pPr>
              <w:jc w:val="center"/>
              <w:rPr>
                <w:rFonts w:hint="eastAsia" w:ascii="宋体" w:hAnsi="宋体" w:cs="宋体"/>
                <w:sz w:val="24"/>
              </w:rPr>
            </w:pPr>
            <w:r>
              <w:rPr>
                <w:rFonts w:hint="eastAsia" w:ascii="宋体" w:hAnsi="宋体" w:cs="宋体"/>
                <w:sz w:val="24"/>
              </w:rPr>
              <w:t>3</w:t>
            </w:r>
          </w:p>
        </w:tc>
        <w:tc>
          <w:tcPr>
            <w:tcW w:w="2648" w:type="dxa"/>
            <w:tcBorders>
              <w:top w:val="single" w:color="auto" w:sz="4" w:space="0"/>
              <w:left w:val="single" w:color="auto" w:sz="4" w:space="0"/>
              <w:bottom w:val="single" w:color="auto" w:sz="4" w:space="0"/>
              <w:right w:val="single" w:color="auto" w:sz="4" w:space="0"/>
            </w:tcBorders>
            <w:vAlign w:val="center"/>
          </w:tcPr>
          <w:p w14:paraId="52031FDB">
            <w:pPr>
              <w:jc w:val="left"/>
              <w:rPr>
                <w:rFonts w:hint="eastAsia" w:ascii="宋体" w:hAnsi="宋体" w:cs="宋体"/>
                <w:sz w:val="24"/>
              </w:rPr>
            </w:pPr>
            <w:r>
              <w:rPr>
                <w:rFonts w:hint="eastAsia" w:ascii="宋体" w:hAnsi="宋体" w:cs="宋体"/>
                <w:sz w:val="24"/>
              </w:rPr>
              <w:t>一卡通消费系统（教师）</w:t>
            </w:r>
          </w:p>
        </w:tc>
        <w:tc>
          <w:tcPr>
            <w:tcW w:w="991" w:type="dxa"/>
            <w:tcBorders>
              <w:top w:val="single" w:color="auto" w:sz="4" w:space="0"/>
              <w:left w:val="single" w:color="auto" w:sz="4" w:space="0"/>
              <w:bottom w:val="single" w:color="auto" w:sz="4" w:space="0"/>
              <w:right w:val="single" w:color="auto" w:sz="4" w:space="0"/>
            </w:tcBorders>
            <w:vAlign w:val="center"/>
          </w:tcPr>
          <w:p w14:paraId="329924D3">
            <w:pPr>
              <w:jc w:val="left"/>
              <w:rPr>
                <w:rFonts w:hint="eastAsia" w:ascii="宋体" w:hAnsi="宋体" w:cs="宋体"/>
                <w:sz w:val="24"/>
              </w:rPr>
            </w:pPr>
            <w:r>
              <w:rPr>
                <w:rFonts w:hint="eastAsia" w:ascii="宋体" w:hAnsi="宋体" w:cs="宋体"/>
                <w:sz w:val="24"/>
              </w:rPr>
              <w:t>运行中</w:t>
            </w:r>
          </w:p>
        </w:tc>
        <w:tc>
          <w:tcPr>
            <w:tcW w:w="4396" w:type="dxa"/>
            <w:tcBorders>
              <w:top w:val="single" w:color="auto" w:sz="4" w:space="0"/>
              <w:left w:val="single" w:color="auto" w:sz="4" w:space="0"/>
              <w:bottom w:val="single" w:color="auto" w:sz="4" w:space="0"/>
              <w:right w:val="single" w:color="auto" w:sz="4" w:space="0"/>
            </w:tcBorders>
            <w:vAlign w:val="center"/>
          </w:tcPr>
          <w:p w14:paraId="4091246A">
            <w:pPr>
              <w:jc w:val="left"/>
              <w:rPr>
                <w:rFonts w:hint="eastAsia" w:ascii="宋体" w:hAnsi="宋体" w:cs="宋体"/>
                <w:sz w:val="24"/>
              </w:rPr>
            </w:pPr>
            <w:r>
              <w:rPr>
                <w:rFonts w:hint="eastAsia" w:ascii="宋体" w:hAnsi="宋体" w:cs="宋体"/>
                <w:sz w:val="24"/>
              </w:rPr>
              <w:t>完成一卡通消费（教师）数据归集与治理</w:t>
            </w:r>
          </w:p>
        </w:tc>
      </w:tr>
      <w:tr w14:paraId="41B0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51" w:type="dxa"/>
            <w:tcBorders>
              <w:top w:val="single" w:color="auto" w:sz="4" w:space="0"/>
              <w:left w:val="single" w:color="auto" w:sz="4" w:space="0"/>
              <w:bottom w:val="single" w:color="auto" w:sz="4" w:space="0"/>
              <w:right w:val="single" w:color="auto" w:sz="4" w:space="0"/>
            </w:tcBorders>
            <w:vAlign w:val="center"/>
          </w:tcPr>
          <w:p w14:paraId="09CD6CAF">
            <w:pPr>
              <w:jc w:val="center"/>
              <w:rPr>
                <w:rFonts w:hint="eastAsia" w:ascii="宋体" w:hAnsi="宋体" w:cs="宋体"/>
                <w:sz w:val="24"/>
              </w:rPr>
            </w:pPr>
            <w:r>
              <w:rPr>
                <w:rFonts w:hint="eastAsia" w:ascii="宋体" w:hAnsi="宋体" w:cs="宋体"/>
                <w:sz w:val="24"/>
              </w:rPr>
              <w:t>4</w:t>
            </w:r>
          </w:p>
        </w:tc>
        <w:tc>
          <w:tcPr>
            <w:tcW w:w="2648" w:type="dxa"/>
            <w:tcBorders>
              <w:top w:val="single" w:color="auto" w:sz="4" w:space="0"/>
              <w:left w:val="single" w:color="auto" w:sz="4" w:space="0"/>
              <w:bottom w:val="single" w:color="auto" w:sz="4" w:space="0"/>
              <w:right w:val="single" w:color="auto" w:sz="4" w:space="0"/>
            </w:tcBorders>
            <w:vAlign w:val="center"/>
          </w:tcPr>
          <w:p w14:paraId="52B4DBC5">
            <w:pPr>
              <w:jc w:val="left"/>
              <w:rPr>
                <w:rFonts w:hint="eastAsia" w:ascii="宋体" w:hAnsi="宋体" w:cs="宋体"/>
                <w:sz w:val="24"/>
              </w:rPr>
            </w:pPr>
            <w:r>
              <w:rPr>
                <w:rFonts w:hint="eastAsia" w:ascii="宋体" w:hAnsi="宋体" w:cs="宋体"/>
                <w:sz w:val="24"/>
              </w:rPr>
              <w:t>学生人员追踪系统</w:t>
            </w:r>
          </w:p>
        </w:tc>
        <w:tc>
          <w:tcPr>
            <w:tcW w:w="991" w:type="dxa"/>
            <w:tcBorders>
              <w:top w:val="single" w:color="auto" w:sz="4" w:space="0"/>
              <w:left w:val="single" w:color="auto" w:sz="4" w:space="0"/>
              <w:bottom w:val="single" w:color="auto" w:sz="4" w:space="0"/>
              <w:right w:val="single" w:color="auto" w:sz="4" w:space="0"/>
            </w:tcBorders>
            <w:vAlign w:val="center"/>
          </w:tcPr>
          <w:p w14:paraId="00F49E7B">
            <w:pPr>
              <w:jc w:val="left"/>
              <w:rPr>
                <w:rFonts w:hint="eastAsia" w:ascii="宋体" w:hAnsi="宋体" w:cs="宋体"/>
                <w:sz w:val="24"/>
              </w:rPr>
            </w:pPr>
            <w:r>
              <w:rPr>
                <w:rFonts w:hint="eastAsia" w:ascii="宋体" w:hAnsi="宋体" w:cs="宋体"/>
                <w:sz w:val="24"/>
              </w:rPr>
              <w:t>待建</w:t>
            </w:r>
          </w:p>
        </w:tc>
        <w:tc>
          <w:tcPr>
            <w:tcW w:w="4396" w:type="dxa"/>
            <w:tcBorders>
              <w:top w:val="single" w:color="auto" w:sz="4" w:space="0"/>
              <w:left w:val="single" w:color="auto" w:sz="4" w:space="0"/>
              <w:bottom w:val="single" w:color="auto" w:sz="4" w:space="0"/>
              <w:right w:val="single" w:color="auto" w:sz="4" w:space="0"/>
            </w:tcBorders>
            <w:vAlign w:val="center"/>
          </w:tcPr>
          <w:p w14:paraId="65982AA5">
            <w:pPr>
              <w:jc w:val="left"/>
              <w:rPr>
                <w:rFonts w:hint="eastAsia" w:ascii="宋体" w:hAnsi="宋体" w:cs="宋体"/>
                <w:sz w:val="24"/>
              </w:rPr>
            </w:pPr>
            <w:r>
              <w:rPr>
                <w:rFonts w:hint="eastAsia" w:ascii="宋体" w:hAnsi="宋体" w:cs="宋体"/>
                <w:sz w:val="24"/>
              </w:rPr>
              <w:t>完成学生人员追踪数据归集与治理</w:t>
            </w:r>
          </w:p>
        </w:tc>
      </w:tr>
      <w:tr w14:paraId="2B1C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1" w:type="dxa"/>
            <w:tcBorders>
              <w:top w:val="single" w:color="auto" w:sz="4" w:space="0"/>
              <w:left w:val="single" w:color="auto" w:sz="4" w:space="0"/>
              <w:bottom w:val="single" w:color="auto" w:sz="4" w:space="0"/>
              <w:right w:val="single" w:color="auto" w:sz="4" w:space="0"/>
            </w:tcBorders>
            <w:vAlign w:val="center"/>
          </w:tcPr>
          <w:p w14:paraId="282D031E">
            <w:pPr>
              <w:jc w:val="center"/>
              <w:rPr>
                <w:rFonts w:hint="eastAsia" w:ascii="宋体" w:hAnsi="宋体" w:cs="宋体"/>
                <w:sz w:val="24"/>
              </w:rPr>
            </w:pPr>
            <w:r>
              <w:rPr>
                <w:rFonts w:hint="eastAsia" w:ascii="宋体" w:hAnsi="宋体" w:cs="宋体"/>
                <w:sz w:val="24"/>
              </w:rPr>
              <w:t>5</w:t>
            </w:r>
          </w:p>
        </w:tc>
        <w:tc>
          <w:tcPr>
            <w:tcW w:w="2648" w:type="dxa"/>
            <w:tcBorders>
              <w:top w:val="single" w:color="auto" w:sz="4" w:space="0"/>
              <w:left w:val="single" w:color="auto" w:sz="4" w:space="0"/>
              <w:bottom w:val="single" w:color="auto" w:sz="4" w:space="0"/>
              <w:right w:val="single" w:color="auto" w:sz="4" w:space="0"/>
            </w:tcBorders>
            <w:vAlign w:val="center"/>
          </w:tcPr>
          <w:p w14:paraId="2B0D4829">
            <w:pPr>
              <w:jc w:val="left"/>
              <w:rPr>
                <w:rFonts w:hint="eastAsia" w:ascii="宋体" w:hAnsi="宋体" w:cs="宋体"/>
                <w:sz w:val="24"/>
              </w:rPr>
            </w:pPr>
            <w:r>
              <w:rPr>
                <w:rFonts w:hint="eastAsia" w:ascii="宋体" w:hAnsi="宋体" w:cs="宋体"/>
                <w:sz w:val="24"/>
              </w:rPr>
              <w:t>全国教师信息系统</w:t>
            </w:r>
          </w:p>
        </w:tc>
        <w:tc>
          <w:tcPr>
            <w:tcW w:w="991" w:type="dxa"/>
            <w:tcBorders>
              <w:top w:val="single" w:color="auto" w:sz="4" w:space="0"/>
              <w:left w:val="single" w:color="auto" w:sz="4" w:space="0"/>
              <w:bottom w:val="single" w:color="auto" w:sz="4" w:space="0"/>
              <w:right w:val="single" w:color="auto" w:sz="4" w:space="0"/>
            </w:tcBorders>
            <w:vAlign w:val="center"/>
          </w:tcPr>
          <w:p w14:paraId="34B39687">
            <w:pPr>
              <w:jc w:val="left"/>
              <w:rPr>
                <w:rFonts w:hint="eastAsia" w:ascii="宋体" w:hAnsi="宋体" w:cs="宋体"/>
                <w:sz w:val="24"/>
              </w:rPr>
            </w:pPr>
            <w:r>
              <w:rPr>
                <w:rFonts w:hint="eastAsia" w:ascii="宋体" w:hAnsi="宋体" w:cs="宋体"/>
                <w:sz w:val="24"/>
              </w:rPr>
              <w:t>运行中</w:t>
            </w:r>
          </w:p>
        </w:tc>
        <w:tc>
          <w:tcPr>
            <w:tcW w:w="4396" w:type="dxa"/>
            <w:tcBorders>
              <w:top w:val="single" w:color="auto" w:sz="4" w:space="0"/>
              <w:left w:val="single" w:color="auto" w:sz="4" w:space="0"/>
              <w:bottom w:val="single" w:color="auto" w:sz="4" w:space="0"/>
              <w:right w:val="single" w:color="auto" w:sz="4" w:space="0"/>
            </w:tcBorders>
            <w:vAlign w:val="center"/>
          </w:tcPr>
          <w:p w14:paraId="3A0E25F1">
            <w:pPr>
              <w:jc w:val="left"/>
              <w:rPr>
                <w:rFonts w:hint="eastAsia" w:ascii="宋体" w:hAnsi="宋体" w:cs="宋体"/>
                <w:sz w:val="24"/>
              </w:rPr>
            </w:pPr>
            <w:r>
              <w:rPr>
                <w:rFonts w:hint="eastAsia" w:ascii="宋体" w:hAnsi="宋体" w:cs="宋体"/>
                <w:sz w:val="24"/>
              </w:rPr>
              <w:t>完成全国教师信息数据归集与治理</w:t>
            </w:r>
          </w:p>
        </w:tc>
      </w:tr>
      <w:tr w14:paraId="7C4E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640BBF84">
            <w:pPr>
              <w:jc w:val="center"/>
              <w:rPr>
                <w:rFonts w:hint="eastAsia" w:ascii="宋体" w:hAnsi="宋体" w:cs="宋体"/>
                <w:sz w:val="24"/>
              </w:rPr>
            </w:pPr>
            <w:r>
              <w:rPr>
                <w:rFonts w:hint="eastAsia" w:ascii="宋体" w:hAnsi="宋体" w:cs="宋体"/>
                <w:sz w:val="24"/>
              </w:rPr>
              <w:t>6</w:t>
            </w:r>
          </w:p>
        </w:tc>
        <w:tc>
          <w:tcPr>
            <w:tcW w:w="2648" w:type="dxa"/>
            <w:tcBorders>
              <w:top w:val="single" w:color="auto" w:sz="4" w:space="0"/>
              <w:left w:val="single" w:color="auto" w:sz="4" w:space="0"/>
              <w:bottom w:val="single" w:color="auto" w:sz="4" w:space="0"/>
              <w:right w:val="single" w:color="auto" w:sz="4" w:space="0"/>
            </w:tcBorders>
            <w:vAlign w:val="center"/>
          </w:tcPr>
          <w:p w14:paraId="477F5C31">
            <w:pPr>
              <w:jc w:val="left"/>
              <w:rPr>
                <w:rFonts w:hint="eastAsia" w:ascii="宋体" w:hAnsi="宋体" w:cs="宋体"/>
                <w:sz w:val="24"/>
              </w:rPr>
            </w:pPr>
            <w:r>
              <w:rPr>
                <w:rFonts w:hint="eastAsia" w:ascii="宋体" w:hAnsi="宋体" w:cs="宋体"/>
                <w:sz w:val="24"/>
              </w:rPr>
              <w:t>全国中职学生系统</w:t>
            </w:r>
          </w:p>
        </w:tc>
        <w:tc>
          <w:tcPr>
            <w:tcW w:w="991" w:type="dxa"/>
            <w:tcBorders>
              <w:top w:val="single" w:color="auto" w:sz="4" w:space="0"/>
              <w:left w:val="single" w:color="auto" w:sz="4" w:space="0"/>
              <w:bottom w:val="single" w:color="auto" w:sz="4" w:space="0"/>
              <w:right w:val="single" w:color="auto" w:sz="4" w:space="0"/>
            </w:tcBorders>
            <w:vAlign w:val="center"/>
          </w:tcPr>
          <w:p w14:paraId="74A93F7A">
            <w:pPr>
              <w:jc w:val="left"/>
              <w:rPr>
                <w:rFonts w:hint="eastAsia" w:ascii="宋体" w:hAnsi="宋体" w:cs="宋体"/>
                <w:sz w:val="24"/>
              </w:rPr>
            </w:pPr>
            <w:r>
              <w:rPr>
                <w:rFonts w:hint="eastAsia" w:ascii="宋体" w:hAnsi="宋体" w:cs="宋体"/>
                <w:sz w:val="24"/>
              </w:rPr>
              <w:t>运行中</w:t>
            </w:r>
          </w:p>
        </w:tc>
        <w:tc>
          <w:tcPr>
            <w:tcW w:w="4396" w:type="dxa"/>
            <w:tcBorders>
              <w:top w:val="single" w:color="auto" w:sz="4" w:space="0"/>
              <w:left w:val="single" w:color="auto" w:sz="4" w:space="0"/>
              <w:bottom w:val="single" w:color="auto" w:sz="4" w:space="0"/>
              <w:right w:val="single" w:color="auto" w:sz="4" w:space="0"/>
            </w:tcBorders>
            <w:vAlign w:val="center"/>
          </w:tcPr>
          <w:p w14:paraId="35EDA0F1">
            <w:pPr>
              <w:jc w:val="left"/>
              <w:rPr>
                <w:rFonts w:hint="eastAsia" w:ascii="宋体" w:hAnsi="宋体" w:cs="宋体"/>
                <w:sz w:val="24"/>
              </w:rPr>
            </w:pPr>
            <w:r>
              <w:rPr>
                <w:rFonts w:hint="eastAsia" w:ascii="宋体" w:hAnsi="宋体" w:cs="宋体"/>
                <w:sz w:val="24"/>
              </w:rPr>
              <w:t>完成全国中职学生信息数据归集与治理</w:t>
            </w:r>
          </w:p>
        </w:tc>
      </w:tr>
      <w:tr w14:paraId="7C7E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202E96E5">
            <w:pPr>
              <w:jc w:val="center"/>
              <w:rPr>
                <w:rFonts w:hint="eastAsia" w:ascii="宋体" w:hAnsi="宋体" w:cs="宋体"/>
                <w:sz w:val="24"/>
              </w:rPr>
            </w:pPr>
            <w:r>
              <w:rPr>
                <w:rFonts w:hint="eastAsia" w:ascii="宋体" w:hAnsi="宋体" w:cs="宋体"/>
                <w:sz w:val="24"/>
              </w:rPr>
              <w:t>7</w:t>
            </w:r>
          </w:p>
        </w:tc>
        <w:tc>
          <w:tcPr>
            <w:tcW w:w="2648" w:type="dxa"/>
            <w:tcBorders>
              <w:top w:val="single" w:color="auto" w:sz="4" w:space="0"/>
              <w:left w:val="single" w:color="auto" w:sz="4" w:space="0"/>
              <w:bottom w:val="single" w:color="auto" w:sz="4" w:space="0"/>
              <w:right w:val="single" w:color="auto" w:sz="4" w:space="0"/>
            </w:tcBorders>
            <w:vAlign w:val="center"/>
          </w:tcPr>
          <w:p w14:paraId="0F097C87">
            <w:pPr>
              <w:jc w:val="left"/>
              <w:rPr>
                <w:rFonts w:hint="eastAsia" w:ascii="宋体" w:hAnsi="宋体" w:cs="宋体"/>
                <w:sz w:val="24"/>
              </w:rPr>
            </w:pPr>
            <w:r>
              <w:rPr>
                <w:rFonts w:hint="eastAsia" w:ascii="宋体" w:hAnsi="宋体" w:cs="宋体"/>
                <w:sz w:val="24"/>
              </w:rPr>
              <w:t>钉钉系统</w:t>
            </w:r>
          </w:p>
        </w:tc>
        <w:tc>
          <w:tcPr>
            <w:tcW w:w="991" w:type="dxa"/>
            <w:tcBorders>
              <w:top w:val="single" w:color="auto" w:sz="4" w:space="0"/>
              <w:left w:val="single" w:color="auto" w:sz="4" w:space="0"/>
              <w:bottom w:val="single" w:color="auto" w:sz="4" w:space="0"/>
              <w:right w:val="single" w:color="auto" w:sz="4" w:space="0"/>
            </w:tcBorders>
            <w:vAlign w:val="center"/>
          </w:tcPr>
          <w:p w14:paraId="320D2CB4">
            <w:pPr>
              <w:jc w:val="left"/>
              <w:rPr>
                <w:rFonts w:hint="eastAsia" w:ascii="宋体" w:hAnsi="宋体" w:cs="宋体"/>
                <w:sz w:val="24"/>
              </w:rPr>
            </w:pPr>
            <w:r>
              <w:rPr>
                <w:rFonts w:hint="eastAsia" w:ascii="宋体" w:hAnsi="宋体" w:cs="宋体"/>
                <w:sz w:val="24"/>
              </w:rPr>
              <w:t>运行中</w:t>
            </w:r>
          </w:p>
        </w:tc>
        <w:tc>
          <w:tcPr>
            <w:tcW w:w="4396" w:type="dxa"/>
            <w:tcBorders>
              <w:top w:val="single" w:color="auto" w:sz="4" w:space="0"/>
              <w:left w:val="single" w:color="auto" w:sz="4" w:space="0"/>
              <w:bottom w:val="single" w:color="auto" w:sz="4" w:space="0"/>
              <w:right w:val="single" w:color="auto" w:sz="4" w:space="0"/>
            </w:tcBorders>
            <w:vAlign w:val="center"/>
          </w:tcPr>
          <w:p w14:paraId="2CFC2C07">
            <w:pPr>
              <w:jc w:val="left"/>
              <w:rPr>
                <w:rFonts w:hint="eastAsia" w:ascii="宋体" w:hAnsi="宋体" w:cs="宋体"/>
                <w:sz w:val="24"/>
              </w:rPr>
            </w:pPr>
            <w:r>
              <w:rPr>
                <w:rFonts w:hint="eastAsia" w:ascii="宋体" w:hAnsi="宋体" w:cs="宋体"/>
                <w:sz w:val="24"/>
              </w:rPr>
              <w:t>1.完成钉钉通讯录（教师/家校）数据归集与治理</w:t>
            </w:r>
          </w:p>
          <w:p w14:paraId="0B2C0B53">
            <w:pPr>
              <w:jc w:val="left"/>
              <w:rPr>
                <w:rFonts w:hint="eastAsia" w:ascii="宋体" w:hAnsi="宋体" w:cs="宋体"/>
                <w:sz w:val="24"/>
              </w:rPr>
            </w:pPr>
            <w:r>
              <w:rPr>
                <w:rFonts w:hint="eastAsia" w:ascii="宋体" w:hAnsi="宋体" w:cs="宋体"/>
                <w:sz w:val="24"/>
              </w:rPr>
              <w:t>2.完成钉钉认证集成，并将新建平台上架钉钉工作台</w:t>
            </w:r>
          </w:p>
          <w:p w14:paraId="52F46698">
            <w:pPr>
              <w:jc w:val="left"/>
              <w:rPr>
                <w:rFonts w:hint="eastAsia" w:ascii="宋体" w:hAnsi="宋体" w:cs="宋体"/>
                <w:sz w:val="24"/>
              </w:rPr>
            </w:pPr>
            <w:r>
              <w:rPr>
                <w:rFonts w:hint="eastAsia" w:ascii="宋体" w:hAnsi="宋体" w:cs="宋体"/>
                <w:sz w:val="24"/>
              </w:rPr>
              <w:t>3.完成学校钉钉业务数据归集与治理</w:t>
            </w:r>
          </w:p>
        </w:tc>
      </w:tr>
      <w:bookmarkEnd w:id="64"/>
    </w:tbl>
    <w:p w14:paraId="50AF9FA9">
      <w:pPr>
        <w:spacing w:line="360" w:lineRule="auto"/>
        <w:ind w:firstLine="480" w:firstLineChars="200"/>
        <w:rPr>
          <w:sz w:val="24"/>
        </w:rPr>
      </w:pPr>
      <w:r>
        <w:rPr>
          <w:rFonts w:hint="eastAsia"/>
          <w:sz w:val="24"/>
        </w:rPr>
        <w:t>②数据治理服务</w:t>
      </w:r>
    </w:p>
    <w:tbl>
      <w:tblPr>
        <w:tblStyle w:val="19"/>
        <w:tblW w:w="0" w:type="auto"/>
        <w:tblInd w:w="113" w:type="dxa"/>
        <w:tblLayout w:type="autofit"/>
        <w:tblCellMar>
          <w:top w:w="0" w:type="dxa"/>
          <w:left w:w="108" w:type="dxa"/>
          <w:bottom w:w="0" w:type="dxa"/>
          <w:right w:w="108" w:type="dxa"/>
        </w:tblCellMar>
      </w:tblPr>
      <w:tblGrid>
        <w:gridCol w:w="846"/>
        <w:gridCol w:w="992"/>
        <w:gridCol w:w="7043"/>
      </w:tblGrid>
      <w:tr w14:paraId="5B24B837">
        <w:tblPrEx>
          <w:tblCellMar>
            <w:top w:w="0" w:type="dxa"/>
            <w:left w:w="108" w:type="dxa"/>
            <w:bottom w:w="0" w:type="dxa"/>
            <w:right w:w="108" w:type="dxa"/>
          </w:tblCellMar>
        </w:tblPrEx>
        <w:trPr>
          <w:tblHead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B25BDC2">
            <w:pPr>
              <w:widowControl/>
              <w:jc w:val="center"/>
              <w:rPr>
                <w:rFonts w:hint="eastAsia" w:ascii="宋体" w:hAnsi="宋体" w:cs="宋体"/>
                <w:color w:val="000000"/>
                <w:kern w:val="0"/>
                <w:sz w:val="24"/>
              </w:rPr>
            </w:pPr>
            <w:r>
              <w:rPr>
                <w:rFonts w:hint="eastAsia" w:ascii="宋体" w:hAnsi="宋体" w:cs="宋体"/>
                <w:color w:val="000000"/>
                <w:kern w:val="0"/>
                <w:sz w:val="24"/>
              </w:rPr>
              <w:t>模块</w:t>
            </w:r>
          </w:p>
        </w:tc>
        <w:tc>
          <w:tcPr>
            <w:tcW w:w="992" w:type="dxa"/>
            <w:tcBorders>
              <w:top w:val="single" w:color="auto" w:sz="4" w:space="0"/>
              <w:left w:val="nil"/>
              <w:bottom w:val="single" w:color="auto" w:sz="4" w:space="0"/>
              <w:right w:val="single" w:color="auto" w:sz="4" w:space="0"/>
            </w:tcBorders>
            <w:shd w:val="clear" w:color="auto" w:fill="auto"/>
            <w:vAlign w:val="center"/>
          </w:tcPr>
          <w:p w14:paraId="01B95C96">
            <w:pPr>
              <w:widowControl/>
              <w:jc w:val="center"/>
              <w:rPr>
                <w:rFonts w:hint="eastAsia" w:ascii="宋体" w:hAnsi="宋体" w:cs="宋体"/>
                <w:color w:val="000000"/>
                <w:kern w:val="0"/>
                <w:sz w:val="24"/>
              </w:rPr>
            </w:pPr>
            <w:r>
              <w:rPr>
                <w:rFonts w:hint="eastAsia" w:ascii="宋体" w:hAnsi="宋体" w:cs="宋体"/>
                <w:color w:val="000000"/>
                <w:kern w:val="0"/>
                <w:sz w:val="24"/>
              </w:rPr>
              <w:t>事项</w:t>
            </w:r>
          </w:p>
        </w:tc>
        <w:tc>
          <w:tcPr>
            <w:tcW w:w="7043" w:type="dxa"/>
            <w:tcBorders>
              <w:top w:val="single" w:color="auto" w:sz="4" w:space="0"/>
              <w:left w:val="nil"/>
              <w:bottom w:val="single" w:color="auto" w:sz="4" w:space="0"/>
              <w:right w:val="single" w:color="auto" w:sz="4" w:space="0"/>
            </w:tcBorders>
            <w:shd w:val="clear" w:color="auto" w:fill="auto"/>
            <w:vAlign w:val="center"/>
          </w:tcPr>
          <w:p w14:paraId="11C9E63C">
            <w:pPr>
              <w:widowControl/>
              <w:jc w:val="center"/>
              <w:rPr>
                <w:rFonts w:hint="eastAsia" w:ascii="宋体" w:hAnsi="宋体" w:cs="宋体"/>
                <w:color w:val="000000"/>
                <w:kern w:val="0"/>
                <w:sz w:val="24"/>
              </w:rPr>
            </w:pPr>
            <w:r>
              <w:rPr>
                <w:rFonts w:hint="eastAsia" w:ascii="宋体" w:hAnsi="宋体" w:cs="宋体"/>
                <w:color w:val="000000"/>
                <w:kern w:val="0"/>
                <w:sz w:val="24"/>
              </w:rPr>
              <w:t>需求概述</w:t>
            </w:r>
          </w:p>
        </w:tc>
      </w:tr>
      <w:tr w14:paraId="55B3CC4C">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shd w:val="clear" w:color="auto" w:fill="auto"/>
            <w:vAlign w:val="center"/>
          </w:tcPr>
          <w:p w14:paraId="6EFFD788">
            <w:pPr>
              <w:widowControl/>
              <w:jc w:val="center"/>
              <w:rPr>
                <w:rFonts w:hint="eastAsia" w:ascii="宋体" w:hAnsi="宋体" w:cs="宋体"/>
                <w:color w:val="000000"/>
                <w:kern w:val="0"/>
                <w:sz w:val="24"/>
              </w:rPr>
            </w:pPr>
            <w:r>
              <w:rPr>
                <w:rFonts w:hint="eastAsia" w:ascii="宋体" w:hAnsi="宋体" w:cs="宋体"/>
                <w:color w:val="000000"/>
                <w:kern w:val="0"/>
                <w:sz w:val="24"/>
              </w:rPr>
              <w:t>数据调研服务</w:t>
            </w:r>
          </w:p>
        </w:tc>
        <w:tc>
          <w:tcPr>
            <w:tcW w:w="992" w:type="dxa"/>
            <w:tcBorders>
              <w:top w:val="nil"/>
              <w:left w:val="nil"/>
              <w:bottom w:val="single" w:color="auto" w:sz="4" w:space="0"/>
              <w:right w:val="single" w:color="auto" w:sz="4" w:space="0"/>
            </w:tcBorders>
            <w:shd w:val="clear" w:color="auto" w:fill="auto"/>
            <w:vAlign w:val="center"/>
          </w:tcPr>
          <w:p w14:paraId="4A2A96E5">
            <w:pPr>
              <w:widowControl/>
              <w:jc w:val="left"/>
              <w:rPr>
                <w:rFonts w:hint="eastAsia" w:ascii="宋体" w:hAnsi="宋体" w:cs="宋体"/>
                <w:color w:val="000000"/>
                <w:kern w:val="0"/>
                <w:sz w:val="24"/>
              </w:rPr>
            </w:pPr>
            <w:r>
              <w:rPr>
                <w:rFonts w:hint="eastAsia" w:ascii="宋体" w:hAnsi="宋体" w:cs="宋体"/>
                <w:color w:val="000000"/>
                <w:kern w:val="0"/>
                <w:sz w:val="24"/>
              </w:rPr>
              <w:t>业务数据调研</w:t>
            </w:r>
          </w:p>
        </w:tc>
        <w:tc>
          <w:tcPr>
            <w:tcW w:w="7043" w:type="dxa"/>
            <w:tcBorders>
              <w:top w:val="nil"/>
              <w:left w:val="nil"/>
              <w:bottom w:val="single" w:color="auto" w:sz="4" w:space="0"/>
              <w:right w:val="single" w:color="auto" w:sz="4" w:space="0"/>
            </w:tcBorders>
            <w:shd w:val="clear" w:color="auto" w:fill="auto"/>
            <w:vAlign w:val="center"/>
          </w:tcPr>
          <w:p w14:paraId="3ABE346E">
            <w:pPr>
              <w:widowControl/>
              <w:jc w:val="left"/>
              <w:rPr>
                <w:rFonts w:hint="eastAsia" w:ascii="宋体" w:hAnsi="宋体" w:cs="宋体"/>
                <w:color w:val="000000"/>
                <w:kern w:val="0"/>
                <w:sz w:val="24"/>
              </w:rPr>
            </w:pPr>
            <w:r>
              <w:rPr>
                <w:rFonts w:hint="eastAsia" w:ascii="宋体" w:hAnsi="宋体" w:cs="宋体"/>
                <w:color w:val="000000"/>
                <w:kern w:val="0"/>
                <w:sz w:val="24"/>
              </w:rPr>
              <w:t>1.需制定数据资源调研三张清单，包括数据信息系统调研表、数据资源调研表、数据需求调研表，并制定常态化维护机制，根据数据更新频率，每半年更新一次清单。</w:t>
            </w:r>
            <w:r>
              <w:rPr>
                <w:rFonts w:hint="eastAsia" w:ascii="宋体" w:hAnsi="宋体" w:cs="宋体"/>
                <w:color w:val="000000"/>
                <w:kern w:val="0"/>
                <w:sz w:val="24"/>
              </w:rPr>
              <w:br w:type="textWrapping"/>
            </w:r>
            <w:r>
              <w:rPr>
                <w:rFonts w:hint="eastAsia" w:ascii="宋体" w:hAnsi="宋体" w:cs="宋体"/>
                <w:color w:val="000000"/>
                <w:kern w:val="0"/>
                <w:sz w:val="24"/>
              </w:rPr>
              <w:t>2.需输出调研服务内容列标注文档内容，包括不限于历次调研涉及的系统调研表、数据项调研表、会议纪要、签到记录。</w:t>
            </w:r>
            <w:r>
              <w:rPr>
                <w:rFonts w:hint="eastAsia" w:ascii="宋体" w:hAnsi="宋体" w:cs="宋体"/>
                <w:color w:val="000000"/>
                <w:kern w:val="0"/>
                <w:sz w:val="24"/>
              </w:rPr>
              <w:br w:type="textWrapping"/>
            </w:r>
            <w:r>
              <w:rPr>
                <w:rFonts w:hint="eastAsia" w:ascii="宋体" w:hAnsi="宋体" w:cs="宋体"/>
                <w:color w:val="000000"/>
                <w:kern w:val="0"/>
                <w:sz w:val="24"/>
              </w:rPr>
              <w:t>3.需输出有系统的业务调研表包括的内容应包括不限于以下信息：处室名称、处室负责人、系统名称、功能描述、核心数据、系统部署机房服务器信息、数据库信息、数据存储大小、存储周期、更新频率、是否涉密、系统架构、面向用户群体、域名地址、体验账号密码、是否有字典、系统业务使用对接人、系统是否在保、系统建设公司、系统数据对接人。</w:t>
            </w:r>
            <w:r>
              <w:rPr>
                <w:rFonts w:hint="eastAsia" w:ascii="宋体" w:hAnsi="宋体" w:cs="宋体"/>
                <w:color w:val="000000"/>
                <w:kern w:val="0"/>
                <w:sz w:val="24"/>
              </w:rPr>
              <w:br w:type="textWrapping"/>
            </w:r>
            <w:r>
              <w:rPr>
                <w:rFonts w:hint="eastAsia" w:ascii="宋体" w:hAnsi="宋体" w:cs="宋体"/>
                <w:color w:val="000000"/>
                <w:kern w:val="0"/>
                <w:sz w:val="24"/>
              </w:rPr>
              <w:t>4.需输出无业务系统数据调研的内容应包括不限于以下信息：处室名称、处室负责人、目前业务方式、目前数据格式、存放位置、更新周期、涉及业务方向、涉及数据资源内容、是否涉密、数据用途。</w:t>
            </w:r>
          </w:p>
        </w:tc>
      </w:tr>
      <w:tr w14:paraId="4F23B640">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shd w:val="clear" w:color="auto" w:fill="auto"/>
            <w:vAlign w:val="center"/>
          </w:tcPr>
          <w:p w14:paraId="0D364387">
            <w:pPr>
              <w:widowControl/>
              <w:jc w:val="left"/>
              <w:rPr>
                <w:rFonts w:hint="eastAsia" w:ascii="宋体" w:hAnsi="宋体" w:cs="宋体"/>
                <w:color w:val="000000"/>
                <w:kern w:val="0"/>
                <w:sz w:val="24"/>
              </w:rPr>
            </w:pPr>
            <w:r>
              <w:rPr>
                <w:rFonts w:hint="eastAsia" w:ascii="宋体" w:hAnsi="宋体" w:cs="宋体"/>
                <w:color w:val="000000"/>
                <w:kern w:val="0"/>
                <w:sz w:val="24"/>
              </w:rPr>
              <w:t>数据归集服务</w:t>
            </w:r>
          </w:p>
        </w:tc>
        <w:tc>
          <w:tcPr>
            <w:tcW w:w="992" w:type="dxa"/>
            <w:tcBorders>
              <w:top w:val="nil"/>
              <w:left w:val="nil"/>
              <w:bottom w:val="single" w:color="auto" w:sz="4" w:space="0"/>
              <w:right w:val="single" w:color="auto" w:sz="4" w:space="0"/>
            </w:tcBorders>
            <w:shd w:val="clear" w:color="auto" w:fill="auto"/>
            <w:vAlign w:val="center"/>
          </w:tcPr>
          <w:p w14:paraId="39845A0A">
            <w:pPr>
              <w:widowControl/>
              <w:jc w:val="left"/>
              <w:rPr>
                <w:rFonts w:hint="eastAsia" w:ascii="宋体" w:hAnsi="宋体" w:cs="宋体"/>
                <w:color w:val="000000"/>
                <w:kern w:val="0"/>
                <w:sz w:val="24"/>
              </w:rPr>
            </w:pPr>
            <w:r>
              <w:rPr>
                <w:rFonts w:hint="eastAsia" w:ascii="宋体" w:hAnsi="宋体" w:cs="宋体"/>
                <w:color w:val="000000"/>
                <w:kern w:val="0"/>
                <w:sz w:val="24"/>
              </w:rPr>
              <w:t>数据归集服务</w:t>
            </w:r>
          </w:p>
        </w:tc>
        <w:tc>
          <w:tcPr>
            <w:tcW w:w="7043" w:type="dxa"/>
            <w:tcBorders>
              <w:top w:val="nil"/>
              <w:left w:val="nil"/>
              <w:bottom w:val="single" w:color="auto" w:sz="4" w:space="0"/>
              <w:right w:val="single" w:color="auto" w:sz="4" w:space="0"/>
            </w:tcBorders>
            <w:shd w:val="clear" w:color="auto" w:fill="auto"/>
            <w:vAlign w:val="center"/>
          </w:tcPr>
          <w:p w14:paraId="226F3C71">
            <w:pPr>
              <w:widowControl/>
              <w:jc w:val="left"/>
              <w:rPr>
                <w:rFonts w:hint="eastAsia" w:ascii="宋体" w:hAnsi="宋体" w:cs="宋体"/>
                <w:color w:val="000000"/>
                <w:kern w:val="0"/>
                <w:sz w:val="24"/>
              </w:rPr>
            </w:pPr>
            <w:r>
              <w:rPr>
                <w:rFonts w:hint="eastAsia" w:ascii="宋体" w:hAnsi="宋体" w:cs="宋体"/>
                <w:color w:val="000000"/>
                <w:kern w:val="0"/>
                <w:sz w:val="24"/>
              </w:rPr>
              <w:t>完成教学教务管理系统、请假宿舍管理系统、一卡通消费系统（教师）、学生人员追踪系统、全国教师信息系统、全国中职学生系统、钉钉系统等业务数据归集</w:t>
            </w:r>
          </w:p>
        </w:tc>
      </w:tr>
      <w:tr w14:paraId="1BC4CA0C">
        <w:tblPrEx>
          <w:tblCellMar>
            <w:top w:w="0" w:type="dxa"/>
            <w:left w:w="108" w:type="dxa"/>
            <w:bottom w:w="0" w:type="dxa"/>
            <w:right w:w="108" w:type="dxa"/>
          </w:tblCellMar>
        </w:tblPrEx>
        <w:tc>
          <w:tcPr>
            <w:tcW w:w="846" w:type="dxa"/>
            <w:vMerge w:val="restart"/>
            <w:tcBorders>
              <w:top w:val="nil"/>
              <w:left w:val="single" w:color="auto" w:sz="4" w:space="0"/>
              <w:bottom w:val="single" w:color="auto" w:sz="4" w:space="0"/>
              <w:right w:val="single" w:color="auto" w:sz="4" w:space="0"/>
            </w:tcBorders>
            <w:shd w:val="clear" w:color="auto" w:fill="auto"/>
            <w:vAlign w:val="center"/>
          </w:tcPr>
          <w:p w14:paraId="54798CA4">
            <w:pPr>
              <w:widowControl/>
              <w:jc w:val="center"/>
              <w:rPr>
                <w:rFonts w:hint="eastAsia" w:ascii="宋体" w:hAnsi="宋体" w:cs="宋体"/>
                <w:color w:val="000000"/>
                <w:kern w:val="0"/>
                <w:sz w:val="24"/>
              </w:rPr>
            </w:pPr>
            <w:r>
              <w:rPr>
                <w:rFonts w:hint="eastAsia" w:ascii="宋体" w:hAnsi="宋体" w:cs="宋体"/>
                <w:color w:val="000000"/>
                <w:kern w:val="0"/>
                <w:sz w:val="24"/>
              </w:rPr>
              <w:t>数据清洗</w:t>
            </w:r>
          </w:p>
        </w:tc>
        <w:tc>
          <w:tcPr>
            <w:tcW w:w="992" w:type="dxa"/>
            <w:tcBorders>
              <w:top w:val="nil"/>
              <w:left w:val="nil"/>
              <w:bottom w:val="single" w:color="auto" w:sz="4" w:space="0"/>
              <w:right w:val="single" w:color="auto" w:sz="4" w:space="0"/>
            </w:tcBorders>
            <w:shd w:val="clear" w:color="auto" w:fill="auto"/>
            <w:vAlign w:val="center"/>
          </w:tcPr>
          <w:p w14:paraId="239AFCC2">
            <w:pPr>
              <w:widowControl/>
              <w:jc w:val="left"/>
              <w:rPr>
                <w:rFonts w:hint="eastAsia" w:ascii="宋体" w:hAnsi="宋体" w:cs="宋体"/>
                <w:color w:val="000000"/>
                <w:kern w:val="0"/>
                <w:sz w:val="24"/>
              </w:rPr>
            </w:pPr>
            <w:r>
              <w:rPr>
                <w:rFonts w:hint="eastAsia" w:ascii="宋体" w:hAnsi="宋体" w:cs="宋体"/>
                <w:color w:val="000000"/>
                <w:kern w:val="0"/>
                <w:sz w:val="24"/>
              </w:rPr>
              <w:t>清洗规则配置服务</w:t>
            </w:r>
          </w:p>
        </w:tc>
        <w:tc>
          <w:tcPr>
            <w:tcW w:w="7043" w:type="dxa"/>
            <w:tcBorders>
              <w:top w:val="nil"/>
              <w:left w:val="nil"/>
              <w:bottom w:val="single" w:color="auto" w:sz="4" w:space="0"/>
              <w:right w:val="single" w:color="auto" w:sz="4" w:space="0"/>
            </w:tcBorders>
            <w:shd w:val="clear" w:color="auto" w:fill="auto"/>
            <w:vAlign w:val="center"/>
          </w:tcPr>
          <w:p w14:paraId="0717ED52">
            <w:pPr>
              <w:widowControl/>
              <w:jc w:val="left"/>
              <w:rPr>
                <w:rFonts w:hint="eastAsia" w:ascii="宋体" w:hAnsi="宋体" w:cs="宋体"/>
                <w:color w:val="000000"/>
                <w:kern w:val="0"/>
                <w:sz w:val="24"/>
              </w:rPr>
            </w:pPr>
            <w:r>
              <w:rPr>
                <w:rFonts w:hint="eastAsia" w:ascii="宋体" w:hAnsi="宋体" w:cs="宋体"/>
                <w:color w:val="000000"/>
                <w:kern w:val="0"/>
                <w:sz w:val="24"/>
              </w:rPr>
              <w:t>1.清洗转换规则：需根据数据质量检查的结果，将不满足规则的数据进行清洗、转换、加工，形成标准统一、格式统一、编码规则统一的数据处理规则。</w:t>
            </w:r>
            <w:r>
              <w:rPr>
                <w:rFonts w:hint="eastAsia" w:ascii="宋体" w:hAnsi="宋体" w:cs="宋体"/>
                <w:color w:val="000000"/>
                <w:kern w:val="0"/>
                <w:sz w:val="24"/>
              </w:rPr>
              <w:br w:type="textWrapping"/>
            </w:r>
            <w:r>
              <w:rPr>
                <w:rFonts w:hint="eastAsia" w:ascii="宋体" w:hAnsi="宋体" w:cs="宋体"/>
                <w:color w:val="000000"/>
                <w:kern w:val="0"/>
                <w:sz w:val="24"/>
              </w:rPr>
              <w:t>2.配置格式转换规则：需按照数据治理的要求，将含义一致但表现、格式不一样的格式数据进行规范化处理的规则。</w:t>
            </w:r>
            <w:r>
              <w:rPr>
                <w:rFonts w:hint="eastAsia" w:ascii="宋体" w:hAnsi="宋体" w:cs="宋体"/>
                <w:color w:val="000000"/>
                <w:kern w:val="0"/>
                <w:sz w:val="24"/>
              </w:rPr>
              <w:br w:type="textWrapping"/>
            </w:r>
            <w:r>
              <w:rPr>
                <w:rFonts w:hint="eastAsia" w:ascii="宋体" w:hAnsi="宋体" w:cs="宋体"/>
                <w:color w:val="000000"/>
                <w:kern w:val="0"/>
                <w:sz w:val="24"/>
              </w:rPr>
              <w:t>3.按照数据治理的要求，将业务编码规则不一致，技术上存在错误的数据进行内容规范化处理的规则。</w:t>
            </w:r>
            <w:r>
              <w:rPr>
                <w:rFonts w:hint="eastAsia" w:ascii="宋体" w:hAnsi="宋体" w:cs="宋体"/>
                <w:color w:val="000000"/>
                <w:kern w:val="0"/>
                <w:sz w:val="24"/>
              </w:rPr>
              <w:br w:type="textWrapping"/>
            </w:r>
            <w:r>
              <w:rPr>
                <w:rFonts w:hint="eastAsia" w:ascii="宋体" w:hAnsi="宋体" w:cs="宋体"/>
                <w:color w:val="000000"/>
                <w:kern w:val="0"/>
                <w:sz w:val="24"/>
              </w:rPr>
              <w:t>4.将非标准的字典数据进行标准化转换，依据已发布的国家标准、行业标准、地方标准的相关数据字典，将未与标准字典对应的进行映射实现转换的规则。</w:t>
            </w:r>
            <w:r>
              <w:rPr>
                <w:rFonts w:hint="eastAsia" w:ascii="宋体" w:hAnsi="宋体" w:cs="宋体"/>
                <w:color w:val="000000"/>
                <w:kern w:val="0"/>
                <w:sz w:val="24"/>
              </w:rPr>
              <w:br w:type="textWrapping"/>
            </w:r>
            <w:r>
              <w:rPr>
                <w:rFonts w:hint="eastAsia" w:ascii="宋体" w:hAnsi="宋体" w:cs="宋体"/>
                <w:color w:val="000000"/>
                <w:kern w:val="0"/>
                <w:sz w:val="24"/>
              </w:rPr>
              <w:t>5.需人工判断干预的治理任务，可进行任务分发，由其他用户进行处理。</w:t>
            </w:r>
          </w:p>
        </w:tc>
      </w:tr>
      <w:tr w14:paraId="7AF2AD20">
        <w:tblPrEx>
          <w:tblCellMar>
            <w:top w:w="0" w:type="dxa"/>
            <w:left w:w="108" w:type="dxa"/>
            <w:bottom w:w="0" w:type="dxa"/>
            <w:right w:w="108" w:type="dxa"/>
          </w:tblCellMar>
        </w:tblPrEx>
        <w:tc>
          <w:tcPr>
            <w:tcW w:w="846" w:type="dxa"/>
            <w:vMerge w:val="continue"/>
            <w:tcBorders>
              <w:top w:val="nil"/>
              <w:left w:val="single" w:color="auto" w:sz="4" w:space="0"/>
              <w:bottom w:val="single" w:color="auto" w:sz="4" w:space="0"/>
              <w:right w:val="single" w:color="auto" w:sz="4" w:space="0"/>
            </w:tcBorders>
            <w:vAlign w:val="center"/>
          </w:tcPr>
          <w:p w14:paraId="7D58ECE7">
            <w:pPr>
              <w:widowControl/>
              <w:jc w:val="left"/>
              <w:rPr>
                <w:rFonts w:hint="eastAsia"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14:paraId="0546BAAF">
            <w:pPr>
              <w:widowControl/>
              <w:jc w:val="left"/>
              <w:rPr>
                <w:rFonts w:hint="eastAsia" w:ascii="宋体" w:hAnsi="宋体" w:cs="宋体"/>
                <w:color w:val="000000"/>
                <w:kern w:val="0"/>
                <w:sz w:val="24"/>
              </w:rPr>
            </w:pPr>
            <w:r>
              <w:rPr>
                <w:rFonts w:hint="eastAsia" w:ascii="宋体" w:hAnsi="宋体" w:cs="宋体"/>
                <w:color w:val="000000"/>
                <w:kern w:val="0"/>
                <w:sz w:val="24"/>
              </w:rPr>
              <w:t>数据清洗任务配置</w:t>
            </w:r>
          </w:p>
        </w:tc>
        <w:tc>
          <w:tcPr>
            <w:tcW w:w="7043" w:type="dxa"/>
            <w:tcBorders>
              <w:top w:val="nil"/>
              <w:left w:val="nil"/>
              <w:bottom w:val="single" w:color="auto" w:sz="4" w:space="0"/>
              <w:right w:val="single" w:color="auto" w:sz="4" w:space="0"/>
            </w:tcBorders>
            <w:shd w:val="clear" w:color="auto" w:fill="auto"/>
            <w:vAlign w:val="center"/>
          </w:tcPr>
          <w:p w14:paraId="3D2ED9C2">
            <w:pPr>
              <w:widowControl/>
              <w:jc w:val="left"/>
              <w:rPr>
                <w:rFonts w:hint="eastAsia" w:ascii="宋体" w:hAnsi="宋体" w:cs="宋体"/>
                <w:color w:val="000000"/>
                <w:kern w:val="0"/>
                <w:sz w:val="24"/>
              </w:rPr>
            </w:pPr>
            <w:r>
              <w:rPr>
                <w:rFonts w:hint="eastAsia" w:ascii="宋体" w:hAnsi="宋体" w:cs="宋体"/>
                <w:color w:val="000000"/>
                <w:kern w:val="0"/>
                <w:sz w:val="24"/>
              </w:rPr>
              <w:t>1.需对数据清洗规则进行配置。</w:t>
            </w:r>
            <w:r>
              <w:rPr>
                <w:rFonts w:hint="eastAsia" w:ascii="宋体" w:hAnsi="宋体" w:cs="宋体"/>
                <w:color w:val="000000"/>
                <w:kern w:val="0"/>
                <w:sz w:val="24"/>
              </w:rPr>
              <w:br w:type="textWrapping"/>
            </w:r>
            <w:r>
              <w:rPr>
                <w:rFonts w:hint="eastAsia" w:ascii="宋体" w:hAnsi="宋体" w:cs="宋体"/>
                <w:color w:val="000000"/>
                <w:kern w:val="0"/>
                <w:sz w:val="24"/>
              </w:rPr>
              <w:t>2.需对数据清洗任务进行配置。</w:t>
            </w:r>
            <w:r>
              <w:rPr>
                <w:rFonts w:hint="eastAsia" w:ascii="宋体" w:hAnsi="宋体" w:cs="宋体"/>
                <w:color w:val="000000"/>
                <w:kern w:val="0"/>
                <w:sz w:val="24"/>
              </w:rPr>
              <w:br w:type="textWrapping"/>
            </w:r>
            <w:r>
              <w:rPr>
                <w:rFonts w:hint="eastAsia" w:ascii="宋体" w:hAnsi="宋体" w:cs="宋体"/>
                <w:color w:val="000000"/>
                <w:kern w:val="0"/>
                <w:sz w:val="24"/>
              </w:rPr>
              <w:t>3.需对数据清洗任务进行监测。</w:t>
            </w:r>
          </w:p>
        </w:tc>
      </w:tr>
      <w:tr w14:paraId="24576529">
        <w:tblPrEx>
          <w:tblCellMar>
            <w:top w:w="0" w:type="dxa"/>
            <w:left w:w="108" w:type="dxa"/>
            <w:bottom w:w="0" w:type="dxa"/>
            <w:right w:w="108" w:type="dxa"/>
          </w:tblCellMar>
        </w:tblPrEx>
        <w:tc>
          <w:tcPr>
            <w:tcW w:w="846" w:type="dxa"/>
            <w:vMerge w:val="restart"/>
            <w:tcBorders>
              <w:top w:val="nil"/>
              <w:left w:val="single" w:color="auto" w:sz="4" w:space="0"/>
              <w:right w:val="single" w:color="auto" w:sz="4" w:space="0"/>
            </w:tcBorders>
            <w:vAlign w:val="center"/>
          </w:tcPr>
          <w:p w14:paraId="137390D8">
            <w:pPr>
              <w:widowControl/>
              <w:jc w:val="left"/>
              <w:rPr>
                <w:rFonts w:hint="eastAsia" w:ascii="宋体" w:hAnsi="宋体" w:cs="宋体"/>
                <w:color w:val="000000"/>
                <w:kern w:val="0"/>
                <w:sz w:val="24"/>
              </w:rPr>
            </w:pPr>
            <w:r>
              <w:rPr>
                <w:rFonts w:hint="eastAsia" w:ascii="宋体" w:hAnsi="宋体" w:cs="宋体"/>
                <w:color w:val="000000"/>
                <w:kern w:val="0"/>
                <w:sz w:val="24"/>
              </w:rPr>
              <w:t>数据质量管理</w:t>
            </w:r>
          </w:p>
        </w:tc>
        <w:tc>
          <w:tcPr>
            <w:tcW w:w="992" w:type="dxa"/>
            <w:tcBorders>
              <w:top w:val="nil"/>
              <w:left w:val="nil"/>
              <w:bottom w:val="single" w:color="auto" w:sz="4" w:space="0"/>
              <w:right w:val="single" w:color="auto" w:sz="4" w:space="0"/>
            </w:tcBorders>
            <w:shd w:val="clear" w:color="auto" w:fill="auto"/>
            <w:vAlign w:val="center"/>
          </w:tcPr>
          <w:p w14:paraId="77B45B86">
            <w:pPr>
              <w:widowControl/>
              <w:jc w:val="left"/>
              <w:rPr>
                <w:rFonts w:hint="eastAsia" w:ascii="宋体" w:hAnsi="宋体" w:cs="宋体"/>
                <w:color w:val="000000"/>
                <w:kern w:val="0"/>
                <w:sz w:val="24"/>
              </w:rPr>
            </w:pPr>
            <w:r>
              <w:rPr>
                <w:rFonts w:hint="eastAsia" w:ascii="宋体" w:hAnsi="宋体" w:cs="宋体"/>
                <w:color w:val="000000"/>
                <w:kern w:val="0"/>
                <w:sz w:val="24"/>
              </w:rPr>
              <w:t>标准化管理</w:t>
            </w:r>
          </w:p>
        </w:tc>
        <w:tc>
          <w:tcPr>
            <w:tcW w:w="7043" w:type="dxa"/>
            <w:tcBorders>
              <w:top w:val="nil"/>
              <w:left w:val="nil"/>
              <w:bottom w:val="single" w:color="auto" w:sz="4" w:space="0"/>
              <w:right w:val="single" w:color="auto" w:sz="4" w:space="0"/>
            </w:tcBorders>
            <w:shd w:val="clear" w:color="auto" w:fill="auto"/>
            <w:vAlign w:val="center"/>
          </w:tcPr>
          <w:p w14:paraId="7442A22B">
            <w:pPr>
              <w:widowControl/>
              <w:jc w:val="left"/>
              <w:rPr>
                <w:rFonts w:hint="eastAsia" w:ascii="宋体" w:hAnsi="宋体" w:cs="宋体"/>
                <w:color w:val="000000"/>
                <w:kern w:val="0"/>
                <w:sz w:val="24"/>
              </w:rPr>
            </w:pPr>
            <w:r>
              <w:rPr>
                <w:rFonts w:hint="eastAsia" w:ascii="宋体" w:hAnsi="宋体" w:cs="宋体"/>
                <w:color w:val="000000"/>
                <w:kern w:val="0"/>
                <w:sz w:val="24"/>
              </w:rPr>
              <w:t>1.数据项标准化</w:t>
            </w:r>
            <w:r>
              <w:rPr>
                <w:rFonts w:hint="eastAsia" w:ascii="宋体" w:hAnsi="宋体" w:cs="宋体"/>
                <w:color w:val="000000"/>
                <w:kern w:val="0"/>
                <w:sz w:val="24"/>
              </w:rPr>
              <w:br w:type="textWrapping"/>
            </w:r>
            <w:r>
              <w:rPr>
                <w:rFonts w:hint="eastAsia" w:ascii="宋体" w:hAnsi="宋体" w:cs="宋体"/>
                <w:color w:val="000000"/>
                <w:kern w:val="0"/>
                <w:sz w:val="24"/>
              </w:rPr>
              <w:t>在数据治理过程中数据项定义应遵循国家、行业等标准，主要包括：证件号码、性别、行政区划、民族、职称等。</w:t>
            </w:r>
            <w:r>
              <w:rPr>
                <w:rFonts w:hint="eastAsia" w:ascii="宋体" w:hAnsi="宋体" w:cs="宋体"/>
                <w:color w:val="000000"/>
                <w:kern w:val="0"/>
                <w:sz w:val="24"/>
              </w:rPr>
              <w:br w:type="textWrapping"/>
            </w:r>
            <w:r>
              <w:rPr>
                <w:rFonts w:hint="eastAsia" w:ascii="宋体" w:hAnsi="宋体" w:cs="宋体"/>
                <w:color w:val="000000"/>
                <w:kern w:val="0"/>
                <w:sz w:val="24"/>
              </w:rPr>
              <w:t>2.字典字段转换</w:t>
            </w:r>
            <w:r>
              <w:rPr>
                <w:rFonts w:hint="eastAsia" w:ascii="宋体" w:hAnsi="宋体" w:cs="宋体"/>
                <w:color w:val="000000"/>
                <w:kern w:val="0"/>
                <w:sz w:val="24"/>
              </w:rPr>
              <w:br w:type="textWrapping"/>
            </w:r>
            <w:r>
              <w:rPr>
                <w:rFonts w:hint="eastAsia" w:ascii="宋体" w:hAnsi="宋体" w:cs="宋体"/>
                <w:color w:val="000000"/>
                <w:kern w:val="0"/>
                <w:sz w:val="24"/>
              </w:rPr>
              <w:t>在数据治理过程中字典字段应按照教育厅行业标准字典代码进行转换，主要包括：证件类型代码、性别代码、民族代码等。</w:t>
            </w:r>
            <w:r>
              <w:rPr>
                <w:rFonts w:hint="eastAsia" w:ascii="宋体" w:hAnsi="宋体" w:cs="宋体"/>
                <w:color w:val="000000"/>
                <w:kern w:val="0"/>
                <w:sz w:val="24"/>
              </w:rPr>
              <w:br w:type="textWrapping"/>
            </w:r>
            <w:r>
              <w:rPr>
                <w:rFonts w:hint="eastAsia" w:ascii="宋体" w:hAnsi="宋体" w:cs="宋体"/>
                <w:color w:val="000000"/>
                <w:kern w:val="0"/>
                <w:sz w:val="24"/>
              </w:rPr>
              <w:t>3.格式内容清洗</w:t>
            </w:r>
            <w:r>
              <w:rPr>
                <w:rFonts w:hint="eastAsia" w:ascii="宋体" w:hAnsi="宋体" w:cs="宋体"/>
                <w:color w:val="000000"/>
                <w:kern w:val="0"/>
                <w:sz w:val="24"/>
              </w:rPr>
              <w:br w:type="textWrapping"/>
            </w:r>
            <w:r>
              <w:rPr>
                <w:rFonts w:hint="eastAsia" w:ascii="宋体" w:hAnsi="宋体" w:cs="宋体"/>
                <w:color w:val="000000"/>
                <w:kern w:val="0"/>
                <w:sz w:val="24"/>
              </w:rPr>
              <w:t>在数据治理过程中字典字段应按照原始库、主题库、专题库等规范进行格式内容清洗，主要内容有空值、换行符等特殊字符。</w:t>
            </w:r>
            <w:r>
              <w:rPr>
                <w:rFonts w:hint="eastAsia" w:ascii="宋体" w:hAnsi="宋体" w:cs="宋体"/>
                <w:color w:val="000000"/>
                <w:kern w:val="0"/>
                <w:sz w:val="24"/>
              </w:rPr>
              <w:br w:type="textWrapping"/>
            </w:r>
            <w:r>
              <w:rPr>
                <w:rFonts w:hint="eastAsia" w:ascii="宋体" w:hAnsi="宋体" w:cs="宋体"/>
                <w:color w:val="000000"/>
                <w:kern w:val="0"/>
                <w:sz w:val="24"/>
              </w:rPr>
              <w:t>4.时间字段标准化</w:t>
            </w:r>
            <w:r>
              <w:rPr>
                <w:rFonts w:hint="eastAsia" w:ascii="宋体" w:hAnsi="宋体" w:cs="宋体"/>
                <w:color w:val="000000"/>
                <w:kern w:val="0"/>
                <w:sz w:val="24"/>
              </w:rPr>
              <w:br w:type="textWrapping"/>
            </w:r>
            <w:r>
              <w:rPr>
                <w:rFonts w:hint="eastAsia" w:ascii="宋体" w:hAnsi="宋体" w:cs="宋体"/>
                <w:color w:val="000000"/>
                <w:kern w:val="0"/>
                <w:sz w:val="24"/>
              </w:rPr>
              <w:t>在数据治理过程中字典字段应按照行业标准时间格式进行转换，应满足MM-DD-YYYY、DD-MMM-YYYY、MM/DD/YYYY、 YYYY/MM/DD等格式转换为统一格式。</w:t>
            </w:r>
            <w:r>
              <w:rPr>
                <w:rFonts w:hint="eastAsia" w:ascii="宋体" w:hAnsi="宋体" w:cs="宋体"/>
                <w:color w:val="000000"/>
                <w:kern w:val="0"/>
                <w:sz w:val="24"/>
              </w:rPr>
              <w:br w:type="textWrapping"/>
            </w:r>
            <w:r>
              <w:rPr>
                <w:rFonts w:hint="eastAsia" w:ascii="宋体" w:hAnsi="宋体" w:cs="宋体"/>
                <w:color w:val="000000"/>
                <w:kern w:val="0"/>
                <w:sz w:val="24"/>
              </w:rPr>
              <w:t>5.半、非结构化数据处理</w:t>
            </w:r>
            <w:r>
              <w:rPr>
                <w:rFonts w:hint="eastAsia" w:ascii="宋体" w:hAnsi="宋体" w:cs="宋体"/>
                <w:color w:val="000000"/>
                <w:kern w:val="0"/>
                <w:sz w:val="24"/>
              </w:rPr>
              <w:br w:type="textWrapping"/>
            </w:r>
            <w:r>
              <w:rPr>
                <w:rFonts w:hint="eastAsia" w:ascii="宋体" w:hAnsi="宋体" w:cs="宋体"/>
                <w:color w:val="000000"/>
                <w:kern w:val="0"/>
                <w:sz w:val="24"/>
              </w:rPr>
              <w:t>应具备对半、非结构化数据处理能力，功能主要包括：</w:t>
            </w:r>
            <w:r>
              <w:rPr>
                <w:rFonts w:hint="eastAsia" w:ascii="宋体" w:hAnsi="宋体" w:cs="宋体"/>
                <w:color w:val="000000"/>
                <w:kern w:val="0"/>
                <w:sz w:val="24"/>
              </w:rPr>
              <w:br w:type="textWrapping"/>
            </w:r>
            <w:r>
              <w:rPr>
                <w:rFonts w:hint="eastAsia" w:ascii="宋体" w:hAnsi="宋体" w:cs="宋体"/>
                <w:color w:val="000000"/>
                <w:kern w:val="0"/>
                <w:sz w:val="24"/>
              </w:rPr>
              <w:t>1）半结构化数据处理：对于半结构化数据文件，如xml、json和html等文件，具备在原始库上建立对应的二维数据表。</w:t>
            </w:r>
            <w:r>
              <w:rPr>
                <w:rFonts w:hint="eastAsia" w:ascii="宋体" w:hAnsi="宋体" w:cs="宋体"/>
                <w:color w:val="000000"/>
                <w:kern w:val="0"/>
                <w:sz w:val="24"/>
              </w:rPr>
              <w:br w:type="textWrapping"/>
            </w:r>
            <w:r>
              <w:rPr>
                <w:rFonts w:hint="eastAsia" w:ascii="宋体" w:hAnsi="宋体" w:cs="宋体"/>
                <w:color w:val="000000"/>
                <w:kern w:val="0"/>
                <w:sz w:val="24"/>
              </w:rPr>
              <w:t>2）非结构化数据存储：具备非结构化数据文件存储，如图像、音频、视频信息等非结构化数据。</w:t>
            </w:r>
          </w:p>
        </w:tc>
      </w:tr>
      <w:tr w14:paraId="584366FF">
        <w:tblPrEx>
          <w:tblCellMar>
            <w:top w:w="0" w:type="dxa"/>
            <w:left w:w="108" w:type="dxa"/>
            <w:bottom w:w="0" w:type="dxa"/>
            <w:right w:w="108" w:type="dxa"/>
          </w:tblCellMar>
        </w:tblPrEx>
        <w:tc>
          <w:tcPr>
            <w:tcW w:w="846" w:type="dxa"/>
            <w:vMerge w:val="continue"/>
            <w:tcBorders>
              <w:left w:val="single" w:color="auto" w:sz="4" w:space="0"/>
              <w:right w:val="single" w:color="auto" w:sz="4" w:space="0"/>
            </w:tcBorders>
            <w:vAlign w:val="center"/>
          </w:tcPr>
          <w:p w14:paraId="2BE13F2B">
            <w:pPr>
              <w:widowControl/>
              <w:jc w:val="left"/>
              <w:rPr>
                <w:rFonts w:hint="eastAsia"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14:paraId="07265A05">
            <w:pPr>
              <w:widowControl/>
              <w:jc w:val="left"/>
              <w:rPr>
                <w:rFonts w:hint="eastAsia" w:ascii="宋体" w:hAnsi="宋体" w:cs="宋体"/>
                <w:color w:val="000000"/>
                <w:kern w:val="0"/>
                <w:sz w:val="24"/>
              </w:rPr>
            </w:pPr>
            <w:r>
              <w:rPr>
                <w:rFonts w:hint="eastAsia" w:ascii="宋体" w:hAnsi="宋体" w:cs="宋体"/>
                <w:color w:val="000000"/>
                <w:kern w:val="0"/>
                <w:sz w:val="24"/>
              </w:rPr>
              <w:t>准确性管理</w:t>
            </w:r>
          </w:p>
        </w:tc>
        <w:tc>
          <w:tcPr>
            <w:tcW w:w="7043" w:type="dxa"/>
            <w:tcBorders>
              <w:top w:val="nil"/>
              <w:left w:val="nil"/>
              <w:bottom w:val="single" w:color="auto" w:sz="4" w:space="0"/>
              <w:right w:val="single" w:color="auto" w:sz="4" w:space="0"/>
            </w:tcBorders>
            <w:shd w:val="clear" w:color="auto" w:fill="auto"/>
            <w:vAlign w:val="center"/>
          </w:tcPr>
          <w:p w14:paraId="6F152E44">
            <w:pPr>
              <w:widowControl/>
              <w:jc w:val="left"/>
              <w:rPr>
                <w:rFonts w:hint="eastAsia" w:ascii="宋体" w:hAnsi="宋体" w:cs="宋体"/>
                <w:color w:val="000000"/>
                <w:kern w:val="0"/>
                <w:sz w:val="24"/>
              </w:rPr>
            </w:pPr>
            <w:r>
              <w:rPr>
                <w:rFonts w:hint="eastAsia" w:ascii="宋体" w:hAnsi="宋体" w:cs="宋体"/>
                <w:color w:val="000000"/>
                <w:kern w:val="0"/>
                <w:sz w:val="24"/>
              </w:rPr>
              <w:t>1.实体准确性约束</w:t>
            </w:r>
            <w:r>
              <w:rPr>
                <w:rFonts w:hint="eastAsia" w:ascii="宋体" w:hAnsi="宋体" w:cs="宋体"/>
                <w:color w:val="000000"/>
                <w:kern w:val="0"/>
                <w:sz w:val="24"/>
              </w:rPr>
              <w:br w:type="textWrapping"/>
            </w:r>
            <w:r>
              <w:rPr>
                <w:rFonts w:hint="eastAsia" w:ascii="宋体" w:hAnsi="宋体" w:cs="宋体"/>
                <w:color w:val="000000"/>
                <w:kern w:val="0"/>
                <w:sz w:val="24"/>
              </w:rPr>
              <w:t>描述数据信息与客观实体一致，如数据所描述的学生学籍信息与其实际情况完全相符。</w:t>
            </w:r>
            <w:r>
              <w:rPr>
                <w:rFonts w:hint="eastAsia" w:ascii="宋体" w:hAnsi="宋体" w:cs="宋体"/>
                <w:color w:val="000000"/>
                <w:kern w:val="0"/>
                <w:sz w:val="24"/>
              </w:rPr>
              <w:br w:type="textWrapping"/>
            </w:r>
            <w:r>
              <w:rPr>
                <w:rFonts w:hint="eastAsia" w:ascii="宋体" w:hAnsi="宋体" w:cs="宋体"/>
                <w:color w:val="000000"/>
                <w:kern w:val="0"/>
                <w:sz w:val="24"/>
              </w:rPr>
              <w:t>2.数据倾斜的合理性约束</w:t>
            </w:r>
            <w:r>
              <w:rPr>
                <w:rFonts w:hint="eastAsia" w:ascii="宋体" w:hAnsi="宋体" w:cs="宋体"/>
                <w:color w:val="000000"/>
                <w:kern w:val="0"/>
                <w:sz w:val="24"/>
              </w:rPr>
              <w:br w:type="textWrapping"/>
            </w:r>
            <w:r>
              <w:rPr>
                <w:rFonts w:hint="eastAsia" w:ascii="宋体" w:hAnsi="宋体" w:cs="宋体"/>
                <w:color w:val="000000"/>
                <w:kern w:val="0"/>
                <w:sz w:val="24"/>
              </w:rPr>
              <w:t>描述字段的取值分布主要集中在某个特定类别或者特定区间的逻辑合理性，如某区幼儿园评级记录均为一级，则可能与实际不符。</w:t>
            </w:r>
            <w:r>
              <w:rPr>
                <w:rFonts w:hint="eastAsia" w:ascii="宋体" w:hAnsi="宋体" w:cs="宋体"/>
                <w:color w:val="000000"/>
                <w:kern w:val="0"/>
                <w:sz w:val="24"/>
              </w:rPr>
              <w:br w:type="textWrapping"/>
            </w:r>
            <w:r>
              <w:rPr>
                <w:rFonts w:hint="eastAsia" w:ascii="宋体" w:hAnsi="宋体" w:cs="宋体"/>
                <w:color w:val="000000"/>
                <w:kern w:val="0"/>
                <w:sz w:val="24"/>
              </w:rPr>
              <w:t>3.长度约束</w:t>
            </w:r>
            <w:r>
              <w:rPr>
                <w:rFonts w:hint="eastAsia" w:ascii="宋体" w:hAnsi="宋体" w:cs="宋体"/>
                <w:color w:val="000000"/>
                <w:kern w:val="0"/>
                <w:sz w:val="24"/>
              </w:rPr>
              <w:br w:type="textWrapping"/>
            </w:r>
            <w:r>
              <w:rPr>
                <w:rFonts w:hint="eastAsia" w:ascii="宋体" w:hAnsi="宋体" w:cs="宋体"/>
                <w:color w:val="000000"/>
                <w:kern w:val="0"/>
                <w:sz w:val="24"/>
              </w:rPr>
              <w:t>描述检核对象的长度是否满足长度约束，如身份证位数18位。</w:t>
            </w:r>
            <w:r>
              <w:rPr>
                <w:rFonts w:hint="eastAsia" w:ascii="宋体" w:hAnsi="宋体" w:cs="宋体"/>
                <w:color w:val="000000"/>
                <w:kern w:val="0"/>
                <w:sz w:val="24"/>
              </w:rPr>
              <w:br w:type="textWrapping"/>
            </w:r>
            <w:r>
              <w:rPr>
                <w:rFonts w:hint="eastAsia" w:ascii="宋体" w:hAnsi="宋体" w:cs="宋体"/>
                <w:color w:val="000000"/>
                <w:kern w:val="0"/>
                <w:sz w:val="24"/>
              </w:rPr>
              <w:t>4.取值范围约束（离散型）</w:t>
            </w:r>
            <w:r>
              <w:rPr>
                <w:rFonts w:hint="eastAsia" w:ascii="宋体" w:hAnsi="宋体" w:cs="宋体"/>
                <w:color w:val="000000"/>
                <w:kern w:val="0"/>
                <w:sz w:val="24"/>
              </w:rPr>
              <w:br w:type="textWrapping"/>
            </w:r>
            <w:r>
              <w:rPr>
                <w:rFonts w:hint="eastAsia" w:ascii="宋体" w:hAnsi="宋体" w:cs="宋体"/>
                <w:color w:val="000000"/>
                <w:kern w:val="0"/>
                <w:sz w:val="24"/>
              </w:rPr>
              <w:t>描述检核对象的值是否满足取值约束，如性别码只能取1（男性），2（女性）。</w:t>
            </w:r>
            <w:r>
              <w:rPr>
                <w:rFonts w:hint="eastAsia" w:ascii="宋体" w:hAnsi="宋体" w:cs="宋体"/>
                <w:color w:val="000000"/>
                <w:kern w:val="0"/>
                <w:sz w:val="24"/>
              </w:rPr>
              <w:br w:type="textWrapping"/>
            </w:r>
            <w:r>
              <w:rPr>
                <w:rFonts w:hint="eastAsia" w:ascii="宋体" w:hAnsi="宋体" w:cs="宋体"/>
                <w:color w:val="000000"/>
                <w:kern w:val="0"/>
                <w:sz w:val="24"/>
              </w:rPr>
              <w:t>5.取值范围约束（连续型）</w:t>
            </w:r>
            <w:r>
              <w:rPr>
                <w:rFonts w:hint="eastAsia" w:ascii="宋体" w:hAnsi="宋体" w:cs="宋体"/>
                <w:color w:val="000000"/>
                <w:kern w:val="0"/>
                <w:sz w:val="24"/>
              </w:rPr>
              <w:br w:type="textWrapping"/>
            </w:r>
            <w:r>
              <w:rPr>
                <w:rFonts w:hint="eastAsia" w:ascii="宋体" w:hAnsi="宋体" w:cs="宋体"/>
                <w:color w:val="000000"/>
                <w:kern w:val="0"/>
                <w:sz w:val="24"/>
              </w:rPr>
              <w:t>描述检核对象的取值是否在预定义的范围内，如身份证只能包含0-9的数字或X。</w:t>
            </w:r>
            <w:r>
              <w:rPr>
                <w:rFonts w:hint="eastAsia" w:ascii="宋体" w:hAnsi="宋体" w:cs="宋体"/>
                <w:color w:val="000000"/>
                <w:kern w:val="0"/>
                <w:sz w:val="24"/>
              </w:rPr>
              <w:br w:type="textWrapping"/>
            </w:r>
            <w:r>
              <w:rPr>
                <w:rFonts w:hint="eastAsia" w:ascii="宋体" w:hAnsi="宋体" w:cs="宋体"/>
                <w:color w:val="000000"/>
                <w:kern w:val="0"/>
                <w:sz w:val="24"/>
              </w:rPr>
              <w:t>6.数据类型约束</w:t>
            </w:r>
            <w:r>
              <w:rPr>
                <w:rFonts w:hint="eastAsia" w:ascii="宋体" w:hAnsi="宋体" w:cs="宋体"/>
                <w:color w:val="000000"/>
                <w:kern w:val="0"/>
                <w:sz w:val="24"/>
              </w:rPr>
              <w:br w:type="textWrapping"/>
            </w:r>
            <w:r>
              <w:rPr>
                <w:rFonts w:hint="eastAsia" w:ascii="宋体" w:hAnsi="宋体" w:cs="宋体"/>
                <w:color w:val="000000"/>
                <w:kern w:val="0"/>
                <w:sz w:val="24"/>
              </w:rPr>
              <w:t>描述检核对象的数据类型是否正确，如学生的出生年月应当为日期型数据类</w:t>
            </w:r>
            <w:r>
              <w:rPr>
                <w:rFonts w:hint="eastAsia" w:ascii="宋体" w:hAnsi="宋体" w:cs="宋体"/>
                <w:color w:val="000000"/>
                <w:kern w:val="0"/>
                <w:sz w:val="24"/>
              </w:rPr>
              <w:br w:type="textWrapping"/>
            </w:r>
            <w:r>
              <w:rPr>
                <w:rFonts w:hint="eastAsia" w:ascii="宋体" w:hAnsi="宋体" w:cs="宋体"/>
                <w:color w:val="000000"/>
                <w:kern w:val="0"/>
                <w:sz w:val="24"/>
              </w:rPr>
              <w:t>型。</w:t>
            </w:r>
            <w:r>
              <w:rPr>
                <w:rFonts w:hint="eastAsia" w:ascii="宋体" w:hAnsi="宋体" w:cs="宋体"/>
                <w:color w:val="000000"/>
                <w:kern w:val="0"/>
                <w:sz w:val="24"/>
              </w:rPr>
              <w:br w:type="textWrapping"/>
            </w:r>
            <w:r>
              <w:rPr>
                <w:rFonts w:hint="eastAsia" w:ascii="宋体" w:hAnsi="宋体" w:cs="宋体"/>
                <w:color w:val="000000"/>
                <w:kern w:val="0"/>
                <w:sz w:val="24"/>
              </w:rPr>
              <w:t>7.数据精度约束</w:t>
            </w:r>
            <w:r>
              <w:rPr>
                <w:rFonts w:hint="eastAsia" w:ascii="宋体" w:hAnsi="宋体" w:cs="宋体"/>
                <w:color w:val="000000"/>
                <w:kern w:val="0"/>
                <w:sz w:val="24"/>
              </w:rPr>
              <w:br w:type="textWrapping"/>
            </w:r>
            <w:r>
              <w:rPr>
                <w:rFonts w:hint="eastAsia" w:ascii="宋体" w:hAnsi="宋体" w:cs="宋体"/>
                <w:color w:val="000000"/>
                <w:kern w:val="0"/>
                <w:sz w:val="24"/>
              </w:rPr>
              <w:t>描述检核对象属性值与精度要求(小数点位数等)的符合程度，如学生单科成绩一般为整数，无小数点。</w:t>
            </w:r>
            <w:r>
              <w:rPr>
                <w:rFonts w:hint="eastAsia" w:ascii="宋体" w:hAnsi="宋体" w:cs="宋体"/>
                <w:color w:val="000000"/>
                <w:kern w:val="0"/>
                <w:sz w:val="24"/>
              </w:rPr>
              <w:br w:type="textWrapping"/>
            </w:r>
            <w:r>
              <w:rPr>
                <w:rFonts w:hint="eastAsia" w:ascii="宋体" w:hAnsi="宋体" w:cs="宋体"/>
                <w:color w:val="000000"/>
                <w:kern w:val="0"/>
                <w:sz w:val="24"/>
              </w:rPr>
              <w:t>8.来源约束</w:t>
            </w:r>
            <w:r>
              <w:rPr>
                <w:rFonts w:hint="eastAsia" w:ascii="宋体" w:hAnsi="宋体" w:cs="宋体"/>
                <w:color w:val="000000"/>
                <w:kern w:val="0"/>
                <w:sz w:val="24"/>
              </w:rPr>
              <w:br w:type="textWrapping"/>
            </w:r>
            <w:r>
              <w:rPr>
                <w:rFonts w:hint="eastAsia" w:ascii="宋体" w:hAnsi="宋体" w:cs="宋体"/>
                <w:color w:val="000000"/>
                <w:kern w:val="0"/>
                <w:sz w:val="24"/>
              </w:rPr>
              <w:t>描述数据由有资质组织提供的程度，如“一数一源”原则。</w:t>
            </w:r>
          </w:p>
        </w:tc>
      </w:tr>
      <w:tr w14:paraId="0279C0CE">
        <w:tblPrEx>
          <w:tblCellMar>
            <w:top w:w="0" w:type="dxa"/>
            <w:left w:w="108" w:type="dxa"/>
            <w:bottom w:w="0" w:type="dxa"/>
            <w:right w:w="108" w:type="dxa"/>
          </w:tblCellMar>
        </w:tblPrEx>
        <w:tc>
          <w:tcPr>
            <w:tcW w:w="846" w:type="dxa"/>
            <w:vMerge w:val="continue"/>
            <w:tcBorders>
              <w:left w:val="single" w:color="auto" w:sz="4" w:space="0"/>
              <w:right w:val="single" w:color="auto" w:sz="4" w:space="0"/>
            </w:tcBorders>
            <w:vAlign w:val="center"/>
          </w:tcPr>
          <w:p w14:paraId="6DCD69F3">
            <w:pPr>
              <w:widowControl/>
              <w:jc w:val="left"/>
              <w:rPr>
                <w:rFonts w:hint="eastAsia"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14:paraId="46E8D00A">
            <w:pPr>
              <w:widowControl/>
              <w:jc w:val="left"/>
              <w:rPr>
                <w:rFonts w:hint="eastAsia" w:ascii="宋体" w:hAnsi="宋体" w:cs="宋体"/>
                <w:color w:val="000000"/>
                <w:kern w:val="0"/>
                <w:sz w:val="24"/>
              </w:rPr>
            </w:pPr>
            <w:r>
              <w:rPr>
                <w:rFonts w:hint="eastAsia" w:ascii="宋体" w:hAnsi="宋体" w:cs="宋体"/>
                <w:color w:val="000000"/>
                <w:kern w:val="0"/>
                <w:sz w:val="24"/>
              </w:rPr>
              <w:t>完整性管理</w:t>
            </w:r>
          </w:p>
        </w:tc>
        <w:tc>
          <w:tcPr>
            <w:tcW w:w="7043" w:type="dxa"/>
            <w:tcBorders>
              <w:top w:val="nil"/>
              <w:left w:val="nil"/>
              <w:bottom w:val="single" w:color="auto" w:sz="4" w:space="0"/>
              <w:right w:val="single" w:color="auto" w:sz="4" w:space="0"/>
            </w:tcBorders>
            <w:shd w:val="clear" w:color="auto" w:fill="auto"/>
            <w:vAlign w:val="center"/>
          </w:tcPr>
          <w:p w14:paraId="5DC2A791">
            <w:pPr>
              <w:widowControl/>
              <w:jc w:val="left"/>
              <w:rPr>
                <w:rFonts w:hint="eastAsia" w:ascii="宋体" w:hAnsi="宋体" w:cs="宋体"/>
                <w:color w:val="000000"/>
                <w:kern w:val="0"/>
                <w:sz w:val="24"/>
              </w:rPr>
            </w:pPr>
            <w:r>
              <w:rPr>
                <w:rFonts w:hint="eastAsia" w:ascii="宋体" w:hAnsi="宋体" w:cs="宋体"/>
                <w:color w:val="000000"/>
                <w:kern w:val="0"/>
                <w:sz w:val="24"/>
              </w:rPr>
              <w:t>1.非空约束</w:t>
            </w:r>
            <w:r>
              <w:rPr>
                <w:rFonts w:hint="eastAsia" w:ascii="宋体" w:hAnsi="宋体" w:cs="宋体"/>
                <w:color w:val="000000"/>
                <w:kern w:val="0"/>
                <w:sz w:val="24"/>
              </w:rPr>
              <w:br w:type="textWrapping"/>
            </w:r>
            <w:r>
              <w:rPr>
                <w:rFonts w:hint="eastAsia" w:ascii="宋体" w:hAnsi="宋体" w:cs="宋体"/>
                <w:color w:val="000000"/>
                <w:kern w:val="0"/>
                <w:sz w:val="24"/>
              </w:rPr>
              <w:t>描述是否存在该检核对象信息、描述检核对象是否存在空的情况。</w:t>
            </w:r>
            <w:r>
              <w:rPr>
                <w:rFonts w:hint="eastAsia" w:ascii="宋体" w:hAnsi="宋体" w:cs="宋体"/>
                <w:color w:val="000000"/>
                <w:kern w:val="0"/>
                <w:sz w:val="24"/>
              </w:rPr>
              <w:br w:type="textWrapping"/>
            </w:r>
            <w:r>
              <w:rPr>
                <w:rFonts w:hint="eastAsia" w:ascii="宋体" w:hAnsi="宋体" w:cs="宋体"/>
                <w:color w:val="000000"/>
                <w:kern w:val="0"/>
                <w:sz w:val="24"/>
              </w:rPr>
              <w:t>2.非缺省值约束</w:t>
            </w:r>
            <w:r>
              <w:rPr>
                <w:rFonts w:hint="eastAsia" w:ascii="宋体" w:hAnsi="宋体" w:cs="宋体"/>
                <w:color w:val="000000"/>
                <w:kern w:val="0"/>
                <w:sz w:val="24"/>
              </w:rPr>
              <w:br w:type="textWrapping"/>
            </w:r>
            <w:r>
              <w:rPr>
                <w:rFonts w:hint="eastAsia" w:ascii="宋体" w:hAnsi="宋体" w:cs="宋体"/>
                <w:color w:val="000000"/>
                <w:kern w:val="0"/>
                <w:sz w:val="24"/>
              </w:rPr>
              <w:t>描述检核对象是否取缺省值的情况，如日期类的空值赋值为9999，那么取值为9999的数据信息是不完整的。</w:t>
            </w:r>
            <w:r>
              <w:rPr>
                <w:rFonts w:hint="eastAsia" w:ascii="宋体" w:hAnsi="宋体" w:cs="宋体"/>
                <w:color w:val="000000"/>
                <w:kern w:val="0"/>
                <w:sz w:val="24"/>
              </w:rPr>
              <w:br w:type="textWrapping"/>
            </w:r>
            <w:r>
              <w:rPr>
                <w:rFonts w:hint="eastAsia" w:ascii="宋体" w:hAnsi="宋体" w:cs="宋体"/>
                <w:color w:val="000000"/>
                <w:kern w:val="0"/>
                <w:sz w:val="24"/>
              </w:rPr>
              <w:t>3.数据规模的合理性约束</w:t>
            </w:r>
            <w:r>
              <w:rPr>
                <w:rFonts w:hint="eastAsia" w:ascii="宋体" w:hAnsi="宋体" w:cs="宋体"/>
                <w:color w:val="000000"/>
                <w:kern w:val="0"/>
                <w:sz w:val="24"/>
              </w:rPr>
              <w:br w:type="textWrapping"/>
            </w:r>
            <w:r>
              <w:rPr>
                <w:rFonts w:hint="eastAsia" w:ascii="宋体" w:hAnsi="宋体" w:cs="宋体"/>
                <w:color w:val="000000"/>
                <w:kern w:val="0"/>
                <w:sz w:val="24"/>
              </w:rPr>
              <w:t>描述是否存在数据记录缺失的情况。如一个班级只有几个学生，那么很可能记录缺失。</w:t>
            </w:r>
          </w:p>
        </w:tc>
      </w:tr>
      <w:tr w14:paraId="36794659">
        <w:tblPrEx>
          <w:tblCellMar>
            <w:top w:w="0" w:type="dxa"/>
            <w:left w:w="108" w:type="dxa"/>
            <w:bottom w:w="0" w:type="dxa"/>
            <w:right w:w="108" w:type="dxa"/>
          </w:tblCellMar>
        </w:tblPrEx>
        <w:tc>
          <w:tcPr>
            <w:tcW w:w="846" w:type="dxa"/>
            <w:vMerge w:val="continue"/>
            <w:tcBorders>
              <w:left w:val="single" w:color="auto" w:sz="4" w:space="0"/>
              <w:right w:val="single" w:color="auto" w:sz="4" w:space="0"/>
            </w:tcBorders>
            <w:vAlign w:val="center"/>
          </w:tcPr>
          <w:p w14:paraId="084350F5">
            <w:pPr>
              <w:widowControl/>
              <w:jc w:val="left"/>
              <w:rPr>
                <w:rFonts w:hint="eastAsia"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14:paraId="6C0C4243">
            <w:pPr>
              <w:widowControl/>
              <w:jc w:val="left"/>
              <w:rPr>
                <w:rFonts w:hint="eastAsia" w:ascii="宋体" w:hAnsi="宋体" w:cs="宋体"/>
                <w:color w:val="000000"/>
                <w:kern w:val="0"/>
                <w:sz w:val="24"/>
              </w:rPr>
            </w:pPr>
            <w:r>
              <w:rPr>
                <w:rFonts w:hint="eastAsia" w:ascii="宋体" w:hAnsi="宋体" w:cs="宋体"/>
                <w:color w:val="000000"/>
                <w:kern w:val="0"/>
                <w:sz w:val="24"/>
              </w:rPr>
              <w:t>及时性管理</w:t>
            </w:r>
          </w:p>
        </w:tc>
        <w:tc>
          <w:tcPr>
            <w:tcW w:w="7043" w:type="dxa"/>
            <w:tcBorders>
              <w:top w:val="nil"/>
              <w:left w:val="nil"/>
              <w:bottom w:val="single" w:color="auto" w:sz="4" w:space="0"/>
              <w:right w:val="single" w:color="auto" w:sz="4" w:space="0"/>
            </w:tcBorders>
            <w:shd w:val="clear" w:color="auto" w:fill="auto"/>
            <w:vAlign w:val="center"/>
          </w:tcPr>
          <w:p w14:paraId="2359C554">
            <w:pPr>
              <w:widowControl/>
              <w:jc w:val="left"/>
              <w:rPr>
                <w:rFonts w:hint="eastAsia" w:ascii="宋体" w:hAnsi="宋体" w:cs="宋体"/>
                <w:color w:val="000000"/>
                <w:kern w:val="0"/>
                <w:sz w:val="24"/>
              </w:rPr>
            </w:pPr>
            <w:r>
              <w:rPr>
                <w:rFonts w:hint="eastAsia" w:ascii="宋体" w:hAnsi="宋体" w:cs="宋体"/>
                <w:color w:val="000000"/>
                <w:kern w:val="0"/>
                <w:sz w:val="24"/>
              </w:rPr>
              <w:t>1.更新频率约束</w:t>
            </w:r>
            <w:r>
              <w:rPr>
                <w:rFonts w:hint="eastAsia" w:ascii="宋体" w:hAnsi="宋体" w:cs="宋体"/>
                <w:color w:val="000000"/>
                <w:kern w:val="0"/>
                <w:sz w:val="24"/>
              </w:rPr>
              <w:br w:type="textWrapping"/>
            </w:r>
            <w:r>
              <w:rPr>
                <w:rFonts w:hint="eastAsia" w:ascii="宋体" w:hAnsi="宋体" w:cs="宋体"/>
                <w:color w:val="000000"/>
                <w:kern w:val="0"/>
                <w:sz w:val="24"/>
              </w:rPr>
              <w:t>描述数据按所需频率被更新的程度，如从学生信息采集到可以查看学生信息的时间差不得大于某一临界值。</w:t>
            </w:r>
            <w:r>
              <w:rPr>
                <w:rFonts w:hint="eastAsia" w:ascii="宋体" w:hAnsi="宋体" w:cs="宋体"/>
                <w:color w:val="000000"/>
                <w:kern w:val="0"/>
                <w:sz w:val="24"/>
              </w:rPr>
              <w:br w:type="textWrapping"/>
            </w:r>
            <w:r>
              <w:rPr>
                <w:rFonts w:hint="eastAsia" w:ascii="宋体" w:hAnsi="宋体" w:cs="宋体"/>
                <w:color w:val="000000"/>
                <w:kern w:val="0"/>
                <w:sz w:val="24"/>
              </w:rPr>
              <w:t>2.时序约束</w:t>
            </w:r>
            <w:r>
              <w:rPr>
                <w:rFonts w:hint="eastAsia" w:ascii="宋体" w:hAnsi="宋体" w:cs="宋体"/>
                <w:color w:val="000000"/>
                <w:kern w:val="0"/>
                <w:sz w:val="24"/>
              </w:rPr>
              <w:br w:type="textWrapping"/>
            </w:r>
            <w:r>
              <w:rPr>
                <w:rFonts w:hint="eastAsia" w:ascii="宋体" w:hAnsi="宋体" w:cs="宋体"/>
                <w:color w:val="000000"/>
                <w:kern w:val="0"/>
                <w:sz w:val="24"/>
              </w:rPr>
              <w:t>描述数据集中同一实体的数据元素之间的相对时序关系。</w:t>
            </w:r>
          </w:p>
        </w:tc>
      </w:tr>
      <w:tr w14:paraId="7E0F219A">
        <w:tblPrEx>
          <w:tblCellMar>
            <w:top w:w="0" w:type="dxa"/>
            <w:left w:w="108" w:type="dxa"/>
            <w:bottom w:w="0" w:type="dxa"/>
            <w:right w:w="108" w:type="dxa"/>
          </w:tblCellMar>
        </w:tblPrEx>
        <w:tc>
          <w:tcPr>
            <w:tcW w:w="846" w:type="dxa"/>
            <w:vMerge w:val="continue"/>
            <w:tcBorders>
              <w:left w:val="single" w:color="auto" w:sz="4" w:space="0"/>
              <w:right w:val="single" w:color="auto" w:sz="4" w:space="0"/>
            </w:tcBorders>
            <w:vAlign w:val="center"/>
          </w:tcPr>
          <w:p w14:paraId="6DC2E15A">
            <w:pPr>
              <w:widowControl/>
              <w:jc w:val="left"/>
              <w:rPr>
                <w:rFonts w:hint="eastAsia"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14:paraId="19F8AC91">
            <w:pPr>
              <w:widowControl/>
              <w:jc w:val="left"/>
              <w:rPr>
                <w:rFonts w:hint="eastAsia" w:ascii="宋体" w:hAnsi="宋体" w:cs="宋体"/>
                <w:color w:val="000000"/>
                <w:kern w:val="0"/>
                <w:sz w:val="24"/>
              </w:rPr>
            </w:pPr>
            <w:r>
              <w:rPr>
                <w:rFonts w:hint="eastAsia" w:ascii="宋体" w:hAnsi="宋体" w:cs="宋体"/>
                <w:color w:val="000000"/>
                <w:kern w:val="0"/>
                <w:sz w:val="24"/>
              </w:rPr>
              <w:t>一致性管理</w:t>
            </w:r>
          </w:p>
        </w:tc>
        <w:tc>
          <w:tcPr>
            <w:tcW w:w="7043" w:type="dxa"/>
            <w:tcBorders>
              <w:top w:val="nil"/>
              <w:left w:val="nil"/>
              <w:bottom w:val="single" w:color="auto" w:sz="4" w:space="0"/>
              <w:right w:val="single" w:color="auto" w:sz="4" w:space="0"/>
            </w:tcBorders>
            <w:shd w:val="clear" w:color="auto" w:fill="auto"/>
            <w:vAlign w:val="center"/>
          </w:tcPr>
          <w:p w14:paraId="662DDAB4">
            <w:pPr>
              <w:widowControl/>
              <w:jc w:val="left"/>
              <w:rPr>
                <w:rFonts w:hint="eastAsia" w:ascii="宋体" w:hAnsi="宋体" w:cs="宋体"/>
                <w:color w:val="000000"/>
                <w:kern w:val="0"/>
                <w:sz w:val="24"/>
              </w:rPr>
            </w:pPr>
            <w:r>
              <w:rPr>
                <w:rFonts w:hint="eastAsia" w:ascii="宋体" w:hAnsi="宋体" w:cs="宋体"/>
                <w:color w:val="000000"/>
                <w:kern w:val="0"/>
                <w:sz w:val="24"/>
              </w:rPr>
              <w:t>1.存在一致性约束</w:t>
            </w:r>
            <w:r>
              <w:rPr>
                <w:rFonts w:hint="eastAsia" w:ascii="宋体" w:hAnsi="宋体" w:cs="宋体"/>
                <w:color w:val="000000"/>
                <w:kern w:val="0"/>
                <w:sz w:val="24"/>
              </w:rPr>
              <w:br w:type="textWrapping"/>
            </w:r>
            <w:r>
              <w:rPr>
                <w:rFonts w:hint="eastAsia" w:ascii="宋体" w:hAnsi="宋体" w:cs="宋体"/>
                <w:color w:val="000000"/>
                <w:kern w:val="0"/>
                <w:sz w:val="24"/>
              </w:rPr>
              <w:t>描述同一实体或者属性值在关联数据集中是否一致，如同一学生在不同数据集中性别应当一致。</w:t>
            </w:r>
            <w:r>
              <w:rPr>
                <w:rFonts w:hint="eastAsia" w:ascii="宋体" w:hAnsi="宋体" w:cs="宋体"/>
                <w:color w:val="000000"/>
                <w:kern w:val="0"/>
                <w:sz w:val="24"/>
              </w:rPr>
              <w:br w:type="textWrapping"/>
            </w:r>
            <w:r>
              <w:rPr>
                <w:rFonts w:hint="eastAsia" w:ascii="宋体" w:hAnsi="宋体" w:cs="宋体"/>
                <w:color w:val="000000"/>
                <w:kern w:val="0"/>
                <w:sz w:val="24"/>
              </w:rPr>
              <w:t>2.逻辑一致性约束</w:t>
            </w:r>
            <w:r>
              <w:rPr>
                <w:rFonts w:hint="eastAsia" w:ascii="宋体" w:hAnsi="宋体" w:cs="宋体"/>
                <w:color w:val="000000"/>
                <w:kern w:val="0"/>
                <w:sz w:val="24"/>
              </w:rPr>
              <w:br w:type="textWrapping"/>
            </w:r>
            <w:r>
              <w:rPr>
                <w:rFonts w:hint="eastAsia" w:ascii="宋体" w:hAnsi="宋体" w:cs="宋体"/>
                <w:color w:val="000000"/>
                <w:kern w:val="0"/>
                <w:sz w:val="24"/>
              </w:rPr>
              <w:t>描述同一实体在关联数据集中逻辑关系是否一致，如第一名的总分应当大于等于第二名的总分。</w:t>
            </w:r>
            <w:r>
              <w:rPr>
                <w:rFonts w:hint="eastAsia" w:ascii="宋体" w:hAnsi="宋体" w:cs="宋体"/>
                <w:color w:val="000000"/>
                <w:kern w:val="0"/>
                <w:sz w:val="24"/>
              </w:rPr>
              <w:br w:type="textWrapping"/>
            </w:r>
            <w:r>
              <w:rPr>
                <w:rFonts w:hint="eastAsia" w:ascii="宋体" w:hAnsi="宋体" w:cs="宋体"/>
                <w:color w:val="000000"/>
                <w:kern w:val="0"/>
                <w:sz w:val="24"/>
              </w:rPr>
              <w:t>3.等值一致性约束</w:t>
            </w:r>
            <w:r>
              <w:rPr>
                <w:rFonts w:hint="eastAsia" w:ascii="宋体" w:hAnsi="宋体" w:cs="宋体"/>
                <w:color w:val="000000"/>
                <w:kern w:val="0"/>
                <w:sz w:val="24"/>
              </w:rPr>
              <w:br w:type="textWrapping"/>
            </w:r>
            <w:r>
              <w:rPr>
                <w:rFonts w:hint="eastAsia" w:ascii="宋体" w:hAnsi="宋体" w:cs="宋体"/>
                <w:color w:val="000000"/>
                <w:kern w:val="0"/>
                <w:sz w:val="24"/>
              </w:rPr>
              <w:t>描述某一属性值与一个或多个属性值在通过函数或计算公式计算得出的结果是否一致，如单个学生总分应当等于各科成绩合计。</w:t>
            </w:r>
            <w:r>
              <w:rPr>
                <w:rFonts w:hint="eastAsia" w:ascii="宋体" w:hAnsi="宋体" w:cs="宋体"/>
                <w:color w:val="000000"/>
                <w:kern w:val="0"/>
                <w:sz w:val="24"/>
              </w:rPr>
              <w:br w:type="textWrapping"/>
            </w:r>
            <w:r>
              <w:rPr>
                <w:rFonts w:hint="eastAsia" w:ascii="宋体" w:hAnsi="宋体" w:cs="宋体"/>
                <w:color w:val="000000"/>
                <w:kern w:val="0"/>
                <w:sz w:val="24"/>
              </w:rPr>
              <w:t>4.变更一致性约束</w:t>
            </w:r>
            <w:r>
              <w:rPr>
                <w:rFonts w:hint="eastAsia" w:ascii="宋体" w:hAnsi="宋体" w:cs="宋体"/>
                <w:color w:val="000000"/>
                <w:kern w:val="0"/>
                <w:sz w:val="24"/>
              </w:rPr>
              <w:br w:type="textWrapping"/>
            </w:r>
            <w:r>
              <w:rPr>
                <w:rFonts w:hint="eastAsia" w:ascii="宋体" w:hAnsi="宋体" w:cs="宋体"/>
                <w:color w:val="000000"/>
                <w:kern w:val="0"/>
                <w:sz w:val="24"/>
              </w:rPr>
              <w:t>描述某一属性值发生变更时，相关属性值的变化情况，如单科成绩变更时，相应的平均分及总分应当随之改变。</w:t>
            </w:r>
            <w:r>
              <w:rPr>
                <w:rFonts w:hint="eastAsia" w:ascii="宋体" w:hAnsi="宋体" w:cs="宋体"/>
                <w:color w:val="000000"/>
                <w:kern w:val="0"/>
                <w:sz w:val="24"/>
              </w:rPr>
              <w:br w:type="textWrapping"/>
            </w:r>
            <w:r>
              <w:rPr>
                <w:rFonts w:hint="eastAsia" w:ascii="宋体" w:hAnsi="宋体" w:cs="宋体"/>
                <w:color w:val="000000"/>
                <w:kern w:val="0"/>
                <w:sz w:val="24"/>
              </w:rPr>
              <w:t>5.代码一致性约束</w:t>
            </w:r>
            <w:r>
              <w:rPr>
                <w:rFonts w:hint="eastAsia" w:ascii="宋体" w:hAnsi="宋体" w:cs="宋体"/>
                <w:color w:val="000000"/>
                <w:kern w:val="0"/>
                <w:sz w:val="24"/>
              </w:rPr>
              <w:br w:type="textWrapping"/>
            </w:r>
            <w:r>
              <w:rPr>
                <w:rFonts w:hint="eastAsia" w:ascii="宋体" w:hAnsi="宋体" w:cs="宋体"/>
                <w:color w:val="000000"/>
                <w:kern w:val="0"/>
                <w:sz w:val="24"/>
              </w:rPr>
              <w:t>描述检核对象的代码值是否在对应的代码表内，如身份证件类型的值域为GB/T1 129808—2013中7.100。</w:t>
            </w:r>
          </w:p>
        </w:tc>
      </w:tr>
      <w:tr w14:paraId="69B7924A">
        <w:tblPrEx>
          <w:tblCellMar>
            <w:top w:w="0" w:type="dxa"/>
            <w:left w:w="108" w:type="dxa"/>
            <w:bottom w:w="0" w:type="dxa"/>
            <w:right w:w="108" w:type="dxa"/>
          </w:tblCellMar>
        </w:tblPrEx>
        <w:tc>
          <w:tcPr>
            <w:tcW w:w="846" w:type="dxa"/>
            <w:vMerge w:val="continue"/>
            <w:tcBorders>
              <w:left w:val="single" w:color="auto" w:sz="4" w:space="0"/>
              <w:bottom w:val="single" w:color="auto" w:sz="4" w:space="0"/>
              <w:right w:val="single" w:color="auto" w:sz="4" w:space="0"/>
            </w:tcBorders>
            <w:vAlign w:val="center"/>
          </w:tcPr>
          <w:p w14:paraId="159A476B">
            <w:pPr>
              <w:widowControl/>
              <w:jc w:val="left"/>
              <w:rPr>
                <w:rFonts w:hint="eastAsia"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vAlign w:val="center"/>
          </w:tcPr>
          <w:p w14:paraId="11ED02CA">
            <w:pPr>
              <w:widowControl/>
              <w:jc w:val="left"/>
              <w:rPr>
                <w:rFonts w:hint="eastAsia" w:ascii="宋体" w:hAnsi="宋体" w:cs="宋体"/>
                <w:color w:val="000000"/>
                <w:kern w:val="0"/>
                <w:sz w:val="24"/>
              </w:rPr>
            </w:pPr>
            <w:r>
              <w:rPr>
                <w:rFonts w:hint="eastAsia" w:ascii="宋体" w:hAnsi="宋体" w:cs="宋体"/>
                <w:color w:val="000000"/>
                <w:kern w:val="0"/>
                <w:sz w:val="24"/>
              </w:rPr>
              <w:t>唯一性管理</w:t>
            </w:r>
          </w:p>
        </w:tc>
        <w:tc>
          <w:tcPr>
            <w:tcW w:w="7043" w:type="dxa"/>
            <w:tcBorders>
              <w:top w:val="nil"/>
              <w:left w:val="nil"/>
              <w:bottom w:val="single" w:color="auto" w:sz="4" w:space="0"/>
              <w:right w:val="single" w:color="auto" w:sz="4" w:space="0"/>
            </w:tcBorders>
            <w:shd w:val="clear" w:color="auto" w:fill="auto"/>
            <w:vAlign w:val="center"/>
          </w:tcPr>
          <w:p w14:paraId="3026FB72">
            <w:pPr>
              <w:widowControl/>
              <w:jc w:val="left"/>
              <w:rPr>
                <w:rFonts w:hint="eastAsia" w:ascii="宋体" w:hAnsi="宋体" w:cs="宋体"/>
                <w:color w:val="000000"/>
                <w:kern w:val="0"/>
                <w:sz w:val="24"/>
              </w:rPr>
            </w:pPr>
            <w:r>
              <w:rPr>
                <w:rFonts w:hint="eastAsia" w:ascii="宋体" w:hAnsi="宋体" w:cs="宋体"/>
                <w:color w:val="000000"/>
                <w:kern w:val="0"/>
                <w:sz w:val="24"/>
              </w:rPr>
              <w:t>1.关键字段唯一性约束</w:t>
            </w:r>
            <w:r>
              <w:rPr>
                <w:rFonts w:hint="eastAsia" w:ascii="宋体" w:hAnsi="宋体" w:cs="宋体"/>
                <w:color w:val="000000"/>
                <w:kern w:val="0"/>
                <w:sz w:val="24"/>
              </w:rPr>
              <w:br w:type="textWrapping"/>
            </w:r>
            <w:r>
              <w:rPr>
                <w:rFonts w:hint="eastAsia" w:ascii="宋体" w:hAnsi="宋体" w:cs="宋体"/>
                <w:color w:val="000000"/>
                <w:kern w:val="0"/>
                <w:sz w:val="24"/>
              </w:rPr>
              <w:t>描述同一客观实体在系统是否出现超过一条的记录，如主索引字段重复，说明同一学生出现了超过一条的记录，且记录之间可能信息冲突。</w:t>
            </w:r>
            <w:r>
              <w:rPr>
                <w:rFonts w:hint="eastAsia" w:ascii="宋体" w:hAnsi="宋体" w:cs="宋体"/>
                <w:color w:val="000000"/>
                <w:kern w:val="0"/>
                <w:sz w:val="24"/>
              </w:rPr>
              <w:br w:type="textWrapping"/>
            </w:r>
            <w:r>
              <w:rPr>
                <w:rFonts w:hint="eastAsia" w:ascii="宋体" w:hAnsi="宋体" w:cs="宋体"/>
                <w:color w:val="000000"/>
                <w:kern w:val="0"/>
                <w:sz w:val="24"/>
              </w:rPr>
              <w:t>2.非所有字段重复约束</w:t>
            </w:r>
            <w:r>
              <w:rPr>
                <w:rFonts w:hint="eastAsia" w:ascii="宋体" w:hAnsi="宋体" w:cs="宋体"/>
                <w:color w:val="000000"/>
                <w:kern w:val="0"/>
                <w:sz w:val="24"/>
              </w:rPr>
              <w:br w:type="textWrapping"/>
            </w:r>
            <w:r>
              <w:rPr>
                <w:rFonts w:hint="eastAsia" w:ascii="宋体" w:hAnsi="宋体" w:cs="宋体"/>
                <w:color w:val="000000"/>
                <w:kern w:val="0"/>
                <w:sz w:val="24"/>
              </w:rPr>
              <w:t>描述同一客观实体是否重复记录，如所有字段重复，说明同一学生重复记录了多次</w:t>
            </w:r>
          </w:p>
        </w:tc>
      </w:tr>
      <w:tr w14:paraId="75C9AE1E">
        <w:tblPrEx>
          <w:tblCellMar>
            <w:top w:w="0" w:type="dxa"/>
            <w:left w:w="108" w:type="dxa"/>
            <w:bottom w:w="0" w:type="dxa"/>
            <w:right w:w="108" w:type="dxa"/>
          </w:tblCellMar>
        </w:tblPrEx>
        <w:tc>
          <w:tcPr>
            <w:tcW w:w="846" w:type="dxa"/>
            <w:vMerge w:val="restart"/>
            <w:tcBorders>
              <w:top w:val="nil"/>
              <w:left w:val="single" w:color="auto" w:sz="4" w:space="0"/>
              <w:bottom w:val="single" w:color="auto" w:sz="4" w:space="0"/>
              <w:right w:val="single" w:color="auto" w:sz="4" w:space="0"/>
            </w:tcBorders>
            <w:shd w:val="clear" w:color="auto" w:fill="auto"/>
            <w:vAlign w:val="center"/>
          </w:tcPr>
          <w:p w14:paraId="6E1BC1CB">
            <w:pPr>
              <w:widowControl/>
              <w:jc w:val="center"/>
              <w:rPr>
                <w:rFonts w:hint="eastAsia" w:ascii="宋体" w:hAnsi="宋体" w:cs="宋体"/>
                <w:kern w:val="0"/>
                <w:sz w:val="24"/>
              </w:rPr>
            </w:pPr>
            <w:r>
              <w:rPr>
                <w:rFonts w:hint="eastAsia" w:ascii="宋体" w:hAnsi="宋体" w:cs="宋体"/>
                <w:kern w:val="0"/>
                <w:sz w:val="24"/>
              </w:rPr>
              <w:t>数仓建设服务</w:t>
            </w:r>
          </w:p>
        </w:tc>
        <w:tc>
          <w:tcPr>
            <w:tcW w:w="992" w:type="dxa"/>
            <w:tcBorders>
              <w:top w:val="nil"/>
              <w:left w:val="nil"/>
              <w:bottom w:val="single" w:color="auto" w:sz="4" w:space="0"/>
              <w:right w:val="single" w:color="auto" w:sz="4" w:space="0"/>
            </w:tcBorders>
            <w:shd w:val="clear" w:color="auto" w:fill="auto"/>
            <w:vAlign w:val="center"/>
          </w:tcPr>
          <w:p w14:paraId="2A7EC604">
            <w:pPr>
              <w:widowControl/>
              <w:jc w:val="left"/>
              <w:rPr>
                <w:rFonts w:hint="eastAsia" w:ascii="宋体" w:hAnsi="宋体" w:cs="宋体"/>
                <w:kern w:val="0"/>
                <w:sz w:val="24"/>
              </w:rPr>
            </w:pPr>
            <w:r>
              <w:rPr>
                <w:rFonts w:hint="eastAsia" w:ascii="宋体" w:hAnsi="宋体" w:cs="宋体"/>
                <w:kern w:val="0"/>
                <w:sz w:val="24"/>
              </w:rPr>
              <w:t>数据仓库设计</w:t>
            </w:r>
          </w:p>
        </w:tc>
        <w:tc>
          <w:tcPr>
            <w:tcW w:w="7043" w:type="dxa"/>
            <w:tcBorders>
              <w:top w:val="nil"/>
              <w:left w:val="nil"/>
              <w:bottom w:val="single" w:color="auto" w:sz="4" w:space="0"/>
              <w:right w:val="single" w:color="auto" w:sz="4" w:space="0"/>
            </w:tcBorders>
            <w:shd w:val="clear" w:color="auto" w:fill="auto"/>
            <w:vAlign w:val="center"/>
          </w:tcPr>
          <w:p w14:paraId="0AF19710">
            <w:pPr>
              <w:widowControl/>
              <w:jc w:val="left"/>
              <w:rPr>
                <w:rFonts w:hint="eastAsia" w:ascii="宋体" w:hAnsi="宋体" w:cs="宋体"/>
                <w:kern w:val="0"/>
                <w:sz w:val="24"/>
              </w:rPr>
            </w:pPr>
            <w:r>
              <w:rPr>
                <w:rFonts w:hint="eastAsia" w:ascii="宋体" w:hAnsi="宋体" w:cs="宋体"/>
                <w:kern w:val="0"/>
                <w:sz w:val="24"/>
              </w:rPr>
              <w:t>1.提供数据仓库建设概要设计、详细设计规范；确保后续数据仓库可以长期维护，持续发展。数据架构设计按要分为 3层，包括原始库、标准库、主题库，数据仓库分层进行建设，确保可扩展性、可维护性。</w:t>
            </w:r>
            <w:r>
              <w:rPr>
                <w:rFonts w:hint="eastAsia" w:ascii="宋体" w:hAnsi="宋体" w:cs="宋体"/>
                <w:kern w:val="0"/>
                <w:sz w:val="24"/>
              </w:rPr>
              <w:br w:type="textWrapping"/>
            </w:r>
            <w:r>
              <w:rPr>
                <w:rFonts w:hint="eastAsia" w:ascii="宋体" w:hAnsi="宋体" w:cs="宋体"/>
                <w:kern w:val="0"/>
                <w:sz w:val="24"/>
              </w:rPr>
              <w:t>2.提供《数据仓库架构设计文档》，保障数据仓库建设的合理性、完整性、可用性。</w:t>
            </w:r>
            <w:r>
              <w:rPr>
                <w:rFonts w:hint="eastAsia" w:ascii="宋体" w:hAnsi="宋体" w:cs="宋体"/>
                <w:kern w:val="0"/>
                <w:sz w:val="24"/>
              </w:rPr>
              <w:br w:type="textWrapping"/>
            </w:r>
            <w:r>
              <w:rPr>
                <w:rFonts w:hint="eastAsia" w:ascii="宋体" w:hAnsi="宋体" w:cs="宋体"/>
                <w:kern w:val="0"/>
                <w:sz w:val="24"/>
              </w:rPr>
              <w:t>3.对数仓的用户命名、表命名、字段命名进行规范定义；</w:t>
            </w:r>
          </w:p>
        </w:tc>
      </w:tr>
      <w:tr w14:paraId="3318933E">
        <w:tblPrEx>
          <w:tblCellMar>
            <w:top w:w="0" w:type="dxa"/>
            <w:left w:w="108" w:type="dxa"/>
            <w:bottom w:w="0" w:type="dxa"/>
            <w:right w:w="108" w:type="dxa"/>
          </w:tblCellMar>
        </w:tblPrEx>
        <w:tc>
          <w:tcPr>
            <w:tcW w:w="846" w:type="dxa"/>
            <w:vMerge w:val="continue"/>
            <w:tcBorders>
              <w:top w:val="nil"/>
              <w:left w:val="single" w:color="auto" w:sz="4" w:space="0"/>
              <w:bottom w:val="single" w:color="auto" w:sz="4" w:space="0"/>
              <w:right w:val="single" w:color="auto" w:sz="4" w:space="0"/>
            </w:tcBorders>
            <w:vAlign w:val="center"/>
          </w:tcPr>
          <w:p w14:paraId="37C88DC9">
            <w:pPr>
              <w:widowControl/>
              <w:jc w:val="left"/>
              <w:rPr>
                <w:rFonts w:hint="eastAsia" w:ascii="宋体" w:hAnsi="宋体"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14:paraId="09209244">
            <w:pPr>
              <w:widowControl/>
              <w:jc w:val="left"/>
              <w:rPr>
                <w:rFonts w:hint="eastAsia" w:ascii="宋体" w:hAnsi="宋体" w:cs="宋体"/>
                <w:kern w:val="0"/>
                <w:sz w:val="24"/>
              </w:rPr>
            </w:pPr>
            <w:r>
              <w:rPr>
                <w:rFonts w:hint="eastAsia" w:ascii="宋体" w:hAnsi="宋体" w:cs="宋体"/>
                <w:kern w:val="0"/>
                <w:sz w:val="24"/>
              </w:rPr>
              <w:t>原始库模型设计及建设</w:t>
            </w:r>
          </w:p>
        </w:tc>
        <w:tc>
          <w:tcPr>
            <w:tcW w:w="7043" w:type="dxa"/>
            <w:tcBorders>
              <w:top w:val="nil"/>
              <w:left w:val="nil"/>
              <w:bottom w:val="single" w:color="auto" w:sz="4" w:space="0"/>
              <w:right w:val="single" w:color="auto" w:sz="4" w:space="0"/>
            </w:tcBorders>
            <w:shd w:val="clear" w:color="auto" w:fill="auto"/>
            <w:vAlign w:val="center"/>
          </w:tcPr>
          <w:p w14:paraId="71054497">
            <w:pPr>
              <w:widowControl/>
              <w:jc w:val="left"/>
              <w:rPr>
                <w:rFonts w:hint="eastAsia" w:ascii="宋体" w:hAnsi="宋体" w:cs="宋体"/>
                <w:kern w:val="0"/>
                <w:sz w:val="24"/>
              </w:rPr>
            </w:pPr>
            <w:r>
              <w:rPr>
                <w:rFonts w:hint="eastAsia" w:ascii="宋体" w:hAnsi="宋体" w:cs="宋体"/>
                <w:kern w:val="0"/>
                <w:sz w:val="24"/>
              </w:rPr>
              <w:t>1.依赖原始数据清单，明确原始库包含的数据模型，并输出模型设计文档。</w:t>
            </w:r>
            <w:r>
              <w:rPr>
                <w:rFonts w:hint="eastAsia" w:ascii="宋体" w:hAnsi="宋体" w:cs="宋体"/>
                <w:kern w:val="0"/>
                <w:sz w:val="24"/>
              </w:rPr>
              <w:br w:type="textWrapping"/>
            </w:r>
            <w:r>
              <w:rPr>
                <w:rFonts w:hint="eastAsia" w:ascii="宋体" w:hAnsi="宋体" w:cs="宋体"/>
                <w:kern w:val="0"/>
                <w:sz w:val="24"/>
              </w:rPr>
              <w:t>2.将业务系统数据抽取到数据仓库原始层。</w:t>
            </w:r>
          </w:p>
        </w:tc>
      </w:tr>
      <w:tr w14:paraId="3CB6BFF5">
        <w:tblPrEx>
          <w:tblCellMar>
            <w:top w:w="0" w:type="dxa"/>
            <w:left w:w="108" w:type="dxa"/>
            <w:bottom w:w="0" w:type="dxa"/>
            <w:right w:w="108" w:type="dxa"/>
          </w:tblCellMar>
        </w:tblPrEx>
        <w:tc>
          <w:tcPr>
            <w:tcW w:w="846" w:type="dxa"/>
            <w:vMerge w:val="continue"/>
            <w:tcBorders>
              <w:top w:val="nil"/>
              <w:left w:val="single" w:color="auto" w:sz="4" w:space="0"/>
              <w:bottom w:val="single" w:color="auto" w:sz="4" w:space="0"/>
              <w:right w:val="single" w:color="auto" w:sz="4" w:space="0"/>
            </w:tcBorders>
            <w:vAlign w:val="center"/>
          </w:tcPr>
          <w:p w14:paraId="5ECC1F42">
            <w:pPr>
              <w:widowControl/>
              <w:jc w:val="left"/>
              <w:rPr>
                <w:rFonts w:hint="eastAsia" w:ascii="宋体" w:hAnsi="宋体"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14:paraId="32D3165F">
            <w:pPr>
              <w:widowControl/>
              <w:jc w:val="left"/>
              <w:rPr>
                <w:rFonts w:hint="eastAsia" w:ascii="宋体" w:hAnsi="宋体" w:cs="宋体"/>
                <w:kern w:val="0"/>
                <w:sz w:val="24"/>
              </w:rPr>
            </w:pPr>
            <w:r>
              <w:rPr>
                <w:rFonts w:hint="eastAsia" w:ascii="宋体" w:hAnsi="宋体" w:cs="宋体"/>
                <w:kern w:val="0"/>
                <w:sz w:val="24"/>
              </w:rPr>
              <w:t>标准库模型设计及建设</w:t>
            </w:r>
          </w:p>
        </w:tc>
        <w:tc>
          <w:tcPr>
            <w:tcW w:w="7043" w:type="dxa"/>
            <w:tcBorders>
              <w:top w:val="nil"/>
              <w:left w:val="nil"/>
              <w:bottom w:val="single" w:color="auto" w:sz="4" w:space="0"/>
              <w:right w:val="single" w:color="auto" w:sz="4" w:space="0"/>
            </w:tcBorders>
            <w:shd w:val="clear" w:color="auto" w:fill="auto"/>
            <w:vAlign w:val="center"/>
          </w:tcPr>
          <w:p w14:paraId="4A64DF4F">
            <w:pPr>
              <w:widowControl/>
              <w:jc w:val="left"/>
              <w:rPr>
                <w:rFonts w:hint="eastAsia" w:ascii="宋体" w:hAnsi="宋体" w:cs="宋体"/>
                <w:kern w:val="0"/>
                <w:sz w:val="24"/>
              </w:rPr>
            </w:pPr>
            <w:r>
              <w:rPr>
                <w:rFonts w:hint="eastAsia" w:ascii="宋体" w:hAnsi="宋体" w:cs="宋体"/>
                <w:kern w:val="0"/>
                <w:sz w:val="24"/>
              </w:rPr>
              <w:t>1.基于国家教育部标准、省份或行业标准，明确标准库包含的数据模型，并输出模型设计文档。</w:t>
            </w:r>
            <w:r>
              <w:rPr>
                <w:rFonts w:hint="eastAsia" w:ascii="宋体" w:hAnsi="宋体" w:cs="宋体"/>
                <w:kern w:val="0"/>
                <w:sz w:val="24"/>
              </w:rPr>
              <w:br w:type="textWrapping"/>
            </w:r>
            <w:r>
              <w:rPr>
                <w:rFonts w:hint="eastAsia" w:ascii="宋体" w:hAnsi="宋体" w:cs="宋体"/>
                <w:kern w:val="0"/>
                <w:sz w:val="24"/>
              </w:rPr>
              <w:t>2.将原始库数据按照数据标准清洗转换至数据仓库标准层。</w:t>
            </w:r>
          </w:p>
        </w:tc>
      </w:tr>
      <w:tr w14:paraId="03B7EA8C">
        <w:tblPrEx>
          <w:tblCellMar>
            <w:top w:w="0" w:type="dxa"/>
            <w:left w:w="108" w:type="dxa"/>
            <w:bottom w:w="0" w:type="dxa"/>
            <w:right w:w="108" w:type="dxa"/>
          </w:tblCellMar>
        </w:tblPrEx>
        <w:tc>
          <w:tcPr>
            <w:tcW w:w="846" w:type="dxa"/>
            <w:vMerge w:val="continue"/>
            <w:tcBorders>
              <w:top w:val="nil"/>
              <w:left w:val="single" w:color="auto" w:sz="4" w:space="0"/>
              <w:bottom w:val="single" w:color="auto" w:sz="4" w:space="0"/>
              <w:right w:val="single" w:color="auto" w:sz="4" w:space="0"/>
            </w:tcBorders>
            <w:vAlign w:val="center"/>
          </w:tcPr>
          <w:p w14:paraId="174D9140">
            <w:pPr>
              <w:widowControl/>
              <w:jc w:val="left"/>
              <w:rPr>
                <w:rFonts w:hint="eastAsia" w:ascii="宋体" w:hAnsi="宋体"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14:paraId="367BD25A">
            <w:pPr>
              <w:widowControl/>
              <w:jc w:val="left"/>
              <w:rPr>
                <w:rFonts w:hint="eastAsia" w:ascii="宋体" w:hAnsi="宋体" w:cs="宋体"/>
                <w:kern w:val="0"/>
                <w:sz w:val="24"/>
              </w:rPr>
            </w:pPr>
            <w:r>
              <w:rPr>
                <w:rFonts w:hint="eastAsia" w:ascii="宋体" w:hAnsi="宋体" w:cs="宋体"/>
                <w:kern w:val="0"/>
                <w:sz w:val="24"/>
              </w:rPr>
              <w:t>主题库模型设计及建设</w:t>
            </w:r>
          </w:p>
        </w:tc>
        <w:tc>
          <w:tcPr>
            <w:tcW w:w="7043" w:type="dxa"/>
            <w:tcBorders>
              <w:top w:val="nil"/>
              <w:left w:val="nil"/>
              <w:bottom w:val="single" w:color="auto" w:sz="4" w:space="0"/>
              <w:right w:val="single" w:color="auto" w:sz="4" w:space="0"/>
            </w:tcBorders>
            <w:shd w:val="clear" w:color="auto" w:fill="auto"/>
            <w:vAlign w:val="center"/>
          </w:tcPr>
          <w:p w14:paraId="45879D80">
            <w:pPr>
              <w:widowControl/>
              <w:jc w:val="left"/>
              <w:rPr>
                <w:rFonts w:hint="eastAsia" w:ascii="宋体" w:hAnsi="宋体" w:cs="宋体"/>
                <w:kern w:val="0"/>
                <w:sz w:val="24"/>
              </w:rPr>
            </w:pPr>
            <w:r>
              <w:rPr>
                <w:rFonts w:hint="eastAsia" w:ascii="宋体" w:hAnsi="宋体" w:cs="宋体"/>
                <w:kern w:val="0"/>
                <w:sz w:val="24"/>
              </w:rPr>
              <w:t>1.根据主题治理目标，明确主题库包含的数据模型，并输出模型设计文档，建设教育管理类主题数据（学校、学生、教师基础库）、应用主题数据（教育资源主题、教育装备主题、教育信息化主题）。</w:t>
            </w:r>
            <w:r>
              <w:rPr>
                <w:rFonts w:hint="eastAsia" w:ascii="宋体" w:hAnsi="宋体" w:cs="宋体"/>
                <w:kern w:val="0"/>
                <w:sz w:val="24"/>
              </w:rPr>
              <w:br w:type="textWrapping"/>
            </w:r>
            <w:r>
              <w:rPr>
                <w:rFonts w:hint="eastAsia" w:ascii="宋体" w:hAnsi="宋体" w:cs="宋体"/>
                <w:kern w:val="0"/>
                <w:sz w:val="24"/>
              </w:rPr>
              <w:t>2.从基础数据、综合应用数据中抽取和重组而成,提供满足应用服务需要的包含多层次信息的专项数据，形成数据仓库主题层。</w:t>
            </w:r>
          </w:p>
        </w:tc>
      </w:tr>
    </w:tbl>
    <w:p w14:paraId="6ED48F99">
      <w:pPr>
        <w:numPr>
          <w:ilvl w:val="0"/>
          <w:numId w:val="4"/>
        </w:numPr>
        <w:spacing w:line="360" w:lineRule="auto"/>
        <w:ind w:left="-10" w:leftChars="-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商务要求</w:t>
      </w:r>
    </w:p>
    <w:p w14:paraId="2568CC63">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1.付款条件</w:t>
      </w:r>
    </w:p>
    <w:p w14:paraId="6FE53B32">
      <w:pPr>
        <w:pStyle w:val="17"/>
        <w:keepNext w:val="0"/>
        <w:keepLines w:val="0"/>
        <w:widowControl/>
        <w:suppressLineNumbers w:val="0"/>
        <w:spacing w:before="0" w:beforeAutospacing="0" w:after="0" w:afterAutospacing="0" w:line="360" w:lineRule="auto"/>
        <w:ind w:left="0" w:right="0" w:firstLine="420"/>
        <w:jc w:val="left"/>
        <w:rPr>
          <w:rFonts w:hint="eastAsia" w:eastAsia="宋体"/>
          <w:color w:val="auto"/>
          <w:highlight w:val="none"/>
          <w:lang w:eastAsia="zh-CN"/>
        </w:rPr>
      </w:pPr>
      <w:r>
        <w:rPr>
          <w:rFonts w:hint="eastAsia" w:cs="宋体"/>
          <w:b w:val="0"/>
          <w:bCs w:val="0"/>
          <w:i w:val="0"/>
          <w:iCs w:val="0"/>
          <w:color w:val="auto"/>
          <w:spacing w:val="0"/>
          <w:w w:val="100"/>
          <w:sz w:val="24"/>
          <w:szCs w:val="24"/>
          <w:highlight w:val="none"/>
          <w:vertAlign w:val="baseline"/>
          <w:lang w:val="en-US" w:eastAsia="zh-CN"/>
        </w:rPr>
        <w:t>①</w:t>
      </w:r>
      <w:r>
        <w:rPr>
          <w:rFonts w:hint="eastAsia" w:ascii="宋体" w:hAnsi="宋体" w:eastAsia="宋体" w:cs="宋体"/>
          <w:b w:val="0"/>
          <w:bCs w:val="0"/>
          <w:i w:val="0"/>
          <w:iCs w:val="0"/>
          <w:color w:val="auto"/>
          <w:spacing w:val="0"/>
          <w:w w:val="100"/>
          <w:sz w:val="24"/>
          <w:szCs w:val="24"/>
          <w:highlight w:val="none"/>
          <w:vertAlign w:val="baseline"/>
        </w:rPr>
        <w:t>合同签订且具备实施条件后7个工作日内，采购人向中标人支付合同金额的50%</w:t>
      </w:r>
      <w:r>
        <w:rPr>
          <w:rFonts w:hint="eastAsia" w:cs="宋体"/>
          <w:b w:val="0"/>
          <w:bCs w:val="0"/>
          <w:i w:val="0"/>
          <w:iCs w:val="0"/>
          <w:color w:val="auto"/>
          <w:spacing w:val="0"/>
          <w:w w:val="100"/>
          <w:sz w:val="24"/>
          <w:szCs w:val="24"/>
          <w:highlight w:val="none"/>
          <w:vertAlign w:val="baseline"/>
          <w:lang w:eastAsia="zh-CN"/>
        </w:rPr>
        <w:t>；</w:t>
      </w:r>
    </w:p>
    <w:p w14:paraId="036A6B28">
      <w:pPr>
        <w:pStyle w:val="17"/>
        <w:keepNext w:val="0"/>
        <w:keepLines w:val="0"/>
        <w:widowControl/>
        <w:suppressLineNumbers w:val="0"/>
        <w:spacing w:before="0" w:beforeAutospacing="0" w:after="0" w:afterAutospacing="0" w:line="360" w:lineRule="auto"/>
        <w:ind w:left="0" w:right="0" w:firstLine="420"/>
        <w:jc w:val="both"/>
        <w:rPr>
          <w:rFonts w:hint="eastAsia" w:asciiTheme="minorEastAsia" w:hAnsiTheme="minorEastAsia" w:eastAsiaTheme="minorEastAsia" w:cstheme="minorEastAsia"/>
          <w:bCs/>
          <w:sz w:val="24"/>
          <w:szCs w:val="24"/>
          <w:highlight w:val="yellow"/>
        </w:rPr>
      </w:pPr>
      <w:r>
        <w:rPr>
          <w:rFonts w:hint="eastAsia" w:cs="宋体"/>
          <w:b w:val="0"/>
          <w:bCs w:val="0"/>
          <w:i w:val="0"/>
          <w:iCs w:val="0"/>
          <w:color w:val="auto"/>
          <w:spacing w:val="0"/>
          <w:w w:val="100"/>
          <w:sz w:val="24"/>
          <w:szCs w:val="24"/>
          <w:highlight w:val="none"/>
          <w:vertAlign w:val="baseline"/>
          <w:lang w:val="en-US" w:eastAsia="zh-CN"/>
        </w:rPr>
        <w:t>②项目</w:t>
      </w:r>
      <w:r>
        <w:rPr>
          <w:rFonts w:hint="eastAsia" w:ascii="宋体" w:hAnsi="宋体" w:eastAsia="宋体" w:cs="宋体"/>
          <w:b w:val="0"/>
          <w:bCs w:val="0"/>
          <w:i w:val="0"/>
          <w:iCs w:val="0"/>
          <w:color w:val="auto"/>
          <w:spacing w:val="0"/>
          <w:w w:val="100"/>
          <w:sz w:val="24"/>
          <w:szCs w:val="24"/>
          <w:highlight w:val="none"/>
          <w:vertAlign w:val="baseline"/>
        </w:rPr>
        <w:t>验收合格后7个工作日内，支付合同金额的50%。</w:t>
      </w:r>
    </w:p>
    <w:p w14:paraId="210FDB23">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2.履约期限：合同签订后60个日历日内开发完成，配合采购人上线。</w:t>
      </w:r>
    </w:p>
    <w:p w14:paraId="12CBEB9B">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3.项目维护期（以下内容费用含在报价中）：</w:t>
      </w:r>
    </w:p>
    <w:p w14:paraId="7D407277">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（1）项目维护期：自验收通过之日起算，提供三年质保维护。</w:t>
      </w:r>
    </w:p>
    <w:p w14:paraId="720ED6D8">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维护期内，中标单位应配备专门的技术服务部门负责对用户的全方位的技术支持和服务，通过电话服务、远程服务和现场服务向采购方提供快速、高效的维护服务，进行相关功能的完善性开发，保障各应用平台正常运行。</w:t>
      </w:r>
    </w:p>
    <w:p w14:paraId="3017851E">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（3）维护期间，中标单位应向采购方提供7*24小时服务热线，一般故障响应、排除时间不超过4小时，重大故障响应、排除时间不超过8小时。</w:t>
      </w:r>
    </w:p>
    <w:p w14:paraId="726C6C1F">
      <w:pPr>
        <w:spacing w:line="360" w:lineRule="auto"/>
        <w:ind w:firstLine="420" w:firstLineChars="175"/>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Cs/>
          <w:sz w:val="24"/>
          <w:szCs w:val="24"/>
        </w:rPr>
        <w:t>（4）除质保维护期外，需再提供2年归集新应用系统。</w:t>
      </w:r>
      <w:r>
        <w:rPr>
          <w:rFonts w:hint="eastAsia" w:asciiTheme="minorEastAsia" w:hAnsiTheme="minorEastAsia" w:eastAsiaTheme="minorEastAsia" w:cstheme="minorEastAsia"/>
          <w:b/>
          <w:sz w:val="36"/>
          <w:szCs w:val="36"/>
        </w:rPr>
        <w:br w:type="page"/>
      </w:r>
    </w:p>
    <w:p w14:paraId="0FF7A0C2">
      <w:pPr>
        <w:pStyle w:val="5"/>
        <w:spacing w:line="360" w:lineRule="auto"/>
        <w:ind w:firstLine="0"/>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 xml:space="preserve">第四部分   </w:t>
      </w:r>
      <w:bookmarkStart w:id="65" w:name="_Toc184314469"/>
      <w:bookmarkEnd w:id="65"/>
      <w:bookmarkStart w:id="66" w:name="_Toc184312109"/>
      <w:bookmarkEnd w:id="66"/>
      <w:bookmarkStart w:id="67" w:name="_Toc184312120"/>
      <w:bookmarkEnd w:id="67"/>
      <w:bookmarkStart w:id="68" w:name="_Toc184308059"/>
      <w:bookmarkEnd w:id="68"/>
      <w:bookmarkStart w:id="69" w:name="_Toc184312138"/>
      <w:bookmarkEnd w:id="69"/>
      <w:bookmarkStart w:id="70" w:name="_Toc184312094"/>
      <w:bookmarkEnd w:id="70"/>
      <w:bookmarkStart w:id="71" w:name="_Toc184308074"/>
      <w:bookmarkEnd w:id="71"/>
      <w:bookmarkStart w:id="72" w:name="_Toc184308089"/>
      <w:bookmarkEnd w:id="72"/>
      <w:bookmarkStart w:id="73" w:name="_Toc184310321"/>
      <w:bookmarkEnd w:id="73"/>
      <w:bookmarkStart w:id="74" w:name="_Toc184310320"/>
      <w:bookmarkEnd w:id="74"/>
      <w:bookmarkStart w:id="75" w:name="_Toc184310292"/>
      <w:bookmarkEnd w:id="75"/>
      <w:bookmarkStart w:id="76" w:name="_Toc184314454"/>
      <w:bookmarkEnd w:id="76"/>
      <w:bookmarkStart w:id="77" w:name="_Toc184312124"/>
      <w:bookmarkEnd w:id="77"/>
      <w:bookmarkStart w:id="78" w:name="_Toc184308105"/>
      <w:bookmarkEnd w:id="78"/>
      <w:bookmarkStart w:id="79" w:name="_Toc184310311"/>
      <w:bookmarkEnd w:id="79"/>
      <w:bookmarkStart w:id="80" w:name="_Toc184308082"/>
      <w:bookmarkEnd w:id="80"/>
      <w:bookmarkStart w:id="81" w:name="_Toc184314436"/>
      <w:bookmarkEnd w:id="81"/>
      <w:bookmarkStart w:id="82" w:name="_Toc184314432"/>
      <w:bookmarkEnd w:id="82"/>
      <w:bookmarkStart w:id="83" w:name="_Toc184312079"/>
      <w:bookmarkEnd w:id="83"/>
      <w:bookmarkStart w:id="84" w:name="_Toc184310274"/>
      <w:bookmarkEnd w:id="84"/>
      <w:bookmarkStart w:id="85" w:name="_Toc184308069"/>
      <w:bookmarkEnd w:id="85"/>
      <w:bookmarkStart w:id="86" w:name="_Toc184308087"/>
      <w:bookmarkEnd w:id="86"/>
      <w:bookmarkStart w:id="87" w:name="_Toc184310304"/>
      <w:bookmarkEnd w:id="87"/>
      <w:bookmarkStart w:id="88" w:name="_Toc184310300"/>
      <w:bookmarkEnd w:id="88"/>
      <w:bookmarkStart w:id="89" w:name="_Toc184308065"/>
      <w:bookmarkEnd w:id="89"/>
      <w:bookmarkStart w:id="90" w:name="_Toc184312068"/>
      <w:bookmarkEnd w:id="90"/>
      <w:bookmarkStart w:id="91" w:name="_Toc184310306"/>
      <w:bookmarkEnd w:id="91"/>
      <w:bookmarkStart w:id="92" w:name="_Toc184310295"/>
      <w:bookmarkEnd w:id="92"/>
      <w:bookmarkStart w:id="93" w:name="_Toc184308102"/>
      <w:bookmarkEnd w:id="93"/>
      <w:bookmarkStart w:id="94" w:name="_Toc184313274"/>
      <w:bookmarkEnd w:id="94"/>
      <w:bookmarkStart w:id="95" w:name="_Toc184313240"/>
      <w:bookmarkEnd w:id="95"/>
      <w:bookmarkStart w:id="96" w:name="_Toc184310342"/>
      <w:bookmarkEnd w:id="96"/>
      <w:bookmarkStart w:id="97" w:name="_Toc184313292"/>
      <w:bookmarkEnd w:id="97"/>
      <w:bookmarkStart w:id="98" w:name="_Toc184312093"/>
      <w:bookmarkEnd w:id="98"/>
      <w:bookmarkStart w:id="99" w:name="_Toc184308052"/>
      <w:bookmarkEnd w:id="99"/>
      <w:bookmarkStart w:id="100" w:name="_Toc184310282"/>
      <w:bookmarkEnd w:id="100"/>
      <w:bookmarkStart w:id="101" w:name="_Toc184313272"/>
      <w:bookmarkEnd w:id="101"/>
      <w:bookmarkStart w:id="102" w:name="_Toc184313253"/>
      <w:bookmarkEnd w:id="102"/>
      <w:bookmarkStart w:id="103" w:name="_Toc184312101"/>
      <w:bookmarkEnd w:id="103"/>
      <w:bookmarkStart w:id="104" w:name="_Toc184308060"/>
      <w:bookmarkEnd w:id="104"/>
      <w:bookmarkStart w:id="105" w:name="_Toc184313277"/>
      <w:bookmarkEnd w:id="105"/>
      <w:bookmarkStart w:id="106" w:name="_Toc184313305"/>
      <w:bookmarkEnd w:id="106"/>
      <w:bookmarkStart w:id="107" w:name="_Toc184310281"/>
      <w:bookmarkEnd w:id="107"/>
      <w:bookmarkStart w:id="108" w:name="_Toc184313238"/>
      <w:bookmarkEnd w:id="108"/>
      <w:bookmarkStart w:id="109" w:name="_Toc184310339"/>
      <w:bookmarkEnd w:id="109"/>
      <w:bookmarkStart w:id="110" w:name="_Toc184313284"/>
      <w:bookmarkEnd w:id="110"/>
      <w:bookmarkStart w:id="111" w:name="_Toc184308108"/>
      <w:bookmarkEnd w:id="111"/>
      <w:bookmarkStart w:id="112" w:name="_Toc184310289"/>
      <w:bookmarkEnd w:id="112"/>
      <w:bookmarkStart w:id="113" w:name="_Toc184313297"/>
      <w:bookmarkEnd w:id="113"/>
      <w:bookmarkStart w:id="114" w:name="_Toc184313296"/>
      <w:bookmarkEnd w:id="114"/>
      <w:bookmarkStart w:id="115" w:name="_Toc184310287"/>
      <w:bookmarkEnd w:id="115"/>
      <w:bookmarkStart w:id="116" w:name="_Toc184310322"/>
      <w:bookmarkEnd w:id="116"/>
      <w:bookmarkStart w:id="117" w:name="_Toc184310328"/>
      <w:bookmarkEnd w:id="117"/>
      <w:bookmarkStart w:id="118" w:name="_Toc184313244"/>
      <w:bookmarkEnd w:id="118"/>
      <w:bookmarkStart w:id="119" w:name="_Toc184308037"/>
      <w:bookmarkEnd w:id="119"/>
      <w:bookmarkStart w:id="120" w:name="_Toc184308091"/>
      <w:bookmarkEnd w:id="120"/>
      <w:bookmarkStart w:id="121" w:name="_Toc184313251"/>
      <w:bookmarkEnd w:id="121"/>
      <w:bookmarkStart w:id="122" w:name="_Toc184314428"/>
      <w:bookmarkEnd w:id="122"/>
      <w:bookmarkStart w:id="123" w:name="_Toc184313246"/>
      <w:bookmarkEnd w:id="123"/>
      <w:bookmarkStart w:id="124" w:name="_Toc184312097"/>
      <w:bookmarkEnd w:id="124"/>
      <w:bookmarkStart w:id="125" w:name="_Toc184310333"/>
      <w:bookmarkEnd w:id="125"/>
      <w:bookmarkStart w:id="126" w:name="_Toc184310297"/>
      <w:bookmarkEnd w:id="126"/>
      <w:bookmarkStart w:id="127" w:name="_Toc184312088"/>
      <w:bookmarkEnd w:id="127"/>
      <w:bookmarkStart w:id="128" w:name="_Toc184312106"/>
      <w:bookmarkEnd w:id="128"/>
      <w:bookmarkStart w:id="129" w:name="_Toc184314480"/>
      <w:bookmarkEnd w:id="129"/>
      <w:bookmarkStart w:id="130" w:name="_Toc184310272"/>
      <w:bookmarkEnd w:id="130"/>
      <w:bookmarkStart w:id="131" w:name="_Toc184310275"/>
      <w:bookmarkEnd w:id="131"/>
      <w:bookmarkStart w:id="132" w:name="_Toc184308078"/>
      <w:bookmarkEnd w:id="132"/>
      <w:bookmarkStart w:id="133" w:name="_Toc184312069"/>
      <w:bookmarkEnd w:id="133"/>
      <w:bookmarkStart w:id="134" w:name="_Toc184310330"/>
      <w:bookmarkEnd w:id="134"/>
      <w:bookmarkStart w:id="135" w:name="_Toc184313287"/>
      <w:bookmarkEnd w:id="135"/>
      <w:bookmarkStart w:id="136" w:name="_Toc184314431"/>
      <w:bookmarkEnd w:id="136"/>
      <w:bookmarkStart w:id="137" w:name="_Toc184312099"/>
      <w:bookmarkEnd w:id="137"/>
      <w:bookmarkStart w:id="138" w:name="_Toc184313268"/>
      <w:bookmarkEnd w:id="138"/>
      <w:bookmarkStart w:id="139" w:name="_Toc184314410"/>
      <w:bookmarkEnd w:id="139"/>
      <w:bookmarkStart w:id="140" w:name="_Toc184314473"/>
      <w:bookmarkEnd w:id="140"/>
      <w:bookmarkStart w:id="141" w:name="_Toc184313295"/>
      <w:bookmarkEnd w:id="141"/>
      <w:bookmarkStart w:id="142" w:name="_Toc184308055"/>
      <w:bookmarkEnd w:id="142"/>
      <w:bookmarkStart w:id="143" w:name="_Toc184313278"/>
      <w:bookmarkEnd w:id="143"/>
      <w:bookmarkStart w:id="144" w:name="_Toc184314433"/>
      <w:bookmarkEnd w:id="144"/>
      <w:bookmarkStart w:id="145" w:name="_Toc184312133"/>
      <w:bookmarkEnd w:id="145"/>
      <w:bookmarkStart w:id="146" w:name="_Toc184314442"/>
      <w:bookmarkEnd w:id="146"/>
      <w:bookmarkStart w:id="147" w:name="_Toc184308043"/>
      <w:bookmarkEnd w:id="147"/>
      <w:bookmarkStart w:id="148" w:name="_Toc184313300"/>
      <w:bookmarkEnd w:id="148"/>
      <w:bookmarkStart w:id="149" w:name="_Toc184314482"/>
      <w:bookmarkEnd w:id="149"/>
      <w:bookmarkStart w:id="150" w:name="_Toc184308092"/>
      <w:bookmarkEnd w:id="150"/>
      <w:bookmarkStart w:id="151" w:name="_Toc184314449"/>
      <w:bookmarkEnd w:id="151"/>
      <w:bookmarkStart w:id="152" w:name="_Toc184314475"/>
      <w:bookmarkEnd w:id="152"/>
      <w:bookmarkStart w:id="153" w:name="_Toc184314468"/>
      <w:bookmarkEnd w:id="153"/>
      <w:bookmarkStart w:id="154" w:name="_Toc184312082"/>
      <w:bookmarkEnd w:id="154"/>
      <w:bookmarkStart w:id="155" w:name="_Toc184308073"/>
      <w:bookmarkEnd w:id="155"/>
      <w:bookmarkStart w:id="156" w:name="_Toc184308057"/>
      <w:bookmarkEnd w:id="156"/>
      <w:bookmarkStart w:id="157" w:name="_Toc184313291"/>
      <w:bookmarkEnd w:id="157"/>
      <w:bookmarkStart w:id="158" w:name="_Toc184313294"/>
      <w:bookmarkEnd w:id="158"/>
      <w:bookmarkStart w:id="159" w:name="_Toc184308054"/>
      <w:bookmarkEnd w:id="159"/>
      <w:bookmarkStart w:id="160" w:name="_Toc184312128"/>
      <w:bookmarkEnd w:id="160"/>
      <w:bookmarkStart w:id="161" w:name="_Toc184314437"/>
      <w:bookmarkEnd w:id="161"/>
      <w:bookmarkStart w:id="162" w:name="_Toc184308086"/>
      <w:bookmarkEnd w:id="162"/>
      <w:bookmarkStart w:id="163" w:name="_Toc184312091"/>
      <w:bookmarkEnd w:id="163"/>
      <w:bookmarkStart w:id="164" w:name="_Toc184310290"/>
      <w:bookmarkEnd w:id="164"/>
      <w:bookmarkStart w:id="165" w:name="_Toc184313267"/>
      <w:bookmarkEnd w:id="165"/>
      <w:bookmarkStart w:id="166" w:name="_Toc184308100"/>
      <w:bookmarkEnd w:id="166"/>
      <w:bookmarkStart w:id="167" w:name="_Toc184312134"/>
      <w:bookmarkEnd w:id="167"/>
      <w:bookmarkStart w:id="168" w:name="_Toc184313241"/>
      <w:bookmarkEnd w:id="168"/>
      <w:bookmarkStart w:id="169" w:name="_Toc184313245"/>
      <w:bookmarkEnd w:id="169"/>
      <w:bookmarkStart w:id="170" w:name="_Toc184312125"/>
      <w:bookmarkEnd w:id="170"/>
      <w:bookmarkStart w:id="171" w:name="_Toc184312127"/>
      <w:bookmarkEnd w:id="171"/>
      <w:bookmarkStart w:id="172" w:name="_Toc184308096"/>
      <w:bookmarkEnd w:id="172"/>
      <w:bookmarkStart w:id="173" w:name="_Toc184312117"/>
      <w:bookmarkEnd w:id="173"/>
      <w:bookmarkStart w:id="174" w:name="_Toc184314434"/>
      <w:bookmarkEnd w:id="174"/>
      <w:bookmarkStart w:id="175" w:name="_Toc184314421"/>
      <w:bookmarkEnd w:id="175"/>
      <w:bookmarkStart w:id="176" w:name="_Toc184308085"/>
      <w:bookmarkEnd w:id="176"/>
      <w:bookmarkStart w:id="177" w:name="_Toc184313266"/>
      <w:bookmarkEnd w:id="177"/>
      <w:bookmarkStart w:id="178" w:name="_Toc184310308"/>
      <w:bookmarkEnd w:id="178"/>
      <w:bookmarkStart w:id="179" w:name="_Toc184314467"/>
      <w:bookmarkEnd w:id="179"/>
      <w:bookmarkStart w:id="180" w:name="_Toc184314474"/>
      <w:bookmarkEnd w:id="180"/>
      <w:bookmarkStart w:id="181" w:name="_Toc184310276"/>
      <w:bookmarkEnd w:id="181"/>
      <w:bookmarkStart w:id="182" w:name="_Toc184308046"/>
      <w:bookmarkEnd w:id="182"/>
      <w:bookmarkStart w:id="183" w:name="_Toc184312074"/>
      <w:bookmarkEnd w:id="183"/>
      <w:bookmarkStart w:id="184" w:name="_Toc184310288"/>
      <w:bookmarkEnd w:id="184"/>
      <w:bookmarkStart w:id="185" w:name="_Toc184312130"/>
      <w:bookmarkEnd w:id="185"/>
      <w:bookmarkStart w:id="186" w:name="_Toc184312092"/>
      <w:bookmarkEnd w:id="186"/>
      <w:bookmarkStart w:id="187" w:name="_Toc184308064"/>
      <w:bookmarkEnd w:id="187"/>
      <w:bookmarkStart w:id="188" w:name="_Toc184310317"/>
      <w:bookmarkEnd w:id="188"/>
      <w:bookmarkStart w:id="189" w:name="_Toc184308076"/>
      <w:bookmarkEnd w:id="189"/>
      <w:bookmarkStart w:id="190" w:name="_Toc184313289"/>
      <w:bookmarkEnd w:id="190"/>
      <w:bookmarkStart w:id="191" w:name="_Toc184313302"/>
      <w:bookmarkEnd w:id="191"/>
      <w:bookmarkStart w:id="192" w:name="_Toc184308101"/>
      <w:bookmarkEnd w:id="192"/>
      <w:bookmarkStart w:id="193" w:name="_Toc184312098"/>
      <w:bookmarkEnd w:id="193"/>
      <w:bookmarkStart w:id="194" w:name="_Toc184310294"/>
      <w:bookmarkEnd w:id="194"/>
      <w:bookmarkStart w:id="195" w:name="_Toc184314450"/>
      <w:bookmarkEnd w:id="195"/>
      <w:bookmarkStart w:id="196" w:name="_Toc184308041"/>
      <w:bookmarkEnd w:id="196"/>
      <w:bookmarkStart w:id="197" w:name="_Toc184308048"/>
      <w:bookmarkEnd w:id="197"/>
      <w:bookmarkStart w:id="198" w:name="_Toc184314452"/>
      <w:bookmarkEnd w:id="198"/>
      <w:bookmarkStart w:id="199" w:name="_Toc184313239"/>
      <w:bookmarkEnd w:id="199"/>
      <w:bookmarkStart w:id="200" w:name="_Toc184312112"/>
      <w:bookmarkEnd w:id="200"/>
      <w:bookmarkStart w:id="201" w:name="_Toc184314476"/>
      <w:bookmarkEnd w:id="201"/>
      <w:bookmarkStart w:id="202" w:name="_Toc184314472"/>
      <w:bookmarkEnd w:id="202"/>
      <w:bookmarkStart w:id="203" w:name="_Toc184308094"/>
      <w:bookmarkEnd w:id="203"/>
      <w:bookmarkStart w:id="204" w:name="_Toc184312129"/>
      <w:bookmarkEnd w:id="204"/>
      <w:bookmarkStart w:id="205" w:name="_Toc184313263"/>
      <w:bookmarkEnd w:id="205"/>
      <w:bookmarkStart w:id="206" w:name="_Toc184310341"/>
      <w:bookmarkEnd w:id="206"/>
      <w:bookmarkStart w:id="207" w:name="_Toc184314422"/>
      <w:bookmarkEnd w:id="207"/>
      <w:bookmarkStart w:id="208" w:name="_Toc184310319"/>
      <w:bookmarkEnd w:id="208"/>
      <w:bookmarkStart w:id="209" w:name="_Toc184312116"/>
      <w:bookmarkEnd w:id="209"/>
      <w:bookmarkStart w:id="210" w:name="_Toc184310280"/>
      <w:bookmarkEnd w:id="210"/>
      <w:bookmarkStart w:id="211" w:name="_Toc184314427"/>
      <w:bookmarkEnd w:id="211"/>
      <w:bookmarkStart w:id="212" w:name="_Toc184314461"/>
      <w:bookmarkEnd w:id="212"/>
      <w:bookmarkStart w:id="213" w:name="_Toc184312123"/>
      <w:bookmarkEnd w:id="213"/>
      <w:bookmarkStart w:id="214" w:name="_Toc184313249"/>
      <w:bookmarkEnd w:id="214"/>
      <w:bookmarkStart w:id="215" w:name="_Toc184314415"/>
      <w:bookmarkEnd w:id="215"/>
      <w:bookmarkStart w:id="216" w:name="_Toc184314439"/>
      <w:bookmarkEnd w:id="216"/>
      <w:bookmarkStart w:id="217" w:name="_Toc184310340"/>
      <w:bookmarkEnd w:id="217"/>
      <w:bookmarkStart w:id="218" w:name="_Toc184310316"/>
      <w:bookmarkEnd w:id="218"/>
      <w:bookmarkStart w:id="219" w:name="_Toc184310303"/>
      <w:bookmarkEnd w:id="219"/>
      <w:bookmarkStart w:id="220" w:name="_Toc184308088"/>
      <w:bookmarkEnd w:id="220"/>
      <w:bookmarkStart w:id="221" w:name="_Toc184312085"/>
      <w:bookmarkEnd w:id="221"/>
      <w:bookmarkStart w:id="222" w:name="_Toc184312135"/>
      <w:bookmarkEnd w:id="222"/>
      <w:bookmarkStart w:id="223" w:name="_Toc184313265"/>
      <w:bookmarkEnd w:id="223"/>
      <w:bookmarkStart w:id="224" w:name="_Toc184314424"/>
      <w:bookmarkEnd w:id="224"/>
      <w:bookmarkStart w:id="225" w:name="_Toc184312095"/>
      <w:bookmarkEnd w:id="225"/>
      <w:bookmarkStart w:id="226" w:name="_Toc184312108"/>
      <w:bookmarkEnd w:id="226"/>
      <w:bookmarkStart w:id="227" w:name="_Toc184312132"/>
      <w:bookmarkEnd w:id="227"/>
      <w:bookmarkStart w:id="228" w:name="_Toc184308106"/>
      <w:bookmarkEnd w:id="228"/>
      <w:bookmarkStart w:id="229" w:name="_Toc184310279"/>
      <w:bookmarkEnd w:id="229"/>
      <w:bookmarkStart w:id="230" w:name="_Toc184312131"/>
      <w:bookmarkEnd w:id="230"/>
      <w:bookmarkStart w:id="231" w:name="_Toc184314419"/>
      <w:bookmarkEnd w:id="231"/>
      <w:bookmarkStart w:id="232" w:name="_Toc184310318"/>
      <w:bookmarkEnd w:id="232"/>
      <w:bookmarkStart w:id="233" w:name="_Toc184308104"/>
      <w:bookmarkEnd w:id="233"/>
      <w:bookmarkStart w:id="234" w:name="_Toc184314460"/>
      <w:bookmarkEnd w:id="234"/>
      <w:bookmarkStart w:id="235" w:name="_Toc184310296"/>
      <w:bookmarkEnd w:id="235"/>
      <w:bookmarkStart w:id="236" w:name="_Toc184308097"/>
      <w:bookmarkEnd w:id="236"/>
      <w:bookmarkStart w:id="237" w:name="_Toc184308047"/>
      <w:bookmarkEnd w:id="237"/>
      <w:bookmarkStart w:id="238" w:name="_Toc184314443"/>
      <w:bookmarkEnd w:id="238"/>
      <w:bookmarkStart w:id="239" w:name="_Toc184314425"/>
      <w:bookmarkEnd w:id="239"/>
      <w:bookmarkStart w:id="240" w:name="_Toc184308080"/>
      <w:bookmarkEnd w:id="240"/>
      <w:bookmarkStart w:id="241" w:name="_Toc184308045"/>
      <w:bookmarkEnd w:id="241"/>
      <w:bookmarkStart w:id="242" w:name="_Toc184314445"/>
      <w:bookmarkEnd w:id="242"/>
      <w:bookmarkStart w:id="243" w:name="_Toc184312110"/>
      <w:bookmarkEnd w:id="243"/>
      <w:bookmarkStart w:id="244" w:name="_Toc184312080"/>
      <w:bookmarkEnd w:id="244"/>
      <w:bookmarkStart w:id="245" w:name="_Toc184314441"/>
      <w:bookmarkEnd w:id="245"/>
      <w:bookmarkStart w:id="246" w:name="_Toc184310273"/>
      <w:bookmarkEnd w:id="246"/>
      <w:bookmarkStart w:id="247" w:name="_Toc184312103"/>
      <w:bookmarkEnd w:id="247"/>
      <w:bookmarkStart w:id="248" w:name="_Toc184308095"/>
      <w:bookmarkEnd w:id="248"/>
      <w:bookmarkStart w:id="249" w:name="_Toc184313259"/>
      <w:bookmarkEnd w:id="249"/>
      <w:bookmarkStart w:id="250" w:name="_Toc184310338"/>
      <w:bookmarkEnd w:id="250"/>
      <w:bookmarkStart w:id="251" w:name="_Toc184310329"/>
      <w:bookmarkEnd w:id="251"/>
      <w:bookmarkStart w:id="252" w:name="_Toc184308077"/>
      <w:bookmarkEnd w:id="252"/>
      <w:bookmarkStart w:id="253" w:name="_Toc184308068"/>
      <w:bookmarkEnd w:id="253"/>
      <w:bookmarkStart w:id="254" w:name="_Toc184314466"/>
      <w:bookmarkEnd w:id="254"/>
      <w:bookmarkStart w:id="255" w:name="_Toc184312136"/>
      <w:bookmarkEnd w:id="255"/>
      <w:bookmarkStart w:id="256" w:name="_Toc184310283"/>
      <w:bookmarkEnd w:id="256"/>
      <w:bookmarkStart w:id="257" w:name="_Toc184312086"/>
      <w:bookmarkEnd w:id="257"/>
      <w:bookmarkStart w:id="258" w:name="_Toc184313288"/>
      <w:bookmarkEnd w:id="258"/>
      <w:bookmarkStart w:id="259" w:name="_Toc184312121"/>
      <w:bookmarkEnd w:id="259"/>
      <w:bookmarkStart w:id="260" w:name="_Toc184314435"/>
      <w:bookmarkEnd w:id="260"/>
      <w:bookmarkStart w:id="261" w:name="_Toc184313301"/>
      <w:bookmarkEnd w:id="261"/>
      <w:bookmarkStart w:id="262" w:name="_Toc184310299"/>
      <w:bookmarkEnd w:id="262"/>
      <w:bookmarkStart w:id="263" w:name="_Toc184314446"/>
      <w:bookmarkEnd w:id="263"/>
      <w:bookmarkStart w:id="264" w:name="_Toc184313261"/>
      <w:bookmarkEnd w:id="264"/>
      <w:bookmarkStart w:id="265" w:name="_Toc184308051"/>
      <w:bookmarkEnd w:id="265"/>
      <w:bookmarkStart w:id="266" w:name="_Toc184308042"/>
      <w:bookmarkEnd w:id="266"/>
      <w:bookmarkStart w:id="267" w:name="_Toc184314447"/>
      <w:bookmarkEnd w:id="267"/>
      <w:bookmarkStart w:id="268" w:name="_Toc184310337"/>
      <w:bookmarkEnd w:id="268"/>
      <w:bookmarkStart w:id="269" w:name="_Toc184310285"/>
      <w:bookmarkEnd w:id="269"/>
      <w:bookmarkStart w:id="270" w:name="_Toc184313275"/>
      <w:bookmarkEnd w:id="270"/>
      <w:bookmarkStart w:id="271" w:name="_Toc184312111"/>
      <w:bookmarkEnd w:id="271"/>
      <w:bookmarkStart w:id="272" w:name="_Toc184313299"/>
      <w:bookmarkEnd w:id="272"/>
      <w:bookmarkStart w:id="273" w:name="_Toc184312096"/>
      <w:bookmarkEnd w:id="273"/>
      <w:bookmarkStart w:id="274" w:name="_Toc184308090"/>
      <w:bookmarkEnd w:id="274"/>
      <w:bookmarkStart w:id="275" w:name="_Toc184312114"/>
      <w:bookmarkEnd w:id="275"/>
      <w:bookmarkStart w:id="276" w:name="_Toc184314481"/>
      <w:bookmarkEnd w:id="276"/>
      <w:bookmarkStart w:id="277" w:name="_Toc184308038"/>
      <w:bookmarkEnd w:id="277"/>
      <w:bookmarkStart w:id="278" w:name="_Toc184314478"/>
      <w:bookmarkEnd w:id="278"/>
      <w:bookmarkStart w:id="279" w:name="_Toc184314451"/>
      <w:bookmarkEnd w:id="279"/>
      <w:bookmarkStart w:id="280" w:name="_Toc184312076"/>
      <w:bookmarkEnd w:id="280"/>
      <w:bookmarkStart w:id="281" w:name="_Toc184310286"/>
      <w:bookmarkEnd w:id="281"/>
      <w:bookmarkStart w:id="282" w:name="_Toc184314463"/>
      <w:bookmarkEnd w:id="282"/>
      <w:bookmarkStart w:id="283" w:name="_Toc184314457"/>
      <w:bookmarkEnd w:id="283"/>
      <w:bookmarkStart w:id="284" w:name="_Toc184308084"/>
      <w:bookmarkEnd w:id="284"/>
      <w:bookmarkStart w:id="285" w:name="_Toc184310277"/>
      <w:bookmarkEnd w:id="285"/>
      <w:bookmarkStart w:id="286" w:name="_Toc184312105"/>
      <w:bookmarkEnd w:id="286"/>
      <w:bookmarkStart w:id="287" w:name="_Toc184310331"/>
      <w:bookmarkEnd w:id="287"/>
      <w:bookmarkStart w:id="288" w:name="_Toc184310336"/>
      <w:bookmarkEnd w:id="288"/>
      <w:bookmarkStart w:id="289" w:name="_Toc184313306"/>
      <w:bookmarkEnd w:id="289"/>
      <w:bookmarkStart w:id="290" w:name="_Toc184314418"/>
      <w:bookmarkEnd w:id="290"/>
      <w:bookmarkStart w:id="291" w:name="_Toc184313283"/>
      <w:bookmarkEnd w:id="291"/>
      <w:bookmarkStart w:id="292" w:name="_Toc184313290"/>
      <w:bookmarkEnd w:id="292"/>
      <w:bookmarkStart w:id="293" w:name="_Toc184308107"/>
      <w:bookmarkEnd w:id="293"/>
      <w:bookmarkStart w:id="294" w:name="_Toc184308061"/>
      <w:bookmarkEnd w:id="294"/>
      <w:bookmarkStart w:id="295" w:name="_Toc184308072"/>
      <w:bookmarkEnd w:id="295"/>
      <w:bookmarkStart w:id="296" w:name="_Toc184310314"/>
      <w:bookmarkEnd w:id="296"/>
      <w:bookmarkStart w:id="297" w:name="_Toc184313271"/>
      <w:bookmarkEnd w:id="297"/>
      <w:bookmarkStart w:id="298" w:name="_Toc184308039"/>
      <w:bookmarkEnd w:id="298"/>
      <w:bookmarkStart w:id="299" w:name="_Toc184310293"/>
      <w:bookmarkEnd w:id="299"/>
      <w:bookmarkStart w:id="300" w:name="_Toc184313282"/>
      <w:bookmarkEnd w:id="300"/>
      <w:bookmarkStart w:id="301" w:name="_Toc184310291"/>
      <w:bookmarkEnd w:id="301"/>
      <w:bookmarkStart w:id="302" w:name="_Toc184313310"/>
      <w:bookmarkEnd w:id="302"/>
      <w:bookmarkStart w:id="303" w:name="_Toc184310278"/>
      <w:bookmarkEnd w:id="303"/>
      <w:bookmarkStart w:id="304" w:name="_Toc184310313"/>
      <w:bookmarkEnd w:id="304"/>
      <w:bookmarkStart w:id="305" w:name="_Toc184312077"/>
      <w:bookmarkEnd w:id="305"/>
      <w:bookmarkStart w:id="306" w:name="_Toc184313279"/>
      <w:bookmarkEnd w:id="306"/>
      <w:bookmarkStart w:id="307" w:name="_Toc184310343"/>
      <w:bookmarkEnd w:id="307"/>
      <w:bookmarkStart w:id="308" w:name="_Toc184308093"/>
      <w:bookmarkEnd w:id="308"/>
      <w:bookmarkStart w:id="309" w:name="_Toc184313243"/>
      <w:bookmarkEnd w:id="309"/>
      <w:bookmarkStart w:id="310" w:name="_Toc184312070"/>
      <w:bookmarkEnd w:id="310"/>
      <w:bookmarkStart w:id="311" w:name="_Toc184308075"/>
      <w:bookmarkEnd w:id="311"/>
      <w:bookmarkStart w:id="312" w:name="_Toc184314470"/>
      <w:bookmarkEnd w:id="312"/>
      <w:bookmarkStart w:id="313" w:name="_Toc184308070"/>
      <w:bookmarkEnd w:id="313"/>
      <w:bookmarkStart w:id="314" w:name="_Toc184312067"/>
      <w:bookmarkEnd w:id="314"/>
      <w:bookmarkStart w:id="315" w:name="_Toc184313264"/>
      <w:bookmarkEnd w:id="315"/>
      <w:bookmarkStart w:id="316" w:name="_Toc184308081"/>
      <w:bookmarkEnd w:id="316"/>
      <w:bookmarkStart w:id="317" w:name="_Toc184310334"/>
      <w:bookmarkEnd w:id="317"/>
      <w:bookmarkStart w:id="318" w:name="_Toc184313308"/>
      <w:bookmarkEnd w:id="318"/>
      <w:bookmarkStart w:id="319" w:name="_Toc184313281"/>
      <w:bookmarkEnd w:id="319"/>
      <w:bookmarkStart w:id="320" w:name="_Toc184314456"/>
      <w:bookmarkEnd w:id="320"/>
      <w:bookmarkStart w:id="321" w:name="_Toc184308044"/>
      <w:bookmarkEnd w:id="321"/>
      <w:bookmarkStart w:id="322" w:name="_Toc184308099"/>
      <w:bookmarkEnd w:id="322"/>
      <w:bookmarkStart w:id="323" w:name="_Toc184314471"/>
      <w:bookmarkEnd w:id="323"/>
      <w:bookmarkStart w:id="324" w:name="_Toc184314426"/>
      <w:bookmarkEnd w:id="324"/>
      <w:bookmarkStart w:id="325" w:name="_Toc184308083"/>
      <w:bookmarkEnd w:id="325"/>
      <w:bookmarkStart w:id="326" w:name="_Toc184312083"/>
      <w:bookmarkEnd w:id="326"/>
      <w:bookmarkStart w:id="327" w:name="_Toc184310301"/>
      <w:bookmarkEnd w:id="327"/>
      <w:bookmarkStart w:id="328" w:name="_Toc184313269"/>
      <w:bookmarkEnd w:id="328"/>
      <w:bookmarkStart w:id="329" w:name="_Toc184310312"/>
      <w:bookmarkEnd w:id="329"/>
      <w:bookmarkStart w:id="330" w:name="_Toc184313247"/>
      <w:bookmarkEnd w:id="330"/>
      <w:bookmarkStart w:id="331" w:name="_Toc184313273"/>
      <w:bookmarkEnd w:id="331"/>
      <w:bookmarkStart w:id="332" w:name="_Toc184314453"/>
      <w:bookmarkEnd w:id="332"/>
      <w:bookmarkStart w:id="333" w:name="_Toc184313242"/>
      <w:bookmarkEnd w:id="333"/>
      <w:bookmarkStart w:id="334" w:name="_Toc184313286"/>
      <w:bookmarkEnd w:id="334"/>
      <w:bookmarkStart w:id="335" w:name="_Toc184312075"/>
      <w:bookmarkEnd w:id="335"/>
      <w:bookmarkStart w:id="336" w:name="_Toc184314479"/>
      <w:bookmarkEnd w:id="336"/>
      <w:bookmarkStart w:id="337" w:name="_Toc184308079"/>
      <w:bookmarkEnd w:id="337"/>
      <w:bookmarkStart w:id="338" w:name="_Toc184314459"/>
      <w:bookmarkEnd w:id="338"/>
      <w:bookmarkStart w:id="339" w:name="_Toc184308066"/>
      <w:bookmarkEnd w:id="339"/>
      <w:bookmarkStart w:id="340" w:name="_Toc184314462"/>
      <w:bookmarkEnd w:id="340"/>
      <w:bookmarkStart w:id="341" w:name="_Toc184313285"/>
      <w:bookmarkEnd w:id="341"/>
      <w:bookmarkStart w:id="342" w:name="_Toc184308040"/>
      <w:bookmarkEnd w:id="342"/>
      <w:bookmarkStart w:id="343" w:name="_Toc184312073"/>
      <w:bookmarkEnd w:id="343"/>
      <w:bookmarkStart w:id="344" w:name="_Toc184313254"/>
      <w:bookmarkEnd w:id="344"/>
      <w:bookmarkStart w:id="345" w:name="_Toc184312084"/>
      <w:bookmarkEnd w:id="345"/>
      <w:bookmarkStart w:id="346" w:name="_Toc184314438"/>
      <w:bookmarkEnd w:id="346"/>
      <w:bookmarkStart w:id="347" w:name="_Toc184308067"/>
      <w:bookmarkEnd w:id="347"/>
      <w:bookmarkStart w:id="348" w:name="_Toc184312137"/>
      <w:bookmarkEnd w:id="348"/>
      <w:bookmarkStart w:id="349" w:name="_Toc184313293"/>
      <w:bookmarkEnd w:id="349"/>
      <w:bookmarkStart w:id="350" w:name="_Toc184313307"/>
      <w:bookmarkEnd w:id="350"/>
      <w:bookmarkStart w:id="351" w:name="_Toc184312118"/>
      <w:bookmarkEnd w:id="351"/>
      <w:bookmarkStart w:id="352" w:name="_Toc184313303"/>
      <w:bookmarkEnd w:id="352"/>
      <w:bookmarkStart w:id="353" w:name="_Toc184313258"/>
      <w:bookmarkEnd w:id="353"/>
      <w:bookmarkStart w:id="354" w:name="_Toc184310326"/>
      <w:bookmarkEnd w:id="354"/>
      <w:bookmarkStart w:id="355" w:name="_Toc184310327"/>
      <w:bookmarkEnd w:id="355"/>
      <w:bookmarkStart w:id="356" w:name="_Toc184308063"/>
      <w:bookmarkEnd w:id="356"/>
      <w:bookmarkStart w:id="357" w:name="_Toc184308062"/>
      <w:bookmarkEnd w:id="357"/>
      <w:bookmarkStart w:id="358" w:name="_Toc184313248"/>
      <w:bookmarkEnd w:id="358"/>
      <w:bookmarkStart w:id="359" w:name="_Toc184313252"/>
      <w:bookmarkEnd w:id="359"/>
      <w:bookmarkStart w:id="360" w:name="_Toc184308056"/>
      <w:bookmarkEnd w:id="360"/>
      <w:bookmarkStart w:id="361" w:name="_Toc184312071"/>
      <w:bookmarkEnd w:id="361"/>
      <w:bookmarkStart w:id="362" w:name="_Toc184314412"/>
      <w:bookmarkEnd w:id="362"/>
      <w:bookmarkStart w:id="363" w:name="_Toc184314420"/>
      <w:bookmarkEnd w:id="363"/>
      <w:bookmarkStart w:id="364" w:name="_Toc184313309"/>
      <w:bookmarkEnd w:id="364"/>
      <w:bookmarkStart w:id="365" w:name="_Toc184312089"/>
      <w:bookmarkEnd w:id="365"/>
      <w:bookmarkStart w:id="366" w:name="_Toc184314440"/>
      <w:bookmarkEnd w:id="366"/>
      <w:bookmarkStart w:id="367" w:name="_Toc184314429"/>
      <w:bookmarkEnd w:id="367"/>
      <w:bookmarkStart w:id="368" w:name="_Toc184313256"/>
      <w:bookmarkEnd w:id="368"/>
      <w:bookmarkStart w:id="369" w:name="_Toc184313298"/>
      <w:bookmarkEnd w:id="369"/>
      <w:bookmarkStart w:id="370" w:name="_Toc184314458"/>
      <w:bookmarkEnd w:id="370"/>
      <w:bookmarkStart w:id="371" w:name="_Toc184314414"/>
      <w:bookmarkEnd w:id="371"/>
      <w:bookmarkStart w:id="372" w:name="_Toc184308071"/>
      <w:bookmarkEnd w:id="372"/>
      <w:bookmarkStart w:id="373" w:name="_Toc184312126"/>
      <w:bookmarkEnd w:id="373"/>
      <w:bookmarkStart w:id="374" w:name="_Toc184314455"/>
      <w:bookmarkEnd w:id="374"/>
      <w:bookmarkStart w:id="375" w:name="_Toc184310324"/>
      <w:bookmarkEnd w:id="375"/>
      <w:bookmarkStart w:id="376" w:name="_Toc184310315"/>
      <w:bookmarkEnd w:id="376"/>
      <w:bookmarkStart w:id="377" w:name="_Toc184312081"/>
      <w:bookmarkEnd w:id="377"/>
      <w:bookmarkStart w:id="378" w:name="_Toc184313255"/>
      <w:bookmarkEnd w:id="378"/>
      <w:bookmarkStart w:id="379" w:name="_Toc184310335"/>
      <w:bookmarkEnd w:id="379"/>
      <w:bookmarkStart w:id="380" w:name="_Toc184314413"/>
      <w:bookmarkEnd w:id="380"/>
      <w:bookmarkStart w:id="381" w:name="_Toc184312100"/>
      <w:bookmarkEnd w:id="381"/>
      <w:bookmarkStart w:id="382" w:name="_Toc184314448"/>
      <w:bookmarkEnd w:id="382"/>
      <w:bookmarkStart w:id="383" w:name="_Toc184310305"/>
      <w:bookmarkEnd w:id="383"/>
      <w:bookmarkStart w:id="384" w:name="_Toc184312090"/>
      <w:bookmarkEnd w:id="384"/>
      <w:bookmarkStart w:id="385" w:name="_Toc184313257"/>
      <w:bookmarkEnd w:id="385"/>
      <w:bookmarkStart w:id="386" w:name="_Toc184312122"/>
      <w:bookmarkEnd w:id="386"/>
      <w:bookmarkStart w:id="387" w:name="_Toc184312115"/>
      <w:bookmarkEnd w:id="387"/>
      <w:bookmarkStart w:id="388" w:name="_Toc184310344"/>
      <w:bookmarkEnd w:id="388"/>
      <w:bookmarkStart w:id="389" w:name="_Toc184312107"/>
      <w:bookmarkEnd w:id="389"/>
      <w:bookmarkStart w:id="390" w:name="_Toc184308050"/>
      <w:bookmarkEnd w:id="390"/>
      <w:bookmarkStart w:id="391" w:name="_Toc184314444"/>
      <w:bookmarkEnd w:id="391"/>
      <w:bookmarkStart w:id="392" w:name="_Toc184314411"/>
      <w:bookmarkEnd w:id="392"/>
      <w:bookmarkStart w:id="393" w:name="_Toc184310325"/>
      <w:bookmarkEnd w:id="393"/>
      <w:bookmarkStart w:id="394" w:name="_Toc184314465"/>
      <w:bookmarkEnd w:id="394"/>
      <w:bookmarkStart w:id="395" w:name="_Toc184308098"/>
      <w:bookmarkEnd w:id="395"/>
      <w:bookmarkStart w:id="396" w:name="_Toc184310309"/>
      <w:bookmarkEnd w:id="396"/>
      <w:bookmarkStart w:id="397" w:name="_Toc184314477"/>
      <w:bookmarkEnd w:id="397"/>
      <w:bookmarkStart w:id="398" w:name="_Toc184312119"/>
      <w:bookmarkEnd w:id="398"/>
      <w:bookmarkStart w:id="399" w:name="_Toc184312078"/>
      <w:bookmarkEnd w:id="399"/>
      <w:bookmarkStart w:id="400" w:name="_Toc184308053"/>
      <w:bookmarkEnd w:id="400"/>
      <w:bookmarkStart w:id="401" w:name="_Toc184313260"/>
      <w:bookmarkEnd w:id="401"/>
      <w:bookmarkStart w:id="402" w:name="_Toc184312139"/>
      <w:bookmarkEnd w:id="402"/>
      <w:bookmarkStart w:id="403" w:name="_Toc184308103"/>
      <w:bookmarkEnd w:id="403"/>
      <w:bookmarkStart w:id="404" w:name="_Toc184314416"/>
      <w:bookmarkEnd w:id="404"/>
      <w:bookmarkStart w:id="405" w:name="_Toc184312113"/>
      <w:bookmarkEnd w:id="405"/>
      <w:bookmarkStart w:id="406" w:name="_Toc184313270"/>
      <w:bookmarkEnd w:id="406"/>
      <w:bookmarkStart w:id="407" w:name="_Toc184308058"/>
      <w:bookmarkEnd w:id="407"/>
      <w:bookmarkStart w:id="408" w:name="_Toc184313262"/>
      <w:bookmarkEnd w:id="408"/>
      <w:bookmarkStart w:id="409" w:name="_Toc184314464"/>
      <w:bookmarkEnd w:id="409"/>
      <w:bookmarkStart w:id="410" w:name="_Toc184314423"/>
      <w:bookmarkEnd w:id="410"/>
      <w:bookmarkStart w:id="411" w:name="_Toc184312104"/>
      <w:bookmarkEnd w:id="411"/>
      <w:bookmarkStart w:id="412" w:name="_Toc184310323"/>
      <w:bookmarkEnd w:id="412"/>
      <w:bookmarkStart w:id="413" w:name="_Toc184312087"/>
      <w:bookmarkEnd w:id="413"/>
      <w:bookmarkStart w:id="414" w:name="_Toc184310298"/>
      <w:bookmarkEnd w:id="414"/>
      <w:bookmarkStart w:id="415" w:name="_Toc184308036"/>
      <w:bookmarkEnd w:id="415"/>
      <w:bookmarkStart w:id="416" w:name="_Toc184308049"/>
      <w:bookmarkEnd w:id="416"/>
      <w:bookmarkStart w:id="417" w:name="_Toc184312072"/>
      <w:bookmarkEnd w:id="417"/>
      <w:bookmarkStart w:id="418" w:name="_Toc184310332"/>
      <w:bookmarkEnd w:id="418"/>
      <w:bookmarkStart w:id="419" w:name="_Toc184310310"/>
      <w:bookmarkEnd w:id="419"/>
      <w:bookmarkStart w:id="420" w:name="_Toc184314417"/>
      <w:bookmarkEnd w:id="420"/>
      <w:bookmarkStart w:id="421" w:name="_Toc184313280"/>
      <w:bookmarkEnd w:id="421"/>
      <w:bookmarkStart w:id="422" w:name="_Toc184310302"/>
      <w:bookmarkEnd w:id="422"/>
      <w:bookmarkStart w:id="423" w:name="_Toc184313250"/>
      <w:bookmarkEnd w:id="423"/>
      <w:bookmarkStart w:id="424" w:name="_Toc184312102"/>
      <w:bookmarkEnd w:id="424"/>
      <w:bookmarkStart w:id="425" w:name="_Toc184310284"/>
      <w:bookmarkEnd w:id="425"/>
      <w:bookmarkStart w:id="426" w:name="_Toc184313304"/>
      <w:bookmarkEnd w:id="426"/>
      <w:bookmarkStart w:id="427" w:name="_Toc184314430"/>
      <w:bookmarkEnd w:id="427"/>
      <w:bookmarkStart w:id="428" w:name="_Toc184313276"/>
      <w:bookmarkEnd w:id="428"/>
      <w:bookmarkStart w:id="429" w:name="_Toc184310307"/>
      <w:bookmarkEnd w:id="429"/>
      <w:r>
        <w:rPr>
          <w:rFonts w:hint="eastAsia" w:asciiTheme="minorEastAsia" w:hAnsiTheme="minorEastAsia" w:eastAsiaTheme="minorEastAsia" w:cstheme="minorEastAsia"/>
          <w:b/>
          <w:color w:val="auto"/>
          <w:sz w:val="36"/>
          <w:szCs w:val="36"/>
        </w:rPr>
        <w:t>评标办法</w:t>
      </w:r>
    </w:p>
    <w:p w14:paraId="5B0F5E3F">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评标办法前附表</w:t>
      </w:r>
    </w:p>
    <w:tbl>
      <w:tblPr>
        <w:tblStyle w:val="19"/>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7524"/>
        <w:gridCol w:w="778"/>
      </w:tblGrid>
      <w:tr w14:paraId="7041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484" w:type="pct"/>
            <w:vAlign w:val="center"/>
          </w:tcPr>
          <w:p w14:paraId="2AF14AF5">
            <w:pPr>
              <w:snapToGrid w:val="0"/>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092" w:type="pct"/>
            <w:vAlign w:val="center"/>
          </w:tcPr>
          <w:p w14:paraId="1B7EEDE1">
            <w:pPr>
              <w:snapToGrid w:val="0"/>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423" w:type="pct"/>
            <w:vAlign w:val="center"/>
          </w:tcPr>
          <w:p w14:paraId="5CE254F6">
            <w:pPr>
              <w:snapToGrid w:val="0"/>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权重</w:t>
            </w:r>
          </w:p>
        </w:tc>
      </w:tr>
      <w:tr w14:paraId="2388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4" w:type="pct"/>
            <w:vAlign w:val="center"/>
          </w:tcPr>
          <w:p w14:paraId="353C7DBC">
            <w:pPr>
              <w:adjustRightInd w:val="0"/>
              <w:jc w:val="center"/>
              <w:outlineLvl w:val="0"/>
              <w:rPr>
                <w:rFonts w:hint="eastAsia" w:ascii="宋体" w:hAnsi="宋体" w:eastAsia="宋体" w:cs="宋体"/>
                <w:color w:val="auto"/>
                <w:sz w:val="24"/>
                <w:szCs w:val="24"/>
              </w:rPr>
            </w:pPr>
            <w:bookmarkStart w:id="430" w:name="_Hlk203745860"/>
            <w:r>
              <w:rPr>
                <w:rFonts w:hint="eastAsia" w:ascii="宋体" w:hAnsi="宋体" w:eastAsia="宋体" w:cs="宋体"/>
                <w:color w:val="auto"/>
                <w:sz w:val="24"/>
                <w:szCs w:val="24"/>
              </w:rPr>
              <w:t>/</w:t>
            </w:r>
          </w:p>
        </w:tc>
        <w:tc>
          <w:tcPr>
            <w:tcW w:w="4092" w:type="pct"/>
            <w:vAlign w:val="center"/>
          </w:tcPr>
          <w:p w14:paraId="10C0B869">
            <w:pPr>
              <w:adjustRightInd w:val="0"/>
              <w:snapToGrid w:val="0"/>
              <w:ind w:firstLine="480" w:firstLineChars="200"/>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有效投标报价的最低价作为评标基准价，其最低报价为满分；按［投标报价得分=（评标基准价/投标报价）×</w:t>
            </w:r>
            <w:r>
              <w:rPr>
                <w:rFonts w:hint="eastAsia" w:ascii="宋体" w:hAnsi="宋体" w:eastAsia="宋体" w:cs="宋体"/>
                <w:color w:val="auto"/>
                <w:kern w:val="0"/>
                <w:sz w:val="24"/>
                <w:szCs w:val="24"/>
              </w:rPr>
              <w:t>15</w:t>
            </w:r>
            <w:r>
              <w:rPr>
                <w:rFonts w:hint="eastAsia" w:ascii="宋体" w:hAnsi="宋体" w:eastAsia="宋体" w:cs="宋体"/>
                <w:color w:val="auto"/>
                <w:kern w:val="0"/>
                <w:sz w:val="24"/>
                <w:szCs w:val="24"/>
                <w:lang w:val="zh-CN"/>
              </w:rPr>
              <w:t>］的计算公式计算。</w:t>
            </w:r>
          </w:p>
          <w:p w14:paraId="54913993">
            <w:pPr>
              <w:adjustRightInd w:val="0"/>
              <w:snapToGri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评标过程中，不得去掉报价中的最高报价和最低报价。</w:t>
            </w:r>
          </w:p>
        </w:tc>
        <w:tc>
          <w:tcPr>
            <w:tcW w:w="423" w:type="pct"/>
            <w:vAlign w:val="center"/>
          </w:tcPr>
          <w:p w14:paraId="0B177E4D">
            <w:pPr>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44E9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60468808">
            <w:pPr>
              <w:snapToGrid w:val="0"/>
              <w:ind w:firstLine="360" w:firstLineChars="150"/>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092" w:type="pct"/>
            <w:vAlign w:val="center"/>
          </w:tcPr>
          <w:p w14:paraId="60752682">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【客观分】投标供应商2022年1月1日以来具有类似项目实施业绩，每提供1份业绩证明材料得0.5分，最高得1分。</w:t>
            </w:r>
          </w:p>
          <w:p w14:paraId="60A8177A">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证明材料：提供合同复印件或验收资料，未提供不得分。</w:t>
            </w:r>
          </w:p>
        </w:tc>
        <w:tc>
          <w:tcPr>
            <w:tcW w:w="423" w:type="pct"/>
            <w:vAlign w:val="center"/>
          </w:tcPr>
          <w:p w14:paraId="71025D5D">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67FF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84" w:type="pct"/>
            <w:vAlign w:val="center"/>
          </w:tcPr>
          <w:p w14:paraId="280CE7B6">
            <w:pPr>
              <w:snapToGrid w:val="0"/>
              <w:ind w:firstLine="360" w:firstLineChars="150"/>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092" w:type="pct"/>
            <w:vAlign w:val="center"/>
          </w:tcPr>
          <w:p w14:paraId="02266106">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【客观分】投标人具有有效的信息安全管理体系认证证书得2分。</w:t>
            </w:r>
          </w:p>
          <w:p w14:paraId="5AC34378">
            <w:pPr>
              <w:widowControl/>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证明材料：有效认证证书扫描件，未提供不得分</w:t>
            </w:r>
            <w:r>
              <w:rPr>
                <w:rFonts w:hint="eastAsia" w:ascii="宋体" w:hAnsi="宋体" w:cs="宋体"/>
                <w:color w:val="auto"/>
                <w:kern w:val="0"/>
                <w:sz w:val="24"/>
                <w:szCs w:val="24"/>
                <w:lang w:eastAsia="zh-CN"/>
              </w:rPr>
              <w:t>。</w:t>
            </w:r>
          </w:p>
        </w:tc>
        <w:tc>
          <w:tcPr>
            <w:tcW w:w="423" w:type="pct"/>
            <w:vAlign w:val="center"/>
          </w:tcPr>
          <w:p w14:paraId="236B8C25">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r>
      <w:tr w14:paraId="0417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84" w:type="pct"/>
            <w:vAlign w:val="center"/>
          </w:tcPr>
          <w:p w14:paraId="4845C528">
            <w:pPr>
              <w:snapToGrid w:val="0"/>
              <w:ind w:firstLine="360" w:firstLineChars="150"/>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092" w:type="pct"/>
            <w:vAlign w:val="center"/>
          </w:tcPr>
          <w:p w14:paraId="6B8E5394">
            <w:pPr>
              <w:widowControl/>
              <w:textAlignment w:val="center"/>
              <w:rPr>
                <w:rFonts w:hint="eastAsia" w:ascii="宋体" w:hAnsi="宋体" w:eastAsia="宋体" w:cs="宋体"/>
                <w:bCs/>
                <w:color w:val="auto"/>
                <w:sz w:val="24"/>
                <w:szCs w:val="24"/>
              </w:rPr>
            </w:pPr>
            <w:r>
              <w:rPr>
                <w:rFonts w:hint="eastAsia" w:ascii="宋体" w:hAnsi="宋体" w:eastAsia="宋体" w:cs="宋体"/>
                <w:color w:val="auto"/>
                <w:kern w:val="0"/>
                <w:sz w:val="24"/>
                <w:szCs w:val="24"/>
              </w:rPr>
              <w:t>【客观分】投标人具有项目相关</w:t>
            </w:r>
            <w:r>
              <w:rPr>
                <w:rFonts w:hint="eastAsia" w:ascii="宋体" w:hAnsi="宋体" w:eastAsia="宋体" w:cs="宋体"/>
                <w:bCs/>
                <w:color w:val="auto"/>
                <w:sz w:val="24"/>
                <w:szCs w:val="24"/>
              </w:rPr>
              <w:t>计算机软件著作权登记证书的，每个得1分，此项最多得5分。</w:t>
            </w:r>
          </w:p>
          <w:p w14:paraId="11DC2879">
            <w:pPr>
              <w:widowControl/>
              <w:textAlignment w:val="center"/>
              <w:rPr>
                <w:rFonts w:hint="eastAsia" w:ascii="宋体" w:hAnsi="宋体" w:eastAsia="宋体" w:cs="宋体"/>
                <w:color w:val="auto"/>
                <w:kern w:val="0"/>
                <w:sz w:val="24"/>
                <w:szCs w:val="24"/>
              </w:rPr>
            </w:pPr>
            <w:r>
              <w:rPr>
                <w:rFonts w:hint="eastAsia" w:ascii="宋体" w:hAnsi="宋体" w:eastAsia="宋体" w:cs="宋体"/>
                <w:bCs/>
                <w:color w:val="auto"/>
                <w:sz w:val="24"/>
                <w:szCs w:val="24"/>
              </w:rPr>
              <w:t>证明材料：有效的计算机软件著作权登记证书复印件加盖投标人电子签名或公章。</w:t>
            </w:r>
          </w:p>
        </w:tc>
        <w:tc>
          <w:tcPr>
            <w:tcW w:w="423" w:type="pct"/>
            <w:vAlign w:val="center"/>
          </w:tcPr>
          <w:p w14:paraId="01914A15">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r>
      <w:tr w14:paraId="6121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4" w:type="pct"/>
            <w:vAlign w:val="center"/>
          </w:tcPr>
          <w:p w14:paraId="048C1CE6">
            <w:pPr>
              <w:snapToGrid w:val="0"/>
              <w:ind w:firstLine="360" w:firstLineChars="150"/>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092" w:type="pct"/>
            <w:vAlign w:val="center"/>
          </w:tcPr>
          <w:p w14:paraId="5C41CBBA">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需求分析：对学校原有信息化现状、项目的实际需求了解是否深入透彻，理解定位是否准确等进行评审，未提供不得分。</w:t>
            </w:r>
            <w:r>
              <w:rPr>
                <w:rFonts w:hint="eastAsia" w:ascii="宋体" w:hAnsi="宋体" w:eastAsia="宋体" w:cs="宋体"/>
                <w:color w:val="auto"/>
                <w:sz w:val="24"/>
                <w:szCs w:val="24"/>
              </w:rPr>
              <w:t>（评分范围：5,4,3,2,1,0）</w:t>
            </w:r>
          </w:p>
        </w:tc>
        <w:tc>
          <w:tcPr>
            <w:tcW w:w="423" w:type="pct"/>
            <w:vAlign w:val="center"/>
          </w:tcPr>
          <w:p w14:paraId="0FE7BE37">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r>
      <w:tr w14:paraId="44BB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4" w:type="pct"/>
            <w:vAlign w:val="center"/>
          </w:tcPr>
          <w:p w14:paraId="05AF03F5">
            <w:pPr>
              <w:snapToGrid w:val="0"/>
              <w:ind w:firstLine="360" w:firstLineChars="150"/>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092" w:type="pct"/>
            <w:vAlign w:val="center"/>
          </w:tcPr>
          <w:p w14:paraId="705B7CAB">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项目功能设计方案</w:t>
            </w:r>
          </w:p>
        </w:tc>
        <w:tc>
          <w:tcPr>
            <w:tcW w:w="423" w:type="pct"/>
            <w:vAlign w:val="center"/>
          </w:tcPr>
          <w:p w14:paraId="3A183977">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r w14:paraId="126A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84" w:type="pct"/>
            <w:vAlign w:val="center"/>
          </w:tcPr>
          <w:p w14:paraId="627D5D7C">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4092" w:type="pct"/>
            <w:vAlign w:val="center"/>
          </w:tcPr>
          <w:p w14:paraId="210400C6">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数据中台（校本大数据中心）：包括①</w:t>
            </w:r>
            <w:r>
              <w:rPr>
                <w:rFonts w:hint="eastAsia" w:ascii="宋体" w:hAnsi="宋体" w:eastAsia="宋体" w:cs="宋体"/>
                <w:color w:val="auto"/>
                <w:sz w:val="24"/>
                <w:szCs w:val="24"/>
              </w:rPr>
              <w:t>数据标准管理</w:t>
            </w:r>
            <w:r>
              <w:rPr>
                <w:rFonts w:hint="eastAsia" w:ascii="宋体" w:hAnsi="宋体" w:eastAsia="宋体" w:cs="宋体"/>
                <w:color w:val="auto"/>
                <w:kern w:val="0"/>
                <w:sz w:val="24"/>
                <w:szCs w:val="24"/>
              </w:rPr>
              <w:t>、②</w:t>
            </w:r>
            <w:r>
              <w:rPr>
                <w:rFonts w:hint="eastAsia" w:ascii="宋体" w:hAnsi="宋体" w:eastAsia="宋体" w:cs="宋体"/>
                <w:color w:val="auto"/>
                <w:sz w:val="24"/>
                <w:szCs w:val="24"/>
              </w:rPr>
              <w:t>数据集成管理</w:t>
            </w:r>
            <w:r>
              <w:rPr>
                <w:rFonts w:hint="eastAsia" w:ascii="宋体" w:hAnsi="宋体" w:eastAsia="宋体" w:cs="宋体"/>
                <w:color w:val="auto"/>
                <w:kern w:val="0"/>
                <w:sz w:val="24"/>
                <w:szCs w:val="24"/>
              </w:rPr>
              <w:t>、③</w:t>
            </w:r>
            <w:r>
              <w:rPr>
                <w:rFonts w:hint="eastAsia" w:ascii="宋体" w:hAnsi="宋体" w:eastAsia="宋体" w:cs="宋体"/>
                <w:color w:val="auto"/>
                <w:sz w:val="24"/>
                <w:szCs w:val="24"/>
              </w:rPr>
              <w:t>数据仓库管理</w:t>
            </w:r>
            <w:r>
              <w:rPr>
                <w:rFonts w:hint="eastAsia" w:ascii="宋体" w:hAnsi="宋体" w:eastAsia="宋体" w:cs="宋体"/>
                <w:color w:val="auto"/>
                <w:kern w:val="0"/>
                <w:sz w:val="24"/>
                <w:szCs w:val="24"/>
              </w:rPr>
              <w:t>、④</w:t>
            </w:r>
            <w:r>
              <w:rPr>
                <w:rFonts w:hint="eastAsia" w:ascii="宋体" w:hAnsi="宋体" w:eastAsia="宋体" w:cs="宋体"/>
                <w:color w:val="auto"/>
                <w:sz w:val="24"/>
                <w:szCs w:val="24"/>
              </w:rPr>
              <w:t>数据质量管理</w:t>
            </w:r>
            <w:r>
              <w:rPr>
                <w:rFonts w:hint="eastAsia" w:ascii="宋体" w:hAnsi="宋体" w:eastAsia="宋体" w:cs="宋体"/>
                <w:color w:val="auto"/>
                <w:kern w:val="0"/>
                <w:sz w:val="24"/>
                <w:szCs w:val="24"/>
              </w:rPr>
              <w:t>、⑤</w:t>
            </w:r>
            <w:r>
              <w:rPr>
                <w:rFonts w:hint="eastAsia" w:ascii="宋体" w:hAnsi="宋体" w:eastAsia="宋体" w:cs="宋体"/>
                <w:color w:val="auto"/>
                <w:sz w:val="24"/>
                <w:szCs w:val="24"/>
              </w:rPr>
              <w:t>数据任务调度、⑥数据安全管理</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根据方案思路、内容和可实施性</w:t>
            </w:r>
            <w:r>
              <w:rPr>
                <w:rFonts w:hint="eastAsia" w:ascii="宋体" w:hAnsi="宋体" w:eastAsia="宋体" w:cs="宋体"/>
                <w:color w:val="auto"/>
                <w:kern w:val="0"/>
                <w:sz w:val="24"/>
                <w:szCs w:val="24"/>
              </w:rPr>
              <w:t>进行综合评审，未提供不得分。</w:t>
            </w:r>
            <w:r>
              <w:rPr>
                <w:rFonts w:hint="eastAsia" w:ascii="宋体" w:hAnsi="宋体" w:eastAsia="宋体" w:cs="宋体"/>
                <w:color w:val="auto"/>
                <w:sz w:val="24"/>
                <w:szCs w:val="24"/>
              </w:rPr>
              <w:t>（评分范围：5,4,3,2,1,0）</w:t>
            </w:r>
          </w:p>
        </w:tc>
        <w:tc>
          <w:tcPr>
            <w:tcW w:w="423" w:type="pct"/>
            <w:vAlign w:val="center"/>
          </w:tcPr>
          <w:p w14:paraId="180084B9">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07EE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84" w:type="pct"/>
            <w:vAlign w:val="center"/>
          </w:tcPr>
          <w:p w14:paraId="4ED43457">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4092" w:type="pct"/>
            <w:vAlign w:val="center"/>
          </w:tcPr>
          <w:p w14:paraId="2DB8F6D2">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校务管理系统</w:t>
            </w:r>
            <w:r>
              <w:rPr>
                <w:rFonts w:hint="eastAsia" w:ascii="宋体" w:hAnsi="宋体" w:eastAsia="宋体" w:cs="宋体"/>
                <w:color w:val="auto"/>
                <w:kern w:val="0"/>
                <w:sz w:val="24"/>
                <w:szCs w:val="24"/>
              </w:rPr>
              <w:t>：包括①</w:t>
            </w:r>
            <w:r>
              <w:rPr>
                <w:rFonts w:hint="eastAsia" w:ascii="宋体" w:hAnsi="宋体" w:eastAsia="宋体" w:cs="宋体"/>
                <w:color w:val="auto"/>
                <w:sz w:val="24"/>
                <w:szCs w:val="24"/>
              </w:rPr>
              <w:t>学生值周管理</w:t>
            </w:r>
            <w:r>
              <w:rPr>
                <w:rFonts w:hint="eastAsia" w:ascii="宋体" w:hAnsi="宋体" w:eastAsia="宋体" w:cs="宋体"/>
                <w:bCs/>
                <w:color w:val="auto"/>
                <w:sz w:val="24"/>
                <w:szCs w:val="24"/>
              </w:rPr>
              <w:t>、②</w:t>
            </w:r>
            <w:r>
              <w:rPr>
                <w:rFonts w:hint="eastAsia" w:ascii="宋体" w:hAnsi="宋体" w:eastAsia="宋体" w:cs="宋体"/>
                <w:color w:val="auto"/>
                <w:sz w:val="24"/>
                <w:szCs w:val="24"/>
              </w:rPr>
              <w:t>校行事历管理</w:t>
            </w:r>
            <w:r>
              <w:rPr>
                <w:rFonts w:hint="eastAsia" w:ascii="宋体" w:hAnsi="宋体" w:eastAsia="宋体" w:cs="宋体"/>
                <w:bCs/>
                <w:color w:val="auto"/>
                <w:sz w:val="24"/>
                <w:szCs w:val="24"/>
              </w:rPr>
              <w:t>、③</w:t>
            </w:r>
            <w:r>
              <w:rPr>
                <w:rFonts w:hint="eastAsia" w:ascii="宋体" w:hAnsi="宋体" w:eastAsia="宋体" w:cs="宋体"/>
                <w:color w:val="auto"/>
                <w:sz w:val="24"/>
                <w:szCs w:val="24"/>
              </w:rPr>
              <w:t>通知公告管理</w:t>
            </w:r>
            <w:r>
              <w:rPr>
                <w:rFonts w:hint="eastAsia" w:ascii="宋体" w:hAnsi="宋体" w:eastAsia="宋体" w:cs="宋体"/>
                <w:bCs/>
                <w:color w:val="auto"/>
                <w:sz w:val="24"/>
                <w:szCs w:val="24"/>
              </w:rPr>
              <w:t>、④</w:t>
            </w:r>
            <w:r>
              <w:rPr>
                <w:rFonts w:hint="eastAsia" w:ascii="宋体" w:hAnsi="宋体" w:eastAsia="宋体" w:cs="宋体"/>
                <w:color w:val="auto"/>
                <w:sz w:val="24"/>
                <w:szCs w:val="24"/>
              </w:rPr>
              <w:t>优秀毕业生管理、⑤临时调课管理、⑥课堂考勤管理</w:t>
            </w:r>
            <w:r>
              <w:rPr>
                <w:rFonts w:hint="eastAsia" w:ascii="宋体" w:hAnsi="宋体" w:eastAsia="宋体" w:cs="宋体"/>
                <w:bCs/>
                <w:color w:val="auto"/>
                <w:sz w:val="24"/>
                <w:szCs w:val="24"/>
              </w:rPr>
              <w:t>，</w:t>
            </w:r>
            <w:r>
              <w:rPr>
                <w:rFonts w:hint="eastAsia" w:ascii="宋体" w:hAnsi="宋体" w:eastAsia="宋体" w:cs="宋体"/>
                <w:color w:val="auto"/>
                <w:sz w:val="24"/>
                <w:szCs w:val="24"/>
              </w:rPr>
              <w:t>根据方案思路、内容和可实施性</w:t>
            </w:r>
            <w:r>
              <w:rPr>
                <w:rFonts w:hint="eastAsia" w:ascii="宋体" w:hAnsi="宋体" w:eastAsia="宋体" w:cs="宋体"/>
                <w:color w:val="auto"/>
                <w:kern w:val="0"/>
                <w:sz w:val="24"/>
                <w:szCs w:val="24"/>
              </w:rPr>
              <w:t>进行综合评审，未提供不得分。</w:t>
            </w:r>
            <w:r>
              <w:rPr>
                <w:rFonts w:hint="eastAsia" w:ascii="宋体" w:hAnsi="宋体" w:eastAsia="宋体" w:cs="宋体"/>
                <w:color w:val="auto"/>
                <w:sz w:val="24"/>
                <w:szCs w:val="24"/>
              </w:rPr>
              <w:t>（评分范围：5,4,3,2,1,0）</w:t>
            </w:r>
          </w:p>
        </w:tc>
        <w:tc>
          <w:tcPr>
            <w:tcW w:w="423" w:type="pct"/>
            <w:vAlign w:val="center"/>
          </w:tcPr>
          <w:p w14:paraId="4BA56B2F">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3A74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84" w:type="pct"/>
            <w:vAlign w:val="center"/>
          </w:tcPr>
          <w:p w14:paraId="40F45311">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5.3</w:t>
            </w:r>
          </w:p>
        </w:tc>
        <w:tc>
          <w:tcPr>
            <w:tcW w:w="4092" w:type="pct"/>
            <w:vAlign w:val="center"/>
          </w:tcPr>
          <w:p w14:paraId="41755459">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数据应用系统</w:t>
            </w:r>
            <w:r>
              <w:rPr>
                <w:rFonts w:hint="eastAsia" w:ascii="宋体" w:hAnsi="宋体" w:eastAsia="宋体" w:cs="宋体"/>
                <w:color w:val="auto"/>
                <w:kern w:val="0"/>
                <w:sz w:val="24"/>
                <w:szCs w:val="24"/>
              </w:rPr>
              <w:t>：包括①</w:t>
            </w:r>
            <w:r>
              <w:rPr>
                <w:rFonts w:hint="eastAsia" w:ascii="宋体" w:hAnsi="宋体" w:eastAsia="宋体" w:cs="宋体"/>
                <w:color w:val="auto"/>
                <w:sz w:val="24"/>
                <w:szCs w:val="24"/>
              </w:rPr>
              <w:t>教学教务查询</w:t>
            </w:r>
            <w:r>
              <w:rPr>
                <w:rFonts w:hint="eastAsia" w:ascii="宋体" w:hAnsi="宋体" w:eastAsia="宋体" w:cs="宋体"/>
                <w:color w:val="auto"/>
                <w:kern w:val="0"/>
                <w:sz w:val="24"/>
                <w:szCs w:val="24"/>
              </w:rPr>
              <w:t>、②</w:t>
            </w:r>
            <w:r>
              <w:rPr>
                <w:rFonts w:hint="eastAsia" w:ascii="宋体" w:hAnsi="宋体" w:eastAsia="宋体" w:cs="宋体"/>
                <w:color w:val="auto"/>
                <w:sz w:val="24"/>
                <w:szCs w:val="24"/>
              </w:rPr>
              <w:t>学生信息查询</w:t>
            </w:r>
            <w:r>
              <w:rPr>
                <w:rFonts w:hint="eastAsia" w:ascii="宋体" w:hAnsi="宋体" w:eastAsia="宋体" w:cs="宋体"/>
                <w:color w:val="auto"/>
                <w:kern w:val="0"/>
                <w:sz w:val="24"/>
                <w:szCs w:val="24"/>
              </w:rPr>
              <w:t>、③</w:t>
            </w:r>
            <w:r>
              <w:rPr>
                <w:rFonts w:hint="eastAsia" w:ascii="宋体" w:hAnsi="宋体" w:eastAsia="宋体" w:cs="宋体"/>
                <w:color w:val="auto"/>
                <w:sz w:val="24"/>
                <w:szCs w:val="24"/>
              </w:rPr>
              <w:t>教师信息查询</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根据方案思路、内容和可实施性</w:t>
            </w:r>
            <w:r>
              <w:rPr>
                <w:rFonts w:hint="eastAsia" w:ascii="宋体" w:hAnsi="宋体" w:eastAsia="宋体" w:cs="宋体"/>
                <w:color w:val="auto"/>
                <w:kern w:val="0"/>
                <w:sz w:val="24"/>
                <w:szCs w:val="24"/>
              </w:rPr>
              <w:t>进行综合评审，未提供不得分。</w:t>
            </w:r>
            <w:r>
              <w:rPr>
                <w:rFonts w:hint="eastAsia" w:ascii="宋体" w:hAnsi="宋体" w:eastAsia="宋体" w:cs="宋体"/>
                <w:color w:val="auto"/>
                <w:sz w:val="24"/>
                <w:szCs w:val="24"/>
              </w:rPr>
              <w:t>（评分范围：5,4,3,2,1,0）</w:t>
            </w:r>
          </w:p>
        </w:tc>
        <w:tc>
          <w:tcPr>
            <w:tcW w:w="423" w:type="pct"/>
            <w:vAlign w:val="center"/>
          </w:tcPr>
          <w:p w14:paraId="58496930">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0997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84" w:type="pct"/>
            <w:vAlign w:val="center"/>
          </w:tcPr>
          <w:p w14:paraId="1CC4447A">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5.4</w:t>
            </w:r>
          </w:p>
        </w:tc>
        <w:tc>
          <w:tcPr>
            <w:tcW w:w="4092" w:type="pct"/>
            <w:vAlign w:val="center"/>
          </w:tcPr>
          <w:p w14:paraId="3E1C68C9">
            <w:pPr>
              <w:widowControl/>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数据驾驶舱</w:t>
            </w:r>
            <w:r>
              <w:rPr>
                <w:rFonts w:hint="eastAsia" w:ascii="宋体" w:hAnsi="宋体" w:eastAsia="宋体" w:cs="宋体"/>
                <w:color w:val="auto"/>
                <w:kern w:val="0"/>
                <w:sz w:val="24"/>
                <w:szCs w:val="24"/>
              </w:rPr>
              <w:t>：包括①</w:t>
            </w:r>
            <w:r>
              <w:rPr>
                <w:rFonts w:hint="eastAsia" w:ascii="宋体" w:hAnsi="宋体" w:eastAsia="宋体" w:cs="宋体"/>
                <w:color w:val="auto"/>
                <w:sz w:val="24"/>
                <w:szCs w:val="24"/>
              </w:rPr>
              <w:t>寝室驾驶舱</w:t>
            </w:r>
            <w:r>
              <w:rPr>
                <w:rFonts w:hint="eastAsia" w:ascii="宋体" w:hAnsi="宋体" w:eastAsia="宋体" w:cs="宋体"/>
                <w:color w:val="auto"/>
                <w:kern w:val="0"/>
                <w:sz w:val="24"/>
                <w:szCs w:val="24"/>
              </w:rPr>
              <w:t>、②</w:t>
            </w:r>
            <w:r>
              <w:rPr>
                <w:rFonts w:hint="eastAsia" w:ascii="宋体" w:hAnsi="宋体" w:eastAsia="宋体" w:cs="宋体"/>
                <w:color w:val="auto"/>
                <w:sz w:val="24"/>
                <w:szCs w:val="24"/>
              </w:rPr>
              <w:t>考勤驾驶舱</w:t>
            </w:r>
            <w:r>
              <w:rPr>
                <w:rFonts w:hint="eastAsia" w:ascii="宋体" w:hAnsi="宋体" w:eastAsia="宋体" w:cs="宋体"/>
                <w:color w:val="auto"/>
                <w:kern w:val="0"/>
                <w:sz w:val="24"/>
                <w:szCs w:val="24"/>
              </w:rPr>
              <w:t>、③</w:t>
            </w:r>
            <w:r>
              <w:rPr>
                <w:rFonts w:hint="eastAsia" w:ascii="宋体" w:hAnsi="宋体" w:eastAsia="宋体" w:cs="宋体"/>
                <w:color w:val="auto"/>
                <w:sz w:val="24"/>
                <w:szCs w:val="24"/>
              </w:rPr>
              <w:t>学校基本情况驾驶舱</w:t>
            </w:r>
            <w:r>
              <w:rPr>
                <w:rFonts w:hint="eastAsia" w:ascii="宋体" w:hAnsi="宋体" w:eastAsia="宋体" w:cs="宋体"/>
                <w:color w:val="auto"/>
                <w:kern w:val="0"/>
                <w:sz w:val="24"/>
                <w:szCs w:val="24"/>
              </w:rPr>
              <w:t>、④</w:t>
            </w:r>
            <w:r>
              <w:rPr>
                <w:rFonts w:hint="eastAsia" w:ascii="宋体" w:hAnsi="宋体" w:eastAsia="宋体" w:cs="宋体"/>
                <w:color w:val="auto"/>
                <w:sz w:val="24"/>
                <w:szCs w:val="24"/>
              </w:rPr>
              <w:t>学校数据资产驾驶舱</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根据方案思路、内容和可实施性</w:t>
            </w:r>
            <w:r>
              <w:rPr>
                <w:rFonts w:hint="eastAsia" w:ascii="宋体" w:hAnsi="宋体" w:eastAsia="宋体" w:cs="宋体"/>
                <w:color w:val="auto"/>
                <w:kern w:val="0"/>
                <w:sz w:val="24"/>
                <w:szCs w:val="24"/>
              </w:rPr>
              <w:t>进行综合评审，未提供不得分。</w:t>
            </w:r>
            <w:r>
              <w:rPr>
                <w:rFonts w:hint="eastAsia" w:ascii="宋体" w:hAnsi="宋体" w:eastAsia="宋体" w:cs="宋体"/>
                <w:color w:val="auto"/>
                <w:sz w:val="24"/>
                <w:szCs w:val="24"/>
              </w:rPr>
              <w:t>（评分范围：5,4,3,2,1,0）</w:t>
            </w:r>
          </w:p>
        </w:tc>
        <w:tc>
          <w:tcPr>
            <w:tcW w:w="423" w:type="pct"/>
            <w:vAlign w:val="center"/>
          </w:tcPr>
          <w:p w14:paraId="092D418A">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16FB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4" w:type="pct"/>
            <w:vAlign w:val="center"/>
          </w:tcPr>
          <w:p w14:paraId="0413447D">
            <w:pPr>
              <w:snapToGrid w:val="0"/>
              <w:ind w:firstLine="360" w:firstLineChars="150"/>
              <w:outlineLvl w:val="0"/>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092" w:type="pct"/>
            <w:vAlign w:val="center"/>
          </w:tcPr>
          <w:p w14:paraId="4D473C9F">
            <w:pPr>
              <w:snapToGrid w:val="0"/>
              <w:outlineLvl w:val="0"/>
              <w:rPr>
                <w:rFonts w:hint="eastAsia" w:ascii="宋体" w:hAnsi="宋体" w:eastAsia="宋体" w:cs="宋体"/>
                <w:color w:val="auto"/>
                <w:sz w:val="24"/>
                <w:szCs w:val="24"/>
              </w:rPr>
            </w:pPr>
            <w:r>
              <w:rPr>
                <w:rFonts w:hint="eastAsia" w:ascii="宋体" w:hAnsi="宋体" w:eastAsia="宋体" w:cs="宋体"/>
                <w:color w:val="auto"/>
                <w:sz w:val="24"/>
                <w:szCs w:val="24"/>
              </w:rPr>
              <w:t>数据治理服务方案</w:t>
            </w:r>
          </w:p>
        </w:tc>
        <w:tc>
          <w:tcPr>
            <w:tcW w:w="423" w:type="pct"/>
            <w:vAlign w:val="center"/>
          </w:tcPr>
          <w:p w14:paraId="418D6367">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6737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84" w:type="pct"/>
            <w:vAlign w:val="center"/>
          </w:tcPr>
          <w:p w14:paraId="27C73485">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4092" w:type="pct"/>
            <w:vAlign w:val="center"/>
          </w:tcPr>
          <w:p w14:paraId="7AE8C12D">
            <w:pPr>
              <w:snapToGrid w:val="0"/>
              <w:outlineLvl w:val="0"/>
              <w:rPr>
                <w:rFonts w:hint="eastAsia" w:ascii="宋体" w:hAnsi="宋体" w:eastAsia="宋体" w:cs="宋体"/>
                <w:color w:val="auto"/>
                <w:sz w:val="24"/>
                <w:szCs w:val="24"/>
              </w:rPr>
            </w:pPr>
            <w:r>
              <w:rPr>
                <w:rFonts w:hint="eastAsia" w:ascii="宋体" w:hAnsi="宋体" w:eastAsia="宋体" w:cs="宋体"/>
                <w:color w:val="auto"/>
                <w:sz w:val="24"/>
                <w:szCs w:val="24"/>
              </w:rPr>
              <w:t>数据调研服务：根据投标技术方案对原有系统了解，结合本次数据治理服务需求进行综合评审，</w:t>
            </w:r>
            <w:r>
              <w:rPr>
                <w:rFonts w:hint="eastAsia" w:ascii="宋体" w:hAnsi="宋体" w:eastAsia="宋体" w:cs="宋体"/>
                <w:color w:val="auto"/>
                <w:kern w:val="0"/>
                <w:sz w:val="24"/>
                <w:szCs w:val="24"/>
              </w:rPr>
              <w:t>未提供不得分。</w:t>
            </w:r>
            <w:r>
              <w:rPr>
                <w:rFonts w:hint="eastAsia" w:ascii="宋体" w:hAnsi="宋体" w:eastAsia="宋体" w:cs="宋体"/>
                <w:color w:val="auto"/>
                <w:sz w:val="24"/>
                <w:szCs w:val="24"/>
              </w:rPr>
              <w:t>（评分范围：5,4,3,2,1,0）</w:t>
            </w:r>
          </w:p>
        </w:tc>
        <w:tc>
          <w:tcPr>
            <w:tcW w:w="423" w:type="pct"/>
            <w:vAlign w:val="center"/>
          </w:tcPr>
          <w:p w14:paraId="4BA4C767">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46B9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84" w:type="pct"/>
            <w:vAlign w:val="center"/>
          </w:tcPr>
          <w:p w14:paraId="71637EF4">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6.2</w:t>
            </w:r>
          </w:p>
        </w:tc>
        <w:tc>
          <w:tcPr>
            <w:tcW w:w="4092" w:type="pct"/>
            <w:vAlign w:val="center"/>
          </w:tcPr>
          <w:p w14:paraId="3C7D231F">
            <w:pPr>
              <w:snapToGrid w:val="0"/>
              <w:outlineLvl w:val="0"/>
              <w:rPr>
                <w:rFonts w:hint="eastAsia" w:ascii="宋体" w:hAnsi="宋体" w:eastAsia="宋体" w:cs="宋体"/>
                <w:color w:val="auto"/>
                <w:sz w:val="24"/>
                <w:szCs w:val="24"/>
              </w:rPr>
            </w:pPr>
            <w:r>
              <w:rPr>
                <w:rFonts w:hint="eastAsia" w:ascii="宋体" w:hAnsi="宋体" w:eastAsia="宋体" w:cs="宋体"/>
                <w:color w:val="auto"/>
                <w:sz w:val="24"/>
                <w:szCs w:val="24"/>
              </w:rPr>
              <w:t>数据归集服务：根据投标技术方案对原有系统了解，结合本次数据治理服务需求进行综合评审，</w:t>
            </w:r>
            <w:r>
              <w:rPr>
                <w:rFonts w:hint="eastAsia" w:ascii="宋体" w:hAnsi="宋体" w:eastAsia="宋体" w:cs="宋体"/>
                <w:color w:val="auto"/>
                <w:kern w:val="0"/>
                <w:sz w:val="24"/>
                <w:szCs w:val="24"/>
              </w:rPr>
              <w:t>未提供不得分。</w:t>
            </w:r>
            <w:r>
              <w:rPr>
                <w:rFonts w:hint="eastAsia" w:ascii="宋体" w:hAnsi="宋体" w:eastAsia="宋体" w:cs="宋体"/>
                <w:color w:val="auto"/>
                <w:sz w:val="24"/>
                <w:szCs w:val="24"/>
              </w:rPr>
              <w:t>（评分范围：5,4,3,2,1,0）</w:t>
            </w:r>
          </w:p>
        </w:tc>
        <w:tc>
          <w:tcPr>
            <w:tcW w:w="423" w:type="pct"/>
            <w:vAlign w:val="center"/>
          </w:tcPr>
          <w:p w14:paraId="4905AE36">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7CF3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84" w:type="pct"/>
            <w:vAlign w:val="center"/>
          </w:tcPr>
          <w:p w14:paraId="67991B76">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6.3</w:t>
            </w:r>
          </w:p>
        </w:tc>
        <w:tc>
          <w:tcPr>
            <w:tcW w:w="4092" w:type="pct"/>
            <w:vAlign w:val="center"/>
          </w:tcPr>
          <w:p w14:paraId="3470037B">
            <w:pPr>
              <w:snapToGrid w:val="0"/>
              <w:outlineLvl w:val="0"/>
              <w:rPr>
                <w:rFonts w:hint="eastAsia" w:ascii="宋体" w:hAnsi="宋体" w:eastAsia="宋体" w:cs="宋体"/>
                <w:color w:val="auto"/>
                <w:sz w:val="24"/>
                <w:szCs w:val="24"/>
              </w:rPr>
            </w:pPr>
            <w:r>
              <w:rPr>
                <w:rFonts w:hint="eastAsia" w:ascii="宋体" w:hAnsi="宋体" w:eastAsia="宋体" w:cs="宋体"/>
                <w:color w:val="auto"/>
                <w:sz w:val="24"/>
                <w:szCs w:val="24"/>
              </w:rPr>
              <w:t>数据清洗：根据投标技术方案对原有系统了解，结合本次数据治理服务需求进行综合评审，</w:t>
            </w:r>
            <w:r>
              <w:rPr>
                <w:rFonts w:hint="eastAsia" w:ascii="宋体" w:hAnsi="宋体" w:eastAsia="宋体" w:cs="宋体"/>
                <w:color w:val="auto"/>
                <w:kern w:val="0"/>
                <w:sz w:val="24"/>
                <w:szCs w:val="24"/>
              </w:rPr>
              <w:t>未提供不得分。</w:t>
            </w:r>
            <w:r>
              <w:rPr>
                <w:rFonts w:hint="eastAsia" w:ascii="宋体" w:hAnsi="宋体" w:eastAsia="宋体" w:cs="宋体"/>
                <w:color w:val="auto"/>
                <w:sz w:val="24"/>
                <w:szCs w:val="24"/>
              </w:rPr>
              <w:t>（评分范围：5,4,3,2,1,0）</w:t>
            </w:r>
          </w:p>
        </w:tc>
        <w:tc>
          <w:tcPr>
            <w:tcW w:w="423" w:type="pct"/>
            <w:vAlign w:val="center"/>
          </w:tcPr>
          <w:p w14:paraId="0EB7D997">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594D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84" w:type="pct"/>
            <w:vAlign w:val="center"/>
          </w:tcPr>
          <w:p w14:paraId="794A42D8">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6.4</w:t>
            </w:r>
          </w:p>
        </w:tc>
        <w:tc>
          <w:tcPr>
            <w:tcW w:w="4092" w:type="pct"/>
            <w:vAlign w:val="center"/>
          </w:tcPr>
          <w:p w14:paraId="2D4249CA">
            <w:pPr>
              <w:snapToGrid w:val="0"/>
              <w:outlineLvl w:val="0"/>
              <w:rPr>
                <w:rFonts w:hint="eastAsia" w:ascii="宋体" w:hAnsi="宋体" w:eastAsia="宋体" w:cs="宋体"/>
                <w:color w:val="auto"/>
                <w:sz w:val="24"/>
                <w:szCs w:val="24"/>
              </w:rPr>
            </w:pPr>
            <w:r>
              <w:rPr>
                <w:rFonts w:hint="eastAsia" w:ascii="宋体" w:hAnsi="宋体" w:eastAsia="宋体" w:cs="宋体"/>
                <w:color w:val="auto"/>
                <w:sz w:val="24"/>
                <w:szCs w:val="24"/>
              </w:rPr>
              <w:t>数仓建设服务：根据投标技术方案对原有系统了解，结合本次数据治理服务需求进行综合评审，</w:t>
            </w:r>
            <w:r>
              <w:rPr>
                <w:rFonts w:hint="eastAsia" w:ascii="宋体" w:hAnsi="宋体" w:eastAsia="宋体" w:cs="宋体"/>
                <w:color w:val="auto"/>
                <w:kern w:val="0"/>
                <w:sz w:val="24"/>
                <w:szCs w:val="24"/>
              </w:rPr>
              <w:t>未提供不得分。</w:t>
            </w:r>
            <w:r>
              <w:rPr>
                <w:rFonts w:hint="eastAsia" w:ascii="宋体" w:hAnsi="宋体" w:eastAsia="宋体" w:cs="宋体"/>
                <w:color w:val="auto"/>
                <w:sz w:val="24"/>
                <w:szCs w:val="24"/>
              </w:rPr>
              <w:t>（评分范围：5,4,3,2,1,0）</w:t>
            </w:r>
          </w:p>
        </w:tc>
        <w:tc>
          <w:tcPr>
            <w:tcW w:w="423" w:type="pct"/>
            <w:vAlign w:val="center"/>
          </w:tcPr>
          <w:p w14:paraId="3FC1150E">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6132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84" w:type="pct"/>
            <w:vAlign w:val="center"/>
          </w:tcPr>
          <w:p w14:paraId="758E75C0">
            <w:pPr>
              <w:snapToGrid w:val="0"/>
              <w:ind w:firstLine="360" w:firstLineChars="150"/>
              <w:outlineLvl w:val="0"/>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092" w:type="pct"/>
            <w:vAlign w:val="center"/>
          </w:tcPr>
          <w:p w14:paraId="7D7FD010">
            <w:pPr>
              <w:snapToGrid w:val="0"/>
              <w:outlineLvl w:val="0"/>
              <w:rPr>
                <w:rFonts w:hint="eastAsia" w:ascii="宋体" w:hAnsi="宋体" w:eastAsia="宋体" w:cs="宋体"/>
                <w:color w:val="auto"/>
                <w:sz w:val="24"/>
                <w:szCs w:val="24"/>
              </w:rPr>
            </w:pPr>
            <w:r>
              <w:rPr>
                <w:rFonts w:hint="eastAsia" w:ascii="宋体" w:hAnsi="宋体" w:eastAsia="宋体" w:cs="宋体"/>
                <w:color w:val="auto"/>
                <w:sz w:val="24"/>
                <w:szCs w:val="24"/>
              </w:rPr>
              <w:t>技术解决方案：投标人基于采购需求，结合自身经验，分析项目重难点并提出针对性解决方案及优化策略。根据方案思路、内容和可实施性</w:t>
            </w:r>
            <w:r>
              <w:rPr>
                <w:rFonts w:hint="eastAsia" w:ascii="宋体" w:hAnsi="宋体" w:eastAsia="宋体" w:cs="宋体"/>
                <w:color w:val="auto"/>
                <w:kern w:val="0"/>
                <w:sz w:val="24"/>
                <w:szCs w:val="24"/>
              </w:rPr>
              <w:t>进行综合评审，未提供不得分。</w:t>
            </w:r>
            <w:r>
              <w:rPr>
                <w:rFonts w:hint="eastAsia" w:ascii="宋体" w:hAnsi="宋体" w:eastAsia="宋体" w:cs="宋体"/>
                <w:color w:val="auto"/>
                <w:sz w:val="24"/>
                <w:szCs w:val="24"/>
              </w:rPr>
              <w:t>（评分范围： 3,2,1,0）</w:t>
            </w:r>
          </w:p>
        </w:tc>
        <w:tc>
          <w:tcPr>
            <w:tcW w:w="423" w:type="pct"/>
            <w:vAlign w:val="center"/>
          </w:tcPr>
          <w:p w14:paraId="15CE38A8">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14:paraId="2119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84" w:type="pct"/>
            <w:vAlign w:val="center"/>
          </w:tcPr>
          <w:p w14:paraId="48B42DC0">
            <w:pPr>
              <w:snapToGrid w:val="0"/>
              <w:ind w:firstLine="360" w:firstLineChars="150"/>
              <w:outlineLvl w:val="0"/>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092" w:type="pct"/>
            <w:vAlign w:val="center"/>
          </w:tcPr>
          <w:p w14:paraId="75D7BDC8">
            <w:pPr>
              <w:snapToGrid w:val="0"/>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项目实施方案：</w:t>
            </w:r>
          </w:p>
          <w:p w14:paraId="14455E68">
            <w:pPr>
              <w:snapToGrid w:val="0"/>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包含但不限于①项目总体实施策划、②项目管理体系、③项目变更管理、④调试技术方案等内容。</w:t>
            </w:r>
            <w:r>
              <w:rPr>
                <w:rFonts w:hint="eastAsia" w:ascii="宋体" w:hAnsi="宋体" w:eastAsia="宋体" w:cs="宋体"/>
                <w:color w:val="auto"/>
                <w:sz w:val="24"/>
                <w:szCs w:val="24"/>
              </w:rPr>
              <w:t>根据方案思路、内容和可实施性</w:t>
            </w:r>
            <w:r>
              <w:rPr>
                <w:rFonts w:hint="eastAsia" w:ascii="宋体" w:hAnsi="宋体" w:eastAsia="宋体" w:cs="宋体"/>
                <w:color w:val="auto"/>
                <w:kern w:val="0"/>
                <w:sz w:val="24"/>
                <w:szCs w:val="24"/>
              </w:rPr>
              <w:t>进行综合评审，未提供不得分。</w:t>
            </w:r>
            <w:r>
              <w:rPr>
                <w:rFonts w:hint="eastAsia" w:ascii="宋体" w:hAnsi="宋体" w:eastAsia="宋体" w:cs="宋体"/>
                <w:color w:val="auto"/>
                <w:sz w:val="24"/>
                <w:szCs w:val="24"/>
              </w:rPr>
              <w:t>（评分范围： 3,2,1,0）</w:t>
            </w:r>
          </w:p>
        </w:tc>
        <w:tc>
          <w:tcPr>
            <w:tcW w:w="423" w:type="pct"/>
            <w:vAlign w:val="center"/>
          </w:tcPr>
          <w:p w14:paraId="74380FCC">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14:paraId="37AA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84" w:type="pct"/>
            <w:vAlign w:val="center"/>
          </w:tcPr>
          <w:p w14:paraId="39094054">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4092" w:type="pct"/>
            <w:vAlign w:val="center"/>
          </w:tcPr>
          <w:p w14:paraId="2F10DC87">
            <w:pPr>
              <w:snapToGrid w:val="0"/>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进度安排保障方案：</w:t>
            </w:r>
          </w:p>
          <w:p w14:paraId="1608EAAD">
            <w:pPr>
              <w:snapToGrid w:val="0"/>
              <w:outlineLvl w:val="0"/>
              <w:rPr>
                <w:rFonts w:hint="eastAsia" w:ascii="宋体" w:hAnsi="宋体" w:eastAsia="宋体" w:cs="宋体"/>
                <w:bCs/>
                <w:color w:val="auto"/>
                <w:sz w:val="24"/>
                <w:szCs w:val="24"/>
              </w:rPr>
            </w:pPr>
            <w:r>
              <w:rPr>
                <w:rFonts w:hint="eastAsia" w:ascii="宋体" w:hAnsi="宋体" w:eastAsia="宋体" w:cs="宋体"/>
                <w:color w:val="auto"/>
                <w:sz w:val="24"/>
                <w:szCs w:val="24"/>
              </w:rPr>
              <w:t>含有进度实施及进度保障措施方案，能按照项目分解节点，并可跟踪实施。根据投标人提供的方案内容是否符合采购需求，方案内容是否详细、全面、操作性强进行综合评审，未提供不得分。（</w:t>
            </w:r>
            <w:bookmarkStart w:id="431" w:name="OLE_LINK65"/>
            <w:r>
              <w:rPr>
                <w:rFonts w:hint="eastAsia" w:ascii="宋体" w:hAnsi="宋体" w:eastAsia="宋体" w:cs="宋体"/>
                <w:color w:val="auto"/>
                <w:sz w:val="24"/>
                <w:szCs w:val="24"/>
              </w:rPr>
              <w:t>评分范围： 4,3,2,1,0</w:t>
            </w:r>
            <w:bookmarkEnd w:id="431"/>
            <w:r>
              <w:rPr>
                <w:rFonts w:hint="eastAsia" w:ascii="宋体" w:hAnsi="宋体" w:eastAsia="宋体" w:cs="宋体"/>
                <w:color w:val="auto"/>
                <w:sz w:val="24"/>
                <w:szCs w:val="24"/>
              </w:rPr>
              <w:t>）</w:t>
            </w:r>
          </w:p>
        </w:tc>
        <w:tc>
          <w:tcPr>
            <w:tcW w:w="423" w:type="pct"/>
            <w:vAlign w:val="center"/>
          </w:tcPr>
          <w:p w14:paraId="02D1AD2E">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0B1D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84" w:type="pct"/>
            <w:vAlign w:val="center"/>
          </w:tcPr>
          <w:p w14:paraId="4E28539D">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092" w:type="pct"/>
            <w:vAlign w:val="center"/>
          </w:tcPr>
          <w:p w14:paraId="078B3489">
            <w:pPr>
              <w:snapToGrid w:val="0"/>
              <w:outlineLvl w:val="0"/>
              <w:rPr>
                <w:rFonts w:hint="eastAsia" w:ascii="宋体" w:hAnsi="宋体" w:eastAsia="宋体" w:cs="宋体"/>
                <w:b w:val="0"/>
                <w:bCs w:val="0"/>
                <w:color w:val="auto"/>
                <w:kern w:val="0"/>
                <w:sz w:val="24"/>
                <w:szCs w:val="24"/>
                <w:lang w:eastAsia="zh-CN"/>
              </w:rPr>
            </w:pPr>
            <w:r>
              <w:rPr>
                <w:rFonts w:hint="eastAsia" w:ascii="宋体" w:hAnsi="宋体" w:eastAsia="宋体" w:cs="宋体"/>
                <w:color w:val="auto"/>
                <w:kern w:val="0"/>
                <w:sz w:val="24"/>
                <w:szCs w:val="24"/>
              </w:rPr>
              <w:t>系统演示</w:t>
            </w:r>
            <w:r>
              <w:rPr>
                <w:rFonts w:hint="eastAsia" w:ascii="宋体" w:hAnsi="宋体" w:cs="宋体"/>
                <w:color w:val="auto"/>
                <w:kern w:val="0"/>
                <w:sz w:val="24"/>
                <w:szCs w:val="24"/>
                <w:lang w:eastAsia="zh-CN"/>
              </w:rPr>
              <w:t>：</w:t>
            </w:r>
            <w:r>
              <w:rPr>
                <w:rFonts w:hint="eastAsia" w:asciiTheme="minorEastAsia" w:hAnsiTheme="minorEastAsia" w:eastAsiaTheme="minorEastAsia" w:cstheme="minorEastAsia"/>
                <w:b w:val="0"/>
                <w:bCs w:val="0"/>
                <w:color w:val="auto"/>
                <w:sz w:val="24"/>
                <w:highlight w:val="none"/>
                <w:lang w:val="en-US" w:eastAsia="zh-CN"/>
              </w:rPr>
              <w:t>由投标人自行准备相关演示环境，演示视频须制作成U盘，演示时长不超过15分钟。</w:t>
            </w:r>
          </w:p>
          <w:p w14:paraId="080CBB8C">
            <w:pPr>
              <w:numPr>
                <w:ilvl w:val="0"/>
                <w:numId w:val="5"/>
              </w:numPr>
              <w:spacing w:line="276" w:lineRule="auto"/>
              <w:jc w:val="left"/>
              <w:rPr>
                <w:rFonts w:hint="eastAsia" w:ascii="宋体" w:hAnsi="宋体" w:eastAsia="宋体" w:cs="宋体"/>
                <w:i w:val="0"/>
                <w:iCs w:val="0"/>
                <w:color w:val="auto"/>
                <w:kern w:val="0"/>
                <w:sz w:val="24"/>
                <w:szCs w:val="24"/>
                <w:highlight w:val="none"/>
                <w:u w:val="none"/>
                <w:lang w:val="en-US" w:eastAsia="zh-CN" w:bidi="ar"/>
              </w:rPr>
            </w:pPr>
            <w:bookmarkStart w:id="432" w:name="OLE_LINK54"/>
            <w:r>
              <w:rPr>
                <w:rFonts w:hint="eastAsia" w:ascii="宋体" w:hAnsi="宋体" w:eastAsia="宋体" w:cs="宋体"/>
                <w:color w:val="auto"/>
                <w:sz w:val="24"/>
                <w:szCs w:val="24"/>
              </w:rPr>
              <w:t>演示调课分为以下类型：班内老师代换课、教研组内老师代课、校内老师代课、校内老师自修管理、班内老师自修管理、学生自修；</w:t>
            </w:r>
            <w:bookmarkEnd w:id="432"/>
            <w:r>
              <w:rPr>
                <w:rFonts w:hint="eastAsia" w:ascii="宋体" w:hAnsi="宋体" w:eastAsia="宋体" w:cs="宋体"/>
                <w:color w:val="auto"/>
                <w:sz w:val="24"/>
                <w:szCs w:val="24"/>
              </w:rPr>
              <w:t>老师请假后，如果取消请假，已经调换的课程需要还原；</w:t>
            </w:r>
            <w:r>
              <w:rPr>
                <w:rFonts w:hint="eastAsia" w:ascii="宋体" w:hAnsi="宋体" w:eastAsia="宋体" w:cs="宋体"/>
                <w:i w:val="0"/>
                <w:iCs w:val="0"/>
                <w:color w:val="auto"/>
                <w:kern w:val="0"/>
                <w:sz w:val="24"/>
                <w:szCs w:val="24"/>
                <w:highlight w:val="none"/>
                <w:u w:val="none"/>
                <w:lang w:val="en-US" w:eastAsia="zh-CN" w:bidi="ar"/>
              </w:rPr>
              <w:t>（全部满足功能要求的得2分，部分满足或未提供演示视频不得分）</w:t>
            </w:r>
          </w:p>
          <w:p w14:paraId="47EA788B">
            <w:pPr>
              <w:numPr>
                <w:ilvl w:val="0"/>
                <w:numId w:val="5"/>
              </w:numPr>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当天请假课程进行调换课，一对一钉钉提醒通知；每位老师能够清楚看到调动的课程（可通过颜色区分），并电子签名确认，可以通过钉钉和网页进行相关查询；</w:t>
            </w:r>
            <w:r>
              <w:rPr>
                <w:rFonts w:hint="eastAsia" w:ascii="宋体" w:hAnsi="宋体" w:eastAsia="宋体" w:cs="宋体"/>
                <w:i w:val="0"/>
                <w:iCs w:val="0"/>
                <w:color w:val="auto"/>
                <w:kern w:val="0"/>
                <w:sz w:val="24"/>
                <w:szCs w:val="24"/>
                <w:highlight w:val="none"/>
                <w:u w:val="none"/>
                <w:lang w:val="en-US" w:eastAsia="zh-CN" w:bidi="ar"/>
              </w:rPr>
              <w:t>（全部满足功能要求的得1分，部分满足或未提供演示视频不得分）</w:t>
            </w:r>
          </w:p>
          <w:p w14:paraId="2640A406">
            <w:pPr>
              <w:numPr>
                <w:ilvl w:val="0"/>
                <w:numId w:val="5"/>
              </w:numPr>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演示从标准库中选择教师表，同时设置表与表之间的关联关系，设置完成后自动创建主题库，主题库中就可以生成数据。同时主题数据查询功能支持类似于excel的模式进行高级搜索，便于利用；</w:t>
            </w:r>
            <w:r>
              <w:rPr>
                <w:rFonts w:hint="eastAsia" w:ascii="宋体" w:hAnsi="宋体" w:eastAsia="宋体" w:cs="宋体"/>
                <w:i w:val="0"/>
                <w:iCs w:val="0"/>
                <w:color w:val="auto"/>
                <w:kern w:val="0"/>
                <w:sz w:val="24"/>
                <w:szCs w:val="24"/>
                <w:highlight w:val="none"/>
                <w:u w:val="none"/>
                <w:lang w:val="en-US" w:eastAsia="zh-CN" w:bidi="ar"/>
              </w:rPr>
              <w:t>（全部满足功能要求的得2分，部分满足或未提供演示视频不得分）</w:t>
            </w:r>
          </w:p>
          <w:p w14:paraId="6C83EC75">
            <w:pPr>
              <w:numPr>
                <w:ilvl w:val="0"/>
                <w:numId w:val="5"/>
              </w:numPr>
              <w:spacing w:line="276" w:lineRule="auto"/>
              <w:jc w:val="left"/>
              <w:rPr>
                <w:rFonts w:hint="eastAsia" w:ascii="宋体" w:hAnsi="宋体" w:eastAsia="宋体" w:cs="宋体"/>
                <w:color w:val="auto"/>
                <w:kern w:val="2"/>
                <w:sz w:val="24"/>
                <w:szCs w:val="24"/>
              </w:rPr>
            </w:pPr>
            <w:bookmarkStart w:id="433" w:name="OLE_LINK58"/>
            <w:r>
              <w:rPr>
                <w:rFonts w:hint="eastAsia" w:ascii="宋体" w:hAnsi="宋体" w:eastAsia="宋体" w:cs="宋体"/>
                <w:color w:val="auto"/>
                <w:sz w:val="24"/>
                <w:szCs w:val="24"/>
              </w:rPr>
              <w:t>演示可快速单表或多表配置基本人事信息、专业技术信息、教学科研成果、师德师风记录、教育培训经历、工作履历详情查询项，配置好后能够支持移动端与PC端</w:t>
            </w:r>
            <w:bookmarkEnd w:id="433"/>
            <w:r>
              <w:rPr>
                <w:rFonts w:hint="eastAsia" w:ascii="宋体" w:hAnsi="宋体" w:cs="宋体"/>
                <w:color w:val="auto"/>
                <w:sz w:val="24"/>
                <w:szCs w:val="24"/>
                <w:lang w:eastAsia="zh-CN"/>
              </w:rPr>
              <w:t>。</w:t>
            </w:r>
            <w:r>
              <w:rPr>
                <w:rFonts w:hint="eastAsia" w:ascii="宋体" w:hAnsi="宋体" w:eastAsia="宋体" w:cs="宋体"/>
                <w:i w:val="0"/>
                <w:iCs w:val="0"/>
                <w:color w:val="auto"/>
                <w:kern w:val="0"/>
                <w:sz w:val="24"/>
                <w:szCs w:val="24"/>
                <w:highlight w:val="none"/>
                <w:u w:val="none"/>
                <w:lang w:val="en-US" w:eastAsia="zh-CN" w:bidi="ar"/>
              </w:rPr>
              <w:t>（全部满足功能要求的得2分，部分满足或未提供演示视频不得分）</w:t>
            </w:r>
          </w:p>
        </w:tc>
        <w:tc>
          <w:tcPr>
            <w:tcW w:w="423" w:type="pct"/>
            <w:vAlign w:val="center"/>
          </w:tcPr>
          <w:p w14:paraId="6C36BDD2">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7</w:t>
            </w:r>
          </w:p>
        </w:tc>
      </w:tr>
      <w:tr w14:paraId="11C7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4" w:type="pct"/>
            <w:vAlign w:val="center"/>
          </w:tcPr>
          <w:p w14:paraId="557BC92E">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4092" w:type="pct"/>
            <w:vAlign w:val="center"/>
          </w:tcPr>
          <w:p w14:paraId="6F3C9B3F">
            <w:pPr>
              <w:snapToGrid w:val="0"/>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项目团队</w:t>
            </w:r>
          </w:p>
        </w:tc>
        <w:tc>
          <w:tcPr>
            <w:tcW w:w="423" w:type="pct"/>
            <w:vAlign w:val="center"/>
          </w:tcPr>
          <w:p w14:paraId="4D7ACF7B">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4596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484" w:type="pct"/>
            <w:vAlign w:val="center"/>
          </w:tcPr>
          <w:p w14:paraId="3FE1B0A4">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4092" w:type="pct"/>
            <w:vAlign w:val="center"/>
          </w:tcPr>
          <w:p w14:paraId="75BABA41">
            <w:pPr>
              <w:rPr>
                <w:rFonts w:hint="eastAsia" w:ascii="宋体" w:hAnsi="宋体" w:eastAsia="宋体" w:cs="宋体"/>
                <w:bCs/>
                <w:color w:val="auto"/>
                <w:sz w:val="24"/>
                <w:szCs w:val="24"/>
              </w:rPr>
            </w:pPr>
            <w:r>
              <w:rPr>
                <w:rFonts w:hint="eastAsia" w:ascii="宋体" w:hAnsi="宋体" w:eastAsia="宋体" w:cs="宋体"/>
                <w:bCs/>
                <w:color w:val="auto"/>
                <w:sz w:val="24"/>
                <w:szCs w:val="24"/>
              </w:rPr>
              <w:t>项目负责人：</w:t>
            </w:r>
          </w:p>
          <w:p w14:paraId="477D82B9">
            <w:pPr>
              <w:rPr>
                <w:rFonts w:hint="eastAsia" w:ascii="宋体" w:hAnsi="宋体" w:eastAsia="宋体" w:cs="宋体"/>
                <w:bCs/>
                <w:color w:val="auto"/>
                <w:sz w:val="24"/>
                <w:szCs w:val="24"/>
              </w:rPr>
            </w:pPr>
            <w:r>
              <w:rPr>
                <w:rFonts w:hint="eastAsia" w:ascii="宋体" w:hAnsi="宋体" w:eastAsia="宋体" w:cs="宋体"/>
                <w:bCs/>
                <w:color w:val="auto"/>
                <w:sz w:val="24"/>
                <w:szCs w:val="24"/>
              </w:rPr>
              <w:t>（1）具有系统集成项目管理工程师及以上证书的得2分；</w:t>
            </w:r>
          </w:p>
          <w:p w14:paraId="68295296">
            <w:pPr>
              <w:rPr>
                <w:rFonts w:hint="eastAsia" w:ascii="宋体" w:hAnsi="宋体" w:eastAsia="宋体" w:cs="宋体"/>
                <w:bCs/>
                <w:color w:val="auto"/>
                <w:sz w:val="24"/>
                <w:szCs w:val="24"/>
              </w:rPr>
            </w:pPr>
            <w:r>
              <w:rPr>
                <w:rFonts w:hint="eastAsia" w:ascii="宋体" w:hAnsi="宋体" w:eastAsia="宋体" w:cs="宋体"/>
                <w:bCs/>
                <w:color w:val="auto"/>
                <w:sz w:val="24"/>
                <w:szCs w:val="24"/>
              </w:rPr>
              <w:t>（2）2022年1月1日以来具有类似管理经验，每个0.5分，最高的1分；</w:t>
            </w:r>
          </w:p>
          <w:p w14:paraId="0FD04C2F">
            <w:pPr>
              <w:snapToGrid w:val="0"/>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证明材料：提供人员履历、证书、业绩证明及近三个月内任意月份打印的社保证明，</w:t>
            </w:r>
            <w:r>
              <w:rPr>
                <w:rFonts w:hint="eastAsia" w:ascii="宋体" w:hAnsi="宋体" w:eastAsia="宋体" w:cs="宋体"/>
                <w:color w:val="auto"/>
                <w:kern w:val="0"/>
                <w:sz w:val="24"/>
                <w:szCs w:val="24"/>
              </w:rPr>
              <w:t>未提供不得分</w:t>
            </w:r>
            <w:r>
              <w:rPr>
                <w:rFonts w:hint="eastAsia" w:ascii="宋体" w:hAnsi="宋体" w:eastAsia="宋体" w:cs="宋体"/>
                <w:bCs/>
                <w:color w:val="auto"/>
                <w:sz w:val="24"/>
                <w:szCs w:val="24"/>
              </w:rPr>
              <w:t>。</w:t>
            </w:r>
          </w:p>
        </w:tc>
        <w:tc>
          <w:tcPr>
            <w:tcW w:w="423" w:type="pct"/>
            <w:vAlign w:val="center"/>
          </w:tcPr>
          <w:p w14:paraId="228F3517">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14:paraId="3C96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484" w:type="pct"/>
            <w:vAlign w:val="center"/>
          </w:tcPr>
          <w:p w14:paraId="1889D2AE">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11.2</w:t>
            </w:r>
          </w:p>
        </w:tc>
        <w:tc>
          <w:tcPr>
            <w:tcW w:w="4092" w:type="pct"/>
            <w:vAlign w:val="center"/>
          </w:tcPr>
          <w:p w14:paraId="22C993F2">
            <w:pPr>
              <w:snapToGrid w:val="0"/>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团队成员配置：根据项目团队成员层级配置和职责划分是否清晰完整，专业、技术水平、经验是否满足采购要求进行综合评审，未提供不得分。</w:t>
            </w:r>
          </w:p>
          <w:p w14:paraId="735929FC">
            <w:pPr>
              <w:snapToGrid w:val="0"/>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证明材料：提供人员简介及及近三个月内任意月份打印的社保证明，</w:t>
            </w:r>
            <w:r>
              <w:rPr>
                <w:rFonts w:hint="eastAsia" w:ascii="宋体" w:hAnsi="宋体" w:eastAsia="宋体" w:cs="宋体"/>
                <w:color w:val="auto"/>
                <w:kern w:val="0"/>
                <w:sz w:val="24"/>
                <w:szCs w:val="24"/>
              </w:rPr>
              <w:t>未提供不得分</w:t>
            </w:r>
            <w:r>
              <w:rPr>
                <w:rFonts w:hint="eastAsia" w:ascii="宋体" w:hAnsi="宋体" w:eastAsia="宋体" w:cs="宋体"/>
                <w:bCs/>
                <w:color w:val="auto"/>
                <w:sz w:val="24"/>
                <w:szCs w:val="24"/>
              </w:rPr>
              <w:t>。</w:t>
            </w:r>
            <w:r>
              <w:rPr>
                <w:rFonts w:hint="eastAsia" w:ascii="宋体" w:hAnsi="宋体" w:eastAsia="宋体" w:cs="宋体"/>
                <w:color w:val="auto"/>
                <w:sz w:val="24"/>
                <w:szCs w:val="24"/>
              </w:rPr>
              <w:t>（评分范围：4,3,2,1,0）</w:t>
            </w:r>
          </w:p>
        </w:tc>
        <w:tc>
          <w:tcPr>
            <w:tcW w:w="423" w:type="pct"/>
            <w:vAlign w:val="center"/>
          </w:tcPr>
          <w:p w14:paraId="03EF208D">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4AA3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84" w:type="pct"/>
            <w:vAlign w:val="center"/>
          </w:tcPr>
          <w:p w14:paraId="5FC81B77">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4092" w:type="pct"/>
            <w:vAlign w:val="center"/>
          </w:tcPr>
          <w:p w14:paraId="500886E7">
            <w:pPr>
              <w:snapToGrid w:val="0"/>
              <w:outlineLvl w:val="0"/>
              <w:rPr>
                <w:rFonts w:hint="eastAsia" w:ascii="宋体" w:hAnsi="宋体" w:eastAsia="宋体" w:cs="宋体"/>
                <w:color w:val="auto"/>
                <w:sz w:val="24"/>
                <w:szCs w:val="24"/>
              </w:rPr>
            </w:pPr>
            <w:r>
              <w:rPr>
                <w:rFonts w:hint="eastAsia" w:ascii="宋体" w:hAnsi="宋体" w:eastAsia="宋体" w:cs="宋体"/>
                <w:bCs/>
                <w:color w:val="auto"/>
                <w:sz w:val="24"/>
                <w:szCs w:val="24"/>
              </w:rPr>
              <w:t>售后服务方案：</w:t>
            </w:r>
            <w:r>
              <w:rPr>
                <w:rFonts w:hint="eastAsia" w:ascii="宋体" w:hAnsi="宋体" w:eastAsia="宋体" w:cs="宋体"/>
                <w:color w:val="auto"/>
                <w:kern w:val="0"/>
                <w:sz w:val="24"/>
                <w:szCs w:val="24"/>
              </w:rPr>
              <w:t>包含但不限于</w:t>
            </w:r>
            <w:r>
              <w:rPr>
                <w:rFonts w:hint="eastAsia" w:ascii="宋体" w:hAnsi="宋体" w:eastAsia="宋体" w:cs="宋体"/>
                <w:bCs/>
                <w:color w:val="auto"/>
                <w:sz w:val="24"/>
                <w:szCs w:val="24"/>
              </w:rPr>
              <w:t>①售后响应、②技术故障处理、③应急保障人员、④运维记录、档案汇总等内容，</w:t>
            </w:r>
            <w:r>
              <w:rPr>
                <w:rFonts w:hint="eastAsia" w:ascii="宋体" w:hAnsi="宋体" w:eastAsia="宋体" w:cs="宋体"/>
                <w:color w:val="auto"/>
                <w:sz w:val="24"/>
                <w:szCs w:val="24"/>
              </w:rPr>
              <w:t>根据方案思路、内容和可实施性</w:t>
            </w:r>
            <w:r>
              <w:rPr>
                <w:rFonts w:hint="eastAsia" w:ascii="宋体" w:hAnsi="宋体" w:eastAsia="宋体" w:cs="宋体"/>
                <w:color w:val="auto"/>
                <w:kern w:val="0"/>
                <w:sz w:val="24"/>
                <w:szCs w:val="24"/>
              </w:rPr>
              <w:t>进行综合评审，未提供不得分。</w:t>
            </w:r>
            <w:r>
              <w:rPr>
                <w:rFonts w:hint="eastAsia" w:ascii="宋体" w:hAnsi="宋体" w:eastAsia="宋体" w:cs="宋体"/>
                <w:color w:val="auto"/>
                <w:sz w:val="24"/>
                <w:szCs w:val="24"/>
              </w:rPr>
              <w:t>（评分范围：5,4,3,2,1,0）</w:t>
            </w:r>
          </w:p>
        </w:tc>
        <w:tc>
          <w:tcPr>
            <w:tcW w:w="423" w:type="pct"/>
            <w:vAlign w:val="center"/>
          </w:tcPr>
          <w:p w14:paraId="1BB26DAA">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3CCD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84" w:type="pct"/>
            <w:vAlign w:val="center"/>
          </w:tcPr>
          <w:p w14:paraId="3828CDC5">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4092" w:type="pct"/>
            <w:vAlign w:val="center"/>
          </w:tcPr>
          <w:p w14:paraId="4843CDF4">
            <w:pPr>
              <w:snapToGrid w:val="0"/>
              <w:outlineLvl w:val="0"/>
              <w:rPr>
                <w:rFonts w:hint="eastAsia" w:ascii="宋体" w:hAnsi="宋体" w:eastAsia="宋体" w:cs="宋体"/>
                <w:color w:val="auto"/>
                <w:sz w:val="24"/>
                <w:szCs w:val="24"/>
              </w:rPr>
            </w:pPr>
            <w:r>
              <w:rPr>
                <w:rFonts w:hint="eastAsia" w:ascii="宋体" w:hAnsi="宋体" w:eastAsia="宋体" w:cs="宋体"/>
                <w:bCs/>
                <w:color w:val="auto"/>
                <w:sz w:val="24"/>
                <w:szCs w:val="24"/>
              </w:rPr>
              <w:t>项目培训方案：投标人需涵盖针对相关人员的技术培训计划，培训内容的培训方案，根据方案的完整性和合理性进行综合评审，未提供不得分。</w:t>
            </w:r>
            <w:r>
              <w:rPr>
                <w:rFonts w:hint="eastAsia" w:ascii="宋体" w:hAnsi="宋体" w:eastAsia="宋体" w:cs="宋体"/>
                <w:color w:val="auto"/>
                <w:sz w:val="24"/>
                <w:szCs w:val="24"/>
              </w:rPr>
              <w:t>（评分范围： 3,2,1,0）</w:t>
            </w:r>
          </w:p>
        </w:tc>
        <w:tc>
          <w:tcPr>
            <w:tcW w:w="423" w:type="pct"/>
            <w:vAlign w:val="center"/>
          </w:tcPr>
          <w:p w14:paraId="62C4DA4D">
            <w:pPr>
              <w:snapToGrid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p>
        </w:tc>
      </w:tr>
      <w:bookmarkEnd w:id="430"/>
    </w:tbl>
    <w:p w14:paraId="482FE840">
      <w:pPr>
        <w:snapToGrid w:val="0"/>
        <w:spacing w:line="360" w:lineRule="auto"/>
        <w:ind w:firstLine="400"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0"/>
          <w:szCs w:val="20"/>
          <w:shd w:val="clear" w:color="auto" w:fill="FFFFFF"/>
        </w:rPr>
        <w:t>*</w:t>
      </w:r>
      <w:r>
        <w:rPr>
          <w:rFonts w:hint="eastAsia" w:asciiTheme="minorEastAsia" w:hAnsiTheme="minorEastAsia" w:eastAsiaTheme="minorEastAsia" w:cstheme="minorEastAsia"/>
          <w:b/>
          <w:sz w:val="24"/>
        </w:rPr>
        <w:t>备注：</w:t>
      </w:r>
      <w:r>
        <w:rPr>
          <w:rFonts w:hint="eastAsia" w:asciiTheme="minorEastAsia" w:hAnsiTheme="minorEastAsia" w:eastAsiaTheme="minorEastAsia" w:cstheme="minorEastAsia"/>
          <w:sz w:val="24"/>
        </w:rPr>
        <w:t>投标人编制投标文件（商务技术文件部分）时，建议按此目录（序号和内容）提供评标标准相应的商务技术资料。 </w:t>
      </w:r>
    </w:p>
    <w:p w14:paraId="27F2933A">
      <w:pPr>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一、评标方法</w:t>
      </w:r>
    </w:p>
    <w:p w14:paraId="42646F67">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综合评分法，是指投标文件满足招标文件全部实质性要求，且按照评审因素的量化指标评审得分最高的投标人为中标候选人的评标方法。</w:t>
      </w:r>
    </w:p>
    <w:p w14:paraId="72EC775B">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24"/>
        </w:rPr>
        <w:t>二、评标标准</w:t>
      </w:r>
    </w:p>
    <w:p w14:paraId="6207D798">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31960A73">
      <w:pPr>
        <w:spacing w:line="360" w:lineRule="auto"/>
        <w:outlineLvl w:val="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三、评标程序</w:t>
      </w:r>
    </w:p>
    <w:p w14:paraId="2B9BAA43">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评标委员会应当对符合资格的投标人的投标文件进行符合性审查，以确定其是否满足招标文件的实质性要求。不满足招标文件的实质性要求的，投标无效。</w:t>
      </w:r>
    </w:p>
    <w:p w14:paraId="7E217F59">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评标委员会应当按照招标文件中规定的评标方法和标准，对符合性审查合格的投标文件进行商务和技术评估，综合比较与评价。</w:t>
      </w:r>
    </w:p>
    <w:p w14:paraId="6A516749">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评标委员会各成员应当独立对每个投标人的商务和技术文件进行评价，并汇总商务技术得分情况。</w:t>
      </w:r>
    </w:p>
    <w:p w14:paraId="5051A8F6">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3920F886">
      <w:pPr>
        <w:pStyle w:val="31"/>
        <w:spacing w:before="0"/>
        <w:ind w:firstLine="508" w:firstLineChars="212"/>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3.4.1投标文件报价出现前后不一致的，按照下列规定修正：</w:t>
      </w:r>
    </w:p>
    <w:p w14:paraId="1A977445">
      <w:pPr>
        <w:pStyle w:val="31"/>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3.4.1.1投标文件中开标一览表(报价表)内容与投标文件中相应内容不一致的，以开标一览表(报价表)为准；</w:t>
      </w:r>
    </w:p>
    <w:p w14:paraId="0D8B385E">
      <w:pPr>
        <w:pStyle w:val="31"/>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2AA4AD50">
      <w:pPr>
        <w:pStyle w:val="31"/>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3.4.1.3单价金额小数点或者百分比有明显错位的，以开标一览表的总价为准，并修改单价；</w:t>
      </w:r>
    </w:p>
    <w:p w14:paraId="73565258">
      <w:pPr>
        <w:pStyle w:val="31"/>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5A8BFB4F">
      <w:pPr>
        <w:pStyle w:val="31"/>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1DEDD105">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3.4.2投标文件出现不是唯一的、有选择性投标报价的，投标无效。</w:t>
      </w:r>
    </w:p>
    <w:p w14:paraId="25E7E0C9">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3.4.3投标报价超过招标文件中规定的预算金额或者最高限价的，投标无效。</w:t>
      </w:r>
    </w:p>
    <w:p w14:paraId="60A548DA">
      <w:pPr>
        <w:pStyle w:val="31"/>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638356">
      <w:pPr>
        <w:pStyle w:val="31"/>
        <w:spacing w:before="0"/>
        <w:ind w:firstLine="48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kern w:val="0"/>
          <w:szCs w:val="24"/>
        </w:rPr>
        <w:t>3.4.5</w:t>
      </w:r>
      <w:r>
        <w:rPr>
          <w:rFonts w:hint="eastAsia" w:ascii="宋体" w:hAnsi="宋体" w:cs="宋体"/>
          <w:kern w:val="0"/>
          <w:szCs w:val="24"/>
        </w:rPr>
        <w:t>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w:t>
      </w:r>
      <w:r>
        <w:rPr>
          <w:rFonts w:hint="eastAsia" w:ascii="宋体" w:hAnsi="宋体" w:cs="宋体"/>
          <w:color w:val="auto"/>
          <w:kern w:val="0"/>
          <w:szCs w:val="24"/>
        </w:rPr>
        <w:t>的，不享受价格扣除优惠政策。</w:t>
      </w:r>
    </w:p>
    <w:p w14:paraId="6F023AB0">
      <w:pPr>
        <w:spacing w:line="360" w:lineRule="auto"/>
        <w:ind w:firstLine="482"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rPr>
        <w:t>3.5排序与推荐。</w:t>
      </w:r>
      <w:r>
        <w:rPr>
          <w:rFonts w:hint="eastAsia" w:ascii="宋体" w:hAnsi="宋体" w:cs="宋体"/>
          <w:bCs/>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bCs/>
          <w:color w:val="auto"/>
          <w:kern w:val="0"/>
          <w:sz w:val="24"/>
          <w:u w:val="single"/>
        </w:rPr>
        <w:t>3家</w:t>
      </w:r>
      <w:r>
        <w:rPr>
          <w:rFonts w:hint="eastAsia" w:ascii="宋体" w:hAnsi="宋体" w:cs="宋体"/>
          <w:bCs/>
          <w:color w:val="auto"/>
          <w:kern w:val="0"/>
          <w:sz w:val="24"/>
        </w:rPr>
        <w:t>。</w:t>
      </w:r>
    </w:p>
    <w:p w14:paraId="21312095">
      <w:pPr>
        <w:spacing w:line="360" w:lineRule="auto"/>
        <w:ind w:firstLine="480"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color w:val="auto"/>
          <w:kern w:val="0"/>
          <w:sz w:val="24"/>
        </w:rPr>
        <w:t>多家投标人提供相同品牌产品（单一产品采购项目中的该产品或者非单</w:t>
      </w:r>
      <w:r>
        <w:rPr>
          <w:rFonts w:hint="eastAsia" w:asciiTheme="minorEastAsia" w:hAnsiTheme="minorEastAsia" w:eastAsiaTheme="minorEastAsia" w:cstheme="minorEastAsia"/>
          <w:kern w:val="0"/>
          <w:sz w:val="24"/>
        </w:rPr>
        <w:t>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53E314">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A3E335">
      <w:pPr>
        <w:widowControl/>
        <w:shd w:val="clear" w:color="auto" w:fill="FFFFFF"/>
        <w:spacing w:after="225" w:line="315" w:lineRule="atLeas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四、评标中的其他事项</w:t>
      </w:r>
    </w:p>
    <w:p w14:paraId="0C33DE2E">
      <w:pPr>
        <w:pStyle w:val="31"/>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4.1投标人澄清、说明或者补正。</w:t>
      </w:r>
      <w:r>
        <w:rPr>
          <w:rFonts w:hint="eastAsia" w:asciiTheme="minorEastAsia" w:hAnsiTheme="minorEastAsia" w:eastAsiaTheme="minorEastAsia" w:cs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7CB15A">
      <w:pPr>
        <w:pStyle w:val="9"/>
        <w:spacing w:line="360" w:lineRule="auto"/>
        <w:ind w:left="954" w:leftChars="226" w:hanging="479"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4.2投标无效。</w:t>
      </w:r>
      <w:r>
        <w:rPr>
          <w:rFonts w:hint="eastAsia" w:asciiTheme="minorEastAsia" w:hAnsiTheme="minorEastAsia" w:eastAsiaTheme="minorEastAsia" w:cstheme="minorEastAsia"/>
        </w:rPr>
        <w:t>有下列情形之一的，投标无效：</w:t>
      </w:r>
    </w:p>
    <w:p w14:paraId="4DB8AC3B">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4.2.1投标人不具备招标文件中规定的资格要求的（投标人未提供有效的资格文件的，视为投标人不具备招标文件中规定的资格要求）；</w:t>
      </w:r>
    </w:p>
    <w:p w14:paraId="2E3CC28F">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4.2.2投标文件未按照招标文件要求签署、盖章的；</w:t>
      </w:r>
    </w:p>
    <w:p w14:paraId="0AE639C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4.2.3投标文件含有采购人不能接受的附加条件的；</w:t>
      </w:r>
    </w:p>
    <w:p w14:paraId="59D41F0B">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4.2.4投标文件中承诺的投标有效期少于招标文件中载明的投标有效期的；</w:t>
      </w:r>
    </w:p>
    <w:p w14:paraId="441308D3">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4.2.5投标文件出现不是唯一的、有选择性投标报价的；</w:t>
      </w:r>
    </w:p>
    <w:p w14:paraId="4B446112">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4.2.6投标报价超过招标文件中规定的预算金额或者最高限价的；</w:t>
      </w:r>
    </w:p>
    <w:p w14:paraId="75A8FA9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4.2.7报价明显低于其他通过符合性审查投标人的报价，有可能影响产品质量或者不能诚信履约的，未能按要求提供书面说明或者提交相关证明材料，不能证明其报价合理性的；</w:t>
      </w:r>
    </w:p>
    <w:p w14:paraId="45D5425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4.2.8投标人对根据修正原则修正后的报价不确认的；</w:t>
      </w:r>
    </w:p>
    <w:p w14:paraId="35D0C813">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4.2.9投标人提供虚假材料投标的；</w:t>
      </w:r>
    </w:p>
    <w:p w14:paraId="5675A4E9">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4.2.10投标人有恶意串通、妨碍其他投标人的竞争行为、损害采购人或者其他投标人的合法权益情形的；</w:t>
      </w:r>
    </w:p>
    <w:p w14:paraId="712606DF">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4.2.11</w:t>
      </w:r>
      <w:r>
        <w:rPr>
          <w:rFonts w:hint="eastAsia" w:ascii="宋体" w:hAnsi="宋体" w:cs="宋体"/>
          <w:kern w:val="0"/>
          <w:sz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0D83CBF">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4.2.12投标人仅提交备份投标文件，未在电子交易平台传输递交投标文件的，投标无效；</w:t>
      </w:r>
    </w:p>
    <w:p w14:paraId="7EB6FEC4">
      <w:pPr>
        <w:pStyle w:val="3"/>
        <w:ind w:left="433" w:leftChars="202" w:hanging="9" w:hangingChars="4"/>
        <w:rPr>
          <w:rFonts w:hint="eastAsia"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rPr>
        <w:t>4.2.13 投标文件不满足招标文件的其它实质性要求的；</w:t>
      </w:r>
    </w:p>
    <w:p w14:paraId="71BD5401">
      <w:pPr>
        <w:pStyle w:val="3"/>
        <w:ind w:left="0" w:firstLine="420" w:firstLineChars="175"/>
        <w:rPr>
          <w:rFonts w:hint="eastAsia" w:asciiTheme="minorEastAsia" w:hAnsiTheme="minorEastAsia" w:eastAsiaTheme="minorEastAsia" w:cstheme="minorEastAsia"/>
          <w:b w:val="0"/>
          <w:bCs w:val="0"/>
          <w:kern w:val="0"/>
          <w:sz w:val="24"/>
        </w:rPr>
      </w:pPr>
      <w:r>
        <w:rPr>
          <w:rFonts w:hint="eastAsia" w:asciiTheme="minorEastAsia" w:hAnsiTheme="minorEastAsia" w:eastAsiaTheme="minorEastAsia" w:cstheme="minorEastAsia"/>
          <w:b w:val="0"/>
          <w:bCs w:val="0"/>
          <w:kern w:val="0"/>
          <w:sz w:val="24"/>
        </w:rPr>
        <w:t>4.2.14法律、法规、规章（适用本市的）及省级以上规范性文件（适用本市的）规定的其他无效情形。</w:t>
      </w:r>
    </w:p>
    <w:p w14:paraId="310ABE54">
      <w:pPr>
        <w:pStyle w:val="9"/>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根据《中华人民共和国政府采购法》第三十六条之规定，在采购中，出现下列情形之一的，应予废标：</w:t>
      </w:r>
    </w:p>
    <w:p w14:paraId="708A64D9">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5.1符合专业条件的供应商或者对招标文件作实质响应的供应商不足3家的；</w:t>
      </w:r>
    </w:p>
    <w:p w14:paraId="6DA18A47">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10AE4D17">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5.3投标人的报价均超过了采购预算，采购人不能支付的；</w:t>
      </w:r>
    </w:p>
    <w:p w14:paraId="7C7DE973">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35DB3C50">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废标后，采购代理机构应当将废标理由通知所有投标人。</w:t>
      </w:r>
    </w:p>
    <w:p w14:paraId="3E826747">
      <w:pPr>
        <w:pStyle w:val="9"/>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6.修改招标文件，重新组织采购活动。</w:t>
      </w:r>
      <w:r>
        <w:rPr>
          <w:rFonts w:hint="eastAsia" w:asciiTheme="minorEastAsia" w:hAnsiTheme="minorEastAsia" w:eastAsiaTheme="minorEastAsia" w:cs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3D23BA">
      <w:pPr>
        <w:pStyle w:val="9"/>
        <w:snapToGrid w:val="0"/>
        <w:spacing w:line="360" w:lineRule="auto"/>
        <w:ind w:firstLine="482"/>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有政府采购法第七十一条、第七十二条规定的违法行为之一，影响或者可能影响中标结果的，依照下列规定处理：</w:t>
      </w:r>
    </w:p>
    <w:p w14:paraId="6E4D8F7C">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7.1未确定中标供应商的，终止本次采购活动，重新开展政府采购活动。</w:t>
      </w:r>
    </w:p>
    <w:p w14:paraId="61B10B3B">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7.2已确定中标供应商但尚未签订采购合同的，中标结果无效，从合格的中标候选人中另行确定中标供应商；没有合格的中标候选人的，重新开展采购活动。</w:t>
      </w:r>
    </w:p>
    <w:p w14:paraId="5B751C12">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7.3政府采购合同已签订但尚未履行的，撤销合同，从合格的中标候选人中另行确定中标供应商；没有合格的中标候选人的，重新开展采购活动。</w:t>
      </w:r>
    </w:p>
    <w:p w14:paraId="495FC21D">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7.4采购合同已经履行，给采购人、供应商造成损失的，由责任人承担赔偿责任。</w:t>
      </w:r>
    </w:p>
    <w:p w14:paraId="3335B162">
      <w:pPr>
        <w:pStyle w:val="9"/>
        <w:snapToGrid w:val="0"/>
        <w:spacing w:line="360" w:lineRule="auto"/>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rPr>
        <w:t>7.5采购当事人有其他违反政府采购法或者政府采购法实施条例等法律法规规定的行为，经改正后仍然影响或者可能影响中标结果或者依法被认定为中标无效的，依照7.1-7.4规定处理。</w:t>
      </w:r>
      <w:bookmarkEnd w:id="27"/>
      <w:bookmarkStart w:id="434" w:name="第五部分"/>
      <w:bookmarkStart w:id="435" w:name="_Toc86217003"/>
      <w:r>
        <w:rPr>
          <w:rFonts w:hint="eastAsia" w:asciiTheme="minorEastAsia" w:hAnsiTheme="minorEastAsia" w:eastAsiaTheme="minorEastAsia" w:cstheme="minorEastAsia"/>
          <w:b/>
          <w:sz w:val="36"/>
          <w:szCs w:val="36"/>
        </w:rPr>
        <w:br w:type="page"/>
      </w:r>
    </w:p>
    <w:p w14:paraId="54E6C678">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第五部分 拟签订的合同文本</w:t>
      </w:r>
    </w:p>
    <w:p w14:paraId="58FD5ED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rPr>
        <w:t xml:space="preserve">           </w:t>
      </w:r>
    </w:p>
    <w:p w14:paraId="5D4DC51B">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合同编号：</w:t>
      </w:r>
      <w:r>
        <w:rPr>
          <w:rFonts w:hint="eastAsia" w:asciiTheme="minorEastAsia" w:hAnsiTheme="minorEastAsia" w:eastAsiaTheme="minorEastAsia" w:cstheme="minorEastAsia"/>
          <w:sz w:val="24"/>
          <w:u w:val="single"/>
        </w:rPr>
        <w:t xml:space="preserve">           </w:t>
      </w:r>
    </w:p>
    <w:p w14:paraId="00B1E9DD">
      <w:pPr>
        <w:spacing w:line="480" w:lineRule="auto"/>
        <w:jc w:val="center"/>
        <w:rPr>
          <w:rFonts w:hint="eastAsia" w:asciiTheme="minorEastAsia" w:hAnsiTheme="minorEastAsia" w:eastAsiaTheme="minorEastAsia" w:cstheme="minorEastAsia"/>
          <w:b/>
          <w:sz w:val="28"/>
          <w:szCs w:val="28"/>
        </w:rPr>
      </w:pPr>
    </w:p>
    <w:p w14:paraId="35C794AA">
      <w:pPr>
        <w:spacing w:line="480" w:lineRule="auto"/>
        <w:jc w:val="center"/>
        <w:rPr>
          <w:rFonts w:hint="eastAsia" w:asciiTheme="minorEastAsia" w:hAnsiTheme="minorEastAsia" w:eastAsiaTheme="minorEastAsia" w:cstheme="minorEastAsia"/>
          <w:b/>
          <w:sz w:val="24"/>
        </w:rPr>
      </w:pPr>
    </w:p>
    <w:p w14:paraId="28F017F8">
      <w:pPr>
        <w:spacing w:line="480" w:lineRule="auto"/>
        <w:jc w:val="center"/>
        <w:rPr>
          <w:rFonts w:hint="eastAsia" w:asciiTheme="minorEastAsia" w:hAnsiTheme="minorEastAsia" w:eastAsiaTheme="minorEastAsia" w:cstheme="minorEastAsia"/>
          <w:b/>
          <w:sz w:val="24"/>
        </w:rPr>
      </w:pPr>
    </w:p>
    <w:p w14:paraId="5631060A">
      <w:pPr>
        <w:spacing w:line="480"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采购合同参考范本</w:t>
      </w:r>
    </w:p>
    <w:p w14:paraId="06F53E0B">
      <w:pPr>
        <w:spacing w:line="480"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（服务类）</w:t>
      </w:r>
    </w:p>
    <w:p w14:paraId="339AE485">
      <w:pPr>
        <w:pStyle w:val="33"/>
        <w:ind w:firstLine="2843" w:firstLineChars="11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第一部分 合同书</w:t>
      </w:r>
    </w:p>
    <w:p w14:paraId="2D92A50B">
      <w:pPr>
        <w:spacing w:before="120" w:line="22" w:lineRule="atLeast"/>
        <w:rPr>
          <w:rFonts w:hint="eastAsia" w:asciiTheme="minorEastAsia" w:hAnsiTheme="minorEastAsia" w:eastAsiaTheme="minorEastAsia" w:cstheme="minorEastAsia"/>
          <w:sz w:val="24"/>
        </w:rPr>
      </w:pPr>
    </w:p>
    <w:p w14:paraId="4EE3D2F2">
      <w:pPr>
        <w:pStyle w:val="3"/>
        <w:rPr>
          <w:rFonts w:hint="eastAsia" w:asciiTheme="minorEastAsia" w:hAnsiTheme="minorEastAsia" w:eastAsiaTheme="minorEastAsia" w:cstheme="minorEastAsia"/>
        </w:rPr>
      </w:pPr>
    </w:p>
    <w:p w14:paraId="2BE43C7F">
      <w:pPr>
        <w:spacing w:before="120" w:line="22" w:lineRule="atLeast"/>
        <w:ind w:left="9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p>
    <w:p w14:paraId="7114A966">
      <w:pPr>
        <w:pStyle w:val="34"/>
        <w:spacing w:before="120" w:line="22" w:lineRule="atLeast"/>
        <w:rPr>
          <w:rFonts w:hint="eastAsia" w:asciiTheme="minorEastAsia" w:hAnsiTheme="minorEastAsia" w:eastAsiaTheme="minorEastAsia" w:cstheme="minorEastAsia"/>
          <w:szCs w:val="24"/>
        </w:rPr>
      </w:pPr>
    </w:p>
    <w:p w14:paraId="45A5E3A8">
      <w:pPr>
        <w:pStyle w:val="34"/>
        <w:spacing w:before="120" w:line="22" w:lineRule="atLeast"/>
        <w:rPr>
          <w:rFonts w:hint="eastAsia" w:asciiTheme="minorEastAsia" w:hAnsiTheme="minorEastAsia" w:eastAsiaTheme="minorEastAsia" w:cstheme="minorEastAsia"/>
          <w:szCs w:val="24"/>
        </w:rPr>
      </w:pPr>
    </w:p>
    <w:p w14:paraId="77CF1F3C">
      <w:pPr>
        <w:rPr>
          <w:rFonts w:hint="eastAsia" w:asciiTheme="minorEastAsia" w:hAnsiTheme="minorEastAsia" w:eastAsiaTheme="minorEastAsia" w:cstheme="minorEastAsia"/>
          <w:sz w:val="24"/>
        </w:rPr>
      </w:pPr>
    </w:p>
    <w:p w14:paraId="2AEFD498">
      <w:pPr>
        <w:spacing w:before="120" w:line="22" w:lineRule="atLeast"/>
        <w:ind w:left="96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u w:val="single"/>
        </w:rPr>
        <w:t xml:space="preserve">                                       </w:t>
      </w:r>
    </w:p>
    <w:p w14:paraId="68DE4011">
      <w:pPr>
        <w:spacing w:before="120" w:line="22" w:lineRule="atLeast"/>
        <w:rPr>
          <w:rFonts w:hint="eastAsia" w:asciiTheme="minorEastAsia" w:hAnsiTheme="minorEastAsia" w:eastAsiaTheme="minorEastAsia" w:cstheme="minorEastAsia"/>
          <w:sz w:val="24"/>
        </w:rPr>
      </w:pPr>
    </w:p>
    <w:p w14:paraId="7626BE59">
      <w:pPr>
        <w:spacing w:before="120" w:line="22" w:lineRule="atLeast"/>
        <w:ind w:left="96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u w:val="single"/>
        </w:rPr>
        <w:t xml:space="preserve">                                       </w:t>
      </w:r>
    </w:p>
    <w:p w14:paraId="1C502994">
      <w:pPr>
        <w:spacing w:before="120" w:line="22" w:lineRule="atLeast"/>
        <w:rPr>
          <w:rFonts w:hint="eastAsia" w:asciiTheme="minorEastAsia" w:hAnsiTheme="minorEastAsia" w:eastAsiaTheme="minorEastAsia" w:cstheme="minorEastAsia"/>
          <w:sz w:val="24"/>
        </w:rPr>
      </w:pPr>
    </w:p>
    <w:p w14:paraId="3CA471D1">
      <w:pPr>
        <w:spacing w:before="120" w:line="22" w:lineRule="atLeast"/>
        <w:ind w:firstLine="960" w:firstLineChars="4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w:t>
      </w:r>
      <w:r>
        <w:rPr>
          <w:rFonts w:hint="eastAsia" w:asciiTheme="minorEastAsia" w:hAnsiTheme="minorEastAsia" w:eastAsiaTheme="minorEastAsia" w:cstheme="minorEastAsia"/>
          <w:sz w:val="24"/>
          <w:u w:val="single"/>
        </w:rPr>
        <w:t xml:space="preserve">                                     </w:t>
      </w:r>
    </w:p>
    <w:p w14:paraId="06DF9316">
      <w:pPr>
        <w:spacing w:before="120" w:line="22" w:lineRule="atLeast"/>
        <w:rPr>
          <w:rFonts w:hint="eastAsia" w:asciiTheme="minorEastAsia" w:hAnsiTheme="minorEastAsia" w:eastAsiaTheme="minorEastAsia" w:cstheme="minorEastAsia"/>
          <w:sz w:val="24"/>
        </w:rPr>
      </w:pPr>
    </w:p>
    <w:p w14:paraId="511F259C">
      <w:pPr>
        <w:spacing w:before="120" w:line="22" w:lineRule="atLeast"/>
        <w:ind w:firstLine="960" w:firstLineChars="4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66114486">
      <w:pPr>
        <w:widowControl/>
        <w:jc w:val="left"/>
        <w:rPr>
          <w:rFonts w:hint="eastAsia" w:asciiTheme="minorEastAsia" w:hAnsiTheme="minorEastAsia" w:eastAsiaTheme="minorEastAsia" w:cstheme="minorEastAsia"/>
          <w:kern w:val="0"/>
          <w:sz w:val="24"/>
        </w:rPr>
        <w:sectPr>
          <w:headerReference r:id="rId3" w:type="default"/>
          <w:footerReference r:id="rId4" w:type="default"/>
          <w:pgSz w:w="11907" w:h="16840"/>
          <w:pgMar w:top="1417" w:right="1417" w:bottom="1417" w:left="1417" w:header="851" w:footer="850" w:gutter="0"/>
          <w:cols w:space="720" w:num="1"/>
          <w:docGrid w:linePitch="1" w:charSpace="0"/>
        </w:sectPr>
      </w:pPr>
    </w:p>
    <w:p w14:paraId="1EB23F2A">
      <w:pPr>
        <w:adjustRightInd w:val="0"/>
        <w:spacing w:line="360" w:lineRule="auto"/>
        <w:ind w:firstLine="480" w:firstLineChars="200"/>
        <w:rPr>
          <w:rFonts w:hint="eastAsia" w:asciiTheme="minorEastAsia" w:hAnsiTheme="minorEastAsia" w:eastAsiaTheme="minorEastAsia" w:cstheme="minorEastAsia"/>
          <w:sz w:val="24"/>
          <w:szCs w:val="24"/>
          <w:u w:val="single"/>
          <w:lang w:val="zh-CN"/>
        </w:rPr>
      </w:pPr>
    </w:p>
    <w:p w14:paraId="25835060">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年</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月</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杭州市美术职业学校 </w:t>
      </w:r>
      <w:r>
        <w:rPr>
          <w:rFonts w:hint="eastAsia" w:asciiTheme="minorEastAsia" w:hAnsiTheme="minorEastAsia" w:eastAsiaTheme="minorEastAsia" w:cstheme="minorEastAsia"/>
          <w:sz w:val="24"/>
          <w:szCs w:val="24"/>
        </w:rPr>
        <w:t>以</w:t>
      </w:r>
      <w:r>
        <w:rPr>
          <w:rFonts w:hint="eastAsia" w:asciiTheme="minorEastAsia" w:hAnsiTheme="minorEastAsia" w:eastAsiaTheme="minorEastAsia" w:cstheme="minorEastAsia"/>
          <w:sz w:val="24"/>
          <w:szCs w:val="24"/>
          <w:u w:val="single"/>
        </w:rPr>
        <w:t xml:space="preserve">  公开招标方式 </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u w:val="single"/>
        </w:rPr>
        <w:t xml:space="preserve"> 杭州市美术职业学校数字底座项目 </w:t>
      </w:r>
      <w:r>
        <w:rPr>
          <w:rFonts w:hint="eastAsia" w:asciiTheme="minorEastAsia" w:hAnsiTheme="minorEastAsia" w:eastAsiaTheme="minorEastAsia" w:cstheme="minorEastAsia"/>
          <w:sz w:val="24"/>
          <w:szCs w:val="24"/>
        </w:rPr>
        <w:t>进行了采购。经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u w:val="single"/>
        </w:rPr>
        <w:t>评审委员会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评定，</w:t>
      </w:r>
      <w:r>
        <w:rPr>
          <w:rFonts w:hint="eastAsia" w:asciiTheme="minorEastAsia" w:hAnsiTheme="minorEastAsia" w:eastAsiaTheme="minorEastAsia" w:cstheme="minorEastAsia"/>
          <w:sz w:val="24"/>
          <w:szCs w:val="24"/>
          <w:u w:val="single"/>
        </w:rPr>
        <w:t xml:space="preserve">   （中标或者成交供应商名称） </w:t>
      </w:r>
      <w:r>
        <w:rPr>
          <w:rFonts w:hint="eastAsia" w:asciiTheme="minorEastAsia" w:hAnsiTheme="minorEastAsia" w:eastAsiaTheme="minorEastAsia" w:cstheme="minorEastAsia"/>
          <w:sz w:val="24"/>
          <w:szCs w:val="24"/>
        </w:rPr>
        <w:t>为该项目中标或者成交供应商。</w:t>
      </w:r>
      <w:r>
        <w:rPr>
          <w:rFonts w:hint="eastAsia" w:asciiTheme="minorEastAsia" w:hAnsiTheme="minorEastAsia" w:eastAsiaTheme="minorEastAsia" w:cstheme="minorEastAsia"/>
          <w:sz w:val="24"/>
        </w:rPr>
        <w:t>现于中标通知书发出之日起30日（鼓励有条件的缩短至10个工作日）内</w:t>
      </w:r>
      <w:r>
        <w:rPr>
          <w:rFonts w:hint="eastAsia" w:asciiTheme="minorEastAsia" w:hAnsiTheme="minorEastAsia" w:eastAsiaTheme="minorEastAsia" w:cstheme="minorEastAsia"/>
          <w:sz w:val="24"/>
          <w:szCs w:val="24"/>
        </w:rPr>
        <w:t>，按照采购文件确定的事项签订本合同。</w:t>
      </w:r>
    </w:p>
    <w:p w14:paraId="1BF9FE5D">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sz w:val="24"/>
          <w:szCs w:val="24"/>
          <w:u w:val="single"/>
        </w:rPr>
        <w:t xml:space="preserve"> 杭州市美术职业学校  </w:t>
      </w:r>
      <w:r>
        <w:rPr>
          <w:rFonts w:hint="eastAsia" w:asciiTheme="minorEastAsia" w:hAnsiTheme="minorEastAsia" w:eastAsiaTheme="minorEastAsia" w:cstheme="minorEastAsia"/>
          <w:sz w:val="24"/>
          <w:szCs w:val="24"/>
          <w:lang w:val="zh-CN"/>
        </w:rPr>
        <w:t>(以下简称：甲方)和</w:t>
      </w:r>
      <w:r>
        <w:rPr>
          <w:rFonts w:hint="eastAsia" w:asciiTheme="minorEastAsia" w:hAnsiTheme="minorEastAsia" w:eastAsiaTheme="minorEastAsia" w:cstheme="minorEastAsia"/>
          <w:sz w:val="24"/>
          <w:szCs w:val="24"/>
          <w:u w:val="single"/>
        </w:rPr>
        <w:t xml:space="preserve">   （中或者成交标供应商名称）   </w:t>
      </w:r>
      <w:r>
        <w:rPr>
          <w:rFonts w:hint="eastAsia" w:asciiTheme="minorEastAsia" w:hAnsiTheme="minorEastAsia" w:eastAsiaTheme="minorEastAsia" w:cstheme="minorEastAsia"/>
          <w:sz w:val="24"/>
          <w:szCs w:val="24"/>
          <w:lang w:val="zh-CN"/>
        </w:rPr>
        <w:t>(以下简称：乙方)协商一致，约定以下合同</w:t>
      </w:r>
      <w:r>
        <w:rPr>
          <w:rFonts w:hint="eastAsia" w:asciiTheme="minorEastAsia" w:hAnsiTheme="minorEastAsia" w:eastAsiaTheme="minorEastAsia" w:cstheme="minorEastAsia"/>
          <w:sz w:val="24"/>
          <w:szCs w:val="24"/>
        </w:rPr>
        <w:t>条款，以兹共同遵守、全面履行。</w:t>
      </w:r>
    </w:p>
    <w:p w14:paraId="101E3691">
      <w:pPr>
        <w:adjustRightInd w:val="0"/>
        <w:spacing w:line="360" w:lineRule="auto"/>
        <w:ind w:firstLine="482" w:firstLineChars="200"/>
        <w:outlineLvl w:val="0"/>
        <w:rPr>
          <w:rFonts w:hint="eastAsia" w:asciiTheme="minorEastAsia" w:hAnsiTheme="minorEastAsia" w:eastAsiaTheme="minorEastAsia" w:cstheme="minorEastAsia"/>
          <w:sz w:val="24"/>
          <w:szCs w:val="24"/>
        </w:rPr>
      </w:pPr>
      <w:bookmarkStart w:id="436" w:name="_Toc22967"/>
      <w:bookmarkStart w:id="437" w:name="_Toc15367"/>
      <w:bookmarkStart w:id="438" w:name="_Toc19273"/>
      <w:bookmarkStart w:id="439" w:name="_Toc28855"/>
      <w:bookmarkStart w:id="440" w:name="_Toc20421"/>
      <w:r>
        <w:rPr>
          <w:rFonts w:hint="eastAsia" w:asciiTheme="minorEastAsia" w:hAnsiTheme="minorEastAsia" w:eastAsiaTheme="minorEastAsia" w:cstheme="minorEastAsia"/>
          <w:b/>
          <w:sz w:val="24"/>
          <w:szCs w:val="24"/>
        </w:rPr>
        <w:t>1.1 合同组成部分</w:t>
      </w:r>
      <w:bookmarkEnd w:id="436"/>
      <w:bookmarkEnd w:id="437"/>
      <w:bookmarkEnd w:id="438"/>
      <w:bookmarkEnd w:id="439"/>
      <w:bookmarkEnd w:id="440"/>
    </w:p>
    <w:p w14:paraId="64942CE0">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29FDAD">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本合同及其补充合同、变更协议；</w:t>
      </w:r>
    </w:p>
    <w:p w14:paraId="286714E1">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中标或者成交通知书；</w:t>
      </w:r>
    </w:p>
    <w:p w14:paraId="654F2929">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投标或者响应文件（含澄清或者说明文件）；</w:t>
      </w:r>
    </w:p>
    <w:p w14:paraId="05F0CD86">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采购文件（含澄清或者修改文件）；</w:t>
      </w:r>
    </w:p>
    <w:p w14:paraId="3C09968D">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其他相关采购文件。</w:t>
      </w:r>
    </w:p>
    <w:p w14:paraId="6A78D28E">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441" w:name="_Toc2918"/>
      <w:bookmarkStart w:id="442" w:name="_Toc22185"/>
      <w:bookmarkStart w:id="443" w:name="_Toc6773"/>
      <w:bookmarkStart w:id="444" w:name="_Toc6311"/>
      <w:bookmarkStart w:id="445" w:name="_Toc18585"/>
      <w:r>
        <w:rPr>
          <w:rFonts w:hint="eastAsia" w:asciiTheme="minorEastAsia" w:hAnsiTheme="minorEastAsia" w:eastAsiaTheme="minorEastAsia" w:cstheme="minorEastAsia"/>
          <w:b/>
          <w:sz w:val="24"/>
          <w:szCs w:val="24"/>
        </w:rPr>
        <w:t>1.2 标的</w:t>
      </w:r>
      <w:bookmarkEnd w:id="441"/>
      <w:bookmarkEnd w:id="442"/>
      <w:bookmarkEnd w:id="443"/>
      <w:bookmarkEnd w:id="444"/>
      <w:bookmarkEnd w:id="445"/>
    </w:p>
    <w:p w14:paraId="5870B19D">
      <w:pPr>
        <w:adjustRightIn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1.2.1 服务内容：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C619636">
      <w:pPr>
        <w:adjustRightIn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1.2.2 服务标准：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B859BB7">
      <w:pPr>
        <w:adjustRightIn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1.2.3 技术保障：</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14:paraId="73A9E8AF">
      <w:pPr>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服务人员组成：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E865B0E">
      <w:pPr>
        <w:widowControl/>
        <w:spacing w:line="360" w:lineRule="auto"/>
        <w:ind w:firstLine="48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1.2.5合同</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（是/否）涉及货物。若涉及货物的的，则：</w:t>
      </w:r>
    </w:p>
    <w:p w14:paraId="0F84FAA6">
      <w:pPr>
        <w:adjustRightInd w:val="0"/>
        <w:spacing w:line="360" w:lineRule="auto"/>
        <w:ind w:firstLine="480" w:firstLineChars="200"/>
        <w:rPr>
          <w:rFonts w:hint="eastAsia" w:asciiTheme="minorEastAsia" w:hAnsiTheme="minorEastAsia" w:eastAsiaTheme="minorEastAsia" w:cstheme="minorEastAsia"/>
          <w:sz w:val="24"/>
          <w:szCs w:val="24"/>
          <w:u w:val="single"/>
        </w:rPr>
      </w:pPr>
      <w:bookmarkStart w:id="446" w:name="_Toc21124"/>
      <w:bookmarkStart w:id="447" w:name="_Toc5635"/>
      <w:bookmarkStart w:id="448" w:name="_Toc1386"/>
      <w:bookmarkStart w:id="449" w:name="_Toc4929"/>
      <w:bookmarkStart w:id="450" w:name="_Toc13918"/>
      <w:r>
        <w:rPr>
          <w:rFonts w:hint="eastAsia" w:asciiTheme="minorEastAsia" w:hAnsiTheme="minorEastAsia" w:eastAsiaTheme="minorEastAsia" w:cstheme="minorEastAsia"/>
          <w:sz w:val="24"/>
          <w:szCs w:val="24"/>
        </w:rPr>
        <w:t>1.2.5.1 货物名称、品牌、规格型号、花色：</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3139C9A">
      <w:pPr>
        <w:adjustRightIn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1.2.5.2 货物数量：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B64BBA7">
      <w:pPr>
        <w:adjustRightIn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1.2.5.3 货物质量：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79F7B16">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 价款</w:t>
      </w:r>
      <w:bookmarkEnd w:id="446"/>
      <w:bookmarkEnd w:id="447"/>
      <w:bookmarkEnd w:id="448"/>
      <w:bookmarkEnd w:id="449"/>
      <w:bookmarkEnd w:id="450"/>
    </w:p>
    <w:p w14:paraId="32809D46">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本项目采用以下第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条款规定的计价方式计价。</w:t>
      </w:r>
    </w:p>
    <w:p w14:paraId="4EF48BA6">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1.3.1总价合同，本合同总价（含税）为：¥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元人民币）。</w:t>
      </w:r>
    </w:p>
    <w:p w14:paraId="36977A18">
      <w:pPr>
        <w:adjustRightIn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分项价格：</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6"/>
        <w:gridCol w:w="3312"/>
      </w:tblGrid>
      <w:tr w14:paraId="20BF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14:paraId="40805D66">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2377" w:type="pct"/>
            <w:vAlign w:val="center"/>
          </w:tcPr>
          <w:p w14:paraId="1CB3F19C">
            <w:pPr>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分项名称</w:t>
            </w:r>
          </w:p>
        </w:tc>
        <w:tc>
          <w:tcPr>
            <w:tcW w:w="1783" w:type="pct"/>
            <w:vAlign w:val="center"/>
          </w:tcPr>
          <w:p w14:paraId="07CA0FC9">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分项价格</w:t>
            </w:r>
          </w:p>
        </w:tc>
      </w:tr>
      <w:tr w14:paraId="64C3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14:paraId="4DC52C44">
            <w:pPr>
              <w:spacing w:line="360" w:lineRule="auto"/>
              <w:ind w:firstLine="200"/>
              <w:jc w:val="center"/>
              <w:rPr>
                <w:rFonts w:hint="eastAsia" w:asciiTheme="minorEastAsia" w:hAnsiTheme="minorEastAsia" w:eastAsiaTheme="minorEastAsia" w:cstheme="minorEastAsia"/>
                <w:kern w:val="0"/>
                <w:sz w:val="24"/>
                <w:szCs w:val="24"/>
              </w:rPr>
            </w:pPr>
          </w:p>
        </w:tc>
        <w:tc>
          <w:tcPr>
            <w:tcW w:w="2377" w:type="pct"/>
            <w:vAlign w:val="center"/>
          </w:tcPr>
          <w:p w14:paraId="2ECE2048">
            <w:pPr>
              <w:spacing w:line="360" w:lineRule="auto"/>
              <w:ind w:firstLine="200"/>
              <w:jc w:val="center"/>
              <w:rPr>
                <w:rFonts w:hint="eastAsia" w:asciiTheme="minorEastAsia" w:hAnsiTheme="minorEastAsia" w:eastAsiaTheme="minorEastAsia" w:cstheme="minorEastAsia"/>
                <w:kern w:val="0"/>
                <w:sz w:val="24"/>
                <w:szCs w:val="24"/>
              </w:rPr>
            </w:pPr>
          </w:p>
        </w:tc>
        <w:tc>
          <w:tcPr>
            <w:tcW w:w="1783" w:type="pct"/>
            <w:vAlign w:val="center"/>
          </w:tcPr>
          <w:p w14:paraId="095D94DB">
            <w:pPr>
              <w:spacing w:line="360" w:lineRule="auto"/>
              <w:ind w:firstLine="200"/>
              <w:jc w:val="center"/>
              <w:rPr>
                <w:rFonts w:hint="eastAsia" w:asciiTheme="minorEastAsia" w:hAnsiTheme="minorEastAsia" w:eastAsiaTheme="minorEastAsia" w:cstheme="minorEastAsia"/>
                <w:kern w:val="0"/>
                <w:sz w:val="24"/>
                <w:szCs w:val="24"/>
              </w:rPr>
            </w:pPr>
          </w:p>
        </w:tc>
      </w:tr>
      <w:tr w14:paraId="47BB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14:paraId="29944162">
            <w:pPr>
              <w:spacing w:line="360" w:lineRule="auto"/>
              <w:ind w:firstLine="200"/>
              <w:jc w:val="center"/>
              <w:rPr>
                <w:rFonts w:hint="eastAsia" w:asciiTheme="minorEastAsia" w:hAnsiTheme="minorEastAsia" w:eastAsiaTheme="minorEastAsia" w:cstheme="minorEastAsia"/>
                <w:kern w:val="0"/>
                <w:sz w:val="24"/>
                <w:szCs w:val="24"/>
              </w:rPr>
            </w:pPr>
          </w:p>
        </w:tc>
        <w:tc>
          <w:tcPr>
            <w:tcW w:w="2377" w:type="pct"/>
            <w:vAlign w:val="center"/>
          </w:tcPr>
          <w:p w14:paraId="6B66789E">
            <w:pPr>
              <w:spacing w:line="360" w:lineRule="auto"/>
              <w:ind w:firstLine="200"/>
              <w:jc w:val="center"/>
              <w:rPr>
                <w:rFonts w:hint="eastAsia" w:asciiTheme="minorEastAsia" w:hAnsiTheme="minorEastAsia" w:eastAsiaTheme="minorEastAsia" w:cstheme="minorEastAsia"/>
                <w:kern w:val="0"/>
                <w:sz w:val="24"/>
                <w:szCs w:val="24"/>
              </w:rPr>
            </w:pPr>
          </w:p>
        </w:tc>
        <w:tc>
          <w:tcPr>
            <w:tcW w:w="1783" w:type="pct"/>
            <w:vAlign w:val="center"/>
          </w:tcPr>
          <w:p w14:paraId="63D495BF">
            <w:pPr>
              <w:spacing w:line="360" w:lineRule="auto"/>
              <w:ind w:firstLine="200"/>
              <w:jc w:val="center"/>
              <w:rPr>
                <w:rFonts w:hint="eastAsia" w:asciiTheme="minorEastAsia" w:hAnsiTheme="minorEastAsia" w:eastAsiaTheme="minorEastAsia" w:cstheme="minorEastAsia"/>
                <w:kern w:val="0"/>
                <w:sz w:val="24"/>
                <w:szCs w:val="24"/>
              </w:rPr>
            </w:pPr>
          </w:p>
        </w:tc>
      </w:tr>
      <w:tr w14:paraId="4687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14:paraId="34E8AFF3">
            <w:pPr>
              <w:spacing w:line="360" w:lineRule="auto"/>
              <w:ind w:firstLine="200"/>
              <w:jc w:val="center"/>
              <w:rPr>
                <w:rFonts w:hint="eastAsia" w:asciiTheme="minorEastAsia" w:hAnsiTheme="minorEastAsia" w:eastAsiaTheme="minorEastAsia" w:cstheme="minorEastAsia"/>
                <w:kern w:val="0"/>
                <w:sz w:val="24"/>
                <w:szCs w:val="24"/>
              </w:rPr>
            </w:pPr>
          </w:p>
        </w:tc>
        <w:tc>
          <w:tcPr>
            <w:tcW w:w="2377" w:type="pct"/>
            <w:vAlign w:val="center"/>
          </w:tcPr>
          <w:p w14:paraId="6E9CC9FA">
            <w:pPr>
              <w:spacing w:line="360" w:lineRule="auto"/>
              <w:ind w:firstLine="200"/>
              <w:jc w:val="center"/>
              <w:rPr>
                <w:rFonts w:hint="eastAsia" w:asciiTheme="minorEastAsia" w:hAnsiTheme="minorEastAsia" w:eastAsiaTheme="minorEastAsia" w:cstheme="minorEastAsia"/>
                <w:kern w:val="0"/>
                <w:sz w:val="24"/>
                <w:szCs w:val="24"/>
              </w:rPr>
            </w:pPr>
          </w:p>
        </w:tc>
        <w:tc>
          <w:tcPr>
            <w:tcW w:w="1783" w:type="pct"/>
            <w:vAlign w:val="center"/>
          </w:tcPr>
          <w:p w14:paraId="1B4621D4">
            <w:pPr>
              <w:spacing w:line="360" w:lineRule="auto"/>
              <w:ind w:firstLine="200"/>
              <w:jc w:val="center"/>
              <w:rPr>
                <w:rFonts w:hint="eastAsia" w:asciiTheme="minorEastAsia" w:hAnsiTheme="minorEastAsia" w:eastAsiaTheme="minorEastAsia" w:cstheme="minorEastAsia"/>
                <w:kern w:val="0"/>
                <w:sz w:val="24"/>
                <w:szCs w:val="24"/>
              </w:rPr>
            </w:pPr>
          </w:p>
        </w:tc>
      </w:tr>
      <w:tr w14:paraId="1E12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8" w:type="pct"/>
            <w:vAlign w:val="center"/>
          </w:tcPr>
          <w:p w14:paraId="3C94011D">
            <w:pPr>
              <w:spacing w:line="360" w:lineRule="auto"/>
              <w:ind w:firstLine="200"/>
              <w:jc w:val="center"/>
              <w:rPr>
                <w:rFonts w:hint="eastAsia" w:asciiTheme="minorEastAsia" w:hAnsiTheme="minorEastAsia" w:eastAsiaTheme="minorEastAsia" w:cstheme="minorEastAsia"/>
                <w:kern w:val="0"/>
                <w:sz w:val="24"/>
                <w:szCs w:val="24"/>
              </w:rPr>
            </w:pPr>
          </w:p>
        </w:tc>
        <w:tc>
          <w:tcPr>
            <w:tcW w:w="2377" w:type="pct"/>
            <w:vAlign w:val="center"/>
          </w:tcPr>
          <w:p w14:paraId="55173B08">
            <w:pPr>
              <w:spacing w:line="360" w:lineRule="auto"/>
              <w:ind w:firstLine="200"/>
              <w:jc w:val="center"/>
              <w:rPr>
                <w:rFonts w:hint="eastAsia" w:asciiTheme="minorEastAsia" w:hAnsiTheme="minorEastAsia" w:eastAsiaTheme="minorEastAsia" w:cstheme="minorEastAsia"/>
                <w:kern w:val="0"/>
                <w:sz w:val="24"/>
                <w:szCs w:val="24"/>
              </w:rPr>
            </w:pPr>
          </w:p>
        </w:tc>
        <w:tc>
          <w:tcPr>
            <w:tcW w:w="1783" w:type="pct"/>
            <w:vAlign w:val="center"/>
          </w:tcPr>
          <w:p w14:paraId="1569F6AE">
            <w:pPr>
              <w:spacing w:line="360" w:lineRule="auto"/>
              <w:ind w:firstLine="200"/>
              <w:jc w:val="center"/>
              <w:rPr>
                <w:rFonts w:hint="eastAsia" w:asciiTheme="minorEastAsia" w:hAnsiTheme="minorEastAsia" w:eastAsiaTheme="minorEastAsia" w:cstheme="minorEastAsia"/>
                <w:kern w:val="0"/>
                <w:sz w:val="24"/>
                <w:szCs w:val="24"/>
              </w:rPr>
            </w:pPr>
          </w:p>
        </w:tc>
      </w:tr>
      <w:tr w14:paraId="13FE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216" w:type="pct"/>
            <w:gridSpan w:val="2"/>
            <w:vAlign w:val="center"/>
          </w:tcPr>
          <w:p w14:paraId="2DDC0835">
            <w:pPr>
              <w:spacing w:line="360" w:lineRule="auto"/>
              <w:ind w:firstLine="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总价</w:t>
            </w:r>
          </w:p>
        </w:tc>
        <w:tc>
          <w:tcPr>
            <w:tcW w:w="1783" w:type="pct"/>
            <w:vAlign w:val="center"/>
          </w:tcPr>
          <w:p w14:paraId="2BBA359F">
            <w:pPr>
              <w:spacing w:line="360" w:lineRule="auto"/>
              <w:ind w:firstLine="200"/>
              <w:jc w:val="center"/>
              <w:rPr>
                <w:rFonts w:hint="eastAsia" w:asciiTheme="minorEastAsia" w:hAnsiTheme="minorEastAsia" w:eastAsiaTheme="minorEastAsia" w:cstheme="minorEastAsia"/>
                <w:kern w:val="0"/>
                <w:sz w:val="24"/>
                <w:szCs w:val="24"/>
              </w:rPr>
            </w:pPr>
          </w:p>
        </w:tc>
      </w:tr>
    </w:tbl>
    <w:p w14:paraId="01544539">
      <w:pPr>
        <w:adjustRightInd w:val="0"/>
        <w:spacing w:line="360" w:lineRule="auto"/>
        <w:ind w:firstLine="480" w:firstLineChars="200"/>
        <w:rPr>
          <w:rFonts w:hint="eastAsia" w:asciiTheme="minorEastAsia" w:hAnsiTheme="minorEastAsia" w:eastAsiaTheme="minorEastAsia" w:cstheme="minorEastAsia"/>
          <w:sz w:val="24"/>
          <w:szCs w:val="24"/>
        </w:rPr>
      </w:pPr>
      <w:bookmarkStart w:id="451" w:name="_Toc14993"/>
      <w:bookmarkStart w:id="452" w:name="_Toc30158"/>
      <w:bookmarkStart w:id="453" w:name="_Toc30506"/>
      <w:bookmarkStart w:id="454" w:name="_Toc3654"/>
      <w:bookmarkStart w:id="455" w:name="_Toc26916"/>
      <w:r>
        <w:rPr>
          <w:rFonts w:hint="eastAsia" w:asciiTheme="minorEastAsia" w:hAnsiTheme="minorEastAsia" w:eastAsiaTheme="minorEastAsia" w:cstheme="minorEastAsia"/>
          <w:bCs/>
          <w:sz w:val="24"/>
          <w:szCs w:val="24"/>
        </w:rPr>
        <w:t>1.3.2单价合同，本合同单价（含税）标准为：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sz w:val="24"/>
          <w:szCs w:val="24"/>
        </w:rPr>
        <w:t>。服务工作量的计量方式为：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
          <w:i/>
          <w:sz w:val="24"/>
          <w:szCs w:val="24"/>
          <w:u w:val="single"/>
        </w:rPr>
        <w:t xml:space="preserve">合同专用条款  </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sz w:val="24"/>
          <w:szCs w:val="24"/>
        </w:rPr>
        <w:t>。单价合同，在合同履行期间内，根据实际完成的工作量据实结算，但结算总价上限不得超过预算金额或者双方确定的金额¥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元人民币）。</w:t>
      </w:r>
    </w:p>
    <w:p w14:paraId="1E3BD7F9">
      <w:pPr>
        <w:keepNext/>
        <w:keepLines/>
        <w:numPr>
          <w:ilvl w:val="1"/>
          <w:numId w:val="0"/>
        </w:numPr>
        <w:spacing w:line="360" w:lineRule="auto"/>
        <w:jc w:val="left"/>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Cs/>
          <w:sz w:val="24"/>
          <w:szCs w:val="24"/>
        </w:rPr>
        <w:t xml:space="preserve"> 1.3.3其他计价方式：</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bCs/>
          <w:sz w:val="24"/>
          <w:szCs w:val="24"/>
          <w:lang w:val="zh-CN"/>
        </w:rPr>
        <w:t>。</w:t>
      </w:r>
    </w:p>
    <w:bookmarkEnd w:id="451"/>
    <w:bookmarkEnd w:id="452"/>
    <w:bookmarkEnd w:id="453"/>
    <w:bookmarkEnd w:id="454"/>
    <w:bookmarkEnd w:id="455"/>
    <w:p w14:paraId="7452D8EF">
      <w:pPr>
        <w:widowControl/>
        <w:spacing w:line="360" w:lineRule="auto"/>
        <w:ind w:firstLine="480"/>
        <w:jc w:val="left"/>
        <w:rPr>
          <w:rFonts w:hint="eastAsia" w:asciiTheme="minorEastAsia" w:hAnsiTheme="minorEastAsia" w:eastAsiaTheme="minorEastAsia" w:cstheme="minorEastAsia"/>
          <w:b/>
          <w:kern w:val="0"/>
          <w:sz w:val="24"/>
          <w:szCs w:val="24"/>
        </w:rPr>
      </w:pPr>
      <w:bookmarkStart w:id="456" w:name="_Toc22618"/>
      <w:bookmarkStart w:id="457" w:name="_Toc1814"/>
      <w:bookmarkStart w:id="458" w:name="_Toc10340"/>
      <w:bookmarkStart w:id="459" w:name="_Toc8772"/>
      <w:bookmarkStart w:id="460" w:name="_Toc11108"/>
      <w:bookmarkStart w:id="461" w:name="_Toc31421"/>
      <w:bookmarkStart w:id="462" w:name="_Toc4760"/>
      <w:bookmarkStart w:id="463" w:name="_Toc3625"/>
      <w:r>
        <w:rPr>
          <w:rFonts w:hint="eastAsia" w:asciiTheme="minorEastAsia" w:hAnsiTheme="minorEastAsia" w:eastAsiaTheme="minorEastAsia" w:cstheme="minorEastAsia"/>
          <w:b/>
          <w:kern w:val="0"/>
          <w:sz w:val="24"/>
          <w:szCs w:val="24"/>
        </w:rPr>
        <w:t>1.4履约保证金</w:t>
      </w:r>
    </w:p>
    <w:p w14:paraId="7915B542">
      <w:pPr>
        <w:widowControl/>
        <w:spacing w:line="360" w:lineRule="auto"/>
        <w:ind w:firstLine="48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乙方</w:t>
      </w:r>
      <w:r>
        <w:rPr>
          <w:rFonts w:hint="eastAsia" w:asciiTheme="minorEastAsia" w:hAnsiTheme="minorEastAsia" w:eastAsiaTheme="minorEastAsia" w:cstheme="minorEastAsia"/>
          <w:kern w:val="0"/>
          <w:sz w:val="24"/>
          <w:szCs w:val="24"/>
          <w:u w:val="single"/>
        </w:rPr>
        <w:t xml:space="preserve">   否    </w:t>
      </w:r>
      <w:r>
        <w:rPr>
          <w:rFonts w:hint="eastAsia" w:asciiTheme="minorEastAsia" w:hAnsiTheme="minorEastAsia" w:eastAsiaTheme="minorEastAsia" w:cstheme="minorEastAsia"/>
          <w:kern w:val="0"/>
          <w:sz w:val="24"/>
          <w:szCs w:val="24"/>
        </w:rPr>
        <w:t>（是/否）需要支付履约保证金。若需要支付履约保证金的，则：</w:t>
      </w:r>
    </w:p>
    <w:p w14:paraId="1D625477">
      <w:pPr>
        <w:adjustRightInd w:val="0"/>
        <w:spacing w:line="360" w:lineRule="auto"/>
        <w:ind w:firstLine="480" w:firstLineChars="200"/>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1.4.1履约保证金的比例为合同金额的</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14:paraId="6AAF9222">
      <w:pPr>
        <w:adjustRightInd w:val="0"/>
        <w:spacing w:line="360" w:lineRule="auto"/>
        <w:ind w:firstLine="480" w:firstLineChars="200"/>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1.4.2履约保证金支付方式详见</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14:paraId="1ADEA5BF">
      <w:pPr>
        <w:adjustRightInd w:val="0"/>
        <w:spacing w:line="360" w:lineRule="auto"/>
        <w:ind w:firstLine="480" w:firstLineChars="200"/>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28FC5B">
      <w:pPr>
        <w:adjustRightInd w:val="0"/>
        <w:spacing w:line="360" w:lineRule="auto"/>
        <w:ind w:firstLine="480" w:firstLineChars="200"/>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1.4.4甲方在项目验收结束后及时退还履约保证金。甲方在项目通过验收之日起</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kern w:val="0"/>
          <w:sz w:val="24"/>
          <w:szCs w:val="24"/>
          <w:u w:val="single"/>
        </w:rPr>
        <w:t xml:space="preserve">  0.05（可根据情况修改）  </w:t>
      </w:r>
      <w:r>
        <w:rPr>
          <w:rFonts w:hint="eastAsia" w:asciiTheme="minorEastAsia" w:hAnsiTheme="minorEastAsia" w:eastAsiaTheme="minorEastAsia" w:cstheme="minorEastAsia"/>
          <w:kern w:val="0"/>
          <w:sz w:val="24"/>
          <w:szCs w:val="24"/>
        </w:rPr>
        <w:t>%计算，最高限额为本合同履约保证金的</w:t>
      </w:r>
      <w:r>
        <w:rPr>
          <w:rFonts w:hint="eastAsia" w:asciiTheme="minorEastAsia" w:hAnsiTheme="minorEastAsia" w:eastAsiaTheme="minorEastAsia" w:cstheme="minorEastAsia"/>
          <w:kern w:val="0"/>
          <w:sz w:val="24"/>
          <w:szCs w:val="24"/>
          <w:u w:val="single"/>
        </w:rPr>
        <w:t xml:space="preserve">  20  </w:t>
      </w:r>
      <w:r>
        <w:rPr>
          <w:rFonts w:hint="eastAsia" w:asciiTheme="minorEastAsia" w:hAnsiTheme="minorEastAsia" w:eastAsiaTheme="minorEastAsia" w:cstheme="minorEastAsia"/>
          <w:kern w:val="0"/>
          <w:sz w:val="24"/>
          <w:szCs w:val="24"/>
        </w:rPr>
        <w:t>%。</w:t>
      </w:r>
    </w:p>
    <w:p w14:paraId="78C71D67">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w:t>
      </w:r>
      <w:bookmarkEnd w:id="456"/>
      <w:bookmarkEnd w:id="457"/>
      <w:bookmarkEnd w:id="458"/>
      <w:r>
        <w:rPr>
          <w:rFonts w:hint="eastAsia" w:asciiTheme="minorEastAsia" w:hAnsiTheme="minorEastAsia" w:eastAsiaTheme="minorEastAsia" w:cstheme="minorEastAsia"/>
          <w:b/>
          <w:sz w:val="24"/>
          <w:szCs w:val="24"/>
        </w:rPr>
        <w:t>预付款</w:t>
      </w:r>
    </w:p>
    <w:p w14:paraId="422431A5">
      <w:pPr>
        <w:widowControl/>
        <w:spacing w:line="360" w:lineRule="auto"/>
        <w:ind w:firstLine="48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（是/否）需要支付预付款。若需要支付预付款的，则：</w:t>
      </w:r>
    </w:p>
    <w:p w14:paraId="5FD189A5">
      <w:pPr>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1.5.1预付款比例、支付方式、时间详见</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14:paraId="2EBBC04E">
      <w:pPr>
        <w:widowControl/>
        <w:spacing w:line="360" w:lineRule="auto"/>
        <w:ind w:firstLine="48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1.5.2预付款的扣回方式详见</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b/>
          <w:i/>
          <w:kern w:val="0"/>
          <w:sz w:val="24"/>
          <w:szCs w:val="24"/>
          <w:u w:val="single"/>
        </w:rPr>
        <w:t>合同专用条款</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14:paraId="1B96A77D">
      <w:pPr>
        <w:widowControl/>
        <w:spacing w:line="360" w:lineRule="auto"/>
        <w:ind w:firstLine="48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1.5.3预付款的担保措施详见</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b/>
          <w:i/>
          <w:kern w:val="0"/>
          <w:sz w:val="24"/>
          <w:szCs w:val="24"/>
          <w:u w:val="single"/>
        </w:rPr>
        <w:t>合同专用条款</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14:paraId="2A9904E2">
      <w:pPr>
        <w:widowControl/>
        <w:spacing w:line="360" w:lineRule="auto"/>
        <w:ind w:firstLine="48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1.6资金支付</w:t>
      </w:r>
    </w:p>
    <w:p w14:paraId="167A91BC">
      <w:pPr>
        <w:widowControl/>
        <w:spacing w:line="360" w:lineRule="auto"/>
        <w:ind w:firstLine="48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B55312">
      <w:pPr>
        <w:adjustRightInd w:val="0"/>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1.6.2资金支付的方式、时间和条件详见</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w:t>
      </w:r>
    </w:p>
    <w:p w14:paraId="24587282">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 履行期限、地点和方式</w:t>
      </w:r>
      <w:bookmarkEnd w:id="459"/>
      <w:bookmarkEnd w:id="460"/>
      <w:bookmarkEnd w:id="461"/>
      <w:bookmarkEnd w:id="462"/>
      <w:bookmarkEnd w:id="463"/>
    </w:p>
    <w:p w14:paraId="02BA3FE1">
      <w:pPr>
        <w:adjustRightIn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1.7.1 服务交付（实施）的时间（期限）：</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w:t>
      </w:r>
    </w:p>
    <w:p w14:paraId="648A0DF8">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服务交付（实施）的地点（地域范围）：</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w:t>
      </w:r>
    </w:p>
    <w:p w14:paraId="6D55B822">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 服务交付（实施）的方式：</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w:t>
      </w:r>
    </w:p>
    <w:p w14:paraId="0510CBB9">
      <w:pPr>
        <w:adjustRightInd w:val="0"/>
        <w:spacing w:line="360" w:lineRule="auto"/>
        <w:ind w:firstLine="480" w:firstLineChars="200"/>
        <w:outlineLvl w:val="0"/>
        <w:rPr>
          <w:rFonts w:hint="eastAsia" w:asciiTheme="minorEastAsia" w:hAnsiTheme="minorEastAsia" w:eastAsiaTheme="minorEastAsia" w:cstheme="minorEastAsia"/>
          <w:bCs/>
          <w:sz w:val="24"/>
          <w:szCs w:val="24"/>
        </w:rPr>
      </w:pPr>
      <w:bookmarkStart w:id="464" w:name="_Toc3079"/>
      <w:bookmarkStart w:id="465" w:name="_Toc5698"/>
      <w:bookmarkStart w:id="466" w:name="_Toc24662"/>
      <w:bookmarkStart w:id="467" w:name="_Toc8586"/>
      <w:bookmarkStart w:id="468" w:name="_Toc2375"/>
      <w:r>
        <w:rPr>
          <w:rFonts w:hint="eastAsia" w:asciiTheme="minorEastAsia" w:hAnsiTheme="minorEastAsia" w:eastAsiaTheme="minorEastAsia" w:cstheme="minorEastAsia"/>
          <w:bCs/>
          <w:sz w:val="24"/>
          <w:szCs w:val="24"/>
        </w:rPr>
        <w:t>1.7.4若服务涉及货物的，则货物的：</w:t>
      </w:r>
    </w:p>
    <w:p w14:paraId="6E8F3ED3">
      <w:pPr>
        <w:adjustRightInd w:val="0"/>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1.7.4.1 交付期限：详见</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w:t>
      </w:r>
    </w:p>
    <w:p w14:paraId="194C9F57">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1.7.4.2 交付地点：</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w:t>
      </w:r>
    </w:p>
    <w:p w14:paraId="674E9E55">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1.7.4.3 交付方式：</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w:t>
      </w:r>
    </w:p>
    <w:p w14:paraId="0E25813B">
      <w:pPr>
        <w:adjustRightInd w:val="0"/>
        <w:spacing w:line="360" w:lineRule="auto"/>
        <w:ind w:firstLine="482" w:firstLineChars="200"/>
        <w:outlineLvl w:val="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1.8违约责任</w:t>
      </w:r>
      <w:bookmarkEnd w:id="464"/>
      <w:bookmarkEnd w:id="465"/>
      <w:bookmarkEnd w:id="466"/>
      <w:bookmarkEnd w:id="467"/>
      <w:bookmarkEnd w:id="468"/>
    </w:p>
    <w:p w14:paraId="156BB0D2">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Theme="minorEastAsia" w:hAnsiTheme="minorEastAsia" w:eastAsiaTheme="minorEastAsia" w:cstheme="minorEastAsia"/>
          <w:sz w:val="24"/>
          <w:szCs w:val="24"/>
          <w:u w:val="single"/>
        </w:rPr>
        <w:t xml:space="preserve">0.05 </w:t>
      </w:r>
      <w:r>
        <w:rPr>
          <w:rFonts w:hint="eastAsia" w:asciiTheme="minorEastAsia" w:hAnsiTheme="minorEastAsia" w:eastAsiaTheme="minorEastAsia" w:cstheme="minorEastAsia"/>
          <w:sz w:val="24"/>
          <w:szCs w:val="24"/>
        </w:rPr>
        <w:t>%计算，最高限额为本合同总价的</w:t>
      </w:r>
      <w:r>
        <w:rPr>
          <w:rFonts w:hint="eastAsia" w:asciiTheme="minorEastAsia" w:hAnsiTheme="minorEastAsia" w:eastAsiaTheme="minorEastAsia" w:cstheme="minorEastAsia"/>
          <w:sz w:val="24"/>
          <w:szCs w:val="24"/>
          <w:u w:val="single"/>
        </w:rPr>
        <w:t xml:space="preserve">  20   </w:t>
      </w:r>
      <w:r>
        <w:rPr>
          <w:rFonts w:hint="eastAsia" w:asciiTheme="minorEastAsia" w:hAnsiTheme="minorEastAsia" w:eastAsiaTheme="minorEastAsia" w:cstheme="minorEastAsia"/>
          <w:sz w:val="24"/>
          <w:szCs w:val="24"/>
        </w:rPr>
        <w:t>%；迟延履行的违约金计算数额达到前述最高限额之日起，甲方有权在要求乙方支付违约金的同时，书面通知乙方解除本合同；</w:t>
      </w:r>
    </w:p>
    <w:p w14:paraId="02877E4B">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Theme="minorEastAsia" w:hAnsiTheme="minorEastAsia" w:eastAsiaTheme="minorEastAsia" w:cstheme="minorEastAsia"/>
          <w:sz w:val="24"/>
          <w:szCs w:val="24"/>
          <w:u w:val="single"/>
        </w:rPr>
        <w:t xml:space="preserve"> 0.05</w:t>
      </w:r>
      <w:r>
        <w:rPr>
          <w:rFonts w:hint="eastAsia" w:asciiTheme="minorEastAsia" w:hAnsiTheme="minorEastAsia" w:eastAsiaTheme="minorEastAsia" w:cstheme="minorEastAsia"/>
          <w:sz w:val="24"/>
          <w:szCs w:val="24"/>
        </w:rPr>
        <w:t>（可根据情况修改）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%计算，最高限额为本合同总价的 </w:t>
      </w:r>
      <w:r>
        <w:rPr>
          <w:rFonts w:hint="eastAsia" w:asciiTheme="minorEastAsia" w:hAnsiTheme="minorEastAsia" w:eastAsiaTheme="minorEastAsia" w:cstheme="minorEastAsia"/>
          <w:sz w:val="24"/>
          <w:szCs w:val="24"/>
          <w:u w:val="single"/>
        </w:rPr>
        <w:t xml:space="preserve"> 20</w:t>
      </w:r>
      <w:r>
        <w:rPr>
          <w:rFonts w:hint="eastAsia" w:asciiTheme="minorEastAsia" w:hAnsiTheme="minorEastAsia" w:eastAsiaTheme="minorEastAsia" w:cstheme="minorEastAsia"/>
          <w:sz w:val="24"/>
          <w:szCs w:val="24"/>
        </w:rPr>
        <w:t xml:space="preserve">  %；迟延交付货物的违约金计算数额达到前述最高限额之日起，甲方有权在要求乙方支付违约金的同时，书面通知乙方解除本合同；</w:t>
      </w:r>
    </w:p>
    <w:p w14:paraId="49D1B610">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szCs w:val="24"/>
          <w:u w:val="single"/>
        </w:rPr>
        <w:t xml:space="preserve">   0.05   </w:t>
      </w:r>
      <w:r>
        <w:rPr>
          <w:rFonts w:hint="eastAsia" w:asciiTheme="minorEastAsia" w:hAnsiTheme="minorEastAsia" w:eastAsiaTheme="minorEastAsia" w:cstheme="minorEastAsia"/>
          <w:sz w:val="24"/>
          <w:szCs w:val="24"/>
        </w:rPr>
        <w:t>%计算，最高限额为应付而未付款的</w:t>
      </w:r>
      <w:r>
        <w:rPr>
          <w:rFonts w:hint="eastAsia" w:asciiTheme="minorEastAsia" w:hAnsiTheme="minorEastAsia" w:eastAsiaTheme="minorEastAsia" w:cstheme="minorEastAsia"/>
          <w:sz w:val="24"/>
          <w:szCs w:val="24"/>
          <w:u w:val="single"/>
        </w:rPr>
        <w:t xml:space="preserve">  20</w:t>
      </w:r>
      <w:r>
        <w:rPr>
          <w:rFonts w:hint="eastAsia" w:asciiTheme="minorEastAsia" w:hAnsiTheme="minorEastAsia" w:eastAsiaTheme="minorEastAsia" w:cstheme="minorEastAsia"/>
          <w:kern w:val="0"/>
          <w:sz w:val="24"/>
          <w:szCs w:val="24"/>
          <w:u w:val="single"/>
        </w:rPr>
        <w:t>（可根据情况修改）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%；迟延付款的违约金计算数额达到前述最高限额之日起，乙方有权在要求甲方支付违约金的同时，书面通知甲方解除本合同；</w:t>
      </w:r>
    </w:p>
    <w:p w14:paraId="07AFCD15">
      <w:pPr>
        <w:adjustRightInd w:val="0"/>
        <w:spacing w:line="360" w:lineRule="auto"/>
        <w:ind w:firstLine="480" w:firstLineChars="200"/>
        <w:rPr>
          <w:rFonts w:hint="eastAsia" w:asciiTheme="minorEastAsia" w:hAnsiTheme="minorEastAsia" w:eastAsiaTheme="minorEastAsia" w:cstheme="minorEastAsia"/>
          <w:sz w:val="24"/>
          <w:szCs w:val="24"/>
        </w:rPr>
      </w:pPr>
      <w:bookmarkStart w:id="469" w:name="_Toc30329"/>
      <w:bookmarkStart w:id="470" w:name="_Toc26807"/>
      <w:bookmarkStart w:id="471" w:name="_Toc32454"/>
      <w:bookmarkStart w:id="472" w:name="_Toc18683"/>
      <w:bookmarkStart w:id="473" w:name="_Toc9497"/>
      <w:r>
        <w:rPr>
          <w:rFonts w:hint="eastAsia" w:asciiTheme="minorEastAsia" w:hAnsiTheme="minorEastAsia" w:eastAsiaTheme="minorEastAsia" w:cstheme="minorEastAsia"/>
          <w:sz w:val="24"/>
          <w:szCs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E9B2B1">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FCC6CB">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1.8.6如果出现监督管理部门在处理投诉事项期间，书面通知甲方暂停采购活动的情形，或者询问或质疑事项可能影响中标或者成交结果的，导致甲方中止履行合同的情形，均不视为甲方违约。</w:t>
      </w:r>
    </w:p>
    <w:p w14:paraId="42EEE288">
      <w:pPr>
        <w:adjustRightInd w:val="0"/>
        <w:spacing w:line="360" w:lineRule="auto"/>
        <w:ind w:right="-420" w:rightChars="-20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1.8.7违约责任</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另有约定的，从其约定。</w:t>
      </w:r>
    </w:p>
    <w:bookmarkEnd w:id="469"/>
    <w:bookmarkEnd w:id="470"/>
    <w:bookmarkEnd w:id="471"/>
    <w:bookmarkEnd w:id="472"/>
    <w:bookmarkEnd w:id="473"/>
    <w:p w14:paraId="70EFDBDA">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474" w:name="_Toc15583"/>
      <w:bookmarkStart w:id="475" w:name="_Toc16021"/>
      <w:bookmarkStart w:id="476" w:name="_Toc28375"/>
      <w:r>
        <w:rPr>
          <w:rFonts w:hint="eastAsia" w:asciiTheme="minorEastAsia" w:hAnsiTheme="minorEastAsia" w:eastAsiaTheme="minorEastAsia" w:cstheme="minorEastAsia"/>
          <w:b/>
          <w:sz w:val="24"/>
          <w:szCs w:val="24"/>
        </w:rPr>
        <w:t>1.9合同争议的解决</w:t>
      </w:r>
      <w:bookmarkEnd w:id="474"/>
      <w:bookmarkEnd w:id="475"/>
      <w:bookmarkEnd w:id="476"/>
    </w:p>
    <w:p w14:paraId="6A187F58">
      <w:pPr>
        <w:adjustRightInd w:val="0"/>
        <w:spacing w:line="360" w:lineRule="auto"/>
        <w:ind w:left="-61" w:leftChars="-29" w:right="-420" w:rightChars="-2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sz w:val="24"/>
          <w:szCs w:val="24"/>
          <w:u w:val="single"/>
        </w:rPr>
        <w:t xml:space="preserve">      </w:t>
      </w:r>
      <w:r>
        <w:rPr>
          <w:rFonts w:hint="eastAsia" w:asciiTheme="minorEastAsia" w:hAnsiTheme="minorEastAsia" w:eastAsiaTheme="minorEastAsia" w:cstheme="minorEastAsia"/>
          <w:sz w:val="24"/>
          <w:szCs w:val="24"/>
        </w:rPr>
        <w:t>条款规定的方式解决：</w:t>
      </w:r>
    </w:p>
    <w:p w14:paraId="36E44DEA">
      <w:pPr>
        <w:adjustRightInd w:val="0"/>
        <w:spacing w:line="360" w:lineRule="auto"/>
        <w:ind w:right="-420" w:righ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将争议提交</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仲裁委员会依申请仲裁时其现行有效的仲裁规则裁决；</w:t>
      </w:r>
    </w:p>
    <w:p w14:paraId="5DFBE3EE">
      <w:pPr>
        <w:adjustRightInd w:val="0"/>
        <w:spacing w:line="360" w:lineRule="auto"/>
        <w:ind w:right="-420" w:righ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 向</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人民法院起诉。</w:t>
      </w:r>
    </w:p>
    <w:p w14:paraId="136035DD">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477" w:name="_Toc7245"/>
      <w:bookmarkStart w:id="478" w:name="_Toc15322"/>
      <w:bookmarkStart w:id="479" w:name="_Toc11173"/>
      <w:r>
        <w:rPr>
          <w:rFonts w:hint="eastAsia" w:asciiTheme="minorEastAsia" w:hAnsiTheme="minorEastAsia" w:eastAsiaTheme="minorEastAsia" w:cstheme="minorEastAsia"/>
          <w:b/>
          <w:sz w:val="24"/>
          <w:szCs w:val="24"/>
        </w:rPr>
        <w:t>2.0 合同生效</w:t>
      </w:r>
      <w:bookmarkEnd w:id="477"/>
      <w:bookmarkEnd w:id="478"/>
      <w:bookmarkEnd w:id="479"/>
    </w:p>
    <w:p w14:paraId="2B2875F5">
      <w:pPr>
        <w:snapToGrid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本合同自双方当事人签字盖章后生效。</w:t>
      </w:r>
    </w:p>
    <w:p w14:paraId="2AAD0535">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sz w:val="24"/>
          <w:szCs w:val="24"/>
          <w:lang w:val="zh-CN"/>
        </w:rPr>
        <w:t>甲方</w:t>
      </w:r>
      <w:r>
        <w:rPr>
          <w:rFonts w:hint="eastAsia" w:asciiTheme="minorEastAsia" w:hAnsiTheme="minorEastAsia" w:eastAsiaTheme="minorEastAsia" w:cstheme="minorEastAsia"/>
          <w:sz w:val="24"/>
          <w:szCs w:val="24"/>
          <w:lang w:val="zh-CN"/>
        </w:rPr>
        <w:t xml:space="preserve">：                             </w:t>
      </w:r>
      <w:r>
        <w:rPr>
          <w:rFonts w:hint="eastAsia" w:asciiTheme="minorEastAsia" w:hAnsiTheme="minorEastAsia" w:eastAsiaTheme="minorEastAsia" w:cstheme="minorEastAsia"/>
          <w:b/>
          <w:sz w:val="24"/>
          <w:szCs w:val="24"/>
          <w:lang w:val="zh-CN"/>
        </w:rPr>
        <w:t xml:space="preserve">      乙方</w:t>
      </w:r>
      <w:r>
        <w:rPr>
          <w:rFonts w:hint="eastAsia" w:asciiTheme="minorEastAsia" w:hAnsiTheme="minorEastAsia" w:eastAsiaTheme="minorEastAsia" w:cstheme="minorEastAsia"/>
          <w:sz w:val="24"/>
          <w:szCs w:val="24"/>
          <w:lang w:val="zh-CN"/>
        </w:rPr>
        <w:t>：</w:t>
      </w:r>
    </w:p>
    <w:p w14:paraId="38600896">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统一社会信用代码：                       统一社会信用代码或身份证号码：</w:t>
      </w:r>
    </w:p>
    <w:p w14:paraId="57E5DE73">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住所：                                   住所：</w:t>
      </w:r>
    </w:p>
    <w:p w14:paraId="43E6A5C1">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法定代表人或                             法定代表人或</w:t>
      </w:r>
    </w:p>
    <w:p w14:paraId="5D8B1685">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授权代表（签字）：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rPr>
        <w:t xml:space="preserve"> 授权代表（签字）: </w:t>
      </w:r>
    </w:p>
    <w:p w14:paraId="7A6CCE32">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联系人：                                 联系人：</w:t>
      </w:r>
    </w:p>
    <w:p w14:paraId="32B62874">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约定送达地址：                           约定送达地址：</w:t>
      </w:r>
    </w:p>
    <w:p w14:paraId="20C42EAE">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邮政编码：                               邮政编码：</w:t>
      </w:r>
    </w:p>
    <w:p w14:paraId="1E958A9E">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电话：                                   电话： </w:t>
      </w:r>
    </w:p>
    <w:p w14:paraId="7633AE49">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传真：                                   传真：</w:t>
      </w:r>
    </w:p>
    <w:p w14:paraId="42B5BA31">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电子邮箱：                               电子邮箱：</w:t>
      </w:r>
    </w:p>
    <w:p w14:paraId="6AF0C704">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开户银行： </w:t>
      </w:r>
    </w:p>
    <w:p w14:paraId="6A483CCF">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开户名称：                               开户名称： </w:t>
      </w:r>
    </w:p>
    <w:p w14:paraId="32D2C329">
      <w:pPr>
        <w:autoSpaceDE w:val="0"/>
        <w:autoSpaceDN w:val="0"/>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开户账号：</w:t>
      </w:r>
      <w:r>
        <w:rPr>
          <w:rFonts w:hint="eastAsia" w:asciiTheme="minorEastAsia" w:hAnsiTheme="minorEastAsia" w:eastAsiaTheme="minorEastAsia" w:cstheme="minorEastAsia"/>
          <w:sz w:val="24"/>
          <w:szCs w:val="24"/>
          <w:lang w:val="zh-CN"/>
        </w:rPr>
        <w:t xml:space="preserve">                               </w:t>
      </w:r>
      <w:r>
        <w:rPr>
          <w:rFonts w:hint="eastAsia" w:asciiTheme="minorEastAsia" w:hAnsiTheme="minorEastAsia" w:eastAsiaTheme="minorEastAsia" w:cstheme="minorEastAsia"/>
          <w:sz w:val="24"/>
          <w:szCs w:val="24"/>
        </w:rPr>
        <w:t>开户账号：</w:t>
      </w:r>
    </w:p>
    <w:p w14:paraId="120FADC0">
      <w:pPr>
        <w:widowControl/>
        <w:adjustRightInd w:val="0"/>
        <w:spacing w:line="360" w:lineRule="auto"/>
        <w:jc w:val="left"/>
        <w:rPr>
          <w:rFonts w:hint="eastAsia" w:asciiTheme="minorEastAsia" w:hAnsiTheme="minorEastAsia" w:eastAsiaTheme="minorEastAsia" w:cstheme="minorEastAsia"/>
          <w:b/>
          <w:sz w:val="24"/>
          <w:szCs w:val="24"/>
        </w:rPr>
      </w:pPr>
    </w:p>
    <w:p w14:paraId="1D9BCB6C">
      <w:pPr>
        <w:pStyle w:val="2"/>
        <w:ind w:left="0" w:firstLine="0"/>
        <w:rPr>
          <w:rFonts w:hint="eastAsia" w:asciiTheme="minorEastAsia" w:hAnsiTheme="minorEastAsia" w:eastAsiaTheme="minorEastAsia" w:cstheme="minorEastAsia"/>
        </w:rPr>
      </w:pPr>
    </w:p>
    <w:p w14:paraId="39B274D2">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257EA8A6">
      <w:pPr>
        <w:autoSpaceDE w:val="0"/>
        <w:autoSpaceDN w:val="0"/>
        <w:adjustRightInd w:val="0"/>
        <w:snapToGrid w:val="0"/>
        <w:spacing w:line="360" w:lineRule="auto"/>
        <w:ind w:left="420" w:leftChars="200" w:firstLine="482" w:firstLineChars="20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第二部分 合同一般条款</w:t>
      </w:r>
    </w:p>
    <w:p w14:paraId="63D0725F">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480" w:name="_Toc5228"/>
      <w:bookmarkStart w:id="481" w:name="_Toc25079"/>
      <w:bookmarkStart w:id="482" w:name="_Toc31297"/>
      <w:bookmarkStart w:id="483" w:name="_Toc14021"/>
      <w:bookmarkStart w:id="484" w:name="_Toc19680"/>
      <w:r>
        <w:rPr>
          <w:rFonts w:hint="eastAsia" w:asciiTheme="minorEastAsia" w:hAnsiTheme="minorEastAsia" w:eastAsiaTheme="minorEastAsia" w:cstheme="minorEastAsia"/>
          <w:b/>
          <w:sz w:val="24"/>
          <w:szCs w:val="24"/>
        </w:rPr>
        <w:t>2.1 定义</w:t>
      </w:r>
      <w:bookmarkEnd w:id="480"/>
      <w:bookmarkEnd w:id="481"/>
      <w:bookmarkEnd w:id="482"/>
      <w:bookmarkEnd w:id="483"/>
      <w:bookmarkEnd w:id="484"/>
    </w:p>
    <w:p w14:paraId="1A95A9F6">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本合同中的下列词语应按以下内容进行解释：</w:t>
      </w:r>
    </w:p>
    <w:p w14:paraId="46E45C19">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 “合同”系指采购人和中标或成交供应商签订的载明双方当事人所达成的协议，并包括所有的附件、附录和构成合同的其他文件。</w:t>
      </w:r>
    </w:p>
    <w:p w14:paraId="5C99CDDE">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 “合同价”系指根据合同约定，中标或成交供应商在完全履行合同义务后，采购人应支付给中标或成交供应商的价格。</w:t>
      </w:r>
    </w:p>
    <w:p w14:paraId="40867C12">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 “服务”系指中标或成交供应商根据合同约定应向采购人履行的除货物和工程以外的其他采购对象，包括采购人自身需要的服务和向社会公众提供的公共服务。</w:t>
      </w:r>
    </w:p>
    <w:p w14:paraId="0CB02D11">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 “甲方”系指与中标或成交供应商签署合同的采购人；采购人委托采购代理机构代表其与乙方签订合同的，采购人的授权委托书作为合同附件。</w:t>
      </w:r>
    </w:p>
    <w:p w14:paraId="249B77B2">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 “乙方”系指根据合同约定提供服务的中标或成交供应商；两个以上的自然人、法人或者其他组织组成一个联合体，以一个供应商的身份共同参加采购的，联合体各方均应为乙方或者与乙方相同地位的合同当事人，并就合同约定的事项对甲方承担连带责任。</w:t>
      </w:r>
    </w:p>
    <w:p w14:paraId="77B6479B">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2.1.6 “现场”系指合同约定提供服务的地点。</w:t>
      </w:r>
    </w:p>
    <w:p w14:paraId="5282276D">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485" w:name="_Toc16752"/>
      <w:bookmarkStart w:id="486" w:name="_Toc3769"/>
      <w:bookmarkStart w:id="487" w:name="_Toc31402"/>
      <w:bookmarkStart w:id="488" w:name="_Toc23289"/>
      <w:bookmarkStart w:id="489" w:name="_Toc19539"/>
      <w:r>
        <w:rPr>
          <w:rFonts w:hint="eastAsia" w:asciiTheme="minorEastAsia" w:hAnsiTheme="minorEastAsia" w:eastAsiaTheme="minorEastAsia" w:cstheme="minorEastAsia"/>
          <w:b/>
          <w:sz w:val="24"/>
          <w:szCs w:val="24"/>
        </w:rPr>
        <w:t>2.2 技术规范</w:t>
      </w:r>
      <w:bookmarkEnd w:id="485"/>
      <w:bookmarkEnd w:id="486"/>
      <w:bookmarkEnd w:id="487"/>
      <w:bookmarkEnd w:id="488"/>
      <w:bookmarkEnd w:id="489"/>
    </w:p>
    <w:p w14:paraId="2BFDB463">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07B8776">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490" w:name="_Toc12412"/>
      <w:bookmarkStart w:id="491" w:name="_Toc27945"/>
      <w:bookmarkStart w:id="492" w:name="_Toc13673"/>
      <w:bookmarkStart w:id="493" w:name="_Toc4133"/>
      <w:bookmarkStart w:id="494" w:name="_Toc9161"/>
      <w:r>
        <w:rPr>
          <w:rFonts w:hint="eastAsia" w:asciiTheme="minorEastAsia" w:hAnsiTheme="minorEastAsia" w:eastAsiaTheme="minorEastAsia" w:cstheme="minorEastAsia"/>
          <w:b/>
          <w:sz w:val="24"/>
          <w:szCs w:val="24"/>
        </w:rPr>
        <w:t>2.3 知识产权</w:t>
      </w:r>
      <w:bookmarkEnd w:id="490"/>
      <w:bookmarkEnd w:id="491"/>
      <w:bookmarkEnd w:id="492"/>
      <w:bookmarkEnd w:id="493"/>
      <w:bookmarkEnd w:id="494"/>
    </w:p>
    <w:p w14:paraId="79E6DA10">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DCC6E1F">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 合同涉及技术成果的归属和收益的分成办法的，详见</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w:t>
      </w:r>
    </w:p>
    <w:p w14:paraId="0051F6A2">
      <w:pPr>
        <w:adjustRightIn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2.4 履约检查和问题反馈</w:t>
      </w:r>
    </w:p>
    <w:p w14:paraId="795EF2CF">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11A5723">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合同履行期间，甲方有权将履行过程中出现的问题反馈给乙方，双方当事人应以书面形式约定需要完善和改进的内容。</w:t>
      </w:r>
    </w:p>
    <w:p w14:paraId="35267F5C">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495" w:name="_Toc15447"/>
      <w:bookmarkStart w:id="496" w:name="_Toc26555"/>
      <w:bookmarkStart w:id="497" w:name="_Toc32670"/>
      <w:bookmarkStart w:id="498" w:name="_Toc31233"/>
      <w:bookmarkStart w:id="499" w:name="_Toc22011"/>
      <w:r>
        <w:rPr>
          <w:rFonts w:hint="eastAsia" w:asciiTheme="minorEastAsia" w:hAnsiTheme="minorEastAsia" w:eastAsiaTheme="minorEastAsia" w:cstheme="minorEastAsia"/>
          <w:b/>
          <w:sz w:val="24"/>
          <w:szCs w:val="24"/>
        </w:rPr>
        <w:t>2.5 结算方式和付款条件</w:t>
      </w:r>
      <w:bookmarkEnd w:id="495"/>
      <w:bookmarkEnd w:id="496"/>
      <w:bookmarkEnd w:id="497"/>
      <w:bookmarkEnd w:id="498"/>
      <w:bookmarkEnd w:id="499"/>
    </w:p>
    <w:p w14:paraId="695D823E">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w:t>
      </w:r>
      <w:r>
        <w:rPr>
          <w:rFonts w:hint="eastAsia" w:asciiTheme="minorEastAsia" w:hAnsiTheme="minorEastAsia" w:eastAsiaTheme="minorEastAsia" w:cstheme="minorEastAsia"/>
          <w:b/>
          <w:i/>
          <w:sz w:val="24"/>
          <w:szCs w:val="24"/>
          <w:u w:val="single"/>
        </w:rPr>
        <w:t>合同专用条款</w:t>
      </w:r>
      <w:r>
        <w:rPr>
          <w:rFonts w:hint="eastAsia" w:asciiTheme="minorEastAsia" w:hAnsiTheme="minorEastAsia" w:eastAsiaTheme="minorEastAsia" w:cstheme="minorEastAsia"/>
          <w:sz w:val="24"/>
          <w:szCs w:val="24"/>
        </w:rPr>
        <w:t>。</w:t>
      </w:r>
    </w:p>
    <w:p w14:paraId="2545DE99">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00" w:name="_Toc13154"/>
      <w:bookmarkStart w:id="501" w:name="_Toc16163"/>
      <w:bookmarkStart w:id="502" w:name="_Toc18990"/>
      <w:bookmarkStart w:id="503" w:name="_Toc13467"/>
      <w:bookmarkStart w:id="504" w:name="_Toc30507"/>
      <w:r>
        <w:rPr>
          <w:rFonts w:hint="eastAsia" w:asciiTheme="minorEastAsia" w:hAnsiTheme="minorEastAsia" w:eastAsiaTheme="minorEastAsia" w:cstheme="minorEastAsia"/>
          <w:b/>
          <w:sz w:val="24"/>
          <w:szCs w:val="24"/>
        </w:rPr>
        <w:t>2.6 技术资料和保密义务</w:t>
      </w:r>
      <w:bookmarkEnd w:id="500"/>
      <w:bookmarkEnd w:id="501"/>
      <w:bookmarkEnd w:id="502"/>
      <w:bookmarkEnd w:id="503"/>
      <w:bookmarkEnd w:id="504"/>
    </w:p>
    <w:p w14:paraId="70F7B31E">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 乙方有权依据合同约定和项目需要，向甲方了解有关情况，调阅有关资料等，甲方应予积极配合；</w:t>
      </w:r>
    </w:p>
    <w:p w14:paraId="75AD6D8C">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 乙方有义务妥善保管和保护由甲方提供的前款信息和资料等；</w:t>
      </w:r>
    </w:p>
    <w:p w14:paraId="31460669">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BDA992C">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05" w:name="_Toc19069"/>
      <w:r>
        <w:rPr>
          <w:rFonts w:hint="eastAsia" w:asciiTheme="minorEastAsia" w:hAnsiTheme="minorEastAsia" w:eastAsiaTheme="minorEastAsia" w:cstheme="minorEastAsia"/>
          <w:b/>
          <w:sz w:val="24"/>
          <w:szCs w:val="24"/>
        </w:rPr>
        <w:t>2.7 质量保证</w:t>
      </w:r>
      <w:bookmarkEnd w:id="505"/>
    </w:p>
    <w:p w14:paraId="3CD9B704">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 乙方应建立和完善履行合同的内部质量保证体系，并提供相关内部规章制度给甲方，以便甲方进行监督检查；</w:t>
      </w:r>
    </w:p>
    <w:p w14:paraId="18750E91">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2.7.2 乙方应保证履行合同的人员数量和素质、软件和硬件设备的配置、场地、环境和设施等满足全面履行合同的要求，并应接受甲方的监督检查。</w:t>
      </w:r>
    </w:p>
    <w:p w14:paraId="3ED6F763">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06" w:name="_Toc22267"/>
      <w:r>
        <w:rPr>
          <w:rFonts w:hint="eastAsia" w:asciiTheme="minorEastAsia" w:hAnsiTheme="minorEastAsia" w:eastAsiaTheme="minorEastAsia" w:cstheme="minorEastAsia"/>
          <w:b/>
          <w:sz w:val="24"/>
          <w:szCs w:val="24"/>
        </w:rPr>
        <w:t>2.8 延迟履行</w:t>
      </w:r>
      <w:bookmarkEnd w:id="506"/>
    </w:p>
    <w:p w14:paraId="686D9438">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6ECB13C">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07" w:name="_Toc10611"/>
      <w:r>
        <w:rPr>
          <w:rFonts w:hint="eastAsia" w:asciiTheme="minorEastAsia" w:hAnsiTheme="minorEastAsia" w:eastAsiaTheme="minorEastAsia" w:cstheme="minorEastAsia"/>
          <w:b/>
          <w:sz w:val="24"/>
          <w:szCs w:val="24"/>
        </w:rPr>
        <w:t>2.9 合同变更</w:t>
      </w:r>
      <w:bookmarkEnd w:id="507"/>
    </w:p>
    <w:p w14:paraId="54A6F909">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合同继续履行将损害国家利益和社会公共利益的，双方当事人应当以书面形式变更合同。有过错的一方应当承担赔偿责任，双方当事人都有过错的，各自承担相应的责任。</w:t>
      </w:r>
    </w:p>
    <w:p w14:paraId="21FDB7B4">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08" w:name="_Toc21830"/>
      <w:bookmarkStart w:id="509" w:name="_Toc10663"/>
      <w:bookmarkStart w:id="510" w:name="_Toc26689"/>
      <w:bookmarkStart w:id="511" w:name="_Toc23368"/>
      <w:bookmarkStart w:id="512" w:name="_Toc42"/>
      <w:r>
        <w:rPr>
          <w:rFonts w:hint="eastAsia" w:asciiTheme="minorEastAsia" w:hAnsiTheme="minorEastAsia" w:eastAsiaTheme="minorEastAsia" w:cstheme="minorEastAsia"/>
          <w:b/>
          <w:sz w:val="24"/>
          <w:szCs w:val="24"/>
        </w:rPr>
        <w:t>2.10 合同转让和分包</w:t>
      </w:r>
      <w:bookmarkEnd w:id="508"/>
      <w:bookmarkEnd w:id="509"/>
      <w:bookmarkEnd w:id="510"/>
      <w:bookmarkEnd w:id="511"/>
      <w:bookmarkEnd w:id="512"/>
    </w:p>
    <w:p w14:paraId="2E65CA52">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CB113D">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13" w:name="_Toc26633"/>
      <w:bookmarkStart w:id="514" w:name="_Toc32494"/>
      <w:bookmarkStart w:id="515" w:name="_Toc14371"/>
      <w:bookmarkStart w:id="516" w:name="_Toc4720"/>
      <w:bookmarkStart w:id="517" w:name="_Toc25571"/>
      <w:r>
        <w:rPr>
          <w:rFonts w:hint="eastAsia" w:asciiTheme="minorEastAsia" w:hAnsiTheme="minorEastAsia" w:eastAsiaTheme="minorEastAsia" w:cstheme="minorEastAsia"/>
          <w:b/>
          <w:sz w:val="24"/>
          <w:szCs w:val="24"/>
        </w:rPr>
        <w:t>2.11 不可抗力</w:t>
      </w:r>
      <w:bookmarkEnd w:id="513"/>
      <w:bookmarkEnd w:id="514"/>
      <w:bookmarkEnd w:id="515"/>
      <w:bookmarkEnd w:id="516"/>
      <w:bookmarkEnd w:id="517"/>
    </w:p>
    <w:p w14:paraId="65A9203A">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2.11.1如果任何一方遭遇法律规定的不可抗力，致使合同履行受阻时，履行合同的期限应予延长，延长的期限应相当于不可抗力所影响的时间；</w:t>
      </w:r>
    </w:p>
    <w:p w14:paraId="6CA7E38D">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2.11.2 因不可抗力致使不能实现合同目的的，当事人可以解除合同；</w:t>
      </w:r>
    </w:p>
    <w:p w14:paraId="3F3548DD">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2.11.3 因不可抗力致使合同有变更必要的，双方当事人应在  </w:t>
      </w:r>
      <w:r>
        <w:rPr>
          <w:rFonts w:hint="eastAsia" w:asciiTheme="minorEastAsia" w:hAnsiTheme="minorEastAsia" w:eastAsiaTheme="minorEastAsia" w:cstheme="minorEastAsia"/>
          <w:b/>
          <w:i/>
          <w:sz w:val="24"/>
          <w:szCs w:val="24"/>
          <w:u w:val="single"/>
        </w:rPr>
        <w:t xml:space="preserve">合同专用条款  </w:t>
      </w:r>
      <w:r>
        <w:rPr>
          <w:rFonts w:hint="eastAsia" w:asciiTheme="minorEastAsia" w:hAnsiTheme="minorEastAsia" w:eastAsiaTheme="minorEastAsia" w:cstheme="minorEastAsia"/>
          <w:sz w:val="24"/>
          <w:szCs w:val="24"/>
        </w:rPr>
        <w:t>约定时间内以书面形式变更合同；</w:t>
      </w:r>
    </w:p>
    <w:p w14:paraId="71383EAB">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2.11.4受不可抗力影响的一方在不可抗力发生后，应在  </w:t>
      </w:r>
      <w:r>
        <w:rPr>
          <w:rFonts w:hint="eastAsia" w:asciiTheme="minorEastAsia" w:hAnsiTheme="minorEastAsia" w:eastAsiaTheme="minorEastAsia" w:cstheme="minorEastAsia"/>
          <w:b/>
          <w:i/>
          <w:sz w:val="24"/>
          <w:szCs w:val="24"/>
          <w:u w:val="single"/>
        </w:rPr>
        <w:t xml:space="preserve">合同专用条款  </w:t>
      </w:r>
      <w:r>
        <w:rPr>
          <w:rFonts w:hint="eastAsia" w:asciiTheme="minorEastAsia" w:hAnsiTheme="minorEastAsia" w:eastAsiaTheme="minorEastAsia" w:cstheme="minorEastAsia"/>
          <w:sz w:val="24"/>
          <w:szCs w:val="24"/>
        </w:rPr>
        <w:t xml:space="preserve">约定时间内以书面形式通知对方当事人，并在  </w:t>
      </w:r>
      <w:r>
        <w:rPr>
          <w:rFonts w:hint="eastAsia" w:asciiTheme="minorEastAsia" w:hAnsiTheme="minorEastAsia" w:eastAsiaTheme="minorEastAsia" w:cstheme="minorEastAsia"/>
          <w:b/>
          <w:i/>
          <w:sz w:val="24"/>
          <w:szCs w:val="24"/>
          <w:u w:val="single"/>
        </w:rPr>
        <w:t xml:space="preserve">合同专用条款  </w:t>
      </w:r>
      <w:r>
        <w:rPr>
          <w:rFonts w:hint="eastAsia" w:asciiTheme="minorEastAsia" w:hAnsiTheme="minorEastAsia" w:eastAsiaTheme="minorEastAsia" w:cstheme="minorEastAsia"/>
          <w:sz w:val="24"/>
          <w:szCs w:val="24"/>
        </w:rPr>
        <w:t>约定时间内，将有关部门出具的证明文件送达对方当事人。</w:t>
      </w:r>
    </w:p>
    <w:p w14:paraId="14B29F98">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18" w:name="_Toc14115"/>
      <w:bookmarkStart w:id="519" w:name="_Toc24465"/>
      <w:bookmarkStart w:id="520" w:name="_Toc23854"/>
      <w:bookmarkStart w:id="521" w:name="_Toc3638"/>
      <w:bookmarkStart w:id="522" w:name="_Toc25783"/>
      <w:r>
        <w:rPr>
          <w:rFonts w:hint="eastAsia" w:asciiTheme="minorEastAsia" w:hAnsiTheme="minorEastAsia" w:eastAsiaTheme="minorEastAsia" w:cstheme="minorEastAsia"/>
          <w:b/>
          <w:sz w:val="24"/>
          <w:szCs w:val="24"/>
        </w:rPr>
        <w:t>2.12 税费</w:t>
      </w:r>
      <w:bookmarkEnd w:id="518"/>
      <w:bookmarkEnd w:id="519"/>
      <w:bookmarkEnd w:id="520"/>
      <w:bookmarkEnd w:id="521"/>
      <w:bookmarkEnd w:id="522"/>
    </w:p>
    <w:p w14:paraId="5E0CE15E">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与合同有关的一切税费，均按照中华人民共和国法律的相关规定缴纳。</w:t>
      </w:r>
    </w:p>
    <w:p w14:paraId="28B99E9A">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23" w:name="_Toc25525"/>
      <w:bookmarkStart w:id="524" w:name="_Toc14814"/>
      <w:bookmarkStart w:id="525" w:name="_Toc26883"/>
      <w:bookmarkStart w:id="526" w:name="_Toc30105"/>
      <w:bookmarkStart w:id="527" w:name="_Toc7315"/>
      <w:r>
        <w:rPr>
          <w:rFonts w:hint="eastAsia" w:asciiTheme="minorEastAsia" w:hAnsiTheme="minorEastAsia" w:eastAsiaTheme="minorEastAsia" w:cstheme="minorEastAsia"/>
          <w:b/>
          <w:sz w:val="24"/>
          <w:szCs w:val="24"/>
        </w:rPr>
        <w:t>2.13 乙方破产</w:t>
      </w:r>
      <w:bookmarkEnd w:id="523"/>
      <w:bookmarkEnd w:id="524"/>
      <w:bookmarkEnd w:id="525"/>
      <w:bookmarkEnd w:id="526"/>
      <w:bookmarkEnd w:id="527"/>
    </w:p>
    <w:p w14:paraId="71AB0FBA">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2510DB">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28" w:name="_Toc1123"/>
      <w:bookmarkStart w:id="529" w:name="_Toc2016"/>
      <w:bookmarkStart w:id="530" w:name="_Toc23323"/>
      <w:r>
        <w:rPr>
          <w:rFonts w:hint="eastAsia" w:asciiTheme="minorEastAsia" w:hAnsiTheme="minorEastAsia" w:eastAsiaTheme="minorEastAsia" w:cstheme="minorEastAsia"/>
          <w:b/>
          <w:sz w:val="24"/>
          <w:szCs w:val="24"/>
        </w:rPr>
        <w:t>2.14 合同中止、终止</w:t>
      </w:r>
      <w:bookmarkEnd w:id="528"/>
      <w:bookmarkEnd w:id="529"/>
      <w:bookmarkEnd w:id="530"/>
    </w:p>
    <w:p w14:paraId="599C366D">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2.14.1 双方当事人不得擅自中止或者终止合同；</w:t>
      </w:r>
    </w:p>
    <w:p w14:paraId="38319904">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2.14.2合同继续履行将损害国家利益和社会公共利益的，双方当事人应当中止或者终止合同。有过错的一方应当承担赔偿责任，双方当事人都有过错的，各自承担相应的责任。</w:t>
      </w:r>
    </w:p>
    <w:p w14:paraId="720CC2AB">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31" w:name="_Toc17363"/>
      <w:bookmarkStart w:id="532" w:name="_Toc1969"/>
      <w:bookmarkStart w:id="533" w:name="_Toc14525"/>
      <w:r>
        <w:rPr>
          <w:rFonts w:hint="eastAsia" w:asciiTheme="minorEastAsia" w:hAnsiTheme="minorEastAsia" w:eastAsiaTheme="minorEastAsia" w:cstheme="minorEastAsia"/>
          <w:b/>
          <w:sz w:val="24"/>
          <w:szCs w:val="24"/>
        </w:rPr>
        <w:t>2.15 检验和验收</w:t>
      </w:r>
      <w:bookmarkEnd w:id="531"/>
      <w:bookmarkEnd w:id="532"/>
      <w:bookmarkEnd w:id="533"/>
    </w:p>
    <w:p w14:paraId="508E1924">
      <w:pPr>
        <w:tabs>
          <w:tab w:val="left" w:pos="360"/>
          <w:tab w:val="left" w:pos="540"/>
          <w:tab w:val="left" w:pos="1080"/>
        </w:tabs>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2.15.1 乙方按照  </w:t>
      </w:r>
      <w:r>
        <w:rPr>
          <w:rFonts w:hint="eastAsia" w:asciiTheme="minorEastAsia" w:hAnsiTheme="minorEastAsia" w:eastAsiaTheme="minorEastAsia" w:cstheme="minorEastAsia"/>
          <w:b/>
          <w:i/>
          <w:sz w:val="24"/>
          <w:szCs w:val="24"/>
          <w:u w:val="single"/>
        </w:rPr>
        <w:t xml:space="preserve">合同专用条款  </w:t>
      </w:r>
      <w:r>
        <w:rPr>
          <w:rFonts w:hint="eastAsia" w:asciiTheme="minorEastAsia" w:hAnsiTheme="minorEastAsia" w:eastAsiaTheme="minorEastAsia" w:cstheme="minorEastAsia"/>
          <w:sz w:val="24"/>
          <w:szCs w:val="24"/>
        </w:rPr>
        <w:t xml:space="preserve">的约定，定期提交服务报告，甲方按照  </w:t>
      </w:r>
      <w:r>
        <w:rPr>
          <w:rFonts w:hint="eastAsia" w:asciiTheme="minorEastAsia" w:hAnsiTheme="minorEastAsia" w:eastAsiaTheme="minorEastAsia" w:cstheme="minorEastAsia"/>
          <w:b/>
          <w:i/>
          <w:sz w:val="24"/>
          <w:szCs w:val="24"/>
          <w:u w:val="single"/>
        </w:rPr>
        <w:t xml:space="preserve">合同专用条款  </w:t>
      </w:r>
      <w:r>
        <w:rPr>
          <w:rFonts w:hint="eastAsia" w:asciiTheme="minorEastAsia" w:hAnsiTheme="minorEastAsia" w:eastAsiaTheme="minorEastAsia" w:cstheme="minorEastAsia"/>
          <w:sz w:val="24"/>
          <w:szCs w:val="24"/>
        </w:rPr>
        <w:t>的约定进行定期验收；</w:t>
      </w:r>
    </w:p>
    <w:p w14:paraId="62A8A108">
      <w:pPr>
        <w:tabs>
          <w:tab w:val="left" w:pos="360"/>
          <w:tab w:val="left" w:pos="540"/>
          <w:tab w:val="left" w:pos="1080"/>
        </w:tabs>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8DAF6C">
      <w:pPr>
        <w:tabs>
          <w:tab w:val="left" w:pos="360"/>
          <w:tab w:val="left" w:pos="540"/>
          <w:tab w:val="left" w:pos="1080"/>
        </w:tabs>
        <w:adjustRightInd w:val="0"/>
        <w:spacing w:line="360" w:lineRule="auto"/>
        <w:ind w:firstLine="480" w:firstLineChars="200"/>
        <w:rPr>
          <w:rFonts w:hint="eastAsia" w:asciiTheme="minorEastAsia" w:hAnsiTheme="minorEastAsia" w:eastAsiaTheme="minorEastAsia" w:cstheme="minorEastAsia"/>
          <w:iCs/>
          <w:sz w:val="24"/>
          <w:szCs w:val="24"/>
        </w:rPr>
      </w:pPr>
      <w:r>
        <w:rPr>
          <w:rFonts w:hint="eastAsia" w:asciiTheme="minorEastAsia" w:hAnsiTheme="minorEastAsia" w:eastAsiaTheme="minorEastAsia" w:cstheme="minorEastAsia"/>
          <w:sz w:val="24"/>
          <w:szCs w:val="24"/>
        </w:rPr>
        <w:t xml:space="preserve">2.15.3 检验和验收标准、程序等具体内容以及前述验收书的效力详见  </w:t>
      </w:r>
      <w:r>
        <w:rPr>
          <w:rFonts w:hint="eastAsia" w:asciiTheme="minorEastAsia" w:hAnsiTheme="minorEastAsia" w:eastAsiaTheme="minorEastAsia" w:cstheme="minorEastAsia"/>
          <w:b/>
          <w:i/>
          <w:sz w:val="24"/>
          <w:szCs w:val="24"/>
          <w:u w:val="single"/>
        </w:rPr>
        <w:t xml:space="preserve">合同专用条款  </w:t>
      </w:r>
      <w:r>
        <w:rPr>
          <w:rFonts w:hint="eastAsia" w:asciiTheme="minorEastAsia" w:hAnsiTheme="minorEastAsia" w:eastAsiaTheme="minorEastAsia" w:cstheme="minorEastAsia"/>
          <w:iCs/>
          <w:sz w:val="24"/>
          <w:szCs w:val="24"/>
        </w:rPr>
        <w:t>。</w:t>
      </w:r>
    </w:p>
    <w:p w14:paraId="1307AB90">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34" w:name="_Toc25198"/>
      <w:bookmarkStart w:id="535" w:name="_Toc2308"/>
      <w:bookmarkStart w:id="536" w:name="_Toc31892"/>
      <w:bookmarkStart w:id="537" w:name="_Toc9808"/>
      <w:bookmarkStart w:id="538" w:name="_Toc12666"/>
      <w:r>
        <w:rPr>
          <w:rFonts w:hint="eastAsia" w:asciiTheme="minorEastAsia" w:hAnsiTheme="minorEastAsia" w:eastAsiaTheme="minorEastAsia" w:cstheme="minorEastAsia"/>
          <w:b/>
          <w:sz w:val="24"/>
          <w:szCs w:val="24"/>
        </w:rPr>
        <w:t>2.16 通知和送达</w:t>
      </w:r>
      <w:bookmarkEnd w:id="534"/>
      <w:bookmarkEnd w:id="535"/>
      <w:bookmarkEnd w:id="536"/>
      <w:bookmarkEnd w:id="537"/>
      <w:bookmarkEnd w:id="538"/>
    </w:p>
    <w:p w14:paraId="445C0789">
      <w:pPr>
        <w:adjustRightInd w:val="0"/>
        <w:spacing w:line="360" w:lineRule="auto"/>
        <w:ind w:firstLine="480" w:firstLineChars="200"/>
        <w:rPr>
          <w:rFonts w:hint="eastAsia" w:asciiTheme="minorEastAsia" w:hAnsiTheme="minorEastAsia" w:eastAsiaTheme="minorEastAsia" w:cstheme="minorEastAsia"/>
          <w:sz w:val="24"/>
          <w:szCs w:val="24"/>
        </w:rPr>
      </w:pPr>
      <w:bookmarkStart w:id="539" w:name="_Toc18401"/>
      <w:bookmarkStart w:id="540" w:name="_Toc27674"/>
      <w:r>
        <w:rPr>
          <w:rFonts w:hint="eastAsia" w:asciiTheme="minorEastAsia" w:hAnsiTheme="minorEastAsia" w:eastAsiaTheme="minorEastAsia" w:cstheme="minorEastAsia"/>
          <w:sz w:val="24"/>
          <w:szCs w:val="24"/>
        </w:rPr>
        <w:t xml:space="preserve">2.17.1任何一方因履行合同而以合同第一部分尾部所列明的传真或电子邮件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发出的所有通知、文件、材料，均视为已向对方当事人送达；任何一方变更上述送达方式或者地址的，应于</w:t>
      </w: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sz w:val="24"/>
          <w:szCs w:val="24"/>
        </w:rPr>
        <w:t>个工作日内书面通知对方当事人，在对方当事人收到有关变更通知之前，变更前的约定送达方式或者地址仍视为有效。</w:t>
      </w:r>
    </w:p>
    <w:p w14:paraId="6B25EC72">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30F6D0EC">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41" w:name="_Toc20808"/>
      <w:bookmarkStart w:id="542" w:name="_Toc5063"/>
      <w:bookmarkStart w:id="543" w:name="_Toc28906"/>
      <w:bookmarkStart w:id="544" w:name="_Toc27644"/>
      <w:bookmarkStart w:id="545" w:name="_Toc12254"/>
      <w:r>
        <w:rPr>
          <w:rFonts w:hint="eastAsia" w:asciiTheme="minorEastAsia" w:hAnsiTheme="minorEastAsia" w:eastAsiaTheme="minorEastAsia" w:cstheme="minorEastAsia"/>
          <w:b/>
          <w:sz w:val="24"/>
          <w:szCs w:val="24"/>
        </w:rPr>
        <w:t>2.17 合同使用的文字和适用的法律</w:t>
      </w:r>
      <w:bookmarkEnd w:id="541"/>
      <w:bookmarkEnd w:id="542"/>
      <w:bookmarkEnd w:id="543"/>
      <w:bookmarkEnd w:id="544"/>
      <w:bookmarkEnd w:id="545"/>
    </w:p>
    <w:p w14:paraId="3AA6DCD0">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 合同使用汉语书就、变更和解释；</w:t>
      </w:r>
    </w:p>
    <w:p w14:paraId="01D169C3">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2.17.2 合同适用中华人民共和国法律。</w:t>
      </w:r>
    </w:p>
    <w:p w14:paraId="153EA133">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bookmarkStart w:id="546" w:name="_Toc30599"/>
      <w:bookmarkStart w:id="547" w:name="_Toc4355"/>
      <w:bookmarkStart w:id="548" w:name="_Toc18540"/>
      <w:r>
        <w:rPr>
          <w:rFonts w:hint="eastAsia" w:asciiTheme="minorEastAsia" w:hAnsiTheme="minorEastAsia" w:eastAsiaTheme="minorEastAsia" w:cstheme="minorEastAsia"/>
          <w:b/>
          <w:sz w:val="24"/>
          <w:szCs w:val="24"/>
        </w:rPr>
        <w:t>2.18 计量单位</w:t>
      </w:r>
      <w:bookmarkEnd w:id="546"/>
      <w:bookmarkEnd w:id="547"/>
      <w:bookmarkEnd w:id="548"/>
    </w:p>
    <w:p w14:paraId="5072DB43">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除技术规范中另有规定外,合同的计量单位均使用国家法定计量单位。</w:t>
      </w:r>
    </w:p>
    <w:p w14:paraId="2C7FB52E">
      <w:pPr>
        <w:adjustRightInd w:val="0"/>
        <w:spacing w:line="360" w:lineRule="auto"/>
        <w:ind w:firstLine="482"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2.19 网络安全</w:t>
      </w:r>
    </w:p>
    <w:p w14:paraId="56FFA54B">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p>
    <w:p w14:paraId="6C73369D">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2.19.2 乙方在承担开发或维护服务责任过程中，全面按照《中华人民共和国网络安全法》和《浙江省信息技术服务外包网络安全管理办法》等法规标准，承担技术服务外包过程中的网络安全责任。</w:t>
      </w:r>
    </w:p>
    <w:p w14:paraId="6A86AC28">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2.19.3 乙方需提供系统应急服务，在系统出现重大隐患或黑客入侵等严重安全事件时，及时启动应急响应服务，指定专业技术团队协助甲方开展事件处置、整改，使系统恢复正常。</w:t>
      </w:r>
    </w:p>
    <w:p w14:paraId="255B5D0E">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4A559846">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2.19.5 乙方要根据甲方要求提供服务，在甲方规定的场所开展实施工作，明确项目负责人、安全管理员，提供服务保障、培训、演练等服务。</w:t>
      </w:r>
    </w:p>
    <w:p w14:paraId="6F1BBAAD">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2.19.6 乙方需根据甲方要求签订保密协议。</w:t>
      </w:r>
    </w:p>
    <w:p w14:paraId="4B22CCE3">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2.19.7 数据所有人为甲方，乙方需根据甲方规定合理使用数据，对数据有保护义务。</w:t>
      </w:r>
    </w:p>
    <w:p w14:paraId="485DBF09">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2.19.8 乙方不得私自收集甲方数据，数据必须储存在甲方认可的机房或云平台，数据使用要符合甲方规范流程，根据等保或密评要求做好数据传输。</w:t>
      </w:r>
    </w:p>
    <w:p w14:paraId="69CDBB4D">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2.19.9 乙方要确保数据使用和处理不出境。</w:t>
      </w:r>
    </w:p>
    <w:p w14:paraId="13B81802">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2.19.10 乙方不得将信息系统核心、关键功能转包。</w:t>
      </w:r>
    </w:p>
    <w:p w14:paraId="11D05D8E">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2.19.11 服务合同终止后，乙方需继续履行数据安全及保密义务。</w:t>
      </w:r>
    </w:p>
    <w:p w14:paraId="21DF4049">
      <w:pPr>
        <w:adjustRightIn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2.20合同份数</w:t>
      </w:r>
    </w:p>
    <w:p w14:paraId="0F8A3CBB">
      <w:pPr>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合同份数按</w:t>
      </w:r>
      <w:r>
        <w:rPr>
          <w:rFonts w:hint="eastAsia" w:asciiTheme="minorEastAsia" w:hAnsiTheme="minorEastAsia" w:eastAsiaTheme="minorEastAsia" w:cstheme="minorEastAsia"/>
          <w:b/>
          <w:i/>
          <w:sz w:val="24"/>
          <w:szCs w:val="24"/>
          <w:u w:val="single"/>
        </w:rPr>
        <w:t xml:space="preserve">合同专用条款 </w:t>
      </w:r>
      <w:r>
        <w:rPr>
          <w:rFonts w:hint="eastAsia" w:asciiTheme="minorEastAsia" w:hAnsiTheme="minorEastAsia" w:eastAsiaTheme="minorEastAsia" w:cstheme="minorEastAsia"/>
          <w:sz w:val="24"/>
          <w:szCs w:val="24"/>
        </w:rPr>
        <w:t>规定，每份均具有同等法律效力。</w:t>
      </w:r>
    </w:p>
    <w:p w14:paraId="1EE10D06">
      <w:pPr>
        <w:adjustRightIn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2.21甲乙双方权利义务</w:t>
      </w:r>
    </w:p>
    <w:p w14:paraId="3CBCCFD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w:t>
      </w:r>
      <w:r>
        <w:rPr>
          <w:rFonts w:hint="eastAsia" w:asciiTheme="minorEastAsia" w:hAnsiTheme="minorEastAsia" w:eastAsiaTheme="minorEastAsia" w:cstheme="minorEastAsia"/>
          <w:b/>
          <w:i/>
          <w:sz w:val="24"/>
          <w:szCs w:val="24"/>
          <w:u w:val="single"/>
        </w:rPr>
        <w:t xml:space="preserve">合同专用条款 </w:t>
      </w:r>
      <w:r>
        <w:rPr>
          <w:rFonts w:hint="eastAsia" w:asciiTheme="minorEastAsia" w:hAnsiTheme="minorEastAsia" w:eastAsiaTheme="minorEastAsia" w:cstheme="minorEastAsia"/>
          <w:sz w:val="24"/>
          <w:szCs w:val="24"/>
        </w:rPr>
        <w:t>规定。</w:t>
      </w:r>
    </w:p>
    <w:p w14:paraId="020172F0">
      <w:pPr>
        <w:spacing w:line="360" w:lineRule="auto"/>
        <w:ind w:firstLine="482" w:firstLineChars="200"/>
        <w:rPr>
          <w:rFonts w:hint="eastAsia" w:ascii="宋体" w:hAnsi="宋体"/>
          <w:b/>
          <w:sz w:val="24"/>
        </w:rPr>
      </w:pPr>
      <w:r>
        <w:rPr>
          <w:rFonts w:ascii="宋体" w:hAnsi="宋体"/>
          <w:b/>
          <w:sz w:val="24"/>
        </w:rPr>
        <w:t>2.2</w:t>
      </w:r>
      <w:r>
        <w:rPr>
          <w:rFonts w:hint="eastAsia" w:ascii="宋体" w:hAnsi="宋体"/>
          <w:b/>
          <w:sz w:val="24"/>
        </w:rPr>
        <w:t>2质保及售后条款</w:t>
      </w:r>
    </w:p>
    <w:p w14:paraId="3ECB0C31">
      <w:pPr>
        <w:spacing w:line="360" w:lineRule="auto"/>
        <w:ind w:firstLine="480" w:firstLineChars="200"/>
        <w:rPr>
          <w:rFonts w:hint="eastAsia" w:ascii="宋体" w:hAnsi="宋体"/>
          <w:sz w:val="24"/>
        </w:rPr>
      </w:pPr>
      <w:r>
        <w:rPr>
          <w:rFonts w:hint="eastAsia" w:ascii="宋体" w:hAnsi="宋体"/>
          <w:sz w:val="24"/>
        </w:rPr>
        <w:t>详见</w:t>
      </w:r>
      <w:r>
        <w:rPr>
          <w:rFonts w:hint="eastAsia" w:ascii="宋体" w:hAnsi="宋体"/>
          <w:b/>
          <w:bCs/>
          <w:i/>
          <w:iCs/>
          <w:sz w:val="24"/>
          <w:u w:val="single"/>
        </w:rPr>
        <w:t>合同专用条款</w:t>
      </w:r>
      <w:r>
        <w:rPr>
          <w:rFonts w:hint="eastAsia" w:ascii="宋体" w:hAnsi="宋体"/>
          <w:sz w:val="24"/>
        </w:rPr>
        <w:t>。</w:t>
      </w:r>
    </w:p>
    <w:p w14:paraId="6F73E15D">
      <w:pPr>
        <w:adjustRightInd w:val="0"/>
        <w:spacing w:line="360" w:lineRule="auto"/>
        <w:ind w:firstLine="482" w:firstLineChars="200"/>
        <w:rPr>
          <w:rFonts w:hint="eastAsia" w:asciiTheme="minorEastAsia" w:hAnsiTheme="minorEastAsia" w:eastAsiaTheme="minorEastAsia" w:cstheme="minorEastAsia"/>
          <w:b/>
          <w:sz w:val="24"/>
          <w:szCs w:val="24"/>
        </w:rPr>
      </w:pPr>
    </w:p>
    <w:p w14:paraId="43427FB7">
      <w:pPr>
        <w:adjustRightInd w:val="0"/>
        <w:spacing w:line="360" w:lineRule="auto"/>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rPr>
        <w:br w:type="page"/>
      </w:r>
      <w:bookmarkStart w:id="549" w:name="_Toc331685784"/>
      <w:r>
        <w:rPr>
          <w:rFonts w:hint="eastAsia" w:asciiTheme="minorEastAsia" w:hAnsiTheme="minorEastAsia" w:eastAsiaTheme="minorEastAsia" w:cstheme="minorEastAsia"/>
          <w:b/>
          <w:sz w:val="24"/>
          <w:szCs w:val="24"/>
        </w:rPr>
        <w:t xml:space="preserve"> </w:t>
      </w:r>
      <w:bookmarkEnd w:id="549"/>
      <w:r>
        <w:rPr>
          <w:rFonts w:hint="eastAsia" w:asciiTheme="minorEastAsia" w:hAnsiTheme="minorEastAsia" w:eastAsiaTheme="minorEastAsia" w:cstheme="minorEastAsia"/>
          <w:b/>
          <w:sz w:val="24"/>
          <w:szCs w:val="24"/>
        </w:rPr>
        <w:t>第三部分  合同专用条款</w:t>
      </w:r>
    </w:p>
    <w:p w14:paraId="30484C5F">
      <w:pPr>
        <w:adjustRightInd w:val="0"/>
        <w:spacing w:line="360" w:lineRule="auto"/>
        <w:ind w:left="-420" w:leftChars="-200" w:right="-420" w:rightChars="-20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6F4D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2AFEE21">
            <w:pPr>
              <w:adjustRightInd w:val="0"/>
              <w:spacing w:line="351"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条款号</w:t>
            </w:r>
          </w:p>
        </w:tc>
        <w:tc>
          <w:tcPr>
            <w:tcW w:w="4464" w:type="pct"/>
            <w:vAlign w:val="center"/>
          </w:tcPr>
          <w:p w14:paraId="27CA8B29">
            <w:pPr>
              <w:adjustRightInd w:val="0"/>
              <w:spacing w:line="351"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约定内容</w:t>
            </w:r>
          </w:p>
        </w:tc>
      </w:tr>
      <w:tr w14:paraId="113E5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49C96ED">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w:t>
            </w:r>
          </w:p>
        </w:tc>
        <w:tc>
          <w:tcPr>
            <w:tcW w:w="4464" w:type="pct"/>
            <w:vAlign w:val="center"/>
          </w:tcPr>
          <w:p w14:paraId="6B848061">
            <w:pPr>
              <w:autoSpaceDE w:val="0"/>
              <w:adjustRightInd w:val="0"/>
              <w:spacing w:line="35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14:paraId="78C26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59C99F6">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w:t>
            </w:r>
          </w:p>
        </w:tc>
        <w:tc>
          <w:tcPr>
            <w:tcW w:w="4464" w:type="pct"/>
            <w:vAlign w:val="center"/>
          </w:tcPr>
          <w:p w14:paraId="407E43B3">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本次项目不缴纳履约保证金。</w:t>
            </w:r>
          </w:p>
        </w:tc>
      </w:tr>
      <w:tr w14:paraId="5FDC4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trPr>
        <w:tc>
          <w:tcPr>
            <w:tcW w:w="535" w:type="pct"/>
            <w:tcBorders>
              <w:left w:val="single" w:color="auto" w:sz="4" w:space="0"/>
            </w:tcBorders>
            <w:vAlign w:val="center"/>
          </w:tcPr>
          <w:p w14:paraId="65725993">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1.5.1 </w:t>
            </w:r>
          </w:p>
        </w:tc>
        <w:tc>
          <w:tcPr>
            <w:tcW w:w="4464" w:type="pct"/>
            <w:vAlign w:val="center"/>
          </w:tcPr>
          <w:p w14:paraId="61AFE5C7">
            <w:pPr>
              <w:adjustRightInd w:val="0"/>
              <w:spacing w:line="351" w:lineRule="auto"/>
              <w:rPr>
                <w:rFonts w:hint="eastAsia" w:asciiTheme="minorEastAsia" w:hAnsiTheme="minorEastAsia" w:eastAsiaTheme="minorEastAsia" w:cstheme="minorEastAsia"/>
                <w:sz w:val="24"/>
                <w:szCs w:val="24"/>
              </w:rPr>
            </w:pPr>
            <w:r>
              <w:rPr>
                <w:rFonts w:hint="eastAsia" w:ascii="宋体" w:hAnsi="宋体" w:cs="宋体"/>
                <w:color w:val="auto"/>
                <w:sz w:val="24"/>
                <w:highlight w:val="none"/>
              </w:rPr>
              <w:t>合同签订且具备实施条件后7个工作日内，</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支付合同金额的50%</w:t>
            </w:r>
            <w:r>
              <w:rPr>
                <w:rFonts w:hint="eastAsia" w:ascii="宋体" w:hAnsi="宋体" w:cs="宋体"/>
                <w:sz w:val="24"/>
              </w:rPr>
              <w:t>；</w:t>
            </w:r>
          </w:p>
        </w:tc>
      </w:tr>
      <w:tr w14:paraId="128F2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A9FC800">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w:t>
            </w:r>
          </w:p>
        </w:tc>
        <w:tc>
          <w:tcPr>
            <w:tcW w:w="4464" w:type="pct"/>
            <w:vAlign w:val="center"/>
          </w:tcPr>
          <w:p w14:paraId="77E6DB63">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14:paraId="0A08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16FCB3F">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 </w:t>
            </w:r>
          </w:p>
        </w:tc>
        <w:tc>
          <w:tcPr>
            <w:tcW w:w="4464" w:type="pct"/>
            <w:vAlign w:val="center"/>
          </w:tcPr>
          <w:p w14:paraId="7BE15CC1">
            <w:pPr>
              <w:adjustRightInd w:val="0"/>
              <w:snapToGri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无。</w:t>
            </w:r>
          </w:p>
        </w:tc>
      </w:tr>
      <w:tr w14:paraId="0C843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0ACA3D2">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w:t>
            </w:r>
          </w:p>
        </w:tc>
        <w:tc>
          <w:tcPr>
            <w:tcW w:w="4464" w:type="pct"/>
            <w:vAlign w:val="center"/>
          </w:tcPr>
          <w:p w14:paraId="3CC09CC7">
            <w:pPr>
              <w:autoSpaceDE w:val="0"/>
              <w:adjustRightInd w:val="0"/>
              <w:spacing w:line="351" w:lineRule="auto"/>
              <w:jc w:val="left"/>
              <w:rPr>
                <w:rFonts w:hint="eastAsia" w:asciiTheme="minorEastAsia" w:hAnsiTheme="minorEastAsia" w:eastAsiaTheme="minorEastAsia" w:cstheme="minorEastAsia"/>
                <w:sz w:val="24"/>
                <w:szCs w:val="24"/>
              </w:rPr>
            </w:pPr>
            <w:r>
              <w:rPr>
                <w:rFonts w:hint="eastAsia" w:ascii="宋体" w:hAnsi="宋体" w:cs="宋体"/>
                <w:sz w:val="24"/>
              </w:rPr>
              <w:t>项目验收合格后支付到合同总价款的100%。</w:t>
            </w:r>
          </w:p>
        </w:tc>
      </w:tr>
      <w:tr w14:paraId="7321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F6DD5F1">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w:t>
            </w:r>
          </w:p>
        </w:tc>
        <w:tc>
          <w:tcPr>
            <w:tcW w:w="4464" w:type="pct"/>
            <w:vAlign w:val="center"/>
          </w:tcPr>
          <w:p w14:paraId="06A26155">
            <w:pPr>
              <w:adjustRightInd w:val="0"/>
              <w:spacing w:line="351" w:lineRule="auto"/>
              <w:rPr>
                <w:rFonts w:hint="eastAsia" w:asciiTheme="minorEastAsia" w:hAnsiTheme="minorEastAsia" w:cstheme="minorEastAsia"/>
                <w:sz w:val="24"/>
                <w:szCs w:val="24"/>
              </w:rPr>
            </w:pPr>
            <w:r>
              <w:rPr>
                <w:rFonts w:hint="eastAsia" w:asciiTheme="minorEastAsia" w:hAnsiTheme="minorEastAsia" w:eastAsiaTheme="minorEastAsia" w:cstheme="minorEastAsia"/>
                <w:sz w:val="24"/>
                <w:szCs w:val="24"/>
              </w:rPr>
              <w:t>服务期限：合同签订后60个日历日内开发完成，配合采购人上线。</w:t>
            </w:r>
          </w:p>
        </w:tc>
      </w:tr>
      <w:tr w14:paraId="73782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8C9A88A">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w:t>
            </w:r>
          </w:p>
        </w:tc>
        <w:tc>
          <w:tcPr>
            <w:tcW w:w="4464" w:type="pct"/>
            <w:vAlign w:val="center"/>
          </w:tcPr>
          <w:p w14:paraId="00A11421">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服务地点：杭州市美术职业学校指定地点</w:t>
            </w:r>
          </w:p>
        </w:tc>
      </w:tr>
      <w:tr w14:paraId="7D837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B581A1D">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w:t>
            </w:r>
          </w:p>
        </w:tc>
        <w:tc>
          <w:tcPr>
            <w:tcW w:w="4464" w:type="pct"/>
            <w:vAlign w:val="center"/>
          </w:tcPr>
          <w:p w14:paraId="3B9EF56E">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服务方式：根据采购文件规定内容、投标文件响应的内容提供服务</w:t>
            </w:r>
          </w:p>
        </w:tc>
      </w:tr>
      <w:tr w14:paraId="640CE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61BE1FB">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1.7.4.1</w:t>
            </w:r>
          </w:p>
        </w:tc>
        <w:tc>
          <w:tcPr>
            <w:tcW w:w="4464" w:type="pct"/>
            <w:vAlign w:val="center"/>
          </w:tcPr>
          <w:p w14:paraId="09465082">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  年   月   日前完成</w:t>
            </w:r>
          </w:p>
        </w:tc>
      </w:tr>
      <w:tr w14:paraId="6BFA3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588C241">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1.7.4.2</w:t>
            </w:r>
          </w:p>
        </w:tc>
        <w:tc>
          <w:tcPr>
            <w:tcW w:w="4464" w:type="pct"/>
            <w:vAlign w:val="center"/>
          </w:tcPr>
          <w:p w14:paraId="7CF18D62">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服务地点：杭州市美术职业学校指定地点</w:t>
            </w:r>
          </w:p>
        </w:tc>
      </w:tr>
      <w:tr w14:paraId="71B7A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6CC76BB">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1.7.4.3</w:t>
            </w:r>
          </w:p>
        </w:tc>
        <w:tc>
          <w:tcPr>
            <w:tcW w:w="4464" w:type="pct"/>
            <w:vAlign w:val="center"/>
          </w:tcPr>
          <w:p w14:paraId="2DD95E47">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服务方式：根据采购文件规定内容、投标文件响应的内容提供服务</w:t>
            </w:r>
          </w:p>
        </w:tc>
      </w:tr>
      <w:tr w14:paraId="30824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B34F5D3">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w:t>
            </w:r>
          </w:p>
        </w:tc>
        <w:tc>
          <w:tcPr>
            <w:tcW w:w="4464" w:type="pct"/>
            <w:vAlign w:val="center"/>
          </w:tcPr>
          <w:p w14:paraId="6C97DA67">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违约责任：</w:t>
            </w:r>
          </w:p>
          <w:p w14:paraId="284218C4">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1、甲方无正当理由拒绝接受服务的，甲方向乙方支付合同款项百分之五作为违约金。</w:t>
            </w:r>
          </w:p>
          <w:p w14:paraId="5BB41CD9">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2、甲方无故逾期验收和办理款项支付手续的，甲方应按逾期付款总额向乙方支付每日万分之五违约金，违约金总额不超过逾期付款额的1%。</w:t>
            </w:r>
          </w:p>
          <w:p w14:paraId="66910EE7">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逾期提供服务的，乙方应按逾期天数向甲方支付每日万分之五违约金。逾期超过约定日期10个工作日不能交付的，甲方可解除本合同。乙方因逾期交付或因其他违约行为导致甲方解除合同的，乙方应向甲方支付合同款项百分之五的违约金，如造成甲方损失超过违约金的，超出部分由乙方继续承担赔偿责任。</w:t>
            </w:r>
          </w:p>
          <w:p w14:paraId="5B374DAA">
            <w:pPr>
              <w:adjustRightInd w:val="0"/>
              <w:snapToGrid w:val="0"/>
              <w:spacing w:line="351"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4、甲方收到发票后按规定向财政部门申请支付，否则甲方有权暂缓付款且不承担逾期付款的违约责任。以上付款时间是指在乙方提供发票后，甲方完成向财政部门申报支付手续的时间，财政部门审查及实际支付可能造成的时间延误不视为甲方违约。</w:t>
            </w:r>
          </w:p>
          <w:p w14:paraId="6AE86BAB">
            <w:pPr>
              <w:adjustRightInd w:val="0"/>
              <w:snapToGri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保证乙方交付的成果及提供的服务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负责应诉，并承担所有费用，包括但不限于：诉讼费、律师费、鉴定费、罚金、赔偿金等，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14:paraId="2F9A72B6">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6、违约方应当支付守约方为了维护自身合法权益而支出的费用，包括但不限于律师费、鉴定费、差旅费等。</w:t>
            </w:r>
          </w:p>
        </w:tc>
      </w:tr>
      <w:tr w14:paraId="1AC11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DD1B2B4">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w:t>
            </w:r>
          </w:p>
        </w:tc>
        <w:tc>
          <w:tcPr>
            <w:tcW w:w="4464" w:type="pct"/>
            <w:vAlign w:val="center"/>
          </w:tcPr>
          <w:p w14:paraId="6227F1FF">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将争议提交甲方所在地仲裁委员会依申请仲裁时其现行有效的仲裁规则裁决；</w:t>
            </w:r>
          </w:p>
        </w:tc>
      </w:tr>
      <w:tr w14:paraId="3EF5C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775EDCC">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w:t>
            </w:r>
          </w:p>
        </w:tc>
        <w:tc>
          <w:tcPr>
            <w:tcW w:w="4464" w:type="pct"/>
            <w:vAlign w:val="center"/>
          </w:tcPr>
          <w:p w14:paraId="4337C170">
            <w:pPr>
              <w:tabs>
                <w:tab w:val="left" w:pos="360"/>
                <w:tab w:val="left" w:pos="540"/>
                <w:tab w:val="left" w:pos="1080"/>
              </w:tabs>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向甲方单位所在地的有管辖权人民法院起诉</w:t>
            </w:r>
          </w:p>
        </w:tc>
      </w:tr>
      <w:tr w14:paraId="35CC8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FF38145">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w:t>
            </w:r>
          </w:p>
        </w:tc>
        <w:tc>
          <w:tcPr>
            <w:tcW w:w="4464" w:type="pct"/>
            <w:vAlign w:val="center"/>
          </w:tcPr>
          <w:p w14:paraId="45B4B624">
            <w:pPr>
              <w:adjustRightInd w:val="0"/>
              <w:snapToGrid w:val="0"/>
              <w:spacing w:line="35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所有开发项目的知识产权归属于甲方，开发完成后供应商须向甲方提供所有开发项目的源代码，乙方所提供系统中涉及到的所有第三方软件或技术的费用、版权与专利技术责任均由乙方承担，由此引起的版权纠纷由乙方负责。</w:t>
            </w:r>
          </w:p>
        </w:tc>
      </w:tr>
      <w:tr w14:paraId="400D0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26BA198">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4464" w:type="pct"/>
            <w:vAlign w:val="center"/>
          </w:tcPr>
          <w:p w14:paraId="5B76DFA2">
            <w:pPr>
              <w:adjustRightInd w:val="0"/>
              <w:snapToGrid w:val="0"/>
              <w:spacing w:line="351" w:lineRule="auto"/>
              <w:rPr>
                <w:rFonts w:hint="eastAsia" w:asciiTheme="minorEastAsia" w:hAnsiTheme="minorEastAsia" w:eastAsiaTheme="minorEastAsia" w:cstheme="minorEastAsia"/>
                <w:snapToGrid w:val="0"/>
                <w:sz w:val="24"/>
                <w:szCs w:val="24"/>
                <w:lang w:bidi="ar"/>
              </w:rPr>
            </w:pPr>
            <w:r>
              <w:rPr>
                <w:rFonts w:hint="eastAsia" w:asciiTheme="minorEastAsia" w:hAnsiTheme="minorEastAsia" w:eastAsiaTheme="minorEastAsia" w:cstheme="minorEastAsia"/>
                <w:sz w:val="24"/>
                <w:szCs w:val="24"/>
              </w:rPr>
              <w:t>总价包干，分期支付</w:t>
            </w:r>
          </w:p>
        </w:tc>
      </w:tr>
      <w:tr w14:paraId="170C3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27B9E2A">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2.11.3</w:t>
            </w:r>
          </w:p>
        </w:tc>
        <w:tc>
          <w:tcPr>
            <w:tcW w:w="4464" w:type="pct"/>
            <w:vAlign w:val="center"/>
          </w:tcPr>
          <w:p w14:paraId="7B01F68E">
            <w:pPr>
              <w:autoSpaceDE w:val="0"/>
              <w:adjustRightInd w:val="0"/>
              <w:spacing w:line="351"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因不可抗力致使合同有变更必要的，双方当事人应在10个工作日内以书面形式变更合同；</w:t>
            </w:r>
          </w:p>
        </w:tc>
      </w:tr>
      <w:tr w14:paraId="3C566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tcPr>
          <w:p w14:paraId="0F16F36B">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2.11.4 </w:t>
            </w:r>
          </w:p>
        </w:tc>
        <w:tc>
          <w:tcPr>
            <w:tcW w:w="4464" w:type="pct"/>
            <w:vAlign w:val="center"/>
          </w:tcPr>
          <w:p w14:paraId="63F97C7B">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受不可抗力影响的一方在不可抗力发生后，应在</w:t>
            </w:r>
            <w:r>
              <w:rPr>
                <w:rFonts w:hint="eastAsia" w:asciiTheme="minorEastAsia" w:hAnsiTheme="minorEastAsia" w:eastAsiaTheme="minorEastAsia" w:cstheme="minorEastAsia"/>
                <w:sz w:val="24"/>
                <w:szCs w:val="24"/>
                <w:u w:val="single"/>
              </w:rPr>
              <w:t>不可抗力发生的当日</w:t>
            </w:r>
            <w:r>
              <w:rPr>
                <w:rFonts w:hint="eastAsia" w:asciiTheme="minorEastAsia" w:hAnsiTheme="minorEastAsia" w:eastAsiaTheme="minorEastAsia" w:cstheme="minorEastAsia"/>
                <w:sz w:val="24"/>
                <w:szCs w:val="24"/>
              </w:rPr>
              <w:t>以书面形式通知对方当事人，并在</w:t>
            </w:r>
            <w:r>
              <w:rPr>
                <w:rFonts w:hint="eastAsia" w:asciiTheme="minorEastAsia" w:hAnsiTheme="minorEastAsia" w:eastAsiaTheme="minorEastAsia" w:cstheme="minorEastAsia"/>
                <w:sz w:val="24"/>
                <w:szCs w:val="24"/>
                <w:u w:val="single"/>
              </w:rPr>
              <w:t>7个工作日</w:t>
            </w:r>
            <w:r>
              <w:rPr>
                <w:rFonts w:hint="eastAsia" w:asciiTheme="minorEastAsia" w:hAnsiTheme="minorEastAsia" w:eastAsiaTheme="minorEastAsia" w:cstheme="minorEastAsia"/>
                <w:sz w:val="24"/>
                <w:szCs w:val="24"/>
              </w:rPr>
              <w:t>内，将有关部门出具的证明文件送达对方当事人。</w:t>
            </w:r>
          </w:p>
        </w:tc>
      </w:tr>
      <w:tr w14:paraId="1B35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9311997">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2.15.1</w:t>
            </w:r>
          </w:p>
        </w:tc>
        <w:tc>
          <w:tcPr>
            <w:tcW w:w="4464" w:type="pct"/>
            <w:vAlign w:val="center"/>
          </w:tcPr>
          <w:p w14:paraId="273CE7CB">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乙方需在服务期限内定期提交服务报告，并接受甲方审核；</w:t>
            </w:r>
          </w:p>
          <w:p w14:paraId="2933DA78">
            <w:pPr>
              <w:adjustRightInd w:val="0"/>
              <w:spacing w:line="351" w:lineRule="auto"/>
              <w:rPr>
                <w:rFonts w:hint="eastAsia" w:asciiTheme="minorEastAsia" w:hAnsiTheme="minorEastAsia" w:eastAsiaTheme="minorEastAsia" w:cstheme="minorEastAsia"/>
                <w:sz w:val="24"/>
                <w:szCs w:val="24"/>
              </w:rPr>
            </w:pPr>
            <w:r>
              <w:rPr>
                <w:rFonts w:hint="eastAsia" w:ascii="宋体" w:hAnsi="宋体" w:cs="宋体"/>
                <w:sz w:val="24"/>
              </w:rPr>
              <w:t>乙方提交验收申请后甲方组织验收</w:t>
            </w:r>
            <w:r>
              <w:rPr>
                <w:rFonts w:hint="eastAsia" w:asciiTheme="minorEastAsia" w:hAnsiTheme="minorEastAsia" w:eastAsiaTheme="minorEastAsia" w:cstheme="minorEastAsia"/>
                <w:sz w:val="24"/>
                <w:szCs w:val="24"/>
              </w:rPr>
              <w:t>。</w:t>
            </w:r>
          </w:p>
        </w:tc>
      </w:tr>
      <w:tr w14:paraId="35A4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17F5ED4">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2.15.3</w:t>
            </w:r>
          </w:p>
        </w:tc>
        <w:tc>
          <w:tcPr>
            <w:tcW w:w="4464" w:type="pct"/>
            <w:vAlign w:val="center"/>
          </w:tcPr>
          <w:p w14:paraId="1B057BD2">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检验和验收标准、程序等具体内容以及前述验收书的效力：</w:t>
            </w:r>
          </w:p>
          <w:p w14:paraId="12124AE7">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验收标准：软件系统完成采购文件和合同规定的全部功能，质量符合要求；交付资料符合采购文件和合同的有关规定；软件系统验收测试时，检测错误数不得超过事项约定的限定值，且可执行代码（源码）完成测试移交。</w:t>
            </w:r>
          </w:p>
          <w:p w14:paraId="062818E0">
            <w:pPr>
              <w:adjustRightInd w:val="0"/>
              <w:spacing w:line="35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2、验收不合格的，乙方应在规定时间内整改完成并再次提交验收申请。</w:t>
            </w:r>
          </w:p>
        </w:tc>
      </w:tr>
      <w:tr w14:paraId="41A71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1F2D81D">
            <w:pPr>
              <w:adjustRightInd w:val="0"/>
              <w:spacing w:line="35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w:t>
            </w:r>
          </w:p>
        </w:tc>
        <w:tc>
          <w:tcPr>
            <w:tcW w:w="4464" w:type="pct"/>
            <w:vAlign w:val="center"/>
          </w:tcPr>
          <w:p w14:paraId="6048A373">
            <w:pPr>
              <w:adjustRightInd w:val="0"/>
              <w:snapToGrid w:val="0"/>
              <w:spacing w:line="351" w:lineRule="auto"/>
              <w:rPr>
                <w:rFonts w:hint="eastAsia" w:asciiTheme="minorEastAsia" w:hAnsiTheme="minorEastAsia" w:eastAsiaTheme="minorEastAsia" w:cstheme="minorEastAsia"/>
                <w:sz w:val="24"/>
                <w:szCs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w:t>
            </w:r>
          </w:p>
        </w:tc>
      </w:tr>
      <w:tr w14:paraId="39767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97121DE">
            <w:pPr>
              <w:adjustRightInd w:val="0"/>
              <w:spacing w:line="35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w:t>
            </w:r>
          </w:p>
        </w:tc>
        <w:tc>
          <w:tcPr>
            <w:tcW w:w="4464" w:type="pct"/>
            <w:vAlign w:val="center"/>
          </w:tcPr>
          <w:p w14:paraId="19D4F025">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2.21甲乙双方权责</w:t>
            </w:r>
          </w:p>
          <w:p w14:paraId="2A9D0939">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2.21.1甲方权责</w:t>
            </w:r>
          </w:p>
          <w:p w14:paraId="0B015D5A">
            <w:pPr>
              <w:pStyle w:val="33"/>
              <w:adjustRightInd w:val="0"/>
              <w:spacing w:after="0"/>
              <w:ind w:left="218" w:leftChars="104" w:firstLine="417" w:firstLineChars="174"/>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1)为乙方工作提供良好的外部条件，并按照合同约定支付款项；</w:t>
            </w:r>
          </w:p>
          <w:p w14:paraId="223D76A4">
            <w:pPr>
              <w:pStyle w:val="33"/>
              <w:adjustRightInd w:val="0"/>
              <w:spacing w:after="0"/>
              <w:ind w:left="218" w:leftChars="104" w:firstLine="417" w:firstLineChars="174"/>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2)甲方按双方约定的内容和时间，向乙方提供与项目有关的可以提供的资料；</w:t>
            </w:r>
          </w:p>
          <w:p w14:paraId="7027C2E6">
            <w:pPr>
              <w:pStyle w:val="33"/>
              <w:adjustRightInd w:val="0"/>
              <w:spacing w:after="0"/>
              <w:ind w:left="218" w:leftChars="104" w:firstLine="417" w:firstLineChars="174"/>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3)甲方授权一名熟悉本项目情况的代表，负责与乙方联系，更换代表前将提前通知乙方；</w:t>
            </w:r>
          </w:p>
          <w:p w14:paraId="764B7EB5">
            <w:pPr>
              <w:pStyle w:val="33"/>
              <w:adjustRightInd w:val="0"/>
              <w:spacing w:after="0"/>
              <w:ind w:left="218" w:leftChars="104" w:firstLine="417" w:firstLineChars="174"/>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4)甲方对乙方提供的项目工作方案具有审定权、修改权，并有权要求乙方按甲方的要求修改方案,乙方不得以此为由要求增加任何费用。</w:t>
            </w:r>
          </w:p>
          <w:p w14:paraId="7152E66A">
            <w:pPr>
              <w:pStyle w:val="33"/>
              <w:adjustRightInd w:val="0"/>
              <w:spacing w:after="0"/>
              <w:ind w:left="218" w:leftChars="104" w:firstLine="417" w:firstLineChars="174"/>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5)根据实际情况，甲方有权要求乙方对已经确认的方案进行修改、变通，乙方应当配合执行，以保证项目顺利进行。</w:t>
            </w:r>
          </w:p>
          <w:p w14:paraId="38B692CB">
            <w:pPr>
              <w:adjustRightInd w:val="0"/>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2.21.2乙方权责</w:t>
            </w:r>
          </w:p>
          <w:p w14:paraId="5BD2EBCF">
            <w:pPr>
              <w:pStyle w:val="33"/>
              <w:adjustRightInd w:val="0"/>
              <w:spacing w:after="0"/>
              <w:ind w:left="218" w:leftChars="104" w:firstLine="417" w:firstLineChars="174"/>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1)根据投标文件的承诺，乙方向甲方委派项目组人员，人员应当固定。乙方更换人员必须经甲方书面同意，否则甲方有权解除本合同；</w:t>
            </w:r>
          </w:p>
          <w:p w14:paraId="061A31EF">
            <w:pPr>
              <w:pStyle w:val="33"/>
              <w:adjustRightInd w:val="0"/>
              <w:spacing w:after="0"/>
              <w:ind w:left="218" w:leftChars="104" w:firstLine="417" w:firstLineChars="174"/>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2)乙方针对该项目出具的工作方案，均须事先经甲方书面确认后方可实施。乙方应当负责本项目的所有外部关系联系与协调；</w:t>
            </w:r>
          </w:p>
          <w:p w14:paraId="54C956FE">
            <w:pPr>
              <w:pStyle w:val="33"/>
              <w:adjustRightInd w:val="0"/>
              <w:spacing w:after="0"/>
              <w:ind w:left="218" w:leftChars="104" w:firstLine="417" w:firstLineChars="174"/>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3)乙方应指派一名授权项目代表，负责与甲方的联络。代表更换应至少提前两天通知甲方。</w:t>
            </w:r>
            <w:r>
              <w:rPr>
                <w:rFonts w:hint="eastAsia" w:asciiTheme="minorEastAsia" w:hAnsiTheme="minorEastAsia" w:eastAsiaTheme="minorEastAsia" w:cstheme="minorEastAsia"/>
                <w:b/>
                <w:bCs/>
                <w:kern w:val="0"/>
                <w:szCs w:val="24"/>
              </w:rPr>
              <w:t>项目负责人：</w:t>
            </w:r>
            <w:r>
              <w:rPr>
                <w:rFonts w:hint="eastAsia" w:asciiTheme="minorEastAsia" w:hAnsiTheme="minorEastAsia" w:eastAsiaTheme="minorEastAsia" w:cstheme="minorEastAsia"/>
                <w:b/>
                <w:bCs/>
                <w:kern w:val="0"/>
                <w:szCs w:val="24"/>
                <w:u w:val="single"/>
              </w:rPr>
              <w:t xml:space="preserve">       </w:t>
            </w:r>
            <w:r>
              <w:rPr>
                <w:rFonts w:hint="eastAsia" w:asciiTheme="minorEastAsia" w:hAnsiTheme="minorEastAsia" w:eastAsiaTheme="minorEastAsia" w:cstheme="minorEastAsia"/>
                <w:b/>
                <w:bCs/>
                <w:kern w:val="0"/>
                <w:szCs w:val="24"/>
              </w:rPr>
              <w:t>；联系电话：</w:t>
            </w:r>
            <w:r>
              <w:rPr>
                <w:rFonts w:hint="eastAsia" w:asciiTheme="minorEastAsia" w:hAnsiTheme="minorEastAsia" w:eastAsiaTheme="minorEastAsia" w:cstheme="minorEastAsia"/>
                <w:b/>
                <w:bCs/>
                <w:kern w:val="0"/>
                <w:szCs w:val="24"/>
                <w:u w:val="single"/>
              </w:rPr>
              <w:t xml:space="preserve">       </w:t>
            </w:r>
            <w:r>
              <w:rPr>
                <w:rFonts w:hint="eastAsia" w:asciiTheme="minorEastAsia" w:hAnsiTheme="minorEastAsia" w:eastAsiaTheme="minorEastAsia" w:cstheme="minorEastAsia"/>
                <w:b/>
                <w:bCs/>
                <w:kern w:val="0"/>
                <w:szCs w:val="24"/>
              </w:rPr>
              <w:t>；邮箱：</w:t>
            </w:r>
            <w:r>
              <w:rPr>
                <w:rFonts w:hint="eastAsia" w:asciiTheme="minorEastAsia" w:hAnsiTheme="minorEastAsia" w:eastAsiaTheme="minorEastAsia" w:cstheme="minorEastAsia"/>
                <w:b/>
                <w:bCs/>
                <w:kern w:val="0"/>
                <w:szCs w:val="24"/>
                <w:u w:val="single"/>
              </w:rPr>
              <w:t xml:space="preserve">       </w:t>
            </w:r>
            <w:r>
              <w:rPr>
                <w:rFonts w:hint="eastAsia" w:asciiTheme="minorEastAsia" w:hAnsiTheme="minorEastAsia" w:eastAsiaTheme="minorEastAsia" w:cstheme="minorEastAsia"/>
                <w:b/>
                <w:bCs/>
                <w:kern w:val="0"/>
                <w:szCs w:val="24"/>
              </w:rPr>
              <w:t>。</w:t>
            </w:r>
          </w:p>
          <w:p w14:paraId="167FCA15">
            <w:pPr>
              <w:pStyle w:val="33"/>
              <w:adjustRightInd w:val="0"/>
              <w:spacing w:after="0"/>
              <w:ind w:left="218" w:leftChars="104" w:firstLine="417" w:firstLineChars="174"/>
              <w:jc w:val="left"/>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4)乙方承诺按照招标文件要求和投标文件承诺提供各项服务；</w:t>
            </w:r>
          </w:p>
          <w:p w14:paraId="009A6317">
            <w:pPr>
              <w:pStyle w:val="33"/>
              <w:adjustRightInd w:val="0"/>
              <w:spacing w:after="0"/>
              <w:ind w:left="218" w:leftChars="104" w:firstLine="417" w:firstLineChars="174"/>
              <w:jc w:val="left"/>
              <w:rPr>
                <w:rFonts w:hint="eastAsia" w:asciiTheme="minorEastAsia" w:hAnsiTheme="minorEastAsia" w:eastAsiaTheme="minorEastAsia" w:cstheme="minorEastAsia"/>
                <w:b/>
                <w:bCs/>
                <w:snapToGrid w:val="0"/>
                <w:szCs w:val="24"/>
              </w:rPr>
            </w:pPr>
            <w:r>
              <w:rPr>
                <w:rFonts w:hint="eastAsia" w:asciiTheme="minorEastAsia" w:hAnsiTheme="minorEastAsia" w:eastAsiaTheme="minorEastAsia" w:cstheme="minorEastAsia"/>
                <w:kern w:val="0"/>
                <w:szCs w:val="24"/>
              </w:rPr>
              <w:t>5)乙方必须在规定期间内完成招标文件要求和投标文件承诺的服务内容，并通过甲方的验收，否则甲方有权终止合同，并索回全部支付的货款，赔偿延误的损失。</w:t>
            </w:r>
          </w:p>
        </w:tc>
      </w:tr>
      <w:tr w14:paraId="2F71A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D0F93E2">
            <w:pPr>
              <w:spacing w:line="300" w:lineRule="auto"/>
              <w:ind w:left="-420" w:leftChars="-200" w:right="-420" w:rightChars="-200" w:firstLine="480" w:firstLineChars="200"/>
              <w:outlineLvl w:val="0"/>
              <w:rPr>
                <w:rFonts w:hint="eastAsia" w:asciiTheme="minorEastAsia" w:hAnsiTheme="minorEastAsia" w:eastAsiaTheme="minorEastAsia" w:cstheme="minorEastAsia"/>
                <w:sz w:val="24"/>
                <w:szCs w:val="24"/>
              </w:rPr>
            </w:pPr>
            <w:r>
              <w:rPr>
                <w:rFonts w:hint="eastAsia" w:ascii="宋体" w:hAnsi="宋体" w:cs="宋体"/>
                <w:sz w:val="24"/>
              </w:rPr>
              <w:t>2.22</w:t>
            </w:r>
          </w:p>
        </w:tc>
        <w:tc>
          <w:tcPr>
            <w:tcW w:w="4464" w:type="pct"/>
            <w:vAlign w:val="center"/>
          </w:tcPr>
          <w:p w14:paraId="3609D24F">
            <w:pPr>
              <w:spacing w:line="300" w:lineRule="auto"/>
              <w:rPr>
                <w:sz w:val="24"/>
              </w:rPr>
            </w:pPr>
            <w:r>
              <w:rPr>
                <w:rFonts w:hint="eastAsia"/>
                <w:sz w:val="24"/>
              </w:rPr>
              <w:t>质保期：</w:t>
            </w:r>
            <w:r>
              <w:rPr>
                <w:sz w:val="24"/>
              </w:rPr>
              <w:t>质保期为验收合格之日起</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rPr>
              <w:t>年。</w:t>
            </w:r>
          </w:p>
          <w:p w14:paraId="2664005C">
            <w:pPr>
              <w:spacing w:line="300" w:lineRule="auto"/>
              <w:rPr>
                <w:sz w:val="24"/>
              </w:rPr>
            </w:pPr>
            <w:r>
              <w:rPr>
                <w:rFonts w:hint="eastAsia"/>
                <w:sz w:val="24"/>
              </w:rPr>
              <w:t>质保范围：</w:t>
            </w:r>
            <w:r>
              <w:rPr>
                <w:rFonts w:hint="eastAsia" w:ascii="宋体" w:hAnsi="宋体"/>
                <w:sz w:val="24"/>
              </w:rPr>
              <w:t>保修期内产品因设计、质量出现问题，均由乙方即时解决（包括更换配件耗材）。</w:t>
            </w:r>
          </w:p>
          <w:p w14:paraId="38F5E445">
            <w:pPr>
              <w:tabs>
                <w:tab w:val="left" w:pos="0"/>
              </w:tabs>
              <w:spacing w:line="300" w:lineRule="auto"/>
              <w:rPr>
                <w:rFonts w:hint="eastAsia" w:asciiTheme="minorEastAsia" w:hAnsiTheme="minorEastAsia" w:eastAsiaTheme="minorEastAsia" w:cstheme="minorEastAsia"/>
                <w:kern w:val="0"/>
                <w:szCs w:val="24"/>
              </w:rPr>
            </w:pPr>
            <w:r>
              <w:rPr>
                <w:rFonts w:hint="eastAsia"/>
                <w:sz w:val="24"/>
              </w:rPr>
              <w:t>售后服务内容：（根据投标响应补充）</w:t>
            </w:r>
          </w:p>
        </w:tc>
      </w:tr>
    </w:tbl>
    <w:p w14:paraId="170587A9">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sz w:val="24"/>
        </w:rPr>
      </w:pPr>
    </w:p>
    <w:p w14:paraId="5C8521BD">
      <w:pPr>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br w:type="page"/>
      </w:r>
    </w:p>
    <w:p w14:paraId="159BBA49">
      <w:pPr>
        <w:jc w:val="center"/>
        <w:rPr>
          <w:rFonts w:hint="eastAsia" w:asciiTheme="minorEastAsia" w:hAnsiTheme="minorEastAsia" w:eastAsiaTheme="minorEastAsia" w:cstheme="minorEastAsia"/>
          <w:b/>
          <w:sz w:val="36"/>
          <w:szCs w:val="20"/>
        </w:rPr>
      </w:pPr>
    </w:p>
    <w:p w14:paraId="2ECE781F">
      <w:pPr>
        <w:jc w:val="center"/>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第六部分</w:t>
      </w:r>
      <w:bookmarkEnd w:id="434"/>
      <w:r>
        <w:rPr>
          <w:rFonts w:hint="eastAsia" w:asciiTheme="minorEastAsia" w:hAnsiTheme="minorEastAsia" w:eastAsiaTheme="minorEastAsia" w:cstheme="minorEastAsia"/>
          <w:b/>
          <w:sz w:val="36"/>
          <w:szCs w:val="20"/>
        </w:rPr>
        <w:t xml:space="preserve"> </w:t>
      </w:r>
      <w:bookmarkEnd w:id="435"/>
      <w:r>
        <w:rPr>
          <w:rFonts w:hint="eastAsia" w:asciiTheme="minorEastAsia" w:hAnsiTheme="minorEastAsia" w:eastAsiaTheme="minorEastAsia" w:cstheme="minorEastAsia"/>
          <w:b/>
          <w:sz w:val="36"/>
          <w:szCs w:val="20"/>
        </w:rPr>
        <w:t>应提交的有关格式范例</w:t>
      </w:r>
    </w:p>
    <w:p w14:paraId="4C34F256">
      <w:pPr>
        <w:spacing w:line="360" w:lineRule="auto"/>
        <w:jc w:val="center"/>
        <w:outlineLvl w:val="0"/>
        <w:rPr>
          <w:rFonts w:hint="eastAsia" w:asciiTheme="minorEastAsia" w:hAnsiTheme="minorEastAsia" w:eastAsiaTheme="minorEastAsia" w:cstheme="minorEastAsia"/>
          <w:b/>
          <w:kern w:val="0"/>
          <w:sz w:val="36"/>
          <w:szCs w:val="36"/>
        </w:rPr>
      </w:pPr>
    </w:p>
    <w:p w14:paraId="2278B0D3">
      <w:pPr>
        <w:spacing w:line="360" w:lineRule="auto"/>
        <w:jc w:val="center"/>
        <w:outlineLvl w:val="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资格文件部分</w:t>
      </w:r>
    </w:p>
    <w:p w14:paraId="0D9191F2">
      <w:pPr>
        <w:spacing w:line="360" w:lineRule="auto"/>
        <w:jc w:val="center"/>
        <w:outlineLvl w:val="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目录</w:t>
      </w:r>
    </w:p>
    <w:p w14:paraId="6D5F153D">
      <w:pPr>
        <w:spacing w:line="360" w:lineRule="auto"/>
        <w:jc w:val="center"/>
        <w:outlineLvl w:val="0"/>
        <w:rPr>
          <w:rFonts w:hint="eastAsia" w:asciiTheme="minorEastAsia" w:hAnsiTheme="minorEastAsia" w:eastAsiaTheme="minorEastAsia" w:cstheme="minorEastAsia"/>
          <w:b/>
          <w:kern w:val="0"/>
          <w:sz w:val="36"/>
          <w:szCs w:val="36"/>
        </w:rPr>
      </w:pPr>
    </w:p>
    <w:p w14:paraId="2F1B0E07">
      <w:pPr>
        <w:numPr>
          <w:ilvl w:val="0"/>
          <w:numId w:val="6"/>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符合参加采购活动应当具备的一般条件的承诺函…………………（页码）</w:t>
      </w:r>
    </w:p>
    <w:p w14:paraId="6904A525">
      <w:pPr>
        <w:numPr>
          <w:ilvl w:val="0"/>
          <w:numId w:val="6"/>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szCs w:val="20"/>
        </w:rPr>
        <w:t>联合协议</w:t>
      </w:r>
      <w:r>
        <w:rPr>
          <w:rFonts w:hint="eastAsia" w:asciiTheme="minorEastAsia" w:hAnsiTheme="minorEastAsia" w:eastAsiaTheme="minorEastAsia" w:cstheme="minorEastAsia"/>
          <w:sz w:val="24"/>
        </w:rPr>
        <w:t>………………………………………………………………（页码）</w:t>
      </w:r>
    </w:p>
    <w:p w14:paraId="7853199C">
      <w:pPr>
        <w:numPr>
          <w:ilvl w:val="0"/>
          <w:numId w:val="6"/>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落实采购政策需满足的资格要求……………………………………（页码）</w:t>
      </w:r>
    </w:p>
    <w:p w14:paraId="1E9E4437">
      <w:pPr>
        <w:numPr>
          <w:ilvl w:val="0"/>
          <w:numId w:val="6"/>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本项目的特定资格要求………………………………………………（页码）</w:t>
      </w:r>
    </w:p>
    <w:p w14:paraId="41D8E02A">
      <w:pPr>
        <w:snapToGrid w:val="0"/>
        <w:spacing w:line="360" w:lineRule="auto"/>
        <w:ind w:firstLine="480" w:firstLineChars="200"/>
        <w:rPr>
          <w:rFonts w:hint="eastAsia" w:asciiTheme="minorEastAsia" w:hAnsiTheme="minorEastAsia" w:eastAsiaTheme="minorEastAsia" w:cstheme="minorEastAsia"/>
          <w:sz w:val="24"/>
        </w:rPr>
      </w:pPr>
    </w:p>
    <w:p w14:paraId="522352EA">
      <w:pPr>
        <w:spacing w:line="360" w:lineRule="auto"/>
        <w:ind w:firstLine="480" w:firstLineChars="200"/>
        <w:rPr>
          <w:rFonts w:hint="eastAsia" w:asciiTheme="minorEastAsia" w:hAnsiTheme="minorEastAsia" w:eastAsiaTheme="minorEastAsia" w:cstheme="minorEastAsia"/>
          <w:sz w:val="24"/>
        </w:rPr>
      </w:pPr>
    </w:p>
    <w:p w14:paraId="64A67320">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32"/>
          <w:szCs w:val="32"/>
        </w:rPr>
        <w:t xml:space="preserve">  一、符合参加采购活动应当具备的一般条件的承诺函</w:t>
      </w:r>
    </w:p>
    <w:p w14:paraId="1AB74401">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杭州市美术职业学校、杭州洲源招标代理有限公司：</w:t>
      </w:r>
    </w:p>
    <w:p w14:paraId="1E431F2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我方参与贵单位杭州市美术职业学校数字底座项目【项目编号：</w:t>
      </w:r>
      <w:r>
        <w:rPr>
          <w:rFonts w:hint="eastAsia" w:asciiTheme="minorEastAsia" w:hAnsiTheme="minorEastAsia" w:eastAsiaTheme="minorEastAsia" w:cstheme="minorEastAsia"/>
          <w:sz w:val="24"/>
          <w:lang w:eastAsia="zh-CN"/>
        </w:rPr>
        <w:t>MSZX-2025-007</w:t>
      </w:r>
      <w:r>
        <w:rPr>
          <w:rFonts w:hint="eastAsia" w:asciiTheme="minorEastAsia" w:hAnsiTheme="minorEastAsia" w:eastAsiaTheme="minorEastAsia" w:cstheme="minorEastAsia"/>
          <w:sz w:val="24"/>
        </w:rPr>
        <w:t>】采购活动，郑重承诺：</w:t>
      </w:r>
    </w:p>
    <w:p w14:paraId="22EFD043">
      <w:pPr>
        <w:snapToGrid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（一）具备《中华人民共和国政府采购法》第二十二条第一款规定的条件：</w:t>
      </w:r>
    </w:p>
    <w:p w14:paraId="7D6D6C3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73BAF755">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37471846">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3402201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1F5232E5">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5、参加政府采购活动前三年内，在经营活动中没有重大违法记录；</w:t>
      </w:r>
    </w:p>
    <w:p w14:paraId="719AB30D">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34F2D994">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（二）未被“信用中国”（www.creditchina.gov.cn)、中国政府采购网（www.ccgp.gov.cn）列入失信被执行人、重大税收违法失信主体、政府采购严重违法失信行为记录名单。</w:t>
      </w:r>
    </w:p>
    <w:p w14:paraId="55538AA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（三）不存在以下情况：</w:t>
      </w:r>
    </w:p>
    <w:p w14:paraId="5F45D98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1、单位负责人为同一人或者存在直接控股、管理关系的不同供应商参加同一合同项下的政府采购活动的；</w:t>
      </w:r>
    </w:p>
    <w:p w14:paraId="692302B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7B9D86CD">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以上承诺如有虚假或隐瞒，采购人可取消我方任何资格（投标/中标/签订合同），我方对此无任何异议，并愿意承担一切后果和责任。</w:t>
      </w:r>
    </w:p>
    <w:p w14:paraId="73DDEA12">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特此承诺！</w:t>
      </w:r>
    </w:p>
    <w:p w14:paraId="49A341B5">
      <w:pPr>
        <w:snapToGrid w:val="0"/>
        <w:spacing w:line="360" w:lineRule="auto"/>
        <w:ind w:firstLine="5520" w:firstLineChars="2300"/>
        <w:rPr>
          <w:rFonts w:hint="eastAsia" w:asciiTheme="minorEastAsia" w:hAnsiTheme="minorEastAsia" w:eastAsiaTheme="minorEastAsia" w:cstheme="minorEastAsia"/>
          <w:kern w:val="0"/>
          <w:sz w:val="24"/>
          <w:lang w:val="zh-CN"/>
        </w:rPr>
      </w:pPr>
    </w:p>
    <w:p w14:paraId="1C26D44D">
      <w:pPr>
        <w:snapToGrid w:val="0"/>
        <w:spacing w:line="360" w:lineRule="auto"/>
        <w:ind w:firstLine="5520" w:firstLineChars="2300"/>
        <w:rPr>
          <w:rFonts w:hint="eastAsia" w:asciiTheme="minorEastAsia" w:hAnsiTheme="minorEastAsia" w:eastAsiaTheme="minorEastAsia" w:cstheme="minorEastAsia"/>
          <w:kern w:val="0"/>
          <w:sz w:val="24"/>
          <w:lang w:val="zh-CN"/>
        </w:rPr>
      </w:pPr>
    </w:p>
    <w:p w14:paraId="25735FC5">
      <w:pPr>
        <w:snapToGrid w:val="0"/>
        <w:spacing w:line="360" w:lineRule="auto"/>
        <w:ind w:firstLine="5520" w:firstLineChars="23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投标人名称(电子签名)：</w:t>
      </w:r>
    </w:p>
    <w:p w14:paraId="68B73D66">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w:t>
      </w:r>
    </w:p>
    <w:p w14:paraId="078C918E">
      <w:pPr>
        <w:widowControl/>
        <w:jc w:val="left"/>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22EA73CF">
      <w:pPr>
        <w:widowControl/>
        <w:spacing w:line="360" w:lineRule="auto"/>
        <w:ind w:firstLine="643" w:firstLineChars="20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二、联合协议（如果有）</w:t>
      </w:r>
    </w:p>
    <w:p w14:paraId="2DDE9484">
      <w:pPr>
        <w:widowControl/>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[以联合体形式投标的，提供联合协议（附件5）；本项目不接受联合体投标或者投标人不以联合体形式投标的，则不需要提供）]</w:t>
      </w:r>
    </w:p>
    <w:p w14:paraId="1C05AC27">
      <w:pPr>
        <w:snapToGrid w:val="0"/>
        <w:spacing w:line="360" w:lineRule="auto"/>
        <w:ind w:right="480"/>
        <w:jc w:val="center"/>
        <w:rPr>
          <w:rFonts w:hint="eastAsia" w:asciiTheme="minorEastAsia" w:hAnsiTheme="minorEastAsia" w:eastAsiaTheme="minorEastAsia" w:cstheme="minorEastAsia"/>
          <w:b/>
          <w:kern w:val="0"/>
          <w:sz w:val="32"/>
          <w:szCs w:val="32"/>
        </w:rPr>
      </w:pPr>
    </w:p>
    <w:p w14:paraId="7B39ABD8">
      <w:pPr>
        <w:snapToGrid w:val="0"/>
        <w:spacing w:line="360" w:lineRule="auto"/>
        <w:ind w:right="480"/>
        <w:jc w:val="center"/>
        <w:rPr>
          <w:rFonts w:hint="eastAsia" w:asciiTheme="minorEastAsia" w:hAnsiTheme="minorEastAsia" w:eastAsiaTheme="minorEastAsia" w:cstheme="minorEastAsia"/>
          <w:b/>
          <w:kern w:val="0"/>
          <w:sz w:val="32"/>
          <w:szCs w:val="32"/>
        </w:rPr>
      </w:pPr>
    </w:p>
    <w:p w14:paraId="47945A1C">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三、落实政府采购政策需满足的资格要求</w:t>
      </w:r>
    </w:p>
    <w:p w14:paraId="22293BF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（根据招标公告落实政府采购政策需满足的资格要求选择提供相应的材料；未要求的，无需提供）</w:t>
      </w:r>
    </w:p>
    <w:p w14:paraId="6444FCE4">
      <w:pPr>
        <w:snapToGrid w:val="0"/>
        <w:spacing w:before="50" w:after="50" w:line="360" w:lineRule="auto"/>
        <w:ind w:firstLine="472" w:firstLineChars="196"/>
        <w:jc w:val="left"/>
        <w:rPr>
          <w:rFonts w:hint="eastAsia" w:asciiTheme="minorEastAsia" w:hAnsiTheme="minorEastAsia" w:eastAsiaTheme="minorEastAsia" w:cstheme="minorEastAsia"/>
          <w:b/>
          <w:sz w:val="24"/>
        </w:rPr>
      </w:pPr>
    </w:p>
    <w:p w14:paraId="2B6E334D">
      <w:pPr>
        <w:snapToGrid w:val="0"/>
        <w:spacing w:before="50" w:after="50" w:line="360" w:lineRule="auto"/>
        <w:ind w:firstLine="472" w:firstLineChars="19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A</w:t>
      </w:r>
      <w:r>
        <w:rPr>
          <w:rFonts w:hint="eastAsia" w:asciiTheme="minorEastAsia" w:hAnsiTheme="minorEastAsia" w:eastAsiaTheme="minorEastAsia" w:cstheme="minorEastAsia"/>
          <w:sz w:val="24"/>
        </w:rPr>
        <w:t xml:space="preserve">.专门面向中小企业，服务全部由符合政策要求的中小企业（或小微企业）承接的，提供相应的中小企业声明函（附件7）。 </w:t>
      </w:r>
    </w:p>
    <w:p w14:paraId="715BD069">
      <w:pPr>
        <w:widowControl/>
        <w:spacing w:line="360" w:lineRule="auto"/>
        <w:ind w:firstLine="480"/>
        <w:jc w:val="left"/>
        <w:rPr>
          <w:rFonts w:hint="eastAsia" w:asciiTheme="minorEastAsia" w:hAnsiTheme="minorEastAsia" w:eastAsiaTheme="minorEastAsia" w:cstheme="minorEastAsia"/>
          <w:sz w:val="24"/>
        </w:rPr>
      </w:pPr>
    </w:p>
    <w:p w14:paraId="63B527B0">
      <w:pPr>
        <w:widowControl/>
        <w:spacing w:line="360" w:lineRule="auto"/>
        <w:ind w:firstLine="472" w:firstLineChars="19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B.</w:t>
      </w:r>
      <w:r>
        <w:rPr>
          <w:rFonts w:hint="eastAsia" w:asciiTheme="minorEastAsia" w:hAnsiTheme="minorEastAsia" w:eastAsiaTheme="minorEastAsia" w:cstheme="minorEastAsia"/>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spacing w:val="8"/>
          <w:kern w:val="0"/>
          <w:sz w:val="24"/>
        </w:rPr>
        <w:t>并相应达到了前述比例要求，</w:t>
      </w:r>
      <w:r>
        <w:rPr>
          <w:rFonts w:hint="eastAsia" w:asciiTheme="minorEastAsia" w:hAnsiTheme="minorEastAsia" w:eastAsiaTheme="minorEastAsia" w:cstheme="minorEastAsia"/>
          <w:sz w:val="24"/>
        </w:rPr>
        <w:t>视同符合了资格条件，无需再与其他中小企业组成联合体参加政府采购活动，无需提供联合协议。</w:t>
      </w:r>
    </w:p>
    <w:p w14:paraId="4A160DD2">
      <w:pPr>
        <w:snapToGrid w:val="0"/>
        <w:spacing w:before="50" w:after="50"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    </w:t>
      </w:r>
    </w:p>
    <w:p w14:paraId="4896FFC2">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C.</w:t>
      </w:r>
      <w:r>
        <w:rPr>
          <w:rFonts w:hint="eastAsia" w:asciiTheme="minorEastAsia" w:hAnsiTheme="minorEastAsia" w:eastAsiaTheme="minorEastAsia" w:cstheme="minorEastAsia"/>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spacing w:val="8"/>
          <w:kern w:val="0"/>
          <w:sz w:val="24"/>
        </w:rPr>
        <w:t>并相应达到了前述比例要求，</w:t>
      </w:r>
      <w:r>
        <w:rPr>
          <w:rFonts w:hint="eastAsia" w:asciiTheme="minorEastAsia" w:hAnsiTheme="minorEastAsia" w:eastAsiaTheme="minorEastAsia" w:cstheme="minorEastAsia"/>
          <w:sz w:val="24"/>
        </w:rPr>
        <w:t>视同符合了资格条件，无需再向中小企业分包，无需提供分包意向协议。</w:t>
      </w:r>
    </w:p>
    <w:p w14:paraId="0B9D9910">
      <w:pPr>
        <w:widowControl/>
        <w:spacing w:line="360" w:lineRule="auto"/>
        <w:ind w:left="150"/>
        <w:jc w:val="center"/>
        <w:rPr>
          <w:rFonts w:hint="eastAsia" w:asciiTheme="minorEastAsia" w:hAnsiTheme="minorEastAsia" w:eastAsiaTheme="minorEastAsia" w:cstheme="minorEastAsia"/>
          <w:b/>
          <w:kern w:val="0"/>
          <w:sz w:val="32"/>
          <w:szCs w:val="32"/>
        </w:rPr>
      </w:pPr>
    </w:p>
    <w:p w14:paraId="3089B77D">
      <w:pPr>
        <w:widowControl/>
        <w:spacing w:line="360" w:lineRule="auto"/>
        <w:ind w:left="15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四、本项目的特定资格要求（如果有）</w:t>
      </w:r>
    </w:p>
    <w:p w14:paraId="0B340DCA">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（根据招标公告本项目的特定资格要求提供相应的材料；未要求的，无需提供）</w:t>
      </w:r>
    </w:p>
    <w:p w14:paraId="116CAF8A">
      <w:pPr>
        <w:rPr>
          <w:rFonts w:hint="eastAsia" w:asciiTheme="minorEastAsia" w:hAnsiTheme="minorEastAsia" w:eastAsiaTheme="minorEastAsia" w:cstheme="minorEastAsia"/>
        </w:rPr>
      </w:pPr>
    </w:p>
    <w:p w14:paraId="16AEAFEE">
      <w:pPr>
        <w:snapToGrid w:val="0"/>
        <w:spacing w:line="360" w:lineRule="auto"/>
        <w:ind w:right="480"/>
        <w:jc w:val="center"/>
        <w:rPr>
          <w:rFonts w:hint="eastAsia" w:asciiTheme="minorEastAsia" w:hAnsiTheme="minorEastAsia" w:eastAsiaTheme="minorEastAsia" w:cstheme="minorEastAsia"/>
          <w:b/>
          <w:kern w:val="0"/>
          <w:sz w:val="32"/>
          <w:szCs w:val="32"/>
        </w:rPr>
      </w:pPr>
    </w:p>
    <w:p w14:paraId="27E0E483">
      <w:pPr>
        <w:widowControl/>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282BDA1C">
      <w:pPr>
        <w:spacing w:line="360" w:lineRule="auto"/>
        <w:ind w:right="42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 xml:space="preserve">   商务技术文件部分</w:t>
      </w:r>
    </w:p>
    <w:p w14:paraId="72D0ABAA">
      <w:pPr>
        <w:spacing w:line="360" w:lineRule="auto"/>
        <w:jc w:val="center"/>
        <w:outlineLvl w:val="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目录</w:t>
      </w:r>
    </w:p>
    <w:p w14:paraId="5D9C32D9">
      <w:pPr>
        <w:numPr>
          <w:ilvl w:val="0"/>
          <w:numId w:val="7"/>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投标函…………………………………………………………………………（页码）</w:t>
      </w:r>
    </w:p>
    <w:p w14:paraId="070B1900">
      <w:pPr>
        <w:numPr>
          <w:ilvl w:val="0"/>
          <w:numId w:val="7"/>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授权委托书或法定代表人（单位负责人、自然人本人）身份证明………（页码）</w:t>
      </w:r>
    </w:p>
    <w:p w14:paraId="6C6BB156">
      <w:pPr>
        <w:numPr>
          <w:ilvl w:val="0"/>
          <w:numId w:val="7"/>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符合性审查资料………………………………………………………………（页码）</w:t>
      </w:r>
    </w:p>
    <w:p w14:paraId="04635E00">
      <w:pPr>
        <w:numPr>
          <w:ilvl w:val="0"/>
          <w:numId w:val="7"/>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评标标准相应的商务技术资料………………………………………………（页码）</w:t>
      </w:r>
    </w:p>
    <w:p w14:paraId="0967581C">
      <w:pPr>
        <w:numPr>
          <w:ilvl w:val="0"/>
          <w:numId w:val="7"/>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投标标的清单…………………………………………………………………（页码）</w:t>
      </w:r>
    </w:p>
    <w:p w14:paraId="15A20664">
      <w:pPr>
        <w:numPr>
          <w:ilvl w:val="0"/>
          <w:numId w:val="7"/>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商务技术偏离表………………………………………………………………（页码）</w:t>
      </w:r>
    </w:p>
    <w:p w14:paraId="70377B48">
      <w:pPr>
        <w:numPr>
          <w:ilvl w:val="0"/>
          <w:numId w:val="7"/>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…………………………………………………（页码）</w:t>
      </w:r>
    </w:p>
    <w:p w14:paraId="31BCC048">
      <w:pPr>
        <w:snapToGrid w:val="0"/>
        <w:spacing w:line="360" w:lineRule="auto"/>
        <w:jc w:val="center"/>
        <w:rPr>
          <w:rFonts w:hint="eastAsia" w:asciiTheme="minorEastAsia" w:hAnsiTheme="minorEastAsia" w:eastAsiaTheme="minorEastAsia" w:cstheme="minorEastAsia"/>
          <w:b/>
          <w:kern w:val="0"/>
          <w:sz w:val="32"/>
          <w:szCs w:val="32"/>
          <w:lang w:val="zh-CN"/>
        </w:rPr>
      </w:pPr>
    </w:p>
    <w:p w14:paraId="6BDDD2DA">
      <w:pPr>
        <w:snapToGrid w:val="0"/>
        <w:spacing w:line="360" w:lineRule="auto"/>
        <w:jc w:val="center"/>
        <w:rPr>
          <w:rFonts w:hint="eastAsia" w:asciiTheme="minorEastAsia" w:hAnsiTheme="minorEastAsia" w:eastAsiaTheme="minorEastAsia" w:cstheme="minorEastAsia"/>
          <w:b/>
          <w:kern w:val="0"/>
          <w:sz w:val="32"/>
          <w:szCs w:val="32"/>
          <w:lang w:val="zh-CN"/>
        </w:rPr>
      </w:pPr>
    </w:p>
    <w:p w14:paraId="783D316C">
      <w:pPr>
        <w:snapToGrid w:val="0"/>
        <w:spacing w:line="360" w:lineRule="auto"/>
        <w:jc w:val="center"/>
        <w:rPr>
          <w:rFonts w:hint="eastAsia" w:asciiTheme="minorEastAsia" w:hAnsiTheme="minorEastAsia" w:eastAsiaTheme="minorEastAsia" w:cstheme="minorEastAsia"/>
          <w:b/>
          <w:kern w:val="0"/>
          <w:sz w:val="32"/>
          <w:szCs w:val="32"/>
          <w:lang w:val="zh-CN"/>
        </w:rPr>
      </w:pPr>
    </w:p>
    <w:p w14:paraId="20A9A2AB">
      <w:pPr>
        <w:snapToGrid w:val="0"/>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评分索引表</w:t>
      </w:r>
    </w:p>
    <w:p w14:paraId="6B1A3395">
      <w:pPr>
        <w:snapToGrid w:val="0"/>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（根据评标办法自行编制）</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610"/>
        <w:gridCol w:w="3609"/>
        <w:gridCol w:w="1228"/>
      </w:tblGrid>
      <w:tr w14:paraId="6851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14:paraId="0AA2895F">
            <w:pPr>
              <w:snapToGrid w:val="0"/>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1944" w:type="pct"/>
            <w:vAlign w:val="center"/>
          </w:tcPr>
          <w:p w14:paraId="0126D6F3">
            <w:pPr>
              <w:snapToGrid w:val="0"/>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评标标准</w:t>
            </w:r>
          </w:p>
        </w:tc>
        <w:tc>
          <w:tcPr>
            <w:tcW w:w="1943" w:type="pct"/>
            <w:vAlign w:val="center"/>
          </w:tcPr>
          <w:p w14:paraId="613CE3BC">
            <w:pPr>
              <w:snapToGrid w:val="0"/>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投标响应</w:t>
            </w:r>
          </w:p>
        </w:tc>
        <w:tc>
          <w:tcPr>
            <w:tcW w:w="661" w:type="pct"/>
            <w:vAlign w:val="center"/>
          </w:tcPr>
          <w:p w14:paraId="3076963D">
            <w:pPr>
              <w:snapToGrid w:val="0"/>
              <w:spacing w:line="360" w:lineRule="auto"/>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对应页码</w:t>
            </w:r>
          </w:p>
        </w:tc>
      </w:tr>
      <w:tr w14:paraId="44D7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14:paraId="13806562">
            <w:pPr>
              <w:snapToGrid w:val="0"/>
              <w:spacing w:line="360" w:lineRule="auto"/>
              <w:jc w:val="center"/>
              <w:rPr>
                <w:rFonts w:hint="eastAsia" w:asciiTheme="minorEastAsia" w:hAnsiTheme="minorEastAsia" w:eastAsiaTheme="minorEastAsia" w:cstheme="minorEastAsia"/>
                <w:b/>
                <w:bCs/>
                <w:sz w:val="24"/>
              </w:rPr>
            </w:pPr>
          </w:p>
        </w:tc>
        <w:tc>
          <w:tcPr>
            <w:tcW w:w="1944" w:type="pct"/>
            <w:vAlign w:val="center"/>
          </w:tcPr>
          <w:p w14:paraId="1BBAD360">
            <w:pPr>
              <w:snapToGrid w:val="0"/>
              <w:spacing w:line="360" w:lineRule="auto"/>
              <w:jc w:val="center"/>
              <w:rPr>
                <w:rFonts w:hint="eastAsia" w:asciiTheme="minorEastAsia" w:hAnsiTheme="minorEastAsia" w:eastAsiaTheme="minorEastAsia" w:cstheme="minorEastAsia"/>
                <w:b/>
                <w:bCs/>
                <w:sz w:val="24"/>
              </w:rPr>
            </w:pPr>
          </w:p>
        </w:tc>
        <w:tc>
          <w:tcPr>
            <w:tcW w:w="1943" w:type="pct"/>
            <w:vAlign w:val="center"/>
          </w:tcPr>
          <w:p w14:paraId="01642819">
            <w:pPr>
              <w:snapToGrid w:val="0"/>
              <w:spacing w:line="360" w:lineRule="auto"/>
              <w:jc w:val="center"/>
              <w:rPr>
                <w:rFonts w:hint="eastAsia" w:asciiTheme="minorEastAsia" w:hAnsiTheme="minorEastAsia" w:eastAsiaTheme="minorEastAsia" w:cstheme="minorEastAsia"/>
                <w:b/>
                <w:bCs/>
                <w:sz w:val="24"/>
              </w:rPr>
            </w:pPr>
          </w:p>
        </w:tc>
        <w:tc>
          <w:tcPr>
            <w:tcW w:w="661" w:type="pct"/>
            <w:vAlign w:val="center"/>
          </w:tcPr>
          <w:p w14:paraId="7CF1BD03">
            <w:pPr>
              <w:snapToGrid w:val="0"/>
              <w:spacing w:line="360" w:lineRule="auto"/>
              <w:jc w:val="center"/>
              <w:rPr>
                <w:rFonts w:hint="eastAsia" w:asciiTheme="minorEastAsia" w:hAnsiTheme="minorEastAsia" w:eastAsiaTheme="minorEastAsia" w:cstheme="minorEastAsia"/>
                <w:b/>
                <w:bCs/>
                <w:sz w:val="24"/>
              </w:rPr>
            </w:pPr>
          </w:p>
        </w:tc>
      </w:tr>
      <w:tr w14:paraId="5B46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14:paraId="00203601">
            <w:pPr>
              <w:snapToGrid w:val="0"/>
              <w:spacing w:line="360" w:lineRule="auto"/>
              <w:jc w:val="center"/>
              <w:rPr>
                <w:rFonts w:hint="eastAsia" w:asciiTheme="minorEastAsia" w:hAnsiTheme="minorEastAsia" w:eastAsiaTheme="minorEastAsia" w:cstheme="minorEastAsia"/>
                <w:b/>
                <w:bCs/>
                <w:sz w:val="24"/>
              </w:rPr>
            </w:pPr>
          </w:p>
        </w:tc>
        <w:tc>
          <w:tcPr>
            <w:tcW w:w="1944" w:type="pct"/>
            <w:vAlign w:val="center"/>
          </w:tcPr>
          <w:p w14:paraId="241E918D">
            <w:pPr>
              <w:snapToGrid w:val="0"/>
              <w:spacing w:line="360" w:lineRule="auto"/>
              <w:jc w:val="center"/>
              <w:rPr>
                <w:rFonts w:hint="eastAsia" w:asciiTheme="minorEastAsia" w:hAnsiTheme="minorEastAsia" w:eastAsiaTheme="minorEastAsia" w:cstheme="minorEastAsia"/>
                <w:b/>
                <w:bCs/>
                <w:sz w:val="24"/>
              </w:rPr>
            </w:pPr>
          </w:p>
        </w:tc>
        <w:tc>
          <w:tcPr>
            <w:tcW w:w="1943" w:type="pct"/>
            <w:vAlign w:val="center"/>
          </w:tcPr>
          <w:p w14:paraId="40966CE4">
            <w:pPr>
              <w:snapToGrid w:val="0"/>
              <w:spacing w:line="360" w:lineRule="auto"/>
              <w:jc w:val="center"/>
              <w:rPr>
                <w:rFonts w:hint="eastAsia" w:asciiTheme="minorEastAsia" w:hAnsiTheme="minorEastAsia" w:eastAsiaTheme="minorEastAsia" w:cstheme="minorEastAsia"/>
                <w:b/>
                <w:bCs/>
                <w:sz w:val="24"/>
              </w:rPr>
            </w:pPr>
          </w:p>
        </w:tc>
        <w:tc>
          <w:tcPr>
            <w:tcW w:w="661" w:type="pct"/>
            <w:vAlign w:val="center"/>
          </w:tcPr>
          <w:p w14:paraId="7FB90499">
            <w:pPr>
              <w:snapToGrid w:val="0"/>
              <w:spacing w:line="360" w:lineRule="auto"/>
              <w:jc w:val="center"/>
              <w:rPr>
                <w:rFonts w:hint="eastAsia" w:asciiTheme="minorEastAsia" w:hAnsiTheme="minorEastAsia" w:eastAsiaTheme="minorEastAsia" w:cstheme="minorEastAsia"/>
                <w:b/>
                <w:bCs/>
                <w:sz w:val="24"/>
              </w:rPr>
            </w:pPr>
          </w:p>
        </w:tc>
      </w:tr>
      <w:tr w14:paraId="4362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14:paraId="08722424">
            <w:pPr>
              <w:snapToGrid w:val="0"/>
              <w:spacing w:line="360" w:lineRule="auto"/>
              <w:jc w:val="center"/>
              <w:rPr>
                <w:rFonts w:hint="eastAsia" w:asciiTheme="minorEastAsia" w:hAnsiTheme="minorEastAsia" w:eastAsiaTheme="minorEastAsia" w:cstheme="minorEastAsia"/>
                <w:b/>
                <w:bCs/>
                <w:sz w:val="24"/>
              </w:rPr>
            </w:pPr>
          </w:p>
        </w:tc>
        <w:tc>
          <w:tcPr>
            <w:tcW w:w="1944" w:type="pct"/>
            <w:vAlign w:val="center"/>
          </w:tcPr>
          <w:p w14:paraId="5C7037C2">
            <w:pPr>
              <w:snapToGrid w:val="0"/>
              <w:spacing w:line="360" w:lineRule="auto"/>
              <w:jc w:val="center"/>
              <w:rPr>
                <w:rFonts w:hint="eastAsia" w:asciiTheme="minorEastAsia" w:hAnsiTheme="minorEastAsia" w:eastAsiaTheme="minorEastAsia" w:cstheme="minorEastAsia"/>
                <w:b/>
                <w:bCs/>
                <w:sz w:val="24"/>
              </w:rPr>
            </w:pPr>
          </w:p>
        </w:tc>
        <w:tc>
          <w:tcPr>
            <w:tcW w:w="1943" w:type="pct"/>
            <w:vAlign w:val="center"/>
          </w:tcPr>
          <w:p w14:paraId="0E1300ED">
            <w:pPr>
              <w:snapToGrid w:val="0"/>
              <w:spacing w:line="360" w:lineRule="auto"/>
              <w:jc w:val="center"/>
              <w:rPr>
                <w:rFonts w:hint="eastAsia" w:asciiTheme="minorEastAsia" w:hAnsiTheme="minorEastAsia" w:eastAsiaTheme="minorEastAsia" w:cstheme="minorEastAsia"/>
                <w:b/>
                <w:bCs/>
                <w:sz w:val="24"/>
              </w:rPr>
            </w:pPr>
          </w:p>
        </w:tc>
        <w:tc>
          <w:tcPr>
            <w:tcW w:w="661" w:type="pct"/>
            <w:vAlign w:val="center"/>
          </w:tcPr>
          <w:p w14:paraId="0DA6385F">
            <w:pPr>
              <w:snapToGrid w:val="0"/>
              <w:spacing w:line="360" w:lineRule="auto"/>
              <w:jc w:val="center"/>
              <w:rPr>
                <w:rFonts w:hint="eastAsia" w:asciiTheme="minorEastAsia" w:hAnsiTheme="minorEastAsia" w:eastAsiaTheme="minorEastAsia" w:cstheme="minorEastAsia"/>
                <w:b/>
                <w:bCs/>
                <w:sz w:val="24"/>
              </w:rPr>
            </w:pPr>
          </w:p>
        </w:tc>
      </w:tr>
      <w:tr w14:paraId="3DB8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0" w:type="pct"/>
            <w:vAlign w:val="center"/>
          </w:tcPr>
          <w:p w14:paraId="773CC685">
            <w:pPr>
              <w:snapToGrid w:val="0"/>
              <w:spacing w:line="360" w:lineRule="auto"/>
              <w:jc w:val="center"/>
              <w:rPr>
                <w:rFonts w:hint="eastAsia" w:asciiTheme="minorEastAsia" w:hAnsiTheme="minorEastAsia" w:eastAsiaTheme="minorEastAsia" w:cstheme="minorEastAsia"/>
                <w:b/>
                <w:bCs/>
                <w:sz w:val="24"/>
              </w:rPr>
            </w:pPr>
          </w:p>
        </w:tc>
        <w:tc>
          <w:tcPr>
            <w:tcW w:w="1944" w:type="pct"/>
            <w:vAlign w:val="center"/>
          </w:tcPr>
          <w:p w14:paraId="14F771C2">
            <w:pPr>
              <w:snapToGrid w:val="0"/>
              <w:spacing w:line="360" w:lineRule="auto"/>
              <w:jc w:val="center"/>
              <w:rPr>
                <w:rFonts w:hint="eastAsia" w:asciiTheme="minorEastAsia" w:hAnsiTheme="minorEastAsia" w:eastAsiaTheme="minorEastAsia" w:cstheme="minorEastAsia"/>
                <w:b/>
                <w:bCs/>
                <w:sz w:val="24"/>
              </w:rPr>
            </w:pPr>
          </w:p>
        </w:tc>
        <w:tc>
          <w:tcPr>
            <w:tcW w:w="1943" w:type="pct"/>
            <w:vAlign w:val="center"/>
          </w:tcPr>
          <w:p w14:paraId="1318349B">
            <w:pPr>
              <w:snapToGrid w:val="0"/>
              <w:spacing w:line="360" w:lineRule="auto"/>
              <w:jc w:val="center"/>
              <w:rPr>
                <w:rFonts w:hint="eastAsia" w:asciiTheme="minorEastAsia" w:hAnsiTheme="minorEastAsia" w:eastAsiaTheme="minorEastAsia" w:cstheme="minorEastAsia"/>
                <w:b/>
                <w:bCs/>
                <w:sz w:val="24"/>
              </w:rPr>
            </w:pPr>
          </w:p>
        </w:tc>
        <w:tc>
          <w:tcPr>
            <w:tcW w:w="661" w:type="pct"/>
            <w:vAlign w:val="center"/>
          </w:tcPr>
          <w:p w14:paraId="1B6491CD">
            <w:pPr>
              <w:snapToGrid w:val="0"/>
              <w:spacing w:line="360" w:lineRule="auto"/>
              <w:jc w:val="center"/>
              <w:rPr>
                <w:rFonts w:hint="eastAsia" w:asciiTheme="minorEastAsia" w:hAnsiTheme="minorEastAsia" w:eastAsiaTheme="minorEastAsia" w:cstheme="minorEastAsia"/>
                <w:b/>
                <w:bCs/>
                <w:sz w:val="24"/>
              </w:rPr>
            </w:pPr>
          </w:p>
        </w:tc>
      </w:tr>
    </w:tbl>
    <w:p w14:paraId="048C8DC8">
      <w:pPr>
        <w:snapToGrid w:val="0"/>
        <w:spacing w:line="360" w:lineRule="auto"/>
        <w:jc w:val="center"/>
        <w:rPr>
          <w:rFonts w:hint="eastAsia" w:asciiTheme="minorEastAsia" w:hAnsiTheme="minorEastAsia" w:eastAsiaTheme="minorEastAsia" w:cstheme="minorEastAsia"/>
          <w:b/>
          <w:kern w:val="0"/>
          <w:sz w:val="32"/>
          <w:szCs w:val="32"/>
          <w:lang w:val="zh-CN"/>
        </w:rPr>
      </w:pPr>
    </w:p>
    <w:p w14:paraId="70B92988">
      <w:pPr>
        <w:snapToGrid w:val="0"/>
        <w:spacing w:line="360" w:lineRule="auto"/>
        <w:jc w:val="center"/>
        <w:rPr>
          <w:rFonts w:hint="eastAsia" w:asciiTheme="minorEastAsia" w:hAnsiTheme="minorEastAsia" w:eastAsiaTheme="minorEastAsia" w:cstheme="minorEastAsia"/>
          <w:b/>
          <w:kern w:val="0"/>
          <w:sz w:val="32"/>
          <w:szCs w:val="32"/>
          <w:lang w:val="zh-CN"/>
        </w:rPr>
      </w:pPr>
    </w:p>
    <w:p w14:paraId="0A2A548C">
      <w:pPr>
        <w:snapToGrid w:val="0"/>
        <w:spacing w:line="360" w:lineRule="auto"/>
        <w:jc w:val="center"/>
        <w:rPr>
          <w:rFonts w:hint="eastAsia" w:asciiTheme="minorEastAsia" w:hAnsiTheme="minorEastAsia" w:eastAsiaTheme="minorEastAsia" w:cstheme="minorEastAsia"/>
          <w:b/>
          <w:kern w:val="0"/>
          <w:sz w:val="32"/>
          <w:szCs w:val="32"/>
          <w:lang w:val="zh-CN"/>
        </w:rPr>
      </w:pPr>
    </w:p>
    <w:p w14:paraId="1E5DE31B">
      <w:pPr>
        <w:rPr>
          <w:rFonts w:hint="eastAsia" w:asciiTheme="minorEastAsia" w:hAnsiTheme="minorEastAsia" w:eastAsiaTheme="minorEastAsia" w:cstheme="minorEastAsia"/>
          <w:b/>
          <w:kern w:val="0"/>
          <w:sz w:val="32"/>
          <w:szCs w:val="32"/>
          <w:lang w:val="zh-CN"/>
        </w:rPr>
      </w:pPr>
    </w:p>
    <w:p w14:paraId="72D900ED">
      <w:pPr>
        <w:widowControl/>
        <w:jc w:val="left"/>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74D2D4C9">
      <w:pPr>
        <w:snapToGrid w:val="0"/>
        <w:spacing w:line="360" w:lineRule="auto"/>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一、投标</w:t>
      </w:r>
      <w:r>
        <w:rPr>
          <w:rFonts w:hint="eastAsia" w:asciiTheme="minorEastAsia" w:hAnsiTheme="minorEastAsia" w:eastAsiaTheme="minorEastAsia" w:cstheme="minorEastAsia"/>
          <w:b/>
          <w:sz w:val="32"/>
          <w:szCs w:val="32"/>
        </w:rPr>
        <w:t>函</w:t>
      </w:r>
    </w:p>
    <w:p w14:paraId="1102C508">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杭州市美术职业学校、杭州洲源招标代理有限公司：</w:t>
      </w:r>
    </w:p>
    <w:p w14:paraId="3A16451A">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我方参加你方组织的杭州市美术职业学校数字底座项目【项目编号：</w:t>
      </w:r>
      <w:r>
        <w:rPr>
          <w:rFonts w:hint="eastAsia" w:asciiTheme="minorEastAsia" w:hAnsiTheme="minorEastAsia" w:eastAsiaTheme="minorEastAsia" w:cstheme="minorEastAsia"/>
          <w:sz w:val="24"/>
          <w:lang w:eastAsia="zh-CN"/>
        </w:rPr>
        <w:t>MSZX-2025-007</w:t>
      </w:r>
      <w:r>
        <w:rPr>
          <w:rFonts w:hint="eastAsia" w:asciiTheme="minorEastAsia" w:hAnsiTheme="minorEastAsia" w:eastAsiaTheme="minorEastAsia" w:cstheme="minorEastAsia"/>
          <w:sz w:val="24"/>
        </w:rPr>
        <w:t>】招标的有关活动，并对此项目进行投标。为此：</w:t>
      </w:r>
    </w:p>
    <w:p w14:paraId="1B9B1C56">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1、我方承诺投标有效期从提交投标文件的截止之日起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本投标文件在投标有效期满之前均具有约束力。</w:t>
      </w:r>
    </w:p>
    <w:p w14:paraId="4F6083A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2、我方的投标文件包括以下内容：</w:t>
      </w:r>
    </w:p>
    <w:p w14:paraId="5EB06549">
      <w:pPr>
        <w:snapToGrid w:val="0"/>
        <w:spacing w:line="360" w:lineRule="auto"/>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1549BD61">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4A8406A8">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w:t>
      </w:r>
      <w:r>
        <w:rPr>
          <w:rFonts w:hint="eastAsia" w:asciiTheme="minorEastAsia" w:hAnsiTheme="minorEastAsia" w:eastAsiaTheme="minorEastAsia" w:cstheme="minorEastAsia"/>
          <w:snapToGrid w:val="0"/>
          <w:kern w:val="28"/>
          <w:sz w:val="24"/>
          <w:szCs w:val="20"/>
        </w:rPr>
        <w:t>联合协议</w:t>
      </w:r>
      <w:bookmarkStart w:id="550" w:name="_Hlk101257010"/>
      <w:r>
        <w:rPr>
          <w:rFonts w:hint="eastAsia" w:asciiTheme="minorEastAsia" w:hAnsiTheme="minorEastAsia" w:eastAsiaTheme="minorEastAsia" w:cstheme="minorEastAsia"/>
          <w:sz w:val="24"/>
        </w:rPr>
        <w:t>（如果有)</w:t>
      </w:r>
      <w:bookmarkEnd w:id="550"/>
      <w:r>
        <w:rPr>
          <w:rFonts w:hint="eastAsia" w:asciiTheme="minorEastAsia" w:hAnsiTheme="minorEastAsia" w:eastAsiaTheme="minorEastAsia" w:cstheme="minorEastAsia"/>
          <w:snapToGrid w:val="0"/>
          <w:kern w:val="28"/>
          <w:sz w:val="24"/>
          <w:szCs w:val="20"/>
        </w:rPr>
        <w:t>；</w:t>
      </w:r>
    </w:p>
    <w:p w14:paraId="0332C735">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2.1.3落实政府采购政策需满足的资格要求（如果有）；</w:t>
      </w:r>
    </w:p>
    <w:p w14:paraId="244D1207">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2.1.4本项目的特定资格要求（如果有)。</w:t>
      </w:r>
    </w:p>
    <w:p w14:paraId="26DD5AF2">
      <w:pPr>
        <w:snapToGrid w:val="0"/>
        <w:spacing w:line="360" w:lineRule="auto"/>
        <w:ind w:left="210" w:leftChars="1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7747B758">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2.2.1投标函；</w:t>
      </w:r>
      <w:r>
        <w:rPr>
          <w:rFonts w:hint="eastAsia" w:asciiTheme="minorEastAsia" w:hAnsiTheme="minorEastAsia" w:eastAsiaTheme="minorEastAsia" w:cstheme="minorEastAsia"/>
          <w:sz w:val="24"/>
          <w:lang w:val="zh-CN"/>
        </w:rPr>
        <w:t xml:space="preserve"> </w:t>
      </w:r>
    </w:p>
    <w:p w14:paraId="3B605ED1">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74E2E266">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2.2.3分包意向协议（如果有)；</w:t>
      </w:r>
    </w:p>
    <w:p w14:paraId="04523DD5">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2.2.4符合性审查资料；</w:t>
      </w:r>
    </w:p>
    <w:p w14:paraId="76C0E0DA">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2.2.5评标标准相应的商务技术资料；</w:t>
      </w:r>
    </w:p>
    <w:p w14:paraId="32DF6196">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2.2.6投标标的清单；</w:t>
      </w:r>
    </w:p>
    <w:p w14:paraId="1696AC7B">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2.2.7商务技术偏离表；</w:t>
      </w:r>
    </w:p>
    <w:p w14:paraId="510839D2">
      <w:pPr>
        <w:snapToGrid w:val="0"/>
        <w:spacing w:line="360" w:lineRule="auto"/>
        <w:ind w:left="420" w:leftChars="2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采购供应商廉洁自律承诺书；</w:t>
      </w:r>
    </w:p>
    <w:p w14:paraId="2BE88FAE">
      <w:pPr>
        <w:snapToGrid w:val="0"/>
        <w:spacing w:line="360" w:lineRule="auto"/>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4991681F">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2.3.1开标一览表（报价表）；</w:t>
      </w:r>
    </w:p>
    <w:p w14:paraId="21031471">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2.3.2</w:t>
      </w:r>
      <w:r>
        <w:rPr>
          <w:rFonts w:hint="eastAsia" w:asciiTheme="minorEastAsia" w:hAnsiTheme="minorEastAsia" w:eastAsiaTheme="minorEastAsia" w:cstheme="minorEastAsia"/>
          <w:sz w:val="24"/>
        </w:rPr>
        <w:t>中小企业声明函（如果有）。</w:t>
      </w:r>
    </w:p>
    <w:p w14:paraId="1F6F11C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3、我方承诺除商务技术偏离表列出的偏离外，我方响应招标文件的全部要求。对投标文件中材料的真实性、合法性负责。</w:t>
      </w:r>
    </w:p>
    <w:p w14:paraId="3A9C8EF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4、如我方中标，我方承诺：</w:t>
      </w:r>
    </w:p>
    <w:p w14:paraId="7D46CF60">
      <w:pPr>
        <w:snapToGrid w:val="0"/>
        <w:spacing w:line="360" w:lineRule="auto"/>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4.1在收到中标通知书后，在中标通知书规定的期限内与你方签订合同； </w:t>
      </w:r>
    </w:p>
    <w:p w14:paraId="35D32B48">
      <w:pPr>
        <w:snapToGrid w:val="0"/>
        <w:spacing w:line="360" w:lineRule="auto"/>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20B88D4B">
      <w:pPr>
        <w:snapToGrid w:val="0"/>
        <w:spacing w:line="360" w:lineRule="auto"/>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4.3按照招标文件要求提交履约保证金； </w:t>
      </w:r>
    </w:p>
    <w:p w14:paraId="0DB47436">
      <w:pPr>
        <w:snapToGrid w:val="0"/>
        <w:spacing w:line="360" w:lineRule="auto"/>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20945CD0">
      <w:pPr>
        <w:snapToGrid w:val="0"/>
        <w:spacing w:line="360" w:lineRule="auto"/>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5、其他补充说明：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3EBB2C91">
      <w:pPr>
        <w:spacing w:line="360" w:lineRule="auto"/>
        <w:ind w:firstLine="4800" w:firstLineChars="20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投标人名称（电子签名）：                          </w:t>
      </w:r>
    </w:p>
    <w:p w14:paraId="3A22ED95">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6F3DF404">
      <w:pPr>
        <w:pStyle w:val="3"/>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val="0"/>
          <w:bCs w:val="0"/>
          <w:sz w:val="24"/>
        </w:rPr>
        <w:t>注</w:t>
      </w:r>
      <w:r>
        <w:rPr>
          <w:rFonts w:hint="eastAsia" w:asciiTheme="minorEastAsia" w:hAnsiTheme="minorEastAsia" w:eastAsiaTheme="minorEastAsia" w:cstheme="minorEastAsia"/>
          <w:b w:val="0"/>
          <w:bCs w:val="0"/>
          <w:sz w:val="24"/>
          <w:lang w:val="en-US"/>
        </w:rPr>
        <w:t>：</w:t>
      </w:r>
      <w:r>
        <w:rPr>
          <w:rFonts w:hint="eastAsia" w:asciiTheme="minorEastAsia" w:hAnsiTheme="minorEastAsia" w:eastAsiaTheme="minorEastAsia" w:cstheme="minorEastAsia"/>
          <w:b w:val="0"/>
          <w:bCs w:val="0"/>
          <w:sz w:val="24"/>
        </w:rPr>
        <w:t>按本格式和要求提供。</w:t>
      </w:r>
      <w:r>
        <w:rPr>
          <w:rFonts w:hint="eastAsia" w:asciiTheme="minorEastAsia" w:hAnsiTheme="minorEastAsia" w:eastAsiaTheme="minorEastAsia" w:cstheme="minorEastAsia"/>
          <w:b w:val="0"/>
          <w:bCs w:val="0"/>
          <w:sz w:val="24"/>
          <w:lang w:val="en-US"/>
        </w:rPr>
        <w:t xml:space="preserve">             </w:t>
      </w:r>
    </w:p>
    <w:p w14:paraId="7542B2A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810F41B">
      <w:pPr>
        <w:adjustRightInd w:val="0"/>
        <w:spacing w:line="360" w:lineRule="auto"/>
        <w:jc w:val="center"/>
        <w:rPr>
          <w:rFonts w:hint="eastAsia" w:asciiTheme="minorEastAsia" w:hAnsiTheme="minorEastAsia" w:eastAsiaTheme="minorEastAsia" w:cstheme="minorEastAsia"/>
          <w:b/>
          <w:kern w:val="0"/>
          <w:sz w:val="28"/>
          <w:szCs w:val="28"/>
          <w:lang w:val="zh-CN"/>
        </w:rPr>
      </w:pPr>
      <w:r>
        <w:rPr>
          <w:rFonts w:hint="eastAsia" w:asciiTheme="minorEastAsia" w:hAnsiTheme="minorEastAsia" w:eastAsiaTheme="minorEastAsia" w:cstheme="minorEastAsia"/>
          <w:b/>
          <w:kern w:val="0"/>
          <w:sz w:val="28"/>
          <w:szCs w:val="28"/>
          <w:lang w:val="zh-CN"/>
        </w:rPr>
        <w:t>二、授权委托书或法定代表人（单位负责人、自然人本人）身份证明</w:t>
      </w:r>
    </w:p>
    <w:p w14:paraId="74E0DE35">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4E8C9E91">
      <w:pPr>
        <w:adjustRightInd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w:t>
      </w:r>
    </w:p>
    <w:p w14:paraId="41D67E6E">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杭州市美术职业学校、杭州洲源招标代理有限公司</w:t>
      </w:r>
      <w:r>
        <w:rPr>
          <w:rFonts w:hint="eastAsia" w:asciiTheme="minorEastAsia" w:hAnsiTheme="minorEastAsia" w:eastAsiaTheme="minorEastAsia" w:cstheme="minorEastAsia"/>
          <w:kern w:val="0"/>
          <w:sz w:val="24"/>
          <w:lang w:val="zh-CN"/>
        </w:rPr>
        <w:t>：</w:t>
      </w:r>
    </w:p>
    <w:p w14:paraId="3C6256EF">
      <w:pPr>
        <w:adjustRightInd w:val="0"/>
        <w:snapToGrid w:val="0"/>
        <w:spacing w:line="360" w:lineRule="auto"/>
        <w:ind w:firstLine="57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（姓名）为我方代理人（身份证号码：</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，手机：</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rPr>
        <w:t>，所在单位：</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杭州市美术职业学校数字底座项目【项目编号：</w:t>
      </w:r>
      <w:r>
        <w:rPr>
          <w:rFonts w:hint="eastAsia" w:asciiTheme="minorEastAsia" w:hAnsiTheme="minorEastAsia" w:eastAsiaTheme="minorEastAsia" w:cstheme="minorEastAsia"/>
          <w:sz w:val="24"/>
          <w:lang w:eastAsia="zh-CN"/>
        </w:rPr>
        <w:t>MSZX-2025-007</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采购投标的一切事项，其法律后果由我方承担。</w:t>
      </w:r>
    </w:p>
    <w:p w14:paraId="39E3FF0A">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04339C02">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特此告知。</w:t>
      </w:r>
    </w:p>
    <w:p w14:paraId="4A7D891E">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投标人名称(电子签名)：</w:t>
      </w:r>
    </w:p>
    <w:p w14:paraId="5D1AA70E">
      <w:pPr>
        <w:adjustRightInd w:val="0"/>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  年  月   日</w:t>
      </w:r>
    </w:p>
    <w:p w14:paraId="24B5F3CC">
      <w:pPr>
        <w:adjustRightInd w:val="0"/>
        <w:snapToGrid w:val="0"/>
        <w:spacing w:line="360" w:lineRule="auto"/>
        <w:rPr>
          <w:rFonts w:hint="eastAsia" w:asciiTheme="minorEastAsia" w:hAnsiTheme="minorEastAsia" w:eastAsiaTheme="minorEastAsia" w:cstheme="minorEastAsia"/>
          <w:sz w:val="24"/>
        </w:rPr>
      </w:pPr>
    </w:p>
    <w:p w14:paraId="29979D99">
      <w:pPr>
        <w:adjustRightInd w:val="0"/>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r>
        <w:rPr>
          <w:rFonts w:hint="eastAsia" w:asciiTheme="minorEastAsia" w:hAnsiTheme="minorEastAsia" w:eastAsiaTheme="minorEastAsia" w:cstheme="minorEastAsia"/>
          <w:b/>
          <w:kern w:val="0"/>
          <w:sz w:val="32"/>
          <w:szCs w:val="32"/>
        </w:rPr>
        <w:t xml:space="preserve"> </w:t>
      </w:r>
    </w:p>
    <w:p w14:paraId="4BD490D7">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授权代表身份证明</w:t>
      </w:r>
    </w:p>
    <w:p w14:paraId="2A0C7D88">
      <w:pPr>
        <w:autoSpaceDE w:val="0"/>
        <w:autoSpaceDN w:val="0"/>
        <w:spacing w:line="360" w:lineRule="auto"/>
        <w:jc w:val="left"/>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Cs/>
          <w:sz w:val="24"/>
        </w:rPr>
        <w:t>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47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14:paraId="3D1FFBD2">
            <w:pPr>
              <w:pStyle w:val="37"/>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tc>
      </w:tr>
    </w:tbl>
    <w:p w14:paraId="2E3C84D1">
      <w:pPr>
        <w:adjustRightInd w:val="0"/>
        <w:snapToGrid w:val="0"/>
        <w:spacing w:line="360" w:lineRule="auto"/>
        <w:rPr>
          <w:rFonts w:hint="eastAsia" w:asciiTheme="minorEastAsia" w:hAnsiTheme="minorEastAsia" w:eastAsiaTheme="minorEastAsia" w:cstheme="minorEastAsia"/>
          <w:kern w:val="0"/>
          <w:sz w:val="24"/>
          <w:lang w:val="zh-CN"/>
        </w:rPr>
      </w:pPr>
    </w:p>
    <w:p w14:paraId="3CB6254F">
      <w:pPr>
        <w:adjustRightInd w:val="0"/>
        <w:snapToGrid w:val="0"/>
        <w:spacing w:line="360" w:lineRule="auto"/>
        <w:ind w:firstLine="6000" w:firstLineChars="25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投标人名称(电子签名)：</w:t>
      </w:r>
    </w:p>
    <w:p w14:paraId="134C4DFB">
      <w:pPr>
        <w:adjustRightInd w:val="0"/>
        <w:snapToGrid w:val="0"/>
        <w:spacing w:line="360" w:lineRule="auto"/>
        <w:ind w:firstLine="6000" w:firstLineChars="25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  年  月   日</w:t>
      </w:r>
    </w:p>
    <w:p w14:paraId="582B2D9A">
      <w:pPr>
        <w:autoSpaceDE w:val="0"/>
        <w:autoSpaceDN w:val="0"/>
        <w:spacing w:line="360" w:lineRule="auto"/>
        <w:jc w:val="center"/>
        <w:rPr>
          <w:rFonts w:hint="eastAsia" w:asciiTheme="minorEastAsia" w:hAnsiTheme="minorEastAsia" w:eastAsiaTheme="minorEastAsia" w:cstheme="minorEastAsia"/>
          <w:b/>
          <w:kern w:val="0"/>
          <w:sz w:val="32"/>
          <w:szCs w:val="32"/>
          <w:lang w:val="zh-CN"/>
        </w:rPr>
      </w:pPr>
    </w:p>
    <w:p w14:paraId="54480031">
      <w:pPr>
        <w:autoSpaceDE w:val="0"/>
        <w:autoSpaceDN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的身份证明（适用于法定代表人、单位负责人或者自然人本人代表投标人参加投标）</w:t>
      </w:r>
    </w:p>
    <w:p w14:paraId="626E4692">
      <w:pPr>
        <w:pStyle w:val="37"/>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1C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9207" w:type="dxa"/>
          </w:tcPr>
          <w:p w14:paraId="214DB251">
            <w:pPr>
              <w:pStyle w:val="37"/>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tc>
      </w:tr>
    </w:tbl>
    <w:p w14:paraId="7F5298F5">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0CAF7055">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投标人名称(电子签名)：                              </w:t>
      </w:r>
    </w:p>
    <w:p w14:paraId="0E6D4F39">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sz w:val="24"/>
        </w:rPr>
        <w:t xml:space="preserve">    年   月   日</w:t>
      </w:r>
      <w:r>
        <w:rPr>
          <w:rFonts w:hint="eastAsia" w:asciiTheme="minorEastAsia" w:hAnsiTheme="minorEastAsia" w:eastAsiaTheme="minorEastAsia" w:cstheme="minorEastAsia"/>
          <w:kern w:val="0"/>
          <w:sz w:val="24"/>
          <w:lang w:val="zh-CN"/>
        </w:rPr>
        <w:t xml:space="preserve">                            </w:t>
      </w:r>
    </w:p>
    <w:p w14:paraId="24C2B7C7">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b/>
          <w:kern w:val="0"/>
          <w:sz w:val="32"/>
          <w:szCs w:val="32"/>
        </w:rPr>
        <w:t>三、符合性审查资料</w:t>
      </w:r>
    </w:p>
    <w:p w14:paraId="30F706C4">
      <w:pPr>
        <w:jc w:val="center"/>
        <w:rPr>
          <w:rFonts w:hint="eastAsia" w:asciiTheme="minorEastAsia" w:hAnsiTheme="minorEastAsia" w:eastAsiaTheme="minorEastAsia" w:cstheme="minorEastAsia"/>
          <w:b/>
          <w:kern w:val="0"/>
          <w:sz w:val="32"/>
          <w:szCs w:val="32"/>
        </w:rPr>
      </w:pP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723"/>
        <w:gridCol w:w="3658"/>
        <w:gridCol w:w="2406"/>
      </w:tblGrid>
      <w:tr w14:paraId="48AA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14:paraId="56AD75FB">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66" w:type="pct"/>
            <w:vAlign w:val="center"/>
          </w:tcPr>
          <w:p w14:paraId="5C11A71B">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1969" w:type="pct"/>
            <w:vAlign w:val="center"/>
          </w:tcPr>
          <w:p w14:paraId="1B373336">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295" w:type="pct"/>
            <w:vAlign w:val="center"/>
          </w:tcPr>
          <w:p w14:paraId="5F4B51AC">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投标文件中的</w:t>
            </w:r>
          </w:p>
          <w:p w14:paraId="3BF98DCB">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5B05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14:paraId="79C8813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66" w:type="pct"/>
            <w:vAlign w:val="center"/>
          </w:tcPr>
          <w:p w14:paraId="63852C0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投标文件按照招标文件要求签署、盖章。</w:t>
            </w:r>
          </w:p>
        </w:tc>
        <w:tc>
          <w:tcPr>
            <w:tcW w:w="1969" w:type="pct"/>
            <w:vAlign w:val="center"/>
          </w:tcPr>
          <w:p w14:paraId="2A22D81E">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需要使用电子签名或者签字盖章的投标文件的组成部分</w:t>
            </w:r>
          </w:p>
        </w:tc>
        <w:tc>
          <w:tcPr>
            <w:tcW w:w="1295" w:type="pct"/>
            <w:vAlign w:val="center"/>
          </w:tcPr>
          <w:p w14:paraId="77BA9065">
            <w:pPr>
              <w:rPr>
                <w:rFonts w:hint="eastAsia" w:asciiTheme="minorEastAsia" w:hAnsiTheme="minorEastAsia" w:eastAsiaTheme="minorEastAsia" w:cstheme="minorEastAsia"/>
                <w:sz w:val="24"/>
              </w:rPr>
            </w:pPr>
          </w:p>
          <w:p w14:paraId="5DE8350E">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见投标文件第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587F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14:paraId="51BFC22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66" w:type="pct"/>
            <w:vAlign w:val="center"/>
          </w:tcPr>
          <w:p w14:paraId="02C5D9E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投标文件中承诺的投标有效期不少于招标文件中载明的投标有效期。</w:t>
            </w:r>
          </w:p>
        </w:tc>
        <w:tc>
          <w:tcPr>
            <w:tcW w:w="1969" w:type="pct"/>
            <w:vAlign w:val="center"/>
          </w:tcPr>
          <w:p w14:paraId="75E9266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投标函</w:t>
            </w:r>
          </w:p>
        </w:tc>
        <w:tc>
          <w:tcPr>
            <w:tcW w:w="1295" w:type="pct"/>
            <w:vAlign w:val="center"/>
          </w:tcPr>
          <w:p w14:paraId="575C00C3">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见投标文件第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024B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14:paraId="0F51F37C">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466" w:type="pct"/>
            <w:vAlign w:val="center"/>
          </w:tcPr>
          <w:p w14:paraId="75271DA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投标文件满足招标文件的其它实质性要求。</w:t>
            </w:r>
          </w:p>
        </w:tc>
        <w:tc>
          <w:tcPr>
            <w:tcW w:w="1969" w:type="pct"/>
            <w:vAlign w:val="center"/>
          </w:tcPr>
          <w:p w14:paraId="08D7C7D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招标文件其它实质性要求相应的材料（“▲” 系指实质性要求条款，招标文件无其它实质性要求的，无需提供）</w:t>
            </w:r>
          </w:p>
        </w:tc>
        <w:tc>
          <w:tcPr>
            <w:tcW w:w="1295" w:type="pct"/>
            <w:vAlign w:val="center"/>
          </w:tcPr>
          <w:p w14:paraId="5253D811">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见投标文件第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75F41B7">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3945069D">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 xml:space="preserve">          </w:t>
      </w:r>
    </w:p>
    <w:p w14:paraId="28C38722">
      <w:pPr>
        <w:jc w:val="center"/>
        <w:rPr>
          <w:rFonts w:hint="eastAsia" w:asciiTheme="minorEastAsia" w:hAnsiTheme="minorEastAsia" w:eastAsiaTheme="minorEastAsia" w:cstheme="minorEastAsia"/>
          <w:b/>
          <w:kern w:val="0"/>
          <w:sz w:val="32"/>
          <w:szCs w:val="32"/>
        </w:rPr>
      </w:pPr>
    </w:p>
    <w:p w14:paraId="321E812B">
      <w:pPr>
        <w:jc w:val="center"/>
        <w:rPr>
          <w:rFonts w:hint="eastAsia" w:asciiTheme="minorEastAsia" w:hAnsiTheme="minorEastAsia" w:eastAsiaTheme="minorEastAsia" w:cstheme="minorEastAsia"/>
          <w:b/>
          <w:kern w:val="0"/>
          <w:sz w:val="32"/>
          <w:szCs w:val="32"/>
        </w:rPr>
      </w:pPr>
    </w:p>
    <w:p w14:paraId="25B42381">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四、评标标准相应的商务技术资料</w:t>
      </w:r>
    </w:p>
    <w:p w14:paraId="68F38E98">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（按招标文件第四部分评标办法前附表中“投标文件中评标标准相应的商务技术资料目录”提供资料。）</w:t>
      </w:r>
    </w:p>
    <w:p w14:paraId="3D081B80">
      <w:pPr>
        <w:spacing w:line="360" w:lineRule="auto"/>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参考格式1</w:t>
      </w:r>
    </w:p>
    <w:p w14:paraId="63D95522">
      <w:pPr>
        <w:spacing w:line="360"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投标供应商简况表</w:t>
      </w:r>
    </w:p>
    <w:tbl>
      <w:tblPr>
        <w:tblStyle w:val="19"/>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4D2B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4C2006CC">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单位名称</w:t>
            </w:r>
          </w:p>
        </w:tc>
        <w:tc>
          <w:tcPr>
            <w:tcW w:w="5143" w:type="dxa"/>
            <w:gridSpan w:val="4"/>
            <w:vAlign w:val="center"/>
          </w:tcPr>
          <w:p w14:paraId="40610AA5">
            <w:pPr>
              <w:autoSpaceDE w:val="0"/>
              <w:snapToGrid w:val="0"/>
              <w:spacing w:line="360" w:lineRule="auto"/>
              <w:jc w:val="center"/>
              <w:rPr>
                <w:rFonts w:hint="eastAsia" w:asciiTheme="minorEastAsia" w:hAnsiTheme="minorEastAsia" w:eastAsiaTheme="minorEastAsia" w:cstheme="minorEastAsia"/>
                <w:sz w:val="24"/>
                <w:lang w:val="zh-CN"/>
              </w:rPr>
            </w:pPr>
          </w:p>
        </w:tc>
        <w:tc>
          <w:tcPr>
            <w:tcW w:w="1418" w:type="dxa"/>
            <w:vAlign w:val="center"/>
          </w:tcPr>
          <w:p w14:paraId="6AA1CBEA">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成立时间</w:t>
            </w:r>
          </w:p>
        </w:tc>
        <w:tc>
          <w:tcPr>
            <w:tcW w:w="1515" w:type="dxa"/>
            <w:vAlign w:val="center"/>
          </w:tcPr>
          <w:p w14:paraId="4ABB1C58">
            <w:pPr>
              <w:autoSpaceDE w:val="0"/>
              <w:snapToGrid w:val="0"/>
              <w:spacing w:line="360" w:lineRule="auto"/>
              <w:jc w:val="center"/>
              <w:rPr>
                <w:rFonts w:hint="eastAsia" w:asciiTheme="minorEastAsia" w:hAnsiTheme="minorEastAsia" w:eastAsiaTheme="minorEastAsia" w:cstheme="minorEastAsia"/>
                <w:sz w:val="24"/>
                <w:lang w:val="zh-CN"/>
              </w:rPr>
            </w:pPr>
          </w:p>
        </w:tc>
      </w:tr>
      <w:tr w14:paraId="5355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1683A782">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资质等级</w:t>
            </w:r>
          </w:p>
        </w:tc>
        <w:tc>
          <w:tcPr>
            <w:tcW w:w="1600" w:type="dxa"/>
            <w:vAlign w:val="center"/>
          </w:tcPr>
          <w:p w14:paraId="1F4B97AC">
            <w:pPr>
              <w:autoSpaceDE w:val="0"/>
              <w:snapToGrid w:val="0"/>
              <w:spacing w:line="360" w:lineRule="auto"/>
              <w:jc w:val="center"/>
              <w:rPr>
                <w:rFonts w:hint="eastAsia" w:asciiTheme="minorEastAsia" w:hAnsiTheme="minorEastAsia" w:eastAsiaTheme="minorEastAsia" w:cstheme="minorEastAsia"/>
                <w:sz w:val="24"/>
                <w:lang w:val="zh-CN"/>
              </w:rPr>
            </w:pPr>
          </w:p>
        </w:tc>
        <w:tc>
          <w:tcPr>
            <w:tcW w:w="1134" w:type="dxa"/>
            <w:vAlign w:val="center"/>
          </w:tcPr>
          <w:p w14:paraId="78762E54">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经营方式</w:t>
            </w:r>
          </w:p>
        </w:tc>
        <w:tc>
          <w:tcPr>
            <w:tcW w:w="2409" w:type="dxa"/>
            <w:gridSpan w:val="2"/>
            <w:vAlign w:val="center"/>
          </w:tcPr>
          <w:p w14:paraId="04E93E58">
            <w:pPr>
              <w:autoSpaceDE w:val="0"/>
              <w:snapToGrid w:val="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□有限责任公司</w:t>
            </w:r>
          </w:p>
          <w:p w14:paraId="7FDDF071">
            <w:pPr>
              <w:autoSpaceDE w:val="0"/>
              <w:snapToGrid w:val="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□个人独立经营方式</w:t>
            </w:r>
          </w:p>
          <w:p w14:paraId="186D00A7">
            <w:pPr>
              <w:autoSpaceDE w:val="0"/>
              <w:snapToGrid w:val="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□合伙经营方式</w:t>
            </w:r>
          </w:p>
          <w:p w14:paraId="4147065D">
            <w:pPr>
              <w:autoSpaceDE w:val="0"/>
              <w:snapToGrid w:val="0"/>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 w:val="24"/>
                <w:lang w:val="zh-CN"/>
              </w:rPr>
              <w:t>□其他</w:t>
            </w:r>
          </w:p>
        </w:tc>
        <w:tc>
          <w:tcPr>
            <w:tcW w:w="1418" w:type="dxa"/>
            <w:vAlign w:val="center"/>
          </w:tcPr>
          <w:p w14:paraId="6131BAD1">
            <w:pPr>
              <w:autoSpaceDE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企业性质</w:t>
            </w:r>
          </w:p>
        </w:tc>
        <w:tc>
          <w:tcPr>
            <w:tcW w:w="1515" w:type="dxa"/>
            <w:vAlign w:val="center"/>
          </w:tcPr>
          <w:p w14:paraId="58FBCADB">
            <w:pPr>
              <w:autoSpaceDE w:val="0"/>
              <w:snapToGrid w:val="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□事业单位</w:t>
            </w:r>
          </w:p>
          <w:p w14:paraId="05D36A5F">
            <w:pPr>
              <w:autoSpaceDE w:val="0"/>
              <w:snapToGrid w:val="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□国企</w:t>
            </w:r>
          </w:p>
          <w:p w14:paraId="20CBD245">
            <w:pPr>
              <w:autoSpaceDE w:val="0"/>
              <w:snapToGrid w:val="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□民营</w:t>
            </w:r>
          </w:p>
          <w:p w14:paraId="20EB4FCC">
            <w:pPr>
              <w:autoSpaceDE w:val="0"/>
              <w:snapToGrid w:val="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□个体经营者</w:t>
            </w:r>
          </w:p>
          <w:p w14:paraId="50C421F4">
            <w:pPr>
              <w:autoSpaceDE w:val="0"/>
              <w:snapToGrid w:val="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□自然人</w:t>
            </w:r>
          </w:p>
          <w:p w14:paraId="3CF46EDC">
            <w:pPr>
              <w:autoSpaceDE w:val="0"/>
              <w:snapToGrid w:val="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□其他组织</w:t>
            </w:r>
          </w:p>
        </w:tc>
      </w:tr>
      <w:tr w14:paraId="67BA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7809CC89">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注册资金</w:t>
            </w:r>
          </w:p>
        </w:tc>
        <w:tc>
          <w:tcPr>
            <w:tcW w:w="1600" w:type="dxa"/>
            <w:vAlign w:val="center"/>
          </w:tcPr>
          <w:p w14:paraId="292A8012">
            <w:pPr>
              <w:autoSpaceDE w:val="0"/>
              <w:snapToGrid w:val="0"/>
              <w:spacing w:line="360" w:lineRule="auto"/>
              <w:jc w:val="center"/>
              <w:rPr>
                <w:rFonts w:hint="eastAsia" w:asciiTheme="minorEastAsia" w:hAnsiTheme="minorEastAsia" w:eastAsiaTheme="minorEastAsia" w:cstheme="minorEastAsia"/>
                <w:sz w:val="24"/>
                <w:lang w:val="zh-CN"/>
              </w:rPr>
            </w:pPr>
          </w:p>
        </w:tc>
        <w:tc>
          <w:tcPr>
            <w:tcW w:w="1134" w:type="dxa"/>
            <w:vAlign w:val="center"/>
          </w:tcPr>
          <w:p w14:paraId="1F26AC5A">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地    址</w:t>
            </w:r>
          </w:p>
        </w:tc>
        <w:tc>
          <w:tcPr>
            <w:tcW w:w="5342" w:type="dxa"/>
            <w:gridSpan w:val="4"/>
            <w:vAlign w:val="center"/>
          </w:tcPr>
          <w:p w14:paraId="098C8707">
            <w:pPr>
              <w:autoSpaceDE w:val="0"/>
              <w:snapToGrid w:val="0"/>
              <w:spacing w:line="360" w:lineRule="auto"/>
              <w:jc w:val="center"/>
              <w:rPr>
                <w:rFonts w:hint="eastAsia" w:asciiTheme="minorEastAsia" w:hAnsiTheme="minorEastAsia" w:eastAsiaTheme="minorEastAsia" w:cstheme="minorEastAsia"/>
                <w:sz w:val="24"/>
                <w:lang w:val="zh-CN"/>
              </w:rPr>
            </w:pPr>
          </w:p>
        </w:tc>
      </w:tr>
      <w:tr w14:paraId="7260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1DE877DE">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经营范围</w:t>
            </w:r>
          </w:p>
        </w:tc>
        <w:tc>
          <w:tcPr>
            <w:tcW w:w="8076" w:type="dxa"/>
            <w:gridSpan w:val="6"/>
            <w:vAlign w:val="center"/>
          </w:tcPr>
          <w:p w14:paraId="32DE841D">
            <w:pPr>
              <w:autoSpaceDE w:val="0"/>
              <w:snapToGrid w:val="0"/>
              <w:spacing w:line="360" w:lineRule="auto"/>
              <w:rPr>
                <w:rFonts w:hint="eastAsia" w:asciiTheme="minorEastAsia" w:hAnsiTheme="minorEastAsia" w:eastAsiaTheme="minorEastAsia" w:cstheme="minorEastAsia"/>
                <w:sz w:val="24"/>
                <w:lang w:val="zh-CN"/>
              </w:rPr>
            </w:pPr>
          </w:p>
          <w:p w14:paraId="7ABFB478">
            <w:pPr>
              <w:autoSpaceDE w:val="0"/>
              <w:snapToGrid w:val="0"/>
              <w:spacing w:line="360" w:lineRule="auto"/>
              <w:rPr>
                <w:rFonts w:hint="eastAsia" w:asciiTheme="minorEastAsia" w:hAnsiTheme="minorEastAsia" w:eastAsiaTheme="minorEastAsia" w:cstheme="minorEastAsia"/>
                <w:sz w:val="24"/>
                <w:lang w:val="zh-CN"/>
              </w:rPr>
            </w:pPr>
          </w:p>
          <w:p w14:paraId="2A7F0241">
            <w:pPr>
              <w:autoSpaceDE w:val="0"/>
              <w:snapToGrid w:val="0"/>
              <w:spacing w:line="360" w:lineRule="auto"/>
              <w:rPr>
                <w:rFonts w:hint="eastAsia" w:asciiTheme="minorEastAsia" w:hAnsiTheme="minorEastAsia" w:eastAsiaTheme="minorEastAsia" w:cstheme="minorEastAsia"/>
                <w:sz w:val="24"/>
                <w:lang w:val="zh-CN"/>
              </w:rPr>
            </w:pPr>
          </w:p>
          <w:p w14:paraId="3A5FA868">
            <w:pPr>
              <w:autoSpaceDE w:val="0"/>
              <w:snapToGrid w:val="0"/>
              <w:spacing w:line="360" w:lineRule="auto"/>
              <w:rPr>
                <w:rFonts w:hint="eastAsia" w:asciiTheme="minorEastAsia" w:hAnsiTheme="minorEastAsia" w:eastAsiaTheme="minorEastAsia" w:cstheme="minorEastAsia"/>
                <w:sz w:val="24"/>
                <w:lang w:val="zh-CN"/>
              </w:rPr>
            </w:pPr>
          </w:p>
        </w:tc>
      </w:tr>
      <w:tr w14:paraId="758A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4072117A">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单位</w:t>
            </w:r>
          </w:p>
          <w:p w14:paraId="369E2F57">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职工</w:t>
            </w:r>
          </w:p>
        </w:tc>
        <w:tc>
          <w:tcPr>
            <w:tcW w:w="4348" w:type="dxa"/>
            <w:gridSpan w:val="3"/>
            <w:vAlign w:val="center"/>
          </w:tcPr>
          <w:p w14:paraId="479202AE">
            <w:pPr>
              <w:autoSpaceDE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人数</w:t>
            </w:r>
          </w:p>
        </w:tc>
        <w:tc>
          <w:tcPr>
            <w:tcW w:w="3728" w:type="dxa"/>
            <w:gridSpan w:val="3"/>
            <w:vAlign w:val="center"/>
          </w:tcPr>
          <w:p w14:paraId="21D05597">
            <w:pPr>
              <w:autoSpaceDE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具有执业资格的管理人员人数</w:t>
            </w:r>
          </w:p>
        </w:tc>
      </w:tr>
      <w:tr w14:paraId="728B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7CDB466F">
            <w:pPr>
              <w:autoSpaceDE w:val="0"/>
              <w:snapToGrid w:val="0"/>
              <w:spacing w:line="360" w:lineRule="auto"/>
              <w:jc w:val="center"/>
              <w:rPr>
                <w:rFonts w:hint="eastAsia" w:asciiTheme="minorEastAsia" w:hAnsiTheme="minorEastAsia" w:eastAsiaTheme="minorEastAsia" w:cstheme="minorEastAsia"/>
                <w:sz w:val="24"/>
                <w:lang w:val="zh-CN"/>
              </w:rPr>
            </w:pPr>
          </w:p>
        </w:tc>
        <w:tc>
          <w:tcPr>
            <w:tcW w:w="4348" w:type="dxa"/>
            <w:gridSpan w:val="3"/>
            <w:vAlign w:val="center"/>
          </w:tcPr>
          <w:p w14:paraId="5DD521BF">
            <w:pPr>
              <w:autoSpaceDE w:val="0"/>
              <w:snapToGrid w:val="0"/>
              <w:spacing w:line="360" w:lineRule="auto"/>
              <w:jc w:val="center"/>
              <w:rPr>
                <w:rFonts w:hint="eastAsia" w:asciiTheme="minorEastAsia" w:hAnsiTheme="minorEastAsia" w:eastAsiaTheme="minorEastAsia" w:cstheme="minorEastAsia"/>
                <w:sz w:val="24"/>
                <w:lang w:val="zh-CN"/>
              </w:rPr>
            </w:pPr>
          </w:p>
        </w:tc>
        <w:tc>
          <w:tcPr>
            <w:tcW w:w="3728" w:type="dxa"/>
            <w:gridSpan w:val="3"/>
            <w:vAlign w:val="center"/>
          </w:tcPr>
          <w:p w14:paraId="20113490">
            <w:pPr>
              <w:autoSpaceDE w:val="0"/>
              <w:snapToGrid w:val="0"/>
              <w:spacing w:line="360" w:lineRule="auto"/>
              <w:jc w:val="center"/>
              <w:rPr>
                <w:rFonts w:hint="eastAsia" w:asciiTheme="minorEastAsia" w:hAnsiTheme="minorEastAsia" w:eastAsiaTheme="minorEastAsia" w:cstheme="minorEastAsia"/>
                <w:sz w:val="24"/>
                <w:lang w:val="zh-CN"/>
              </w:rPr>
            </w:pPr>
          </w:p>
        </w:tc>
      </w:tr>
      <w:tr w14:paraId="6EDB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1195" w:type="dxa"/>
            <w:vAlign w:val="center"/>
          </w:tcPr>
          <w:p w14:paraId="45A28B79">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获奖情况</w:t>
            </w:r>
          </w:p>
          <w:p w14:paraId="70D3D6B2">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(荣誉)</w:t>
            </w:r>
          </w:p>
        </w:tc>
        <w:tc>
          <w:tcPr>
            <w:tcW w:w="8076" w:type="dxa"/>
            <w:gridSpan w:val="6"/>
            <w:vAlign w:val="center"/>
          </w:tcPr>
          <w:p w14:paraId="07ED8E49">
            <w:pPr>
              <w:autoSpaceDE w:val="0"/>
              <w:snapToGrid w:val="0"/>
              <w:spacing w:line="360" w:lineRule="auto"/>
              <w:jc w:val="center"/>
              <w:rPr>
                <w:rFonts w:hint="eastAsia" w:asciiTheme="minorEastAsia" w:hAnsiTheme="minorEastAsia" w:eastAsiaTheme="minorEastAsia" w:cstheme="minorEastAsia"/>
                <w:sz w:val="24"/>
                <w:lang w:val="zh-CN"/>
              </w:rPr>
            </w:pPr>
          </w:p>
        </w:tc>
      </w:tr>
      <w:tr w14:paraId="5BF0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7" w:hRule="atLeast"/>
          <w:jc w:val="center"/>
        </w:trPr>
        <w:tc>
          <w:tcPr>
            <w:tcW w:w="1195" w:type="dxa"/>
            <w:vAlign w:val="center"/>
          </w:tcPr>
          <w:p w14:paraId="48706373">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单</w:t>
            </w:r>
          </w:p>
          <w:p w14:paraId="288E584E">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位</w:t>
            </w:r>
          </w:p>
          <w:p w14:paraId="315C4D60">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简</w:t>
            </w:r>
          </w:p>
          <w:p w14:paraId="69B450BA">
            <w:pPr>
              <w:autoSpaceDE w:val="0"/>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历</w:t>
            </w:r>
          </w:p>
        </w:tc>
        <w:tc>
          <w:tcPr>
            <w:tcW w:w="8076" w:type="dxa"/>
            <w:gridSpan w:val="6"/>
          </w:tcPr>
          <w:p w14:paraId="31CE6970">
            <w:pPr>
              <w:autoSpaceDE w:val="0"/>
              <w:snapToGrid w:val="0"/>
              <w:spacing w:line="360" w:lineRule="auto"/>
              <w:jc w:val="center"/>
              <w:rPr>
                <w:rFonts w:hint="eastAsia" w:asciiTheme="minorEastAsia" w:hAnsiTheme="minorEastAsia" w:eastAsiaTheme="minorEastAsia" w:cstheme="minorEastAsia"/>
                <w:sz w:val="24"/>
                <w:lang w:val="zh-CN"/>
              </w:rPr>
            </w:pPr>
          </w:p>
        </w:tc>
      </w:tr>
    </w:tbl>
    <w:p w14:paraId="7303944D">
      <w:pPr>
        <w:autoSpaceDE w:val="0"/>
        <w:snapToGrid w:val="0"/>
        <w:spacing w:line="360" w:lineRule="auto"/>
        <w:ind w:firstLine="84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附企业、人员的相关证书复印件。如有其它补充材料，格式自拟。（文本中已提供的资料无需重复提供）</w:t>
      </w:r>
    </w:p>
    <w:p w14:paraId="319E8228">
      <w:pPr>
        <w:snapToGrid w:val="0"/>
        <w:spacing w:line="360" w:lineRule="auto"/>
        <w:ind w:firstLine="576"/>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投标</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lang w:val="zh-CN"/>
        </w:rPr>
        <w:t xml:space="preserve">名称(电子签名)：                </w:t>
      </w:r>
    </w:p>
    <w:p w14:paraId="70B1972D">
      <w:pPr>
        <w:snapToGrid w:val="0"/>
        <w:spacing w:line="360" w:lineRule="auto"/>
        <w:ind w:firstLine="576"/>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日期：</w:t>
      </w:r>
      <w:r>
        <w:rPr>
          <w:rFonts w:hint="eastAsia" w:asciiTheme="minorEastAsia" w:hAnsiTheme="minorEastAsia" w:eastAsiaTheme="minorEastAsia" w:cstheme="minorEastAsia"/>
          <w:sz w:val="24"/>
        </w:rPr>
        <w:t xml:space="preserve">    年   月   日</w:t>
      </w:r>
    </w:p>
    <w:p w14:paraId="39F8307B">
      <w:pPr>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参考格式2</w:t>
      </w:r>
    </w:p>
    <w:p w14:paraId="521E5153">
      <w:pPr>
        <w:autoSpaceDE w:val="0"/>
        <w:spacing w:line="360" w:lineRule="auto"/>
        <w:ind w:firstLine="1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rPr>
        <w:t>20  年  月  日以</w:t>
      </w:r>
      <w:r>
        <w:rPr>
          <w:rFonts w:hint="eastAsia" w:asciiTheme="minorEastAsia" w:hAnsiTheme="minorEastAsia" w:eastAsiaTheme="minorEastAsia" w:cstheme="minorEastAsia"/>
          <w:b/>
          <w:sz w:val="30"/>
          <w:szCs w:val="30"/>
          <w:lang w:val="zh-CN"/>
        </w:rPr>
        <w:t>来主要业绩证明</w:t>
      </w:r>
    </w:p>
    <w:p w14:paraId="16A1C79D">
      <w:pPr>
        <w:autoSpaceDE w:val="0"/>
        <w:spacing w:line="360" w:lineRule="auto"/>
        <w:ind w:firstLine="1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附表：相关项目业绩一览表</w:t>
      </w:r>
    </w:p>
    <w:tbl>
      <w:tblPr>
        <w:tblStyle w:val="19"/>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14:paraId="650E3155">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14:paraId="2871ACC7">
            <w:pPr>
              <w:autoSpaceDE w:val="0"/>
              <w:spacing w:line="276"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14:paraId="521BC838">
            <w:pPr>
              <w:autoSpaceDE w:val="0"/>
              <w:spacing w:line="276"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14:paraId="5E6E32CC">
            <w:pPr>
              <w:autoSpaceDE w:val="0"/>
              <w:spacing w:line="276"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14:paraId="6E9ABFF9">
            <w:pPr>
              <w:autoSpaceDE w:val="0"/>
              <w:spacing w:line="276"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14:paraId="75BBB76E">
            <w:pPr>
              <w:autoSpaceDE w:val="0"/>
              <w:spacing w:line="276"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14:paraId="17A753A2">
            <w:pPr>
              <w:autoSpaceDE w:val="0"/>
              <w:spacing w:line="276"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14:paraId="5A59F53C">
            <w:pPr>
              <w:autoSpaceDE w:val="0"/>
              <w:spacing w:line="276"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所在页码</w:t>
            </w:r>
          </w:p>
        </w:tc>
      </w:tr>
      <w:tr w14:paraId="72BF7C0C">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71D07A23">
            <w:pPr>
              <w:autoSpaceDE w:val="0"/>
              <w:snapToGrid w:val="0"/>
              <w:spacing w:line="360" w:lineRule="auto"/>
              <w:rPr>
                <w:rFonts w:hint="eastAsia" w:asciiTheme="minorEastAsia" w:hAnsiTheme="minorEastAsia" w:eastAsiaTheme="minorEastAsia" w:cstheme="minorEastAsia"/>
                <w:sz w:val="24"/>
              </w:rPr>
            </w:pPr>
          </w:p>
        </w:tc>
        <w:tc>
          <w:tcPr>
            <w:tcW w:w="659" w:type="pct"/>
            <w:tcBorders>
              <w:top w:val="single" w:color="000000" w:sz="6" w:space="0"/>
              <w:left w:val="single" w:color="000000" w:sz="6" w:space="0"/>
              <w:bottom w:val="single" w:color="000000" w:sz="6" w:space="0"/>
              <w:right w:val="single" w:color="000000" w:sz="6" w:space="0"/>
            </w:tcBorders>
          </w:tcPr>
          <w:p w14:paraId="2CBD197D">
            <w:pPr>
              <w:autoSpaceDE w:val="0"/>
              <w:snapToGrid w:val="0"/>
              <w:spacing w:line="360" w:lineRule="auto"/>
              <w:rPr>
                <w:rFonts w:hint="eastAsia" w:asciiTheme="minorEastAsia" w:hAnsiTheme="minorEastAsia" w:eastAsiaTheme="minorEastAsia" w:cstheme="minorEastAsia"/>
                <w:sz w:val="24"/>
              </w:rPr>
            </w:pPr>
          </w:p>
        </w:tc>
        <w:tc>
          <w:tcPr>
            <w:tcW w:w="686" w:type="pct"/>
            <w:tcBorders>
              <w:top w:val="single" w:color="000000" w:sz="6" w:space="0"/>
              <w:left w:val="single" w:color="000000" w:sz="6" w:space="0"/>
              <w:bottom w:val="single" w:color="000000" w:sz="6" w:space="0"/>
              <w:right w:val="single" w:color="000000" w:sz="6" w:space="0"/>
            </w:tcBorders>
          </w:tcPr>
          <w:p w14:paraId="40394244">
            <w:pPr>
              <w:autoSpaceDE w:val="0"/>
              <w:snapToGrid w:val="0"/>
              <w:spacing w:line="360" w:lineRule="auto"/>
              <w:rPr>
                <w:rFonts w:hint="eastAsia" w:asciiTheme="minorEastAsia" w:hAnsiTheme="minorEastAsia" w:eastAsiaTheme="minorEastAsia" w:cstheme="minorEastAsia"/>
                <w:sz w:val="24"/>
              </w:rPr>
            </w:pPr>
          </w:p>
        </w:tc>
        <w:tc>
          <w:tcPr>
            <w:tcW w:w="673" w:type="pct"/>
            <w:tcBorders>
              <w:top w:val="single" w:color="000000" w:sz="6" w:space="0"/>
              <w:left w:val="single" w:color="000000" w:sz="6" w:space="0"/>
              <w:bottom w:val="single" w:color="000000" w:sz="6" w:space="0"/>
              <w:right w:val="single" w:color="000000" w:sz="6" w:space="0"/>
            </w:tcBorders>
          </w:tcPr>
          <w:p w14:paraId="0288DC2B">
            <w:pPr>
              <w:autoSpaceDE w:val="0"/>
              <w:snapToGrid w:val="0"/>
              <w:spacing w:line="360" w:lineRule="auto"/>
              <w:rPr>
                <w:rFonts w:hint="eastAsia" w:asciiTheme="minorEastAsia" w:hAnsiTheme="minorEastAsia" w:eastAsiaTheme="minorEastAsia" w:cstheme="minorEastAsia"/>
                <w:sz w:val="24"/>
              </w:rPr>
            </w:pPr>
          </w:p>
        </w:tc>
        <w:tc>
          <w:tcPr>
            <w:tcW w:w="554" w:type="pct"/>
            <w:tcBorders>
              <w:top w:val="single" w:color="000000" w:sz="6" w:space="0"/>
              <w:left w:val="single" w:color="000000" w:sz="6" w:space="0"/>
              <w:bottom w:val="single" w:color="000000" w:sz="6" w:space="0"/>
              <w:right w:val="single" w:color="000000" w:sz="6" w:space="0"/>
            </w:tcBorders>
          </w:tcPr>
          <w:p w14:paraId="5F1A99E7">
            <w:pPr>
              <w:autoSpaceDE w:val="0"/>
              <w:snapToGrid w:val="0"/>
              <w:spacing w:line="360" w:lineRule="auto"/>
              <w:rPr>
                <w:rFonts w:hint="eastAsia" w:asciiTheme="minorEastAsia" w:hAnsiTheme="minorEastAsia" w:eastAsiaTheme="minorEastAsia" w:cstheme="minorEastAsia"/>
                <w:sz w:val="24"/>
              </w:rPr>
            </w:pPr>
          </w:p>
        </w:tc>
        <w:tc>
          <w:tcPr>
            <w:tcW w:w="1390" w:type="pct"/>
            <w:tcBorders>
              <w:top w:val="single" w:color="000000" w:sz="6" w:space="0"/>
              <w:left w:val="single" w:color="000000" w:sz="6" w:space="0"/>
              <w:bottom w:val="single" w:color="000000" w:sz="6" w:space="0"/>
              <w:right w:val="single" w:color="000000" w:sz="6" w:space="0"/>
            </w:tcBorders>
          </w:tcPr>
          <w:p w14:paraId="15BA40F1">
            <w:pPr>
              <w:autoSpaceDE w:val="0"/>
              <w:snapToGrid w:val="0"/>
              <w:spacing w:line="360" w:lineRule="auto"/>
              <w:rPr>
                <w:rFonts w:hint="eastAsia" w:asciiTheme="minorEastAsia" w:hAnsiTheme="minorEastAsia" w:eastAsiaTheme="minorEastAsia" w:cstheme="minorEastAsia"/>
                <w:sz w:val="24"/>
              </w:rPr>
            </w:pPr>
          </w:p>
        </w:tc>
        <w:tc>
          <w:tcPr>
            <w:tcW w:w="395" w:type="pct"/>
            <w:tcBorders>
              <w:top w:val="single" w:color="000000" w:sz="6" w:space="0"/>
              <w:left w:val="single" w:color="000000" w:sz="6" w:space="0"/>
              <w:bottom w:val="single" w:color="000000" w:sz="6" w:space="0"/>
              <w:right w:val="single" w:color="000000" w:sz="6" w:space="0"/>
            </w:tcBorders>
          </w:tcPr>
          <w:p w14:paraId="35376648">
            <w:pPr>
              <w:autoSpaceDE w:val="0"/>
              <w:snapToGrid w:val="0"/>
              <w:spacing w:line="360" w:lineRule="auto"/>
              <w:rPr>
                <w:rFonts w:hint="eastAsia" w:asciiTheme="minorEastAsia" w:hAnsiTheme="minorEastAsia" w:eastAsiaTheme="minorEastAsia" w:cstheme="minorEastAsia"/>
                <w:sz w:val="24"/>
              </w:rPr>
            </w:pPr>
          </w:p>
        </w:tc>
      </w:tr>
      <w:tr w14:paraId="351D257E">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7E90ED69">
            <w:pPr>
              <w:autoSpaceDE w:val="0"/>
              <w:snapToGrid w:val="0"/>
              <w:spacing w:line="360" w:lineRule="auto"/>
              <w:rPr>
                <w:rFonts w:hint="eastAsia" w:asciiTheme="minorEastAsia" w:hAnsiTheme="minorEastAsia" w:eastAsiaTheme="minorEastAsia" w:cstheme="minorEastAsia"/>
                <w:sz w:val="24"/>
              </w:rPr>
            </w:pPr>
          </w:p>
        </w:tc>
        <w:tc>
          <w:tcPr>
            <w:tcW w:w="659" w:type="pct"/>
            <w:tcBorders>
              <w:top w:val="single" w:color="000000" w:sz="6" w:space="0"/>
              <w:left w:val="single" w:color="000000" w:sz="6" w:space="0"/>
              <w:bottom w:val="single" w:color="000000" w:sz="6" w:space="0"/>
              <w:right w:val="single" w:color="000000" w:sz="6" w:space="0"/>
            </w:tcBorders>
          </w:tcPr>
          <w:p w14:paraId="21A1027B">
            <w:pPr>
              <w:autoSpaceDE w:val="0"/>
              <w:snapToGrid w:val="0"/>
              <w:spacing w:line="360" w:lineRule="auto"/>
              <w:rPr>
                <w:rFonts w:hint="eastAsia" w:asciiTheme="minorEastAsia" w:hAnsiTheme="minorEastAsia" w:eastAsiaTheme="minorEastAsia" w:cstheme="minorEastAsia"/>
                <w:sz w:val="24"/>
              </w:rPr>
            </w:pPr>
          </w:p>
        </w:tc>
        <w:tc>
          <w:tcPr>
            <w:tcW w:w="686" w:type="pct"/>
            <w:tcBorders>
              <w:top w:val="single" w:color="000000" w:sz="6" w:space="0"/>
              <w:left w:val="single" w:color="000000" w:sz="6" w:space="0"/>
              <w:bottom w:val="single" w:color="000000" w:sz="6" w:space="0"/>
              <w:right w:val="single" w:color="000000" w:sz="6" w:space="0"/>
            </w:tcBorders>
          </w:tcPr>
          <w:p w14:paraId="548EA1A3">
            <w:pPr>
              <w:autoSpaceDE w:val="0"/>
              <w:snapToGrid w:val="0"/>
              <w:spacing w:line="360" w:lineRule="auto"/>
              <w:rPr>
                <w:rFonts w:hint="eastAsia" w:asciiTheme="minorEastAsia" w:hAnsiTheme="minorEastAsia" w:eastAsiaTheme="minorEastAsia" w:cstheme="minorEastAsia"/>
                <w:sz w:val="24"/>
              </w:rPr>
            </w:pPr>
          </w:p>
        </w:tc>
        <w:tc>
          <w:tcPr>
            <w:tcW w:w="673" w:type="pct"/>
            <w:tcBorders>
              <w:top w:val="single" w:color="000000" w:sz="6" w:space="0"/>
              <w:left w:val="single" w:color="000000" w:sz="6" w:space="0"/>
              <w:bottom w:val="single" w:color="000000" w:sz="6" w:space="0"/>
              <w:right w:val="single" w:color="000000" w:sz="6" w:space="0"/>
            </w:tcBorders>
          </w:tcPr>
          <w:p w14:paraId="077DB84C">
            <w:pPr>
              <w:autoSpaceDE w:val="0"/>
              <w:snapToGrid w:val="0"/>
              <w:spacing w:line="360" w:lineRule="auto"/>
              <w:rPr>
                <w:rFonts w:hint="eastAsia" w:asciiTheme="minorEastAsia" w:hAnsiTheme="minorEastAsia" w:eastAsiaTheme="minorEastAsia" w:cstheme="minorEastAsia"/>
                <w:sz w:val="24"/>
              </w:rPr>
            </w:pPr>
          </w:p>
        </w:tc>
        <w:tc>
          <w:tcPr>
            <w:tcW w:w="554" w:type="pct"/>
            <w:tcBorders>
              <w:top w:val="single" w:color="000000" w:sz="6" w:space="0"/>
              <w:left w:val="single" w:color="000000" w:sz="6" w:space="0"/>
              <w:bottom w:val="single" w:color="000000" w:sz="6" w:space="0"/>
              <w:right w:val="single" w:color="000000" w:sz="6" w:space="0"/>
            </w:tcBorders>
          </w:tcPr>
          <w:p w14:paraId="54D85474">
            <w:pPr>
              <w:autoSpaceDE w:val="0"/>
              <w:snapToGrid w:val="0"/>
              <w:spacing w:line="360" w:lineRule="auto"/>
              <w:rPr>
                <w:rFonts w:hint="eastAsia" w:asciiTheme="minorEastAsia" w:hAnsiTheme="minorEastAsia" w:eastAsiaTheme="minorEastAsia" w:cstheme="minorEastAsia"/>
                <w:sz w:val="24"/>
              </w:rPr>
            </w:pPr>
          </w:p>
        </w:tc>
        <w:tc>
          <w:tcPr>
            <w:tcW w:w="1390" w:type="pct"/>
            <w:tcBorders>
              <w:top w:val="single" w:color="000000" w:sz="6" w:space="0"/>
              <w:left w:val="single" w:color="000000" w:sz="6" w:space="0"/>
              <w:bottom w:val="single" w:color="000000" w:sz="6" w:space="0"/>
              <w:right w:val="single" w:color="000000" w:sz="6" w:space="0"/>
            </w:tcBorders>
          </w:tcPr>
          <w:p w14:paraId="0D6935ED">
            <w:pPr>
              <w:autoSpaceDE w:val="0"/>
              <w:snapToGrid w:val="0"/>
              <w:spacing w:line="360" w:lineRule="auto"/>
              <w:rPr>
                <w:rFonts w:hint="eastAsia" w:asciiTheme="minorEastAsia" w:hAnsiTheme="minorEastAsia" w:eastAsiaTheme="minorEastAsia" w:cstheme="minorEastAsia"/>
                <w:sz w:val="24"/>
              </w:rPr>
            </w:pPr>
          </w:p>
        </w:tc>
        <w:tc>
          <w:tcPr>
            <w:tcW w:w="395" w:type="pct"/>
            <w:tcBorders>
              <w:top w:val="single" w:color="000000" w:sz="6" w:space="0"/>
              <w:left w:val="single" w:color="000000" w:sz="6" w:space="0"/>
              <w:bottom w:val="single" w:color="000000" w:sz="6" w:space="0"/>
              <w:right w:val="single" w:color="000000" w:sz="6" w:space="0"/>
            </w:tcBorders>
          </w:tcPr>
          <w:p w14:paraId="6E02473B">
            <w:pPr>
              <w:autoSpaceDE w:val="0"/>
              <w:snapToGrid w:val="0"/>
              <w:spacing w:line="360" w:lineRule="auto"/>
              <w:rPr>
                <w:rFonts w:hint="eastAsia" w:asciiTheme="minorEastAsia" w:hAnsiTheme="minorEastAsia" w:eastAsiaTheme="minorEastAsia" w:cstheme="minorEastAsia"/>
                <w:sz w:val="24"/>
              </w:rPr>
            </w:pPr>
          </w:p>
        </w:tc>
      </w:tr>
      <w:tr w14:paraId="5A36EB0F">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1811E22F">
            <w:pPr>
              <w:autoSpaceDE w:val="0"/>
              <w:snapToGrid w:val="0"/>
              <w:spacing w:line="360" w:lineRule="auto"/>
              <w:rPr>
                <w:rFonts w:hint="eastAsia" w:asciiTheme="minorEastAsia" w:hAnsiTheme="minorEastAsia" w:eastAsiaTheme="minorEastAsia" w:cstheme="minorEastAsia"/>
                <w:sz w:val="24"/>
              </w:rPr>
            </w:pPr>
          </w:p>
        </w:tc>
        <w:tc>
          <w:tcPr>
            <w:tcW w:w="659" w:type="pct"/>
            <w:tcBorders>
              <w:top w:val="single" w:color="000000" w:sz="6" w:space="0"/>
              <w:left w:val="single" w:color="000000" w:sz="6" w:space="0"/>
              <w:bottom w:val="single" w:color="000000" w:sz="6" w:space="0"/>
              <w:right w:val="single" w:color="000000" w:sz="6" w:space="0"/>
            </w:tcBorders>
          </w:tcPr>
          <w:p w14:paraId="0DA73714">
            <w:pPr>
              <w:autoSpaceDE w:val="0"/>
              <w:snapToGrid w:val="0"/>
              <w:spacing w:line="360" w:lineRule="auto"/>
              <w:rPr>
                <w:rFonts w:hint="eastAsia" w:asciiTheme="minorEastAsia" w:hAnsiTheme="minorEastAsia" w:eastAsiaTheme="minorEastAsia" w:cstheme="minorEastAsia"/>
                <w:sz w:val="24"/>
              </w:rPr>
            </w:pPr>
          </w:p>
        </w:tc>
        <w:tc>
          <w:tcPr>
            <w:tcW w:w="686" w:type="pct"/>
            <w:tcBorders>
              <w:top w:val="single" w:color="000000" w:sz="6" w:space="0"/>
              <w:left w:val="single" w:color="000000" w:sz="6" w:space="0"/>
              <w:bottom w:val="single" w:color="000000" w:sz="6" w:space="0"/>
              <w:right w:val="single" w:color="000000" w:sz="6" w:space="0"/>
            </w:tcBorders>
          </w:tcPr>
          <w:p w14:paraId="17161598">
            <w:pPr>
              <w:autoSpaceDE w:val="0"/>
              <w:snapToGrid w:val="0"/>
              <w:spacing w:line="360" w:lineRule="auto"/>
              <w:rPr>
                <w:rFonts w:hint="eastAsia" w:asciiTheme="minorEastAsia" w:hAnsiTheme="minorEastAsia" w:eastAsiaTheme="minorEastAsia" w:cstheme="minorEastAsia"/>
                <w:sz w:val="24"/>
              </w:rPr>
            </w:pPr>
          </w:p>
        </w:tc>
        <w:tc>
          <w:tcPr>
            <w:tcW w:w="673" w:type="pct"/>
            <w:tcBorders>
              <w:top w:val="single" w:color="000000" w:sz="6" w:space="0"/>
              <w:left w:val="single" w:color="000000" w:sz="6" w:space="0"/>
              <w:bottom w:val="single" w:color="000000" w:sz="6" w:space="0"/>
              <w:right w:val="single" w:color="000000" w:sz="6" w:space="0"/>
            </w:tcBorders>
          </w:tcPr>
          <w:p w14:paraId="565F1636">
            <w:pPr>
              <w:autoSpaceDE w:val="0"/>
              <w:snapToGrid w:val="0"/>
              <w:spacing w:line="360" w:lineRule="auto"/>
              <w:rPr>
                <w:rFonts w:hint="eastAsia" w:asciiTheme="minorEastAsia" w:hAnsiTheme="minorEastAsia" w:eastAsiaTheme="minorEastAsia" w:cstheme="minorEastAsia"/>
                <w:sz w:val="24"/>
              </w:rPr>
            </w:pPr>
          </w:p>
        </w:tc>
        <w:tc>
          <w:tcPr>
            <w:tcW w:w="554" w:type="pct"/>
            <w:tcBorders>
              <w:top w:val="single" w:color="000000" w:sz="6" w:space="0"/>
              <w:left w:val="single" w:color="000000" w:sz="6" w:space="0"/>
              <w:bottom w:val="single" w:color="000000" w:sz="6" w:space="0"/>
              <w:right w:val="single" w:color="000000" w:sz="6" w:space="0"/>
            </w:tcBorders>
          </w:tcPr>
          <w:p w14:paraId="76ACD624">
            <w:pPr>
              <w:autoSpaceDE w:val="0"/>
              <w:snapToGrid w:val="0"/>
              <w:spacing w:line="360" w:lineRule="auto"/>
              <w:rPr>
                <w:rFonts w:hint="eastAsia" w:asciiTheme="minorEastAsia" w:hAnsiTheme="minorEastAsia" w:eastAsiaTheme="minorEastAsia" w:cstheme="minorEastAsia"/>
                <w:sz w:val="24"/>
              </w:rPr>
            </w:pPr>
          </w:p>
        </w:tc>
        <w:tc>
          <w:tcPr>
            <w:tcW w:w="1390" w:type="pct"/>
            <w:tcBorders>
              <w:top w:val="single" w:color="000000" w:sz="6" w:space="0"/>
              <w:left w:val="single" w:color="000000" w:sz="6" w:space="0"/>
              <w:bottom w:val="single" w:color="000000" w:sz="6" w:space="0"/>
              <w:right w:val="single" w:color="000000" w:sz="6" w:space="0"/>
            </w:tcBorders>
          </w:tcPr>
          <w:p w14:paraId="73C8AF70">
            <w:pPr>
              <w:autoSpaceDE w:val="0"/>
              <w:snapToGrid w:val="0"/>
              <w:spacing w:line="360" w:lineRule="auto"/>
              <w:rPr>
                <w:rFonts w:hint="eastAsia" w:asciiTheme="minorEastAsia" w:hAnsiTheme="minorEastAsia" w:eastAsiaTheme="minorEastAsia" w:cstheme="minorEastAsia"/>
                <w:sz w:val="24"/>
              </w:rPr>
            </w:pPr>
          </w:p>
        </w:tc>
        <w:tc>
          <w:tcPr>
            <w:tcW w:w="395" w:type="pct"/>
            <w:tcBorders>
              <w:top w:val="single" w:color="000000" w:sz="6" w:space="0"/>
              <w:left w:val="single" w:color="000000" w:sz="6" w:space="0"/>
              <w:bottom w:val="single" w:color="000000" w:sz="6" w:space="0"/>
              <w:right w:val="single" w:color="000000" w:sz="6" w:space="0"/>
            </w:tcBorders>
          </w:tcPr>
          <w:p w14:paraId="1901C1C8">
            <w:pPr>
              <w:autoSpaceDE w:val="0"/>
              <w:snapToGrid w:val="0"/>
              <w:spacing w:line="360" w:lineRule="auto"/>
              <w:rPr>
                <w:rFonts w:hint="eastAsia" w:asciiTheme="minorEastAsia" w:hAnsiTheme="minorEastAsia" w:eastAsiaTheme="minorEastAsia" w:cstheme="minorEastAsia"/>
                <w:sz w:val="24"/>
              </w:rPr>
            </w:pPr>
          </w:p>
        </w:tc>
      </w:tr>
    </w:tbl>
    <w:p w14:paraId="2811D84F">
      <w:pPr>
        <w:autoSpaceDE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rPr>
        <w:t xml:space="preserve">  注：投标供应商可按上述的格式自行编制，须随表提交相应的业绩证明材料（详见评分要求）并注明所在投标商务文件页码。</w:t>
      </w:r>
    </w:p>
    <w:p w14:paraId="40A761CA">
      <w:pPr>
        <w:snapToGrid w:val="0"/>
        <w:spacing w:line="360" w:lineRule="auto"/>
        <w:ind w:firstLine="576"/>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投标</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lang w:val="zh-CN"/>
        </w:rPr>
        <w:t xml:space="preserve">名称(电子签名)：                </w:t>
      </w:r>
    </w:p>
    <w:p w14:paraId="23468E57">
      <w:pPr>
        <w:snapToGrid w:val="0"/>
        <w:spacing w:line="360" w:lineRule="auto"/>
        <w:ind w:firstLine="57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 xml:space="preserve"> 日期：</w:t>
      </w:r>
      <w:r>
        <w:rPr>
          <w:rFonts w:hint="eastAsia" w:asciiTheme="minorEastAsia" w:hAnsiTheme="minorEastAsia" w:eastAsiaTheme="minorEastAsia" w:cstheme="minorEastAsia"/>
          <w:sz w:val="24"/>
        </w:rPr>
        <w:t xml:space="preserve">    年   月   日</w:t>
      </w:r>
    </w:p>
    <w:p w14:paraId="34D0C659">
      <w:pPr>
        <w:rPr>
          <w:rFonts w:hint="eastAsia" w:asciiTheme="minorEastAsia" w:hAnsiTheme="minorEastAsia" w:eastAsiaTheme="minorEastAsia" w:cstheme="minorEastAsia"/>
          <w:b/>
          <w:kern w:val="0"/>
          <w:sz w:val="28"/>
        </w:rPr>
      </w:pPr>
    </w:p>
    <w:p w14:paraId="13606FBB">
      <w:pPr>
        <w:rPr>
          <w:rFonts w:hint="eastAsia" w:asciiTheme="minorEastAsia" w:hAnsiTheme="minorEastAsia" w:eastAsiaTheme="minorEastAsia" w:cstheme="minorEastAsia"/>
          <w:b/>
          <w:kern w:val="0"/>
          <w:sz w:val="28"/>
        </w:rPr>
      </w:pPr>
    </w:p>
    <w:p w14:paraId="2F158344">
      <w:pPr>
        <w:rPr>
          <w:rFonts w:hint="eastAsia" w:asciiTheme="minorEastAsia" w:hAnsiTheme="minorEastAsia" w:eastAsiaTheme="minorEastAsia" w:cstheme="minorEastAsia"/>
          <w:b/>
          <w:kern w:val="0"/>
          <w:sz w:val="28"/>
        </w:rPr>
      </w:pPr>
    </w:p>
    <w:p w14:paraId="1DAA7AB8">
      <w:pPr>
        <w:rPr>
          <w:rFonts w:hint="eastAsia" w:asciiTheme="minorEastAsia" w:hAnsiTheme="minorEastAsia" w:eastAsiaTheme="minorEastAsia" w:cstheme="minorEastAsia"/>
          <w:b/>
          <w:kern w:val="0"/>
          <w:sz w:val="28"/>
        </w:rPr>
      </w:pPr>
      <w:r>
        <w:rPr>
          <w:rFonts w:hint="eastAsia" w:asciiTheme="minorEastAsia" w:hAnsiTheme="minorEastAsia" w:eastAsiaTheme="minorEastAsia" w:cstheme="minorEastAsia"/>
          <w:b/>
          <w:kern w:val="0"/>
          <w:sz w:val="28"/>
        </w:rPr>
        <w:t>参考格式3</w:t>
      </w:r>
    </w:p>
    <w:p w14:paraId="0BD1B426">
      <w:pPr>
        <w:jc w:val="center"/>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30"/>
          <w:szCs w:val="30"/>
        </w:rPr>
        <w:t>拟投入项目成员情况表</w:t>
      </w:r>
    </w:p>
    <w:tbl>
      <w:tblPr>
        <w:tblStyle w:val="19"/>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14:paraId="5E94C59D">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782E19">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团队</w:t>
            </w:r>
          </w:p>
          <w:p w14:paraId="64173A14">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69E2D1">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CE8099">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D1A0B8">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60AB22">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A29FF3">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CEF943">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08FD7E">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FA63A8">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312401">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05392ADD">
            <w:pPr>
              <w:autoSpaceDE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自行补充</w:t>
            </w:r>
          </w:p>
        </w:tc>
      </w:tr>
      <w:tr w14:paraId="1E1CAC0E">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02DDF5">
            <w:pPr>
              <w:autoSpaceDE w:val="0"/>
              <w:snapToGrid w:val="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40B587">
            <w:pPr>
              <w:autoSpaceDE w:val="0"/>
              <w:snapToGrid w:val="0"/>
              <w:rPr>
                <w:rFonts w:hint="eastAsia" w:asciiTheme="minorEastAsia" w:hAnsiTheme="minorEastAsia" w:eastAsiaTheme="minorEastAsia" w:cstheme="minorEastAsia"/>
                <w:sz w:val="24"/>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D406C7">
            <w:pPr>
              <w:autoSpaceDE w:val="0"/>
              <w:snapToGrid w:val="0"/>
              <w:rPr>
                <w:rFonts w:hint="eastAsia" w:asciiTheme="minorEastAsia" w:hAnsiTheme="minorEastAsia" w:eastAsiaTheme="minorEastAsia" w:cstheme="minorEastAsia"/>
                <w:sz w:val="24"/>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14DC6F">
            <w:pPr>
              <w:autoSpaceDE w:val="0"/>
              <w:snapToGrid w:val="0"/>
              <w:rPr>
                <w:rFonts w:hint="eastAsia" w:asciiTheme="minorEastAsia" w:hAnsiTheme="minorEastAsia" w:eastAsiaTheme="minorEastAsia" w:cstheme="minorEastAsia"/>
                <w:sz w:val="24"/>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325188">
            <w:pPr>
              <w:autoSpaceDE w:val="0"/>
              <w:snapToGrid w:val="0"/>
              <w:rPr>
                <w:rFonts w:hint="eastAsia" w:asciiTheme="minorEastAsia" w:hAnsiTheme="minorEastAsia" w:eastAsiaTheme="minorEastAsia" w:cstheme="minorEastAsia"/>
                <w:sz w:val="24"/>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A48EAF">
            <w:pPr>
              <w:autoSpaceDE w:val="0"/>
              <w:snapToGrid w:val="0"/>
              <w:rPr>
                <w:rFonts w:hint="eastAsia" w:asciiTheme="minorEastAsia" w:hAnsiTheme="minorEastAsia" w:eastAsiaTheme="minorEastAsia" w:cstheme="minorEastAsia"/>
                <w:sz w:val="24"/>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B50B68">
            <w:pPr>
              <w:autoSpaceDE w:val="0"/>
              <w:snapToGrid w:val="0"/>
              <w:rPr>
                <w:rFonts w:hint="eastAsia" w:asciiTheme="minorEastAsia" w:hAnsiTheme="minorEastAsia" w:eastAsiaTheme="minorEastAsia" w:cstheme="minorEastAsia"/>
                <w:sz w:val="24"/>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39DD93">
            <w:pPr>
              <w:autoSpaceDE w:val="0"/>
              <w:snapToGrid w:val="0"/>
              <w:rPr>
                <w:rFonts w:hint="eastAsia" w:asciiTheme="minorEastAsia" w:hAnsiTheme="minorEastAsia" w:eastAsiaTheme="minorEastAsia" w:cstheme="minorEastAsia"/>
                <w:sz w:val="24"/>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B54C07">
            <w:pPr>
              <w:autoSpaceDE w:val="0"/>
              <w:snapToGrid w:val="0"/>
              <w:rPr>
                <w:rFonts w:hint="eastAsia" w:asciiTheme="minorEastAsia" w:hAnsiTheme="minorEastAsia" w:eastAsiaTheme="minorEastAsia" w:cstheme="minorEastAsia"/>
                <w:sz w:val="24"/>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081ACD">
            <w:pPr>
              <w:autoSpaceDE w:val="0"/>
              <w:snapToGrid w:val="0"/>
              <w:rPr>
                <w:rFonts w:hint="eastAsia" w:asciiTheme="minorEastAsia" w:hAnsiTheme="minorEastAsia" w:eastAsiaTheme="minorEastAsia" w:cstheme="minorEastAsia"/>
                <w:sz w:val="24"/>
              </w:rPr>
            </w:pPr>
          </w:p>
        </w:tc>
      </w:tr>
      <w:tr w14:paraId="4FD043F7">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1B7E34">
            <w:pPr>
              <w:autoSpaceDE w:val="0"/>
              <w:snapToGrid w:val="0"/>
              <w:rPr>
                <w:rFonts w:hint="eastAsia" w:asciiTheme="minorEastAsia" w:hAnsiTheme="minorEastAsia" w:eastAsiaTheme="minorEastAsia" w:cstheme="minorEastAsia"/>
                <w:sz w:val="24"/>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F8C910">
            <w:pPr>
              <w:autoSpaceDE w:val="0"/>
              <w:snapToGrid w:val="0"/>
              <w:rPr>
                <w:rFonts w:hint="eastAsia" w:asciiTheme="minorEastAsia" w:hAnsiTheme="minorEastAsia" w:eastAsiaTheme="minorEastAsia" w:cstheme="minorEastAsia"/>
                <w:sz w:val="24"/>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FA42A7">
            <w:pPr>
              <w:autoSpaceDE w:val="0"/>
              <w:snapToGrid w:val="0"/>
              <w:rPr>
                <w:rFonts w:hint="eastAsia" w:asciiTheme="minorEastAsia" w:hAnsiTheme="minorEastAsia" w:eastAsiaTheme="minorEastAsia" w:cstheme="minorEastAsia"/>
                <w:sz w:val="24"/>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6211DC">
            <w:pPr>
              <w:autoSpaceDE w:val="0"/>
              <w:snapToGrid w:val="0"/>
              <w:rPr>
                <w:rFonts w:hint="eastAsia" w:asciiTheme="minorEastAsia" w:hAnsiTheme="minorEastAsia" w:eastAsiaTheme="minorEastAsia" w:cstheme="minorEastAsia"/>
                <w:sz w:val="24"/>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132896">
            <w:pPr>
              <w:autoSpaceDE w:val="0"/>
              <w:snapToGrid w:val="0"/>
              <w:rPr>
                <w:rFonts w:hint="eastAsia" w:asciiTheme="minorEastAsia" w:hAnsiTheme="minorEastAsia" w:eastAsiaTheme="minorEastAsia" w:cstheme="minorEastAsia"/>
                <w:sz w:val="24"/>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E73524">
            <w:pPr>
              <w:autoSpaceDE w:val="0"/>
              <w:snapToGrid w:val="0"/>
              <w:rPr>
                <w:rFonts w:hint="eastAsia" w:asciiTheme="minorEastAsia" w:hAnsiTheme="minorEastAsia" w:eastAsiaTheme="minorEastAsia" w:cstheme="minorEastAsia"/>
                <w:sz w:val="24"/>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28F5CF">
            <w:pPr>
              <w:autoSpaceDE w:val="0"/>
              <w:snapToGrid w:val="0"/>
              <w:rPr>
                <w:rFonts w:hint="eastAsia" w:asciiTheme="minorEastAsia" w:hAnsiTheme="minorEastAsia" w:eastAsiaTheme="minorEastAsia" w:cstheme="minorEastAsia"/>
                <w:sz w:val="24"/>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C47F7B">
            <w:pPr>
              <w:autoSpaceDE w:val="0"/>
              <w:snapToGrid w:val="0"/>
              <w:rPr>
                <w:rFonts w:hint="eastAsia" w:asciiTheme="minorEastAsia" w:hAnsiTheme="minorEastAsia" w:eastAsiaTheme="minorEastAsia" w:cstheme="minorEastAsia"/>
                <w:sz w:val="24"/>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2FF63A">
            <w:pPr>
              <w:autoSpaceDE w:val="0"/>
              <w:snapToGrid w:val="0"/>
              <w:rPr>
                <w:rFonts w:hint="eastAsia" w:asciiTheme="minorEastAsia" w:hAnsiTheme="minorEastAsia" w:eastAsiaTheme="minorEastAsia" w:cstheme="minorEastAsia"/>
                <w:sz w:val="24"/>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2C8853">
            <w:pPr>
              <w:autoSpaceDE w:val="0"/>
              <w:snapToGrid w:val="0"/>
              <w:rPr>
                <w:rFonts w:hint="eastAsia" w:asciiTheme="minorEastAsia" w:hAnsiTheme="minorEastAsia" w:eastAsiaTheme="minorEastAsia" w:cstheme="minorEastAsia"/>
                <w:sz w:val="24"/>
              </w:rPr>
            </w:pPr>
          </w:p>
        </w:tc>
      </w:tr>
      <w:tr w14:paraId="09E0F9A4">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EFAAC3">
            <w:pPr>
              <w:autoSpaceDE w:val="0"/>
              <w:snapToGrid w:val="0"/>
              <w:rPr>
                <w:rFonts w:hint="eastAsia" w:asciiTheme="minorEastAsia" w:hAnsiTheme="minorEastAsia" w:eastAsiaTheme="minorEastAsia" w:cstheme="minorEastAsia"/>
                <w:sz w:val="24"/>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F6FE39">
            <w:pPr>
              <w:autoSpaceDE w:val="0"/>
              <w:snapToGrid w:val="0"/>
              <w:rPr>
                <w:rFonts w:hint="eastAsia" w:asciiTheme="minorEastAsia" w:hAnsiTheme="minorEastAsia" w:eastAsiaTheme="minorEastAsia" w:cstheme="minorEastAsia"/>
                <w:sz w:val="24"/>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7510A3">
            <w:pPr>
              <w:autoSpaceDE w:val="0"/>
              <w:snapToGrid w:val="0"/>
              <w:rPr>
                <w:rFonts w:hint="eastAsia" w:asciiTheme="minorEastAsia" w:hAnsiTheme="minorEastAsia" w:eastAsiaTheme="minorEastAsia" w:cstheme="minorEastAsia"/>
                <w:sz w:val="24"/>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D75E08">
            <w:pPr>
              <w:autoSpaceDE w:val="0"/>
              <w:snapToGrid w:val="0"/>
              <w:rPr>
                <w:rFonts w:hint="eastAsia" w:asciiTheme="minorEastAsia" w:hAnsiTheme="minorEastAsia" w:eastAsiaTheme="minorEastAsia" w:cstheme="minorEastAsia"/>
                <w:sz w:val="24"/>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7771A0">
            <w:pPr>
              <w:autoSpaceDE w:val="0"/>
              <w:snapToGrid w:val="0"/>
              <w:rPr>
                <w:rFonts w:hint="eastAsia" w:asciiTheme="minorEastAsia" w:hAnsiTheme="minorEastAsia" w:eastAsiaTheme="minorEastAsia" w:cstheme="minorEastAsia"/>
                <w:sz w:val="24"/>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9F3AE1">
            <w:pPr>
              <w:autoSpaceDE w:val="0"/>
              <w:snapToGrid w:val="0"/>
              <w:rPr>
                <w:rFonts w:hint="eastAsia" w:asciiTheme="minorEastAsia" w:hAnsiTheme="minorEastAsia" w:eastAsiaTheme="minorEastAsia" w:cstheme="minorEastAsia"/>
                <w:sz w:val="24"/>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66C751">
            <w:pPr>
              <w:autoSpaceDE w:val="0"/>
              <w:snapToGrid w:val="0"/>
              <w:rPr>
                <w:rFonts w:hint="eastAsia" w:asciiTheme="minorEastAsia" w:hAnsiTheme="minorEastAsia" w:eastAsiaTheme="minorEastAsia" w:cstheme="minorEastAsia"/>
                <w:sz w:val="24"/>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38B4C4">
            <w:pPr>
              <w:autoSpaceDE w:val="0"/>
              <w:snapToGrid w:val="0"/>
              <w:rPr>
                <w:rFonts w:hint="eastAsia" w:asciiTheme="minorEastAsia" w:hAnsiTheme="minorEastAsia" w:eastAsiaTheme="minorEastAsia" w:cstheme="minorEastAsia"/>
                <w:sz w:val="24"/>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67909C">
            <w:pPr>
              <w:autoSpaceDE w:val="0"/>
              <w:snapToGrid w:val="0"/>
              <w:rPr>
                <w:rFonts w:hint="eastAsia" w:asciiTheme="minorEastAsia" w:hAnsiTheme="minorEastAsia" w:eastAsiaTheme="minorEastAsia" w:cstheme="minorEastAsia"/>
                <w:sz w:val="24"/>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8936F7">
            <w:pPr>
              <w:autoSpaceDE w:val="0"/>
              <w:snapToGrid w:val="0"/>
              <w:rPr>
                <w:rFonts w:hint="eastAsia" w:asciiTheme="minorEastAsia" w:hAnsiTheme="minorEastAsia" w:eastAsiaTheme="minorEastAsia" w:cstheme="minorEastAsia"/>
                <w:sz w:val="24"/>
              </w:rPr>
            </w:pPr>
          </w:p>
        </w:tc>
      </w:tr>
      <w:tr w14:paraId="226DB63F">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A12751">
            <w:pPr>
              <w:autoSpaceDE w:val="0"/>
              <w:snapToGrid w:val="0"/>
              <w:rPr>
                <w:rFonts w:hint="eastAsia" w:asciiTheme="minorEastAsia" w:hAnsiTheme="minorEastAsia" w:eastAsiaTheme="minorEastAsia" w:cstheme="minorEastAsia"/>
                <w:sz w:val="24"/>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7BECA5">
            <w:pPr>
              <w:autoSpaceDE w:val="0"/>
              <w:snapToGrid w:val="0"/>
              <w:rPr>
                <w:rFonts w:hint="eastAsia" w:asciiTheme="minorEastAsia" w:hAnsiTheme="minorEastAsia" w:eastAsiaTheme="minorEastAsia" w:cstheme="minorEastAsia"/>
                <w:sz w:val="24"/>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D8634A">
            <w:pPr>
              <w:autoSpaceDE w:val="0"/>
              <w:snapToGrid w:val="0"/>
              <w:rPr>
                <w:rFonts w:hint="eastAsia" w:asciiTheme="minorEastAsia" w:hAnsiTheme="minorEastAsia" w:eastAsiaTheme="minorEastAsia" w:cstheme="minorEastAsia"/>
                <w:sz w:val="24"/>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590006">
            <w:pPr>
              <w:autoSpaceDE w:val="0"/>
              <w:snapToGrid w:val="0"/>
              <w:rPr>
                <w:rFonts w:hint="eastAsia" w:asciiTheme="minorEastAsia" w:hAnsiTheme="minorEastAsia" w:eastAsiaTheme="minorEastAsia" w:cstheme="minorEastAsia"/>
                <w:sz w:val="24"/>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4561C">
            <w:pPr>
              <w:autoSpaceDE w:val="0"/>
              <w:snapToGrid w:val="0"/>
              <w:rPr>
                <w:rFonts w:hint="eastAsia" w:asciiTheme="minorEastAsia" w:hAnsiTheme="minorEastAsia" w:eastAsiaTheme="minorEastAsia" w:cstheme="minorEastAsia"/>
                <w:sz w:val="24"/>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903F90">
            <w:pPr>
              <w:autoSpaceDE w:val="0"/>
              <w:snapToGrid w:val="0"/>
              <w:rPr>
                <w:rFonts w:hint="eastAsia" w:asciiTheme="minorEastAsia" w:hAnsiTheme="minorEastAsia" w:eastAsiaTheme="minorEastAsia" w:cstheme="minorEastAsia"/>
                <w:sz w:val="24"/>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949231">
            <w:pPr>
              <w:autoSpaceDE w:val="0"/>
              <w:snapToGrid w:val="0"/>
              <w:rPr>
                <w:rFonts w:hint="eastAsia" w:asciiTheme="minorEastAsia" w:hAnsiTheme="minorEastAsia" w:eastAsiaTheme="minorEastAsia" w:cstheme="minorEastAsia"/>
                <w:sz w:val="24"/>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DA249F">
            <w:pPr>
              <w:autoSpaceDE w:val="0"/>
              <w:snapToGrid w:val="0"/>
              <w:rPr>
                <w:rFonts w:hint="eastAsia" w:asciiTheme="minorEastAsia" w:hAnsiTheme="minorEastAsia" w:eastAsiaTheme="minorEastAsia" w:cstheme="minorEastAsia"/>
                <w:sz w:val="24"/>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7E03AC">
            <w:pPr>
              <w:autoSpaceDE w:val="0"/>
              <w:snapToGrid w:val="0"/>
              <w:rPr>
                <w:rFonts w:hint="eastAsia" w:asciiTheme="minorEastAsia" w:hAnsiTheme="minorEastAsia" w:eastAsiaTheme="minorEastAsia" w:cstheme="minorEastAsia"/>
                <w:sz w:val="24"/>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826A75">
            <w:pPr>
              <w:autoSpaceDE w:val="0"/>
              <w:snapToGrid w:val="0"/>
              <w:rPr>
                <w:rFonts w:hint="eastAsia" w:asciiTheme="minorEastAsia" w:hAnsiTheme="minorEastAsia" w:eastAsiaTheme="minorEastAsia" w:cstheme="minorEastAsia"/>
                <w:sz w:val="24"/>
              </w:rPr>
            </w:pPr>
          </w:p>
        </w:tc>
      </w:tr>
      <w:tr w14:paraId="005E30D9">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E62F84">
            <w:pPr>
              <w:autoSpaceDE w:val="0"/>
              <w:snapToGrid w:val="0"/>
              <w:rPr>
                <w:rFonts w:hint="eastAsia" w:asciiTheme="minorEastAsia" w:hAnsiTheme="minorEastAsia" w:eastAsiaTheme="minorEastAsia" w:cstheme="minorEastAsia"/>
                <w:sz w:val="24"/>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E2A100">
            <w:pPr>
              <w:autoSpaceDE w:val="0"/>
              <w:snapToGrid w:val="0"/>
              <w:rPr>
                <w:rFonts w:hint="eastAsia" w:asciiTheme="minorEastAsia" w:hAnsiTheme="minorEastAsia" w:eastAsiaTheme="minorEastAsia" w:cstheme="minorEastAsia"/>
                <w:sz w:val="24"/>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16B541">
            <w:pPr>
              <w:autoSpaceDE w:val="0"/>
              <w:snapToGrid w:val="0"/>
              <w:rPr>
                <w:rFonts w:hint="eastAsia" w:asciiTheme="minorEastAsia" w:hAnsiTheme="minorEastAsia" w:eastAsiaTheme="minorEastAsia" w:cstheme="minorEastAsia"/>
                <w:sz w:val="24"/>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906586">
            <w:pPr>
              <w:autoSpaceDE w:val="0"/>
              <w:snapToGrid w:val="0"/>
              <w:rPr>
                <w:rFonts w:hint="eastAsia" w:asciiTheme="minorEastAsia" w:hAnsiTheme="minorEastAsia" w:eastAsiaTheme="minorEastAsia" w:cstheme="minorEastAsia"/>
                <w:sz w:val="24"/>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8BD627">
            <w:pPr>
              <w:autoSpaceDE w:val="0"/>
              <w:snapToGrid w:val="0"/>
              <w:rPr>
                <w:rFonts w:hint="eastAsia" w:asciiTheme="minorEastAsia" w:hAnsiTheme="minorEastAsia" w:eastAsiaTheme="minorEastAsia" w:cstheme="minorEastAsia"/>
                <w:sz w:val="24"/>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16DD17">
            <w:pPr>
              <w:autoSpaceDE w:val="0"/>
              <w:snapToGrid w:val="0"/>
              <w:rPr>
                <w:rFonts w:hint="eastAsia" w:asciiTheme="minorEastAsia" w:hAnsiTheme="minorEastAsia" w:eastAsiaTheme="minorEastAsia" w:cstheme="minorEastAsia"/>
                <w:sz w:val="24"/>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2A6BC3">
            <w:pPr>
              <w:autoSpaceDE w:val="0"/>
              <w:snapToGrid w:val="0"/>
              <w:rPr>
                <w:rFonts w:hint="eastAsia" w:asciiTheme="minorEastAsia" w:hAnsiTheme="minorEastAsia" w:eastAsiaTheme="minorEastAsia" w:cstheme="minorEastAsia"/>
                <w:sz w:val="24"/>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A4CB21">
            <w:pPr>
              <w:autoSpaceDE w:val="0"/>
              <w:snapToGrid w:val="0"/>
              <w:rPr>
                <w:rFonts w:hint="eastAsia" w:asciiTheme="minorEastAsia" w:hAnsiTheme="minorEastAsia" w:eastAsiaTheme="minorEastAsia" w:cstheme="minorEastAsia"/>
                <w:sz w:val="24"/>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6D5687">
            <w:pPr>
              <w:autoSpaceDE w:val="0"/>
              <w:snapToGrid w:val="0"/>
              <w:rPr>
                <w:rFonts w:hint="eastAsia" w:asciiTheme="minorEastAsia" w:hAnsiTheme="minorEastAsia" w:eastAsiaTheme="minorEastAsia" w:cstheme="minorEastAsia"/>
                <w:sz w:val="24"/>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769702">
            <w:pPr>
              <w:autoSpaceDE w:val="0"/>
              <w:snapToGrid w:val="0"/>
              <w:rPr>
                <w:rFonts w:hint="eastAsia" w:asciiTheme="minorEastAsia" w:hAnsiTheme="minorEastAsia" w:eastAsiaTheme="minorEastAsia" w:cstheme="minorEastAsia"/>
                <w:sz w:val="24"/>
              </w:rPr>
            </w:pPr>
          </w:p>
        </w:tc>
      </w:tr>
      <w:tr w14:paraId="58C16108">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06F836">
            <w:pPr>
              <w:autoSpaceDE w:val="0"/>
              <w:snapToGrid w:val="0"/>
              <w:rPr>
                <w:rFonts w:hint="eastAsia" w:asciiTheme="minorEastAsia" w:hAnsiTheme="minorEastAsia" w:eastAsiaTheme="minorEastAsia" w:cstheme="minorEastAsia"/>
                <w:sz w:val="24"/>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C4BE41">
            <w:pPr>
              <w:autoSpaceDE w:val="0"/>
              <w:snapToGrid w:val="0"/>
              <w:rPr>
                <w:rFonts w:hint="eastAsia" w:asciiTheme="minorEastAsia" w:hAnsiTheme="minorEastAsia" w:eastAsiaTheme="minorEastAsia" w:cstheme="minorEastAsia"/>
                <w:sz w:val="24"/>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7C1482">
            <w:pPr>
              <w:autoSpaceDE w:val="0"/>
              <w:snapToGrid w:val="0"/>
              <w:rPr>
                <w:rFonts w:hint="eastAsia" w:asciiTheme="minorEastAsia" w:hAnsiTheme="minorEastAsia" w:eastAsiaTheme="minorEastAsia" w:cstheme="minorEastAsia"/>
                <w:sz w:val="24"/>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7BAB10">
            <w:pPr>
              <w:autoSpaceDE w:val="0"/>
              <w:snapToGrid w:val="0"/>
              <w:rPr>
                <w:rFonts w:hint="eastAsia" w:asciiTheme="minorEastAsia" w:hAnsiTheme="minorEastAsia" w:eastAsiaTheme="minorEastAsia" w:cstheme="minorEastAsia"/>
                <w:sz w:val="24"/>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66E896">
            <w:pPr>
              <w:autoSpaceDE w:val="0"/>
              <w:snapToGrid w:val="0"/>
              <w:rPr>
                <w:rFonts w:hint="eastAsia" w:asciiTheme="minorEastAsia" w:hAnsiTheme="minorEastAsia" w:eastAsiaTheme="minorEastAsia" w:cstheme="minorEastAsia"/>
                <w:sz w:val="24"/>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D70129">
            <w:pPr>
              <w:autoSpaceDE w:val="0"/>
              <w:snapToGrid w:val="0"/>
              <w:rPr>
                <w:rFonts w:hint="eastAsia" w:asciiTheme="minorEastAsia" w:hAnsiTheme="minorEastAsia" w:eastAsiaTheme="minorEastAsia" w:cstheme="minorEastAsia"/>
                <w:sz w:val="24"/>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DE2049">
            <w:pPr>
              <w:autoSpaceDE w:val="0"/>
              <w:snapToGrid w:val="0"/>
              <w:rPr>
                <w:rFonts w:hint="eastAsia" w:asciiTheme="minorEastAsia" w:hAnsiTheme="minorEastAsia" w:eastAsiaTheme="minorEastAsia" w:cstheme="minorEastAsia"/>
                <w:sz w:val="24"/>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D41083">
            <w:pPr>
              <w:autoSpaceDE w:val="0"/>
              <w:snapToGrid w:val="0"/>
              <w:rPr>
                <w:rFonts w:hint="eastAsia" w:asciiTheme="minorEastAsia" w:hAnsiTheme="minorEastAsia" w:eastAsiaTheme="minorEastAsia" w:cstheme="minorEastAsia"/>
                <w:sz w:val="24"/>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E375D2">
            <w:pPr>
              <w:autoSpaceDE w:val="0"/>
              <w:snapToGrid w:val="0"/>
              <w:rPr>
                <w:rFonts w:hint="eastAsia" w:asciiTheme="minorEastAsia" w:hAnsiTheme="minorEastAsia" w:eastAsiaTheme="minorEastAsia" w:cstheme="minorEastAsia"/>
                <w:sz w:val="24"/>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D2824E">
            <w:pPr>
              <w:autoSpaceDE w:val="0"/>
              <w:snapToGrid w:val="0"/>
              <w:rPr>
                <w:rFonts w:hint="eastAsia" w:asciiTheme="minorEastAsia" w:hAnsiTheme="minorEastAsia" w:eastAsiaTheme="minorEastAsia" w:cstheme="minorEastAsia"/>
                <w:sz w:val="24"/>
              </w:rPr>
            </w:pPr>
          </w:p>
        </w:tc>
      </w:tr>
    </w:tbl>
    <w:p w14:paraId="54EE4BEB">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1B396DB1">
      <w:pPr>
        <w:spacing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投标</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lang w:val="zh-CN"/>
        </w:rPr>
        <w:t>名称(电子签名)：</w:t>
      </w:r>
    </w:p>
    <w:p w14:paraId="4DCD77B3">
      <w:pPr>
        <w:spacing w:line="360" w:lineRule="auto"/>
        <w:jc w:val="center"/>
        <w:rPr>
          <w:rFonts w:hint="eastAsia" w:asciiTheme="minorEastAsia" w:hAnsiTheme="minorEastAsia" w:eastAsiaTheme="minorEastAsia" w:cstheme="minorEastAsia"/>
          <w:b/>
          <w:kern w:val="0"/>
          <w:sz w:val="32"/>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日期：</w:t>
      </w:r>
      <w:r>
        <w:rPr>
          <w:rFonts w:hint="eastAsia" w:asciiTheme="minorEastAsia" w:hAnsiTheme="minorEastAsia" w:eastAsiaTheme="minorEastAsia" w:cstheme="minorEastAsia"/>
          <w:sz w:val="24"/>
        </w:rPr>
        <w:t xml:space="preserve">    年   月   日</w:t>
      </w:r>
    </w:p>
    <w:p w14:paraId="0AB49422">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28"/>
        </w:rPr>
        <w:br w:type="page"/>
      </w:r>
      <w:r>
        <w:rPr>
          <w:rFonts w:hint="eastAsia" w:asciiTheme="minorEastAsia" w:hAnsiTheme="minorEastAsia" w:eastAsiaTheme="minorEastAsia" w:cstheme="minorEastAsia"/>
          <w:b/>
          <w:kern w:val="0"/>
          <w:sz w:val="28"/>
        </w:rPr>
        <w:t>五</w:t>
      </w:r>
      <w:r>
        <w:rPr>
          <w:rFonts w:hint="eastAsia" w:asciiTheme="minorEastAsia" w:hAnsiTheme="minorEastAsia" w:eastAsiaTheme="minorEastAsia" w:cstheme="minorEastAsia"/>
          <w:b/>
          <w:kern w:val="0"/>
          <w:sz w:val="32"/>
          <w:szCs w:val="32"/>
        </w:rPr>
        <w:t>、投标标的清单</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14:paraId="5D86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1FEC25C9">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34" w:type="pct"/>
            <w:tcBorders>
              <w:top w:val="single" w:color="auto" w:sz="4" w:space="0"/>
              <w:left w:val="single" w:color="auto" w:sz="4" w:space="0"/>
              <w:bottom w:val="single" w:color="auto" w:sz="4" w:space="0"/>
              <w:right w:val="single" w:color="auto" w:sz="4" w:space="0"/>
            </w:tcBorders>
            <w:vAlign w:val="center"/>
          </w:tcPr>
          <w:p w14:paraId="664B1E9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735" w:type="pct"/>
            <w:tcBorders>
              <w:top w:val="single" w:color="auto" w:sz="4" w:space="0"/>
              <w:left w:val="single" w:color="auto" w:sz="4" w:space="0"/>
              <w:bottom w:val="single" w:color="auto" w:sz="4" w:space="0"/>
              <w:right w:val="single" w:color="auto" w:sz="4" w:space="0"/>
            </w:tcBorders>
          </w:tcPr>
          <w:p w14:paraId="0EE74DBF">
            <w:pPr>
              <w:spacing w:line="360" w:lineRule="auto"/>
              <w:jc w:val="center"/>
              <w:rPr>
                <w:rFonts w:hint="eastAsia" w:asciiTheme="minorEastAsia" w:hAnsiTheme="minorEastAsia" w:eastAsiaTheme="minorEastAsia" w:cstheme="minorEastAsia"/>
                <w:b/>
                <w:sz w:val="24"/>
              </w:rPr>
            </w:pPr>
          </w:p>
          <w:p w14:paraId="5CEB6DE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14:paraId="009D0E6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14:paraId="61BD6B1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14:paraId="3C4BBC0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服务标准</w:t>
            </w:r>
          </w:p>
        </w:tc>
        <w:tc>
          <w:tcPr>
            <w:tcW w:w="1187" w:type="pct"/>
            <w:tcBorders>
              <w:top w:val="single" w:color="auto" w:sz="4" w:space="0"/>
              <w:left w:val="single" w:color="auto" w:sz="4" w:space="0"/>
              <w:bottom w:val="single" w:color="auto" w:sz="4" w:space="0"/>
              <w:right w:val="single" w:color="auto" w:sz="4" w:space="0"/>
            </w:tcBorders>
            <w:vAlign w:val="center"/>
          </w:tcPr>
          <w:p w14:paraId="00B1FDC6">
            <w:pPr>
              <w:spacing w:line="360" w:lineRule="auto"/>
              <w:jc w:val="center"/>
              <w:rPr>
                <w:rFonts w:hint="eastAsia" w:asciiTheme="minorEastAsia" w:hAnsiTheme="minorEastAsia" w:eastAsiaTheme="minorEastAsia" w:cstheme="minorEastAsia"/>
                <w:b/>
                <w:sz w:val="24"/>
              </w:rPr>
            </w:pPr>
          </w:p>
          <w:p w14:paraId="7AB3BB6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备注（如果有）</w:t>
            </w:r>
          </w:p>
          <w:p w14:paraId="47D32501">
            <w:pPr>
              <w:spacing w:line="360" w:lineRule="auto"/>
              <w:jc w:val="center"/>
              <w:rPr>
                <w:rFonts w:hint="eastAsia" w:asciiTheme="minorEastAsia" w:hAnsiTheme="minorEastAsia" w:eastAsiaTheme="minorEastAsia" w:cstheme="minorEastAsia"/>
                <w:b/>
                <w:sz w:val="24"/>
              </w:rPr>
            </w:pPr>
          </w:p>
        </w:tc>
      </w:tr>
      <w:tr w14:paraId="4A51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287F1E9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34" w:type="pct"/>
            <w:tcBorders>
              <w:top w:val="single" w:color="auto" w:sz="4" w:space="0"/>
              <w:left w:val="single" w:color="auto" w:sz="4" w:space="0"/>
              <w:bottom w:val="single" w:color="auto" w:sz="4" w:space="0"/>
              <w:right w:val="single" w:color="auto" w:sz="4" w:space="0"/>
            </w:tcBorders>
            <w:vAlign w:val="center"/>
          </w:tcPr>
          <w:p w14:paraId="47861E05">
            <w:pPr>
              <w:snapToGrid w:val="0"/>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16D1E384">
            <w:pPr>
              <w:snapToGrid w:val="0"/>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29A7CBE7">
            <w:pPr>
              <w:snapToGrid w:val="0"/>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61A30D11">
            <w:pPr>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15E841F2">
            <w:pPr>
              <w:spacing w:line="360" w:lineRule="auto"/>
              <w:jc w:val="center"/>
              <w:rPr>
                <w:rFonts w:hint="eastAsia" w:asciiTheme="minorEastAsia" w:hAnsiTheme="minorEastAsia" w:eastAsiaTheme="minorEastAsia" w:cstheme="minorEastAsia"/>
                <w:sz w:val="24"/>
              </w:rPr>
            </w:pPr>
          </w:p>
        </w:tc>
        <w:tc>
          <w:tcPr>
            <w:tcW w:w="1187" w:type="pct"/>
            <w:tcBorders>
              <w:top w:val="single" w:color="auto" w:sz="4" w:space="0"/>
              <w:left w:val="single" w:color="auto" w:sz="4" w:space="0"/>
              <w:bottom w:val="single" w:color="auto" w:sz="4" w:space="0"/>
              <w:right w:val="single" w:color="auto" w:sz="4" w:space="0"/>
            </w:tcBorders>
            <w:vAlign w:val="center"/>
          </w:tcPr>
          <w:p w14:paraId="1C4B4FC1">
            <w:pPr>
              <w:spacing w:line="360" w:lineRule="auto"/>
              <w:jc w:val="center"/>
              <w:rPr>
                <w:rFonts w:hint="eastAsia" w:asciiTheme="minorEastAsia" w:hAnsiTheme="minorEastAsia" w:eastAsiaTheme="minorEastAsia" w:cstheme="minorEastAsia"/>
                <w:sz w:val="24"/>
              </w:rPr>
            </w:pPr>
          </w:p>
        </w:tc>
      </w:tr>
      <w:tr w14:paraId="136F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2F81C896">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34" w:type="pct"/>
            <w:tcBorders>
              <w:top w:val="single" w:color="auto" w:sz="4" w:space="0"/>
              <w:left w:val="single" w:color="auto" w:sz="4" w:space="0"/>
              <w:bottom w:val="single" w:color="auto" w:sz="4" w:space="0"/>
              <w:right w:val="single" w:color="auto" w:sz="4" w:space="0"/>
            </w:tcBorders>
            <w:vAlign w:val="center"/>
          </w:tcPr>
          <w:p w14:paraId="5179A256">
            <w:pPr>
              <w:snapToGrid w:val="0"/>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690AA973">
            <w:pPr>
              <w:snapToGrid w:val="0"/>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4964A5FB">
            <w:pPr>
              <w:snapToGrid w:val="0"/>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50B53861">
            <w:pPr>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57EF55C6">
            <w:pPr>
              <w:spacing w:line="360" w:lineRule="auto"/>
              <w:jc w:val="center"/>
              <w:rPr>
                <w:rFonts w:hint="eastAsia" w:asciiTheme="minorEastAsia" w:hAnsiTheme="minorEastAsia" w:eastAsiaTheme="minorEastAsia" w:cstheme="minorEastAsia"/>
                <w:sz w:val="24"/>
              </w:rPr>
            </w:pPr>
          </w:p>
        </w:tc>
        <w:tc>
          <w:tcPr>
            <w:tcW w:w="1187" w:type="pct"/>
            <w:tcBorders>
              <w:top w:val="single" w:color="auto" w:sz="4" w:space="0"/>
              <w:left w:val="single" w:color="auto" w:sz="4" w:space="0"/>
              <w:bottom w:val="single" w:color="auto" w:sz="4" w:space="0"/>
              <w:right w:val="single" w:color="auto" w:sz="4" w:space="0"/>
            </w:tcBorders>
            <w:vAlign w:val="center"/>
          </w:tcPr>
          <w:p w14:paraId="678B2CE9">
            <w:pPr>
              <w:spacing w:line="360" w:lineRule="auto"/>
              <w:jc w:val="center"/>
              <w:rPr>
                <w:rFonts w:hint="eastAsia" w:asciiTheme="minorEastAsia" w:hAnsiTheme="minorEastAsia" w:eastAsiaTheme="minorEastAsia" w:cstheme="minorEastAsia"/>
                <w:sz w:val="24"/>
              </w:rPr>
            </w:pPr>
          </w:p>
        </w:tc>
      </w:tr>
      <w:tr w14:paraId="79DE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0BD99E8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434" w:type="pct"/>
            <w:tcBorders>
              <w:top w:val="single" w:color="auto" w:sz="4" w:space="0"/>
              <w:left w:val="single" w:color="auto" w:sz="4" w:space="0"/>
              <w:bottom w:val="single" w:color="auto" w:sz="4" w:space="0"/>
              <w:right w:val="single" w:color="auto" w:sz="4" w:space="0"/>
            </w:tcBorders>
            <w:vAlign w:val="center"/>
          </w:tcPr>
          <w:p w14:paraId="6C9266C1">
            <w:pPr>
              <w:snapToGrid w:val="0"/>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4BB7283A">
            <w:pPr>
              <w:snapToGrid w:val="0"/>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1A88C1B3">
            <w:pPr>
              <w:snapToGrid w:val="0"/>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5643C9DC">
            <w:pPr>
              <w:spacing w:line="360" w:lineRule="auto"/>
              <w:jc w:val="center"/>
              <w:rPr>
                <w:rFonts w:hint="eastAsia" w:asciiTheme="minorEastAsia" w:hAnsiTheme="minorEastAsia" w:eastAsiaTheme="minorEastAsia" w:cstheme="minorEastAsia"/>
                <w:sz w:val="24"/>
              </w:rPr>
            </w:pPr>
          </w:p>
        </w:tc>
        <w:tc>
          <w:tcPr>
            <w:tcW w:w="735" w:type="pct"/>
            <w:tcBorders>
              <w:top w:val="single" w:color="auto" w:sz="4" w:space="0"/>
              <w:left w:val="single" w:color="auto" w:sz="4" w:space="0"/>
              <w:bottom w:val="single" w:color="auto" w:sz="4" w:space="0"/>
              <w:right w:val="single" w:color="auto" w:sz="4" w:space="0"/>
            </w:tcBorders>
            <w:vAlign w:val="center"/>
          </w:tcPr>
          <w:p w14:paraId="00D153B8">
            <w:pPr>
              <w:spacing w:line="360" w:lineRule="auto"/>
              <w:jc w:val="center"/>
              <w:rPr>
                <w:rFonts w:hint="eastAsia" w:asciiTheme="minorEastAsia" w:hAnsiTheme="minorEastAsia" w:eastAsiaTheme="minorEastAsia" w:cstheme="minorEastAsia"/>
                <w:sz w:val="24"/>
              </w:rPr>
            </w:pPr>
          </w:p>
        </w:tc>
        <w:tc>
          <w:tcPr>
            <w:tcW w:w="1187" w:type="pct"/>
            <w:tcBorders>
              <w:top w:val="single" w:color="auto" w:sz="4" w:space="0"/>
              <w:left w:val="single" w:color="auto" w:sz="4" w:space="0"/>
              <w:bottom w:val="single" w:color="auto" w:sz="4" w:space="0"/>
              <w:right w:val="single" w:color="auto" w:sz="4" w:space="0"/>
            </w:tcBorders>
            <w:vAlign w:val="center"/>
          </w:tcPr>
          <w:p w14:paraId="57AAF999">
            <w:pPr>
              <w:spacing w:line="360" w:lineRule="auto"/>
              <w:jc w:val="center"/>
              <w:rPr>
                <w:rFonts w:hint="eastAsia" w:asciiTheme="minorEastAsia" w:hAnsiTheme="minorEastAsia" w:eastAsiaTheme="minorEastAsia" w:cstheme="minorEastAsia"/>
                <w:sz w:val="24"/>
              </w:rPr>
            </w:pPr>
          </w:p>
        </w:tc>
      </w:tr>
    </w:tbl>
    <w:p w14:paraId="782C2F22">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0CE9B1E7">
      <w:pPr>
        <w:jc w:val="center"/>
        <w:rPr>
          <w:rFonts w:hint="eastAsia" w:asciiTheme="minorEastAsia" w:hAnsiTheme="minorEastAsia" w:eastAsiaTheme="minorEastAsia" w:cstheme="minorEastAsia"/>
          <w:b/>
          <w:kern w:val="0"/>
          <w:sz w:val="32"/>
          <w:szCs w:val="32"/>
        </w:rPr>
      </w:pPr>
    </w:p>
    <w:p w14:paraId="16DC5F21">
      <w:pPr>
        <w:jc w:val="center"/>
        <w:rPr>
          <w:rFonts w:hint="eastAsia" w:asciiTheme="minorEastAsia" w:hAnsiTheme="minorEastAsia" w:eastAsiaTheme="minorEastAsia" w:cstheme="minorEastAsia"/>
          <w:b/>
          <w:kern w:val="0"/>
          <w:sz w:val="32"/>
          <w:szCs w:val="32"/>
        </w:rPr>
      </w:pPr>
    </w:p>
    <w:p w14:paraId="39C7E7E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六、商务技术偏离表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14:paraId="2E2F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6A726972">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1883" w:type="pct"/>
          </w:tcPr>
          <w:p w14:paraId="45CE9BDF">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招标文件章节及具体内容</w:t>
            </w:r>
          </w:p>
        </w:tc>
        <w:tc>
          <w:tcPr>
            <w:tcW w:w="1883" w:type="pct"/>
          </w:tcPr>
          <w:p w14:paraId="3BB4C4B3">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投标文件章节及具体内容</w:t>
            </w:r>
          </w:p>
        </w:tc>
        <w:tc>
          <w:tcPr>
            <w:tcW w:w="773" w:type="pct"/>
          </w:tcPr>
          <w:p w14:paraId="5B951D31">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7778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206EA650">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883" w:type="pct"/>
          </w:tcPr>
          <w:p w14:paraId="4DA967AA">
            <w:pPr>
              <w:jc w:val="center"/>
              <w:rPr>
                <w:rFonts w:hint="eastAsia" w:asciiTheme="minorEastAsia" w:hAnsiTheme="minorEastAsia" w:eastAsiaTheme="minorEastAsia" w:cstheme="minorEastAsia"/>
                <w:b/>
                <w:kern w:val="0"/>
                <w:sz w:val="32"/>
                <w:szCs w:val="32"/>
              </w:rPr>
            </w:pPr>
          </w:p>
        </w:tc>
        <w:tc>
          <w:tcPr>
            <w:tcW w:w="1883" w:type="pct"/>
          </w:tcPr>
          <w:p w14:paraId="186DAAB2">
            <w:pPr>
              <w:jc w:val="center"/>
              <w:rPr>
                <w:rFonts w:hint="eastAsia" w:asciiTheme="minorEastAsia" w:hAnsiTheme="minorEastAsia" w:eastAsiaTheme="minorEastAsia" w:cstheme="minorEastAsia"/>
                <w:b/>
                <w:kern w:val="0"/>
                <w:sz w:val="32"/>
                <w:szCs w:val="32"/>
              </w:rPr>
            </w:pPr>
          </w:p>
        </w:tc>
        <w:tc>
          <w:tcPr>
            <w:tcW w:w="773" w:type="pct"/>
          </w:tcPr>
          <w:p w14:paraId="1A804A90">
            <w:pPr>
              <w:jc w:val="center"/>
              <w:rPr>
                <w:rFonts w:hint="eastAsia" w:asciiTheme="minorEastAsia" w:hAnsiTheme="minorEastAsia" w:eastAsiaTheme="minorEastAsia" w:cstheme="minorEastAsia"/>
                <w:b/>
                <w:kern w:val="0"/>
                <w:sz w:val="32"/>
                <w:szCs w:val="32"/>
              </w:rPr>
            </w:pPr>
          </w:p>
        </w:tc>
      </w:tr>
      <w:tr w14:paraId="326C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65EB3B14">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1883" w:type="pct"/>
          </w:tcPr>
          <w:p w14:paraId="0A8B5A85">
            <w:pPr>
              <w:jc w:val="center"/>
              <w:rPr>
                <w:rFonts w:hint="eastAsia" w:asciiTheme="minorEastAsia" w:hAnsiTheme="minorEastAsia" w:eastAsiaTheme="minorEastAsia" w:cstheme="minorEastAsia"/>
                <w:b/>
                <w:kern w:val="0"/>
                <w:sz w:val="32"/>
                <w:szCs w:val="32"/>
              </w:rPr>
            </w:pPr>
          </w:p>
        </w:tc>
        <w:tc>
          <w:tcPr>
            <w:tcW w:w="1883" w:type="pct"/>
          </w:tcPr>
          <w:p w14:paraId="4A8B3FC9">
            <w:pPr>
              <w:jc w:val="center"/>
              <w:rPr>
                <w:rFonts w:hint="eastAsia" w:asciiTheme="minorEastAsia" w:hAnsiTheme="minorEastAsia" w:eastAsiaTheme="minorEastAsia" w:cstheme="minorEastAsia"/>
                <w:b/>
                <w:kern w:val="0"/>
                <w:sz w:val="32"/>
                <w:szCs w:val="32"/>
              </w:rPr>
            </w:pPr>
          </w:p>
        </w:tc>
        <w:tc>
          <w:tcPr>
            <w:tcW w:w="773" w:type="pct"/>
          </w:tcPr>
          <w:p w14:paraId="5CA48A96">
            <w:pPr>
              <w:jc w:val="center"/>
              <w:rPr>
                <w:rFonts w:hint="eastAsia" w:asciiTheme="minorEastAsia" w:hAnsiTheme="minorEastAsia" w:eastAsiaTheme="minorEastAsia" w:cstheme="minorEastAsia"/>
                <w:b/>
                <w:kern w:val="0"/>
                <w:sz w:val="32"/>
                <w:szCs w:val="32"/>
              </w:rPr>
            </w:pPr>
          </w:p>
        </w:tc>
      </w:tr>
      <w:tr w14:paraId="6B4C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4C9F8D3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1883" w:type="pct"/>
          </w:tcPr>
          <w:p w14:paraId="6E041C42">
            <w:pPr>
              <w:jc w:val="center"/>
              <w:rPr>
                <w:rFonts w:hint="eastAsia" w:asciiTheme="minorEastAsia" w:hAnsiTheme="minorEastAsia" w:eastAsiaTheme="minorEastAsia" w:cstheme="minorEastAsia"/>
                <w:b/>
                <w:kern w:val="0"/>
                <w:sz w:val="32"/>
                <w:szCs w:val="32"/>
              </w:rPr>
            </w:pPr>
          </w:p>
        </w:tc>
        <w:tc>
          <w:tcPr>
            <w:tcW w:w="1883" w:type="pct"/>
          </w:tcPr>
          <w:p w14:paraId="05FB7DCF">
            <w:pPr>
              <w:jc w:val="center"/>
              <w:rPr>
                <w:rFonts w:hint="eastAsia" w:asciiTheme="minorEastAsia" w:hAnsiTheme="minorEastAsia" w:eastAsiaTheme="minorEastAsia" w:cstheme="minorEastAsia"/>
                <w:b/>
                <w:kern w:val="0"/>
                <w:sz w:val="32"/>
                <w:szCs w:val="32"/>
              </w:rPr>
            </w:pPr>
          </w:p>
        </w:tc>
        <w:tc>
          <w:tcPr>
            <w:tcW w:w="773" w:type="pct"/>
          </w:tcPr>
          <w:p w14:paraId="07AF6882">
            <w:pPr>
              <w:jc w:val="center"/>
              <w:rPr>
                <w:rFonts w:hint="eastAsia" w:asciiTheme="minorEastAsia" w:hAnsiTheme="minorEastAsia" w:eastAsiaTheme="minorEastAsia" w:cstheme="minorEastAsia"/>
                <w:b/>
                <w:kern w:val="0"/>
                <w:sz w:val="32"/>
                <w:szCs w:val="32"/>
              </w:rPr>
            </w:pPr>
          </w:p>
        </w:tc>
      </w:tr>
    </w:tbl>
    <w:p w14:paraId="5C7D2EF8">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投标人保证：除商务技术偏离表列出的偏离外，投标人响应招标文件的全部要求</w:t>
      </w:r>
    </w:p>
    <w:p w14:paraId="61E1B0E5">
      <w:pPr>
        <w:jc w:val="center"/>
        <w:rPr>
          <w:rFonts w:hint="eastAsia" w:asciiTheme="minorEastAsia" w:hAnsiTheme="minorEastAsia" w:eastAsiaTheme="minorEastAsia" w:cstheme="minorEastAsia"/>
          <w:b/>
          <w:kern w:val="0"/>
          <w:sz w:val="32"/>
          <w:szCs w:val="32"/>
        </w:rPr>
      </w:pPr>
    </w:p>
    <w:p w14:paraId="2901645C">
      <w:pPr>
        <w:spacing w:line="360" w:lineRule="auto"/>
        <w:ind w:righ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注：按本格式和要求提供。</w:t>
      </w:r>
    </w:p>
    <w:p w14:paraId="4CDD92E8">
      <w:pPr>
        <w:rPr>
          <w:rFonts w:hint="eastAsia" w:asciiTheme="minorEastAsia" w:hAnsiTheme="minorEastAsia" w:eastAsiaTheme="minorEastAsia" w:cstheme="minorEastAsia"/>
          <w:b/>
          <w:bCs/>
          <w:sz w:val="32"/>
          <w:szCs w:val="32"/>
        </w:rPr>
      </w:pPr>
    </w:p>
    <w:p w14:paraId="039D6D7B">
      <w:pPr>
        <w:ind w:firstLine="1911" w:firstLineChars="595"/>
        <w:rPr>
          <w:rFonts w:hint="eastAsia" w:asciiTheme="minorEastAsia" w:hAnsiTheme="minorEastAsia" w:eastAsiaTheme="minorEastAsia" w:cstheme="minorEastAsia"/>
          <w:b/>
          <w:bCs/>
          <w:sz w:val="32"/>
          <w:szCs w:val="32"/>
        </w:rPr>
      </w:pPr>
    </w:p>
    <w:p w14:paraId="4C1B7F3A">
      <w:pPr>
        <w:ind w:firstLine="1911" w:firstLineChars="595"/>
        <w:rPr>
          <w:rFonts w:hint="eastAsia" w:asciiTheme="minorEastAsia" w:hAnsiTheme="minorEastAsia" w:eastAsiaTheme="minorEastAsia" w:cstheme="minorEastAsia"/>
          <w:b/>
          <w:bCs/>
          <w:sz w:val="32"/>
          <w:szCs w:val="32"/>
        </w:rPr>
      </w:pPr>
    </w:p>
    <w:p w14:paraId="45621760">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18B62CAC">
      <w:pPr>
        <w:adjustRightInd w:val="0"/>
        <w:spacing w:line="360" w:lineRule="auto"/>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eastAsiaTheme="minorEastAsia" w:cstheme="minorEastAsia"/>
          <w:b/>
          <w:kern w:val="0"/>
          <w:sz w:val="32"/>
          <w:szCs w:val="32"/>
          <w:lang w:val="zh-CN"/>
        </w:rPr>
        <w:t>采购供应商廉洁自律承诺书</w:t>
      </w:r>
    </w:p>
    <w:p w14:paraId="68B20917">
      <w:pPr>
        <w:adjustRightInd w:val="0"/>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杭州市美术职业学校、杭州洲源招标代理有限公司</w:t>
      </w:r>
      <w:r>
        <w:rPr>
          <w:rFonts w:hint="eastAsia" w:asciiTheme="minorEastAsia" w:hAnsiTheme="minorEastAsia" w:eastAsiaTheme="minorEastAsia" w:cstheme="minorEastAsia"/>
          <w:kern w:val="0"/>
          <w:sz w:val="24"/>
          <w:lang w:val="zh-CN"/>
        </w:rPr>
        <w:t>：</w:t>
      </w:r>
    </w:p>
    <w:p w14:paraId="3E76BBC2">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项目招标要求参加投标。在这次投标过程中和中标后，我们将严格遵守国家法律法规要求，并郑重承诺：</w:t>
      </w:r>
    </w:p>
    <w:p w14:paraId="7EC50B05">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5B2BAA92">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43C43B6C">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38A7ED3A">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6BFC980B">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559A92F8">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0041A603">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六、严格遵守《</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政府采购法》、《</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招标投标法》、</w:t>
      </w:r>
      <w:r>
        <w:rPr>
          <w:rFonts w:hint="eastAsia" w:asciiTheme="minorEastAsia" w:hAnsiTheme="minorEastAsia" w:eastAsiaTheme="minorEastAsia" w:cstheme="minorEastAsia"/>
          <w:sz w:val="24"/>
          <w:lang w:val="zh-CN"/>
        </w:rPr>
        <w:t>《中华人民共和国民法典》</w:t>
      </w:r>
      <w:r>
        <w:rPr>
          <w:rFonts w:hint="eastAsia" w:asciiTheme="minorEastAsia" w:hAnsiTheme="minorEastAsia" w:eastAsiaTheme="minorEastAsia" w:cstheme="minorEastAsia"/>
          <w:kern w:val="0"/>
          <w:sz w:val="24"/>
          <w:lang w:val="zh-CN"/>
        </w:rPr>
        <w:t xml:space="preserve">等法律法规，诚实守信，合法经营，坚决抵制各种违法违纪行为。 </w:t>
      </w:r>
    </w:p>
    <w:p w14:paraId="78CE5639">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有权立即取消我单位投标、中标或在建项目的建设资格，有权拒绝我单位在一定时期内进入你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078489FE">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329C2485">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769249BF">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01CF3BB2">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投标人名称（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7DD02C8C">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7532A942">
      <w:pPr>
        <w:spacing w:line="360" w:lineRule="auto"/>
        <w:jc w:val="center"/>
        <w:rPr>
          <w:rFonts w:hint="eastAsia" w:asciiTheme="minorEastAsia" w:hAnsiTheme="minorEastAsia" w:eastAsiaTheme="minorEastAsia" w:cstheme="minorEastAsia"/>
          <w:b/>
          <w:bCs/>
          <w:sz w:val="24"/>
        </w:rPr>
      </w:pPr>
    </w:p>
    <w:p w14:paraId="22ED3821">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5ACBC96E">
      <w:pPr>
        <w:spacing w:line="360" w:lineRule="auto"/>
        <w:jc w:val="center"/>
        <w:rPr>
          <w:rFonts w:hint="eastAsia" w:asciiTheme="minorEastAsia" w:hAnsiTheme="minorEastAsia" w:eastAsiaTheme="minorEastAsia" w:cstheme="minorEastAsia"/>
          <w:b/>
          <w:bCs/>
          <w:sz w:val="24"/>
        </w:rPr>
        <w:sectPr>
          <w:headerReference r:id="rId6" w:type="first"/>
          <w:footerReference r:id="rId8" w:type="first"/>
          <w:headerReference r:id="rId5" w:type="default"/>
          <w:footerReference r:id="rId7" w:type="default"/>
          <w:pgSz w:w="11906" w:h="16838"/>
          <w:pgMar w:top="1417" w:right="1418" w:bottom="1417" w:left="1418" w:header="851" w:footer="992" w:gutter="0"/>
          <w:cols w:space="720" w:num="1"/>
          <w:titlePg/>
          <w:docGrid w:linePitch="312" w:charSpace="0"/>
        </w:sectPr>
      </w:pPr>
    </w:p>
    <w:p w14:paraId="510098F9">
      <w:pPr>
        <w:spacing w:line="360" w:lineRule="auto"/>
        <w:jc w:val="center"/>
        <w:outlineLvl w:val="0"/>
        <w:rPr>
          <w:rFonts w:hint="eastAsia" w:asciiTheme="minorEastAsia" w:hAnsiTheme="minorEastAsia" w:eastAsiaTheme="minorEastAsia" w:cstheme="minorEastAsia"/>
          <w:b/>
          <w:kern w:val="0"/>
          <w:sz w:val="36"/>
          <w:szCs w:val="36"/>
        </w:rPr>
      </w:pPr>
    </w:p>
    <w:p w14:paraId="23C611FD">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50A2B247">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092889E4">
      <w:pPr>
        <w:spacing w:line="360" w:lineRule="auto"/>
        <w:jc w:val="center"/>
        <w:outlineLvl w:val="0"/>
        <w:rPr>
          <w:rFonts w:hint="eastAsia" w:asciiTheme="minorEastAsia" w:hAnsiTheme="minorEastAsia" w:eastAsiaTheme="minorEastAsia" w:cstheme="minorEastAsia"/>
          <w:b/>
          <w:kern w:val="0"/>
          <w:sz w:val="36"/>
          <w:szCs w:val="36"/>
        </w:rPr>
      </w:pPr>
    </w:p>
    <w:p w14:paraId="35D8C0AD">
      <w:pPr>
        <w:numPr>
          <w:ilvl w:val="0"/>
          <w:numId w:val="8"/>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开标一览表（报价表）……………………………………………………（页码）</w:t>
      </w:r>
    </w:p>
    <w:p w14:paraId="5453A5D4">
      <w:pPr>
        <w:numPr>
          <w:ilvl w:val="0"/>
          <w:numId w:val="8"/>
        </w:num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中小企业声明函……………………………………………………………（页码）</w:t>
      </w:r>
    </w:p>
    <w:p w14:paraId="273340CB">
      <w:pPr>
        <w:snapToGrid w:val="0"/>
        <w:spacing w:line="360" w:lineRule="auto"/>
        <w:ind w:right="480"/>
        <w:jc w:val="center"/>
        <w:rPr>
          <w:rFonts w:hint="eastAsia" w:asciiTheme="minorEastAsia" w:hAnsiTheme="minorEastAsia" w:eastAsiaTheme="minorEastAsia" w:cstheme="minorEastAsia"/>
          <w:b/>
          <w:kern w:val="0"/>
          <w:sz w:val="32"/>
          <w:szCs w:val="32"/>
        </w:rPr>
      </w:pPr>
    </w:p>
    <w:p w14:paraId="07977C7B">
      <w:pPr>
        <w:snapToGrid w:val="0"/>
        <w:spacing w:line="360" w:lineRule="auto"/>
        <w:ind w:right="480"/>
        <w:jc w:val="center"/>
        <w:rPr>
          <w:rFonts w:hint="eastAsia" w:asciiTheme="minorEastAsia" w:hAnsiTheme="minorEastAsia" w:eastAsiaTheme="minorEastAsia" w:cstheme="minorEastAsia"/>
          <w:b/>
          <w:kern w:val="0"/>
          <w:sz w:val="32"/>
          <w:szCs w:val="32"/>
        </w:rPr>
      </w:pPr>
    </w:p>
    <w:p w14:paraId="0B3B3458">
      <w:pPr>
        <w:snapToGrid w:val="0"/>
        <w:spacing w:line="360" w:lineRule="auto"/>
        <w:ind w:right="480"/>
        <w:jc w:val="center"/>
        <w:rPr>
          <w:rFonts w:hint="eastAsia" w:asciiTheme="minorEastAsia" w:hAnsiTheme="minorEastAsia" w:eastAsiaTheme="minorEastAsia" w:cstheme="minorEastAsia"/>
          <w:b/>
          <w:kern w:val="0"/>
          <w:sz w:val="32"/>
          <w:szCs w:val="32"/>
        </w:rPr>
      </w:pPr>
    </w:p>
    <w:p w14:paraId="112D27BE">
      <w:pPr>
        <w:snapToGrid w:val="0"/>
        <w:spacing w:line="360" w:lineRule="auto"/>
        <w:ind w:right="480"/>
        <w:jc w:val="center"/>
        <w:rPr>
          <w:rFonts w:hint="eastAsia" w:asciiTheme="minorEastAsia" w:hAnsiTheme="minorEastAsia" w:eastAsiaTheme="minorEastAsia" w:cstheme="minorEastAsia"/>
          <w:b/>
          <w:kern w:val="0"/>
          <w:sz w:val="32"/>
          <w:szCs w:val="32"/>
        </w:rPr>
      </w:pPr>
    </w:p>
    <w:p w14:paraId="677A9702">
      <w:pPr>
        <w:snapToGrid w:val="0"/>
        <w:spacing w:line="360" w:lineRule="auto"/>
        <w:ind w:right="480"/>
        <w:jc w:val="center"/>
        <w:rPr>
          <w:rFonts w:hint="eastAsia" w:asciiTheme="minorEastAsia" w:hAnsiTheme="minorEastAsia" w:eastAsiaTheme="minorEastAsia" w:cstheme="minorEastAsia"/>
          <w:b/>
          <w:kern w:val="0"/>
          <w:sz w:val="32"/>
          <w:szCs w:val="32"/>
        </w:rPr>
      </w:pPr>
    </w:p>
    <w:p w14:paraId="50D6F147">
      <w:pPr>
        <w:snapToGrid w:val="0"/>
        <w:spacing w:line="360" w:lineRule="auto"/>
        <w:ind w:right="480"/>
        <w:jc w:val="center"/>
        <w:rPr>
          <w:rFonts w:hint="eastAsia" w:asciiTheme="minorEastAsia" w:hAnsiTheme="minorEastAsia" w:eastAsiaTheme="minorEastAsia" w:cstheme="minorEastAsia"/>
          <w:b/>
          <w:kern w:val="0"/>
          <w:sz w:val="32"/>
          <w:szCs w:val="32"/>
        </w:rPr>
      </w:pPr>
    </w:p>
    <w:p w14:paraId="19E1F571">
      <w:pPr>
        <w:snapToGrid w:val="0"/>
        <w:spacing w:line="360" w:lineRule="auto"/>
        <w:ind w:right="480"/>
        <w:jc w:val="center"/>
        <w:rPr>
          <w:rFonts w:hint="eastAsia" w:asciiTheme="minorEastAsia" w:hAnsiTheme="minorEastAsia" w:eastAsiaTheme="minorEastAsia" w:cstheme="minorEastAsia"/>
          <w:b/>
          <w:kern w:val="0"/>
          <w:sz w:val="32"/>
          <w:szCs w:val="32"/>
        </w:rPr>
      </w:pPr>
    </w:p>
    <w:p w14:paraId="132E9FDD">
      <w:pPr>
        <w:snapToGrid w:val="0"/>
        <w:spacing w:line="360" w:lineRule="auto"/>
        <w:ind w:right="480"/>
        <w:jc w:val="center"/>
        <w:rPr>
          <w:rFonts w:hint="eastAsia" w:asciiTheme="minorEastAsia" w:hAnsiTheme="minorEastAsia" w:eastAsiaTheme="minorEastAsia" w:cstheme="minorEastAsia"/>
          <w:b/>
          <w:kern w:val="0"/>
          <w:sz w:val="32"/>
          <w:szCs w:val="32"/>
        </w:rPr>
      </w:pPr>
    </w:p>
    <w:p w14:paraId="401EE272">
      <w:pPr>
        <w:snapToGrid w:val="0"/>
        <w:spacing w:line="360" w:lineRule="auto"/>
        <w:ind w:right="480"/>
        <w:jc w:val="center"/>
        <w:rPr>
          <w:rFonts w:hint="eastAsia" w:asciiTheme="minorEastAsia" w:hAnsiTheme="minorEastAsia" w:eastAsiaTheme="minorEastAsia" w:cstheme="minorEastAsia"/>
          <w:b/>
          <w:kern w:val="0"/>
          <w:sz w:val="32"/>
          <w:szCs w:val="32"/>
        </w:rPr>
      </w:pPr>
    </w:p>
    <w:p w14:paraId="54E40398">
      <w:pPr>
        <w:snapToGrid w:val="0"/>
        <w:spacing w:line="360" w:lineRule="auto"/>
        <w:ind w:right="480"/>
        <w:jc w:val="center"/>
        <w:rPr>
          <w:rFonts w:hint="eastAsia" w:asciiTheme="minorEastAsia" w:hAnsiTheme="minorEastAsia" w:eastAsiaTheme="minorEastAsia" w:cstheme="minorEastAsia"/>
          <w:b/>
          <w:kern w:val="0"/>
          <w:sz w:val="32"/>
          <w:szCs w:val="32"/>
        </w:rPr>
      </w:pPr>
    </w:p>
    <w:p w14:paraId="1BF8E13B">
      <w:pPr>
        <w:snapToGrid w:val="0"/>
        <w:spacing w:line="360" w:lineRule="auto"/>
        <w:ind w:right="480"/>
        <w:jc w:val="center"/>
        <w:rPr>
          <w:rFonts w:hint="eastAsia" w:asciiTheme="minorEastAsia" w:hAnsiTheme="minorEastAsia" w:eastAsiaTheme="minorEastAsia" w:cstheme="minorEastAsia"/>
          <w:b/>
          <w:kern w:val="0"/>
          <w:sz w:val="32"/>
          <w:szCs w:val="32"/>
        </w:rPr>
      </w:pPr>
    </w:p>
    <w:p w14:paraId="7C6F5E51">
      <w:pPr>
        <w:snapToGrid w:val="0"/>
        <w:spacing w:line="360" w:lineRule="auto"/>
        <w:ind w:right="480"/>
        <w:jc w:val="center"/>
        <w:rPr>
          <w:rFonts w:hint="eastAsia" w:asciiTheme="minorEastAsia" w:hAnsiTheme="minorEastAsia" w:eastAsiaTheme="minorEastAsia" w:cstheme="minorEastAsia"/>
          <w:b/>
          <w:kern w:val="0"/>
          <w:sz w:val="32"/>
          <w:szCs w:val="32"/>
        </w:rPr>
      </w:pPr>
    </w:p>
    <w:p w14:paraId="2E0258C5">
      <w:pPr>
        <w:snapToGrid w:val="0"/>
        <w:spacing w:line="360" w:lineRule="auto"/>
        <w:ind w:right="480"/>
        <w:jc w:val="center"/>
        <w:rPr>
          <w:rFonts w:hint="eastAsia" w:asciiTheme="minorEastAsia" w:hAnsiTheme="minorEastAsia" w:eastAsiaTheme="minorEastAsia" w:cstheme="minorEastAsia"/>
          <w:b/>
          <w:kern w:val="0"/>
          <w:sz w:val="32"/>
          <w:szCs w:val="32"/>
        </w:rPr>
      </w:pPr>
    </w:p>
    <w:p w14:paraId="6D12BFA8">
      <w:pPr>
        <w:snapToGrid w:val="0"/>
        <w:spacing w:line="360" w:lineRule="auto"/>
        <w:ind w:right="480"/>
        <w:jc w:val="center"/>
        <w:rPr>
          <w:rFonts w:hint="eastAsia" w:asciiTheme="minorEastAsia" w:hAnsiTheme="minorEastAsia" w:eastAsiaTheme="minorEastAsia" w:cstheme="minorEastAsia"/>
          <w:b/>
          <w:kern w:val="0"/>
          <w:sz w:val="32"/>
          <w:szCs w:val="32"/>
        </w:rPr>
      </w:pPr>
    </w:p>
    <w:p w14:paraId="6C1AEFE6">
      <w:pPr>
        <w:snapToGrid w:val="0"/>
        <w:spacing w:line="360" w:lineRule="auto"/>
        <w:ind w:right="480"/>
        <w:jc w:val="center"/>
        <w:rPr>
          <w:rFonts w:hint="eastAsia" w:asciiTheme="minorEastAsia" w:hAnsiTheme="minorEastAsia" w:eastAsiaTheme="minorEastAsia" w:cstheme="minorEastAsia"/>
          <w:b/>
          <w:kern w:val="0"/>
          <w:sz w:val="32"/>
          <w:szCs w:val="32"/>
        </w:rPr>
      </w:pPr>
    </w:p>
    <w:p w14:paraId="31B95B31">
      <w:pPr>
        <w:pStyle w:val="4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E96CA96">
      <w:pPr>
        <w:pStyle w:val="4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一、开标一览表（报价表）</w:t>
      </w:r>
    </w:p>
    <w:p w14:paraId="65D9198B">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杭州市美术职业学校、杭州洲源招标代理有限公司</w:t>
      </w:r>
      <w:r>
        <w:rPr>
          <w:rFonts w:hint="eastAsia" w:asciiTheme="minorEastAsia" w:hAnsiTheme="minorEastAsia" w:eastAsiaTheme="minorEastAsia" w:cstheme="minorEastAsia"/>
          <w:kern w:val="0"/>
          <w:sz w:val="24"/>
          <w:lang w:val="zh-CN"/>
        </w:rPr>
        <w:t>：</w:t>
      </w:r>
    </w:p>
    <w:p w14:paraId="3D335978">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按你方招标文件要求，我们</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lang w:val="zh-CN"/>
        </w:rPr>
        <w:t>本投标文件签字方</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sz w:val="24"/>
        </w:rPr>
        <w:t>杭州市美术职业学校数字底座项目</w:t>
      </w:r>
      <w:r>
        <w:rPr>
          <w:rFonts w:hint="eastAsia" w:asciiTheme="minorEastAsia" w:hAnsiTheme="minorEastAsia" w:eastAsiaTheme="minorEastAsia" w:cstheme="minorEastAsia"/>
          <w:kern w:val="0"/>
          <w:sz w:val="24"/>
          <w:lang w:val="zh-CN"/>
        </w:rPr>
        <w:t>【项目编号：</w:t>
      </w:r>
      <w:r>
        <w:rPr>
          <w:rFonts w:hint="eastAsia" w:asciiTheme="minorEastAsia" w:hAnsiTheme="minorEastAsia" w:eastAsiaTheme="minorEastAsia" w:cstheme="minorEastAsia"/>
          <w:sz w:val="24"/>
          <w:lang w:eastAsia="zh-CN"/>
        </w:rPr>
        <w:t>MSZX-2025-007</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4B74CD5C">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开标一览表（报价表）(单位均为人民币元)</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34"/>
        <w:gridCol w:w="1909"/>
        <w:gridCol w:w="2028"/>
        <w:gridCol w:w="1909"/>
        <w:gridCol w:w="1790"/>
        <w:gridCol w:w="1790"/>
        <w:gridCol w:w="1790"/>
        <w:gridCol w:w="1790"/>
      </w:tblGrid>
      <w:tr w14:paraId="0DDF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36" w:type="pct"/>
            <w:vAlign w:val="center"/>
          </w:tcPr>
          <w:p w14:paraId="767AC229">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287" w:type="pct"/>
            <w:vAlign w:val="center"/>
          </w:tcPr>
          <w:p w14:paraId="2296422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657" w:type="pct"/>
          </w:tcPr>
          <w:p w14:paraId="15BBE83F">
            <w:pPr>
              <w:spacing w:line="360" w:lineRule="auto"/>
              <w:jc w:val="center"/>
              <w:rPr>
                <w:rFonts w:hint="eastAsia" w:asciiTheme="minorEastAsia" w:hAnsiTheme="minorEastAsia" w:eastAsiaTheme="minorEastAsia" w:cstheme="minorEastAsia"/>
                <w:b/>
                <w:sz w:val="24"/>
              </w:rPr>
            </w:pPr>
          </w:p>
          <w:p w14:paraId="5D614FF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服务范围</w:t>
            </w:r>
          </w:p>
        </w:tc>
        <w:tc>
          <w:tcPr>
            <w:tcW w:w="697" w:type="pct"/>
            <w:vAlign w:val="center"/>
          </w:tcPr>
          <w:p w14:paraId="41BE9A3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服务要求</w:t>
            </w:r>
          </w:p>
        </w:tc>
        <w:tc>
          <w:tcPr>
            <w:tcW w:w="657" w:type="pct"/>
            <w:vAlign w:val="center"/>
          </w:tcPr>
          <w:p w14:paraId="1CED7FF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c>
          <w:tcPr>
            <w:tcW w:w="616" w:type="pct"/>
            <w:vAlign w:val="center"/>
          </w:tcPr>
          <w:p w14:paraId="60E80DE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服务标准</w:t>
            </w:r>
          </w:p>
        </w:tc>
        <w:tc>
          <w:tcPr>
            <w:tcW w:w="616" w:type="pct"/>
          </w:tcPr>
          <w:p w14:paraId="0FAD6571">
            <w:pPr>
              <w:spacing w:line="360" w:lineRule="auto"/>
              <w:jc w:val="center"/>
              <w:rPr>
                <w:rFonts w:hint="eastAsia" w:asciiTheme="minorEastAsia" w:hAnsiTheme="minorEastAsia" w:eastAsiaTheme="minorEastAsia" w:cstheme="minorEastAsia"/>
                <w:b/>
                <w:sz w:val="24"/>
              </w:rPr>
            </w:pPr>
          </w:p>
          <w:p w14:paraId="60BD5B5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服务人数</w:t>
            </w:r>
          </w:p>
        </w:tc>
        <w:tc>
          <w:tcPr>
            <w:tcW w:w="616" w:type="pct"/>
            <w:vAlign w:val="center"/>
          </w:tcPr>
          <w:p w14:paraId="6D4B79BE">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项目负责人</w:t>
            </w:r>
          </w:p>
        </w:tc>
        <w:tc>
          <w:tcPr>
            <w:tcW w:w="616" w:type="pct"/>
            <w:vAlign w:val="center"/>
          </w:tcPr>
          <w:p w14:paraId="4961E66A">
            <w:pPr>
              <w:spacing w:line="360" w:lineRule="auto"/>
              <w:jc w:val="center"/>
              <w:rPr>
                <w:rFonts w:hint="eastAsia" w:asciiTheme="minorEastAsia" w:hAnsiTheme="minorEastAsia" w:eastAsiaTheme="minorEastAsia" w:cstheme="minorEastAsia"/>
                <w:b/>
                <w:sz w:val="24"/>
              </w:rPr>
            </w:pPr>
          </w:p>
          <w:p w14:paraId="58529B6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备注（如果有）</w:t>
            </w:r>
          </w:p>
          <w:p w14:paraId="2763F76B">
            <w:pPr>
              <w:spacing w:line="360" w:lineRule="auto"/>
              <w:jc w:val="center"/>
              <w:rPr>
                <w:rFonts w:hint="eastAsia" w:asciiTheme="minorEastAsia" w:hAnsiTheme="minorEastAsia" w:eastAsiaTheme="minorEastAsia" w:cstheme="minorEastAsia"/>
                <w:b/>
                <w:sz w:val="24"/>
              </w:rPr>
            </w:pPr>
          </w:p>
        </w:tc>
      </w:tr>
      <w:tr w14:paraId="7134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14:paraId="2D5D0EC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7" w:type="pct"/>
            <w:vAlign w:val="center"/>
          </w:tcPr>
          <w:p w14:paraId="62F11288">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XX</w:t>
            </w:r>
          </w:p>
        </w:tc>
        <w:tc>
          <w:tcPr>
            <w:tcW w:w="657" w:type="pct"/>
            <w:vAlign w:val="center"/>
          </w:tcPr>
          <w:p w14:paraId="6BCC148D">
            <w:pPr>
              <w:snapToGrid w:val="0"/>
              <w:spacing w:line="360" w:lineRule="auto"/>
              <w:jc w:val="center"/>
              <w:rPr>
                <w:rFonts w:hint="eastAsia" w:asciiTheme="minorEastAsia" w:hAnsiTheme="minorEastAsia" w:eastAsiaTheme="minorEastAsia" w:cstheme="minorEastAsia"/>
                <w:sz w:val="24"/>
              </w:rPr>
            </w:pPr>
          </w:p>
        </w:tc>
        <w:tc>
          <w:tcPr>
            <w:tcW w:w="697" w:type="pct"/>
            <w:vAlign w:val="center"/>
          </w:tcPr>
          <w:p w14:paraId="0162D589">
            <w:pPr>
              <w:snapToGrid w:val="0"/>
              <w:spacing w:line="360" w:lineRule="auto"/>
              <w:jc w:val="center"/>
              <w:rPr>
                <w:rFonts w:hint="eastAsia" w:asciiTheme="minorEastAsia" w:hAnsiTheme="minorEastAsia" w:eastAsiaTheme="minorEastAsia" w:cstheme="minorEastAsia"/>
                <w:sz w:val="24"/>
              </w:rPr>
            </w:pPr>
          </w:p>
        </w:tc>
        <w:tc>
          <w:tcPr>
            <w:tcW w:w="657" w:type="pct"/>
            <w:vAlign w:val="center"/>
          </w:tcPr>
          <w:p w14:paraId="3920F662">
            <w:pPr>
              <w:snapToGrid w:val="0"/>
              <w:spacing w:line="360" w:lineRule="auto"/>
              <w:jc w:val="center"/>
              <w:rPr>
                <w:rFonts w:hint="eastAsia" w:asciiTheme="minorEastAsia" w:hAnsiTheme="minorEastAsia" w:eastAsiaTheme="minorEastAsia" w:cstheme="minorEastAsia"/>
                <w:sz w:val="24"/>
              </w:rPr>
            </w:pPr>
          </w:p>
        </w:tc>
        <w:tc>
          <w:tcPr>
            <w:tcW w:w="616" w:type="pct"/>
            <w:vAlign w:val="center"/>
          </w:tcPr>
          <w:p w14:paraId="60FE04F2">
            <w:pPr>
              <w:spacing w:line="360" w:lineRule="auto"/>
              <w:jc w:val="center"/>
              <w:rPr>
                <w:rFonts w:hint="eastAsia" w:asciiTheme="minorEastAsia" w:hAnsiTheme="minorEastAsia" w:eastAsiaTheme="minorEastAsia" w:cstheme="minorEastAsia"/>
                <w:sz w:val="24"/>
              </w:rPr>
            </w:pPr>
          </w:p>
        </w:tc>
        <w:tc>
          <w:tcPr>
            <w:tcW w:w="616" w:type="pct"/>
          </w:tcPr>
          <w:p w14:paraId="418D7D8F">
            <w:pPr>
              <w:spacing w:line="360" w:lineRule="auto"/>
              <w:jc w:val="center"/>
              <w:rPr>
                <w:rFonts w:hint="eastAsia" w:asciiTheme="minorEastAsia" w:hAnsiTheme="minorEastAsia" w:eastAsiaTheme="minorEastAsia" w:cstheme="minorEastAsia"/>
                <w:sz w:val="24"/>
              </w:rPr>
            </w:pPr>
          </w:p>
        </w:tc>
        <w:tc>
          <w:tcPr>
            <w:tcW w:w="616" w:type="pct"/>
            <w:vAlign w:val="center"/>
          </w:tcPr>
          <w:p w14:paraId="045B09F5">
            <w:pPr>
              <w:spacing w:line="360" w:lineRule="auto"/>
              <w:jc w:val="center"/>
              <w:rPr>
                <w:rFonts w:hint="eastAsia" w:asciiTheme="minorEastAsia" w:hAnsiTheme="minorEastAsia" w:eastAsiaTheme="minorEastAsia" w:cstheme="minorEastAsia"/>
                <w:sz w:val="24"/>
              </w:rPr>
            </w:pPr>
          </w:p>
        </w:tc>
        <w:tc>
          <w:tcPr>
            <w:tcW w:w="616" w:type="pct"/>
            <w:vAlign w:val="center"/>
          </w:tcPr>
          <w:p w14:paraId="168203A4">
            <w:pPr>
              <w:spacing w:line="360" w:lineRule="auto"/>
              <w:jc w:val="center"/>
              <w:rPr>
                <w:rFonts w:hint="eastAsia" w:asciiTheme="minorEastAsia" w:hAnsiTheme="minorEastAsia" w:eastAsiaTheme="minorEastAsia" w:cstheme="minorEastAsia"/>
                <w:sz w:val="24"/>
              </w:rPr>
            </w:pPr>
          </w:p>
        </w:tc>
      </w:tr>
      <w:tr w14:paraId="5D64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14:paraId="2941D9A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7" w:type="pct"/>
            <w:vAlign w:val="center"/>
          </w:tcPr>
          <w:p w14:paraId="0FBE1E7C">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XX</w:t>
            </w:r>
          </w:p>
        </w:tc>
        <w:tc>
          <w:tcPr>
            <w:tcW w:w="657" w:type="pct"/>
            <w:vAlign w:val="center"/>
          </w:tcPr>
          <w:p w14:paraId="7678E91C">
            <w:pPr>
              <w:snapToGrid w:val="0"/>
              <w:spacing w:line="360" w:lineRule="auto"/>
              <w:jc w:val="center"/>
              <w:rPr>
                <w:rFonts w:hint="eastAsia" w:asciiTheme="minorEastAsia" w:hAnsiTheme="minorEastAsia" w:eastAsiaTheme="minorEastAsia" w:cstheme="minorEastAsia"/>
                <w:sz w:val="24"/>
              </w:rPr>
            </w:pPr>
          </w:p>
        </w:tc>
        <w:tc>
          <w:tcPr>
            <w:tcW w:w="697" w:type="pct"/>
            <w:vAlign w:val="center"/>
          </w:tcPr>
          <w:p w14:paraId="1C86A8AE">
            <w:pPr>
              <w:snapToGrid w:val="0"/>
              <w:spacing w:line="360" w:lineRule="auto"/>
              <w:jc w:val="center"/>
              <w:rPr>
                <w:rFonts w:hint="eastAsia" w:asciiTheme="minorEastAsia" w:hAnsiTheme="minorEastAsia" w:eastAsiaTheme="minorEastAsia" w:cstheme="minorEastAsia"/>
                <w:sz w:val="24"/>
              </w:rPr>
            </w:pPr>
          </w:p>
        </w:tc>
        <w:tc>
          <w:tcPr>
            <w:tcW w:w="657" w:type="pct"/>
            <w:vAlign w:val="center"/>
          </w:tcPr>
          <w:p w14:paraId="05E9EDFD">
            <w:pPr>
              <w:snapToGrid w:val="0"/>
              <w:spacing w:line="360" w:lineRule="auto"/>
              <w:jc w:val="center"/>
              <w:rPr>
                <w:rFonts w:hint="eastAsia" w:asciiTheme="minorEastAsia" w:hAnsiTheme="minorEastAsia" w:eastAsiaTheme="minorEastAsia" w:cstheme="minorEastAsia"/>
                <w:sz w:val="24"/>
              </w:rPr>
            </w:pPr>
          </w:p>
        </w:tc>
        <w:tc>
          <w:tcPr>
            <w:tcW w:w="616" w:type="pct"/>
            <w:vAlign w:val="center"/>
          </w:tcPr>
          <w:p w14:paraId="6BEA94F1">
            <w:pPr>
              <w:spacing w:line="360" w:lineRule="auto"/>
              <w:jc w:val="center"/>
              <w:rPr>
                <w:rFonts w:hint="eastAsia" w:asciiTheme="minorEastAsia" w:hAnsiTheme="minorEastAsia" w:eastAsiaTheme="minorEastAsia" w:cstheme="minorEastAsia"/>
                <w:sz w:val="24"/>
              </w:rPr>
            </w:pPr>
          </w:p>
        </w:tc>
        <w:tc>
          <w:tcPr>
            <w:tcW w:w="616" w:type="pct"/>
          </w:tcPr>
          <w:p w14:paraId="200242F3">
            <w:pPr>
              <w:spacing w:line="360" w:lineRule="auto"/>
              <w:jc w:val="center"/>
              <w:rPr>
                <w:rFonts w:hint="eastAsia" w:asciiTheme="minorEastAsia" w:hAnsiTheme="minorEastAsia" w:eastAsiaTheme="minorEastAsia" w:cstheme="minorEastAsia"/>
                <w:sz w:val="24"/>
              </w:rPr>
            </w:pPr>
          </w:p>
        </w:tc>
        <w:tc>
          <w:tcPr>
            <w:tcW w:w="616" w:type="pct"/>
            <w:vAlign w:val="center"/>
          </w:tcPr>
          <w:p w14:paraId="57135ABC">
            <w:pPr>
              <w:spacing w:line="360" w:lineRule="auto"/>
              <w:jc w:val="center"/>
              <w:rPr>
                <w:rFonts w:hint="eastAsia" w:asciiTheme="minorEastAsia" w:hAnsiTheme="minorEastAsia" w:eastAsiaTheme="minorEastAsia" w:cstheme="minorEastAsia"/>
                <w:sz w:val="24"/>
              </w:rPr>
            </w:pPr>
          </w:p>
        </w:tc>
        <w:tc>
          <w:tcPr>
            <w:tcW w:w="616" w:type="pct"/>
            <w:vAlign w:val="center"/>
          </w:tcPr>
          <w:p w14:paraId="6404083A">
            <w:pPr>
              <w:spacing w:line="360" w:lineRule="auto"/>
              <w:jc w:val="center"/>
              <w:rPr>
                <w:rFonts w:hint="eastAsia" w:asciiTheme="minorEastAsia" w:hAnsiTheme="minorEastAsia" w:eastAsiaTheme="minorEastAsia" w:cstheme="minorEastAsia"/>
                <w:sz w:val="24"/>
              </w:rPr>
            </w:pPr>
          </w:p>
        </w:tc>
      </w:tr>
      <w:tr w14:paraId="6A66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14:paraId="7473A2DE">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87" w:type="pct"/>
            <w:vAlign w:val="center"/>
          </w:tcPr>
          <w:p w14:paraId="076C7470">
            <w:pPr>
              <w:snapToGrid w:val="0"/>
              <w:spacing w:line="360" w:lineRule="auto"/>
              <w:jc w:val="center"/>
              <w:rPr>
                <w:rFonts w:hint="eastAsia" w:asciiTheme="minorEastAsia" w:hAnsiTheme="minorEastAsia" w:eastAsiaTheme="minorEastAsia" w:cstheme="minorEastAsia"/>
                <w:sz w:val="24"/>
              </w:rPr>
            </w:pPr>
          </w:p>
        </w:tc>
        <w:tc>
          <w:tcPr>
            <w:tcW w:w="657" w:type="pct"/>
            <w:vAlign w:val="center"/>
          </w:tcPr>
          <w:p w14:paraId="5414DA82">
            <w:pPr>
              <w:snapToGrid w:val="0"/>
              <w:spacing w:line="360" w:lineRule="auto"/>
              <w:jc w:val="center"/>
              <w:rPr>
                <w:rFonts w:hint="eastAsia" w:asciiTheme="minorEastAsia" w:hAnsiTheme="minorEastAsia" w:eastAsiaTheme="minorEastAsia" w:cstheme="minorEastAsia"/>
                <w:sz w:val="24"/>
              </w:rPr>
            </w:pPr>
          </w:p>
        </w:tc>
        <w:tc>
          <w:tcPr>
            <w:tcW w:w="697" w:type="pct"/>
            <w:vAlign w:val="center"/>
          </w:tcPr>
          <w:p w14:paraId="6D2B4B79">
            <w:pPr>
              <w:snapToGrid w:val="0"/>
              <w:spacing w:line="360" w:lineRule="auto"/>
              <w:jc w:val="center"/>
              <w:rPr>
                <w:rFonts w:hint="eastAsia" w:asciiTheme="minorEastAsia" w:hAnsiTheme="minorEastAsia" w:eastAsiaTheme="minorEastAsia" w:cstheme="minorEastAsia"/>
                <w:sz w:val="24"/>
              </w:rPr>
            </w:pPr>
          </w:p>
        </w:tc>
        <w:tc>
          <w:tcPr>
            <w:tcW w:w="657" w:type="pct"/>
            <w:vAlign w:val="center"/>
          </w:tcPr>
          <w:p w14:paraId="1FF1FADD">
            <w:pPr>
              <w:snapToGrid w:val="0"/>
              <w:spacing w:line="360" w:lineRule="auto"/>
              <w:jc w:val="center"/>
              <w:rPr>
                <w:rFonts w:hint="eastAsia" w:asciiTheme="minorEastAsia" w:hAnsiTheme="minorEastAsia" w:eastAsiaTheme="minorEastAsia" w:cstheme="minorEastAsia"/>
                <w:sz w:val="24"/>
              </w:rPr>
            </w:pPr>
          </w:p>
        </w:tc>
        <w:tc>
          <w:tcPr>
            <w:tcW w:w="616" w:type="pct"/>
            <w:vAlign w:val="center"/>
          </w:tcPr>
          <w:p w14:paraId="0BA2FF2B">
            <w:pPr>
              <w:spacing w:line="360" w:lineRule="auto"/>
              <w:jc w:val="center"/>
              <w:rPr>
                <w:rFonts w:hint="eastAsia" w:asciiTheme="minorEastAsia" w:hAnsiTheme="minorEastAsia" w:eastAsiaTheme="minorEastAsia" w:cstheme="minorEastAsia"/>
                <w:sz w:val="24"/>
              </w:rPr>
            </w:pPr>
          </w:p>
        </w:tc>
        <w:tc>
          <w:tcPr>
            <w:tcW w:w="616" w:type="pct"/>
          </w:tcPr>
          <w:p w14:paraId="5D645027">
            <w:pPr>
              <w:spacing w:line="360" w:lineRule="auto"/>
              <w:jc w:val="center"/>
              <w:rPr>
                <w:rFonts w:hint="eastAsia" w:asciiTheme="minorEastAsia" w:hAnsiTheme="minorEastAsia" w:eastAsiaTheme="minorEastAsia" w:cstheme="minorEastAsia"/>
                <w:sz w:val="24"/>
              </w:rPr>
            </w:pPr>
          </w:p>
        </w:tc>
        <w:tc>
          <w:tcPr>
            <w:tcW w:w="616" w:type="pct"/>
            <w:vAlign w:val="center"/>
          </w:tcPr>
          <w:p w14:paraId="635B54FD">
            <w:pPr>
              <w:spacing w:line="360" w:lineRule="auto"/>
              <w:jc w:val="center"/>
              <w:rPr>
                <w:rFonts w:hint="eastAsia" w:asciiTheme="minorEastAsia" w:hAnsiTheme="minorEastAsia" w:eastAsiaTheme="minorEastAsia" w:cstheme="minorEastAsia"/>
                <w:sz w:val="24"/>
              </w:rPr>
            </w:pPr>
          </w:p>
        </w:tc>
        <w:tc>
          <w:tcPr>
            <w:tcW w:w="616" w:type="pct"/>
            <w:vAlign w:val="center"/>
          </w:tcPr>
          <w:p w14:paraId="416F4D89">
            <w:pPr>
              <w:spacing w:line="360" w:lineRule="auto"/>
              <w:jc w:val="center"/>
              <w:rPr>
                <w:rFonts w:hint="eastAsia" w:asciiTheme="minorEastAsia" w:hAnsiTheme="minorEastAsia" w:eastAsiaTheme="minorEastAsia" w:cstheme="minorEastAsia"/>
                <w:sz w:val="24"/>
              </w:rPr>
            </w:pPr>
          </w:p>
        </w:tc>
      </w:tr>
      <w:tr w14:paraId="735A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14:paraId="793E426B">
            <w:pPr>
              <w:spacing w:line="360" w:lineRule="auto"/>
              <w:jc w:val="center"/>
              <w:rPr>
                <w:rFonts w:hint="eastAsia" w:asciiTheme="minorEastAsia" w:hAnsiTheme="minorEastAsia" w:eastAsiaTheme="minorEastAsia" w:cstheme="minorEastAsia"/>
                <w:sz w:val="24"/>
              </w:rPr>
            </w:pPr>
          </w:p>
        </w:tc>
        <w:tc>
          <w:tcPr>
            <w:tcW w:w="287" w:type="pct"/>
            <w:vAlign w:val="center"/>
          </w:tcPr>
          <w:p w14:paraId="3E13DB46">
            <w:pPr>
              <w:snapToGrid w:val="0"/>
              <w:spacing w:line="360" w:lineRule="auto"/>
              <w:jc w:val="center"/>
              <w:rPr>
                <w:rFonts w:hint="eastAsia" w:asciiTheme="minorEastAsia" w:hAnsiTheme="minorEastAsia" w:eastAsiaTheme="minorEastAsia" w:cstheme="minorEastAsia"/>
                <w:sz w:val="24"/>
              </w:rPr>
            </w:pPr>
          </w:p>
        </w:tc>
        <w:tc>
          <w:tcPr>
            <w:tcW w:w="657" w:type="pct"/>
            <w:vAlign w:val="center"/>
          </w:tcPr>
          <w:p w14:paraId="2263244B">
            <w:pPr>
              <w:snapToGrid w:val="0"/>
              <w:spacing w:line="360" w:lineRule="auto"/>
              <w:jc w:val="center"/>
              <w:rPr>
                <w:rFonts w:hint="eastAsia" w:asciiTheme="minorEastAsia" w:hAnsiTheme="minorEastAsia" w:eastAsiaTheme="minorEastAsia" w:cstheme="minorEastAsia"/>
                <w:sz w:val="24"/>
              </w:rPr>
            </w:pPr>
          </w:p>
        </w:tc>
        <w:tc>
          <w:tcPr>
            <w:tcW w:w="697" w:type="pct"/>
            <w:vAlign w:val="center"/>
          </w:tcPr>
          <w:p w14:paraId="256E1AD5">
            <w:pPr>
              <w:snapToGrid w:val="0"/>
              <w:spacing w:line="360" w:lineRule="auto"/>
              <w:jc w:val="center"/>
              <w:rPr>
                <w:rFonts w:hint="eastAsia" w:asciiTheme="minorEastAsia" w:hAnsiTheme="minorEastAsia" w:eastAsiaTheme="minorEastAsia" w:cstheme="minorEastAsia"/>
                <w:sz w:val="24"/>
              </w:rPr>
            </w:pPr>
          </w:p>
        </w:tc>
        <w:tc>
          <w:tcPr>
            <w:tcW w:w="657" w:type="pct"/>
            <w:vAlign w:val="center"/>
          </w:tcPr>
          <w:p w14:paraId="79317D59">
            <w:pPr>
              <w:snapToGrid w:val="0"/>
              <w:spacing w:line="360" w:lineRule="auto"/>
              <w:jc w:val="center"/>
              <w:rPr>
                <w:rFonts w:hint="eastAsia" w:asciiTheme="minorEastAsia" w:hAnsiTheme="minorEastAsia" w:eastAsiaTheme="minorEastAsia" w:cstheme="minorEastAsia"/>
                <w:sz w:val="24"/>
              </w:rPr>
            </w:pPr>
          </w:p>
        </w:tc>
        <w:tc>
          <w:tcPr>
            <w:tcW w:w="616" w:type="pct"/>
            <w:vAlign w:val="center"/>
          </w:tcPr>
          <w:p w14:paraId="1CED2A66">
            <w:pPr>
              <w:spacing w:line="360" w:lineRule="auto"/>
              <w:jc w:val="center"/>
              <w:rPr>
                <w:rFonts w:hint="eastAsia" w:asciiTheme="minorEastAsia" w:hAnsiTheme="minorEastAsia" w:eastAsiaTheme="minorEastAsia" w:cstheme="minorEastAsia"/>
                <w:sz w:val="24"/>
              </w:rPr>
            </w:pPr>
          </w:p>
        </w:tc>
        <w:tc>
          <w:tcPr>
            <w:tcW w:w="616" w:type="pct"/>
          </w:tcPr>
          <w:p w14:paraId="40E29FF5">
            <w:pPr>
              <w:spacing w:line="360" w:lineRule="auto"/>
              <w:jc w:val="center"/>
              <w:rPr>
                <w:rFonts w:hint="eastAsia" w:asciiTheme="minorEastAsia" w:hAnsiTheme="minorEastAsia" w:eastAsiaTheme="minorEastAsia" w:cstheme="minorEastAsia"/>
                <w:sz w:val="24"/>
              </w:rPr>
            </w:pPr>
          </w:p>
        </w:tc>
        <w:tc>
          <w:tcPr>
            <w:tcW w:w="616" w:type="pct"/>
            <w:vAlign w:val="center"/>
          </w:tcPr>
          <w:p w14:paraId="2E524A86">
            <w:pPr>
              <w:spacing w:line="360" w:lineRule="auto"/>
              <w:jc w:val="center"/>
              <w:rPr>
                <w:rFonts w:hint="eastAsia" w:asciiTheme="minorEastAsia" w:hAnsiTheme="minorEastAsia" w:eastAsiaTheme="minorEastAsia" w:cstheme="minorEastAsia"/>
                <w:sz w:val="24"/>
              </w:rPr>
            </w:pPr>
          </w:p>
        </w:tc>
        <w:tc>
          <w:tcPr>
            <w:tcW w:w="616" w:type="pct"/>
            <w:vAlign w:val="center"/>
          </w:tcPr>
          <w:p w14:paraId="4F75D379">
            <w:pPr>
              <w:spacing w:line="360" w:lineRule="auto"/>
              <w:jc w:val="center"/>
              <w:rPr>
                <w:rFonts w:hint="eastAsia" w:asciiTheme="minorEastAsia" w:hAnsiTheme="minorEastAsia" w:eastAsiaTheme="minorEastAsia" w:cstheme="minorEastAsia"/>
                <w:sz w:val="24"/>
              </w:rPr>
            </w:pPr>
          </w:p>
        </w:tc>
      </w:tr>
      <w:tr w14:paraId="3FAC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14:paraId="7BDFB8A8">
            <w:pPr>
              <w:spacing w:line="360" w:lineRule="auto"/>
              <w:jc w:val="center"/>
              <w:rPr>
                <w:rFonts w:hint="eastAsia" w:asciiTheme="minorEastAsia" w:hAnsiTheme="minorEastAsia" w:eastAsiaTheme="minorEastAsia" w:cstheme="minorEastAsia"/>
                <w:sz w:val="24"/>
              </w:rPr>
            </w:pPr>
          </w:p>
        </w:tc>
        <w:tc>
          <w:tcPr>
            <w:tcW w:w="287" w:type="pct"/>
            <w:vAlign w:val="center"/>
          </w:tcPr>
          <w:p w14:paraId="58EF51D7">
            <w:pPr>
              <w:snapToGrid w:val="0"/>
              <w:spacing w:line="360" w:lineRule="auto"/>
              <w:jc w:val="center"/>
              <w:rPr>
                <w:rFonts w:hint="eastAsia" w:asciiTheme="minorEastAsia" w:hAnsiTheme="minorEastAsia" w:eastAsiaTheme="minorEastAsia" w:cstheme="minorEastAsia"/>
                <w:sz w:val="24"/>
              </w:rPr>
            </w:pPr>
          </w:p>
        </w:tc>
        <w:tc>
          <w:tcPr>
            <w:tcW w:w="657" w:type="pct"/>
            <w:vAlign w:val="center"/>
          </w:tcPr>
          <w:p w14:paraId="778C5C64">
            <w:pPr>
              <w:snapToGrid w:val="0"/>
              <w:spacing w:line="360" w:lineRule="auto"/>
              <w:jc w:val="center"/>
              <w:rPr>
                <w:rFonts w:hint="eastAsia" w:asciiTheme="minorEastAsia" w:hAnsiTheme="minorEastAsia" w:eastAsiaTheme="minorEastAsia" w:cstheme="minorEastAsia"/>
                <w:sz w:val="24"/>
              </w:rPr>
            </w:pPr>
          </w:p>
        </w:tc>
        <w:tc>
          <w:tcPr>
            <w:tcW w:w="697" w:type="pct"/>
            <w:vAlign w:val="center"/>
          </w:tcPr>
          <w:p w14:paraId="2FF68F21">
            <w:pPr>
              <w:snapToGrid w:val="0"/>
              <w:spacing w:line="360" w:lineRule="auto"/>
              <w:jc w:val="center"/>
              <w:rPr>
                <w:rFonts w:hint="eastAsia" w:asciiTheme="minorEastAsia" w:hAnsiTheme="minorEastAsia" w:eastAsiaTheme="minorEastAsia" w:cstheme="minorEastAsia"/>
                <w:sz w:val="24"/>
              </w:rPr>
            </w:pPr>
          </w:p>
        </w:tc>
        <w:tc>
          <w:tcPr>
            <w:tcW w:w="657" w:type="pct"/>
            <w:vAlign w:val="center"/>
          </w:tcPr>
          <w:p w14:paraId="54CDB5E1">
            <w:pPr>
              <w:snapToGrid w:val="0"/>
              <w:spacing w:line="360" w:lineRule="auto"/>
              <w:jc w:val="center"/>
              <w:rPr>
                <w:rFonts w:hint="eastAsia" w:asciiTheme="minorEastAsia" w:hAnsiTheme="minorEastAsia" w:eastAsiaTheme="minorEastAsia" w:cstheme="minorEastAsia"/>
                <w:sz w:val="24"/>
              </w:rPr>
            </w:pPr>
          </w:p>
        </w:tc>
        <w:tc>
          <w:tcPr>
            <w:tcW w:w="616" w:type="pct"/>
            <w:vAlign w:val="center"/>
          </w:tcPr>
          <w:p w14:paraId="74B1E894">
            <w:pPr>
              <w:spacing w:line="360" w:lineRule="auto"/>
              <w:jc w:val="center"/>
              <w:rPr>
                <w:rFonts w:hint="eastAsia" w:asciiTheme="minorEastAsia" w:hAnsiTheme="minorEastAsia" w:eastAsiaTheme="minorEastAsia" w:cstheme="minorEastAsia"/>
                <w:sz w:val="24"/>
              </w:rPr>
            </w:pPr>
          </w:p>
        </w:tc>
        <w:tc>
          <w:tcPr>
            <w:tcW w:w="616" w:type="pct"/>
          </w:tcPr>
          <w:p w14:paraId="6EF1256E">
            <w:pPr>
              <w:spacing w:line="360" w:lineRule="auto"/>
              <w:jc w:val="center"/>
              <w:rPr>
                <w:rFonts w:hint="eastAsia" w:asciiTheme="minorEastAsia" w:hAnsiTheme="minorEastAsia" w:eastAsiaTheme="minorEastAsia" w:cstheme="minorEastAsia"/>
                <w:sz w:val="24"/>
              </w:rPr>
            </w:pPr>
          </w:p>
        </w:tc>
        <w:tc>
          <w:tcPr>
            <w:tcW w:w="616" w:type="pct"/>
            <w:vAlign w:val="center"/>
          </w:tcPr>
          <w:p w14:paraId="702A100B">
            <w:pPr>
              <w:spacing w:line="360" w:lineRule="auto"/>
              <w:jc w:val="center"/>
              <w:rPr>
                <w:rFonts w:hint="eastAsia" w:asciiTheme="minorEastAsia" w:hAnsiTheme="minorEastAsia" w:eastAsiaTheme="minorEastAsia" w:cstheme="minorEastAsia"/>
                <w:sz w:val="24"/>
              </w:rPr>
            </w:pPr>
          </w:p>
        </w:tc>
        <w:tc>
          <w:tcPr>
            <w:tcW w:w="616" w:type="pct"/>
            <w:vAlign w:val="center"/>
          </w:tcPr>
          <w:p w14:paraId="137F548D">
            <w:pPr>
              <w:spacing w:line="360" w:lineRule="auto"/>
              <w:jc w:val="center"/>
              <w:rPr>
                <w:rFonts w:hint="eastAsia" w:asciiTheme="minorEastAsia" w:hAnsiTheme="minorEastAsia" w:eastAsiaTheme="minorEastAsia" w:cstheme="minorEastAsia"/>
                <w:sz w:val="24"/>
              </w:rPr>
            </w:pPr>
          </w:p>
        </w:tc>
      </w:tr>
      <w:tr w14:paraId="6EAC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78" w:type="pct"/>
            <w:gridSpan w:val="4"/>
            <w:vAlign w:val="center"/>
          </w:tcPr>
          <w:p w14:paraId="5B30073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投标报价（小写）</w:t>
            </w:r>
          </w:p>
        </w:tc>
        <w:tc>
          <w:tcPr>
            <w:tcW w:w="3121" w:type="pct"/>
            <w:gridSpan w:val="5"/>
          </w:tcPr>
          <w:p w14:paraId="394BADFD">
            <w:pPr>
              <w:spacing w:line="360" w:lineRule="auto"/>
              <w:jc w:val="center"/>
              <w:rPr>
                <w:rFonts w:hint="eastAsia" w:asciiTheme="minorEastAsia" w:hAnsiTheme="minorEastAsia" w:eastAsiaTheme="minorEastAsia" w:cstheme="minorEastAsia"/>
                <w:sz w:val="24"/>
              </w:rPr>
            </w:pPr>
          </w:p>
        </w:tc>
      </w:tr>
      <w:tr w14:paraId="14EB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8" w:type="pct"/>
            <w:gridSpan w:val="4"/>
            <w:vAlign w:val="center"/>
          </w:tcPr>
          <w:p w14:paraId="23F70AB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投标报价（大写）</w:t>
            </w:r>
          </w:p>
        </w:tc>
        <w:tc>
          <w:tcPr>
            <w:tcW w:w="3121" w:type="pct"/>
            <w:gridSpan w:val="5"/>
          </w:tcPr>
          <w:p w14:paraId="31BE0314">
            <w:pPr>
              <w:spacing w:line="360" w:lineRule="auto"/>
              <w:jc w:val="center"/>
              <w:rPr>
                <w:rFonts w:hint="eastAsia" w:asciiTheme="minorEastAsia" w:hAnsiTheme="minorEastAsia" w:eastAsiaTheme="minorEastAsia" w:cstheme="minorEastAsia"/>
                <w:sz w:val="24"/>
              </w:rPr>
            </w:pPr>
          </w:p>
        </w:tc>
      </w:tr>
    </w:tbl>
    <w:p w14:paraId="6CECA7C7">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2AD74F4E">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1、投标人需按本表格式填写</w:t>
      </w:r>
      <w:r>
        <w:rPr>
          <w:rFonts w:hint="eastAsia" w:asciiTheme="minorEastAsia" w:hAnsiTheme="minorEastAsia" w:eastAsiaTheme="minorEastAsia" w:cstheme="minorEastAsia"/>
          <w:b/>
          <w:kern w:val="0"/>
          <w:sz w:val="24"/>
          <w:lang w:val="zh-CN"/>
        </w:rPr>
        <w:t>，</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投标文件含有采购人不能接受的附加条件，投标无效</w:t>
      </w:r>
      <w:r>
        <w:rPr>
          <w:rFonts w:hint="eastAsia" w:asciiTheme="minorEastAsia" w:hAnsiTheme="minorEastAsia" w:eastAsiaTheme="minorEastAsia" w:cstheme="minorEastAsia"/>
          <w:b/>
          <w:kern w:val="0"/>
          <w:sz w:val="24"/>
          <w:lang w:val="zh-CN"/>
        </w:rPr>
        <w:t>；</w:t>
      </w:r>
    </w:p>
    <w:p w14:paraId="44FC089B">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bCs/>
          <w:kern w:val="0"/>
          <w:sz w:val="24"/>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Theme="minorEastAsia" w:hAnsiTheme="minorEastAsia" w:eastAsiaTheme="minorEastAsia" w:cstheme="minorEastAsia"/>
          <w:b/>
          <w:kern w:val="0"/>
          <w:sz w:val="24"/>
          <w:lang w:val="zh-CN"/>
        </w:rPr>
        <w:t>采购内容未包含在《开标一览表（报价表）》名称栏中，投标人不能作出合理解释的，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投标文件含有采购人不能接受的附加条件的，投标无效。</w:t>
      </w:r>
    </w:p>
    <w:p w14:paraId="5DF01048">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3、特别提示：采购代理机构将对项目名称和项目编号，中标供应商名称、地址和中标金额，主要中标标的名称、服务范围、服务要求、服务时间、服务标准等予以公示。</w:t>
      </w:r>
    </w:p>
    <w:p w14:paraId="48419433">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86EB1B2">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5、项目负责人应与商务技术文件中一致</w:t>
      </w:r>
      <w:r>
        <w:rPr>
          <w:rFonts w:hint="eastAsia" w:asciiTheme="minorEastAsia" w:hAnsiTheme="minorEastAsia" w:eastAsiaTheme="minorEastAsia" w:cstheme="minorEastAsia"/>
          <w:kern w:val="0"/>
          <w:sz w:val="24"/>
          <w:lang w:val="zh-CN"/>
        </w:rPr>
        <w:t>。</w:t>
      </w:r>
    </w:p>
    <w:p w14:paraId="062DBCD4">
      <w:pPr>
        <w:spacing w:line="360" w:lineRule="auto"/>
        <w:ind w:firstLine="482" w:firstLineChars="200"/>
        <w:rPr>
          <w:rFonts w:hint="eastAsia" w:asciiTheme="minorEastAsia" w:hAnsiTheme="minorEastAsia" w:eastAsiaTheme="minorEastAsia" w:cstheme="minorEastAsia"/>
          <w:b/>
          <w:kern w:val="0"/>
          <w:sz w:val="24"/>
        </w:rPr>
      </w:pPr>
    </w:p>
    <w:p w14:paraId="20A15593">
      <w:pPr>
        <w:pStyle w:val="4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p>
    <w:p w14:paraId="2B0278DB">
      <w:pPr>
        <w:pStyle w:val="4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6D1C2921">
      <w:pPr>
        <w:pStyle w:val="40"/>
        <w:keepNext w:val="0"/>
        <w:pageBreakBefore w:val="0"/>
        <w:tabs>
          <w:tab w:val="clear" w:pos="720"/>
        </w:tabs>
        <w:snapToGrid w:val="0"/>
        <w:spacing w:before="120" w:after="120"/>
        <w:jc w:val="both"/>
        <w:outlineLvl w:val="9"/>
        <w:rPr>
          <w:rFonts w:hint="eastAsia" w:asciiTheme="minorEastAsia" w:hAnsiTheme="minorEastAsia" w:eastAsiaTheme="minorEastAsia" w:cstheme="minorEastAsia"/>
          <w:kern w:val="2"/>
          <w:sz w:val="32"/>
          <w:szCs w:val="32"/>
        </w:rPr>
      </w:pPr>
    </w:p>
    <w:p w14:paraId="78546887">
      <w:pPr>
        <w:pStyle w:val="4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p>
    <w:p w14:paraId="160F521A">
      <w:pPr>
        <w:pStyle w:val="4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rPr>
        <w:t>二、</w:t>
      </w:r>
      <w:r>
        <w:rPr>
          <w:rFonts w:hint="eastAsia" w:asciiTheme="minorEastAsia" w:hAnsiTheme="minorEastAsia" w:eastAsiaTheme="minorEastAsia" w:cstheme="minorEastAsia"/>
          <w:sz w:val="32"/>
          <w:szCs w:val="32"/>
        </w:rPr>
        <w:t>中小企业声明函（如果有）</w:t>
      </w:r>
    </w:p>
    <w:p w14:paraId="57403633">
      <w:pPr>
        <w:widowControl/>
        <w:spacing w:line="360" w:lineRule="auto"/>
        <w:ind w:firstLine="120" w:firstLineChars="5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9BA908">
      <w:pPr>
        <w:spacing w:line="360" w:lineRule="auto"/>
        <w:ind w:right="420" w:firstLine="3614" w:firstLineChars="1000"/>
        <w:rPr>
          <w:rFonts w:hint="eastAsia" w:asciiTheme="minorEastAsia" w:hAnsiTheme="minorEastAsia" w:eastAsiaTheme="minorEastAsia" w:cstheme="minorEastAsia"/>
          <w:b/>
          <w:kern w:val="0"/>
          <w:sz w:val="36"/>
          <w:szCs w:val="36"/>
        </w:rPr>
      </w:pPr>
    </w:p>
    <w:p w14:paraId="78268C72">
      <w:pPr>
        <w:spacing w:line="360" w:lineRule="auto"/>
        <w:ind w:right="420" w:firstLine="3614" w:firstLineChars="1000"/>
        <w:rPr>
          <w:rFonts w:hint="eastAsia" w:asciiTheme="minorEastAsia" w:hAnsiTheme="minorEastAsia" w:eastAsiaTheme="minorEastAsia" w:cstheme="minorEastAsia"/>
          <w:b/>
          <w:kern w:val="0"/>
          <w:sz w:val="36"/>
          <w:szCs w:val="36"/>
        </w:rPr>
      </w:pPr>
    </w:p>
    <w:p w14:paraId="47CAF42A">
      <w:pPr>
        <w:spacing w:line="360" w:lineRule="auto"/>
        <w:ind w:right="420" w:firstLine="3614" w:firstLineChars="1000"/>
        <w:rPr>
          <w:rFonts w:hint="eastAsia" w:asciiTheme="minorEastAsia" w:hAnsiTheme="minorEastAsia" w:eastAsiaTheme="minorEastAsia" w:cstheme="minorEastAsia"/>
          <w:b/>
          <w:kern w:val="0"/>
          <w:sz w:val="36"/>
          <w:szCs w:val="36"/>
        </w:rPr>
      </w:pPr>
    </w:p>
    <w:p w14:paraId="471A6555">
      <w:pPr>
        <w:pStyle w:val="2"/>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p>
    <w:p w14:paraId="3A70F3CF">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附件1：</w:t>
      </w:r>
    </w:p>
    <w:p w14:paraId="3A5C9EF4">
      <w:pPr>
        <w:spacing w:line="360" w:lineRule="auto"/>
        <w:jc w:val="center"/>
        <w:rPr>
          <w:rFonts w:hint="eastAsia" w:asciiTheme="minorEastAsia" w:hAnsiTheme="minorEastAsia" w:eastAsiaTheme="minorEastAsia" w:cstheme="minorEastAsia"/>
          <w:b/>
          <w:spacing w:val="6"/>
          <w:sz w:val="32"/>
          <w:szCs w:val="32"/>
        </w:rPr>
      </w:pPr>
      <w:bookmarkStart w:id="551" w:name="OLE_LINK14"/>
      <w:bookmarkStart w:id="552" w:name="OLE_LINK13"/>
      <w:r>
        <w:rPr>
          <w:rFonts w:hint="eastAsia" w:asciiTheme="minorEastAsia" w:hAnsiTheme="minorEastAsia" w:eastAsiaTheme="minorEastAsia" w:cstheme="minorEastAsia"/>
          <w:b/>
          <w:spacing w:val="6"/>
          <w:sz w:val="32"/>
          <w:szCs w:val="32"/>
        </w:rPr>
        <w:t>残疾人福利性单位声明函</w:t>
      </w:r>
    </w:p>
    <w:bookmarkEnd w:id="551"/>
    <w:bookmarkEnd w:id="552"/>
    <w:p w14:paraId="36F60377">
      <w:pPr>
        <w:spacing w:line="360" w:lineRule="auto"/>
        <w:rPr>
          <w:rFonts w:hint="eastAsia" w:asciiTheme="minorEastAsia" w:hAnsiTheme="minorEastAsia" w:eastAsiaTheme="minorEastAsia" w:cstheme="minorEastAsia"/>
          <w:b/>
          <w:spacing w:val="6"/>
          <w:sz w:val="30"/>
          <w:szCs w:val="30"/>
        </w:rPr>
      </w:pPr>
    </w:p>
    <w:p w14:paraId="6929CE7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sz w:val="24"/>
          <w:u w:val="single"/>
        </w:rPr>
        <w:t xml:space="preserve"> 杭州市美术职业学校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杭州市美术职业学校数字底座项目 </w:t>
      </w:r>
      <w:r>
        <w:rPr>
          <w:rFonts w:hint="eastAsia" w:asciiTheme="minorEastAsia" w:hAnsiTheme="minorEastAsia" w:eastAsiaTheme="minorEastAsia" w:cstheme="minorEastAsia"/>
          <w:sz w:val="24"/>
        </w:rPr>
        <w:t>采购活动提供本单位制造的货物（由本单位承担工程/提供服务），或者提供其他残疾人福利性单位制造的货物（不包括使用非残疾人福利性单位注册商标的货物）。</w:t>
      </w:r>
    </w:p>
    <w:p w14:paraId="3541AB0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14:paraId="6083D8AE">
      <w:pPr>
        <w:spacing w:line="360" w:lineRule="auto"/>
        <w:ind w:firstLine="480" w:firstLineChars="200"/>
        <w:rPr>
          <w:rFonts w:hint="eastAsia" w:asciiTheme="minorEastAsia" w:hAnsiTheme="minorEastAsia" w:eastAsiaTheme="minorEastAsia" w:cstheme="minorEastAsia"/>
          <w:sz w:val="24"/>
        </w:rPr>
      </w:pPr>
    </w:p>
    <w:p w14:paraId="2105D521">
      <w:pPr>
        <w:spacing w:line="360" w:lineRule="auto"/>
        <w:ind w:firstLine="480" w:firstLineChars="200"/>
        <w:rPr>
          <w:rFonts w:hint="eastAsia" w:asciiTheme="minorEastAsia" w:hAnsiTheme="minorEastAsia" w:eastAsiaTheme="minorEastAsia" w:cstheme="minorEastAsia"/>
          <w:sz w:val="24"/>
        </w:rPr>
      </w:pPr>
    </w:p>
    <w:p w14:paraId="160BBAB7">
      <w:pPr>
        <w:tabs>
          <w:tab w:val="left" w:pos="4860"/>
        </w:tabs>
        <w:spacing w:line="360" w:lineRule="auto"/>
        <w:ind w:right="1560"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lang w:val="zh-CN"/>
        </w:rPr>
        <w:t>投标人名称（电子签名）</w:t>
      </w:r>
      <w:r>
        <w:rPr>
          <w:rFonts w:hint="eastAsia" w:asciiTheme="minorEastAsia" w:hAnsiTheme="minorEastAsia" w:eastAsiaTheme="minorEastAsia" w:cstheme="minorEastAsia"/>
          <w:sz w:val="24"/>
        </w:rPr>
        <w:t>：</w:t>
      </w:r>
    </w:p>
    <w:p w14:paraId="1B9AD6D5">
      <w:pPr>
        <w:tabs>
          <w:tab w:val="left" w:pos="4860"/>
        </w:tabs>
        <w:spacing w:line="360" w:lineRule="auto"/>
        <w:ind w:right="1560"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14:paraId="547175F1">
      <w:pPr>
        <w:spacing w:line="360" w:lineRule="auto"/>
        <w:ind w:firstLine="480" w:firstLineChars="200"/>
        <w:rPr>
          <w:rFonts w:hint="eastAsia" w:asciiTheme="minorEastAsia" w:hAnsiTheme="minorEastAsia" w:eastAsiaTheme="minorEastAsia" w:cstheme="minorEastAsia"/>
          <w:sz w:val="24"/>
        </w:rPr>
      </w:pPr>
    </w:p>
    <w:p w14:paraId="04120E1A">
      <w:pPr>
        <w:spacing w:line="360" w:lineRule="auto"/>
        <w:ind w:firstLine="420" w:firstLineChars="200"/>
        <w:rPr>
          <w:rFonts w:hint="eastAsia" w:asciiTheme="minorEastAsia" w:hAnsiTheme="minorEastAsia" w:eastAsiaTheme="minorEastAsia" w:cstheme="minorEastAsia"/>
        </w:rPr>
      </w:pPr>
    </w:p>
    <w:p w14:paraId="65E74200">
      <w:pPr>
        <w:spacing w:line="360" w:lineRule="auto"/>
        <w:ind w:firstLine="420" w:firstLineChars="200"/>
        <w:rPr>
          <w:rFonts w:hint="eastAsia" w:asciiTheme="minorEastAsia" w:hAnsiTheme="minorEastAsia" w:eastAsiaTheme="minorEastAsia" w:cstheme="minorEastAsia"/>
        </w:rPr>
      </w:pPr>
    </w:p>
    <w:p w14:paraId="6C5BEC5E">
      <w:pPr>
        <w:spacing w:line="360" w:lineRule="auto"/>
        <w:ind w:firstLine="420" w:firstLineChars="200"/>
        <w:rPr>
          <w:rFonts w:hint="eastAsia" w:asciiTheme="minorEastAsia" w:hAnsiTheme="minorEastAsia" w:eastAsiaTheme="minorEastAsia" w:cstheme="minorEastAsia"/>
        </w:rPr>
      </w:pPr>
    </w:p>
    <w:p w14:paraId="06D7C66B">
      <w:pPr>
        <w:spacing w:line="360" w:lineRule="auto"/>
        <w:ind w:firstLine="420" w:firstLineChars="200"/>
        <w:rPr>
          <w:rFonts w:hint="eastAsia" w:asciiTheme="minorEastAsia" w:hAnsiTheme="minorEastAsia" w:eastAsiaTheme="minorEastAsia" w:cstheme="minorEastAsia"/>
        </w:rPr>
      </w:pPr>
    </w:p>
    <w:p w14:paraId="785BA8F0">
      <w:pPr>
        <w:spacing w:line="360" w:lineRule="auto"/>
        <w:rPr>
          <w:rFonts w:hint="eastAsia" w:asciiTheme="minorEastAsia" w:hAnsiTheme="minorEastAsia" w:eastAsiaTheme="minorEastAsia" w:cstheme="minorEastAsia"/>
          <w:b/>
          <w:sz w:val="24"/>
        </w:rPr>
      </w:pPr>
    </w:p>
    <w:p w14:paraId="6477E9A1">
      <w:pPr>
        <w:spacing w:line="360" w:lineRule="auto"/>
        <w:rPr>
          <w:rFonts w:hint="eastAsia" w:asciiTheme="minorEastAsia" w:hAnsiTheme="minorEastAsia" w:eastAsiaTheme="minorEastAsia" w:cstheme="minorEastAsia"/>
          <w:b/>
          <w:sz w:val="24"/>
        </w:rPr>
      </w:pPr>
    </w:p>
    <w:p w14:paraId="7C0D55B3">
      <w:pPr>
        <w:spacing w:line="360" w:lineRule="auto"/>
        <w:rPr>
          <w:rFonts w:hint="eastAsia" w:asciiTheme="minorEastAsia" w:hAnsiTheme="minorEastAsia" w:eastAsiaTheme="minorEastAsia" w:cstheme="minorEastAsia"/>
          <w:b/>
          <w:sz w:val="24"/>
        </w:rPr>
      </w:pPr>
    </w:p>
    <w:p w14:paraId="79E40DC4">
      <w:pPr>
        <w:spacing w:line="360" w:lineRule="auto"/>
        <w:rPr>
          <w:rFonts w:hint="eastAsia" w:asciiTheme="minorEastAsia" w:hAnsiTheme="minorEastAsia" w:eastAsiaTheme="minorEastAsia" w:cstheme="minorEastAsia"/>
          <w:b/>
          <w:sz w:val="24"/>
        </w:rPr>
      </w:pPr>
    </w:p>
    <w:p w14:paraId="54E5DC3A">
      <w:pPr>
        <w:spacing w:line="360" w:lineRule="auto"/>
        <w:rPr>
          <w:rFonts w:hint="eastAsia" w:asciiTheme="minorEastAsia" w:hAnsiTheme="minorEastAsia" w:eastAsiaTheme="minorEastAsia" w:cstheme="minorEastAsia"/>
          <w:b/>
          <w:sz w:val="24"/>
        </w:rPr>
      </w:pPr>
    </w:p>
    <w:p w14:paraId="07C5D30F">
      <w:pPr>
        <w:spacing w:line="360" w:lineRule="auto"/>
        <w:rPr>
          <w:rFonts w:hint="eastAsia" w:asciiTheme="minorEastAsia" w:hAnsiTheme="minorEastAsia" w:eastAsiaTheme="minorEastAsia" w:cstheme="minorEastAsia"/>
          <w:b/>
          <w:sz w:val="24"/>
        </w:rPr>
      </w:pPr>
    </w:p>
    <w:p w14:paraId="20956C5D">
      <w:pPr>
        <w:spacing w:line="360" w:lineRule="auto"/>
        <w:rPr>
          <w:rFonts w:hint="eastAsia" w:asciiTheme="minorEastAsia" w:hAnsiTheme="minorEastAsia" w:eastAsiaTheme="minorEastAsia" w:cstheme="minorEastAsia"/>
          <w:b/>
          <w:sz w:val="24"/>
        </w:rPr>
      </w:pPr>
    </w:p>
    <w:p w14:paraId="640ED12F">
      <w:pPr>
        <w:spacing w:line="360" w:lineRule="auto"/>
        <w:rPr>
          <w:rFonts w:hint="eastAsia" w:asciiTheme="minorEastAsia" w:hAnsiTheme="minorEastAsia" w:eastAsiaTheme="minorEastAsia" w:cstheme="minorEastAsia"/>
          <w:b/>
          <w:sz w:val="24"/>
        </w:rPr>
      </w:pPr>
    </w:p>
    <w:p w14:paraId="2149415B">
      <w:pPr>
        <w:spacing w:line="360" w:lineRule="auto"/>
        <w:rPr>
          <w:rFonts w:hint="eastAsia" w:asciiTheme="minorEastAsia" w:hAnsiTheme="minorEastAsia" w:eastAsiaTheme="minorEastAsia" w:cstheme="minorEastAsia"/>
          <w:b/>
          <w:sz w:val="24"/>
        </w:rPr>
      </w:pPr>
    </w:p>
    <w:p w14:paraId="1DB68DCA">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4257F837">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010CB5C3">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78DD91C4">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411C2DB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6A9663C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5DD960B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6036A6C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3B11A4A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E978ED3">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1042AE5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557291E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66E291F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3767943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5D043DA0">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0F74DF07">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7EFE58EC">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4F3E4880">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552728B0">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5E92B231">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636A8AA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0DF9F6A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48A41108">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4E0C5CB1">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D534EA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16E7F3B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3DF363A0">
      <w:pPr>
        <w:spacing w:line="360" w:lineRule="auto"/>
        <w:jc w:val="center"/>
        <w:rPr>
          <w:rFonts w:hint="eastAsia" w:asciiTheme="minorEastAsia" w:hAnsiTheme="minorEastAsia" w:eastAsiaTheme="minorEastAsia" w:cstheme="minorEastAsia"/>
          <w:b/>
          <w:bCs/>
          <w:sz w:val="24"/>
        </w:rPr>
      </w:pPr>
    </w:p>
    <w:p w14:paraId="0CB76ADC">
      <w:pPr>
        <w:spacing w:line="360" w:lineRule="auto"/>
        <w:rPr>
          <w:rFonts w:hint="eastAsia" w:asciiTheme="minorEastAsia" w:hAnsiTheme="minorEastAsia" w:eastAsiaTheme="minorEastAsia" w:cstheme="minorEastAsia"/>
          <w:b/>
          <w:sz w:val="24"/>
        </w:rPr>
      </w:pPr>
    </w:p>
    <w:p w14:paraId="1AE9D6FF">
      <w:pPr>
        <w:spacing w:line="360" w:lineRule="auto"/>
        <w:rPr>
          <w:rFonts w:hint="eastAsia" w:asciiTheme="minorEastAsia" w:hAnsiTheme="minorEastAsia" w:eastAsiaTheme="minorEastAsia" w:cstheme="minorEastAsia"/>
          <w:b/>
          <w:sz w:val="24"/>
        </w:rPr>
      </w:pPr>
    </w:p>
    <w:p w14:paraId="1FB38286">
      <w:pPr>
        <w:spacing w:line="360" w:lineRule="auto"/>
        <w:rPr>
          <w:rFonts w:hint="eastAsia" w:asciiTheme="minorEastAsia" w:hAnsiTheme="minorEastAsia" w:eastAsiaTheme="minorEastAsia" w:cstheme="minorEastAsia"/>
          <w:b/>
          <w:sz w:val="24"/>
        </w:rPr>
      </w:pPr>
    </w:p>
    <w:p w14:paraId="75981ABC">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0050527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11195F76">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04685AE9">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4C1A8708">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2C6A182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3C4E367B">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9CEF35C">
      <w:pPr>
        <w:widowControl/>
        <w:spacing w:line="360" w:lineRule="auto"/>
        <w:ind w:firstLine="600" w:firstLineChars="200"/>
        <w:jc w:val="left"/>
        <w:rPr>
          <w:rFonts w:hint="eastAsia" w:asciiTheme="minorEastAsia" w:hAnsiTheme="minorEastAsia" w:eastAsiaTheme="minorEastAsia" w:cstheme="minorEastAsia"/>
          <w:sz w:val="30"/>
          <w:szCs w:val="30"/>
        </w:rPr>
      </w:pPr>
    </w:p>
    <w:p w14:paraId="302CE6F1">
      <w:pPr>
        <w:spacing w:line="360" w:lineRule="auto"/>
        <w:jc w:val="center"/>
        <w:rPr>
          <w:rFonts w:hint="eastAsia" w:asciiTheme="minorEastAsia" w:hAnsiTheme="minorEastAsia" w:eastAsiaTheme="minorEastAsia" w:cstheme="minorEastAsia"/>
          <w:b/>
          <w:spacing w:val="6"/>
          <w:sz w:val="32"/>
          <w:szCs w:val="32"/>
        </w:rPr>
      </w:pPr>
    </w:p>
    <w:p w14:paraId="0A21896F">
      <w:pPr>
        <w:spacing w:line="360" w:lineRule="auto"/>
        <w:jc w:val="center"/>
        <w:rPr>
          <w:rFonts w:hint="eastAsia" w:asciiTheme="minorEastAsia" w:hAnsiTheme="minorEastAsia" w:eastAsiaTheme="minorEastAsia" w:cstheme="minorEastAsia"/>
          <w:b/>
          <w:spacing w:val="6"/>
          <w:sz w:val="32"/>
          <w:szCs w:val="32"/>
        </w:rPr>
      </w:pPr>
    </w:p>
    <w:p w14:paraId="0A081771">
      <w:pPr>
        <w:spacing w:line="360" w:lineRule="auto"/>
        <w:jc w:val="center"/>
        <w:rPr>
          <w:rFonts w:hint="eastAsia" w:asciiTheme="minorEastAsia" w:hAnsiTheme="minorEastAsia" w:eastAsiaTheme="minorEastAsia" w:cstheme="minorEastAsia"/>
          <w:b/>
          <w:spacing w:val="6"/>
          <w:sz w:val="32"/>
          <w:szCs w:val="32"/>
        </w:rPr>
      </w:pPr>
    </w:p>
    <w:p w14:paraId="7E6FF076">
      <w:pPr>
        <w:spacing w:line="360" w:lineRule="auto"/>
        <w:jc w:val="center"/>
        <w:rPr>
          <w:rFonts w:hint="eastAsia" w:asciiTheme="minorEastAsia" w:hAnsiTheme="minorEastAsia" w:eastAsiaTheme="minorEastAsia" w:cstheme="minorEastAsia"/>
          <w:b/>
          <w:spacing w:val="6"/>
          <w:sz w:val="32"/>
          <w:szCs w:val="32"/>
        </w:rPr>
      </w:pPr>
    </w:p>
    <w:p w14:paraId="3A293583">
      <w:pPr>
        <w:spacing w:line="360" w:lineRule="auto"/>
        <w:jc w:val="center"/>
        <w:rPr>
          <w:rFonts w:hint="eastAsia" w:asciiTheme="minorEastAsia" w:hAnsiTheme="minorEastAsia" w:eastAsiaTheme="minorEastAsia" w:cstheme="minorEastAsia"/>
          <w:b/>
          <w:spacing w:val="6"/>
          <w:sz w:val="32"/>
          <w:szCs w:val="32"/>
        </w:rPr>
      </w:pPr>
    </w:p>
    <w:p w14:paraId="6F57688F">
      <w:pPr>
        <w:spacing w:line="360" w:lineRule="auto"/>
        <w:jc w:val="center"/>
        <w:rPr>
          <w:rFonts w:hint="eastAsia" w:asciiTheme="minorEastAsia" w:hAnsiTheme="minorEastAsia" w:eastAsiaTheme="minorEastAsia" w:cstheme="minorEastAsia"/>
          <w:b/>
          <w:spacing w:val="6"/>
          <w:sz w:val="32"/>
          <w:szCs w:val="32"/>
        </w:rPr>
      </w:pPr>
    </w:p>
    <w:p w14:paraId="4E828155">
      <w:pPr>
        <w:spacing w:line="360" w:lineRule="auto"/>
        <w:jc w:val="center"/>
        <w:rPr>
          <w:rFonts w:hint="eastAsia" w:asciiTheme="minorEastAsia" w:hAnsiTheme="minorEastAsia" w:eastAsiaTheme="minorEastAsia" w:cstheme="minorEastAsia"/>
          <w:b/>
          <w:spacing w:val="6"/>
          <w:sz w:val="32"/>
          <w:szCs w:val="32"/>
        </w:rPr>
      </w:pPr>
    </w:p>
    <w:p w14:paraId="70549A0F">
      <w:pPr>
        <w:spacing w:line="360" w:lineRule="auto"/>
        <w:jc w:val="center"/>
        <w:rPr>
          <w:rFonts w:hint="eastAsia" w:asciiTheme="minorEastAsia" w:hAnsiTheme="minorEastAsia" w:eastAsiaTheme="minorEastAsia" w:cstheme="minorEastAsia"/>
          <w:b/>
          <w:spacing w:val="6"/>
          <w:sz w:val="32"/>
          <w:szCs w:val="32"/>
        </w:rPr>
      </w:pPr>
    </w:p>
    <w:p w14:paraId="6C30B892">
      <w:pPr>
        <w:spacing w:line="360" w:lineRule="auto"/>
        <w:jc w:val="center"/>
        <w:rPr>
          <w:rFonts w:hint="eastAsia" w:asciiTheme="minorEastAsia" w:hAnsiTheme="minorEastAsia" w:eastAsiaTheme="minorEastAsia" w:cstheme="minorEastAsia"/>
          <w:b/>
          <w:spacing w:val="6"/>
          <w:sz w:val="32"/>
          <w:szCs w:val="32"/>
        </w:rPr>
      </w:pPr>
    </w:p>
    <w:p w14:paraId="6EAF3645">
      <w:pPr>
        <w:spacing w:line="360" w:lineRule="auto"/>
        <w:jc w:val="center"/>
        <w:rPr>
          <w:rFonts w:hint="eastAsia" w:asciiTheme="minorEastAsia" w:hAnsiTheme="minorEastAsia" w:eastAsiaTheme="minorEastAsia" w:cstheme="minorEastAsia"/>
          <w:b/>
          <w:spacing w:val="6"/>
          <w:sz w:val="32"/>
          <w:szCs w:val="32"/>
        </w:rPr>
      </w:pPr>
    </w:p>
    <w:p w14:paraId="21543CBD">
      <w:pPr>
        <w:spacing w:line="360" w:lineRule="auto"/>
        <w:jc w:val="center"/>
        <w:rPr>
          <w:rFonts w:hint="eastAsia" w:asciiTheme="minorEastAsia" w:hAnsiTheme="minorEastAsia" w:eastAsiaTheme="minorEastAsia" w:cstheme="minorEastAsia"/>
          <w:b/>
          <w:spacing w:val="6"/>
          <w:sz w:val="32"/>
          <w:szCs w:val="32"/>
        </w:rPr>
      </w:pPr>
    </w:p>
    <w:p w14:paraId="270C453E">
      <w:pPr>
        <w:spacing w:line="360" w:lineRule="auto"/>
        <w:jc w:val="center"/>
        <w:rPr>
          <w:rFonts w:hint="eastAsia" w:asciiTheme="minorEastAsia" w:hAnsiTheme="minorEastAsia" w:eastAsiaTheme="minorEastAsia" w:cstheme="minorEastAsia"/>
          <w:b/>
          <w:spacing w:val="6"/>
          <w:sz w:val="32"/>
          <w:szCs w:val="32"/>
        </w:rPr>
      </w:pPr>
    </w:p>
    <w:p w14:paraId="227B662F">
      <w:pPr>
        <w:spacing w:line="360" w:lineRule="auto"/>
        <w:jc w:val="left"/>
        <w:rPr>
          <w:rFonts w:hint="eastAsia" w:asciiTheme="minorEastAsia" w:hAnsiTheme="minorEastAsia" w:eastAsiaTheme="minorEastAsia" w:cstheme="minorEastAsia"/>
          <w:b/>
          <w:spacing w:val="6"/>
          <w:sz w:val="32"/>
          <w:szCs w:val="32"/>
        </w:rPr>
      </w:pPr>
    </w:p>
    <w:p w14:paraId="5AAAF758">
      <w:pPr>
        <w:spacing w:line="360" w:lineRule="auto"/>
        <w:jc w:val="left"/>
        <w:rPr>
          <w:rFonts w:hint="eastAsia" w:asciiTheme="minorEastAsia" w:hAnsiTheme="minorEastAsia" w:eastAsiaTheme="minorEastAsia" w:cstheme="minorEastAsia"/>
          <w:b/>
          <w:spacing w:val="6"/>
          <w:sz w:val="32"/>
          <w:szCs w:val="32"/>
        </w:rPr>
      </w:pPr>
    </w:p>
    <w:p w14:paraId="626CD346">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1A2928A0">
      <w:pPr>
        <w:spacing w:line="360" w:lineRule="auto"/>
        <w:jc w:val="center"/>
        <w:rPr>
          <w:rFonts w:hint="eastAsia" w:asciiTheme="minorEastAsia" w:hAnsiTheme="minorEastAsia" w:eastAsiaTheme="minorEastAsia" w:cstheme="minorEastAsia"/>
          <w:b/>
          <w:sz w:val="24"/>
        </w:rPr>
      </w:pPr>
    </w:p>
    <w:p w14:paraId="1724C28A">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6E1E330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29FD868D">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4CBB5DC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17E01197">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p>
    <w:p w14:paraId="3E4DA441">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76ED5A82">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1E6851A">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49E9B9F3">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p>
    <w:p w14:paraId="40FDFD8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120F020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0FB3418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5B81665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9AC357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p>
    <w:p w14:paraId="07690E9F">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72EB405B">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3C940ED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723D9252">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4AB38B9F">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28CA3BB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32E72B5B">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7CE7A877">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3AB8F49F">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3EB0595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68C5C822">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348328B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0657F72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1E08B4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7915701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0EB2FDCB">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0EB1B96F">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3F63D78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2CD8890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3EEFC03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2D52783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5CA7FDB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442775E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432CB7E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50F5044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5BAFB452">
      <w:pPr>
        <w:spacing w:line="360" w:lineRule="auto"/>
        <w:rPr>
          <w:rFonts w:hint="eastAsia" w:asciiTheme="minorEastAsia" w:hAnsiTheme="minorEastAsia" w:eastAsiaTheme="minorEastAsia" w:cstheme="minorEastAsia"/>
          <w:b/>
          <w:sz w:val="24"/>
        </w:rPr>
      </w:pPr>
    </w:p>
    <w:p w14:paraId="7D12B43B">
      <w:pPr>
        <w:spacing w:line="360" w:lineRule="auto"/>
        <w:rPr>
          <w:rFonts w:hint="eastAsia" w:asciiTheme="minorEastAsia" w:hAnsiTheme="minorEastAsia" w:eastAsiaTheme="minorEastAsia" w:cstheme="minorEastAsia"/>
          <w:b/>
          <w:sz w:val="24"/>
        </w:rPr>
      </w:pPr>
    </w:p>
    <w:p w14:paraId="01E536BA">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5642FE8E">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72DA82F9">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38224740">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398521AF">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4D2E842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362247B6">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11899A55">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317BD587">
      <w:pPr>
        <w:spacing w:line="360" w:lineRule="auto"/>
        <w:rPr>
          <w:rFonts w:hint="eastAsia" w:asciiTheme="minorEastAsia" w:hAnsiTheme="minorEastAsia" w:eastAsiaTheme="minorEastAsia" w:cstheme="minorEastAsia"/>
          <w:b/>
          <w:sz w:val="24"/>
        </w:rPr>
      </w:pPr>
    </w:p>
    <w:p w14:paraId="49BCEDDA">
      <w:pPr>
        <w:autoSpaceDE w:val="0"/>
        <w:autoSpaceDN w:val="0"/>
        <w:jc w:val="center"/>
        <w:rPr>
          <w:rFonts w:hint="eastAsia" w:asciiTheme="minorEastAsia" w:hAnsiTheme="minorEastAsia" w:eastAsiaTheme="minorEastAsia" w:cstheme="minorEastAsia"/>
          <w:b/>
          <w:spacing w:val="6"/>
          <w:sz w:val="32"/>
          <w:szCs w:val="32"/>
        </w:rPr>
      </w:pPr>
    </w:p>
    <w:p w14:paraId="5E440626">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5DEF749D">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1B983B2F">
      <w:pPr>
        <w:spacing w:line="360" w:lineRule="auto"/>
        <w:rPr>
          <w:rFonts w:hint="eastAsia" w:asciiTheme="minorEastAsia" w:hAnsiTheme="minorEastAsia" w:eastAsiaTheme="minorEastAsia" w:cstheme="minorEastAsia"/>
          <w:sz w:val="24"/>
          <w:u w:val="single"/>
        </w:rPr>
      </w:pPr>
    </w:p>
    <w:p w14:paraId="1089514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杭州市美术职业学校、杭州洲源招标代理有限公司：</w:t>
      </w:r>
    </w:p>
    <w:p w14:paraId="2CF209B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sz w:val="24"/>
        </w:rPr>
        <w:t>(投标人全称)是中华人民共和国依法登记注册的合法企业，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你方组织的杭州市美术职业学校数字底座项目【项目编号：</w:t>
      </w:r>
      <w:r>
        <w:rPr>
          <w:rFonts w:hint="eastAsia" w:asciiTheme="minorEastAsia" w:hAnsiTheme="minorEastAsia" w:eastAsiaTheme="minorEastAsia" w:cstheme="minorEastAsia"/>
          <w:sz w:val="24"/>
          <w:lang w:eastAsia="zh-CN"/>
        </w:rPr>
        <w:t>MSZX-2025-007</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z w:val="24"/>
        </w:rPr>
        <w:t>投标活动中作如下说明：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430F5DB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0D62AAA2">
      <w:pPr>
        <w:spacing w:line="360" w:lineRule="auto"/>
        <w:ind w:firstLine="494"/>
        <w:rPr>
          <w:rFonts w:hint="eastAsia" w:asciiTheme="minorEastAsia" w:hAnsiTheme="minorEastAsia" w:eastAsiaTheme="minorEastAsia" w:cstheme="minorEastAsia"/>
          <w:sz w:val="24"/>
        </w:rPr>
      </w:pPr>
    </w:p>
    <w:p w14:paraId="14389AB3">
      <w:pPr>
        <w:spacing w:line="360" w:lineRule="auto"/>
        <w:ind w:firstLine="494"/>
        <w:rPr>
          <w:rFonts w:hint="eastAsia" w:asciiTheme="minorEastAsia" w:hAnsiTheme="minorEastAsia" w:eastAsiaTheme="minorEastAsia" w:cstheme="minorEastAsia"/>
          <w:sz w:val="24"/>
        </w:rPr>
      </w:pPr>
    </w:p>
    <w:p w14:paraId="3944ED35">
      <w:pPr>
        <w:spacing w:line="360" w:lineRule="auto"/>
        <w:ind w:firstLine="494"/>
        <w:rPr>
          <w:rFonts w:hint="eastAsia" w:asciiTheme="minorEastAsia" w:hAnsiTheme="minorEastAsia" w:eastAsiaTheme="minorEastAsia" w:cstheme="minorEastAsia"/>
          <w:sz w:val="24"/>
        </w:rPr>
      </w:pPr>
    </w:p>
    <w:p w14:paraId="693E414C">
      <w:pPr>
        <w:spacing w:line="360" w:lineRule="auto"/>
        <w:ind w:firstLine="494"/>
        <w:rPr>
          <w:rFonts w:hint="eastAsia" w:asciiTheme="minorEastAsia" w:hAnsiTheme="minorEastAsia" w:eastAsiaTheme="minorEastAsia" w:cstheme="minorEastAsia"/>
          <w:sz w:val="24"/>
        </w:rPr>
      </w:pPr>
    </w:p>
    <w:p w14:paraId="7BDF0BF1">
      <w:pPr>
        <w:spacing w:line="360" w:lineRule="auto"/>
        <w:ind w:right="480" w:firstLine="4560" w:firstLineChars="19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投标单位（法定名称章）：</w:t>
      </w:r>
    </w:p>
    <w:p w14:paraId="3269F41C">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761CCB3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p>
    <w:p w14:paraId="2B51353B">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gjQim9sBAADTAwAADgAAAGRycy9lMm9Eb2MueG1srVPN&#10;jtMwEL4j8Q6W7zRp2BaImu6BqlwQrLTwAK7jNJb8pxlv0z4NEjcegsdBvAZjJ5Tuz2EP+ODMjMff&#10;zPd5sro+WsMOClB71/D5rORMOelb7fYN//pl++otZxiFa4XxTjX8pJBfr1++WA2hVpXvvWkVMAJx&#10;WA+h4X2MoS4KlL2yAmc+KEeHnQcrIrmwL1oQA6FbU1RluSwGD20ALxUiRTfjIZ8Q4TmAvuu0VBsv&#10;76xycUQFZUQkStjrgHydu+06JePnrkMVmWk4MY15pyJk79JerFei3oMIvZZTC+I5LTzgZIV2VPQM&#10;tRFRsDvQj6CsluDRd3EmvS1GIlkRYjEvH2hz24ugMheSGsNZdPx/sPLT4QaYbmkSymrJmROW3vz3&#10;tx+/fn5nOUQKDQFrSrwNNzB5SGaie+zApi8RYces6umsqjpGJilYvSmvrpYLziSdVdXi9XK+SLoX&#10;/64HwPhBecuS0XCgZ8tqisNHjGPq35RUDb3R7VYbkx3Y794bYAdBT7zNa0K/l2YcGxr+blGlRgTN&#10;bUfzQqYNxB3dPte7dwMvgcu8ngJOjW0E9mMDGSGlidrqqGBs3rgUUHkeJ0ZJ01HFZO18e8riFsmj&#10;t87yTHOZhunSJ/vyX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CCNCKb2wEAANMDAAAO&#10;AAAAAAAAAAEAIAAAACcBAABkcnMvZTJvRG9jLnhtbFBLBQYAAAAABgAGAFkBAAB0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GzyW9wBAADTAwAADgAAAGRycy9lMm9Eb2MueG1srVPN&#10;jtMwEL4j8Q6W7zRpIF02aroHqnJBsNIuD+A6dmLJf/J4m/ZpkLjxEDwO4jUYO6F0Fw57wAdnZjz+&#10;Zr7Pk/XN0WhyEAGUsy1dLkpKhOWuU7Zv6ef73au3lEBktmPaWdHSkwB6s3n5Yj36RlRucLoTgSCI&#10;hWb0LR1i9E1RAB+EYbBwXlg8lC4YFtENfdEFNiK60UVVlqtidKHzwXEBgNHtdEhnxPAcQCel4mLr&#10;+IMRNk6oQWgWkRIMygPd5G6lFDx+khJEJLqlyDTmHYugvU97sVmzpg/MD4rPLbDntPCEk2HKYtEz&#10;1JZFRh6C+gvKKB4cOBkX3JliIpIVQRbL8ok2dwPzInNBqcGfRYf/B8s/Hm4DUR1OQlldUWKZwTf/&#10;+eXbj+9fSQ6hQqOHBhPv/G2YPUAz0T3KYNIXiZBjVvV0VlUcI+EYrFZvrq5rFJzjWVXVr1fLOule&#10;/LnuA8T3whmSjJYGfLasJjt8gDil/k5J1cBp1e2U1tkJ/f6dDuTA8Il3ec3oj9K0JWNLr+uqxkYY&#10;zq3EeUHTeOQOts/1Ht2AS+Ayr38Bp8a2DIapgYyQ0lhjVBRhal7bFBB5HmdGSdNJxWTtXXfK4hbJ&#10;w7fO8sxzmYbp0kf78l/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dGzyW9wBAADTAwAA&#10;DgAAAAAAAAABACAAAAAnAQAAZHJzL2Uyb0RvYy54bWxQSwUGAAAAAAYABgBZAQAAdQ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sz w:val="24"/>
        </w:rPr>
        <w:t>投标单位法定名称章（印模）                投标单位“XX专用章”（印模）</w:t>
      </w:r>
    </w:p>
    <w:p w14:paraId="5371CD19">
      <w:pPr>
        <w:autoSpaceDE w:val="0"/>
        <w:autoSpaceDN w:val="0"/>
        <w:jc w:val="center"/>
        <w:rPr>
          <w:rFonts w:hint="eastAsia" w:asciiTheme="minorEastAsia" w:hAnsiTheme="minorEastAsia" w:eastAsiaTheme="minorEastAsia" w:cstheme="minorEastAsia"/>
          <w:b/>
          <w:spacing w:val="6"/>
          <w:sz w:val="32"/>
          <w:szCs w:val="32"/>
        </w:rPr>
      </w:pPr>
    </w:p>
    <w:p w14:paraId="71E38168">
      <w:pPr>
        <w:autoSpaceDE w:val="0"/>
        <w:autoSpaceDN w:val="0"/>
        <w:jc w:val="center"/>
        <w:rPr>
          <w:rFonts w:hint="eastAsia" w:asciiTheme="minorEastAsia" w:hAnsiTheme="minorEastAsia" w:eastAsiaTheme="minorEastAsia" w:cstheme="minorEastAsia"/>
          <w:b/>
          <w:spacing w:val="6"/>
          <w:sz w:val="32"/>
          <w:szCs w:val="32"/>
        </w:rPr>
      </w:pPr>
    </w:p>
    <w:p w14:paraId="43F8B8F5">
      <w:pPr>
        <w:autoSpaceDE w:val="0"/>
        <w:autoSpaceDN w:val="0"/>
        <w:jc w:val="center"/>
        <w:rPr>
          <w:rFonts w:hint="eastAsia" w:asciiTheme="minorEastAsia" w:hAnsiTheme="minorEastAsia" w:eastAsiaTheme="minorEastAsia" w:cstheme="minorEastAsia"/>
          <w:b/>
          <w:spacing w:val="6"/>
          <w:sz w:val="32"/>
          <w:szCs w:val="32"/>
        </w:rPr>
      </w:pPr>
    </w:p>
    <w:p w14:paraId="1775B8F0">
      <w:pPr>
        <w:autoSpaceDE w:val="0"/>
        <w:autoSpaceDN w:val="0"/>
        <w:jc w:val="center"/>
        <w:rPr>
          <w:rFonts w:hint="eastAsia" w:asciiTheme="minorEastAsia" w:hAnsiTheme="minorEastAsia" w:eastAsiaTheme="minorEastAsia" w:cstheme="minorEastAsia"/>
          <w:b/>
          <w:spacing w:val="6"/>
          <w:sz w:val="32"/>
          <w:szCs w:val="32"/>
        </w:rPr>
      </w:pPr>
    </w:p>
    <w:p w14:paraId="2E72455F">
      <w:pPr>
        <w:autoSpaceDE w:val="0"/>
        <w:autoSpaceDN w:val="0"/>
        <w:jc w:val="center"/>
        <w:rPr>
          <w:rFonts w:hint="eastAsia" w:asciiTheme="minorEastAsia" w:hAnsiTheme="minorEastAsia" w:eastAsiaTheme="minorEastAsia" w:cstheme="minorEastAsia"/>
          <w:b/>
          <w:spacing w:val="6"/>
          <w:sz w:val="32"/>
          <w:szCs w:val="32"/>
        </w:rPr>
      </w:pPr>
    </w:p>
    <w:p w14:paraId="1665727B">
      <w:pPr>
        <w:autoSpaceDE w:val="0"/>
        <w:autoSpaceDN w:val="0"/>
        <w:jc w:val="center"/>
        <w:rPr>
          <w:rFonts w:hint="eastAsia" w:asciiTheme="minorEastAsia" w:hAnsiTheme="minorEastAsia" w:eastAsiaTheme="minorEastAsia" w:cstheme="minorEastAsia"/>
          <w:b/>
          <w:spacing w:val="6"/>
          <w:sz w:val="32"/>
          <w:szCs w:val="32"/>
        </w:rPr>
      </w:pPr>
    </w:p>
    <w:p w14:paraId="7FF98125">
      <w:pPr>
        <w:autoSpaceDE w:val="0"/>
        <w:autoSpaceDN w:val="0"/>
        <w:jc w:val="center"/>
        <w:rPr>
          <w:rFonts w:hint="eastAsia" w:asciiTheme="minorEastAsia" w:hAnsiTheme="minorEastAsia" w:eastAsiaTheme="minorEastAsia" w:cstheme="minorEastAsia"/>
          <w:b/>
          <w:spacing w:val="6"/>
          <w:sz w:val="32"/>
          <w:szCs w:val="32"/>
        </w:rPr>
      </w:pPr>
    </w:p>
    <w:p w14:paraId="178AC38A">
      <w:pPr>
        <w:autoSpaceDE w:val="0"/>
        <w:autoSpaceDN w:val="0"/>
        <w:jc w:val="center"/>
        <w:rPr>
          <w:rFonts w:hint="eastAsia" w:asciiTheme="minorEastAsia" w:hAnsiTheme="minorEastAsia" w:eastAsiaTheme="minorEastAsia" w:cstheme="minorEastAsia"/>
          <w:b/>
          <w:spacing w:val="6"/>
          <w:sz w:val="32"/>
          <w:szCs w:val="32"/>
        </w:rPr>
      </w:pPr>
    </w:p>
    <w:p w14:paraId="29ED928A">
      <w:pPr>
        <w:autoSpaceDE w:val="0"/>
        <w:autoSpaceDN w:val="0"/>
        <w:jc w:val="center"/>
        <w:rPr>
          <w:rFonts w:hint="eastAsia" w:asciiTheme="minorEastAsia" w:hAnsiTheme="minorEastAsia" w:eastAsiaTheme="minorEastAsia" w:cstheme="minorEastAsia"/>
          <w:b/>
          <w:spacing w:val="6"/>
          <w:sz w:val="32"/>
          <w:szCs w:val="32"/>
        </w:rPr>
      </w:pPr>
    </w:p>
    <w:p w14:paraId="70746F1B">
      <w:pPr>
        <w:autoSpaceDE w:val="0"/>
        <w:autoSpaceDN w:val="0"/>
        <w:jc w:val="center"/>
        <w:rPr>
          <w:rFonts w:hint="eastAsia" w:asciiTheme="minorEastAsia" w:hAnsiTheme="minorEastAsia" w:eastAsiaTheme="minorEastAsia" w:cstheme="minorEastAsia"/>
          <w:b/>
          <w:spacing w:val="6"/>
          <w:sz w:val="32"/>
          <w:szCs w:val="32"/>
        </w:rPr>
      </w:pPr>
    </w:p>
    <w:p w14:paraId="7114C915">
      <w:pPr>
        <w:autoSpaceDE w:val="0"/>
        <w:autoSpaceDN w:val="0"/>
        <w:jc w:val="center"/>
        <w:rPr>
          <w:rFonts w:hint="eastAsia" w:asciiTheme="minorEastAsia" w:hAnsiTheme="minorEastAsia" w:eastAsiaTheme="minorEastAsia" w:cstheme="minorEastAsia"/>
          <w:b/>
          <w:spacing w:val="6"/>
          <w:sz w:val="32"/>
          <w:szCs w:val="32"/>
        </w:rPr>
      </w:pPr>
    </w:p>
    <w:p w14:paraId="2792BC29">
      <w:pPr>
        <w:autoSpaceDE w:val="0"/>
        <w:autoSpaceDN w:val="0"/>
        <w:jc w:val="center"/>
        <w:rPr>
          <w:rFonts w:hint="eastAsia" w:asciiTheme="minorEastAsia" w:hAnsiTheme="minorEastAsia" w:eastAsiaTheme="minorEastAsia" w:cstheme="minorEastAsia"/>
          <w:b/>
          <w:spacing w:val="6"/>
          <w:sz w:val="32"/>
          <w:szCs w:val="32"/>
        </w:rPr>
      </w:pPr>
    </w:p>
    <w:p w14:paraId="57CB54FE">
      <w:pPr>
        <w:autoSpaceDE w:val="0"/>
        <w:autoSpaceDN w:val="0"/>
        <w:jc w:val="center"/>
        <w:rPr>
          <w:rFonts w:hint="eastAsia" w:asciiTheme="minorEastAsia" w:hAnsiTheme="minorEastAsia" w:eastAsiaTheme="minorEastAsia" w:cstheme="minorEastAsia"/>
          <w:b/>
          <w:spacing w:val="6"/>
          <w:sz w:val="32"/>
          <w:szCs w:val="32"/>
        </w:rPr>
      </w:pPr>
    </w:p>
    <w:p w14:paraId="3B98998F">
      <w:pPr>
        <w:autoSpaceDE w:val="0"/>
        <w:autoSpaceDN w:val="0"/>
        <w:jc w:val="center"/>
        <w:rPr>
          <w:rFonts w:hint="eastAsia" w:asciiTheme="minorEastAsia" w:hAnsiTheme="minorEastAsia" w:eastAsiaTheme="minorEastAsia" w:cstheme="minorEastAsia"/>
          <w:b/>
          <w:spacing w:val="6"/>
          <w:sz w:val="32"/>
          <w:szCs w:val="32"/>
        </w:rPr>
      </w:pPr>
    </w:p>
    <w:p w14:paraId="3B98D2E9">
      <w:pPr>
        <w:autoSpaceDE w:val="0"/>
        <w:autoSpaceDN w:val="0"/>
        <w:jc w:val="center"/>
        <w:rPr>
          <w:rFonts w:hint="eastAsia" w:asciiTheme="minorEastAsia" w:hAnsiTheme="minorEastAsia" w:eastAsiaTheme="minorEastAsia" w:cstheme="minorEastAsia"/>
          <w:b/>
          <w:spacing w:val="6"/>
          <w:sz w:val="32"/>
          <w:szCs w:val="32"/>
        </w:rPr>
      </w:pPr>
    </w:p>
    <w:p w14:paraId="11608B42">
      <w:pPr>
        <w:autoSpaceDE w:val="0"/>
        <w:autoSpaceDN w:val="0"/>
        <w:jc w:val="center"/>
        <w:rPr>
          <w:rFonts w:hint="eastAsia" w:asciiTheme="minorEastAsia" w:hAnsiTheme="minorEastAsia" w:eastAsiaTheme="minorEastAsia" w:cstheme="minorEastAsia"/>
          <w:b/>
          <w:spacing w:val="6"/>
          <w:sz w:val="32"/>
          <w:szCs w:val="32"/>
        </w:rPr>
      </w:pPr>
    </w:p>
    <w:p w14:paraId="3BA70778">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078FF5FE">
      <w:pPr>
        <w:autoSpaceDE w:val="0"/>
        <w:autoSpaceDN w:val="0"/>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spacing w:val="6"/>
          <w:sz w:val="32"/>
          <w:szCs w:val="32"/>
        </w:rPr>
        <w:t>附件5：</w:t>
      </w:r>
      <w:r>
        <w:rPr>
          <w:rFonts w:hint="eastAsia" w:asciiTheme="minorEastAsia" w:hAnsiTheme="minorEastAsia" w:eastAsiaTheme="minorEastAsia" w:cstheme="minorEastAsia"/>
          <w:b/>
          <w:kern w:val="0"/>
          <w:sz w:val="32"/>
          <w:szCs w:val="32"/>
          <w:lang w:val="zh-CN"/>
        </w:rPr>
        <w:t>联合协议</w:t>
      </w:r>
    </w:p>
    <w:p w14:paraId="03BC99FA">
      <w:pPr>
        <w:widowControl/>
        <w:spacing w:line="312"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（以联合体形式投标的，提供联合协议；本项目不接受联合体投标或者投标人不以联合体形式投标的，则不需要提供）</w:t>
      </w:r>
    </w:p>
    <w:p w14:paraId="57F71701">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（联合体所有成员名称）</w:t>
      </w:r>
      <w:r>
        <w:rPr>
          <w:rFonts w:hint="eastAsia" w:asciiTheme="minorEastAsia" w:hAnsiTheme="minorEastAsia" w:eastAsiaTheme="minorEastAsia" w:cstheme="minorEastAsia"/>
          <w:kern w:val="0"/>
          <w:sz w:val="24"/>
        </w:rPr>
        <w:t>自愿</w:t>
      </w:r>
      <w:r>
        <w:rPr>
          <w:rFonts w:hint="eastAsia" w:asciiTheme="minorEastAsia" w:hAnsiTheme="minorEastAsia" w:eastAsiaTheme="minorEastAsia" w:cstheme="minorEastAsia"/>
          <w:kern w:val="0"/>
          <w:sz w:val="24"/>
          <w:lang w:val="zh-CN"/>
        </w:rPr>
        <w:t>组成一个联合体，以一个投标人的身份</w:t>
      </w:r>
      <w:r>
        <w:rPr>
          <w:rFonts w:hint="eastAsia" w:asciiTheme="minorEastAsia" w:hAnsiTheme="minorEastAsia" w:eastAsiaTheme="minorEastAsia" w:cstheme="minorEastAsia"/>
          <w:kern w:val="0"/>
          <w:sz w:val="24"/>
        </w:rPr>
        <w:t>参加</w:t>
      </w:r>
      <w:r>
        <w:rPr>
          <w:rFonts w:hint="eastAsia" w:asciiTheme="minorEastAsia" w:hAnsiTheme="minorEastAsia" w:eastAsiaTheme="minorEastAsia" w:cstheme="minorEastAsia"/>
          <w:sz w:val="24"/>
        </w:rPr>
        <w:t>杭州市美术职业学校数字底座项目【项目编号：</w:t>
      </w:r>
      <w:r>
        <w:rPr>
          <w:rFonts w:hint="eastAsia" w:asciiTheme="minorEastAsia" w:hAnsiTheme="minorEastAsia" w:eastAsiaTheme="minorEastAsia" w:cstheme="minorEastAsia"/>
          <w:sz w:val="24"/>
          <w:lang w:eastAsia="zh-CN"/>
        </w:rPr>
        <w:t>MSZX-2025-007</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 xml:space="preserve">投标。 </w:t>
      </w:r>
    </w:p>
    <w:p w14:paraId="1E5B78F4">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一、各方一致决定，</w:t>
      </w:r>
      <w:r>
        <w:rPr>
          <w:rFonts w:hint="eastAsia" w:asciiTheme="minorEastAsia" w:hAnsiTheme="minorEastAsia" w:eastAsiaTheme="minorEastAsia" w:cstheme="minorEastAsia"/>
          <w:kern w:val="0"/>
          <w:sz w:val="24"/>
          <w:u w:val="single"/>
        </w:rPr>
        <w:t>（某联合体成员名称）</w:t>
      </w:r>
      <w:r>
        <w:rPr>
          <w:rFonts w:hint="eastAsia" w:asciiTheme="minorEastAsia" w:hAnsiTheme="minorEastAsia" w:eastAsiaTheme="minorEastAsia" w:cstheme="minorEastAsia"/>
          <w:kern w:val="0"/>
          <w:sz w:val="24"/>
        </w:rPr>
        <w:t>为联合体</w:t>
      </w:r>
      <w:r>
        <w:rPr>
          <w:rFonts w:hint="eastAsia" w:asciiTheme="minorEastAsia" w:hAnsiTheme="minorEastAsia" w:eastAsiaTheme="minorEastAsia" w:cstheme="minorEastAsia"/>
          <w:kern w:val="0"/>
          <w:sz w:val="24"/>
          <w:lang w:val="zh-CN"/>
        </w:rPr>
        <w:t>牵头人</w:t>
      </w:r>
      <w:r>
        <w:rPr>
          <w:rFonts w:hint="eastAsia" w:asciiTheme="minorEastAsia" w:hAnsiTheme="minorEastAsia" w:eastAsiaTheme="minorEastAsia" w:cstheme="minorEastAsia"/>
          <w:sz w:val="24"/>
        </w:rPr>
        <w:t>，代表所有联合体成员负责投标和合同实施阶段的主办、协调工作</w:t>
      </w:r>
      <w:r>
        <w:rPr>
          <w:rFonts w:hint="eastAsia" w:asciiTheme="minorEastAsia" w:hAnsiTheme="minorEastAsia" w:eastAsiaTheme="minorEastAsia" w:cstheme="minorEastAsia"/>
          <w:kern w:val="0"/>
          <w:sz w:val="24"/>
          <w:lang w:val="zh-CN"/>
        </w:rPr>
        <w:t>。</w:t>
      </w:r>
    </w:p>
    <w:p w14:paraId="2580650F">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二、</w:t>
      </w:r>
      <w:r>
        <w:rPr>
          <w:rFonts w:hint="eastAsia" w:asciiTheme="minorEastAsia" w:hAnsiTheme="minorEastAsia" w:eastAsiaTheme="minorEastAsia" w:cstheme="minorEastAsia"/>
          <w:sz w:val="24"/>
        </w:rPr>
        <w:t>所有联合体成员各方签署授权书，授权书载明的</w:t>
      </w:r>
      <w:r>
        <w:rPr>
          <w:rFonts w:hint="eastAsia" w:asciiTheme="minorEastAsia" w:hAnsiTheme="minorEastAsia" w:eastAsiaTheme="minorEastAsia" w:cstheme="minorEastAsia"/>
          <w:kern w:val="0"/>
          <w:sz w:val="24"/>
          <w:lang w:val="zh-CN"/>
        </w:rPr>
        <w:t>授权代表根据招标文件规定及投标内容而对采购人、采购代理机构所作的任何合法承诺，包括书面澄清及相应等均对联合投标各方产生约束力。</w:t>
      </w:r>
    </w:p>
    <w:p w14:paraId="086D3BDA">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三、本次联合投标中，分工如下：</w:t>
      </w:r>
    </w:p>
    <w:p w14:paraId="50AD55E7">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（联合体成员1）</w:t>
      </w:r>
      <w:r>
        <w:rPr>
          <w:rFonts w:hint="eastAsia" w:asciiTheme="minorEastAsia" w:hAnsiTheme="minorEastAsia" w:eastAsiaTheme="minorEastAsia" w:cstheme="minorEastAsia"/>
          <w:kern w:val="0"/>
          <w:sz w:val="24"/>
          <w:lang w:val="zh-CN"/>
        </w:rPr>
        <w:t>承担的工作和义务为：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lang w:val="zh-CN"/>
        </w:rPr>
        <w:t>；</w:t>
      </w:r>
    </w:p>
    <w:p w14:paraId="6A13E48D">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（联合体成员2）</w:t>
      </w:r>
      <w:r>
        <w:rPr>
          <w:rFonts w:hint="eastAsia" w:asciiTheme="minorEastAsia" w:hAnsiTheme="minorEastAsia" w:eastAsiaTheme="minorEastAsia" w:cstheme="minorEastAsia"/>
          <w:kern w:val="0"/>
          <w:sz w:val="24"/>
          <w:lang w:val="zh-CN"/>
        </w:rPr>
        <w:t>承担的工作和义务为：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lang w:val="zh-CN"/>
        </w:rPr>
        <w:t>；……</w:t>
      </w:r>
    </w:p>
    <w:p w14:paraId="1CC2F47A">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四、联合体成员中小企业合同份额。</w:t>
      </w:r>
    </w:p>
    <w:p w14:paraId="3770DE5C">
      <w:pPr>
        <w:snapToGrid w:val="0"/>
        <w:spacing w:line="312" w:lineRule="auto"/>
        <w:ind w:firstLine="576"/>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u w:val="single"/>
        </w:rPr>
        <w:t>（</w:t>
      </w:r>
      <w:bookmarkStart w:id="553" w:name="_Hlk101131882"/>
      <w:r>
        <w:rPr>
          <w:rFonts w:hint="eastAsia" w:asciiTheme="minorEastAsia" w:hAnsiTheme="minorEastAsia" w:eastAsiaTheme="minorEastAsia" w:cstheme="minorEastAsia"/>
          <w:kern w:val="0"/>
          <w:sz w:val="24"/>
          <w:u w:val="single"/>
        </w:rPr>
        <w:t>联合体成员X,……</w:t>
      </w:r>
      <w:bookmarkEnd w:id="553"/>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提供的服务由小微企业承接，其合同份额占到合同总金额</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%以上</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w:t>
      </w:r>
      <w:bookmarkStart w:id="554" w:name="_Hlk101133598"/>
      <w:r>
        <w:rPr>
          <w:rFonts w:hint="eastAsia" w:asciiTheme="minorEastAsia" w:hAnsiTheme="minorEastAsia" w:eastAsiaTheme="minorEastAsia" w:cs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sz w:val="24"/>
        </w:rPr>
        <w:t>拟享受以上价格扣除政策的，填写有关内容。</w:t>
      </w:r>
      <w:bookmarkEnd w:id="554"/>
      <w:r>
        <w:rPr>
          <w:rFonts w:hint="eastAsia" w:asciiTheme="minorEastAsia" w:hAnsiTheme="minorEastAsia" w:eastAsiaTheme="minorEastAsia" w:cstheme="minorEastAsia"/>
          <w:b/>
          <w:kern w:val="0"/>
          <w:sz w:val="24"/>
          <w:lang w:val="zh-CN"/>
        </w:rPr>
        <w:t>）</w:t>
      </w:r>
    </w:p>
    <w:p w14:paraId="04919039">
      <w:pPr>
        <w:spacing w:line="312" w:lineRule="auto"/>
        <w:ind w:firstLine="480" w:firstLineChars="200"/>
        <w:rPr>
          <w:rFonts w:hint="eastAsia"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sz w:val="24"/>
        </w:rPr>
        <w:t>2、</w:t>
      </w:r>
      <w:bookmarkStart w:id="555" w:name="_Hlk101133173"/>
      <w:r>
        <w:rPr>
          <w:rFonts w:hint="eastAsia" w:asciiTheme="minorEastAsia" w:hAnsiTheme="minorEastAsia" w:eastAsiaTheme="minorEastAsia" w:cstheme="minorEastAsia"/>
          <w:sz w:val="24"/>
        </w:rPr>
        <w:t>中小企业合同金额达到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%，小微企业合同金额达到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kern w:val="0"/>
          <w:sz w:val="24"/>
          <w:lang w:val="zh-CN"/>
        </w:rPr>
        <w:t>）</w:t>
      </w:r>
      <w:bookmarkEnd w:id="555"/>
    </w:p>
    <w:p w14:paraId="231716EC">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五、如果中标，</w:t>
      </w:r>
      <w:r>
        <w:rPr>
          <w:rFonts w:hint="eastAsia" w:asciiTheme="minorEastAsia" w:hAnsiTheme="minorEastAsia" w:eastAsiaTheme="minorEastAsia" w:cstheme="minorEastAsia"/>
          <w:sz w:val="24"/>
        </w:rPr>
        <w:t>联合体各成员方共同与采购人签订合同，并就采购合同约定的事项对采购人承担连带责任。</w:t>
      </w:r>
    </w:p>
    <w:p w14:paraId="12A7905D">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六、有关本次联合投标的其他事宜：</w:t>
      </w:r>
    </w:p>
    <w:p w14:paraId="6EACC54A">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1、联合体各方不再单独参加或者与其他供应商另外组成联合体参加同一合同项下的政府采购活动。</w:t>
      </w:r>
    </w:p>
    <w:p w14:paraId="03AF8464">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2、联合体中有同类资质的各方按照联合体分工承担相同工作的，按照资质等级较低的供应商确定资质等级。</w:t>
      </w:r>
    </w:p>
    <w:p w14:paraId="6466461E">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3、本协议提交采购人、采购代理机构后，联合体各方不得以任何形式对上述内容进行修改或撤销。</w:t>
      </w:r>
    </w:p>
    <w:p w14:paraId="4CB40B11">
      <w:pPr>
        <w:snapToGrid w:val="0"/>
        <w:spacing w:line="312" w:lineRule="auto"/>
        <w:ind w:firstLine="4320" w:firstLineChars="18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w:t>
      </w:r>
    </w:p>
    <w:p w14:paraId="3888D166">
      <w:pPr>
        <w:snapToGrid w:val="0"/>
        <w:spacing w:line="312" w:lineRule="auto"/>
        <w:ind w:firstLine="4320" w:firstLineChars="18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 ……</w:t>
      </w:r>
    </w:p>
    <w:p w14:paraId="03936B84">
      <w:pPr>
        <w:spacing w:line="312" w:lineRule="auto"/>
        <w:ind w:right="42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 xml:space="preserve">注：按本格式和要求提供。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sz w:val="24"/>
        </w:rPr>
        <w:t xml:space="preserve">    年   月   日</w:t>
      </w:r>
    </w:p>
    <w:p w14:paraId="4F4330F4">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34A8CCD7">
      <w:pPr>
        <w:snapToGrid w:val="0"/>
        <w:spacing w:line="360" w:lineRule="auto"/>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spacing w:val="6"/>
          <w:sz w:val="32"/>
          <w:szCs w:val="32"/>
        </w:rPr>
        <w:t>附件6：</w:t>
      </w:r>
      <w:r>
        <w:rPr>
          <w:rFonts w:hint="eastAsia" w:asciiTheme="minorEastAsia" w:hAnsiTheme="minorEastAsia" w:eastAsiaTheme="minorEastAsia" w:cstheme="minorEastAsia"/>
          <w:b/>
          <w:kern w:val="0"/>
          <w:sz w:val="32"/>
          <w:szCs w:val="32"/>
        </w:rPr>
        <w:t>分包意向协议</w:t>
      </w:r>
    </w:p>
    <w:p w14:paraId="4CD2267D">
      <w:pPr>
        <w:widowControl/>
        <w:spacing w:line="312" w:lineRule="auto"/>
        <w:ind w:firstLine="120" w:firstLineChars="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sz w:val="24"/>
        </w:rPr>
        <w:t>）</w:t>
      </w:r>
    </w:p>
    <w:p w14:paraId="16D91738">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lang w:val="zh-CN"/>
        </w:rPr>
        <w:t>若成为</w:t>
      </w:r>
      <w:r>
        <w:rPr>
          <w:rFonts w:hint="eastAsia" w:asciiTheme="minorEastAsia" w:hAnsiTheme="minorEastAsia" w:eastAsiaTheme="minorEastAsia" w:cstheme="minorEastAsia"/>
          <w:sz w:val="24"/>
        </w:rPr>
        <w:t>杭州市美术职业学校数字底座项目【项目编号：</w:t>
      </w:r>
      <w:r>
        <w:rPr>
          <w:rFonts w:hint="eastAsia" w:asciiTheme="minorEastAsia" w:hAnsiTheme="minorEastAsia" w:eastAsiaTheme="minorEastAsia" w:cstheme="minorEastAsia"/>
          <w:sz w:val="24"/>
          <w:lang w:eastAsia="zh-CN"/>
        </w:rPr>
        <w:t>MSZX-2025-007</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的中标供应商，将依法采取分包方式履行合同。</w:t>
      </w: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rPr>
        <w:t>与</w:t>
      </w:r>
      <w:r>
        <w:rPr>
          <w:rFonts w:hint="eastAsia" w:asciiTheme="minorEastAsia" w:hAnsiTheme="minorEastAsia" w:eastAsiaTheme="minorEastAsia" w:cstheme="minorEastAsia"/>
          <w:kern w:val="0"/>
          <w:sz w:val="24"/>
          <w:u w:val="single"/>
        </w:rPr>
        <w:t>（所有分包供应商名称）</w:t>
      </w:r>
      <w:r>
        <w:rPr>
          <w:rFonts w:hint="eastAsia" w:asciiTheme="minorEastAsia" w:hAnsiTheme="minorEastAsia" w:eastAsiaTheme="minorEastAsia" w:cstheme="minorEastAsia"/>
          <w:kern w:val="0"/>
          <w:sz w:val="24"/>
        </w:rPr>
        <w:t>达成分包意向协议</w:t>
      </w:r>
      <w:r>
        <w:rPr>
          <w:rFonts w:hint="eastAsia" w:asciiTheme="minorEastAsia" w:hAnsiTheme="minorEastAsia" w:eastAsiaTheme="minorEastAsia" w:cstheme="minorEastAsia"/>
          <w:kern w:val="0"/>
          <w:sz w:val="24"/>
          <w:lang w:val="zh-CN"/>
        </w:rPr>
        <w:t xml:space="preserve">。 </w:t>
      </w:r>
    </w:p>
    <w:p w14:paraId="0985CA8E">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一、分包标的及数量</w:t>
      </w:r>
    </w:p>
    <w:p w14:paraId="1F8813C1">
      <w:pPr>
        <w:snapToGrid w:val="0"/>
        <w:spacing w:line="312"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lang w:val="zh-CN"/>
        </w:rPr>
        <w:t>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u w:val="single"/>
        </w:rPr>
        <w:t xml:space="preserve"> XX工作内容   </w:t>
      </w:r>
      <w:r>
        <w:rPr>
          <w:rFonts w:hint="eastAsia" w:asciiTheme="minorEastAsia" w:hAnsiTheme="minorEastAsia" w:eastAsiaTheme="minorEastAsia" w:cstheme="minorEastAsia"/>
          <w:sz w:val="24"/>
        </w:rPr>
        <w:t>分包给</w:t>
      </w:r>
      <w:r>
        <w:rPr>
          <w:rFonts w:hint="eastAsia" w:asciiTheme="minorEastAsia" w:hAnsiTheme="minorEastAsia" w:eastAsiaTheme="minorEastAsia" w:cstheme="minorEastAsia"/>
          <w:kern w:val="0"/>
          <w:sz w:val="24"/>
          <w:u w:val="single"/>
        </w:rPr>
        <w:t>（分包供应商1名称）</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u w:val="single"/>
        </w:rPr>
        <w:t>（分包供应商2名称），</w:t>
      </w:r>
      <w:r>
        <w:rPr>
          <w:rFonts w:hint="eastAsia" w:asciiTheme="minorEastAsia" w:hAnsiTheme="minorEastAsia" w:eastAsiaTheme="minorEastAsia" w:cstheme="minorEastAsia"/>
          <w:kern w:val="0"/>
          <w:sz w:val="24"/>
          <w:lang w:val="zh-CN"/>
        </w:rPr>
        <w:t>具备承</w:t>
      </w:r>
      <w:r>
        <w:rPr>
          <w:rFonts w:hint="eastAsia" w:asciiTheme="minorEastAsia" w:hAnsiTheme="minorEastAsia" w:eastAsiaTheme="minorEastAsia" w:cstheme="minorEastAsia"/>
          <w:kern w:val="0"/>
          <w:sz w:val="24"/>
        </w:rPr>
        <w:t>担</w:t>
      </w:r>
      <w:r>
        <w:rPr>
          <w:rFonts w:hint="eastAsia" w:asciiTheme="minorEastAsia" w:hAnsiTheme="minorEastAsia" w:eastAsiaTheme="minorEastAsia" w:cstheme="minorEastAsia"/>
          <w:kern w:val="0"/>
          <w:sz w:val="24"/>
          <w:u w:val="single"/>
          <w:lang w:val="zh-CN"/>
        </w:rPr>
        <w:t>XX工作内容</w:t>
      </w:r>
      <w:r>
        <w:rPr>
          <w:rFonts w:hint="eastAsia" w:asciiTheme="minorEastAsia" w:hAnsiTheme="minorEastAsia" w:eastAsiaTheme="minorEastAsia" w:cstheme="minorEastAsia"/>
          <w:kern w:val="0"/>
          <w:sz w:val="24"/>
          <w:lang w:val="zh-CN"/>
        </w:rPr>
        <w:t>相应资质条件且不得再次分包；</w:t>
      </w:r>
    </w:p>
    <w:p w14:paraId="0767FA74">
      <w:pPr>
        <w:pStyle w:val="3"/>
        <w:spacing w:line="312" w:lineRule="auto"/>
        <w:ind w:left="664" w:leftChars="316" w:firstLine="229" w:firstLineChars="9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14:paraId="47CC2E70">
      <w:pPr>
        <w:spacing w:line="312"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lang w:val="zh-CN"/>
        </w:rPr>
        <w:t xml:space="preserve"> </w:t>
      </w:r>
      <w:r>
        <w:rPr>
          <w:rFonts w:hint="eastAsia" w:asciiTheme="minorEastAsia" w:hAnsiTheme="minorEastAsia" w:eastAsiaTheme="minorEastAsia" w:cstheme="minorEastAsia"/>
          <w:kern w:val="0"/>
          <w:sz w:val="24"/>
          <w:lang w:val="zh-CN"/>
        </w:rPr>
        <w:t>二、分包供应商中小企业合同份额</w:t>
      </w:r>
    </w:p>
    <w:p w14:paraId="091DB3CF">
      <w:pPr>
        <w:snapToGrid w:val="0"/>
        <w:spacing w:line="312" w:lineRule="auto"/>
        <w:ind w:firstLine="576"/>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u w:val="single"/>
        </w:rPr>
        <w:t>（分包供应商X,……）提供的服务全部由小微企业承接，</w:t>
      </w:r>
      <w:r>
        <w:rPr>
          <w:rFonts w:hint="eastAsia" w:asciiTheme="minorEastAsia" w:hAnsiTheme="minorEastAsia" w:eastAsiaTheme="minorEastAsia" w:cstheme="minorEastAsia"/>
          <w:kern w:val="0"/>
          <w:sz w:val="24"/>
        </w:rPr>
        <w:t>其合同份额占到合同总金额</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%以上</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sz w:val="24"/>
        </w:rPr>
        <w:t>拟享受以上价格扣除政策的，填写有关内容。</w:t>
      </w:r>
      <w:r>
        <w:rPr>
          <w:rFonts w:hint="eastAsia" w:asciiTheme="minorEastAsia" w:hAnsiTheme="minorEastAsia" w:eastAsiaTheme="minorEastAsia" w:cstheme="minorEastAsia"/>
          <w:b/>
          <w:kern w:val="0"/>
          <w:sz w:val="24"/>
          <w:lang w:val="zh-CN"/>
        </w:rPr>
        <w:t>）</w:t>
      </w:r>
    </w:p>
    <w:p w14:paraId="64075D0F">
      <w:pPr>
        <w:spacing w:line="312" w:lineRule="auto"/>
        <w:ind w:firstLine="480" w:firstLineChars="200"/>
        <w:rPr>
          <w:rFonts w:hint="eastAsia"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sz w:val="24"/>
        </w:rPr>
        <w:t>2、中小企业合同金额达到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%，小微企业合同金额达到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sz w:val="24"/>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kern w:val="0"/>
          <w:sz w:val="24"/>
          <w:lang w:val="zh-CN"/>
        </w:rPr>
        <w:t>分包意向协议</w:t>
      </w:r>
      <w:r>
        <w:rPr>
          <w:rFonts w:hint="eastAsia" w:asciiTheme="minorEastAsia" w:hAnsiTheme="minorEastAsia" w:eastAsiaTheme="minorEastAsia" w:cstheme="minorEastAsia"/>
          <w:b/>
          <w:bCs/>
          <w:sz w:val="24"/>
        </w:rPr>
        <w:t>中中小企业、小微企业合同金额应当达到的比例要求填写。</w:t>
      </w:r>
      <w:r>
        <w:rPr>
          <w:rFonts w:hint="eastAsia" w:asciiTheme="minorEastAsia" w:hAnsiTheme="minorEastAsia" w:eastAsiaTheme="minorEastAsia" w:cstheme="minorEastAsia"/>
          <w:b/>
          <w:bCs/>
          <w:kern w:val="0"/>
          <w:sz w:val="24"/>
          <w:lang w:val="zh-CN"/>
        </w:rPr>
        <w:t>）</w:t>
      </w:r>
    </w:p>
    <w:p w14:paraId="5FE0DAD0">
      <w:pPr>
        <w:snapToGrid w:val="0"/>
        <w:spacing w:line="288"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三、分包工作履行期限、地点、方式</w:t>
      </w:r>
    </w:p>
    <w:p w14:paraId="549EF526">
      <w:pPr>
        <w:snapToGrid w:val="0"/>
        <w:spacing w:line="288" w:lineRule="auto"/>
        <w:ind w:firstLine="576"/>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14:paraId="481564D6">
      <w:pPr>
        <w:snapToGrid w:val="0"/>
        <w:spacing w:line="288"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四、质量</w:t>
      </w:r>
    </w:p>
    <w:p w14:paraId="1AA65140">
      <w:pPr>
        <w:snapToGrid w:val="0"/>
        <w:spacing w:line="288"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55F6CF09">
      <w:pPr>
        <w:snapToGrid w:val="0"/>
        <w:spacing w:line="288"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五、价款或者报酬</w:t>
      </w:r>
    </w:p>
    <w:p w14:paraId="042B6697">
      <w:pPr>
        <w:snapToGrid w:val="0"/>
        <w:spacing w:line="288" w:lineRule="auto"/>
        <w:ind w:left="573" w:leftChars="273"/>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000A9D56">
      <w:pPr>
        <w:snapToGrid w:val="0"/>
        <w:spacing w:line="288" w:lineRule="auto"/>
        <w:ind w:left="573" w:leftChars="273"/>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六、违约责任</w:t>
      </w:r>
    </w:p>
    <w:p w14:paraId="19A57A38">
      <w:pPr>
        <w:snapToGrid w:val="0"/>
        <w:spacing w:line="288"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4910E8F8">
      <w:pPr>
        <w:snapToGrid w:val="0"/>
        <w:spacing w:line="288"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七、争议解决的办法</w:t>
      </w:r>
    </w:p>
    <w:p w14:paraId="648D7AA0">
      <w:pPr>
        <w:snapToGrid w:val="0"/>
        <w:spacing w:line="288"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5A9AA2AE">
      <w:pPr>
        <w:snapToGrid w:val="0"/>
        <w:spacing w:line="288"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八、其他</w:t>
      </w:r>
    </w:p>
    <w:p w14:paraId="71B86ECB">
      <w:pPr>
        <w:snapToGrid w:val="0"/>
        <w:spacing w:line="288" w:lineRule="auto"/>
        <w:ind w:left="5758" w:leftChars="342" w:hanging="5040" w:hangingChars="21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中小企业合同金额达到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%，小微企业合同金额达到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 xml:space="preserve">  。                             投标人名称(电子签名)：</w:t>
      </w:r>
    </w:p>
    <w:p w14:paraId="2379A4DB">
      <w:pPr>
        <w:snapToGrid w:val="0"/>
        <w:spacing w:line="312" w:lineRule="auto"/>
        <w:jc w:val="righ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分包供应商名称(电子签名/公章)：</w:t>
      </w:r>
    </w:p>
    <w:p w14:paraId="1E6FC444">
      <w:pPr>
        <w:snapToGrid w:val="0"/>
        <w:spacing w:line="312" w:lineRule="auto"/>
        <w:ind w:firstLine="576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lang w:val="zh-CN"/>
        </w:rPr>
        <w:t>……</w:t>
      </w:r>
    </w:p>
    <w:p w14:paraId="332F41D4">
      <w:pPr>
        <w:spacing w:line="312" w:lineRule="auto"/>
        <w:ind w:right="42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 xml:space="preserve">注：按本格式和要求提供。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sz w:val="24"/>
        </w:rPr>
        <w:t xml:space="preserve">    年   月   日</w:t>
      </w:r>
    </w:p>
    <w:p w14:paraId="2E90220D">
      <w:pPr>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br w:type="page"/>
      </w:r>
    </w:p>
    <w:p w14:paraId="760CCF4F">
      <w:pPr>
        <w:spacing w:line="336" w:lineRule="auto"/>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附件7：中小企业声明函（服务）</w:t>
      </w:r>
    </w:p>
    <w:p w14:paraId="39EA46D2">
      <w:pPr>
        <w:spacing w:line="348" w:lineRule="auto"/>
        <w:ind w:firstLine="360" w:firstLine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sz w:val="24"/>
          <w:u w:val="single"/>
        </w:rPr>
        <w:t xml:space="preserve">杭州市美术职业学校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杭州市美术职业学校数字底座项目 </w:t>
      </w:r>
      <w:r>
        <w:rPr>
          <w:rFonts w:hint="eastAsia" w:asciiTheme="minorEastAsia" w:hAnsiTheme="minorEastAsia" w:eastAsiaTheme="minorEastAsia" w:cstheme="minorEastAsia"/>
          <w:sz w:val="24"/>
        </w:rPr>
        <w:t>采购活动，服务全部由符合政策要求的中小企业承接。相关企业（含联合体中的中小企业、签订分包意向协议的中小企业）的具体情况如下：</w:t>
      </w:r>
    </w:p>
    <w:p w14:paraId="3AE19BA1">
      <w:pPr>
        <w:spacing w:line="348"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 xml:space="preserve"> 软件和信息技术服务业</w:t>
      </w:r>
      <w:r>
        <w:rPr>
          <w:rFonts w:hint="eastAsia" w:asciiTheme="minorEastAsia" w:hAnsiTheme="minorEastAsia" w:eastAsiaTheme="minorEastAsia" w:cstheme="minorEastAsia"/>
          <w:sz w:val="24"/>
        </w:rPr>
        <w:t xml:space="preserve"> ；承接企业为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14:paraId="09C4656C">
      <w:pPr>
        <w:spacing w:line="348"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u w:val="single"/>
        </w:rPr>
        <w:t xml:space="preserve"> （标的名称），</w:t>
      </w:r>
      <w:r>
        <w:rPr>
          <w:rFonts w:hint="eastAsia" w:asciiTheme="minorEastAsia" w:hAnsiTheme="minorEastAsia" w:eastAsiaTheme="minorEastAsia" w:cstheme="minorEastAsia"/>
          <w:sz w:val="24"/>
        </w:rPr>
        <w:t xml:space="preserve">属于 </w:t>
      </w:r>
      <w:r>
        <w:rPr>
          <w:rFonts w:hint="eastAsia" w:asciiTheme="minorEastAsia" w:hAnsiTheme="minorEastAsia" w:eastAsiaTheme="minorEastAsia" w:cstheme="minorEastAsia"/>
          <w:sz w:val="24"/>
          <w:u w:val="single"/>
        </w:rPr>
        <w:t xml:space="preserve">软件和信息技术服务业 </w:t>
      </w:r>
      <w:r>
        <w:rPr>
          <w:rFonts w:hint="eastAsia" w:asciiTheme="minorEastAsia" w:hAnsiTheme="minorEastAsia" w:eastAsiaTheme="minorEastAsia" w:cstheme="minorEastAsia"/>
          <w:sz w:val="24"/>
        </w:rPr>
        <w:t xml:space="preserve">；承接企业为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14:paraId="50D6D553">
      <w:pPr>
        <w:spacing w:line="348"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14:paraId="5E32F02F">
      <w:pPr>
        <w:spacing w:line="348"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14:paraId="17258AC7">
      <w:pPr>
        <w:spacing w:line="348" w:lineRule="auto"/>
        <w:ind w:right="176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投标人名称（电子签名）：</w:t>
      </w:r>
    </w:p>
    <w:p w14:paraId="17C34932">
      <w:pPr>
        <w:spacing w:line="348" w:lineRule="auto"/>
        <w:ind w:right="1120" w:firstLine="4680" w:firstLineChars="19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    年   月   日</w:t>
      </w:r>
    </w:p>
    <w:p w14:paraId="2F34AA5B">
      <w:pPr>
        <w:spacing w:line="348" w:lineRule="auto"/>
        <w:ind w:firstLine="325" w:firstLineChars="147"/>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从业人员、营业收入、资产总额填报上一年度数据，无上一年度数据的新成立企业可不填报。</w:t>
      </w:r>
    </w:p>
    <w:p w14:paraId="70056AB9">
      <w:pPr>
        <w:spacing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BA28DBF">
      <w:pPr>
        <w:spacing w:line="348" w:lineRule="auto"/>
        <w:ind w:right="420" w:firstLine="630" w:firstLineChars="300"/>
        <w:rPr>
          <w:rFonts w:hint="eastAsia" w:asciiTheme="minorEastAsia" w:hAnsiTheme="minorEastAsia" w:eastAsiaTheme="minorEastAsia" w:cstheme="minorEastAsia"/>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B84">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FE5E07E">
                          <w:pPr>
                            <w:pStyle w:val="15"/>
                          </w:pPr>
                          <w:r>
                            <w:fldChar w:fldCharType="begin"/>
                          </w:r>
                          <w:r>
                            <w:instrText xml:space="preserve"> PAGE  \* MERGEFORMAT </w:instrText>
                          </w:r>
                          <w:r>
                            <w:fldChar w:fldCharType="separate"/>
                          </w:r>
                          <w:r>
                            <w:t>32</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14:paraId="2FE5E07E">
                    <w:pPr>
                      <w:pStyle w:val="15"/>
                    </w:pPr>
                    <w:r>
                      <w:fldChar w:fldCharType="begin"/>
                    </w:r>
                    <w:r>
                      <w:instrText xml:space="preserve"> PAGE  \* MERGEFORMAT </w:instrText>
                    </w:r>
                    <w:r>
                      <w:fldChar w:fldCharType="separate"/>
                    </w:r>
                    <w:r>
                      <w:t>32</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A1C6">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0732E17">
                          <w:pPr>
                            <w:pStyle w:val="15"/>
                          </w:pPr>
                          <w:r>
                            <w:fldChar w:fldCharType="begin"/>
                          </w:r>
                          <w:r>
                            <w:instrText xml:space="preserve"> PAGE  \* MERGEFORMAT </w:instrText>
                          </w:r>
                          <w:r>
                            <w:fldChar w:fldCharType="separate"/>
                          </w:r>
                          <w:r>
                            <w:t>69</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14:paraId="30732E17">
                    <w:pPr>
                      <w:pStyle w:val="15"/>
                    </w:pPr>
                    <w:r>
                      <w:fldChar w:fldCharType="begin"/>
                    </w:r>
                    <w:r>
                      <w:instrText xml:space="preserve"> PAGE  \* MERGEFORMAT </w:instrText>
                    </w:r>
                    <w:r>
                      <w:fldChar w:fldCharType="separate"/>
                    </w:r>
                    <w:r>
                      <w:t>69</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0E40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09C3354">
                          <w:pPr>
                            <w:pStyle w:val="15"/>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14:paraId="409C3354">
                    <w:pPr>
                      <w:pStyle w:val="15"/>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E120">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矩形 4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21C0162">
                          <w:pPr>
                            <w:pStyle w:val="15"/>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M1ljPAQAAqwMAAA4AAABkcnMvZTJvRG9jLnhtbK1TzYrbMBC+F/Yd&#10;hO4bO9lSgomzFMKWhdIubPsAiizHAv0xo8ROX6bQWx+ij1P6Gh3JdrbdXvbQiz0zGn0z3zejze1g&#10;DTspQO1dzZeLkjPlpG+0O9T886e76zVnGIVrhPFO1fyskN9ur15t+lCple+8aRQwAnFY9aHmXYyh&#10;KgqUnbICFz4oR4etBysiuXAoGhA9oVtTrMryTdF7aAJ4qRApuhsP+YQILwH0baul2nl5tMrFERWU&#10;EZEoYacD8m3utm2VjB/bFlVkpubENOYvFSF7n77FdiOqA4jQaTm1IF7SwjNOVmhHRS9QOxEFO4L+&#10;B8pqCR59GxfS22IkkhUhFsvymTaPnQgqcyGpMVxEx/8HKz+cHoDppuavl+UNZ05Ymvmvr99//vjG&#10;cogU6gNWlPgYHmDykMxEd2jBpj8RYUNW9XxRVQ2RSQou16v1uiTBJZ3NDuEUT9cDYHynvGXJqDnQ&#10;2LKa4vQe45g6p6Rqzt9pYyguKuP+ChDmGFF59tPt1P/YcbLisB8mGnvfnIk+vQaq2nn4wllPu1Bz&#10;R6vPmbl3JHVam9mA2djPhnCSLtZ8bBjD22Ok7nLTqdhYgcgmh2aYaU/7lpbkTz9nPb2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8zWWM8BAACrAwAADgAAAAAAAAABACAAAAAfAQAAZHJz&#10;L2Uyb0RvYy54bWxQSwUGAAAAAAYABgBZAQAAYAUAAAAA&#10;">
              <v:fill on="f" focussize="0,0"/>
              <v:stroke on="f"/>
              <v:imagedata o:title=""/>
              <o:lock v:ext="edit" aspectratio="f"/>
              <v:textbox inset="0mm,0mm,0mm,0mm" style="mso-fit-shape-to-text:t;">
                <w:txbxContent>
                  <w:p w14:paraId="521C0162">
                    <w:pPr>
                      <w:pStyle w:val="15"/>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EF12">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6E23103">
                          <w:pPr>
                            <w:pStyle w:val="15"/>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14:paraId="36E23103">
                    <w:pPr>
                      <w:pStyle w:val="15"/>
                    </w:pPr>
                    <w:r>
                      <w:fldChar w:fldCharType="begin"/>
                    </w:r>
                    <w:r>
                      <w:instrText xml:space="preserve"> PAGE  \* MERGEFORMAT </w:instrText>
                    </w:r>
                    <w:r>
                      <w:fldChar w:fldCharType="separate"/>
                    </w:r>
                    <w:r>
                      <w:t>71</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D5C7">
    <w:pPr>
      <w:pStyle w:val="15"/>
      <w:rPr>
        <w:rFonts w:ascii="仿宋_GB2312" w:eastAsia="仿宋_GB2312"/>
        <w:szCs w:val="24"/>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F2DE946">
                          <w:pPr>
                            <w:pStyle w:val="15"/>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nchorCtr="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9pzbbAQAAugMAAA4AAABkcnMvZTJvRG9jLnhtbK1TzY7TMBC+I/EO&#10;lu80SQWoiuquENUiJAQrLfsAruM0lvwnj9ukPAC8AScu3HmuPgdjJ+nC7mUPe0lmxuNv5vtmvL4a&#10;jCZHGUA5y2i1KCmRVrhG2T2jd1+vX60ogchtw7WzktGTBHq1efli3ftaLl3ndCMDQRALde8Z7WL0&#10;dVGA6KThsHBeWjxsXTA8ohv2RRN4j+hGF8uyfFv0LjQ+OCEBMLodD+mEGJ4C6NpWCbl14mCkjSNq&#10;kJpHpASd8kA3udu2lSJ+aVuQkWhGkWnMXyyC9i59i82a1/vAfafE1AJ/SgsPOBmuLBa9QG155OQQ&#10;1CMoo0Rw4Nq4EM4UI5GsCLKoygfa3Hbcy8wFpQZ/ER2eD1Z8Pt4EohpGX1flG0osNzjz888f519/&#10;zr+/k6pKEvUeasy89Tdh8gDNxHdog0l/ZEKGLOvpIqscIhEYrFbL1apExQWezQ7iFPfXfYD4QTpD&#10;ksFowLllOfnxE8QxdU5J1ay7VlpjnNfa/hdAzDEi8/Cn26n/seNkxWE3TDR2rjkhf3wOWLVz4Rsl&#10;PS4DoxZ3nxL90aLWaW9mI8zGbja4FXiR0UjJaL6Peb9SW+DfHSL2mimk0mM9pJ4cHGkWYVq/tDP/&#10;+jnr/sl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CL2nNtsBAAC6AwAADgAAAAAAAAAB&#10;ACAAAAAfAQAAZHJzL2Uyb0RvYy54bWxQSwUGAAAAAAYABgBZAQAAbAUAAAAA&#10;">
              <v:fill on="f" focussize="0,0"/>
              <v:stroke on="f"/>
              <v:imagedata o:title=""/>
              <o:lock v:ext="edit" aspectratio="f"/>
              <v:textbox inset="0mm,0mm,0mm,0mm" style="mso-fit-shape-to-text:t;">
                <w:txbxContent>
                  <w:p w14:paraId="4F2DE946">
                    <w:pPr>
                      <w:pStyle w:val="15"/>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9960">
    <w:pPr>
      <w:pStyle w:val="15"/>
      <w:framePr w:wrap="around" w:vAnchor="text" w:hAnchor="margin" w:xAlign="right" w:y="1"/>
      <w:rPr>
        <w:rStyle w:val="22"/>
      </w:rPr>
    </w:pPr>
    <w:r>
      <w:fldChar w:fldCharType="begin"/>
    </w:r>
    <w:r>
      <w:rPr>
        <w:rStyle w:val="22"/>
      </w:rPr>
      <w:instrText xml:space="preserve">PAGE  </w:instrText>
    </w:r>
    <w:r>
      <w:fldChar w:fldCharType="end"/>
    </w:r>
  </w:p>
  <w:p w14:paraId="33CB2046">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888CB">
    <w:pPr>
      <w:pStyle w:val="15"/>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65B755F">
                          <w:pPr>
                            <w:pStyle w:val="15"/>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83</w:t>
                          </w:r>
                          <w:r>
                            <w:fldChar w:fldCharType="end"/>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fflrbAQAAugMAAA4AAABkcnMvZTJvRG9jLnhtbK1TzY7TMBC+I/EO&#10;lu80SYVWVVR3taJahIRgpYUHcB2nseQ/edwm5QHgDThx4c5z9TkYO0l3WS572EsyMx5/M9834/X1&#10;YDQ5ygDKWUarRUmJtMI1yu4Z/frl9s2KEojcNlw7Kxk9SaDXm9ev1r2v5dJ1TjcyEASxUPee0S5G&#10;XxcFiE4aDgvnpcXD1gXDI7phXzSB94hudLEsy6uid6HxwQkJgNHteEgnxPAcQNe2SsitEwcjbRxR&#10;g9Q8IiXolAe6yd22rRTxc9uCjEQzikxj/mIRtHfpW2zWvN4H7jslphb4c1p4wslwZbHoBWrLIyeH&#10;oP6DMkoEB66NC+FMMRLJiiCLqnyizX3HvcxcUGrwF9Hh5WDFp+NdIKph9G1VXlFiucGZn3/+OP/6&#10;c/79nVTLJFHvocbMe38XJg/QTHyHNpj0RyZkyLKeLrLKIRKBwWq1XK1KVFzg2ewgTvFw3QeI76Uz&#10;JBmMBpxblpMfP0IcU+eUVM26W6U1xnmt7T8BxBwjMg9/up36HztOVhx2w0Rj55oT8sfngFU7F75R&#10;0uMyMGpx9ynRHyxqnfZmNsJs7GaDW4EXGY2UjOa7mPcrtQX+5hCx10whlR7rIfXk4EizCNP6pZ15&#10;7Oeshye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Wx9+WtsBAAC6AwAADgAAAAAAAAAB&#10;ACAAAAAfAQAAZHJzL2Uyb0RvYy54bWxQSwUGAAAAAAYABgBZAQAAbAUAAAAA&#10;">
              <v:fill on="f" focussize="0,0"/>
              <v:stroke on="f"/>
              <v:imagedata o:title=""/>
              <o:lock v:ext="edit" aspectratio="f"/>
              <v:textbox inset="0mm,0mm,0mm,0mm" style="mso-fit-shape-to-text:t;">
                <w:txbxContent>
                  <w:p w14:paraId="065B755F">
                    <w:pPr>
                      <w:pStyle w:val="15"/>
                    </w:pPr>
                    <w:r>
                      <w:fldChar w:fldCharType="begin"/>
                    </w:r>
                    <w:r>
                      <w:instrText xml:space="preserve"> PAGE  \* MERGEFORMAT </w:instrText>
                    </w:r>
                    <w:r>
                      <w:fldChar w:fldCharType="separate"/>
                    </w:r>
                    <w:r>
                      <w:t>73</w:t>
                    </w:r>
                    <w:r>
                      <w:fldChar w:fldCharType="end"/>
                    </w:r>
                    <w:r>
                      <w:t xml:space="preserve"> / </w:t>
                    </w:r>
                    <w:r>
                      <w:fldChar w:fldCharType="begin"/>
                    </w:r>
                    <w:r>
                      <w:instrText xml:space="preserve"> NUMPAGES  \* MERGEFORMAT </w:instrText>
                    </w:r>
                    <w:r>
                      <w:fldChar w:fldCharType="separate"/>
                    </w:r>
                    <w:r>
                      <w:t>83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2D04">
    <w:pPr>
      <w:pStyle w:val="16"/>
      <w:rPr>
        <w:rFonts w:ascii="仿宋_GB2312" w:eastAsia="仿宋_GB2312"/>
        <w:b/>
        <w:i/>
        <w:u w:val="single"/>
      </w:rPr>
    </w:pPr>
    <w:r>
      <w:t></w:t>
    </w:r>
    <w:r>
      <w:rPr>
        <w:rFonts w:hint="eastAsia"/>
      </w:rPr>
      <w:t xml:space="preserve">                                                  </w:t>
    </w:r>
    <w:r>
      <w:t xml:space="preserve">            公开招标文件</w:t>
    </w:r>
  </w:p>
  <w:p w14:paraId="2091884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AFB5">
    <w:pPr>
      <w:pStyle w:val="16"/>
      <w:rPr>
        <w:rFonts w:ascii="仿宋_GB2312" w:eastAsia="仿宋_GB2312"/>
        <w:b/>
        <w:i/>
        <w:u w:val="single"/>
      </w:rPr>
    </w:pPr>
    <w:r>
      <w:t></w:t>
    </w:r>
    <w:r>
      <w:rPr>
        <w:rFonts w:hint="eastAsia"/>
      </w:rPr>
      <w:t xml:space="preserve">                                                  </w:t>
    </w:r>
    <w:r>
      <w:t>公开招标文件</w:t>
    </w:r>
  </w:p>
  <w:p w14:paraId="7023FBD2">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2308">
    <w:pPr>
      <w:pStyle w:val="16"/>
      <w:jc w:val="right"/>
    </w:pPr>
    <w:r>
      <w:t></w:t>
    </w:r>
    <w:r>
      <w:rPr>
        <w:rFonts w:hint="eastAsia"/>
      </w:rPr>
      <w:t xml:space="preserve">                 </w:t>
    </w:r>
    <w:r>
      <w:t xml:space="preserve">                                </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34DA2">
    <w:pPr>
      <w:pStyle w:val="16"/>
      <w:jc w:val="right"/>
      <w:rPr>
        <w:rFonts w:ascii="仿宋_GB2312" w:eastAsia="仿宋_GB2312"/>
        <w:b/>
        <w:i/>
        <w:u w:val="single"/>
      </w:rPr>
    </w:pPr>
    <w:r>
      <w:rPr>
        <w:rFonts w:hint="eastAsia"/>
      </w:rPr>
      <w:t xml:space="preserve">                                  </w:t>
    </w:r>
    <w:r>
      <w:t>杭州市政府采购公开招标文件</w:t>
    </w:r>
  </w:p>
  <w:p w14:paraId="2A36131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6F9DB">
    <w:pPr>
      <w:pStyle w:val="16"/>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7485">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6312">
    <w:pPr>
      <w:pStyle w:val="1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F9C86"/>
    <w:multiLevelType w:val="singleLevel"/>
    <w:tmpl w:val="A80F9C86"/>
    <w:lvl w:ilvl="0" w:tentative="0">
      <w:start w:val="1"/>
      <w:numFmt w:val="decimal"/>
      <w:suff w:val="nothing"/>
      <w:lvlText w:val="（%1）"/>
      <w:lvlJc w:val="left"/>
    </w:lvl>
  </w:abstractNum>
  <w:abstractNum w:abstractNumId="1">
    <w:nsid w:val="D6390654"/>
    <w:multiLevelType w:val="singleLevel"/>
    <w:tmpl w:val="D6390654"/>
    <w:lvl w:ilvl="0" w:tentative="0">
      <w:start w:val="3"/>
      <w:numFmt w:val="decimal"/>
      <w:lvlText w:val="%1."/>
      <w:lvlJc w:val="left"/>
      <w:pPr>
        <w:tabs>
          <w:tab w:val="left" w:pos="312"/>
        </w:tabs>
      </w:pPr>
    </w:lvl>
  </w:abstractNum>
  <w:abstractNum w:abstractNumId="2">
    <w:nsid w:val="FB561DDB"/>
    <w:multiLevelType w:val="singleLevel"/>
    <w:tmpl w:val="FB561DDB"/>
    <w:lvl w:ilvl="0" w:tentative="0">
      <w:start w:val="4"/>
      <w:numFmt w:val="decimal"/>
      <w:suff w:val="nothing"/>
      <w:lvlText w:val="（%1）"/>
      <w:lvlJc w:val="left"/>
    </w:lvl>
  </w:abstractNum>
  <w:abstractNum w:abstractNumId="3">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4">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5">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6">
    <w:nsid w:val="383526F0"/>
    <w:multiLevelType w:val="singleLevel"/>
    <w:tmpl w:val="383526F0"/>
    <w:lvl w:ilvl="0" w:tentative="0">
      <w:start w:val="1"/>
      <w:numFmt w:val="decimal"/>
      <w:suff w:val="nothing"/>
      <w:lvlText w:val="（%1）"/>
      <w:lvlJc w:val="left"/>
      <w:rPr>
        <w:rFonts w:hint="default"/>
        <w:sz w:val="24"/>
        <w:szCs w:val="24"/>
      </w:rPr>
    </w:lvl>
  </w:abstractNum>
  <w:abstractNum w:abstractNumId="7">
    <w:nsid w:val="64B74647"/>
    <w:multiLevelType w:val="singleLevel"/>
    <w:tmpl w:val="64B74647"/>
    <w:lvl w:ilvl="0" w:tentative="0">
      <w:start w:val="3"/>
      <w:numFmt w:val="chineseCounting"/>
      <w:suff w:val="nothing"/>
      <w:lvlText w:val="%1、"/>
      <w:lvlJc w:val="left"/>
      <w:rPr>
        <w:rFonts w:hint="eastAsia"/>
      </w:rPr>
    </w:lvl>
  </w:abstractNum>
  <w:num w:numId="1">
    <w:abstractNumId w:val="1"/>
  </w:num>
  <w:num w:numId="2">
    <w:abstractNumId w:val="6"/>
  </w:num>
  <w:num w:numId="3">
    <w:abstractNumId w:val="2"/>
  </w:num>
  <w:num w:numId="4">
    <w:abstractNumId w:val="7"/>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GYxOThiMDQ2NGRiNmQzNTNiN2VmNTgzNWVmOTgifQ=="/>
    <w:docVar w:name="KSO_WPS_MARK_KEY" w:val="3c88afa3-953b-48f3-88a3-e44d47092b8b"/>
  </w:docVars>
  <w:rsids>
    <w:rsidRoot w:val="00A70E6F"/>
    <w:rsid w:val="00097A4F"/>
    <w:rsid w:val="00115D66"/>
    <w:rsid w:val="00153CFB"/>
    <w:rsid w:val="001641AB"/>
    <w:rsid w:val="001C6FF6"/>
    <w:rsid w:val="00214168"/>
    <w:rsid w:val="00281D4B"/>
    <w:rsid w:val="00297E77"/>
    <w:rsid w:val="002B16CC"/>
    <w:rsid w:val="00384B30"/>
    <w:rsid w:val="00392403"/>
    <w:rsid w:val="003B4D27"/>
    <w:rsid w:val="003E080B"/>
    <w:rsid w:val="003F3BDA"/>
    <w:rsid w:val="0040464C"/>
    <w:rsid w:val="004479E5"/>
    <w:rsid w:val="00481076"/>
    <w:rsid w:val="00504653"/>
    <w:rsid w:val="00537C28"/>
    <w:rsid w:val="006725E5"/>
    <w:rsid w:val="006B0417"/>
    <w:rsid w:val="007146FD"/>
    <w:rsid w:val="00770C3F"/>
    <w:rsid w:val="00787A46"/>
    <w:rsid w:val="007A7224"/>
    <w:rsid w:val="007D6A53"/>
    <w:rsid w:val="008322BB"/>
    <w:rsid w:val="00875B96"/>
    <w:rsid w:val="00876EC5"/>
    <w:rsid w:val="008C16A9"/>
    <w:rsid w:val="008E28E6"/>
    <w:rsid w:val="008E7AFF"/>
    <w:rsid w:val="0090283D"/>
    <w:rsid w:val="00911C27"/>
    <w:rsid w:val="009D0EA3"/>
    <w:rsid w:val="00A12741"/>
    <w:rsid w:val="00A273A4"/>
    <w:rsid w:val="00A27A90"/>
    <w:rsid w:val="00A70E6F"/>
    <w:rsid w:val="00AD3DE4"/>
    <w:rsid w:val="00B159A7"/>
    <w:rsid w:val="00B57B36"/>
    <w:rsid w:val="00B636C3"/>
    <w:rsid w:val="00BB03C0"/>
    <w:rsid w:val="00BD1472"/>
    <w:rsid w:val="00C621A8"/>
    <w:rsid w:val="00C87405"/>
    <w:rsid w:val="00CF1E63"/>
    <w:rsid w:val="00D035B8"/>
    <w:rsid w:val="00D5063D"/>
    <w:rsid w:val="00D50F79"/>
    <w:rsid w:val="00D92E07"/>
    <w:rsid w:val="00DA20FF"/>
    <w:rsid w:val="00DB7B8C"/>
    <w:rsid w:val="00DD522D"/>
    <w:rsid w:val="00E84140"/>
    <w:rsid w:val="00E84E56"/>
    <w:rsid w:val="00E95ABB"/>
    <w:rsid w:val="00EB7B01"/>
    <w:rsid w:val="00F02569"/>
    <w:rsid w:val="00F36AA4"/>
    <w:rsid w:val="00F56018"/>
    <w:rsid w:val="00FB2A8E"/>
    <w:rsid w:val="00FC36FB"/>
    <w:rsid w:val="00FF2A2A"/>
    <w:rsid w:val="015E6884"/>
    <w:rsid w:val="017165B7"/>
    <w:rsid w:val="017A141F"/>
    <w:rsid w:val="017D31AE"/>
    <w:rsid w:val="019B53E2"/>
    <w:rsid w:val="01E054EB"/>
    <w:rsid w:val="01EC20E2"/>
    <w:rsid w:val="023F66B6"/>
    <w:rsid w:val="025008C3"/>
    <w:rsid w:val="027564D5"/>
    <w:rsid w:val="02BD75DA"/>
    <w:rsid w:val="02D54924"/>
    <w:rsid w:val="02D84414"/>
    <w:rsid w:val="033D6E0E"/>
    <w:rsid w:val="038F0F77"/>
    <w:rsid w:val="03C44B8E"/>
    <w:rsid w:val="03F4527E"/>
    <w:rsid w:val="04115E30"/>
    <w:rsid w:val="04117BDE"/>
    <w:rsid w:val="041E22FB"/>
    <w:rsid w:val="04310280"/>
    <w:rsid w:val="043438CC"/>
    <w:rsid w:val="04722D72"/>
    <w:rsid w:val="04770389"/>
    <w:rsid w:val="04B02D72"/>
    <w:rsid w:val="04B62533"/>
    <w:rsid w:val="04B8274F"/>
    <w:rsid w:val="04DF1A8A"/>
    <w:rsid w:val="04E15802"/>
    <w:rsid w:val="04FE63B4"/>
    <w:rsid w:val="05121E5F"/>
    <w:rsid w:val="05283431"/>
    <w:rsid w:val="053B7608"/>
    <w:rsid w:val="054D1796"/>
    <w:rsid w:val="056A3A4A"/>
    <w:rsid w:val="056A57F8"/>
    <w:rsid w:val="057C377D"/>
    <w:rsid w:val="05B747B5"/>
    <w:rsid w:val="05E52DAB"/>
    <w:rsid w:val="05F07090"/>
    <w:rsid w:val="060B0A0B"/>
    <w:rsid w:val="061A5470"/>
    <w:rsid w:val="06725723"/>
    <w:rsid w:val="069D1BFD"/>
    <w:rsid w:val="06C947A0"/>
    <w:rsid w:val="06CB49BC"/>
    <w:rsid w:val="06D849E3"/>
    <w:rsid w:val="0721282E"/>
    <w:rsid w:val="074D717F"/>
    <w:rsid w:val="07506C6F"/>
    <w:rsid w:val="075E75DE"/>
    <w:rsid w:val="076170CE"/>
    <w:rsid w:val="077566D6"/>
    <w:rsid w:val="07833FB5"/>
    <w:rsid w:val="07A33243"/>
    <w:rsid w:val="07CF5DE6"/>
    <w:rsid w:val="08055CAB"/>
    <w:rsid w:val="08141A93"/>
    <w:rsid w:val="08234384"/>
    <w:rsid w:val="082A5712"/>
    <w:rsid w:val="08365E65"/>
    <w:rsid w:val="08471E20"/>
    <w:rsid w:val="084A1910"/>
    <w:rsid w:val="084D495D"/>
    <w:rsid w:val="085408AF"/>
    <w:rsid w:val="086724C2"/>
    <w:rsid w:val="086B306E"/>
    <w:rsid w:val="088272FC"/>
    <w:rsid w:val="089F23D8"/>
    <w:rsid w:val="08C01BD2"/>
    <w:rsid w:val="08C47915"/>
    <w:rsid w:val="08C72F61"/>
    <w:rsid w:val="09077801"/>
    <w:rsid w:val="09390FDF"/>
    <w:rsid w:val="096469A0"/>
    <w:rsid w:val="09772BD9"/>
    <w:rsid w:val="098552F6"/>
    <w:rsid w:val="09AD2157"/>
    <w:rsid w:val="09B937E6"/>
    <w:rsid w:val="09C35E1E"/>
    <w:rsid w:val="09CF47C3"/>
    <w:rsid w:val="09EB5058"/>
    <w:rsid w:val="0A2543E3"/>
    <w:rsid w:val="0A326B00"/>
    <w:rsid w:val="0A391C3C"/>
    <w:rsid w:val="0A4725AB"/>
    <w:rsid w:val="0A5627EE"/>
    <w:rsid w:val="0A7F7F97"/>
    <w:rsid w:val="0A80247F"/>
    <w:rsid w:val="0AAF1EFF"/>
    <w:rsid w:val="0AD025FD"/>
    <w:rsid w:val="0B1943B1"/>
    <w:rsid w:val="0B410F01"/>
    <w:rsid w:val="0B5B0684"/>
    <w:rsid w:val="0B957346"/>
    <w:rsid w:val="0B9F3D21"/>
    <w:rsid w:val="0BE300B2"/>
    <w:rsid w:val="0BF40511"/>
    <w:rsid w:val="0C0A760E"/>
    <w:rsid w:val="0C1D0597"/>
    <w:rsid w:val="0C201306"/>
    <w:rsid w:val="0C601702"/>
    <w:rsid w:val="0C831895"/>
    <w:rsid w:val="0C9C64B3"/>
    <w:rsid w:val="0CBD0903"/>
    <w:rsid w:val="0D186481"/>
    <w:rsid w:val="0D411534"/>
    <w:rsid w:val="0DC108C7"/>
    <w:rsid w:val="0DC42165"/>
    <w:rsid w:val="0DC64C81"/>
    <w:rsid w:val="0E04650C"/>
    <w:rsid w:val="0E603C3C"/>
    <w:rsid w:val="0E626AF0"/>
    <w:rsid w:val="0E666D78"/>
    <w:rsid w:val="0E6F3E7F"/>
    <w:rsid w:val="0E884F40"/>
    <w:rsid w:val="0E910299"/>
    <w:rsid w:val="0F470958"/>
    <w:rsid w:val="0F4E618A"/>
    <w:rsid w:val="0F7F4595"/>
    <w:rsid w:val="0F893C6F"/>
    <w:rsid w:val="0FB87AA7"/>
    <w:rsid w:val="0FBD1A3F"/>
    <w:rsid w:val="0FE8038D"/>
    <w:rsid w:val="0FE95EB3"/>
    <w:rsid w:val="1032785A"/>
    <w:rsid w:val="10482228"/>
    <w:rsid w:val="10606175"/>
    <w:rsid w:val="10615A49"/>
    <w:rsid w:val="107439CE"/>
    <w:rsid w:val="108D683E"/>
    <w:rsid w:val="10AC760C"/>
    <w:rsid w:val="10CD478A"/>
    <w:rsid w:val="10EA3C90"/>
    <w:rsid w:val="10F44B0F"/>
    <w:rsid w:val="10F92125"/>
    <w:rsid w:val="11051EBC"/>
    <w:rsid w:val="11164A85"/>
    <w:rsid w:val="11274EE5"/>
    <w:rsid w:val="11403824"/>
    <w:rsid w:val="11447845"/>
    <w:rsid w:val="119500A0"/>
    <w:rsid w:val="11AF257C"/>
    <w:rsid w:val="11C42733"/>
    <w:rsid w:val="11C528AA"/>
    <w:rsid w:val="11E608FC"/>
    <w:rsid w:val="11EB5F12"/>
    <w:rsid w:val="11FA7F03"/>
    <w:rsid w:val="12105979"/>
    <w:rsid w:val="121F5BBC"/>
    <w:rsid w:val="12505D75"/>
    <w:rsid w:val="127E7D9D"/>
    <w:rsid w:val="12A0267D"/>
    <w:rsid w:val="12BE53D5"/>
    <w:rsid w:val="12D32A47"/>
    <w:rsid w:val="12E60488"/>
    <w:rsid w:val="12F72ED8"/>
    <w:rsid w:val="130848A2"/>
    <w:rsid w:val="13975E9B"/>
    <w:rsid w:val="139B0B7E"/>
    <w:rsid w:val="13A06C33"/>
    <w:rsid w:val="14005579"/>
    <w:rsid w:val="141D437D"/>
    <w:rsid w:val="14223741"/>
    <w:rsid w:val="1433594E"/>
    <w:rsid w:val="14481D3D"/>
    <w:rsid w:val="14755F67"/>
    <w:rsid w:val="149C7709"/>
    <w:rsid w:val="14C94663"/>
    <w:rsid w:val="14EA425F"/>
    <w:rsid w:val="14F25809"/>
    <w:rsid w:val="14FA769C"/>
    <w:rsid w:val="15121A08"/>
    <w:rsid w:val="151E65FF"/>
    <w:rsid w:val="15545B7C"/>
    <w:rsid w:val="15793835"/>
    <w:rsid w:val="15AA1C40"/>
    <w:rsid w:val="15EC2259"/>
    <w:rsid w:val="15EE5FD1"/>
    <w:rsid w:val="161D2412"/>
    <w:rsid w:val="164976AB"/>
    <w:rsid w:val="165D6CB3"/>
    <w:rsid w:val="165F2A2B"/>
    <w:rsid w:val="16A668AC"/>
    <w:rsid w:val="16A843D2"/>
    <w:rsid w:val="16CF7BB0"/>
    <w:rsid w:val="16E80C72"/>
    <w:rsid w:val="16EF2001"/>
    <w:rsid w:val="1743234C"/>
    <w:rsid w:val="175870A3"/>
    <w:rsid w:val="177B7D38"/>
    <w:rsid w:val="17852965"/>
    <w:rsid w:val="17A0154D"/>
    <w:rsid w:val="17AE00A0"/>
    <w:rsid w:val="17C90AA4"/>
    <w:rsid w:val="17E711CA"/>
    <w:rsid w:val="1849100D"/>
    <w:rsid w:val="18504D21"/>
    <w:rsid w:val="186453D5"/>
    <w:rsid w:val="188977EB"/>
    <w:rsid w:val="189310B2"/>
    <w:rsid w:val="18A4506D"/>
    <w:rsid w:val="18BA03EC"/>
    <w:rsid w:val="18EE62E8"/>
    <w:rsid w:val="18F602DF"/>
    <w:rsid w:val="19062897"/>
    <w:rsid w:val="192341E3"/>
    <w:rsid w:val="19397563"/>
    <w:rsid w:val="194B7296"/>
    <w:rsid w:val="195C76F5"/>
    <w:rsid w:val="19645A8A"/>
    <w:rsid w:val="199B021E"/>
    <w:rsid w:val="19A5109C"/>
    <w:rsid w:val="19C045AE"/>
    <w:rsid w:val="1A450189"/>
    <w:rsid w:val="1A564145"/>
    <w:rsid w:val="1A646862"/>
    <w:rsid w:val="1A98650B"/>
    <w:rsid w:val="1ABA7CEB"/>
    <w:rsid w:val="1AE44224"/>
    <w:rsid w:val="1AF04599"/>
    <w:rsid w:val="1B0911B7"/>
    <w:rsid w:val="1B1905FB"/>
    <w:rsid w:val="1B42017F"/>
    <w:rsid w:val="1B9734BC"/>
    <w:rsid w:val="1BAF6202"/>
    <w:rsid w:val="1BBE4697"/>
    <w:rsid w:val="1BCA6B98"/>
    <w:rsid w:val="1BCD6688"/>
    <w:rsid w:val="1BCE2D72"/>
    <w:rsid w:val="1C5841A4"/>
    <w:rsid w:val="1C6956A2"/>
    <w:rsid w:val="1CA473E9"/>
    <w:rsid w:val="1CAA0881"/>
    <w:rsid w:val="1CD81789"/>
    <w:rsid w:val="1CE912A0"/>
    <w:rsid w:val="1CFF6D16"/>
    <w:rsid w:val="1D48246B"/>
    <w:rsid w:val="1D76522A"/>
    <w:rsid w:val="1D9413D8"/>
    <w:rsid w:val="1DE81558"/>
    <w:rsid w:val="1E14059F"/>
    <w:rsid w:val="1E147594"/>
    <w:rsid w:val="1E28404A"/>
    <w:rsid w:val="1E5F5CBE"/>
    <w:rsid w:val="1E876FC3"/>
    <w:rsid w:val="1E8E0351"/>
    <w:rsid w:val="1E9E60BA"/>
    <w:rsid w:val="1ED85A70"/>
    <w:rsid w:val="1F0B3750"/>
    <w:rsid w:val="1F1A3993"/>
    <w:rsid w:val="1F2D0B20"/>
    <w:rsid w:val="1F4D3D68"/>
    <w:rsid w:val="1FCB1131"/>
    <w:rsid w:val="1FDB75C6"/>
    <w:rsid w:val="1FE50445"/>
    <w:rsid w:val="203647FC"/>
    <w:rsid w:val="204F3B10"/>
    <w:rsid w:val="205253AE"/>
    <w:rsid w:val="205E1FA5"/>
    <w:rsid w:val="206C0909"/>
    <w:rsid w:val="20B3409F"/>
    <w:rsid w:val="20BA2816"/>
    <w:rsid w:val="20C51CD3"/>
    <w:rsid w:val="21043B97"/>
    <w:rsid w:val="210963B5"/>
    <w:rsid w:val="2127683B"/>
    <w:rsid w:val="2164183D"/>
    <w:rsid w:val="2177331E"/>
    <w:rsid w:val="219428A7"/>
    <w:rsid w:val="21A7055E"/>
    <w:rsid w:val="21E169EA"/>
    <w:rsid w:val="21EB07A6"/>
    <w:rsid w:val="222F59A7"/>
    <w:rsid w:val="2278441E"/>
    <w:rsid w:val="22A243CB"/>
    <w:rsid w:val="22B20386"/>
    <w:rsid w:val="2302174C"/>
    <w:rsid w:val="2331574F"/>
    <w:rsid w:val="23333275"/>
    <w:rsid w:val="233B1B71"/>
    <w:rsid w:val="23757D31"/>
    <w:rsid w:val="23812232"/>
    <w:rsid w:val="238C0BD7"/>
    <w:rsid w:val="23922691"/>
    <w:rsid w:val="23BD1C3E"/>
    <w:rsid w:val="23C30A9D"/>
    <w:rsid w:val="23D435DD"/>
    <w:rsid w:val="23DF233A"/>
    <w:rsid w:val="23F74798"/>
    <w:rsid w:val="240A67BF"/>
    <w:rsid w:val="24117358"/>
    <w:rsid w:val="24284DA4"/>
    <w:rsid w:val="242B4770"/>
    <w:rsid w:val="2466767A"/>
    <w:rsid w:val="246A0F18"/>
    <w:rsid w:val="24857B00"/>
    <w:rsid w:val="24A0493A"/>
    <w:rsid w:val="24AB32DF"/>
    <w:rsid w:val="24DE3D87"/>
    <w:rsid w:val="24E011DB"/>
    <w:rsid w:val="250C1C1C"/>
    <w:rsid w:val="252C4420"/>
    <w:rsid w:val="25311A36"/>
    <w:rsid w:val="25473008"/>
    <w:rsid w:val="25506360"/>
    <w:rsid w:val="25550DA9"/>
    <w:rsid w:val="256E4A38"/>
    <w:rsid w:val="25816423"/>
    <w:rsid w:val="25D41B88"/>
    <w:rsid w:val="25DD571A"/>
    <w:rsid w:val="25DD6BD2"/>
    <w:rsid w:val="25E20F82"/>
    <w:rsid w:val="26062EC3"/>
    <w:rsid w:val="26143832"/>
    <w:rsid w:val="26213859"/>
    <w:rsid w:val="262D044F"/>
    <w:rsid w:val="263E265D"/>
    <w:rsid w:val="26591245"/>
    <w:rsid w:val="26605EB5"/>
    <w:rsid w:val="26A1499A"/>
    <w:rsid w:val="26B446CD"/>
    <w:rsid w:val="26CA0394"/>
    <w:rsid w:val="26E50406"/>
    <w:rsid w:val="26E56F7C"/>
    <w:rsid w:val="27111B1F"/>
    <w:rsid w:val="271D04C4"/>
    <w:rsid w:val="27433CA3"/>
    <w:rsid w:val="27455C6D"/>
    <w:rsid w:val="27554102"/>
    <w:rsid w:val="279D1605"/>
    <w:rsid w:val="279F35CF"/>
    <w:rsid w:val="27DC037F"/>
    <w:rsid w:val="27DD555D"/>
    <w:rsid w:val="28177609"/>
    <w:rsid w:val="281F026C"/>
    <w:rsid w:val="284D302B"/>
    <w:rsid w:val="288C3979"/>
    <w:rsid w:val="289447B6"/>
    <w:rsid w:val="28C037FD"/>
    <w:rsid w:val="28EA2628"/>
    <w:rsid w:val="2940493E"/>
    <w:rsid w:val="29A21154"/>
    <w:rsid w:val="2A2F29AD"/>
    <w:rsid w:val="2A391AB9"/>
    <w:rsid w:val="2A3A138D"/>
    <w:rsid w:val="2A5F66B3"/>
    <w:rsid w:val="2A946CEF"/>
    <w:rsid w:val="2AC1385C"/>
    <w:rsid w:val="2AC86999"/>
    <w:rsid w:val="2ACF2A6A"/>
    <w:rsid w:val="2AD74E2E"/>
    <w:rsid w:val="2AD76BDC"/>
    <w:rsid w:val="2AED28A3"/>
    <w:rsid w:val="2B1C6CE5"/>
    <w:rsid w:val="2B613234"/>
    <w:rsid w:val="2B6D12EE"/>
    <w:rsid w:val="2B7767EE"/>
    <w:rsid w:val="2B79342F"/>
    <w:rsid w:val="2B9D1BD3"/>
    <w:rsid w:val="2BAE3DE1"/>
    <w:rsid w:val="2BBE1B4A"/>
    <w:rsid w:val="2BCE6231"/>
    <w:rsid w:val="2BE35F74"/>
    <w:rsid w:val="2C471B3F"/>
    <w:rsid w:val="2C626979"/>
    <w:rsid w:val="2C82701B"/>
    <w:rsid w:val="2C8E59C0"/>
    <w:rsid w:val="2C97233F"/>
    <w:rsid w:val="2CAB6572"/>
    <w:rsid w:val="2CB01DDA"/>
    <w:rsid w:val="2CB1704A"/>
    <w:rsid w:val="2CB90C8F"/>
    <w:rsid w:val="2CBA67B5"/>
    <w:rsid w:val="2D0B7011"/>
    <w:rsid w:val="2D412A32"/>
    <w:rsid w:val="2D430559"/>
    <w:rsid w:val="2D616C31"/>
    <w:rsid w:val="2D621F11"/>
    <w:rsid w:val="2D662499"/>
    <w:rsid w:val="2D727090"/>
    <w:rsid w:val="2D7B4196"/>
    <w:rsid w:val="2D7F1E91"/>
    <w:rsid w:val="2DAD1E76"/>
    <w:rsid w:val="2DB94CBF"/>
    <w:rsid w:val="2DC07DFB"/>
    <w:rsid w:val="2DC21DC5"/>
    <w:rsid w:val="2DCA2A28"/>
    <w:rsid w:val="2DCC054E"/>
    <w:rsid w:val="2DFA155F"/>
    <w:rsid w:val="2E20089A"/>
    <w:rsid w:val="2E556795"/>
    <w:rsid w:val="2E6E3CFB"/>
    <w:rsid w:val="2E756E38"/>
    <w:rsid w:val="2E7C6418"/>
    <w:rsid w:val="2E913546"/>
    <w:rsid w:val="2ECD0A22"/>
    <w:rsid w:val="2EEA15D4"/>
    <w:rsid w:val="2F092DFF"/>
    <w:rsid w:val="2F36061D"/>
    <w:rsid w:val="2F5B427F"/>
    <w:rsid w:val="2F6649D2"/>
    <w:rsid w:val="2F794705"/>
    <w:rsid w:val="2F807842"/>
    <w:rsid w:val="2F947791"/>
    <w:rsid w:val="2F9B28CE"/>
    <w:rsid w:val="2FAA48BF"/>
    <w:rsid w:val="2FBC45F2"/>
    <w:rsid w:val="2FCA6D0F"/>
    <w:rsid w:val="30167854"/>
    <w:rsid w:val="30336FAA"/>
    <w:rsid w:val="303E14AB"/>
    <w:rsid w:val="304E7940"/>
    <w:rsid w:val="30751371"/>
    <w:rsid w:val="30901D07"/>
    <w:rsid w:val="30B33C47"/>
    <w:rsid w:val="311C17EC"/>
    <w:rsid w:val="31413001"/>
    <w:rsid w:val="314F3797"/>
    <w:rsid w:val="31906759"/>
    <w:rsid w:val="31F14A27"/>
    <w:rsid w:val="31FA3C94"/>
    <w:rsid w:val="32180206"/>
    <w:rsid w:val="325842AB"/>
    <w:rsid w:val="326205EA"/>
    <w:rsid w:val="32D305D1"/>
    <w:rsid w:val="32FE3DC8"/>
    <w:rsid w:val="3310712F"/>
    <w:rsid w:val="331F55C4"/>
    <w:rsid w:val="3321133C"/>
    <w:rsid w:val="33291F9F"/>
    <w:rsid w:val="338A5133"/>
    <w:rsid w:val="338E6D71"/>
    <w:rsid w:val="33A37FA3"/>
    <w:rsid w:val="34030A42"/>
    <w:rsid w:val="341744ED"/>
    <w:rsid w:val="34A83397"/>
    <w:rsid w:val="34AC10D9"/>
    <w:rsid w:val="35494B7A"/>
    <w:rsid w:val="35951B6D"/>
    <w:rsid w:val="35D20381"/>
    <w:rsid w:val="362953BB"/>
    <w:rsid w:val="364C2B74"/>
    <w:rsid w:val="36712C44"/>
    <w:rsid w:val="36EC7418"/>
    <w:rsid w:val="36EE3C2B"/>
    <w:rsid w:val="36FD3E6E"/>
    <w:rsid w:val="372238D5"/>
    <w:rsid w:val="37773C20"/>
    <w:rsid w:val="37906A90"/>
    <w:rsid w:val="37AE699A"/>
    <w:rsid w:val="37B87D95"/>
    <w:rsid w:val="37E62B54"/>
    <w:rsid w:val="37E868CC"/>
    <w:rsid w:val="37ED5C91"/>
    <w:rsid w:val="381C20D2"/>
    <w:rsid w:val="381F2104"/>
    <w:rsid w:val="384E3C7F"/>
    <w:rsid w:val="3857135C"/>
    <w:rsid w:val="38961E84"/>
    <w:rsid w:val="38997BC6"/>
    <w:rsid w:val="38A30A45"/>
    <w:rsid w:val="38C054A4"/>
    <w:rsid w:val="38E250CA"/>
    <w:rsid w:val="391A2AB5"/>
    <w:rsid w:val="393F5DB2"/>
    <w:rsid w:val="39657AA9"/>
    <w:rsid w:val="39971E35"/>
    <w:rsid w:val="39C168A6"/>
    <w:rsid w:val="39C80763"/>
    <w:rsid w:val="39CB3764"/>
    <w:rsid w:val="39F50E2C"/>
    <w:rsid w:val="3A014F61"/>
    <w:rsid w:val="3A0D6BB5"/>
    <w:rsid w:val="3A192D6D"/>
    <w:rsid w:val="3A2B6F44"/>
    <w:rsid w:val="3A2E433E"/>
    <w:rsid w:val="3A323E2F"/>
    <w:rsid w:val="3A377697"/>
    <w:rsid w:val="3A543DA5"/>
    <w:rsid w:val="3A7F148E"/>
    <w:rsid w:val="3A850402"/>
    <w:rsid w:val="3AAA1C17"/>
    <w:rsid w:val="3AAB1BB2"/>
    <w:rsid w:val="3AB74334"/>
    <w:rsid w:val="3AF17846"/>
    <w:rsid w:val="3B0A0908"/>
    <w:rsid w:val="3B0C4680"/>
    <w:rsid w:val="3B497682"/>
    <w:rsid w:val="3BAC19BF"/>
    <w:rsid w:val="3BD11425"/>
    <w:rsid w:val="3BFF41E4"/>
    <w:rsid w:val="3C12185C"/>
    <w:rsid w:val="3C2123AD"/>
    <w:rsid w:val="3C3245BA"/>
    <w:rsid w:val="3C4A5059"/>
    <w:rsid w:val="3C552056"/>
    <w:rsid w:val="3C575DCE"/>
    <w:rsid w:val="3C65673D"/>
    <w:rsid w:val="3C6E4EC6"/>
    <w:rsid w:val="3CAA05F4"/>
    <w:rsid w:val="3CED46E2"/>
    <w:rsid w:val="3D1837B0"/>
    <w:rsid w:val="3D3659E4"/>
    <w:rsid w:val="3D8C1AA8"/>
    <w:rsid w:val="3DAC5CA6"/>
    <w:rsid w:val="3DB334D8"/>
    <w:rsid w:val="3DE74F30"/>
    <w:rsid w:val="3DF95994"/>
    <w:rsid w:val="3E1B02D9"/>
    <w:rsid w:val="3E502AD5"/>
    <w:rsid w:val="3E826884"/>
    <w:rsid w:val="3E8A248B"/>
    <w:rsid w:val="3E8E35FE"/>
    <w:rsid w:val="3ECA6D2C"/>
    <w:rsid w:val="3F0D6C18"/>
    <w:rsid w:val="3F1C50AD"/>
    <w:rsid w:val="3F55678C"/>
    <w:rsid w:val="3F566811"/>
    <w:rsid w:val="3F650802"/>
    <w:rsid w:val="3F7942AE"/>
    <w:rsid w:val="3F8847ED"/>
    <w:rsid w:val="3FAB00AC"/>
    <w:rsid w:val="3FB11C9A"/>
    <w:rsid w:val="3FCF2120"/>
    <w:rsid w:val="40061FE5"/>
    <w:rsid w:val="40923879"/>
    <w:rsid w:val="4093139F"/>
    <w:rsid w:val="40DE261A"/>
    <w:rsid w:val="40F63E08"/>
    <w:rsid w:val="40FE4A6B"/>
    <w:rsid w:val="4105404B"/>
    <w:rsid w:val="411A40CF"/>
    <w:rsid w:val="411E510D"/>
    <w:rsid w:val="41474664"/>
    <w:rsid w:val="41635215"/>
    <w:rsid w:val="416A2100"/>
    <w:rsid w:val="416A65A4"/>
    <w:rsid w:val="418D5DEE"/>
    <w:rsid w:val="41A63871"/>
    <w:rsid w:val="41A90E7A"/>
    <w:rsid w:val="41B31CF9"/>
    <w:rsid w:val="41EA4FEF"/>
    <w:rsid w:val="41EE4ADF"/>
    <w:rsid w:val="41F84884"/>
    <w:rsid w:val="41F8595E"/>
    <w:rsid w:val="42605FEB"/>
    <w:rsid w:val="429873E3"/>
    <w:rsid w:val="42B775C7"/>
    <w:rsid w:val="42C70904"/>
    <w:rsid w:val="42D17F20"/>
    <w:rsid w:val="42EA799C"/>
    <w:rsid w:val="42F44377"/>
    <w:rsid w:val="430420E0"/>
    <w:rsid w:val="430B7913"/>
    <w:rsid w:val="432D54FA"/>
    <w:rsid w:val="43813731"/>
    <w:rsid w:val="43884ABF"/>
    <w:rsid w:val="438C0A54"/>
    <w:rsid w:val="439205A2"/>
    <w:rsid w:val="43A37E5C"/>
    <w:rsid w:val="43C27FD1"/>
    <w:rsid w:val="43D67F21"/>
    <w:rsid w:val="43FB71BF"/>
    <w:rsid w:val="440004EA"/>
    <w:rsid w:val="444C01E3"/>
    <w:rsid w:val="44586B88"/>
    <w:rsid w:val="445F1CC4"/>
    <w:rsid w:val="446612A5"/>
    <w:rsid w:val="44692B43"/>
    <w:rsid w:val="447339C1"/>
    <w:rsid w:val="449E2E8B"/>
    <w:rsid w:val="44AF125F"/>
    <w:rsid w:val="44B74C3C"/>
    <w:rsid w:val="44CC6C2E"/>
    <w:rsid w:val="450E7246"/>
    <w:rsid w:val="454A2974"/>
    <w:rsid w:val="454D3BBD"/>
    <w:rsid w:val="45A4125B"/>
    <w:rsid w:val="45D466E2"/>
    <w:rsid w:val="45D64208"/>
    <w:rsid w:val="45EF7078"/>
    <w:rsid w:val="45FB77CB"/>
    <w:rsid w:val="46170428"/>
    <w:rsid w:val="46325030"/>
    <w:rsid w:val="4669507C"/>
    <w:rsid w:val="467A2DE5"/>
    <w:rsid w:val="46AC31BB"/>
    <w:rsid w:val="46BB04B2"/>
    <w:rsid w:val="471B1ECF"/>
    <w:rsid w:val="47282841"/>
    <w:rsid w:val="47486A40"/>
    <w:rsid w:val="47590C4D"/>
    <w:rsid w:val="47775577"/>
    <w:rsid w:val="47867568"/>
    <w:rsid w:val="47953C4F"/>
    <w:rsid w:val="47AA594C"/>
    <w:rsid w:val="47F72214"/>
    <w:rsid w:val="480C5CBF"/>
    <w:rsid w:val="482A673E"/>
    <w:rsid w:val="484F32FA"/>
    <w:rsid w:val="485D476D"/>
    <w:rsid w:val="4882013D"/>
    <w:rsid w:val="489108BA"/>
    <w:rsid w:val="48B12D0A"/>
    <w:rsid w:val="48C447EC"/>
    <w:rsid w:val="48DD3AFF"/>
    <w:rsid w:val="48DF1625"/>
    <w:rsid w:val="48EE631A"/>
    <w:rsid w:val="49117305"/>
    <w:rsid w:val="492E7EB7"/>
    <w:rsid w:val="49351245"/>
    <w:rsid w:val="493C5CA6"/>
    <w:rsid w:val="495E079C"/>
    <w:rsid w:val="49A14B2D"/>
    <w:rsid w:val="4A1C1F96"/>
    <w:rsid w:val="4A3414FD"/>
    <w:rsid w:val="4A791606"/>
    <w:rsid w:val="4A920621"/>
    <w:rsid w:val="4AC7035A"/>
    <w:rsid w:val="4AC9433B"/>
    <w:rsid w:val="4AD36F68"/>
    <w:rsid w:val="4B335C59"/>
    <w:rsid w:val="4BAD5A0B"/>
    <w:rsid w:val="4BE0566A"/>
    <w:rsid w:val="4C15710C"/>
    <w:rsid w:val="4C3C0B3D"/>
    <w:rsid w:val="4C433C79"/>
    <w:rsid w:val="4C667968"/>
    <w:rsid w:val="4C891FD4"/>
    <w:rsid w:val="4CBB4158"/>
    <w:rsid w:val="4CBE4D8F"/>
    <w:rsid w:val="4CBF7C53"/>
    <w:rsid w:val="4CF57205"/>
    <w:rsid w:val="4D0D7ED3"/>
    <w:rsid w:val="4D0E6C05"/>
    <w:rsid w:val="4D2515D1"/>
    <w:rsid w:val="4D52686A"/>
    <w:rsid w:val="4D6A6542"/>
    <w:rsid w:val="4D93478D"/>
    <w:rsid w:val="4DA93FB0"/>
    <w:rsid w:val="4DCE1C69"/>
    <w:rsid w:val="4DD3727F"/>
    <w:rsid w:val="4E031912"/>
    <w:rsid w:val="4E0D453F"/>
    <w:rsid w:val="4E404914"/>
    <w:rsid w:val="4E683E6B"/>
    <w:rsid w:val="4E6C5DF8"/>
    <w:rsid w:val="4E73096D"/>
    <w:rsid w:val="4EA053B3"/>
    <w:rsid w:val="4EC372F3"/>
    <w:rsid w:val="4ED4505D"/>
    <w:rsid w:val="4EE01C53"/>
    <w:rsid w:val="4EF63225"/>
    <w:rsid w:val="4EF851EF"/>
    <w:rsid w:val="4F006555"/>
    <w:rsid w:val="4F440434"/>
    <w:rsid w:val="4F6B3C13"/>
    <w:rsid w:val="4FB64B8F"/>
    <w:rsid w:val="4FF260E2"/>
    <w:rsid w:val="5012408F"/>
    <w:rsid w:val="502913D8"/>
    <w:rsid w:val="50414974"/>
    <w:rsid w:val="50493828"/>
    <w:rsid w:val="504B57F2"/>
    <w:rsid w:val="50A3118B"/>
    <w:rsid w:val="50AA2519"/>
    <w:rsid w:val="50B25872"/>
    <w:rsid w:val="50C51101"/>
    <w:rsid w:val="50EC0D83"/>
    <w:rsid w:val="5108607B"/>
    <w:rsid w:val="51566BAA"/>
    <w:rsid w:val="518C60C3"/>
    <w:rsid w:val="51C4760A"/>
    <w:rsid w:val="51D5428B"/>
    <w:rsid w:val="52546BE0"/>
    <w:rsid w:val="525A3ACB"/>
    <w:rsid w:val="527821A3"/>
    <w:rsid w:val="52922365"/>
    <w:rsid w:val="52A03BD4"/>
    <w:rsid w:val="53041AD6"/>
    <w:rsid w:val="534764ED"/>
    <w:rsid w:val="5354676C"/>
    <w:rsid w:val="53553155"/>
    <w:rsid w:val="537E1A3B"/>
    <w:rsid w:val="53815987"/>
    <w:rsid w:val="538B66AA"/>
    <w:rsid w:val="53B4545D"/>
    <w:rsid w:val="53B92A73"/>
    <w:rsid w:val="53F046E7"/>
    <w:rsid w:val="544C45A3"/>
    <w:rsid w:val="545C514A"/>
    <w:rsid w:val="547C3048"/>
    <w:rsid w:val="54837309"/>
    <w:rsid w:val="54852806"/>
    <w:rsid w:val="54890697"/>
    <w:rsid w:val="54AA0D3A"/>
    <w:rsid w:val="54B003AC"/>
    <w:rsid w:val="54B35714"/>
    <w:rsid w:val="54B75204"/>
    <w:rsid w:val="54F16968"/>
    <w:rsid w:val="5503669C"/>
    <w:rsid w:val="551C150B"/>
    <w:rsid w:val="55222FC6"/>
    <w:rsid w:val="553D094E"/>
    <w:rsid w:val="556A671B"/>
    <w:rsid w:val="55AD03B6"/>
    <w:rsid w:val="55C37BD9"/>
    <w:rsid w:val="55DD0C9B"/>
    <w:rsid w:val="55F34962"/>
    <w:rsid w:val="564E7DEA"/>
    <w:rsid w:val="565D3B8A"/>
    <w:rsid w:val="56660C90"/>
    <w:rsid w:val="56680EAC"/>
    <w:rsid w:val="56701B0F"/>
    <w:rsid w:val="569A4DDE"/>
    <w:rsid w:val="56D4209E"/>
    <w:rsid w:val="56DC0F52"/>
    <w:rsid w:val="5717642E"/>
    <w:rsid w:val="571E156B"/>
    <w:rsid w:val="574865E8"/>
    <w:rsid w:val="57C33EC0"/>
    <w:rsid w:val="57CC0FC7"/>
    <w:rsid w:val="57D305A7"/>
    <w:rsid w:val="57F03CA5"/>
    <w:rsid w:val="58022C3B"/>
    <w:rsid w:val="5818245E"/>
    <w:rsid w:val="58366D88"/>
    <w:rsid w:val="58584F50"/>
    <w:rsid w:val="586B6A32"/>
    <w:rsid w:val="586E6522"/>
    <w:rsid w:val="587753D7"/>
    <w:rsid w:val="58810003"/>
    <w:rsid w:val="588E44CE"/>
    <w:rsid w:val="58900246"/>
    <w:rsid w:val="589917F1"/>
    <w:rsid w:val="589C4E3D"/>
    <w:rsid w:val="58AB1524"/>
    <w:rsid w:val="58B905E9"/>
    <w:rsid w:val="58E14F46"/>
    <w:rsid w:val="58FD62BE"/>
    <w:rsid w:val="592117E6"/>
    <w:rsid w:val="595B4CF8"/>
    <w:rsid w:val="597D4C6F"/>
    <w:rsid w:val="59AD4E28"/>
    <w:rsid w:val="59CD4055"/>
    <w:rsid w:val="59E940B2"/>
    <w:rsid w:val="59EE20AF"/>
    <w:rsid w:val="5A1153B7"/>
    <w:rsid w:val="5A2D762B"/>
    <w:rsid w:val="5A581238"/>
    <w:rsid w:val="5A7476F4"/>
    <w:rsid w:val="5AB436C3"/>
    <w:rsid w:val="5AC73CC7"/>
    <w:rsid w:val="5AFA5E4B"/>
    <w:rsid w:val="5B04316E"/>
    <w:rsid w:val="5B653C0C"/>
    <w:rsid w:val="5B7025B1"/>
    <w:rsid w:val="5B927CEC"/>
    <w:rsid w:val="5BA26C0E"/>
    <w:rsid w:val="5BC528FD"/>
    <w:rsid w:val="5BC8419B"/>
    <w:rsid w:val="5BF3746A"/>
    <w:rsid w:val="5BFA1D4F"/>
    <w:rsid w:val="5C1B42CB"/>
    <w:rsid w:val="5C430981"/>
    <w:rsid w:val="5C62014C"/>
    <w:rsid w:val="5C741C2D"/>
    <w:rsid w:val="5C8207EE"/>
    <w:rsid w:val="5CD66444"/>
    <w:rsid w:val="5D0B2591"/>
    <w:rsid w:val="5D577585"/>
    <w:rsid w:val="5D6D4FFA"/>
    <w:rsid w:val="5D753EAF"/>
    <w:rsid w:val="5D76692F"/>
    <w:rsid w:val="5D902A97"/>
    <w:rsid w:val="5DA327CA"/>
    <w:rsid w:val="5DB91FED"/>
    <w:rsid w:val="5DCA244C"/>
    <w:rsid w:val="5DFE20F6"/>
    <w:rsid w:val="5E0314BA"/>
    <w:rsid w:val="5E14640F"/>
    <w:rsid w:val="5E384F22"/>
    <w:rsid w:val="5E68026C"/>
    <w:rsid w:val="5E6F6B50"/>
    <w:rsid w:val="5E79352B"/>
    <w:rsid w:val="5E8048B9"/>
    <w:rsid w:val="5E9D36BD"/>
    <w:rsid w:val="5ECB197B"/>
    <w:rsid w:val="5F4E1050"/>
    <w:rsid w:val="5F751F44"/>
    <w:rsid w:val="5FA62A45"/>
    <w:rsid w:val="5FB25842"/>
    <w:rsid w:val="5FB8266D"/>
    <w:rsid w:val="5FDC0215"/>
    <w:rsid w:val="6008725C"/>
    <w:rsid w:val="60200102"/>
    <w:rsid w:val="603B318E"/>
    <w:rsid w:val="604F09E7"/>
    <w:rsid w:val="607D3CAE"/>
    <w:rsid w:val="608E59B3"/>
    <w:rsid w:val="608F5287"/>
    <w:rsid w:val="60B27ED6"/>
    <w:rsid w:val="60D158A0"/>
    <w:rsid w:val="60E47381"/>
    <w:rsid w:val="60EB4BB4"/>
    <w:rsid w:val="613320B7"/>
    <w:rsid w:val="61370707"/>
    <w:rsid w:val="613C51CA"/>
    <w:rsid w:val="613D4CE3"/>
    <w:rsid w:val="614C3178"/>
    <w:rsid w:val="615C785F"/>
    <w:rsid w:val="61AC3E95"/>
    <w:rsid w:val="61B825BC"/>
    <w:rsid w:val="61B956A8"/>
    <w:rsid w:val="61D218D0"/>
    <w:rsid w:val="62210161"/>
    <w:rsid w:val="62214E20"/>
    <w:rsid w:val="62467BC8"/>
    <w:rsid w:val="625642AF"/>
    <w:rsid w:val="62832BCA"/>
    <w:rsid w:val="62AF7E63"/>
    <w:rsid w:val="62B15989"/>
    <w:rsid w:val="62E42DEA"/>
    <w:rsid w:val="632443AD"/>
    <w:rsid w:val="6329551F"/>
    <w:rsid w:val="63304B00"/>
    <w:rsid w:val="635A1B7D"/>
    <w:rsid w:val="6390559E"/>
    <w:rsid w:val="63A33B28"/>
    <w:rsid w:val="63D23E09"/>
    <w:rsid w:val="63FD7CA1"/>
    <w:rsid w:val="64151F48"/>
    <w:rsid w:val="6429154F"/>
    <w:rsid w:val="643E02BF"/>
    <w:rsid w:val="644B4006"/>
    <w:rsid w:val="646F1658"/>
    <w:rsid w:val="64890368"/>
    <w:rsid w:val="64B85A8B"/>
    <w:rsid w:val="64D616D7"/>
    <w:rsid w:val="64E77440"/>
    <w:rsid w:val="65271F32"/>
    <w:rsid w:val="655820EC"/>
    <w:rsid w:val="655F791E"/>
    <w:rsid w:val="656E316C"/>
    <w:rsid w:val="65DF6369"/>
    <w:rsid w:val="65FD703F"/>
    <w:rsid w:val="661029C7"/>
    <w:rsid w:val="66430FEE"/>
    <w:rsid w:val="669A6E11"/>
    <w:rsid w:val="66A575B3"/>
    <w:rsid w:val="66CC2D91"/>
    <w:rsid w:val="66D36628"/>
    <w:rsid w:val="6723497B"/>
    <w:rsid w:val="67430B7A"/>
    <w:rsid w:val="6784253D"/>
    <w:rsid w:val="681D761D"/>
    <w:rsid w:val="68273FF7"/>
    <w:rsid w:val="682B3AE8"/>
    <w:rsid w:val="683A01CF"/>
    <w:rsid w:val="68420E31"/>
    <w:rsid w:val="68613110"/>
    <w:rsid w:val="68BC0BE4"/>
    <w:rsid w:val="68DE4FFE"/>
    <w:rsid w:val="68F35D31"/>
    <w:rsid w:val="69375808"/>
    <w:rsid w:val="69390486"/>
    <w:rsid w:val="693E3CEF"/>
    <w:rsid w:val="69434E61"/>
    <w:rsid w:val="696A6892"/>
    <w:rsid w:val="69745F77"/>
    <w:rsid w:val="6994390F"/>
    <w:rsid w:val="69B33D95"/>
    <w:rsid w:val="69C33C99"/>
    <w:rsid w:val="69EB1780"/>
    <w:rsid w:val="6A1F4759"/>
    <w:rsid w:val="6A260A0B"/>
    <w:rsid w:val="6A4B221F"/>
    <w:rsid w:val="6A7F011B"/>
    <w:rsid w:val="6AAF0A00"/>
    <w:rsid w:val="6AE14931"/>
    <w:rsid w:val="6AE54422"/>
    <w:rsid w:val="6AED1528"/>
    <w:rsid w:val="6B0108EE"/>
    <w:rsid w:val="6B513865"/>
    <w:rsid w:val="6B56531F"/>
    <w:rsid w:val="6B7118E7"/>
    <w:rsid w:val="6BA7725A"/>
    <w:rsid w:val="6BD31C32"/>
    <w:rsid w:val="6BE16FFE"/>
    <w:rsid w:val="6C092392"/>
    <w:rsid w:val="6C2216A6"/>
    <w:rsid w:val="6C375151"/>
    <w:rsid w:val="6C515AE7"/>
    <w:rsid w:val="6C727F37"/>
    <w:rsid w:val="6C8669DD"/>
    <w:rsid w:val="6C991968"/>
    <w:rsid w:val="6CC60283"/>
    <w:rsid w:val="6CF03552"/>
    <w:rsid w:val="6CF44DF0"/>
    <w:rsid w:val="6D013069"/>
    <w:rsid w:val="6D0B213A"/>
    <w:rsid w:val="6D352454"/>
    <w:rsid w:val="6D372F2F"/>
    <w:rsid w:val="6D431EE2"/>
    <w:rsid w:val="6D611CF4"/>
    <w:rsid w:val="6D9739CD"/>
    <w:rsid w:val="6DCF760B"/>
    <w:rsid w:val="6DD16EDF"/>
    <w:rsid w:val="6E16447B"/>
    <w:rsid w:val="6E647D53"/>
    <w:rsid w:val="6E6E2980"/>
    <w:rsid w:val="6E7F2DDF"/>
    <w:rsid w:val="6E957F0D"/>
    <w:rsid w:val="6E9C573F"/>
    <w:rsid w:val="6EA168B2"/>
    <w:rsid w:val="6EB72579"/>
    <w:rsid w:val="6F2B261F"/>
    <w:rsid w:val="6F4A519B"/>
    <w:rsid w:val="6F7051FE"/>
    <w:rsid w:val="6F7A553E"/>
    <w:rsid w:val="6FC50568"/>
    <w:rsid w:val="701001ED"/>
    <w:rsid w:val="702F613F"/>
    <w:rsid w:val="704020FA"/>
    <w:rsid w:val="705160B5"/>
    <w:rsid w:val="70587444"/>
    <w:rsid w:val="70BF6C34"/>
    <w:rsid w:val="70E84C6C"/>
    <w:rsid w:val="70FA674D"/>
    <w:rsid w:val="710A284E"/>
    <w:rsid w:val="71771B4C"/>
    <w:rsid w:val="719631A5"/>
    <w:rsid w:val="71970440"/>
    <w:rsid w:val="719E532A"/>
    <w:rsid w:val="71A861A9"/>
    <w:rsid w:val="71AF12E6"/>
    <w:rsid w:val="71EA67C2"/>
    <w:rsid w:val="72055B10"/>
    <w:rsid w:val="720B2872"/>
    <w:rsid w:val="72330169"/>
    <w:rsid w:val="725510A6"/>
    <w:rsid w:val="72622F6C"/>
    <w:rsid w:val="726E11A1"/>
    <w:rsid w:val="729371F0"/>
    <w:rsid w:val="729D3834"/>
    <w:rsid w:val="72E90827"/>
    <w:rsid w:val="7313256E"/>
    <w:rsid w:val="733F6699"/>
    <w:rsid w:val="7386076C"/>
    <w:rsid w:val="738B2BB5"/>
    <w:rsid w:val="739476BE"/>
    <w:rsid w:val="7399224D"/>
    <w:rsid w:val="73A34E7A"/>
    <w:rsid w:val="73B61051"/>
    <w:rsid w:val="73DF6DE5"/>
    <w:rsid w:val="73E33DE9"/>
    <w:rsid w:val="73F51748"/>
    <w:rsid w:val="7423420D"/>
    <w:rsid w:val="743B50B2"/>
    <w:rsid w:val="74561EEC"/>
    <w:rsid w:val="747D391D"/>
    <w:rsid w:val="74836A59"/>
    <w:rsid w:val="74AC5FB0"/>
    <w:rsid w:val="74C57072"/>
    <w:rsid w:val="74F87447"/>
    <w:rsid w:val="74FB2A94"/>
    <w:rsid w:val="74FD680C"/>
    <w:rsid w:val="75695C4F"/>
    <w:rsid w:val="75910BBA"/>
    <w:rsid w:val="75C74413"/>
    <w:rsid w:val="75D237F5"/>
    <w:rsid w:val="75E8126A"/>
    <w:rsid w:val="75EB2B08"/>
    <w:rsid w:val="75F471C6"/>
    <w:rsid w:val="75F90028"/>
    <w:rsid w:val="76164029"/>
    <w:rsid w:val="762322A2"/>
    <w:rsid w:val="76261D92"/>
    <w:rsid w:val="762B1157"/>
    <w:rsid w:val="76CC46E8"/>
    <w:rsid w:val="76D812DE"/>
    <w:rsid w:val="76DF266D"/>
    <w:rsid w:val="76EA1012"/>
    <w:rsid w:val="76EC2FDC"/>
    <w:rsid w:val="77183DD1"/>
    <w:rsid w:val="7773729F"/>
    <w:rsid w:val="777D1373"/>
    <w:rsid w:val="77FE4D75"/>
    <w:rsid w:val="78191561"/>
    <w:rsid w:val="783F1B89"/>
    <w:rsid w:val="78591FAB"/>
    <w:rsid w:val="78727511"/>
    <w:rsid w:val="788C2381"/>
    <w:rsid w:val="78FA0020"/>
    <w:rsid w:val="791240A1"/>
    <w:rsid w:val="791D122B"/>
    <w:rsid w:val="792A1B99"/>
    <w:rsid w:val="79330A4E"/>
    <w:rsid w:val="798B6ADC"/>
    <w:rsid w:val="79915D9D"/>
    <w:rsid w:val="79960FDD"/>
    <w:rsid w:val="799C4845"/>
    <w:rsid w:val="799D236B"/>
    <w:rsid w:val="79ED32F3"/>
    <w:rsid w:val="79F301DD"/>
    <w:rsid w:val="7A150154"/>
    <w:rsid w:val="7A212F9C"/>
    <w:rsid w:val="7A2471F6"/>
    <w:rsid w:val="7A4647B1"/>
    <w:rsid w:val="7A88301C"/>
    <w:rsid w:val="7A9C0875"/>
    <w:rsid w:val="7AC202DC"/>
    <w:rsid w:val="7AC50DC7"/>
    <w:rsid w:val="7AD95625"/>
    <w:rsid w:val="7AEF46D7"/>
    <w:rsid w:val="7AF075B7"/>
    <w:rsid w:val="7B0C77A9"/>
    <w:rsid w:val="7B520055"/>
    <w:rsid w:val="7B5D1DB2"/>
    <w:rsid w:val="7B643141"/>
    <w:rsid w:val="7B757796"/>
    <w:rsid w:val="7B892BA7"/>
    <w:rsid w:val="7BC462D5"/>
    <w:rsid w:val="7BF24BF0"/>
    <w:rsid w:val="7BFA1CF7"/>
    <w:rsid w:val="7C016BE2"/>
    <w:rsid w:val="7C217284"/>
    <w:rsid w:val="7C756F0E"/>
    <w:rsid w:val="7C7B2E38"/>
    <w:rsid w:val="7C8F0691"/>
    <w:rsid w:val="7C984A83"/>
    <w:rsid w:val="7C9A0DE4"/>
    <w:rsid w:val="7CEA3B1A"/>
    <w:rsid w:val="7CEF1130"/>
    <w:rsid w:val="7D124E1E"/>
    <w:rsid w:val="7D2F777E"/>
    <w:rsid w:val="7D6A0402"/>
    <w:rsid w:val="7D8276CB"/>
    <w:rsid w:val="7D997846"/>
    <w:rsid w:val="7DDA465A"/>
    <w:rsid w:val="7DDD542C"/>
    <w:rsid w:val="7DEE13E8"/>
    <w:rsid w:val="7E096221"/>
    <w:rsid w:val="7E1F3C97"/>
    <w:rsid w:val="7E342E2B"/>
    <w:rsid w:val="7E551467"/>
    <w:rsid w:val="7E7E4724"/>
    <w:rsid w:val="7E8D0C00"/>
    <w:rsid w:val="7E8D29AE"/>
    <w:rsid w:val="7EA128FE"/>
    <w:rsid w:val="7EA74461"/>
    <w:rsid w:val="7EA85A3A"/>
    <w:rsid w:val="7EF01004"/>
    <w:rsid w:val="7EF26CB5"/>
    <w:rsid w:val="7EFE21D4"/>
    <w:rsid w:val="7F403EC5"/>
    <w:rsid w:val="7F482D79"/>
    <w:rsid w:val="7F5259A6"/>
    <w:rsid w:val="7F5B0CFF"/>
    <w:rsid w:val="7F69341C"/>
    <w:rsid w:val="7F9F28D0"/>
    <w:rsid w:val="7FE707E4"/>
    <w:rsid w:val="84DBDC6E"/>
    <w:rsid w:val="9EE312F5"/>
    <w:rsid w:val="ECDFDF13"/>
    <w:rsid w:val="EFDDCAFC"/>
    <w:rsid w:val="F9BD4C96"/>
    <w:rsid w:val="FDEE5A81"/>
    <w:rsid w:val="FFF7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5"/>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46"/>
    <w:semiHidden/>
    <w:unhideWhenUsed/>
    <w:qFormat/>
    <w:uiPriority w:val="99"/>
    <w:pPr>
      <w:jc w:val="left"/>
    </w:pPr>
  </w:style>
  <w:style w:type="paragraph" w:styleId="8">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10"/>
    <w:qFormat/>
    <w:uiPriority w:val="0"/>
    <w:pPr>
      <w:spacing w:line="480" w:lineRule="exact"/>
      <w:ind w:firstLine="480" w:firstLineChars="200"/>
    </w:pPr>
    <w:rPr>
      <w:rFonts w:ascii="宋体" w:hAnsi="宋体"/>
      <w:sz w:val="24"/>
    </w:rPr>
  </w:style>
  <w:style w:type="paragraph" w:styleId="10">
    <w:name w:val="Body Text First Indent 2"/>
    <w:basedOn w:val="9"/>
    <w:next w:val="11"/>
    <w:qFormat/>
    <w:uiPriority w:val="0"/>
    <w:pPr>
      <w:spacing w:line="360" w:lineRule="auto"/>
    </w:pPr>
    <w:rPr>
      <w:rFonts w:ascii="Calibri" w:hAnsi="Calibri"/>
    </w:rPr>
  </w:style>
  <w:style w:type="paragraph" w:styleId="11">
    <w:name w:val="Block Text"/>
    <w:basedOn w:val="1"/>
    <w:qFormat/>
    <w:uiPriority w:val="0"/>
    <w:pPr>
      <w:adjustRightInd w:val="0"/>
      <w:snapToGrid w:val="0"/>
      <w:spacing w:line="300" w:lineRule="auto"/>
      <w:ind w:left="958" w:right="-120" w:rightChars="-120"/>
      <w:jc w:val="left"/>
    </w:pPr>
    <w:rPr>
      <w:rFonts w:hint="eastAsia" w:ascii="宋体" w:hAnsi="宋体"/>
      <w:sz w:val="28"/>
    </w:rPr>
  </w:style>
  <w:style w:type="paragraph" w:styleId="12">
    <w:name w:val="Plain Text"/>
    <w:basedOn w:val="1"/>
    <w:qFormat/>
    <w:uiPriority w:val="0"/>
    <w:rPr>
      <w:rFonts w:ascii="宋体" w:hAnsi="Courier New" w:cs="Arial"/>
      <w:snapToGrid w:val="0"/>
      <w:szCs w:val="21"/>
    </w:rPr>
  </w:style>
  <w:style w:type="paragraph" w:styleId="13">
    <w:name w:val="Date"/>
    <w:basedOn w:val="1"/>
    <w:next w:val="1"/>
    <w:qFormat/>
    <w:uiPriority w:val="0"/>
    <w:pPr>
      <w:ind w:left="2500" w:leftChars="2500"/>
    </w:pPr>
    <w:rPr>
      <w:rFonts w:hint="eastAsia" w:ascii="宋体" w:hAnsi="宋体"/>
      <w:sz w:val="24"/>
    </w:rPr>
  </w:style>
  <w:style w:type="paragraph" w:styleId="14">
    <w:name w:val="Balloon Text"/>
    <w:basedOn w:val="1"/>
    <w:link w:val="25"/>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Body Text First Indent"/>
    <w:basedOn w:val="8"/>
    <w:next w:val="1"/>
    <w:qFormat/>
    <w:uiPriority w:val="0"/>
    <w:pPr>
      <w:ind w:firstLine="420"/>
    </w:pPr>
    <w:rPr>
      <w:rFonts w:hAnsi="Calibri" w:cs="Times New Roman"/>
      <w:snapToGrid/>
      <w:szCs w:val="20"/>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character" w:styleId="24">
    <w:name w:val="annotation reference"/>
    <w:qFormat/>
    <w:uiPriority w:val="0"/>
    <w:rPr>
      <w:sz w:val="21"/>
      <w:szCs w:val="21"/>
    </w:rPr>
  </w:style>
  <w:style w:type="character" w:customStyle="1" w:styleId="25">
    <w:name w:val="批注框文本 字符"/>
    <w:link w:val="14"/>
    <w:semiHidden/>
    <w:qFormat/>
    <w:uiPriority w:val="99"/>
    <w:rPr>
      <w:sz w:val="18"/>
      <w:szCs w:val="18"/>
    </w:rPr>
  </w:style>
  <w:style w:type="character" w:customStyle="1" w:styleId="26">
    <w:name w:val="页脚 字符"/>
    <w:link w:val="15"/>
    <w:qFormat/>
    <w:uiPriority w:val="99"/>
    <w:rPr>
      <w:kern w:val="2"/>
      <w:sz w:val="18"/>
      <w:szCs w:val="18"/>
    </w:rPr>
  </w:style>
  <w:style w:type="character" w:customStyle="1" w:styleId="27">
    <w:name w:val="页眉 字符"/>
    <w:link w:val="16"/>
    <w:qFormat/>
    <w:uiPriority w:val="99"/>
    <w:rPr>
      <w:kern w:val="2"/>
      <w:sz w:val="18"/>
      <w:szCs w:val="18"/>
    </w:rPr>
  </w:style>
  <w:style w:type="paragraph" w:customStyle="1" w:styleId="28">
    <w:name w:val="正文文字"/>
    <w:basedOn w:val="1"/>
    <w:qFormat/>
    <w:uiPriority w:val="0"/>
    <w:pPr>
      <w:widowControl/>
      <w:spacing w:line="952" w:lineRule="atLeast"/>
      <w:ind w:firstLine="419"/>
      <w:textAlignment w:val="baseline"/>
    </w:pPr>
    <w:rPr>
      <w:b/>
      <w:color w:val="000000"/>
      <w:sz w:val="44"/>
    </w:rPr>
  </w:style>
  <w:style w:type="paragraph" w:customStyle="1" w:styleId="2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2"/>
    <w:basedOn w:val="1"/>
    <w:qFormat/>
    <w:uiPriority w:val="0"/>
    <w:pPr>
      <w:spacing w:before="156" w:line="360" w:lineRule="auto"/>
      <w:ind w:firstLine="510" w:firstLineChars="200"/>
    </w:pPr>
    <w:rPr>
      <w:sz w:val="24"/>
      <w:szCs w:val="20"/>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
    <w:name w:val="索引 11"/>
    <w:basedOn w:val="1"/>
    <w:next w:val="1"/>
    <w:qFormat/>
    <w:uiPriority w:val="99"/>
    <w:pPr>
      <w:spacing w:line="360" w:lineRule="auto"/>
    </w:pPr>
    <w:rPr>
      <w:rFonts w:ascii="仿宋_GB2312" w:eastAsia="仿宋_GB2312"/>
      <w:sz w:val="24"/>
      <w:szCs w:val="20"/>
    </w:rPr>
  </w:style>
  <w:style w:type="paragraph" w:customStyle="1" w:styleId="35">
    <w:name w:val="纯文本1"/>
    <w:basedOn w:val="1"/>
    <w:qFormat/>
    <w:uiPriority w:val="0"/>
    <w:rPr>
      <w:rFonts w:ascii="宋体" w:hAnsi="Courier New"/>
      <w:kern w:val="0"/>
      <w:sz w:val="20"/>
      <w:szCs w:val="20"/>
    </w:rPr>
  </w:style>
  <w:style w:type="paragraph" w:customStyle="1" w:styleId="36">
    <w:name w:val="text-ta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7">
    <w:name w:val="纯文本_0_0"/>
    <w:basedOn w:val="38"/>
    <w:qFormat/>
    <w:uiPriority w:val="0"/>
    <w:rPr>
      <w:rFonts w:ascii="宋体" w:hAnsi="Courier New"/>
      <w:szCs w:val="21"/>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Table Paragraph"/>
    <w:basedOn w:val="1"/>
    <w:qFormat/>
    <w:uiPriority w:val="1"/>
    <w:pPr>
      <w:jc w:val="left"/>
    </w:pPr>
    <w:rPr>
      <w:kern w:val="0"/>
      <w:sz w:val="22"/>
      <w:lang w:eastAsia="en-US"/>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1">
    <w:name w:val="font11"/>
    <w:qFormat/>
    <w:uiPriority w:val="0"/>
    <w:rPr>
      <w:rFonts w:hint="eastAsia" w:ascii="宋体" w:hAnsi="宋体" w:eastAsia="宋体" w:cs="宋体"/>
      <w:color w:val="000000"/>
      <w:sz w:val="24"/>
      <w:szCs w:val="24"/>
      <w:u w:val="none"/>
    </w:rPr>
  </w:style>
  <w:style w:type="character" w:customStyle="1" w:styleId="42">
    <w:name w:val="font31"/>
    <w:basedOn w:val="21"/>
    <w:qFormat/>
    <w:uiPriority w:val="0"/>
    <w:rPr>
      <w:rFonts w:hint="eastAsia" w:ascii="宋体" w:hAnsi="宋体" w:eastAsia="宋体" w:cs="宋体"/>
      <w:color w:val="000000"/>
      <w:sz w:val="22"/>
      <w:szCs w:val="22"/>
      <w:u w:val="none"/>
    </w:rPr>
  </w:style>
  <w:style w:type="character" w:customStyle="1" w:styleId="43">
    <w:name w:val="font41"/>
    <w:qFormat/>
    <w:uiPriority w:val="0"/>
    <w:rPr>
      <w:rFonts w:hint="eastAsia" w:ascii="宋体" w:hAnsi="宋体" w:eastAsia="宋体" w:cs="宋体"/>
      <w:color w:val="000000"/>
      <w:sz w:val="21"/>
      <w:szCs w:val="21"/>
      <w:u w:val="none"/>
    </w:rPr>
  </w:style>
  <w:style w:type="paragraph" w:customStyle="1" w:styleId="44">
    <w:name w:val="Body text|1"/>
    <w:basedOn w:val="1"/>
    <w:qFormat/>
    <w:uiPriority w:val="0"/>
    <w:pPr>
      <w:spacing w:line="446" w:lineRule="auto"/>
      <w:jc w:val="left"/>
    </w:pPr>
    <w:rPr>
      <w:rFonts w:ascii="宋体" w:hAnsi="宋体" w:cs="宋体"/>
      <w:kern w:val="0"/>
      <w:sz w:val="20"/>
      <w:lang w:val="zh-TW" w:eastAsia="zh-TW" w:bidi="zh-TW"/>
    </w:rPr>
  </w:style>
  <w:style w:type="paragraph" w:customStyle="1" w:styleId="45">
    <w:name w:val="修订1"/>
    <w:hidden/>
    <w:unhideWhenUsed/>
    <w:qFormat/>
    <w:uiPriority w:val="99"/>
    <w:rPr>
      <w:rFonts w:ascii="Calibri" w:hAnsi="Calibri" w:eastAsia="宋体" w:cs="Times New Roman"/>
      <w:kern w:val="2"/>
      <w:sz w:val="21"/>
      <w:szCs w:val="22"/>
      <w:lang w:val="en-US" w:eastAsia="zh-CN" w:bidi="ar-SA"/>
    </w:rPr>
  </w:style>
  <w:style w:type="character" w:customStyle="1" w:styleId="46">
    <w:name w:val="批注文字 字符"/>
    <w:basedOn w:val="21"/>
    <w:link w:val="7"/>
    <w:semiHidden/>
    <w:qFormat/>
    <w:uiPriority w:val="99"/>
    <w:rPr>
      <w:kern w:val="2"/>
      <w:sz w:val="21"/>
      <w:szCs w:val="22"/>
    </w:rPr>
  </w:style>
  <w:style w:type="paragraph" w:customStyle="1" w:styleId="47">
    <w:name w:val="修订2"/>
    <w:hidden/>
    <w:unhideWhenUsed/>
    <w:qFormat/>
    <w:uiPriority w:val="99"/>
    <w:rPr>
      <w:rFonts w:ascii="Calibri" w:hAnsi="Calibri" w:eastAsia="宋体" w:cs="Times New Roman"/>
      <w:kern w:val="2"/>
      <w:sz w:val="21"/>
      <w:szCs w:val="22"/>
      <w:lang w:val="en-US" w:eastAsia="zh-CN" w:bidi="ar-SA"/>
    </w:rPr>
  </w:style>
  <w:style w:type="character" w:customStyle="1" w:styleId="48">
    <w:name w:val="font51"/>
    <w:qFormat/>
    <w:uiPriority w:val="0"/>
    <w:rPr>
      <w:rFonts w:hint="eastAsia" w:ascii="等线" w:hAnsi="等线" w:eastAsia="等线" w:cs="等线"/>
      <w:color w:val="auto"/>
      <w:sz w:val="21"/>
      <w:szCs w:val="21"/>
      <w:u w:val="none"/>
    </w:rPr>
  </w:style>
  <w:style w:type="paragraph" w:customStyle="1" w:styleId="49">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宋体" w:hAnsi="宋体" w:eastAsia="宋体" w:cs="Times New Roman"/>
      <w:sz w:val="24"/>
      <w:szCs w:val="22"/>
      <w:lang w:val="zh-CN" w:eastAsia="zh-CN" w:bidi="ar-SA"/>
    </w:rPr>
  </w:style>
  <w:style w:type="paragraph" w:customStyle="1" w:styleId="50">
    <w:name w:val="_正文"/>
    <w:basedOn w:val="1"/>
    <w:qFormat/>
    <w:uiPriority w:val="0"/>
    <w:pPr>
      <w:ind w:firstLine="560" w:firstLineChars="200"/>
    </w:pPr>
    <w:rPr>
      <w:rFonts w:ascii="宋体" w:hAnsi="宋体"/>
      <w:sz w:val="28"/>
      <w:szCs w:val="28"/>
    </w:rPr>
  </w:style>
  <w:style w:type="paragraph" w:customStyle="1" w:styleId="51">
    <w:name w:val="修订3"/>
    <w:hidden/>
    <w:unhideWhenUsed/>
    <w:qFormat/>
    <w:uiPriority w:val="99"/>
    <w:rPr>
      <w:rFonts w:ascii="Calibri" w:hAnsi="Calibri" w:eastAsia="宋体" w:cs="Times New Roman"/>
      <w:kern w:val="2"/>
      <w:sz w:val="21"/>
      <w:szCs w:val="22"/>
      <w:lang w:val="en-US" w:eastAsia="zh-CN" w:bidi="ar-SA"/>
    </w:rPr>
  </w:style>
  <w:style w:type="paragraph" w:customStyle="1" w:styleId="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2742</Words>
  <Characters>3187</Characters>
  <Lines>459</Lines>
  <Paragraphs>129</Paragraphs>
  <TotalTime>31</TotalTime>
  <ScaleCrop>false</ScaleCrop>
  <LinksUpToDate>false</LinksUpToDate>
  <CharactersWithSpaces>3398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2024-06-12T13:29:00Z</dcterms:created>
  <dc:creator>NTKO</dc:creator>
  <cp:lastModifiedBy>呱呱</cp:lastModifiedBy>
  <dcterms:modified xsi:type="dcterms:W3CDTF">2025-07-18T11:14:14Z</dcterms:modified>
  <dc:title>市建委2024年信息化运维项目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A3E560D024EB4C9BBFF3EFAF89AB61A4_13</vt:lpwstr>
  </property>
  <property fmtid="{D5CDD505-2E9C-101B-9397-08002B2CF9AE}" pid="4" name="KSOTemplateDocerSaveRecord">
    <vt:lpwstr>eyJoZGlkIjoiMTFjZGQ3ZjZkZGNiZmVlYjc2YzkxZWFiMjMyOTNkMjUiLCJ1c2VySWQiOiI0NDg3MDg0OTkifQ==</vt:lpwstr>
  </property>
</Properties>
</file>