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cstheme="minorEastAsia"/>
          <w:b/>
          <w:color w:val="auto"/>
          <w:sz w:val="44"/>
          <w:szCs w:val="44"/>
          <w:highlight w:val="none"/>
        </w:rPr>
      </w:pPr>
    </w:p>
    <w:p>
      <w:pPr>
        <w:pStyle w:val="27"/>
        <w:widowControl w:val="0"/>
        <w:snapToGrid w:val="0"/>
        <w:spacing w:line="360" w:lineRule="auto"/>
        <w:ind w:firstLine="0"/>
        <w:jc w:val="center"/>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eastAsia="zh-CN"/>
        </w:rPr>
        <w:t>浙江省杭州第十一中学</w:t>
      </w:r>
    </w:p>
    <w:p>
      <w:pPr>
        <w:pStyle w:val="27"/>
        <w:widowControl w:val="0"/>
        <w:snapToGrid w:val="0"/>
        <w:spacing w:line="360" w:lineRule="auto"/>
        <w:ind w:firstLine="0"/>
        <w:jc w:val="center"/>
        <w:rPr>
          <w:rFonts w:hint="eastAsia" w:asciiTheme="minorEastAsia" w:hAnsiTheme="minorEastAsia" w:eastAsiaTheme="minorEastAsia" w:cstheme="minorEastAsia"/>
          <w:bCs/>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eastAsia="zh-CN"/>
        </w:rPr>
        <w:t>智慧校园建设二期</w:t>
      </w:r>
    </w:p>
    <w:p>
      <w:pPr>
        <w:spacing w:line="360" w:lineRule="auto"/>
        <w:jc w:val="center"/>
        <w:rPr>
          <w:rFonts w:asciiTheme="minorEastAsia" w:hAnsiTheme="minorEastAsia" w:eastAsiaTheme="minorEastAsia" w:cstheme="minorEastAsia"/>
          <w:color w:val="auto"/>
          <w:sz w:val="48"/>
          <w:szCs w:val="48"/>
          <w:highlight w:val="none"/>
        </w:rPr>
      </w:pPr>
    </w:p>
    <w:p>
      <w:pPr>
        <w:pStyle w:val="9"/>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color w:val="auto"/>
          <w:sz w:val="48"/>
          <w:szCs w:val="48"/>
          <w:highlight w:val="none"/>
        </w:rPr>
      </w:pPr>
    </w:p>
    <w:p>
      <w:pPr>
        <w:spacing w:line="360" w:lineRule="auto"/>
        <w:jc w:val="center"/>
        <w:rPr>
          <w:rFonts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72"/>
          <w:szCs w:val="72"/>
          <w:highlight w:val="none"/>
        </w:rPr>
        <w:t>招标文件</w:t>
      </w:r>
      <w:r>
        <w:rPr>
          <w:rFonts w:hint="eastAsia" w:asciiTheme="minorEastAsia" w:hAnsiTheme="minorEastAsia" w:eastAsiaTheme="minorEastAsia" w:cstheme="minorEastAsia"/>
          <w:color w:val="auto"/>
          <w:sz w:val="48"/>
          <w:szCs w:val="48"/>
          <w:highlight w:val="none"/>
        </w:rPr>
        <w:t xml:space="preserve"> </w:t>
      </w:r>
    </w:p>
    <w:p>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r>
        <w:rPr>
          <w:rFonts w:hint="eastAsia" w:ascii="宋体" w:hAnsi="宋体" w:cs="宋体"/>
          <w:b/>
          <w:bCs/>
          <w:color w:val="auto"/>
          <w:sz w:val="44"/>
          <w:szCs w:val="44"/>
          <w:highlight w:val="none"/>
        </w:rPr>
        <w:t>非政府采购项目-</w:t>
      </w:r>
      <w:r>
        <w:rPr>
          <w:rFonts w:hint="eastAsia" w:asciiTheme="minorEastAsia" w:hAnsiTheme="minorEastAsia" w:eastAsiaTheme="minorEastAsia" w:cstheme="minorEastAsia"/>
          <w:b/>
          <w:color w:val="auto"/>
          <w:sz w:val="44"/>
          <w:szCs w:val="44"/>
          <w:highlight w:val="none"/>
        </w:rPr>
        <w:t>电子招投标）</w:t>
      </w:r>
    </w:p>
    <w:p>
      <w:pPr>
        <w:snapToGrid w:val="0"/>
        <w:spacing w:line="360" w:lineRule="auto"/>
        <w:jc w:val="center"/>
        <w:rPr>
          <w:rFonts w:asciiTheme="minorEastAsia" w:hAnsiTheme="minorEastAsia" w:eastAsiaTheme="minorEastAsia" w:cstheme="minorEastAsia"/>
          <w:color w:val="auto"/>
          <w:sz w:val="30"/>
          <w:szCs w:val="30"/>
          <w:highlight w:val="none"/>
        </w:rPr>
      </w:pPr>
    </w:p>
    <w:p>
      <w:pPr>
        <w:snapToGrid w:val="0"/>
        <w:spacing w:line="360" w:lineRule="auto"/>
        <w:jc w:val="center"/>
        <w:rPr>
          <w:rFonts w:hint="eastAsia" w:asciiTheme="minorEastAsia" w:hAnsiTheme="minorEastAsia" w:eastAsiaTheme="minorEastAsia" w:cstheme="minorEastAsia"/>
          <w:color w:val="auto"/>
          <w:sz w:val="30"/>
          <w:szCs w:val="30"/>
          <w:highlight w:val="none"/>
          <w:lang w:eastAsia="zh-CN"/>
        </w:rPr>
      </w:pPr>
      <w:r>
        <w:rPr>
          <w:rFonts w:hint="eastAsia" w:asciiTheme="minorEastAsia" w:hAnsiTheme="minorEastAsia" w:eastAsiaTheme="minorEastAsia" w:cstheme="minorEastAsia"/>
          <w:color w:val="auto"/>
          <w:sz w:val="30"/>
          <w:szCs w:val="30"/>
          <w:highlight w:val="none"/>
        </w:rPr>
        <w:t>项目编号：</w:t>
      </w:r>
      <w:r>
        <w:rPr>
          <w:rFonts w:hint="eastAsia" w:asciiTheme="minorEastAsia" w:hAnsiTheme="minorEastAsia" w:eastAsiaTheme="minorEastAsia" w:cstheme="minorEastAsia"/>
          <w:color w:val="auto"/>
          <w:sz w:val="30"/>
          <w:szCs w:val="30"/>
          <w:highlight w:val="none"/>
          <w:lang w:eastAsia="zh-CN"/>
        </w:rPr>
        <w:t>HSYZ-2025-021</w:t>
      </w:r>
    </w:p>
    <w:p>
      <w:pPr>
        <w:spacing w:line="360" w:lineRule="auto"/>
        <w:rPr>
          <w:rFonts w:asciiTheme="minorEastAsia" w:hAnsiTheme="minorEastAsia" w:eastAsiaTheme="minorEastAsia" w:cstheme="minorEastAsia"/>
          <w:color w:val="auto"/>
          <w:sz w:val="28"/>
          <w:szCs w:val="20"/>
          <w:highlight w:val="none"/>
        </w:rPr>
      </w:pP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44"/>
          <w:szCs w:val="44"/>
          <w:highlight w:val="none"/>
        </w:rPr>
        <w:t xml:space="preserve"> </w:t>
      </w:r>
    </w:p>
    <w:p>
      <w:pPr>
        <w:spacing w:line="360" w:lineRule="auto"/>
        <w:rPr>
          <w:rFonts w:asciiTheme="minorEastAsia" w:hAnsiTheme="minorEastAsia" w:eastAsiaTheme="minorEastAsia" w:cstheme="minorEastAsia"/>
          <w:color w:val="auto"/>
          <w:sz w:val="32"/>
          <w:szCs w:val="32"/>
          <w:highlight w:val="none"/>
        </w:rPr>
      </w:pPr>
    </w:p>
    <w:p>
      <w:pPr>
        <w:pStyle w:val="9"/>
        <w:ind w:firstLine="640"/>
        <w:rPr>
          <w:rFonts w:asciiTheme="minorEastAsia" w:hAnsiTheme="minorEastAsia" w:eastAsiaTheme="minorEastAsia" w:cstheme="minorEastAsia"/>
          <w:color w:val="auto"/>
          <w:sz w:val="32"/>
          <w:szCs w:val="32"/>
          <w:highlight w:val="none"/>
        </w:rPr>
      </w:pPr>
    </w:p>
    <w:p>
      <w:pPr>
        <w:rPr>
          <w:rFonts w:asciiTheme="minorEastAsia" w:hAnsiTheme="minorEastAsia" w:eastAsiaTheme="minorEastAsia" w:cstheme="minorEastAsia"/>
          <w:color w:val="auto"/>
          <w:sz w:val="32"/>
          <w:szCs w:val="32"/>
          <w:highlight w:val="none"/>
        </w:rPr>
      </w:pPr>
    </w:p>
    <w:p>
      <w:pPr>
        <w:pStyle w:val="9"/>
        <w:ind w:firstLine="640"/>
        <w:rPr>
          <w:rFonts w:asciiTheme="minorEastAsia" w:hAnsiTheme="minorEastAsia" w:eastAsiaTheme="minorEastAsia" w:cstheme="minorEastAsia"/>
          <w:color w:val="auto"/>
          <w:sz w:val="32"/>
          <w:szCs w:val="32"/>
          <w:highlight w:val="none"/>
        </w:rPr>
      </w:pPr>
    </w:p>
    <w:p>
      <w:pPr>
        <w:rPr>
          <w:rFonts w:asciiTheme="minorEastAsia" w:hAnsiTheme="minorEastAsia" w:eastAsiaTheme="minorEastAsia" w:cstheme="minorEastAsia"/>
          <w:color w:val="auto"/>
          <w:highlight w:val="none"/>
        </w:rPr>
      </w:pPr>
    </w:p>
    <w:p>
      <w:pPr>
        <w:snapToGrid w:val="0"/>
        <w:spacing w:line="360" w:lineRule="auto"/>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浙江省杭州第十一中学</w:t>
      </w:r>
    </w:p>
    <w:p>
      <w:pPr>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杭州洲源招标代理有限公司</w:t>
      </w:r>
    </w:p>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32"/>
          <w:szCs w:val="32"/>
          <w:highlight w:val="none"/>
        </w:rPr>
        <w:t>二〇二</w:t>
      </w:r>
      <w:r>
        <w:rPr>
          <w:rFonts w:hint="eastAsia" w:asciiTheme="minorEastAsia" w:hAnsiTheme="minorEastAsia" w:eastAsiaTheme="minorEastAsia" w:cstheme="minorEastAsia"/>
          <w:bCs/>
          <w:color w:val="auto"/>
          <w:sz w:val="32"/>
          <w:szCs w:val="32"/>
          <w:highlight w:val="none"/>
          <w:lang w:val="en-US" w:eastAsia="zh-CN"/>
        </w:rPr>
        <w:t>五</w:t>
      </w:r>
      <w:r>
        <w:rPr>
          <w:rFonts w:hint="eastAsia" w:asciiTheme="minorEastAsia" w:hAnsiTheme="minorEastAsia" w:eastAsiaTheme="minorEastAsia" w:cstheme="minorEastAsia"/>
          <w:bCs/>
          <w:color w:val="auto"/>
          <w:sz w:val="32"/>
          <w:szCs w:val="32"/>
          <w:highlight w:val="none"/>
        </w:rPr>
        <w:t>年六月</w:t>
      </w:r>
      <w:r>
        <w:rPr>
          <w:rFonts w:hint="eastAsia" w:asciiTheme="minorEastAsia" w:hAnsiTheme="minorEastAsia" w:eastAsiaTheme="minorEastAsia" w:cstheme="minorEastAsia"/>
          <w:color w:val="auto"/>
          <w:sz w:val="24"/>
          <w:highlight w:val="none"/>
        </w:rPr>
        <w:br w:type="page"/>
      </w:r>
      <w:bookmarkStart w:id="0" w:name="_Hlt67893495"/>
      <w:bookmarkEnd w:id="0"/>
    </w:p>
    <w:p>
      <w:pPr>
        <w:pStyle w:val="28"/>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pPr>
        <w:spacing w:line="360" w:lineRule="auto"/>
        <w:rPr>
          <w:rFonts w:asciiTheme="minorEastAsia" w:hAnsiTheme="minorEastAsia" w:eastAsiaTheme="minorEastAsia" w:cstheme="minorEastAsia"/>
          <w:color w:val="auto"/>
          <w:sz w:val="32"/>
          <w:szCs w:val="32"/>
          <w:highlight w:val="none"/>
        </w:rPr>
      </w:pPr>
    </w:p>
    <w:p>
      <w:pPr>
        <w:spacing w:line="360" w:lineRule="auto"/>
        <w:rPr>
          <w:rFonts w:asciiTheme="minorEastAsia" w:hAnsiTheme="minorEastAsia" w:eastAsiaTheme="minorEastAsia" w:cstheme="minorEastAsia"/>
          <w:color w:val="auto"/>
          <w:sz w:val="32"/>
          <w:szCs w:val="32"/>
          <w:highlight w:val="none"/>
        </w:rPr>
      </w:pPr>
    </w:p>
    <w:p>
      <w:pPr>
        <w:spacing w:line="480" w:lineRule="auto"/>
        <w:ind w:firstLine="2880" w:firstLineChars="9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pPr>
        <w:spacing w:line="480" w:lineRule="auto"/>
        <w:ind w:firstLine="2880" w:firstLineChars="9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pPr>
        <w:spacing w:line="480" w:lineRule="auto"/>
        <w:ind w:firstLine="2880" w:firstLineChars="9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pPr>
        <w:spacing w:line="480" w:lineRule="auto"/>
        <w:ind w:firstLine="2880" w:firstLineChars="9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pPr>
        <w:spacing w:line="480" w:lineRule="auto"/>
        <w:ind w:firstLine="2880" w:firstLineChars="9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pPr>
        <w:spacing w:line="480" w:lineRule="auto"/>
        <w:ind w:firstLine="2880" w:firstLineChars="9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pPr>
        <w:spacing w:line="360" w:lineRule="auto"/>
        <w:ind w:firstLine="549" w:firstLineChars="229"/>
        <w:rPr>
          <w:rFonts w:asciiTheme="minorEastAsia" w:hAnsiTheme="minorEastAsia" w:eastAsiaTheme="minorEastAsia" w:cstheme="minorEastAsia"/>
          <w:color w:val="auto"/>
          <w:sz w:val="24"/>
          <w:highlight w:val="none"/>
        </w:rPr>
      </w:pPr>
      <w:bookmarkStart w:id="1" w:name="_Hlt91233176"/>
      <w:bookmarkEnd w:id="1"/>
      <w:bookmarkStart w:id="2" w:name="_Toc91899869"/>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rPr>
          <w:rFonts w:asciiTheme="minorEastAsia" w:hAnsiTheme="minorEastAsia" w:eastAsiaTheme="minorEastAsia" w:cstheme="minorEastAsia"/>
          <w:color w:val="auto"/>
          <w:sz w:val="24"/>
          <w:highlight w:val="none"/>
        </w:rPr>
      </w:pPr>
    </w:p>
    <w:p>
      <w:pPr>
        <w:spacing w:line="360" w:lineRule="auto"/>
        <w:jc w:val="center"/>
        <w:outlineLvl w:val="0"/>
        <w:rPr>
          <w:rFonts w:asciiTheme="minorEastAsia" w:hAnsiTheme="minorEastAsia" w:eastAsiaTheme="minorEastAsia" w:cstheme="minorEastAsia"/>
          <w:b/>
          <w:color w:val="auto"/>
          <w:sz w:val="36"/>
          <w:szCs w:val="20"/>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eastAsia="zh-CN"/>
        </w:rPr>
        <w:t>智慧校园建设二期</w:t>
      </w:r>
      <w:r>
        <w:rPr>
          <w:rFonts w:hint="eastAsia" w:ascii="宋体" w:hAnsi="宋体" w:cs="宋体"/>
          <w:color w:val="auto"/>
          <w:sz w:val="24"/>
          <w:highlight w:val="none"/>
        </w:rPr>
        <w:t>招标项目的潜在投标人应在乐采云平台（</w:t>
      </w:r>
      <w:r>
        <w:rPr>
          <w:rFonts w:hint="eastAsia" w:ascii="宋体" w:hAnsi="宋体" w:cs="宋体"/>
          <w:bCs/>
          <w:color w:val="auto"/>
          <w:sz w:val="24"/>
          <w:highlight w:val="none"/>
        </w:rPr>
        <w:t>https://hzjyg.lecaiyun.com/</w:t>
      </w:r>
      <w:r>
        <w:rPr>
          <w:rFonts w:hint="eastAsia" w:ascii="宋体" w:hAnsi="宋体" w:cs="宋体"/>
          <w:color w:val="auto"/>
          <w:sz w:val="24"/>
          <w:highlight w:val="none"/>
        </w:rPr>
        <w:t>）</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22"/>
          <w:rFonts w:hint="eastAsia" w:ascii="宋体" w:hAnsi="宋体" w:eastAsia="宋体" w:cs="宋体"/>
          <w:snapToGrid/>
          <w:color w:val="auto"/>
          <w:kern w:val="2"/>
          <w:sz w:val="24"/>
          <w:szCs w:val="24"/>
          <w:highlight w:val="none"/>
        </w:rPr>
        <w:t>获取（下载）招标文件，并于</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日</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项目编号：</w:t>
      </w:r>
      <w:r>
        <w:rPr>
          <w:rFonts w:hint="eastAsia" w:asciiTheme="minorEastAsia" w:hAnsiTheme="minorEastAsia" w:eastAsiaTheme="minorEastAsia" w:cstheme="minorEastAsia"/>
          <w:color w:val="auto"/>
          <w:sz w:val="24"/>
          <w:highlight w:val="none"/>
          <w:lang w:eastAsia="zh-CN"/>
        </w:rPr>
        <w:t>HSYZ-2025-021</w:t>
      </w:r>
    </w:p>
    <w:p>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项目名称：</w:t>
      </w:r>
      <w:r>
        <w:rPr>
          <w:rFonts w:hint="eastAsia" w:asciiTheme="minorEastAsia" w:hAnsiTheme="minorEastAsia" w:eastAsiaTheme="minorEastAsia" w:cstheme="minorEastAsia"/>
          <w:color w:val="auto"/>
          <w:sz w:val="24"/>
          <w:highlight w:val="none"/>
          <w:lang w:eastAsia="zh-CN"/>
        </w:rPr>
        <w:t>智慧校园建设二期</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预算金额（元）：</w:t>
      </w:r>
      <w:r>
        <w:rPr>
          <w:rFonts w:hint="eastAsia" w:ascii="宋体" w:hAnsi="宋体" w:cs="宋体"/>
          <w:color w:val="auto"/>
          <w:sz w:val="24"/>
          <w:highlight w:val="none"/>
          <w:lang w:eastAsia="zh-CN"/>
        </w:rPr>
        <w:t>991000</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最高限价（元）：</w:t>
      </w:r>
      <w:r>
        <w:rPr>
          <w:rFonts w:hint="eastAsia" w:ascii="宋体" w:hAnsi="宋体" w:cs="宋体"/>
          <w:color w:val="auto"/>
          <w:sz w:val="24"/>
          <w:highlight w:val="none"/>
          <w:lang w:eastAsia="zh-CN"/>
        </w:rPr>
        <w:t>991000</w:t>
      </w:r>
    </w:p>
    <w:p>
      <w:pPr>
        <w:pStyle w:val="5"/>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采购需求：</w:t>
      </w:r>
    </w:p>
    <w:p>
      <w:pPr>
        <w:pStyle w:val="5"/>
        <w:spacing w:line="360" w:lineRule="auto"/>
        <w:ind w:firstLine="480"/>
        <w:rPr>
          <w:rFonts w:asciiTheme="minorEastAsia" w:hAnsiTheme="minorEastAsia" w:eastAsiaTheme="minorEastAsia" w:cstheme="minorEastAsia"/>
          <w:color w:val="auto"/>
          <w:sz w:val="24"/>
          <w:highlight w:val="none"/>
        </w:rPr>
      </w:pPr>
    </w:p>
    <w:p>
      <w:pPr>
        <w:pStyle w:val="15"/>
        <w:spacing w:before="0" w:beforeAutospacing="0" w:after="0" w:afterAutospacing="0" w:line="360" w:lineRule="auto"/>
        <w:ind w:firstLine="48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标项名称：</w:t>
      </w:r>
      <w:r>
        <w:rPr>
          <w:rFonts w:hint="eastAsia" w:asciiTheme="minorEastAsia" w:hAnsiTheme="minorEastAsia" w:eastAsiaTheme="minorEastAsia" w:cstheme="minorEastAsia"/>
          <w:color w:val="auto"/>
          <w:highlight w:val="none"/>
          <w:lang w:eastAsia="zh-CN"/>
        </w:rPr>
        <w:t>智慧校园建设二期</w:t>
      </w:r>
      <w:r>
        <w:rPr>
          <w:rFonts w:hint="eastAsia" w:asciiTheme="minorEastAsia" w:hAnsiTheme="minorEastAsia" w:eastAsiaTheme="minorEastAsia" w:cstheme="minorEastAsia"/>
          <w:color w:val="auto"/>
          <w:szCs w:val="24"/>
          <w:highlight w:val="none"/>
        </w:rPr>
        <w:t>  </w:t>
      </w:r>
    </w:p>
    <w:p>
      <w:pPr>
        <w:pStyle w:val="15"/>
        <w:spacing w:before="0" w:beforeAutospacing="0" w:after="0" w:afterAutospacing="0" w:line="360" w:lineRule="auto"/>
        <w:ind w:firstLine="48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数量：1  </w:t>
      </w:r>
    </w:p>
    <w:p>
      <w:pPr>
        <w:pStyle w:val="15"/>
        <w:spacing w:before="0" w:beforeAutospacing="0" w:after="0" w:afterAutospacing="0" w:line="360" w:lineRule="auto"/>
        <w:ind w:firstLine="48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预算金额（元）：</w:t>
      </w:r>
      <w:r>
        <w:rPr>
          <w:rFonts w:hint="eastAsia" w:ascii="宋体" w:hAnsi="宋体" w:cs="宋体"/>
          <w:color w:val="auto"/>
          <w:sz w:val="24"/>
          <w:highlight w:val="none"/>
          <w:lang w:eastAsia="zh-CN"/>
        </w:rPr>
        <w:t>991000</w:t>
      </w:r>
    </w:p>
    <w:p>
      <w:pPr>
        <w:pStyle w:val="15"/>
        <w:spacing w:before="0" w:beforeAutospacing="0" w:after="0" w:afterAutospacing="0" w:line="360" w:lineRule="auto"/>
        <w:ind w:firstLine="480"/>
        <w:jc w:val="both"/>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简要规格描述或项目基本概况介绍、用途：</w:t>
      </w:r>
      <w:r>
        <w:rPr>
          <w:rFonts w:hint="eastAsia" w:hAnsi="宋体" w:cs="宋体"/>
          <w:bCs/>
          <w:snapToGrid/>
          <w:color w:val="auto"/>
          <w:kern w:val="2"/>
          <w:sz w:val="24"/>
          <w:szCs w:val="24"/>
          <w:highlight w:val="none"/>
          <w:lang w:eastAsia="zh-CN"/>
        </w:rPr>
        <w:t>智慧校园建设二期</w:t>
      </w:r>
      <w:r>
        <w:rPr>
          <w:rFonts w:hint="eastAsia" w:hAnsi="宋体" w:cs="宋体"/>
          <w:bCs/>
          <w:snapToGrid/>
          <w:color w:val="auto"/>
          <w:kern w:val="2"/>
          <w:sz w:val="24"/>
          <w:szCs w:val="24"/>
          <w:highlight w:val="none"/>
        </w:rPr>
        <w:t>，详见招标文件第三部分采购需求。</w:t>
      </w:r>
    </w:p>
    <w:p>
      <w:pPr>
        <w:pStyle w:val="15"/>
        <w:spacing w:before="0" w:beforeAutospacing="0" w:after="0" w:afterAutospacing="0" w:line="360" w:lineRule="auto"/>
        <w:ind w:firstLine="480"/>
        <w:jc w:val="both"/>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备注：</w:t>
      </w:r>
    </w:p>
    <w:p>
      <w:pPr>
        <w:pStyle w:val="15"/>
        <w:spacing w:before="0" w:beforeAutospacing="0" w:after="0" w:afterAutospacing="0" w:line="360" w:lineRule="auto"/>
        <w:ind w:firstLine="480"/>
        <w:jc w:val="both"/>
        <w:rPr>
          <w:rFonts w:asciiTheme="minorEastAsia" w:hAnsiTheme="minorEastAsia" w:eastAsiaTheme="minorEastAsia" w:cstheme="minorEastAsia"/>
          <w:b/>
          <w:bCs/>
          <w:color w:val="auto"/>
          <w:szCs w:val="24"/>
          <w:highlight w:val="none"/>
        </w:rPr>
      </w:pPr>
    </w:p>
    <w:p>
      <w:pPr>
        <w:spacing w:line="360" w:lineRule="auto"/>
        <w:ind w:firstLine="480" w:firstLineChars="200"/>
        <w:rPr>
          <w:rFonts w:hint="eastAsia" w:ascii="宋体" w:hAnsi="宋体" w:cs="宋体"/>
          <w:bCs/>
          <w:color w:val="auto"/>
          <w:sz w:val="24"/>
          <w:highlight w:val="none"/>
        </w:rPr>
      </w:pPr>
      <w:r>
        <w:rPr>
          <w:rFonts w:hint="eastAsia" w:asciiTheme="minorEastAsia" w:hAnsiTheme="minorEastAsia" w:eastAsiaTheme="minorEastAsia" w:cstheme="minorEastAsia"/>
          <w:bCs/>
          <w:color w:val="auto"/>
          <w:sz w:val="24"/>
          <w:highlight w:val="none"/>
        </w:rPr>
        <w:t>合同履约期限：合同签订后60日历天内完成项目实施。</w:t>
      </w:r>
    </w:p>
    <w:p>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本项目（否）接受联合体投标</w:t>
      </w:r>
      <w:r>
        <w:rPr>
          <w:rFonts w:hint="eastAsia" w:asciiTheme="minorEastAsia" w:hAnsiTheme="minorEastAsia" w:eastAsiaTheme="minorEastAsia" w:cstheme="minorEastAsia"/>
          <w:bCs/>
          <w:color w:val="auto"/>
          <w:kern w:val="0"/>
          <w:sz w:val="24"/>
          <w:highlight w:val="none"/>
        </w:rPr>
        <w:t>。</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pPr>
        <w:spacing w:line="360" w:lineRule="auto"/>
        <w:ind w:firstLine="480"/>
        <w:jc w:val="left"/>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2.落实政府采购政策需满足的资格要求：</w:t>
      </w:r>
    </w:p>
    <w:p>
      <w:pPr>
        <w:spacing w:line="360" w:lineRule="auto"/>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无</w:t>
      </w:r>
      <w:r>
        <w:rPr>
          <w:rFonts w:hint="eastAsia" w:asciiTheme="minorEastAsia" w:hAnsiTheme="minorEastAsia" w:eastAsiaTheme="minorEastAsia" w:cstheme="minorEastAsia"/>
          <w:snapToGrid w:val="0"/>
          <w:color w:val="auto"/>
          <w:kern w:val="28"/>
          <w:sz w:val="24"/>
          <w:szCs w:val="20"/>
          <w:highlight w:val="none"/>
        </w:rPr>
        <w:t>（注：不得限制大中型企业与小微企业组成联合体参与投标）；</w:t>
      </w:r>
    </w:p>
    <w:p>
      <w:pPr>
        <w:spacing w:line="360" w:lineRule="auto"/>
        <w:ind w:firstLine="482" w:firstLineChars="200"/>
        <w:rPr>
          <w:rFonts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ascii="Wingdings" w:hAnsi="Wingdings" w:eastAsiaTheme="minorEastAsia" w:cstheme="minorEastAsia"/>
              <w:b/>
              <w:bCs/>
              <w:color w:val="auto"/>
              <w:kern w:val="0"/>
              <w:sz w:val="24"/>
              <w:highlight w:val="none"/>
            </w:rPr>
            <w:t></w:t>
          </w:r>
        </w:sdtContent>
      </w:sdt>
      <w:r>
        <w:rPr>
          <w:rFonts w:hint="eastAsia" w:asciiTheme="minorEastAsia" w:hAnsiTheme="minorEastAsia" w:eastAsiaTheme="minorEastAsia" w:cstheme="minorEastAsia"/>
          <w:b/>
          <w:bCs/>
          <w:color w:val="auto"/>
          <w:kern w:val="0"/>
          <w:sz w:val="24"/>
          <w:highlight w:val="none"/>
        </w:rPr>
        <w:t>专</w:t>
      </w:r>
      <w:r>
        <w:rPr>
          <w:rFonts w:hint="eastAsia" w:asciiTheme="minorEastAsia" w:hAnsiTheme="minorEastAsia" w:eastAsiaTheme="minorEastAsia" w:cstheme="minorEastAsia"/>
          <w:b/>
          <w:bCs/>
          <w:color w:val="auto"/>
          <w:sz w:val="24"/>
          <w:highlight w:val="none"/>
        </w:rPr>
        <w:t>门面向中小企业</w:t>
      </w:r>
    </w:p>
    <w:p>
      <w:pPr>
        <w:spacing w:line="360" w:lineRule="auto"/>
        <w:ind w:firstLine="901" w:firstLineChars="374"/>
        <w:rPr>
          <w:rFonts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37704652"/>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color w:val="auto"/>
            <w:kern w:val="0"/>
            <w:sz w:val="24"/>
            <w:highlight w:val="none"/>
          </w:rPr>
        </w:sdtEndPr>
        <w:sdtContent>
          <w:r>
            <w:rPr>
              <w:rFonts w:hint="eastAsia" w:ascii="MS Gothic" w:hAnsi="MS Gothic" w:eastAsiaTheme="minorEastAsia" w:cstheme="minorEastAsia"/>
              <w:b w:val="0"/>
              <w:bCs w:val="0"/>
              <w:color w:val="auto"/>
              <w:kern w:val="0"/>
              <w:sz w:val="24"/>
              <w:szCs w:val="22"/>
              <w:highlight w:val="none"/>
              <w:lang w:val="en-US" w:eastAsia="zh-CN" w:bidi="ar-SA"/>
            </w:rPr>
            <w:t>☐</w:t>
          </w:r>
        </w:sdtContent>
      </w:sdt>
      <w:r>
        <w:rPr>
          <w:rFonts w:hint="eastAsia" w:asciiTheme="minorEastAsia" w:hAnsiTheme="minorEastAsia" w:eastAsiaTheme="minorEastAsia" w:cstheme="minorEastAsia"/>
          <w:b w:val="0"/>
          <w:bCs w:val="0"/>
          <w:color w:val="auto"/>
          <w:sz w:val="24"/>
          <w:highlight w:val="none"/>
        </w:rPr>
        <w:t>服务全部由符合政策要求的中小企业承接，提供中小企业声明函；</w:t>
      </w:r>
    </w:p>
    <w:p>
      <w:pPr>
        <w:spacing w:line="360" w:lineRule="auto"/>
        <w:ind w:firstLine="897" w:firstLineChars="374"/>
        <w:rPr>
          <w:rFonts w:asciiTheme="minorEastAsia" w:hAnsiTheme="minorEastAsia" w:eastAsiaTheme="minorEastAsia" w:cstheme="minorEastAsia"/>
          <w:b w:val="0"/>
          <w:bCs w:val="0"/>
          <w:color w:val="auto"/>
          <w:sz w:val="24"/>
          <w:highlight w:val="none"/>
        </w:rPr>
      </w:pPr>
      <w:sdt>
        <w:sdtPr>
          <w:rPr>
            <w:rFonts w:hint="eastAsia" w:asciiTheme="minorEastAsia" w:hAnsiTheme="minorEastAsia" w:eastAsiaTheme="minorEastAsia" w:cstheme="minorEastAsia"/>
            <w:b w:val="0"/>
            <w:bCs w:val="0"/>
            <w:color w:val="auto"/>
            <w:kern w:val="0"/>
            <w:sz w:val="24"/>
            <w:highlight w:val="none"/>
          </w:rPr>
          <w:id w:val="19441029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ascii="Wingdings" w:hAnsi="Wingdings" w:eastAsiaTheme="minorEastAsia" w:cstheme="minorEastAsia"/>
              <w:b/>
              <w:bCs/>
              <w:color w:val="auto"/>
              <w:kern w:val="0"/>
              <w:sz w:val="24"/>
              <w:szCs w:val="22"/>
              <w:highlight w:val="none"/>
              <w:lang w:val="en-US" w:eastAsia="zh-CN" w:bidi="ar-SA"/>
            </w:rPr>
            <w:t>þ</w:t>
          </w:r>
        </w:sdtContent>
      </w:sdt>
      <w:r>
        <w:rPr>
          <w:rFonts w:hint="eastAsia" w:asciiTheme="minorEastAsia" w:hAnsiTheme="minorEastAsia" w:eastAsiaTheme="minorEastAsia" w:cstheme="minorEastAsia"/>
          <w:b/>
          <w:bCs/>
          <w:color w:val="auto"/>
          <w:sz w:val="24"/>
          <w:highlight w:val="none"/>
        </w:rPr>
        <w:t>服务全部由符合政策要求的小微企业承接，提供中小企业声明函；</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3.本项目的特定资格要求：无；</w:t>
      </w:r>
    </w:p>
    <w:p>
      <w:pPr>
        <w:snapToGrid w:val="0"/>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时间：</w:t>
      </w:r>
      <w:r>
        <w:rPr>
          <w:rFonts w:hint="eastAsia" w:ascii="宋体" w:hAnsi="宋体" w:cs="宋体"/>
          <w:bCs/>
          <w:color w:val="auto"/>
          <w:sz w:val="24"/>
          <w:highlight w:val="none"/>
        </w:rPr>
        <w:t>即日起</w:t>
      </w:r>
      <w:r>
        <w:rPr>
          <w:rFonts w:hint="eastAsia" w:asciiTheme="minorEastAsia" w:hAnsiTheme="minorEastAsia" w:eastAsiaTheme="minorEastAsia" w:cstheme="minorEastAsia"/>
          <w:bCs/>
          <w:color w:val="auto"/>
          <w:sz w:val="24"/>
          <w:highlight w:val="none"/>
        </w:rPr>
        <w:t>202</w:t>
      </w: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年</w:t>
      </w:r>
      <w:r>
        <w:rPr>
          <w:rFonts w:hint="eastAsia" w:asciiTheme="minorEastAsia" w:hAnsiTheme="minorEastAsia" w:eastAsiaTheme="minorEastAsia" w:cstheme="minorEastAsia"/>
          <w:bCs/>
          <w:color w:val="auto"/>
          <w:sz w:val="24"/>
          <w:highlight w:val="none"/>
          <w:lang w:val="en-US" w:eastAsia="zh-CN"/>
        </w:rPr>
        <w:t>07</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09</w:t>
      </w:r>
      <w:r>
        <w:rPr>
          <w:rFonts w:hint="eastAsia" w:asciiTheme="minorEastAsia" w:hAnsiTheme="minorEastAsia" w:eastAsiaTheme="minorEastAsia" w:cstheme="minorEastAsia"/>
          <w:bCs/>
          <w:color w:val="auto"/>
          <w:sz w:val="24"/>
          <w:highlight w:val="none"/>
        </w:rPr>
        <w:t>日，每天上午00:00至12:00 ，下午12:00至23:59（北京时间，线上获取法定节假日均可，线下获取文件法定节假日除外）</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地点（网址）：</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线上获取</w:t>
      </w:r>
    </w:p>
    <w:p>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方式：</w:t>
      </w:r>
      <w:r>
        <w:rPr>
          <w:rFonts w:hint="eastAsia" w:ascii="宋体" w:hAnsi="宋体" w:cs="宋体"/>
          <w:bCs/>
          <w:color w:val="auto"/>
          <w:sz w:val="24"/>
          <w:highlight w:val="none"/>
        </w:rPr>
        <w:t>供应商登录</w:t>
      </w:r>
      <w:r>
        <w:rPr>
          <w:rFonts w:hint="eastAsia" w:ascii="宋体" w:hAnsi="宋体" w:cs="宋体"/>
          <w:color w:val="auto"/>
          <w:sz w:val="24"/>
          <w:highlight w:val="none"/>
        </w:rPr>
        <w:t>乐采云平台</w:t>
      </w:r>
      <w:r>
        <w:rPr>
          <w:rFonts w:hint="eastAsia" w:ascii="宋体" w:hAnsi="宋体" w:cs="宋体"/>
          <w:bCs/>
          <w:color w:val="auto"/>
          <w:sz w:val="24"/>
          <w:highlight w:val="none"/>
        </w:rPr>
        <w:t>https://hzjyg.lecaiyun.com/在线申请获取采购文件（进入“项目采购”应用，在获取采购文件菜单中选择项目，申请获取采购文件）</w:t>
      </w:r>
      <w:r>
        <w:rPr>
          <w:rFonts w:hint="eastAsia" w:asciiTheme="minorEastAsia" w:hAnsiTheme="minorEastAsia" w:eastAsiaTheme="minorEastAsia" w:cstheme="minorEastAsia"/>
          <w:bCs/>
          <w:color w:val="auto"/>
          <w:sz w:val="24"/>
          <w:highlight w:val="none"/>
        </w:rPr>
        <w:t xml:space="preserve"> </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提交投标文件截止时间：202</w:t>
      </w: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年</w:t>
      </w:r>
      <w:r>
        <w:rPr>
          <w:rFonts w:hint="eastAsia" w:asciiTheme="minorEastAsia" w:hAnsiTheme="minorEastAsia" w:eastAsiaTheme="minorEastAsia" w:cstheme="minorEastAsia"/>
          <w:bCs/>
          <w:color w:val="auto"/>
          <w:sz w:val="24"/>
          <w:highlight w:val="none"/>
          <w:lang w:val="en-US" w:eastAsia="zh-CN"/>
        </w:rPr>
        <w:t>07</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09</w:t>
      </w:r>
      <w:r>
        <w:rPr>
          <w:rFonts w:hint="eastAsia" w:asciiTheme="minorEastAsia" w:hAnsiTheme="minorEastAsia" w:eastAsiaTheme="minorEastAsia" w:cstheme="minorEastAsia"/>
          <w:bCs/>
          <w:color w:val="auto"/>
          <w:sz w:val="24"/>
          <w:highlight w:val="none"/>
        </w:rPr>
        <w:t>日</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00</w:t>
      </w:r>
      <w:r>
        <w:rPr>
          <w:rFonts w:hint="eastAsia" w:asciiTheme="minorEastAsia" w:hAnsiTheme="minorEastAsia" w:eastAsiaTheme="minorEastAsia" w:cstheme="minorEastAsia"/>
          <w:bCs/>
          <w:color w:val="auto"/>
          <w:sz w:val="24"/>
          <w:highlight w:val="none"/>
        </w:rPr>
        <w:t>（北京时间）</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投标地点（网址）：</w:t>
      </w:r>
      <w:r>
        <w:rPr>
          <w:rFonts w:hint="eastAsia" w:asciiTheme="minorEastAsia" w:hAnsiTheme="minorEastAsia" w:eastAsiaTheme="minorEastAsia" w:cstheme="minorEastAsia"/>
          <w:bCs/>
          <w:color w:val="auto"/>
          <w:sz w:val="24"/>
          <w:highlight w:val="none"/>
          <w:lang w:val="en-US" w:eastAsia="zh-CN"/>
        </w:rPr>
        <w:t>通过乐采云</w:t>
      </w:r>
      <w:r>
        <w:rPr>
          <w:rFonts w:hint="eastAsia" w:asciiTheme="minorEastAsia" w:hAnsiTheme="minorEastAsia" w:eastAsiaTheme="minorEastAsia" w:cstheme="minorEastAsia"/>
          <w:bCs/>
          <w:color w:val="auto"/>
          <w:sz w:val="24"/>
          <w:highlight w:val="none"/>
        </w:rPr>
        <w:t>平台（https://hzjyg.lecaiyun.com/）在线递交</w:t>
      </w:r>
    </w:p>
    <w:p>
      <w:pPr>
        <w:spacing w:line="360" w:lineRule="auto"/>
        <w:ind w:firstLine="480" w:firstLineChars="200"/>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开标时间：202</w:t>
      </w: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年</w:t>
      </w:r>
      <w:r>
        <w:rPr>
          <w:rFonts w:hint="eastAsia" w:asciiTheme="minorEastAsia" w:hAnsiTheme="minorEastAsia" w:eastAsiaTheme="minorEastAsia" w:cstheme="minorEastAsia"/>
          <w:bCs/>
          <w:color w:val="auto"/>
          <w:sz w:val="24"/>
          <w:highlight w:val="none"/>
          <w:lang w:val="en-US" w:eastAsia="zh-CN"/>
        </w:rPr>
        <w:t>07</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09</w:t>
      </w:r>
      <w:r>
        <w:rPr>
          <w:rFonts w:hint="eastAsia" w:asciiTheme="minorEastAsia" w:hAnsiTheme="minorEastAsia" w:eastAsiaTheme="minorEastAsia" w:cstheme="minorEastAsia"/>
          <w:bCs/>
          <w:color w:val="auto"/>
          <w:sz w:val="24"/>
          <w:highlight w:val="none"/>
        </w:rPr>
        <w:t>日</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00</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 xml:space="preserve">北京时间） </w:t>
      </w:r>
    </w:p>
    <w:p>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开标地点（网址）：</w:t>
      </w:r>
      <w:r>
        <w:rPr>
          <w:rFonts w:hint="eastAsia" w:asciiTheme="minorEastAsia" w:hAnsiTheme="minorEastAsia" w:eastAsiaTheme="minorEastAsia" w:cstheme="minorEastAsia"/>
          <w:bCs/>
          <w:color w:val="auto"/>
          <w:sz w:val="24"/>
          <w:highlight w:val="none"/>
          <w:lang w:val="en-US" w:eastAsia="zh-CN"/>
        </w:rPr>
        <w:t>乐采云</w:t>
      </w:r>
      <w:r>
        <w:rPr>
          <w:rFonts w:hint="eastAsia" w:asciiTheme="minorEastAsia" w:hAnsiTheme="minorEastAsia" w:eastAsiaTheme="minorEastAsia" w:cstheme="minorEastAsia"/>
          <w:bCs/>
          <w:color w:val="auto"/>
          <w:sz w:val="24"/>
          <w:highlight w:val="none"/>
        </w:rPr>
        <w:t>平台（https://hzjyg.lecaiyun.com/）（线下：杭州市环站东路97号云峰大厦1号楼</w:t>
      </w:r>
      <w:r>
        <w:rPr>
          <w:rFonts w:hint="eastAsia" w:asciiTheme="minorEastAsia" w:hAnsiTheme="minorEastAsia" w:eastAsiaTheme="minorEastAsia" w:cstheme="minorEastAsia"/>
          <w:bCs/>
          <w:color w:val="auto"/>
          <w:sz w:val="24"/>
          <w:highlight w:val="none"/>
          <w:lang w:val="en-US" w:eastAsia="zh-CN"/>
        </w:rPr>
        <w:t>16楼</w:t>
      </w:r>
      <w:r>
        <w:rPr>
          <w:rFonts w:hint="eastAsia" w:asciiTheme="minorEastAsia" w:hAnsiTheme="minorEastAsia" w:eastAsiaTheme="minorEastAsia" w:cstheme="minorEastAsia"/>
          <w:bCs/>
          <w:color w:val="auto"/>
          <w:sz w:val="24"/>
          <w:highlight w:val="none"/>
        </w:rPr>
        <w:t>）</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val="en-US" w:eastAsia="zh-CN"/>
        </w:rPr>
        <w:t>五</w:t>
      </w:r>
      <w:r>
        <w:rPr>
          <w:rFonts w:hint="eastAsia" w:asciiTheme="minorEastAsia" w:hAnsiTheme="minorEastAsia" w:eastAsiaTheme="minorEastAsia" w:cstheme="minorEastAsia"/>
          <w:b/>
          <w:color w:val="auto"/>
          <w:sz w:val="24"/>
          <w:highlight w:val="none"/>
        </w:rPr>
        <w:t xml:space="preserve">、公告期限 </w:t>
      </w:r>
    </w:p>
    <w:p>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六</w:t>
      </w:r>
      <w:r>
        <w:rPr>
          <w:rFonts w:hint="eastAsia" w:asciiTheme="minorEastAsia" w:hAnsiTheme="minorEastAsia" w:eastAsiaTheme="minorEastAsia" w:cstheme="minorEastAsia"/>
          <w:b/>
          <w:color w:val="auto"/>
          <w:sz w:val="24"/>
          <w:highlight w:val="none"/>
        </w:rPr>
        <w:t>、其他补充事宜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乐采云平台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宋体" w:hAnsi="宋体" w:cs="宋体"/>
          <w:color w:val="auto"/>
          <w:sz w:val="24"/>
          <w:highlight w:val="none"/>
        </w:rPr>
        <w:t>（3）招标文件公告期限与招标公告的公告期限一致。</w:t>
      </w:r>
    </w:p>
    <w:p>
      <w:pPr>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、对本次采购提出询问、质疑、投诉，请按以下方式联系</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1.采购人信息</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w:t>
      </w:r>
      <w:r>
        <w:rPr>
          <w:rFonts w:hint="eastAsia" w:ascii="宋体" w:hAnsi="宋体" w:cs="宋体"/>
          <w:color w:val="auto"/>
          <w:sz w:val="24"/>
          <w:highlight w:val="none"/>
          <w:lang w:eastAsia="zh-CN"/>
        </w:rPr>
        <w:t>浙江省杭州第十一中学</w:t>
      </w:r>
      <w:r>
        <w:rPr>
          <w:rFonts w:hint="eastAsia" w:ascii="宋体" w:hAnsi="宋体"/>
          <w:color w:val="auto"/>
          <w:sz w:val="24"/>
          <w:highlight w:val="none"/>
        </w:rPr>
        <w:t>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s="宋体"/>
          <w:color w:val="auto"/>
          <w:sz w:val="24"/>
          <w:highlight w:val="none"/>
          <w:lang w:eastAsia="zh-CN"/>
        </w:rPr>
        <w:t>杭州市拱墅区八丈井东路150号</w:t>
      </w:r>
      <w:r>
        <w:rPr>
          <w:rFonts w:hint="eastAsia" w:ascii="宋体" w:hAnsi="宋体"/>
          <w:color w:val="auto"/>
          <w:sz w:val="24"/>
          <w:highlight w:val="none"/>
        </w:rPr>
        <w:t>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项目联系人（询问）：</w:t>
      </w:r>
      <w:r>
        <w:rPr>
          <w:rFonts w:hint="eastAsia" w:ascii="宋体" w:hAnsi="宋体" w:cs="宋体"/>
          <w:color w:val="auto"/>
          <w:sz w:val="24"/>
          <w:highlight w:val="none"/>
          <w:lang w:val="en-US" w:eastAsia="zh-CN"/>
        </w:rPr>
        <w:t>翁</w:t>
      </w:r>
      <w:r>
        <w:rPr>
          <w:rFonts w:hint="eastAsia" w:ascii="宋体" w:hAnsi="宋体" w:cs="宋体"/>
          <w:color w:val="auto"/>
          <w:sz w:val="24"/>
          <w:highlight w:val="none"/>
        </w:rPr>
        <w:t>老师</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项目联系方式（询问）：</w:t>
      </w:r>
      <w:r>
        <w:rPr>
          <w:rFonts w:hint="eastAsia" w:ascii="宋体" w:hAnsi="宋体" w:cs="宋体"/>
          <w:color w:val="auto"/>
          <w:sz w:val="24"/>
          <w:highlight w:val="none"/>
        </w:rPr>
        <w:t>0571-88038395</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质疑联系人：</w:t>
      </w:r>
      <w:r>
        <w:rPr>
          <w:rFonts w:hint="eastAsia" w:ascii="宋体" w:hAnsi="宋体" w:cs="宋体"/>
          <w:color w:val="auto"/>
          <w:sz w:val="24"/>
          <w:highlight w:val="none"/>
          <w:lang w:val="en-US" w:eastAsia="zh-CN"/>
        </w:rPr>
        <w:t>李</w:t>
      </w:r>
      <w:r>
        <w:rPr>
          <w:rFonts w:hint="eastAsia" w:ascii="宋体" w:hAnsi="宋体" w:cs="宋体"/>
          <w:color w:val="auto"/>
          <w:sz w:val="24"/>
          <w:highlight w:val="none"/>
        </w:rPr>
        <w:t>老师</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质疑联系方式：</w:t>
      </w:r>
      <w:r>
        <w:rPr>
          <w:rFonts w:hint="eastAsia" w:ascii="宋体" w:hAnsi="宋体" w:cs="宋体"/>
          <w:color w:val="auto"/>
          <w:sz w:val="24"/>
          <w:highlight w:val="none"/>
        </w:rPr>
        <w:t>0571-88317524</w:t>
      </w:r>
      <w:r>
        <w:rPr>
          <w:rFonts w:hint="eastAsia" w:ascii="宋体" w:hAnsi="宋体"/>
          <w:color w:val="auto"/>
          <w:sz w:val="24"/>
          <w:highlight w:val="none"/>
        </w:rPr>
        <w:t>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2.采购代理机构信息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名称：杭州洲源招标代理有限公司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地址：杭州市环站东路99号云峰大厦1号楼16楼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r>
        <w:rPr>
          <w:rFonts w:hint="eastAsia" w:ascii="宋体" w:cs="宋体"/>
          <w:color w:val="auto"/>
          <w:sz w:val="24"/>
          <w:highlight w:val="none"/>
        </w:rPr>
        <w:t>0571-85292825</w:t>
      </w:r>
      <w:r>
        <w:rPr>
          <w:rFonts w:hint="eastAsia" w:ascii="宋体" w:hAnsi="宋体"/>
          <w:color w:val="auto"/>
          <w:sz w:val="24"/>
          <w:highlight w:val="none"/>
        </w:rPr>
        <w:t>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项目联系人（询问）：陈工、羊工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项目联系方式（询问）：</w:t>
      </w:r>
      <w:r>
        <w:rPr>
          <w:rFonts w:hint="eastAsia" w:ascii="宋体" w:cs="宋体"/>
          <w:color w:val="auto"/>
          <w:sz w:val="24"/>
          <w:highlight w:val="none"/>
        </w:rPr>
        <w:t>0571-85292825</w:t>
      </w:r>
      <w:r>
        <w:rPr>
          <w:rFonts w:hint="eastAsia" w:ascii="宋体" w:hAnsi="宋体"/>
          <w:color w:val="auto"/>
          <w:sz w:val="24"/>
          <w:highlight w:val="none"/>
        </w:rPr>
        <w:t>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质疑联系人：蓝工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质疑联系方式：</w:t>
      </w:r>
      <w:r>
        <w:rPr>
          <w:rFonts w:hint="eastAsia" w:ascii="宋体" w:cs="宋体"/>
          <w:color w:val="auto"/>
          <w:sz w:val="24"/>
          <w:highlight w:val="none"/>
        </w:rPr>
        <w:t>0571-85292825</w:t>
      </w:r>
      <w:r>
        <w:rPr>
          <w:rFonts w:hint="eastAsia" w:ascii="宋体" w:hAnsi="宋体"/>
          <w:color w:val="auto"/>
          <w:sz w:val="24"/>
          <w:highlight w:val="none"/>
        </w:rPr>
        <w:t>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w:t>
      </w:r>
    </w:p>
    <w:p>
      <w:pPr>
        <w:numPr>
          <w:ilvl w:val="0"/>
          <w:numId w:val="1"/>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采购监督管理部门</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名称：</w:t>
      </w:r>
      <w:r>
        <w:rPr>
          <w:rFonts w:hint="eastAsia" w:ascii="宋体" w:hAnsi="宋体" w:cs="宋体"/>
          <w:color w:val="auto"/>
          <w:sz w:val="24"/>
          <w:highlight w:val="none"/>
          <w:lang w:eastAsia="zh-CN"/>
        </w:rPr>
        <w:t>浙江省杭州第十一中学</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olor w:val="auto"/>
          <w:sz w:val="24"/>
          <w:highlight w:val="none"/>
        </w:rPr>
        <w:t>地址：</w:t>
      </w:r>
      <w:r>
        <w:rPr>
          <w:rFonts w:hint="eastAsia" w:ascii="宋体" w:hAnsi="宋体" w:cs="宋体"/>
          <w:color w:val="auto"/>
          <w:sz w:val="24"/>
          <w:highlight w:val="none"/>
          <w:lang w:eastAsia="zh-CN"/>
        </w:rPr>
        <w:t>杭州市拱墅区八丈井东路150号</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联系人：胡老师</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监督投诉电话：0571-87881286</w:t>
      </w:r>
    </w:p>
    <w:p>
      <w:pPr>
        <w:pStyle w:val="5"/>
        <w:rPr>
          <w:rFonts w:asciiTheme="minorEastAsia" w:hAnsiTheme="minorEastAsia" w:eastAsiaTheme="minorEastAsia" w:cstheme="minorEastAsia"/>
          <w:color w:val="auto"/>
          <w:highlight w:val="none"/>
        </w:rPr>
      </w:pPr>
    </w:p>
    <w:p>
      <w:pPr>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若对项目采购电子交易系统操作有疑问，可登录乐采云（https://hzjyg.lecaiyun.com/），点击右侧咨询小采，获取采小蜜智能服务管家帮助，或拨打乐采云服务热线95763获取热线服务帮助。</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pPr>
        <w:widowControl/>
        <w:jc w:val="left"/>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投标人须知</w:t>
      </w:r>
      <w:bookmarkEnd w:id="9"/>
    </w:p>
    <w:p>
      <w:pPr>
        <w:spacing w:line="360" w:lineRule="auto"/>
        <w:ind w:firstLine="3845" w:firstLineChars="1197"/>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06"/>
        <w:gridCol w:w="1546"/>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32" w:type="pct"/>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847"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3820"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847"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3820" w:type="pct"/>
            <w:vAlign w:val="center"/>
          </w:tcPr>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847"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3820" w:type="pct"/>
            <w:vAlign w:val="center"/>
          </w:tcPr>
          <w:p>
            <w:pPr>
              <w:pStyle w:val="15"/>
              <w:adjustRightInd w:val="0"/>
              <w:spacing w:before="0" w:beforeAutospacing="0" w:after="0" w:afterAutospacing="0" w:line="360" w:lineRule="auto"/>
              <w:ind w:right="143" w:rightChars="68"/>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标的：</w:t>
            </w:r>
            <w:r>
              <w:rPr>
                <w:rFonts w:hint="eastAsia" w:asciiTheme="minorEastAsia" w:hAnsiTheme="minorEastAsia" w:eastAsiaTheme="minorEastAsia" w:cstheme="minorEastAsia"/>
                <w:color w:val="auto"/>
                <w:highlight w:val="none"/>
                <w:u w:val="single"/>
                <w:lang w:eastAsia="zh-CN"/>
              </w:rPr>
              <w:t>智慧校园建设二期</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 xml:space="preserve"> （十二）软件和信息技术服务业 </w:t>
            </w:r>
            <w:r>
              <w:rPr>
                <w:rFonts w:hint="eastAsia" w:asciiTheme="minorEastAsia" w:hAnsiTheme="minorEastAsia" w:eastAsiaTheme="minorEastAsia" w:cstheme="minorEastAsia"/>
                <w:color w:val="auto"/>
                <w:highlight w:val="none"/>
              </w:rPr>
              <w:t>；</w:t>
            </w:r>
          </w:p>
          <w:p>
            <w:pPr>
              <w:pStyle w:val="2"/>
              <w:numPr>
                <w:ilvl w:val="0"/>
                <w:numId w:val="2"/>
              </w:numPr>
              <w:tabs>
                <w:tab w:val="clear" w:pos="432"/>
              </w:tabs>
              <w:ind w:left="422" w:leftChars="-5"/>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小企业划分标准（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
              <w:tabs>
                <w:tab w:val="clear" w:pos="432"/>
              </w:tabs>
              <w:ind w:left="0" w:firstLine="0"/>
              <w:rPr>
                <w:rFonts w:ascii="宋体" w:hAnsi="宋体" w:eastAsia="宋体" w:cs="宋体"/>
                <w:b w:val="0"/>
                <w:bCs w:val="0"/>
                <w:color w:val="auto"/>
                <w:kern w:val="0"/>
                <w:sz w:val="24"/>
                <w:szCs w:val="24"/>
                <w:highlight w:val="none"/>
                <w:shd w:val="clear" w:color="auto" w:fill="FFFFFF" w:themeFill="background1"/>
                <w:lang w:val="en-US"/>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kern w:val="0"/>
                <w:sz w:val="24"/>
                <w:szCs w:val="24"/>
                <w:highlight w:val="none"/>
                <w:shd w:val="clear" w:color="auto" w:fill="FFFFFF" w:themeFill="background1"/>
                <w:lang w:val="en-US"/>
              </w:rPr>
              <w:t>中小企业扶持力度：</w:t>
            </w:r>
          </w:p>
          <w:p>
            <w:pPr>
              <w:pStyle w:val="2"/>
              <w:tabs>
                <w:tab w:val="clear" w:pos="432"/>
              </w:tabs>
              <w:ind w:left="12" w:hanging="12" w:hangingChars="5"/>
              <w:rPr>
                <w:rFonts w:ascii="宋体" w:hAnsi="宋体" w:eastAsia="宋体" w:cs="宋体"/>
                <w:color w:val="auto"/>
                <w:kern w:val="0"/>
                <w:sz w:val="24"/>
                <w:szCs w:val="24"/>
                <w:highlight w:val="none"/>
                <w:shd w:val="clear" w:color="auto" w:fill="FFFFFF" w:themeFill="background1"/>
                <w:lang w:val="en-US"/>
              </w:rPr>
            </w:pPr>
            <w:r>
              <w:rPr>
                <w:rFonts w:hint="eastAsia" w:ascii="宋体" w:hAnsi="宋体" w:eastAsia="宋体" w:cs="宋体"/>
                <w:color w:val="auto"/>
                <w:kern w:val="0"/>
                <w:sz w:val="24"/>
                <w:szCs w:val="24"/>
                <w:highlight w:val="none"/>
                <w:shd w:val="clear" w:color="auto" w:fill="FFFFFF" w:themeFill="background1"/>
              </w:rPr>
              <w:sym w:font="Wingdings" w:char="00FE"/>
            </w:r>
            <w:r>
              <w:rPr>
                <w:rFonts w:hint="eastAsia" w:ascii="宋体" w:hAnsi="宋体" w:eastAsia="宋体" w:cs="宋体"/>
                <w:color w:val="auto"/>
                <w:kern w:val="0"/>
                <w:sz w:val="24"/>
                <w:szCs w:val="24"/>
                <w:highlight w:val="none"/>
                <w:shd w:val="clear" w:color="auto" w:fill="FFFFFF" w:themeFill="background1"/>
                <w:lang w:val="en-US"/>
              </w:rPr>
              <w:t>A本项目专门面向中小企业，不做价格扶持。</w:t>
            </w:r>
          </w:p>
          <w:p>
            <w:pPr>
              <w:pStyle w:val="2"/>
              <w:tabs>
                <w:tab w:val="clear" w:pos="432"/>
              </w:tabs>
              <w:ind w:left="12" w:hanging="12" w:hangingChars="5"/>
              <w:rPr>
                <w:rFonts w:ascii="宋体" w:hAnsi="宋体" w:eastAsia="宋体" w:cs="宋体"/>
                <w:b w:val="0"/>
                <w:bCs w:val="0"/>
                <w:color w:val="auto"/>
                <w:kern w:val="0"/>
                <w:sz w:val="24"/>
                <w:szCs w:val="24"/>
                <w:highlight w:val="none"/>
                <w:shd w:val="clear" w:color="auto" w:fill="FFFFFF" w:themeFill="background1"/>
                <w:lang w:val="en-US"/>
              </w:rPr>
            </w:pPr>
            <w:r>
              <w:rPr>
                <w:rFonts w:hint="eastAsia" w:ascii="宋体" w:hAnsi="宋体" w:eastAsia="宋体" w:cs="宋体"/>
                <w:b w:val="0"/>
                <w:bCs w:val="0"/>
                <w:color w:val="auto"/>
                <w:kern w:val="0"/>
                <w:sz w:val="24"/>
                <w:szCs w:val="24"/>
                <w:highlight w:val="none"/>
                <w:shd w:val="clear" w:color="auto" w:fill="FFFFFF" w:themeFill="background1"/>
              </w:rPr>
              <w:sym w:font="Wingdings" w:char="00A8"/>
            </w:r>
            <w:r>
              <w:rPr>
                <w:rFonts w:hint="eastAsia" w:ascii="宋体" w:hAnsi="宋体" w:eastAsia="宋体" w:cs="宋体"/>
                <w:b w:val="0"/>
                <w:bCs w:val="0"/>
                <w:color w:val="auto"/>
                <w:kern w:val="0"/>
                <w:sz w:val="24"/>
                <w:szCs w:val="24"/>
                <w:highlight w:val="none"/>
                <w:shd w:val="clear" w:color="auto" w:fill="FFFFFF" w:themeFill="background1"/>
                <w:lang w:val="en-US"/>
              </w:rPr>
              <w:t>B本项目预留</w:t>
            </w:r>
            <w:r>
              <w:rPr>
                <w:rFonts w:hint="eastAsia" w:ascii="宋体" w:hAnsi="宋体" w:eastAsia="宋体" w:cs="宋体"/>
                <w:b w:val="0"/>
                <w:bCs w:val="0"/>
                <w:color w:val="auto"/>
                <w:kern w:val="0"/>
                <w:sz w:val="24"/>
                <w:szCs w:val="24"/>
                <w:highlight w:val="none"/>
                <w:u w:val="single"/>
                <w:shd w:val="clear" w:color="auto" w:fill="FFFFFF" w:themeFill="background1"/>
                <w:lang w:val="en-US"/>
              </w:rPr>
              <w:t xml:space="preserve"> 40 </w:t>
            </w:r>
            <w:r>
              <w:rPr>
                <w:rFonts w:hint="eastAsia" w:ascii="宋体" w:hAnsi="宋体" w:eastAsia="宋体" w:cs="宋体"/>
                <w:b w:val="0"/>
                <w:bCs w:val="0"/>
                <w:color w:val="auto"/>
                <w:kern w:val="0"/>
                <w:sz w:val="24"/>
                <w:szCs w:val="24"/>
                <w:highlight w:val="none"/>
                <w:u w:val="single"/>
                <w:shd w:val="clear" w:color="auto" w:fill="FFFFFF" w:themeFill="background1"/>
              </w:rPr>
              <w:t>%</w:t>
            </w:r>
            <w:r>
              <w:rPr>
                <w:rFonts w:hint="eastAsia" w:ascii="宋体" w:hAnsi="宋体" w:eastAsia="宋体" w:cs="宋体"/>
                <w:b w:val="0"/>
                <w:bCs w:val="0"/>
                <w:color w:val="auto"/>
                <w:kern w:val="0"/>
                <w:sz w:val="24"/>
                <w:szCs w:val="24"/>
                <w:highlight w:val="none"/>
                <w:shd w:val="clear" w:color="auto" w:fill="FFFFFF" w:themeFill="background1"/>
                <w:lang w:val="en-US"/>
              </w:rPr>
              <w:t>份额给中小企业，其中</w:t>
            </w:r>
            <w:r>
              <w:rPr>
                <w:rFonts w:hint="eastAsia" w:ascii="宋体" w:hAnsi="宋体" w:eastAsia="宋体" w:cs="宋体"/>
                <w:b w:val="0"/>
                <w:bCs w:val="0"/>
                <w:color w:val="auto"/>
                <w:kern w:val="0"/>
                <w:sz w:val="24"/>
                <w:szCs w:val="24"/>
                <w:highlight w:val="none"/>
                <w:u w:val="single"/>
                <w:shd w:val="clear" w:color="auto" w:fill="FFFFFF" w:themeFill="background1"/>
                <w:lang w:val="en-US"/>
              </w:rPr>
              <w:t xml:space="preserve"> 70 </w:t>
            </w:r>
            <w:r>
              <w:rPr>
                <w:rFonts w:hint="eastAsia" w:ascii="宋体" w:hAnsi="宋体" w:eastAsia="宋体" w:cs="宋体"/>
                <w:b w:val="0"/>
                <w:bCs w:val="0"/>
                <w:color w:val="auto"/>
                <w:kern w:val="0"/>
                <w:sz w:val="24"/>
                <w:szCs w:val="24"/>
                <w:highlight w:val="none"/>
                <w:u w:val="single"/>
                <w:shd w:val="clear" w:color="auto" w:fill="FFFFFF" w:themeFill="background1"/>
              </w:rPr>
              <w:t>%</w:t>
            </w:r>
            <w:r>
              <w:rPr>
                <w:rFonts w:hint="eastAsia" w:ascii="宋体" w:hAnsi="宋体" w:eastAsia="宋体" w:cs="宋体"/>
                <w:b w:val="0"/>
                <w:bCs w:val="0"/>
                <w:color w:val="auto"/>
                <w:kern w:val="0"/>
                <w:sz w:val="24"/>
                <w:szCs w:val="24"/>
                <w:highlight w:val="none"/>
                <w:shd w:val="clear" w:color="auto" w:fill="FFFFFF" w:themeFill="background1"/>
                <w:lang w:val="en-US"/>
              </w:rPr>
              <w:t>给小微企业，不再做价格扶持；</w:t>
            </w:r>
          </w:p>
          <w:p>
            <w:pPr>
              <w:pStyle w:val="15"/>
              <w:adjustRightInd w:val="0"/>
              <w:spacing w:before="0" w:beforeAutospacing="0" w:after="0" w:afterAutospacing="0" w:line="360" w:lineRule="auto"/>
              <w:ind w:right="143" w:rightChars="68"/>
              <w:jc w:val="both"/>
              <w:rPr>
                <w:rFonts w:asciiTheme="minorEastAsia" w:hAnsiTheme="minorEastAsia" w:eastAsiaTheme="minorEastAsia" w:cstheme="minorEastAsia"/>
                <w:color w:val="auto"/>
                <w:highlight w:val="none"/>
              </w:rPr>
            </w:pPr>
            <w:r>
              <w:rPr>
                <w:rFonts w:hint="eastAsia" w:cs="宋体"/>
                <w:color w:val="auto"/>
                <w:szCs w:val="24"/>
                <w:highlight w:val="none"/>
                <w:shd w:val="clear" w:color="auto" w:fill="FFFFFF" w:themeFill="background1"/>
              </w:rPr>
              <w:sym w:font="Wingdings" w:char="00A8"/>
            </w:r>
            <w:r>
              <w:rPr>
                <w:rFonts w:hint="eastAsia" w:cs="宋体"/>
                <w:color w:val="auto"/>
                <w:szCs w:val="24"/>
                <w:highlight w:val="none"/>
                <w:shd w:val="clear" w:color="auto" w:fill="FFFFFF" w:themeFill="background1"/>
              </w:rPr>
              <w:t>C对于未预留份额专门面向中小企业的政府采购服务项目，以及预留份额政府采购服务项目中的非预留部分标项，对小型和微型企业的投标报价给予</w:t>
            </w:r>
            <w:r>
              <w:rPr>
                <w:rFonts w:hint="eastAsia" w:cs="宋体"/>
                <w:color w:val="auto"/>
                <w:szCs w:val="24"/>
                <w:highlight w:val="none"/>
                <w:u w:val="single"/>
                <w:shd w:val="clear" w:color="auto" w:fill="FFFFFF" w:themeFill="background1"/>
              </w:rPr>
              <w:t>10</w:t>
            </w:r>
            <w:r>
              <w:rPr>
                <w:rFonts w:hint="eastAsia" w:cs="宋体"/>
                <w:color w:val="auto"/>
                <w:szCs w:val="24"/>
                <w:highlight w:val="none"/>
                <w:shd w:val="clear" w:color="auto" w:fill="FFFFFF" w:themeFill="background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宋体"/>
                <w:color w:val="auto"/>
                <w:szCs w:val="24"/>
                <w:highlight w:val="none"/>
                <w:u w:val="single"/>
                <w:shd w:val="clear" w:color="auto" w:fill="FFFFFF" w:themeFill="background1"/>
              </w:rPr>
              <w:t>4%</w:t>
            </w:r>
            <w:r>
              <w:rPr>
                <w:rFonts w:hint="eastAsia" w:cs="宋体"/>
                <w:color w:val="auto"/>
                <w:szCs w:val="24"/>
                <w:highlight w:val="none"/>
                <w:shd w:val="clear" w:color="auto" w:fill="FFFFFF" w:themeFill="background1"/>
              </w:rPr>
              <w:t>的扣除，用扣除后的价格参加评审。组成联合体或者接受分包的小微企业与联合体内其他企业、分包企业之间存在直接控股、管理关系的，不享受价格扣除优惠政策。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847"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3820" w:type="pct"/>
            <w:vAlign w:val="center"/>
          </w:tcPr>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sym w:font="Wingdings" w:char="F0FE"/>
            </w:r>
            <w:r>
              <w:rPr>
                <w:rFonts w:hint="eastAsia" w:asciiTheme="minorEastAsia" w:hAnsiTheme="minorEastAsia" w:eastAsiaTheme="minorEastAsia" w:cstheme="minorEastAsia"/>
                <w:b/>
                <w:bCs/>
                <w:color w:val="auto"/>
                <w:kern w:val="0"/>
                <w:sz w:val="24"/>
                <w:highlight w:val="none"/>
              </w:rPr>
              <w:t>A本项目不允许采购进口产品；</w:t>
            </w:r>
          </w:p>
          <w:p>
            <w:pPr>
              <w:adjustRightInd w:val="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☐B可以就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采购进口产品。优先采购向我国企业转让技术、与我国企业签订消化吸收再创新方案的供应商的进口产品，详见</w:t>
            </w:r>
            <w:r>
              <w:rPr>
                <w:rFonts w:hint="eastAsia" w:asciiTheme="minorEastAsia" w:hAnsiTheme="minorEastAsia" w:eastAsiaTheme="minorEastAsia" w:cstheme="minorEastAsia"/>
                <w:color w:val="auto"/>
                <w:kern w:val="0"/>
                <w:sz w:val="24"/>
                <w:highlight w:val="none"/>
                <w:u w:val="single"/>
              </w:rPr>
              <w:t>评分标准</w:t>
            </w:r>
            <w:r>
              <w:rPr>
                <w:rFonts w:hint="eastAsia" w:asciiTheme="minorEastAsia" w:hAnsiTheme="minorEastAsia" w:eastAsiaTheme="minorEastAsia" w:cstheme="minorEastAsia"/>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847"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3820" w:type="pct"/>
            <w:vAlign w:val="center"/>
          </w:tcPr>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szCs w:val="24"/>
                <w:highlight w:val="none"/>
              </w:rPr>
              <w:sym w:font="Wingdings" w:char="00A8"/>
            </w:r>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同意将非主体、非关键性的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工作分包（需报备，经采购人同意）；</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szCs w:val="24"/>
                <w:highlight w:val="none"/>
              </w:rPr>
              <w:sym w:font="Wingdings" w:char="00FE"/>
            </w:r>
            <w:r>
              <w:rPr>
                <w:rFonts w:hint="eastAsia" w:asciiTheme="minorEastAsia" w:hAnsiTheme="minorEastAsia" w:eastAsiaTheme="minorEastAsia" w:cstheme="minorEastAsia"/>
                <w:b/>
                <w:bCs/>
                <w:color w:val="auto"/>
                <w:kern w:val="0"/>
                <w:sz w:val="24"/>
                <w:highlight w:val="none"/>
              </w:rPr>
              <w:t>B</w:t>
            </w:r>
            <w:r>
              <w:rPr>
                <w:rFonts w:hint="eastAsia" w:asciiTheme="minorEastAsia" w:hAnsiTheme="minorEastAsia" w:eastAsiaTheme="minorEastAsia" w:cstheme="minorEastAsia"/>
                <w:b/>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847"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3820" w:type="pct"/>
            <w:vAlign w:val="center"/>
          </w:tcPr>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不组织；</w:t>
            </w:r>
          </w:p>
          <w:p>
            <w:pPr>
              <w:adjustRightInd w:val="0"/>
              <w:snapToGrid w:val="0"/>
              <w:spacing w:line="360" w:lineRule="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847"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履约保证金</w:t>
            </w:r>
          </w:p>
        </w:tc>
        <w:tc>
          <w:tcPr>
            <w:tcW w:w="3820" w:type="pct"/>
            <w:vAlign w:val="center"/>
          </w:tcPr>
          <w:p>
            <w:pPr>
              <w:adjustRightInd w:val="0"/>
              <w:snapToGrid w:val="0"/>
              <w:spacing w:line="360" w:lineRule="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A本项目不设履约保证金；</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0"/>
                <w:sz w:val="24"/>
                <w:highlight w:val="none"/>
              </w:rPr>
              <w:sym w:font="Wingdings" w:char="00A8"/>
            </w:r>
            <w:r>
              <w:rPr>
                <w:rFonts w:hint="eastAsia" w:asciiTheme="minorEastAsia" w:hAnsiTheme="minorEastAsia" w:eastAsiaTheme="minorEastAsia" w:cstheme="minorEastAsia"/>
                <w:snapToGrid w:val="0"/>
                <w:color w:val="auto"/>
                <w:kern w:val="0"/>
                <w:sz w:val="24"/>
                <w:highlight w:val="none"/>
              </w:rPr>
              <w:t>B</w:t>
            </w:r>
            <w:r>
              <w:rPr>
                <w:rFonts w:hint="eastAsia" w:asciiTheme="minorEastAsia" w:hAnsiTheme="minorEastAsia" w:eastAsiaTheme="minorEastAsia" w:cstheme="minorEastAsia"/>
                <w:color w:val="auto"/>
                <w:kern w:val="0"/>
                <w:sz w:val="24"/>
                <w:highlight w:val="none"/>
              </w:rPr>
              <w:t>中标供应商在合同签订后7个工作日内，须向采购人提交合同金额最高</w:t>
            </w:r>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的履约保证金。履约保证金以金融机构、担保机构出具的保函等非现金形式缴纳。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847"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3820" w:type="pct"/>
            <w:vAlign w:val="center"/>
          </w:tcPr>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不要求提供；</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☐B要求提供（未提供样品或提供样品不满足采购需求实质性条件的供应商，投标无效）：</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w:t>
            </w:r>
          </w:p>
          <w:p>
            <w:pPr>
              <w:spacing w:line="360" w:lineRule="auto"/>
              <w:ind w:firstLine="240" w:firstLineChars="1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3126820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样品分未超过价格分的50%；</w:t>
            </w:r>
          </w:p>
          <w:p>
            <w:pPr>
              <w:spacing w:line="360" w:lineRule="auto"/>
              <w:ind w:firstLine="240" w:firstLineChars="100"/>
              <w:rPr>
                <w:rFonts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50093531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样品分超过价格分的50%，理由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spacing w:line="360" w:lineRule="auto"/>
              <w:ind w:firstLine="240" w:firstLine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snapToGrid w:val="0"/>
                <w:color w:val="auto"/>
                <w:kern w:val="28"/>
                <w:sz w:val="24"/>
                <w:highlight w:val="none"/>
              </w:rPr>
              <w:t>详见招标文件第四部分</w:t>
            </w:r>
            <w:r>
              <w:rPr>
                <w:rFonts w:hint="eastAsia" w:asciiTheme="minorEastAsia" w:hAnsiTheme="minorEastAsia" w:eastAsiaTheme="minorEastAsia" w:cstheme="minorEastAsia"/>
                <w:color w:val="auto"/>
                <w:sz w:val="24"/>
                <w:highlight w:val="none"/>
                <w:u w:val="single"/>
              </w:rPr>
              <w:t>评标办分法</w:t>
            </w:r>
            <w:r>
              <w:rPr>
                <w:rFonts w:hint="eastAsia" w:asciiTheme="minorEastAsia" w:hAnsiTheme="minorEastAsia" w:eastAsiaTheme="minorEastAsia" w:cstheme="minorEastAsia"/>
                <w:color w:val="auto"/>
                <w:kern w:val="0"/>
                <w:sz w:val="24"/>
                <w:highlight w:val="none"/>
              </w:rPr>
              <w:t xml:space="preserve">。 </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（4）是否需要随样品提交检测报告：☐否；☐是，检测机构的要求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adjustRightInd w:val="0"/>
              <w:snapToGrid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847" w:type="pct"/>
            <w:vAlign w:val="center"/>
          </w:tcPr>
          <w:p>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宋体" w:hAnsi="宋体" w:cs="仿宋_GB2312"/>
                <w:b/>
                <w:color w:val="auto"/>
                <w:sz w:val="24"/>
                <w:highlight w:val="none"/>
              </w:rPr>
              <w:t>方案讲解演示</w:t>
            </w:r>
          </w:p>
        </w:tc>
        <w:tc>
          <w:tcPr>
            <w:tcW w:w="3820" w:type="pct"/>
            <w:vAlign w:val="center"/>
          </w:tcPr>
          <w:p>
            <w:pPr>
              <w:spacing w:line="360" w:lineRule="auto"/>
              <w:ind w:right="143" w:rightChars="68" w:firstLine="82" w:firstLineChars="34"/>
              <w:jc w:val="left"/>
              <w:rPr>
                <w:rFonts w:ascii="宋体" w:hAnsi="宋体"/>
                <w:b/>
                <w:bCs w:val="0"/>
                <w:color w:val="auto"/>
                <w:sz w:val="24"/>
                <w:highlight w:val="none"/>
              </w:rPr>
            </w:pPr>
            <w:r>
              <w:rPr>
                <w:rFonts w:hint="eastAsia" w:ascii="Wingdings" w:hAnsi="Wingdings" w:eastAsia="MS Gothic" w:cs="宋体"/>
                <w:b/>
                <w:bCs w:val="0"/>
                <w:color w:val="auto"/>
                <w:kern w:val="0"/>
                <w:sz w:val="24"/>
                <w:highlight w:val="none"/>
              </w:rPr>
              <w:sym w:font="Wingdings" w:char="00FE"/>
            </w:r>
            <w:r>
              <w:rPr>
                <w:rFonts w:hint="eastAsia" w:ascii="宋体" w:hAnsi="宋体" w:cs="宋体"/>
                <w:b/>
                <w:bCs w:val="0"/>
                <w:color w:val="auto"/>
                <w:kern w:val="0"/>
                <w:sz w:val="24"/>
                <w:highlight w:val="none"/>
              </w:rPr>
              <w:t>A</w:t>
            </w:r>
            <w:r>
              <w:rPr>
                <w:rFonts w:hint="eastAsia" w:ascii="宋体" w:hAnsi="宋体"/>
                <w:b/>
                <w:bCs w:val="0"/>
                <w:color w:val="auto"/>
                <w:sz w:val="24"/>
                <w:highlight w:val="none"/>
              </w:rPr>
              <w:t>不组织；</w:t>
            </w:r>
          </w:p>
          <w:p>
            <w:pPr>
              <w:spacing w:line="360" w:lineRule="auto"/>
              <w:ind w:right="143" w:rightChars="68" w:firstLine="81" w:firstLineChars="34"/>
              <w:jc w:val="left"/>
              <w:rPr>
                <w:rFonts w:ascii="宋体" w:hAnsi="宋体"/>
                <w:b w:val="0"/>
                <w:bCs/>
                <w:color w:val="auto"/>
                <w:sz w:val="24"/>
                <w:highlight w:val="none"/>
              </w:rPr>
            </w:pPr>
            <w:r>
              <w:rPr>
                <w:rFonts w:hint="eastAsia" w:ascii="Wingdings" w:hAnsi="Wingdings" w:eastAsia="MS Gothic" w:cs="宋体"/>
                <w:b w:val="0"/>
                <w:bCs/>
                <w:color w:val="auto"/>
                <w:kern w:val="0"/>
                <w:sz w:val="24"/>
                <w:highlight w:val="none"/>
              </w:rPr>
              <w:sym w:font="Wingdings" w:char="00A8"/>
            </w:r>
            <w:r>
              <w:rPr>
                <w:rFonts w:ascii="宋体" w:hAnsi="宋体"/>
                <w:b w:val="0"/>
                <w:bCs/>
                <w:color w:val="auto"/>
                <w:sz w:val="24"/>
                <w:highlight w:val="none"/>
              </w:rPr>
              <w:t>B组织。</w:t>
            </w:r>
          </w:p>
          <w:p>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1）在评标时安排每个</w:t>
            </w:r>
            <w:r>
              <w:rPr>
                <w:rFonts w:hint="eastAsia" w:ascii="宋体" w:hAnsi="宋体"/>
                <w:bCs/>
                <w:color w:val="auto"/>
                <w:sz w:val="24"/>
                <w:highlight w:val="none"/>
              </w:rPr>
              <w:t>投标人</w:t>
            </w:r>
            <w:r>
              <w:rPr>
                <w:rFonts w:ascii="宋体" w:hAnsi="宋体"/>
                <w:bCs/>
                <w:color w:val="auto"/>
                <w:sz w:val="24"/>
                <w:highlight w:val="none"/>
              </w:rPr>
              <w:t>进行方案讲解演示。每个</w:t>
            </w:r>
            <w:r>
              <w:rPr>
                <w:rFonts w:hint="eastAsia" w:ascii="宋体" w:hAnsi="宋体"/>
                <w:bCs/>
                <w:color w:val="auto"/>
                <w:sz w:val="24"/>
                <w:highlight w:val="none"/>
              </w:rPr>
              <w:t>投标人</w:t>
            </w:r>
            <w:r>
              <w:rPr>
                <w:rFonts w:ascii="宋体" w:hAnsi="宋体"/>
                <w:bCs/>
                <w:color w:val="auto"/>
                <w:sz w:val="24"/>
                <w:highlight w:val="none"/>
              </w:rPr>
              <w:t>时间不超过</w:t>
            </w:r>
            <w:r>
              <w:rPr>
                <w:rFonts w:hint="eastAsia" w:ascii="宋体" w:hAnsi="宋体"/>
                <w:bCs/>
                <w:color w:val="auto"/>
                <w:sz w:val="24"/>
                <w:highlight w:val="none"/>
              </w:rPr>
              <w:t>10</w:t>
            </w:r>
            <w:r>
              <w:rPr>
                <w:rFonts w:ascii="宋体" w:hAnsi="宋体"/>
                <w:bCs/>
                <w:color w:val="auto"/>
                <w:sz w:val="24"/>
                <w:highlight w:val="none"/>
              </w:rPr>
              <w:t>分钟，讲解次序以投标文件解密时间先后次序为准，讲解演示人员不超过3人。讲解演示结束后按要求解答评标委员会提问。</w:t>
            </w:r>
          </w:p>
          <w:p>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2）方案讲解演示可选择</w:t>
            </w:r>
            <w:r>
              <w:rPr>
                <w:rFonts w:hint="eastAsia" w:ascii="宋体" w:hAnsi="宋体"/>
                <w:bCs/>
                <w:color w:val="auto"/>
                <w:sz w:val="24"/>
                <w:highlight w:val="none"/>
              </w:rPr>
              <w:t>以下其中一种方式：</w:t>
            </w:r>
          </w:p>
          <w:p>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方式一：录屏讲解演示：</w:t>
            </w:r>
            <w:r>
              <w:rPr>
                <w:rFonts w:ascii="宋体" w:hAnsi="宋体"/>
                <w:bCs/>
                <w:color w:val="auto"/>
                <w:sz w:val="24"/>
                <w:highlight w:val="none"/>
              </w:rPr>
              <w:t>若</w:t>
            </w:r>
            <w:r>
              <w:rPr>
                <w:rFonts w:hint="eastAsia" w:ascii="宋体" w:hAnsi="宋体"/>
                <w:bCs/>
                <w:color w:val="auto"/>
                <w:sz w:val="24"/>
                <w:highlight w:val="none"/>
              </w:rPr>
              <w:t>投标人</w:t>
            </w:r>
            <w:r>
              <w:rPr>
                <w:rFonts w:ascii="宋体" w:hAnsi="宋体"/>
                <w:bCs/>
                <w:color w:val="auto"/>
                <w:sz w:val="24"/>
                <w:highlight w:val="none"/>
              </w:rPr>
              <w:t>不到现场，提供演示录屏（视频格式为非常规格式提供</w:t>
            </w:r>
            <w:r>
              <w:rPr>
                <w:rFonts w:hint="eastAsia" w:ascii="宋体" w:hAnsi="宋体"/>
                <w:bCs/>
                <w:color w:val="auto"/>
                <w:sz w:val="24"/>
                <w:highlight w:val="none"/>
              </w:rPr>
              <w:t>视频</w:t>
            </w:r>
            <w:r>
              <w:rPr>
                <w:rFonts w:ascii="宋体" w:hAnsi="宋体"/>
                <w:bCs/>
                <w:color w:val="auto"/>
                <w:sz w:val="24"/>
                <w:highlight w:val="none"/>
              </w:rPr>
              <w:t>安装软件，以免无法播放），可与备份文件一起邮寄</w:t>
            </w:r>
            <w:r>
              <w:rPr>
                <w:rFonts w:hint="eastAsia" w:ascii="宋体" w:hAnsi="宋体"/>
                <w:bCs/>
                <w:color w:val="auto"/>
                <w:sz w:val="24"/>
                <w:highlight w:val="none"/>
              </w:rPr>
              <w:t>，需明确备注</w:t>
            </w:r>
            <w:r>
              <w:rPr>
                <w:rFonts w:ascii="宋体" w:hAnsi="宋体"/>
                <w:bCs/>
                <w:color w:val="auto"/>
                <w:sz w:val="24"/>
                <w:highlight w:val="none"/>
              </w:rPr>
              <w:t>。</w:t>
            </w:r>
          </w:p>
          <w:p>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方式二：现场讲解演示：地点为</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，讲解演示所用电脑等设备由投标人自备。现场讲解演示人员进场时提供讲解人员名单（加盖公章）及身份证明，否则不得讲解演示。</w:t>
            </w:r>
          </w:p>
          <w:p>
            <w:pPr>
              <w:snapToGrid w:val="0"/>
              <w:spacing w:line="360" w:lineRule="auto"/>
              <w:ind w:right="143" w:rightChars="68" w:firstLine="81" w:firstLineChars="34"/>
              <w:jc w:val="left"/>
              <w:rPr>
                <w:rFonts w:asciiTheme="minorEastAsia" w:hAnsiTheme="minorEastAsia" w:eastAsiaTheme="minorEastAsia" w:cstheme="minorEastAsia"/>
                <w:b/>
                <w:color w:val="auto"/>
                <w:kern w:val="0"/>
                <w:sz w:val="24"/>
                <w:highlight w:val="none"/>
                <w:lang w:val="zh-CN"/>
              </w:rPr>
            </w:pPr>
            <w:r>
              <w:rPr>
                <w:rFonts w:hint="eastAsia" w:ascii="宋体" w:hAnsi="宋体"/>
                <w:bCs/>
                <w:color w:val="auto"/>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847"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3820" w:type="pct"/>
            <w:vAlign w:val="center"/>
          </w:tcPr>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p>
            <w:pPr>
              <w:adjustRightInd w:val="0"/>
              <w:snapToGrid w:val="0"/>
              <w:spacing w:line="360" w:lineRule="auto"/>
              <w:rPr>
                <w:rFonts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847" w:type="pct"/>
            <w:vAlign w:val="center"/>
          </w:tcPr>
          <w:p>
            <w:pPr>
              <w:snapToGrid w:val="0"/>
              <w:spacing w:line="360" w:lineRule="auto"/>
              <w:jc w:val="left"/>
              <w:rPr>
                <w:rFonts w:asciiTheme="minorEastAsia" w:hAnsiTheme="minorEastAsia" w:eastAsiaTheme="minorEastAsia" w:cstheme="minorEastAsia"/>
                <w:b/>
                <w:color w:val="auto"/>
                <w:sz w:val="24"/>
                <w:highlight w:val="none"/>
              </w:rPr>
            </w:pPr>
            <w:r>
              <w:rPr>
                <w:rFonts w:hint="eastAsia" w:ascii="宋体" w:hAnsi="宋体" w:cs="宋体"/>
                <w:b/>
                <w:color w:val="auto"/>
                <w:sz w:val="24"/>
                <w:highlight w:val="none"/>
              </w:rPr>
              <w:t>节能产品、环境标志产品</w:t>
            </w:r>
          </w:p>
        </w:tc>
        <w:tc>
          <w:tcPr>
            <w:tcW w:w="3820" w:type="pct"/>
            <w:vAlign w:val="center"/>
          </w:tcPr>
          <w:p>
            <w:pPr>
              <w:snapToGrid w:val="0"/>
              <w:spacing w:line="360" w:lineRule="auto"/>
              <w:ind w:firstLine="480" w:firstLineChars="200"/>
              <w:jc w:val="left"/>
              <w:rPr>
                <w:rFonts w:asciiTheme="minorEastAsia" w:hAnsiTheme="minorEastAsia" w:eastAsiaTheme="minorEastAsia" w:cstheme="minorEastAsia"/>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847" w:type="pct"/>
            <w:vAlign w:val="center"/>
          </w:tcPr>
          <w:p>
            <w:pPr>
              <w:snapToGrid w:val="0"/>
              <w:spacing w:line="360" w:lineRule="auto"/>
              <w:jc w:val="left"/>
              <w:rPr>
                <w:rFonts w:asciiTheme="minorEastAsia" w:hAnsiTheme="minorEastAsia" w:eastAsiaTheme="minorEastAsia" w:cstheme="minorEastAsia"/>
                <w:b/>
                <w:color w:val="auto"/>
                <w:sz w:val="24"/>
                <w:highlight w:val="none"/>
              </w:rPr>
            </w:pPr>
            <w:r>
              <w:rPr>
                <w:rFonts w:hint="eastAsia" w:ascii="宋体" w:hAnsi="宋体" w:cs="宋体"/>
                <w:b/>
                <w:color w:val="auto"/>
                <w:sz w:val="24"/>
                <w:highlight w:val="none"/>
              </w:rPr>
              <w:t>报价要求</w:t>
            </w:r>
          </w:p>
        </w:tc>
        <w:tc>
          <w:tcPr>
            <w:tcW w:w="3820" w:type="pct"/>
            <w:vAlign w:val="center"/>
          </w:tcPr>
          <w:p>
            <w:pPr>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有关本项目实施所需的所有费用（含税费）均计入报价。投标文件</w:t>
            </w:r>
            <w:r>
              <w:rPr>
                <w:rFonts w:hint="eastAsia" w:ascii="宋体" w:hAnsi="宋体" w:cs="宋体"/>
                <w:bCs/>
                <w:color w:val="auto"/>
                <w:sz w:val="24"/>
                <w:highlight w:val="none"/>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投标报价出现下列情形的，投标无效：</w:t>
            </w:r>
          </w:p>
          <w:p>
            <w:pPr>
              <w:snapToGrid w:val="0"/>
              <w:spacing w:line="360" w:lineRule="auto"/>
              <w:ind w:firstLine="240" w:firstLineChars="1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投标文件出现不是唯一的、有选择性投标报价的；</w:t>
            </w:r>
          </w:p>
          <w:p>
            <w:pPr>
              <w:snapToGrid w:val="0"/>
              <w:spacing w:line="360" w:lineRule="auto"/>
              <w:ind w:firstLine="240" w:firstLineChars="1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投标报价超过招标文件中规定的预算金额或者最高限价的；</w:t>
            </w:r>
          </w:p>
          <w:p>
            <w:pPr>
              <w:spacing w:line="360" w:lineRule="auto"/>
              <w:ind w:firstLine="240" w:firstLineChars="100"/>
              <w:jc w:val="left"/>
              <w:rPr>
                <w:rFonts w:ascii="宋体" w:hAnsi="宋体" w:cs="宋体"/>
                <w:bCs/>
                <w:color w:val="auto"/>
                <w:sz w:val="24"/>
                <w:highlight w:val="none"/>
              </w:rPr>
            </w:pPr>
            <w:r>
              <w:rPr>
                <w:rFonts w:hint="eastAsia" w:ascii="宋体" w:hAnsi="宋体" w:cs="宋体"/>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sz w:val="24"/>
                <w:highlight w:val="none"/>
              </w:rPr>
              <w:t>；</w:t>
            </w:r>
          </w:p>
          <w:p>
            <w:pPr>
              <w:spacing w:line="360" w:lineRule="auto"/>
              <w:ind w:firstLine="240" w:firstLineChars="100"/>
              <w:jc w:val="left"/>
              <w:rPr>
                <w:rFonts w:asciiTheme="minorEastAsia" w:hAnsiTheme="minorEastAsia" w:eastAsiaTheme="minorEastAsia" w:cstheme="minorEastAsia"/>
                <w:color w:val="auto"/>
                <w:sz w:val="24"/>
                <w:highlight w:val="none"/>
              </w:rPr>
            </w:pPr>
            <w:r>
              <w:rPr>
                <w:rFonts w:hint="eastAsia" w:ascii="宋体" w:hAnsi="宋体" w:cs="宋体"/>
                <w:bCs/>
                <w:color w:val="auto"/>
                <w:kern w:val="0"/>
                <w:sz w:val="24"/>
                <w:highlight w:val="none"/>
              </w:rPr>
              <w:t>投标人对根据修正原则修正后的报价不确认的</w:t>
            </w: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w:t>
            </w:r>
          </w:p>
        </w:tc>
        <w:tc>
          <w:tcPr>
            <w:tcW w:w="847"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3820" w:type="pct"/>
            <w:vAlign w:val="center"/>
          </w:tcPr>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供应商中标后也可在“乐采云”平台申请政采贷：操作路径：登录杭州市教育局非依法招标（小额）项目平台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w:t>
            </w:r>
          </w:p>
        </w:tc>
        <w:tc>
          <w:tcPr>
            <w:tcW w:w="847"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3820" w:type="pct"/>
            <w:vAlign w:val="center"/>
          </w:tcPr>
          <w:p>
            <w:pPr>
              <w:pStyle w:val="10"/>
              <w:adjustRightInd w:val="0"/>
              <w:snapToGrid w:val="0"/>
              <w:spacing w:line="360" w:lineRule="auto"/>
              <w:rPr>
                <w:rFonts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szCs w:val="24"/>
                <w:highlight w:val="none"/>
                <w:u w:val="single"/>
              </w:rPr>
              <w:t>杭州市环站东路97号云峰大厦1号楼</w:t>
            </w:r>
            <w:r>
              <w:rPr>
                <w:rFonts w:hint="eastAsia" w:asciiTheme="minorEastAsia" w:hAnsiTheme="minorEastAsia" w:eastAsiaTheme="minorEastAsia" w:cstheme="minorEastAsia"/>
                <w:color w:val="auto"/>
                <w:sz w:val="24"/>
                <w:szCs w:val="24"/>
                <w:highlight w:val="none"/>
                <w:u w:val="single"/>
                <w:lang w:val="en-US" w:eastAsia="zh-CN"/>
              </w:rPr>
              <w:t>16</w:t>
            </w:r>
            <w:r>
              <w:rPr>
                <w:rFonts w:hint="eastAsia" w:asciiTheme="minorEastAsia" w:hAnsiTheme="minorEastAsia" w:eastAsiaTheme="minorEastAsia" w:cstheme="minorEastAsia"/>
                <w:color w:val="auto"/>
                <w:sz w:val="24"/>
                <w:szCs w:val="24"/>
                <w:highlight w:val="none"/>
                <w:u w:val="single"/>
              </w:rPr>
              <w:t>楼（接受邮寄，需在投标截止前寄达签收）</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szCs w:val="24"/>
                <w:highlight w:val="none"/>
                <w:u w:val="single"/>
              </w:rPr>
              <w:t>成晓松 18221599746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Merge w:val="restar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14</w:t>
            </w:r>
          </w:p>
        </w:tc>
        <w:tc>
          <w:tcPr>
            <w:tcW w:w="847" w:type="pct"/>
            <w:vMerge w:val="restar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3820" w:type="pct"/>
            <w:vAlign w:val="center"/>
          </w:tcPr>
          <w:p>
            <w:pPr>
              <w:adjustRightInd w:val="0"/>
              <w:snapToGrid w:val="0"/>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Merge w:val="continue"/>
          </w:tcPr>
          <w:p>
            <w:pPr>
              <w:adjustRightInd w:val="0"/>
              <w:snapToGrid w:val="0"/>
              <w:spacing w:line="360" w:lineRule="auto"/>
              <w:jc w:val="center"/>
              <w:rPr>
                <w:rFonts w:asciiTheme="minorEastAsia" w:hAnsiTheme="minorEastAsia" w:eastAsiaTheme="minorEastAsia" w:cstheme="minorEastAsia"/>
                <w:b/>
                <w:color w:val="auto"/>
                <w:sz w:val="24"/>
                <w:highlight w:val="none"/>
              </w:rPr>
            </w:pPr>
          </w:p>
        </w:tc>
        <w:tc>
          <w:tcPr>
            <w:tcW w:w="847" w:type="pct"/>
            <w:vMerge w:val="continue"/>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p>
        </w:tc>
        <w:tc>
          <w:tcPr>
            <w:tcW w:w="3820" w:type="pct"/>
            <w:vAlign w:val="center"/>
          </w:tcPr>
          <w:p>
            <w:pPr>
              <w:spacing w:line="360" w:lineRule="auto"/>
              <w:rPr>
                <w:rFonts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6373823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pPr>
              <w:adjustRightInd w:val="0"/>
              <w:snapToGrid w:val="0"/>
              <w:spacing w:line="360" w:lineRule="auto"/>
              <w:rPr>
                <w:rFonts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126958499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Merge w:val="continue"/>
          </w:tcPr>
          <w:p>
            <w:pPr>
              <w:adjustRightInd w:val="0"/>
              <w:snapToGrid w:val="0"/>
              <w:spacing w:line="360" w:lineRule="auto"/>
              <w:jc w:val="center"/>
              <w:rPr>
                <w:rFonts w:asciiTheme="minorEastAsia" w:hAnsiTheme="minorEastAsia" w:eastAsiaTheme="minorEastAsia" w:cstheme="minorEastAsia"/>
                <w:b/>
                <w:color w:val="auto"/>
                <w:sz w:val="24"/>
                <w:highlight w:val="none"/>
              </w:rPr>
            </w:pPr>
          </w:p>
        </w:tc>
        <w:tc>
          <w:tcPr>
            <w:tcW w:w="847" w:type="pct"/>
            <w:vMerge w:val="continue"/>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p>
        </w:tc>
        <w:tc>
          <w:tcPr>
            <w:tcW w:w="3820" w:type="pct"/>
            <w:vAlign w:val="center"/>
          </w:tcPr>
          <w:p>
            <w:pP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lang w:val="en"/>
              </w:rPr>
              <w:t>本项目评审报告</w:t>
            </w:r>
            <w:r>
              <w:rPr>
                <w:rFonts w:hint="eastAsia" w:asciiTheme="minorEastAsia" w:hAnsiTheme="minorEastAsia" w:eastAsiaTheme="minorEastAsia" w:cstheme="minorEastAsia"/>
                <w:b/>
                <w:bCs/>
                <w:color w:val="auto"/>
                <w:kern w:val="0"/>
                <w:sz w:val="24"/>
                <w:szCs w:val="24"/>
                <w:highlight w:val="none"/>
                <w:lang w:val="en"/>
              </w:rPr>
              <w:t>推荐的中标候选人数量：</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u w:val="single"/>
                <w:lang w:val="en-US" w:eastAsia="zh-CN"/>
              </w:rPr>
              <w:t>3</w:t>
            </w:r>
            <w:r>
              <w:rPr>
                <w:rFonts w:hint="eastAsia" w:asciiTheme="minorEastAsia" w:hAnsiTheme="minorEastAsia" w:eastAsiaTheme="minorEastAsia" w:cstheme="minorEastAsia"/>
                <w:b/>
                <w:bCs/>
                <w:color w:val="auto"/>
                <w:sz w:val="24"/>
                <w:szCs w:val="24"/>
                <w:highlight w:val="none"/>
                <w:u w:val="single"/>
              </w:rPr>
              <w:t>家</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kern w:val="0"/>
                <w:sz w:val="24"/>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Merge w:val="continue"/>
          </w:tcPr>
          <w:p>
            <w:pPr>
              <w:adjustRightInd w:val="0"/>
              <w:snapToGrid w:val="0"/>
              <w:spacing w:line="360" w:lineRule="auto"/>
              <w:jc w:val="center"/>
              <w:rPr>
                <w:rFonts w:asciiTheme="minorEastAsia" w:hAnsiTheme="minorEastAsia" w:eastAsiaTheme="minorEastAsia" w:cstheme="minorEastAsia"/>
                <w:b/>
                <w:color w:val="auto"/>
                <w:sz w:val="24"/>
                <w:highlight w:val="none"/>
              </w:rPr>
            </w:pPr>
          </w:p>
        </w:tc>
        <w:tc>
          <w:tcPr>
            <w:tcW w:w="847" w:type="pct"/>
            <w:vMerge w:val="continue"/>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p>
        </w:tc>
        <w:tc>
          <w:tcPr>
            <w:tcW w:w="3820" w:type="pct"/>
            <w:vAlign w:val="center"/>
          </w:tcPr>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sz w:val="24"/>
                <w:highlight w:val="none"/>
              </w:rPr>
              <w:t>（1）中标通知书发出之日起30日（鼓励有条件的缩短至10个工作日）内，中标供应商持中标通知书与采购人签订合同。</w:t>
            </w:r>
          </w:p>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highlight w:val="none"/>
              </w:rPr>
              <w:t>（2）</w:t>
            </w:r>
            <w:r>
              <w:rPr>
                <w:rFonts w:hint="eastAsia" w:asciiTheme="minorEastAsia" w:hAnsiTheme="minorEastAsia" w:eastAsiaTheme="minorEastAsia" w:cstheme="minorEastAsia"/>
                <w:color w:val="auto"/>
                <w:sz w:val="24"/>
                <w:highlight w:val="none"/>
              </w:rPr>
              <w:t>中标供应商在收到中标通知后7个工作日内提交纸质版胶装投标文件（内容同电子投标文件）一正两副或系统解密版三份，用于项目资料存档。（邮寄地址：杭州市环站东路97号云峰大厦1号楼</w:t>
            </w:r>
            <w:r>
              <w:rPr>
                <w:rFonts w:hint="eastAsia" w:asciiTheme="minorEastAsia" w:hAnsiTheme="minorEastAsia" w:eastAsiaTheme="minorEastAsia" w:cstheme="minorEastAsia"/>
                <w:color w:val="auto"/>
                <w:sz w:val="24"/>
                <w:highlight w:val="none"/>
                <w:lang w:val="en-US" w:eastAsia="zh-CN"/>
              </w:rPr>
              <w:t>16</w:t>
            </w:r>
            <w:r>
              <w:rPr>
                <w:rFonts w:hint="eastAsia" w:asciiTheme="minorEastAsia" w:hAnsiTheme="minorEastAsia" w:eastAsiaTheme="minorEastAsia" w:cstheme="minorEastAsia"/>
                <w:color w:val="auto"/>
                <w:sz w:val="24"/>
                <w:highlight w:val="none"/>
              </w:rPr>
              <w:t>楼 成晓松 18221599746收）</w:t>
            </w:r>
          </w:p>
          <w:p>
            <w:pPr>
              <w:snapToGrid w:val="0"/>
              <w:spacing w:line="360" w:lineRule="auto"/>
              <w:ind w:right="143" w:rightChars="68" w:firstLine="81" w:firstLineChars="34"/>
              <w:jc w:val="left"/>
              <w:rPr>
                <w:rFonts w:asciiTheme="minorEastAsia" w:hAnsiTheme="minorEastAsia" w:eastAsiaTheme="minorEastAsia" w:cstheme="minorEastAsia"/>
                <w:bCs/>
                <w:color w:val="auto"/>
                <w:sz w:val="24"/>
                <w:highlight w:val="none"/>
                <w:shd w:val="clear" w:color="auto" w:fill="FFFFFF" w:themeFill="background1"/>
              </w:rPr>
            </w:pPr>
            <w:r>
              <w:rPr>
                <w:rFonts w:hint="eastAsia" w:asciiTheme="minorEastAsia" w:hAnsiTheme="minorEastAsia" w:eastAsiaTheme="minorEastAsia" w:cstheme="minorEastAsia"/>
                <w:bCs/>
                <w:color w:val="auto"/>
                <w:kern w:val="28"/>
                <w:sz w:val="24"/>
                <w:highlight w:val="none"/>
                <w:shd w:val="clear" w:color="auto" w:fill="FFFFFF" w:themeFill="background1"/>
              </w:rPr>
              <w:t>（3）</w:t>
            </w:r>
            <w:r>
              <w:rPr>
                <w:rFonts w:hint="eastAsia" w:asciiTheme="minorEastAsia" w:hAnsiTheme="minorEastAsia" w:eastAsiaTheme="minorEastAsia" w:cstheme="minorEastAsia"/>
                <w:bCs/>
                <w:color w:val="auto"/>
                <w:sz w:val="24"/>
                <w:highlight w:val="none"/>
                <w:shd w:val="clear" w:color="auto" w:fill="FFFFFF" w:themeFill="background1"/>
              </w:rPr>
              <w:t>本项目招标代理服务费收费标准为：</w:t>
            </w:r>
            <w:r>
              <w:rPr>
                <w:rFonts w:hint="eastAsia" w:asciiTheme="minorEastAsia" w:hAnsiTheme="minorEastAsia" w:eastAsiaTheme="minorEastAsia" w:cstheme="minorEastAsia"/>
                <w:color w:val="auto"/>
                <w:sz w:val="24"/>
                <w:highlight w:val="none"/>
                <w:shd w:val="clear" w:color="auto" w:fill="FFFFFF" w:themeFill="background1"/>
              </w:rPr>
              <w:t>以中标金额为计费基准，以原国家计委《招标代理服务收费管理暂行办法》（计价格〔2002〕1980 号）的收费标准的80%计取。</w:t>
            </w:r>
          </w:p>
          <w:p>
            <w:pPr>
              <w:snapToGrid w:val="0"/>
              <w:spacing w:line="360" w:lineRule="auto"/>
              <w:ind w:right="143" w:rightChars="68"/>
              <w:jc w:val="left"/>
              <w:rPr>
                <w:rFonts w:asciiTheme="minorEastAsia" w:hAnsiTheme="minorEastAsia" w:eastAsiaTheme="minorEastAsia" w:cstheme="minorEastAsia"/>
                <w:bCs/>
                <w:color w:val="auto"/>
                <w:sz w:val="24"/>
                <w:highlight w:val="none"/>
                <w:shd w:val="clear" w:color="auto" w:fill="FFFFFF" w:themeFill="background1"/>
              </w:rPr>
            </w:pPr>
            <w:r>
              <w:rPr>
                <w:rFonts w:hint="eastAsia" w:asciiTheme="minorEastAsia" w:hAnsiTheme="minorEastAsia" w:eastAsiaTheme="minorEastAsia" w:cstheme="minorEastAsia"/>
                <w:bCs/>
                <w:color w:val="auto"/>
                <w:sz w:val="24"/>
                <w:highlight w:val="none"/>
                <w:shd w:val="clear" w:color="auto" w:fill="FFFFFF" w:themeFill="background1"/>
              </w:rPr>
              <w:sym w:font="Wingdings 2" w:char="00A3"/>
            </w:r>
            <w:r>
              <w:rPr>
                <w:rFonts w:hint="eastAsia" w:asciiTheme="minorEastAsia" w:hAnsiTheme="minorEastAsia" w:eastAsiaTheme="minorEastAsia" w:cstheme="minorEastAsia"/>
                <w:bCs/>
                <w:color w:val="auto"/>
                <w:sz w:val="24"/>
                <w:highlight w:val="none"/>
                <w:shd w:val="clear" w:color="auto" w:fill="FFFFFF" w:themeFill="background1"/>
              </w:rPr>
              <w:t>A采购人在招标完成后支付；</w:t>
            </w:r>
          </w:p>
          <w:p>
            <w:pPr>
              <w:snapToGrid w:val="0"/>
              <w:spacing w:line="360" w:lineRule="auto"/>
              <w:ind w:right="143" w:rightChars="68"/>
              <w:jc w:val="left"/>
              <w:rPr>
                <w:rFonts w:asciiTheme="minorEastAsia" w:hAnsiTheme="minorEastAsia" w:eastAsiaTheme="minorEastAsia" w:cstheme="minorEastAsia"/>
                <w:b/>
                <w:color w:val="auto"/>
                <w:sz w:val="24"/>
                <w:highlight w:val="none"/>
                <w:shd w:val="clear" w:color="auto" w:fill="FFFFFF" w:themeFill="background1"/>
              </w:rPr>
            </w:pPr>
            <w:r>
              <w:rPr>
                <w:rFonts w:hint="eastAsia" w:asciiTheme="minorEastAsia" w:hAnsiTheme="minorEastAsia" w:eastAsiaTheme="minorEastAsia" w:cstheme="minorEastAsia"/>
                <w:b/>
                <w:color w:val="auto"/>
                <w:sz w:val="24"/>
                <w:highlight w:val="none"/>
                <w:shd w:val="clear" w:color="auto" w:fill="FFFFFF" w:themeFill="background1"/>
              </w:rPr>
              <w:sym w:font="Wingdings 2" w:char="0052"/>
            </w:r>
            <w:r>
              <w:rPr>
                <w:rFonts w:hint="eastAsia" w:asciiTheme="minorEastAsia" w:hAnsiTheme="minorEastAsia" w:eastAsiaTheme="minorEastAsia" w:cstheme="minorEastAsia"/>
                <w:b/>
                <w:color w:val="auto"/>
                <w:sz w:val="24"/>
                <w:highlight w:val="none"/>
                <w:shd w:val="clear" w:color="auto" w:fill="FFFFFF" w:themeFill="background1"/>
              </w:rPr>
              <w:t>B由中标供应商在领取中标通知书后7个工作日内向采购代理机构一次性缴纳。</w:t>
            </w:r>
          </w:p>
          <w:p>
            <w:pPr>
              <w:snapToGrid w:val="0"/>
              <w:spacing w:line="360" w:lineRule="auto"/>
              <w:ind w:right="143" w:rightChars="68" w:firstLine="81" w:firstLineChars="34"/>
              <w:jc w:val="left"/>
              <w:rPr>
                <w:rFonts w:asciiTheme="minorEastAsia" w:hAnsiTheme="minorEastAsia" w:eastAsiaTheme="minorEastAsia" w:cstheme="minorEastAsia"/>
                <w:bCs/>
                <w:color w:val="auto"/>
                <w:sz w:val="24"/>
                <w:highlight w:val="none"/>
                <w:shd w:val="clear" w:color="auto" w:fill="FFFFFF" w:themeFill="background1"/>
              </w:rPr>
            </w:pPr>
            <w:r>
              <w:rPr>
                <w:rFonts w:hint="eastAsia" w:asciiTheme="minorEastAsia" w:hAnsiTheme="minorEastAsia" w:eastAsiaTheme="minorEastAsia" w:cstheme="minorEastAsia"/>
                <w:bCs/>
                <w:color w:val="auto"/>
                <w:sz w:val="24"/>
                <w:highlight w:val="none"/>
                <w:shd w:val="clear" w:color="auto" w:fill="FFFFFF" w:themeFill="background1"/>
              </w:rPr>
              <w:t>收款单位：杭州洲源招标代理有限公司</w:t>
            </w:r>
          </w:p>
          <w:p>
            <w:pPr>
              <w:snapToGrid w:val="0"/>
              <w:spacing w:line="360" w:lineRule="auto"/>
              <w:ind w:right="143" w:rightChars="68" w:firstLine="81" w:firstLineChars="34"/>
              <w:jc w:val="left"/>
              <w:rPr>
                <w:rFonts w:asciiTheme="minorEastAsia" w:hAnsiTheme="minorEastAsia" w:eastAsiaTheme="minorEastAsia" w:cstheme="minorEastAsia"/>
                <w:bCs/>
                <w:color w:val="auto"/>
                <w:sz w:val="24"/>
                <w:highlight w:val="none"/>
                <w:shd w:val="clear" w:color="auto" w:fill="FFFFFF" w:themeFill="background1"/>
              </w:rPr>
            </w:pPr>
            <w:r>
              <w:rPr>
                <w:rFonts w:hint="eastAsia" w:asciiTheme="minorEastAsia" w:hAnsiTheme="minorEastAsia" w:eastAsiaTheme="minorEastAsia" w:cstheme="minorEastAsia"/>
                <w:bCs/>
                <w:color w:val="auto"/>
                <w:sz w:val="24"/>
                <w:highlight w:val="none"/>
                <w:shd w:val="clear" w:color="auto" w:fill="FFFFFF" w:themeFill="background1"/>
              </w:rPr>
              <w:t>开户银行：中信银行杭州西湖支行</w:t>
            </w:r>
          </w:p>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shd w:val="clear" w:color="auto" w:fill="FFFFFF" w:themeFill="background1"/>
              </w:rPr>
              <w:t>帐    号：8110801012701859954</w:t>
            </w:r>
          </w:p>
        </w:tc>
      </w:tr>
      <w:bookmarkEnd w:id="10"/>
    </w:tbl>
    <w:p>
      <w:pPr>
        <w:rPr>
          <w:rFonts w:asciiTheme="minorEastAsia" w:hAnsiTheme="minorEastAsia" w:eastAsiaTheme="minorEastAsia" w:cstheme="minorEastAsia"/>
          <w:b/>
          <w:color w:val="auto"/>
          <w:sz w:val="32"/>
          <w:szCs w:val="20"/>
          <w:highlight w:val="none"/>
        </w:rPr>
      </w:pPr>
      <w:bookmarkStart w:id="515" w:name="_GoBack"/>
      <w:bookmarkEnd w:id="515"/>
      <w:bookmarkStart w:id="11" w:name="_Toc164416483"/>
      <w:bookmarkStart w:id="12" w:name="第三部分"/>
      <w:r>
        <w:rPr>
          <w:rFonts w:hint="eastAsia" w:asciiTheme="minorEastAsia" w:hAnsiTheme="minorEastAsia" w:eastAsiaTheme="minorEastAsia" w:cstheme="minorEastAsia"/>
          <w:b/>
          <w:color w:val="auto"/>
          <w:sz w:val="32"/>
          <w:szCs w:val="20"/>
          <w:highlight w:val="none"/>
        </w:rPr>
        <w:br w:type="page"/>
      </w:r>
    </w:p>
    <w:p>
      <w:pPr>
        <w:spacing w:line="360" w:lineRule="auto"/>
        <w:ind w:firstLine="3845" w:firstLineChars="1197"/>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pPr>
        <w:snapToGrid w:val="0"/>
        <w:spacing w:line="360" w:lineRule="auto"/>
        <w:ind w:firstLine="361" w:firstLineChars="150"/>
        <w:jc w:val="left"/>
        <w:outlineLvl w:val="1"/>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pPr>
        <w:spacing w:line="360" w:lineRule="auto"/>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“采购代理机构”系指招标公告中载明的本项目的采购代理机构。</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“投标人”系指是指响应招标、参加投标竞争的法人、其他组织或者自然人。</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2.6“电子交易平台”系指本项目政府采购活动所依托的乐采云（https://hzjyg.lecaiyun.com/）。</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w:t>
      </w:r>
      <w:r>
        <w:rPr>
          <w:rFonts w:hint="eastAsia" w:asciiTheme="minorEastAsia" w:hAnsiTheme="minorEastAsia" w:eastAsiaTheme="minorEastAsia" w:cstheme="minorEastAsia"/>
          <w:color w:val="auto"/>
          <w:kern w:val="0"/>
          <w:sz w:val="24"/>
          <w:highlight w:val="none"/>
        </w:rPr>
        <w:sym w:font="Wingdings 2" w:char="0052"/>
      </w:r>
      <w:r>
        <w:rPr>
          <w:rFonts w:hint="eastAsia" w:asciiTheme="minorEastAsia" w:hAnsiTheme="minorEastAsia" w:eastAsiaTheme="minorEastAsia" w:cstheme="minorEastAsia"/>
          <w:color w:val="auto"/>
          <w:sz w:val="24"/>
          <w:highlight w:val="none"/>
        </w:rPr>
        <w:t>” 系指适用本项目的要求，“</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 系指不适用本项目的要求。</w:t>
      </w:r>
    </w:p>
    <w:p>
      <w:pPr>
        <w:spacing w:line="360" w:lineRule="auto"/>
        <w:ind w:firstLine="241" w:firstLineChars="1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3.2.2 </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3.2.4鼓励供应商在参加采购过程中开展绿色设计、选择绿色材料、打造绿色制造工艺、开展绿色运输、做好废弃产品回收处理，实现产品全周期的绿色环保。鼓励采购单位对其提高预付款比例、免收履约保证金。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符合中小企业划分标准的个体工商户，在采购活动中视同中小企业。</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以联合体形式参加采购活动，联合体各方均为中小企业的，联合体视同中小企业。其中，联合体各方均为小微企业的，联合体视同小微企业。</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采购服务项目，以及预留份额采购服务项目中的非预留部分标项，对小型和微型企业的投标报价给予10%-20%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48"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pPr>
        <w:snapToGrid w:val="0"/>
        <w:spacing w:line="348"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pPr>
        <w:snapToGrid w:val="0"/>
        <w:spacing w:line="348"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3.4.2采购人应当贯彻落实知识产权保护相关法律法规，应当采购使用正版软件。</w:t>
      </w:r>
    </w:p>
    <w:p>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Theme="minorEastAsia" w:hAnsiTheme="minorEastAsia" w:eastAsiaTheme="minorEastAsia" w:cstheme="minorEastAsia"/>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4.1</w:t>
      </w:r>
      <w:r>
        <w:rPr>
          <w:rFonts w:hint="eastAsia" w:ascii="宋体" w:hAnsi="宋体" w:cs="宋体"/>
          <w:color w:val="auto"/>
          <w:kern w:val="0"/>
          <w:sz w:val="24"/>
          <w:highlight w:val="none"/>
          <w:lang w:val="zh-CN"/>
        </w:rPr>
        <w:t>鼓励供应商在线提起询问，路径为：乐彩云-项目采购-询问质疑投诉-询问列表；鼓励供应商在线提起质疑，路径为：乐彩云-项目采购-询问质疑投诉-质疑列表。质疑供应商对在线质疑答复不满意的，可向同级采购监督管理部门提起投诉。</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pPr>
        <w:pStyle w:val="1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pPr>
        <w:pStyle w:val="1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960" w:firstLineChars="400"/>
        <w:rPr>
          <w:rFonts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pPr>
        <w:pStyle w:val="10"/>
        <w:spacing w:line="360" w:lineRule="auto"/>
        <w:ind w:left="958" w:leftChars="45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w:t>
      </w:r>
    </w:p>
    <w:p>
      <w:pPr>
        <w:pStyle w:val="1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4.3.2.3对采购结果提出质疑的，质疑期限自采购结果公告期限届满之日起计算。</w:t>
      </w:r>
    </w:p>
    <w:p>
      <w:pPr>
        <w:pStyle w:val="10"/>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pPr>
        <w:pStyle w:val="10"/>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4.3.3.1供应商的姓名或者名称、地址、邮编、联系人及联系电话；</w:t>
      </w:r>
    </w:p>
    <w:p>
      <w:pPr>
        <w:pStyle w:val="10"/>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4.3.3.2质疑项目的名称、编号；</w:t>
      </w:r>
    </w:p>
    <w:p>
      <w:pPr>
        <w:pStyle w:val="10"/>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4.3.3.3具体、明确的质疑事项和与质疑事项相关的请求；</w:t>
      </w:r>
    </w:p>
    <w:p>
      <w:pPr>
        <w:pStyle w:val="10"/>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4.3.3.4事实依据；</w:t>
      </w:r>
    </w:p>
    <w:p>
      <w:pPr>
        <w:pStyle w:val="10"/>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4.3.3.5必要的法律依据；</w:t>
      </w:r>
    </w:p>
    <w:p>
      <w:pPr>
        <w:pStyle w:val="10"/>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w:t>
      </w:r>
      <w:r>
        <w:rPr>
          <w:rFonts w:hint="eastAsia"/>
          <w:color w:val="auto"/>
          <w:highlight w:val="none"/>
          <w:lang w:val="zh-CN"/>
        </w:rPr>
        <w:t>采购人或者采购机构应当在收到供应商的书面质疑后七个工作日内作出答复，并以书面形式通知质疑供应商和其他与质疑处理结果有利害关系的采购当事人，但答复的内容不得涉及商业秘密。</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pPr>
        <w:pStyle w:val="29"/>
        <w:shd w:val="clear" w:color="auto" w:fill="FFFFFF"/>
        <w:snapToGrid w:val="0"/>
        <w:spacing w:before="0" w:beforeAutospacing="0" w:after="0" w:afterAutospacing="0" w:line="360" w:lineRule="auto"/>
        <w:ind w:firstLine="480" w:firstLineChars="200"/>
        <w:contextualSpacing/>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w:t>
      </w:r>
      <w:r>
        <w:rPr>
          <w:rFonts w:hint="eastAsia"/>
          <w:color w:val="auto"/>
          <w:highlight w:val="none"/>
          <w:lang w:val="zh-CN"/>
        </w:rPr>
        <w:t>质疑供应商对采购人、采购机构的答复不满意或者采购人、采购机构未在规定的时间内作出答复的，可以在答复期满后十五个工作日内向采购监督管理部门提出投诉。</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w:t>
      </w:r>
      <w:r>
        <w:rPr>
          <w:rFonts w:hint="eastAsia"/>
          <w:color w:val="auto"/>
          <w:highlight w:val="none"/>
          <w:lang w:val="zh-CN"/>
        </w:rPr>
        <w:t>以联合体形式参加采购活动的，其投诉应当由组成联合体的所有供应商共同提出。</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pPr>
        <w:spacing w:line="360" w:lineRule="auto"/>
        <w:jc w:val="center"/>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pPr>
        <w:pStyle w:val="1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pPr>
        <w:pStyle w:val="10"/>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pPr>
        <w:pStyle w:val="10"/>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pPr>
        <w:pStyle w:val="10"/>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pPr>
        <w:pStyle w:val="10"/>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pPr>
        <w:pStyle w:val="10"/>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pPr>
        <w:pStyle w:val="10"/>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6.1已获取招标文件的潜在投标人，若有问题需要澄清，应于投标截止时间前，以书面形式向采购代理机构提出。</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8"/>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三、投标</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pPr>
        <w:spacing w:line="360" w:lineRule="auto"/>
        <w:ind w:firstLine="480" w:firstLineChars="200"/>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pPr>
        <w:pStyle w:val="1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pPr>
        <w:pStyle w:val="10"/>
        <w:spacing w:line="360" w:lineRule="auto"/>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pPr>
        <w:pStyle w:val="5"/>
        <w:spacing w:line="360" w:lineRule="auto"/>
        <w:ind w:firstLine="470" w:firstLineChars="19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pPr>
        <w:autoSpaceDE w:val="0"/>
        <w:autoSpaceDN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11.1资格文件：</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r>
        <w:rPr>
          <w:rFonts w:hint="eastAsia" w:asciiTheme="minorEastAsia" w:hAnsiTheme="minorEastAsia" w:eastAsiaTheme="minorEastAsia" w:cstheme="minorEastAsia"/>
          <w:snapToGrid w:val="0"/>
          <w:color w:val="auto"/>
          <w:kern w:val="28"/>
          <w:sz w:val="24"/>
          <w:szCs w:val="20"/>
          <w:highlight w:val="none"/>
        </w:rPr>
        <w:t>联合协议（如果有)；</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pPr>
        <w:snapToGrid w:val="0"/>
        <w:spacing w:line="360" w:lineRule="auto"/>
        <w:ind w:firstLine="960" w:firstLineChars="4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采购供应商廉洁自律承诺书；</w:t>
      </w:r>
    </w:p>
    <w:p>
      <w:pP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sz w:val="24"/>
          <w:highlight w:val="none"/>
        </w:rPr>
        <w:t xml:space="preserve">报价文件： </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中小企业声明函（如果有）。</w:t>
      </w:r>
    </w:p>
    <w:p>
      <w:pPr>
        <w:spacing w:line="360" w:lineRule="auto"/>
        <w:ind w:firstLine="723" w:firstLineChars="3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w:t>
      </w:r>
    </w:p>
    <w:p>
      <w:pPr>
        <w:spacing w:line="360" w:lineRule="auto"/>
        <w:ind w:firstLine="723" w:firstLineChars="3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pPr>
        <w:spacing w:line="360" w:lineRule="auto"/>
        <w:ind w:firstLine="723" w:firstLineChars="3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投标人提供虚假材料投标的，投标无效。</w:t>
      </w:r>
    </w:p>
    <w:p>
      <w:pPr>
        <w:spacing w:line="360" w:lineRule="auto"/>
        <w:ind w:firstLine="723" w:firstLineChars="3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投标人应对投标文件中材料的真实性、合法性负责。</w:t>
      </w:r>
    </w:p>
    <w:p>
      <w:pPr>
        <w:pStyle w:val="30"/>
        <w:snapToGrid w:val="0"/>
        <w:spacing w:before="0"/>
        <w:ind w:firstLine="0" w:firstLineChars="0"/>
        <w:outlineLvl w:val="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12.3使用“乐采云电子交易客户端”需要提前申领CA数字证书，申领流程请自行前往“乐采云平台-下载专区-电子交易客户端-CA驱动和申领流程”进行查阅。</w:t>
      </w:r>
    </w:p>
    <w:p>
      <w:pPr>
        <w:snapToGrid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pPr>
        <w:pStyle w:val="30"/>
        <w:snapToGrid w:val="0"/>
        <w:spacing w:before="0"/>
        <w:ind w:firstLine="48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13.2为确保网上操作合法、有效和安全，投标人应当在投标截止时间前完成在“乐采云平台”的身份认证，确保在电子投标过程中能够对相关数据电文进行加密和使用电子签名。</w:t>
      </w:r>
    </w:p>
    <w:p>
      <w:pPr>
        <w:pStyle w:val="30"/>
        <w:snapToGrid w:val="0"/>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pPr>
        <w:pStyle w:val="3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pPr>
        <w:pStyle w:val="30"/>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color w:val="auto"/>
          <w:szCs w:val="24"/>
          <w:highlight w:val="none"/>
        </w:rPr>
        <w:t>供应商撤回投标不得损害国家利益、社会公共利益、采购人利益、代理机构利益、其他供应商利益，否则，供应商撤销（撤回）投标无效。</w:t>
      </w:r>
      <w:r>
        <w:rPr>
          <w:rFonts w:hint="eastAsia" w:asciiTheme="minorEastAsia" w:hAnsiTheme="minorEastAsia" w:eastAsiaTheme="minorEastAsia" w:cstheme="minorEastAsia"/>
          <w:color w:val="auto"/>
          <w:szCs w:val="24"/>
          <w:highlight w:val="none"/>
        </w:rPr>
        <w:t>投标截止时间前未完成传输的，视为撤回投标文件。投标截止时间后递交的投标文件，电子交易平台将拒收。</w:t>
      </w:r>
    </w:p>
    <w:p>
      <w:pPr>
        <w:pStyle w:val="30"/>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30"/>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pPr>
        <w:pStyle w:val="10"/>
        <w:spacing w:line="360" w:lineRule="auto"/>
        <w:ind w:firstLine="360" w:firstLineChars="15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但采购人、采购代理机构不强制或变相强制投标人提交备份投标文件。</w:t>
      </w:r>
    </w:p>
    <w:p>
      <w:pPr>
        <w:pStyle w:val="10"/>
        <w:spacing w:line="360" w:lineRule="auto"/>
        <w:ind w:firstLine="480"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15.2备份投标文件须在“乐采云投标客户端”制作生成，并储存在</w:t>
      </w:r>
      <w:r>
        <w:rPr>
          <w:rFonts w:hint="eastAsia" w:asciiTheme="minorEastAsia" w:hAnsiTheme="minorEastAsia" w:eastAsiaTheme="minorEastAsia" w:cstheme="minorEastAsia"/>
          <w:color w:val="auto"/>
          <w:sz w:val="24"/>
          <w:highlight w:val="none"/>
        </w:rPr>
        <w:t>DVD光盘等存储介质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pPr>
        <w:pStyle w:val="1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1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10"/>
        <w:spacing w:line="360" w:lineRule="auto"/>
        <w:ind w:firstLine="479" w:firstLineChars="199"/>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pPr>
        <w:pStyle w:val="3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pPr>
        <w:pStyle w:val="9"/>
        <w:spacing w:line="360" w:lineRule="auto"/>
        <w:ind w:firstLine="360" w:firstLineChars="1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pPr>
        <w:pStyle w:val="3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pPr>
        <w:spacing w:line="360" w:lineRule="auto"/>
        <w:ind w:firstLine="480" w:firstLineChars="2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pPr>
        <w:pStyle w:val="3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pPr>
        <w:pStyle w:val="3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30"/>
        <w:spacing w:before="0"/>
        <w:ind w:firstLine="480"/>
        <w:rPr>
          <w:rFonts w:asciiTheme="minorEastAsia" w:hAnsiTheme="minorEastAsia" w:eastAsiaTheme="minorEastAsia" w:cstheme="minorEastAsia"/>
          <w:color w:val="auto"/>
          <w:highlight w:val="none"/>
        </w:rPr>
      </w:pPr>
      <w:r>
        <w:rPr>
          <w:rFonts w:hint="eastAsia" w:ascii="宋体" w:hAnsi="宋体" w:cs="宋体"/>
          <w:color w:val="auto"/>
          <w:highlight w:val="none"/>
        </w:rPr>
        <w:t>17.4在投标截止时间起至投标有效期届满，供应商投标文件不可撤销。</w:t>
      </w:r>
    </w:p>
    <w:p>
      <w:pPr>
        <w:pStyle w:val="30"/>
        <w:spacing w:before="0"/>
        <w:ind w:firstLine="1928" w:firstLineChars="6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四、开标、资格审查与信用信息查询</w:t>
      </w:r>
    </w:p>
    <w:p>
      <w:pPr>
        <w:pStyle w:val="31"/>
        <w:spacing w:before="0" w:line="360" w:lineRule="auto"/>
        <w:ind w:left="0" w:firstLine="241" w:firstLineChars="1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pPr>
        <w:pStyle w:val="31"/>
        <w:spacing w:before="0" w:line="360" w:lineRule="auto"/>
        <w:ind w:left="0"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18.1采购代理机构按照招标文件规定的时间通过电子交易平台组织开标，所有投标人均应当准时在线参加。投标人不足3家的，不得开标。</w:t>
      </w:r>
    </w:p>
    <w:p>
      <w:pPr>
        <w:pStyle w:val="31"/>
        <w:spacing w:before="0" w:line="360" w:lineRule="auto"/>
        <w:ind w:left="0" w:firstLine="240" w:firstLineChars="1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31"/>
        <w:spacing w:before="0" w:line="360" w:lineRule="auto"/>
        <w:ind w:left="0" w:firstLine="241" w:firstLineChars="100"/>
        <w:contextualSpacing/>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　18.3投标</w:t>
      </w:r>
      <w:r>
        <w:rPr>
          <w:rFonts w:hint="eastAsia" w:asciiTheme="minorEastAsia" w:hAnsiTheme="minorEastAsia" w:eastAsiaTheme="minorEastAsia" w:cstheme="minorEastAsia"/>
          <w:b/>
          <w:color w:val="auto"/>
          <w:sz w:val="24"/>
          <w:highlight w:val="none"/>
        </w:rPr>
        <w:t>文件未按时解密，投标人提供了备份投标文件的，以备份投标文件作为依据，否则视为投标文件撤回。投标文件已按时解密的，备份投标文件自动失效。</w:t>
      </w:r>
    </w:p>
    <w:p>
      <w:pPr>
        <w:widowControl/>
        <w:spacing w:line="360" w:lineRule="auto"/>
        <w:jc w:val="left"/>
        <w:rPr>
          <w:rFonts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19</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szCs w:val="20"/>
          <w:highlight w:val="none"/>
        </w:rPr>
        <w:t>资格审查</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19.1</w:t>
      </w:r>
      <w:r>
        <w:rPr>
          <w:rFonts w:hint="eastAsia" w:asciiTheme="minorEastAsia" w:hAnsiTheme="minorEastAsia" w:eastAsiaTheme="minorEastAsia" w:cstheme="minorEastAsia"/>
          <w:color w:val="auto"/>
          <w:sz w:val="24"/>
          <w:highlight w:val="none"/>
        </w:rPr>
        <w:t>采购人或采购代理机构依据法律法规和招标文件的规定，对投标人的资格进行审查。</w:t>
      </w:r>
    </w:p>
    <w:p>
      <w:pPr>
        <w:pStyle w:val="3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19.2投标人未按照招标文件要求提供与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pPr>
        <w:pStyle w:val="3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3对未通过资格审查的投标人，采购人或采购代理机构告知其未通过的原因。</w:t>
      </w:r>
    </w:p>
    <w:p>
      <w:pPr>
        <w:pStyle w:val="3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4合格投标人不足3家的，不再评标。</w:t>
      </w:r>
    </w:p>
    <w:p>
      <w:pPr>
        <w:pStyle w:val="30"/>
        <w:adjustRightInd w:val="0"/>
        <w:snapToGrid w:val="0"/>
        <w:spacing w:before="0"/>
        <w:ind w:firstLine="480"/>
        <w:rPr>
          <w:rStyle w:val="23"/>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3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pPr>
        <w:pStyle w:val="30"/>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30"/>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pPr>
        <w:pStyle w:val="30"/>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20.3信用信息的使用规则：经查询列入失信被执行人名单、重大税收违法失信主体、政府采购严重违法失信行为记录名单的投标人将被拒绝参与采购活动。</w:t>
      </w:r>
    </w:p>
    <w:p>
      <w:pPr>
        <w:pStyle w:val="3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pPr>
        <w:snapToGri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五、评标</w:t>
      </w:r>
    </w:p>
    <w:p>
      <w:pPr>
        <w:spacing w:line="360" w:lineRule="auto"/>
        <w:rPr>
          <w:rFonts w:asciiTheme="minorEastAsia" w:hAnsiTheme="minorEastAsia" w:eastAsiaTheme="minorEastAsia" w:cstheme="minorEastAsia"/>
          <w:b/>
          <w:color w:val="auto"/>
          <w:sz w:val="24"/>
          <w:highlight w:val="none"/>
        </w:rPr>
      </w:pPr>
      <w:bookmarkStart w:id="13"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pPr>
        <w:snapToGri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六、定标</w:t>
      </w:r>
    </w:p>
    <w:p>
      <w:pPr>
        <w:pStyle w:val="9"/>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22.确定中标供应商</w:t>
      </w:r>
    </w:p>
    <w:p>
      <w:pPr>
        <w:pStyle w:val="30"/>
        <w:adjustRightInd w:val="0"/>
        <w:snapToGrid w:val="0"/>
        <w:spacing w:before="0"/>
        <w:ind w:firstLine="48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一般在收到评审报告当天确定中标或者成交供应商。中标、成交通知书和中标、成交结果公告应当在规定时间内同时发出。</w:t>
      </w:r>
    </w:p>
    <w:p>
      <w:pPr>
        <w:pStyle w:val="30"/>
        <w:snapToGrid w:val="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23.中标通知与中标结果公告</w:t>
      </w:r>
    </w:p>
    <w:p>
      <w:pPr>
        <w:widowControl/>
        <w:shd w:val="clear" w:color="auto" w:fill="FFFFFF"/>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Theme="minorEastAsia" w:hAnsiTheme="minorEastAsia" w:eastAsiaTheme="minorEastAsia" w:cstheme="minorEastAsia"/>
          <w:color w:val="auto"/>
          <w:sz w:val="24"/>
          <w:highlight w:val="none"/>
        </w:rPr>
        <w:t>资格审查情况、评审专家抽取规则、符合性审查情况、</w:t>
      </w:r>
      <w:bookmarkEnd w:id="14"/>
      <w:r>
        <w:rPr>
          <w:rFonts w:hint="eastAsia" w:asciiTheme="minorEastAsia" w:hAnsiTheme="minorEastAsia" w:eastAsiaTheme="minorEastAsia" w:cstheme="minorEastAsia"/>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pPr>
        <w:pStyle w:val="30"/>
        <w:snapToGrid w:val="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pPr>
        <w:pStyle w:val="9"/>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25.合同主要条款详见第五部分拟签订的合同文本。</w:t>
      </w:r>
    </w:p>
    <w:p>
      <w:pPr>
        <w:pStyle w:val="9"/>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26.合同的签订</w:t>
      </w:r>
    </w:p>
    <w:p>
      <w:pPr>
        <w:widowControl/>
        <w:shd w:val="clear" w:color="auto" w:fill="FFFFFF"/>
        <w:spacing w:line="360" w:lineRule="auto"/>
        <w:ind w:firstLine="48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26.1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30日（鼓励有条件的缩短至10个工作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pPr>
        <w:pStyle w:val="30"/>
        <w:snapToGrid w:val="0"/>
        <w:spacing w:before="0"/>
        <w:ind w:firstLine="48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26.2中标人按规定的日期、时间、地点，由法定代表人或其授权代表与采购人代表签订合同。如中标人为联合体的，由联合体成员各方法定代表人或其授权代表与采购人代表签订合同。</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26.3如签订合同并生效后，中标供应商无故拒绝或延期，除按照合同条款处理外，列入不良行为记录一次，并给予通报。</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26.4中标供应商拒绝与采购人签订合同的，采购人可以按照评审报告推荐的中标或者成交候选人名单排序，确定下一候选人为中标供应商，也可以重新开展采购活动。</w:t>
      </w:r>
    </w:p>
    <w:p>
      <w:pPr>
        <w:pStyle w:val="9"/>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 履约保证金</w:t>
      </w:r>
    </w:p>
    <w:p>
      <w:pPr>
        <w:tabs>
          <w:tab w:val="left" w:pos="0"/>
        </w:tabs>
        <w:spacing w:line="360" w:lineRule="auto"/>
        <w:ind w:firstLine="48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拟签订的合同文本要求中标供应商提交履约保证金的，中标供应商应当以支票、汇票、本票或者金融机构、担保机构出具的保函等非现金形式提交</w:t>
      </w:r>
      <w:r>
        <w:rPr>
          <w:rFonts w:hint="eastAsia" w:asciiTheme="minorEastAsia" w:hAnsiTheme="minorEastAsia" w:eastAsiaTheme="minorEastAsia" w:cstheme="minorEastAsia"/>
          <w:color w:val="auto"/>
          <w:sz w:val="24"/>
          <w:highlight w:val="none"/>
        </w:rPr>
        <w:t>。履约保证金的数额不得超过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en-US"/>
        </w:rPr>
        <w:t>28.预付款</w:t>
      </w:r>
    </w:p>
    <w:p>
      <w:pPr>
        <w:spacing w:line="360" w:lineRule="auto"/>
        <w:ind w:firstLine="480" w:firstLineChars="200"/>
        <w:rPr>
          <w:color w:val="auto"/>
          <w:highlight w:val="none"/>
        </w:rPr>
      </w:pPr>
      <w:r>
        <w:rPr>
          <w:rFonts w:hint="eastAsia" w:ascii="宋体" w:hAnsi="宋体"/>
          <w:color w:val="auto"/>
          <w:sz w:val="24"/>
          <w:highlight w:val="none"/>
        </w:rPr>
        <w:t>采购单位应当在采购合同中约定预付款，对中小企业合同预付款比例原则上不低于合同金额的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p>
    <w:p>
      <w:pPr>
        <w:snapToGrid w:val="0"/>
        <w:spacing w:line="360" w:lineRule="auto"/>
        <w:ind w:firstLine="3357" w:firstLineChars="1045"/>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pPr>
        <w:pStyle w:val="30"/>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szCs w:val="24"/>
          <w:highlight w:val="none"/>
        </w:rPr>
        <w:t>9</w:t>
      </w:r>
      <w:r>
        <w:rPr>
          <w:rFonts w:hint="eastAsia" w:asciiTheme="minorEastAsia" w:hAnsiTheme="minorEastAsia" w:eastAsiaTheme="minorEastAsia" w:cstheme="minorEastAsia"/>
          <w:b/>
          <w:color w:val="auto"/>
          <w:szCs w:val="24"/>
          <w:highlight w:val="none"/>
        </w:rPr>
        <w:t>.电子交易活动的中止。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29.1电子交易平台发生故障而无法登录访问的； </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29.2电子交易平台应用或数据库出现错误，不能进行正常操作的；</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29.3电子交易平台发现严重安全漏洞，有潜在泄密危险的；</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29.4病毒发作导致不能进行正常操作的； </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29.5其他无法保证电子交易的公平、公正和安全的情况。</w:t>
      </w:r>
    </w:p>
    <w:p>
      <w:pPr>
        <w:pStyle w:val="30"/>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pPr>
        <w:pStyle w:val="9"/>
        <w:spacing w:line="360" w:lineRule="auto"/>
        <w:ind w:firstLine="0" w:firstLineChars="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31.验收</w:t>
      </w:r>
    </w:p>
    <w:p>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3"/>
      <w:bookmarkStart w:id="15" w:name="_Hlt75236101"/>
      <w:bookmarkEnd w:id="15"/>
      <w:bookmarkStart w:id="16" w:name="_Hlt74730295"/>
      <w:bookmarkEnd w:id="16"/>
      <w:bookmarkStart w:id="17" w:name="_Hlt74729768"/>
      <w:bookmarkEnd w:id="17"/>
      <w:bookmarkStart w:id="18" w:name="_Hlt75236290"/>
      <w:bookmarkEnd w:id="18"/>
      <w:bookmarkStart w:id="19" w:name="_Hlt68403820"/>
      <w:bookmarkEnd w:id="19"/>
      <w:bookmarkStart w:id="20" w:name="_Hlt75236011"/>
      <w:bookmarkEnd w:id="20"/>
      <w:bookmarkStart w:id="21" w:name="_Hlt68073093"/>
      <w:bookmarkEnd w:id="21"/>
      <w:bookmarkStart w:id="22" w:name="_Hlt74707468"/>
      <w:bookmarkEnd w:id="22"/>
      <w:bookmarkStart w:id="23" w:name="_Hlt74714665"/>
      <w:bookmarkEnd w:id="23"/>
      <w:bookmarkStart w:id="24" w:name="_Hlt68057669"/>
      <w:bookmarkEnd w:id="24"/>
      <w:bookmarkStart w:id="25" w:name="_Hlt68072990"/>
      <w:bookmarkEnd w:id="25"/>
      <w:bookmarkStart w:id="26" w:name="_Hlt68072998"/>
      <w:bookmarkEnd w:id="26"/>
    </w:p>
    <w:bookmarkEnd w:id="11"/>
    <w:bookmarkEnd w:id="12"/>
    <w:p>
      <w:pPr>
        <w:rPr>
          <w:rFonts w:asciiTheme="minorEastAsia" w:hAnsiTheme="minorEastAsia" w:eastAsiaTheme="minorEastAsia" w:cstheme="minorEastAsia"/>
          <w:b/>
          <w:color w:val="auto"/>
          <w:sz w:val="36"/>
          <w:szCs w:val="36"/>
          <w:highlight w:val="none"/>
        </w:rPr>
      </w:pPr>
      <w:bookmarkStart w:id="27" w:name="第四部分"/>
      <w:r>
        <w:rPr>
          <w:rFonts w:hint="eastAsia" w:asciiTheme="minorEastAsia" w:hAnsiTheme="minorEastAsia" w:eastAsiaTheme="minorEastAsia" w:cstheme="minorEastAsia"/>
          <w:b/>
          <w:color w:val="auto"/>
          <w:sz w:val="36"/>
          <w:szCs w:val="36"/>
          <w:highlight w:val="none"/>
        </w:rPr>
        <w:br w:type="page"/>
      </w:r>
    </w:p>
    <w:p>
      <w:pPr>
        <w:spacing w:line="360" w:lineRule="auto"/>
        <w:jc w:val="center"/>
        <w:outlineLvl w:val="0"/>
        <w:rPr>
          <w:rFonts w:asciiTheme="minorEastAsia" w:hAnsiTheme="minorEastAsia" w:eastAsiaTheme="minorEastAsia" w:cstheme="minorEastAsia"/>
          <w:b/>
          <w:bCs/>
          <w:color w:val="auto"/>
          <w:kern w:val="44"/>
          <w:sz w:val="24"/>
          <w:szCs w:val="24"/>
          <w:highlight w:val="none"/>
        </w:rPr>
      </w:pPr>
      <w:r>
        <w:rPr>
          <w:rFonts w:hint="eastAsia" w:asciiTheme="minorEastAsia" w:hAnsiTheme="minorEastAsia" w:eastAsiaTheme="minorEastAsia" w:cstheme="minorEastAsia"/>
          <w:b/>
          <w:color w:val="auto"/>
          <w:sz w:val="36"/>
          <w:szCs w:val="36"/>
          <w:highlight w:val="none"/>
        </w:rPr>
        <w:t>第三部分   采购需求</w:t>
      </w:r>
    </w:p>
    <w:p>
      <w:pPr>
        <w:snapToGrid w:val="0"/>
        <w:spacing w:line="360" w:lineRule="auto"/>
        <w:jc w:val="lef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lang w:val="zh-CN"/>
        </w:rPr>
        <w:t>、</w:t>
      </w:r>
      <w:r>
        <w:rPr>
          <w:rFonts w:hint="eastAsia" w:ascii="宋体" w:hAnsi="宋体" w:cs="宋体"/>
          <w:b/>
          <w:bCs/>
          <w:color w:val="auto"/>
          <w:sz w:val="24"/>
          <w:highlight w:val="none"/>
          <w:lang w:val="en-US" w:eastAsia="zh-CN"/>
        </w:rPr>
        <w:t>技术要求</w:t>
      </w:r>
    </w:p>
    <w:tbl>
      <w:tblPr>
        <w:tblStyle w:val="18"/>
        <w:tblW w:w="9226"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153"/>
        <w:gridCol w:w="2142"/>
        <w:gridCol w:w="3950"/>
        <w:gridCol w:w="911"/>
        <w:gridCol w:w="107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kern w:val="2"/>
                <w:sz w:val="24"/>
                <w:szCs w:val="24"/>
                <w:highlight w:val="none"/>
                <w:lang w:val="en-US" w:eastAsia="zh-CN" w:bidi="ar-SA"/>
              </w:rPr>
              <w:t>序号</w:t>
            </w:r>
          </w:p>
        </w:tc>
        <w:tc>
          <w:tcPr>
            <w:tcW w:w="2142"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sz w:val="24"/>
                <w:szCs w:val="24"/>
                <w:highlight w:val="none"/>
                <w:lang w:val="en-US" w:eastAsia="zh-CN"/>
              </w:rPr>
            </w:pPr>
            <w:r>
              <w:rPr>
                <w:rFonts w:hint="eastAsia" w:ascii="宋体" w:hAnsi="宋体" w:eastAsia="宋体" w:cs="宋体"/>
                <w:bCs/>
                <w:color w:val="auto"/>
                <w:w w:val="90"/>
                <w:sz w:val="24"/>
                <w:szCs w:val="24"/>
                <w:highlight w:val="none"/>
                <w:lang w:val="en-US" w:eastAsia="zh-CN"/>
              </w:rPr>
              <w:t>采购标的</w:t>
            </w:r>
          </w:p>
        </w:tc>
        <w:tc>
          <w:tcPr>
            <w:tcW w:w="3950"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采购要求</w:t>
            </w:r>
          </w:p>
        </w:tc>
        <w:tc>
          <w:tcPr>
            <w:tcW w:w="911"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107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2" w:hRule="atLeast"/>
          <w:jc w:val="center"/>
        </w:trPr>
        <w:tc>
          <w:tcPr>
            <w:tcW w:w="1153" w:type="dxa"/>
            <w:shd w:val="clear" w:color="auto" w:fill="FDEAD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p>
        </w:tc>
        <w:tc>
          <w:tcPr>
            <w:tcW w:w="8073" w:type="dxa"/>
            <w:gridSpan w:val="4"/>
            <w:shd w:val="clear" w:color="auto" w:fill="FDEAD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内控协同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1</w:t>
            </w:r>
          </w:p>
        </w:tc>
        <w:tc>
          <w:tcPr>
            <w:tcW w:w="2142"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sz w:val="24"/>
                <w:szCs w:val="24"/>
                <w:highlight w:val="none"/>
                <w:lang w:val="en-US" w:eastAsia="zh-CN"/>
              </w:rPr>
            </w:pPr>
            <w:r>
              <w:rPr>
                <w:rFonts w:hint="eastAsia" w:ascii="宋体" w:hAnsi="宋体" w:eastAsia="宋体" w:cs="宋体"/>
                <w:bCs/>
                <w:color w:val="auto"/>
                <w:w w:val="90"/>
                <w:sz w:val="24"/>
                <w:szCs w:val="24"/>
                <w:highlight w:val="none"/>
                <w:lang w:val="en-US" w:eastAsia="zh-CN"/>
              </w:rPr>
              <w:t>日程预约</w:t>
            </w:r>
          </w:p>
        </w:tc>
        <w:tc>
          <w:tcPr>
            <w:tcW w:w="3950" w:type="dxa"/>
            <w:shd w:val="clear" w:color="auto" w:fill="auto"/>
            <w:noWrap w:val="0"/>
            <w:vAlign w:val="center"/>
          </w:tcPr>
          <w:p>
            <w:pPr>
              <w:pStyle w:val="11"/>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snapToGrid/>
                <w:color w:val="auto"/>
                <w:kern w:val="0"/>
                <w:sz w:val="24"/>
                <w:szCs w:val="24"/>
                <w:highlight w:val="none"/>
                <w:lang w:val="en-US" w:eastAsia="zh-CN" w:bidi="ar"/>
              </w:rPr>
            </w:pPr>
            <w:r>
              <w:rPr>
                <w:rFonts w:hint="eastAsia" w:ascii="宋体" w:hAnsi="宋体" w:eastAsia="宋体" w:cs="宋体"/>
                <w:b w:val="0"/>
                <w:bCs/>
                <w:snapToGrid/>
                <w:color w:val="auto"/>
                <w:kern w:val="0"/>
                <w:sz w:val="24"/>
                <w:szCs w:val="24"/>
                <w:highlight w:val="none"/>
                <w:lang w:val="en-US" w:eastAsia="zh-CN" w:bidi="ar"/>
              </w:rPr>
              <w:t>日程类型配置</w:t>
            </w:r>
            <w:r>
              <w:rPr>
                <w:rFonts w:hint="eastAsia" w:ascii="宋体" w:hAnsi="宋体" w:eastAsia="宋体" w:cs="宋体"/>
                <w:b/>
                <w:bCs w:val="0"/>
                <w:snapToGrid/>
                <w:color w:val="auto"/>
                <w:kern w:val="0"/>
                <w:sz w:val="24"/>
                <w:szCs w:val="24"/>
                <w:highlight w:val="none"/>
                <w:lang w:val="en-US" w:eastAsia="zh-CN" w:bidi="ar"/>
              </w:rPr>
              <w:br w:type="textWrapping"/>
            </w:r>
            <w:r>
              <w:rPr>
                <w:rFonts w:hint="eastAsia" w:ascii="宋体" w:hAnsi="宋体" w:eastAsia="宋体" w:cs="宋体"/>
                <w:b w:val="0"/>
                <w:bCs/>
                <w:snapToGrid/>
                <w:color w:val="auto"/>
                <w:kern w:val="0"/>
                <w:sz w:val="24"/>
                <w:szCs w:val="24"/>
                <w:highlight w:val="none"/>
                <w:lang w:val="en-US" w:eastAsia="zh-CN" w:bidi="ar"/>
              </w:rPr>
              <w:t>支持自定义添加日程类型，可名称检索日程，支持删除日程</w:t>
            </w:r>
            <w:r>
              <w:rPr>
                <w:rFonts w:hint="eastAsia" w:ascii="宋体" w:hAnsi="宋体" w:eastAsia="宋体" w:cs="宋体"/>
                <w:b w:val="0"/>
                <w:bCs/>
                <w:snapToGrid/>
                <w:color w:val="auto"/>
                <w:kern w:val="0"/>
                <w:sz w:val="24"/>
                <w:szCs w:val="24"/>
                <w:highlight w:val="none"/>
                <w:lang w:val="en-US" w:eastAsia="zh-CN" w:bidi="ar"/>
              </w:rPr>
              <w:br w:type="textWrapping"/>
            </w:r>
            <w:r>
              <w:rPr>
                <w:rFonts w:hint="eastAsia" w:ascii="宋体" w:hAnsi="宋体" w:eastAsia="宋体" w:cs="宋体"/>
                <w:b w:val="0"/>
                <w:bCs/>
                <w:snapToGrid/>
                <w:color w:val="auto"/>
                <w:kern w:val="0"/>
                <w:sz w:val="24"/>
                <w:szCs w:val="24"/>
                <w:highlight w:val="none"/>
                <w:lang w:val="en-US" w:eastAsia="zh-CN" w:bidi="ar"/>
              </w:rPr>
              <w:t>二、日程管理</w:t>
            </w:r>
            <w:r>
              <w:rPr>
                <w:rFonts w:hint="eastAsia" w:ascii="宋体" w:hAnsi="宋体" w:eastAsia="宋体" w:cs="宋体"/>
                <w:b/>
                <w:bCs w:val="0"/>
                <w:snapToGrid/>
                <w:color w:val="auto"/>
                <w:kern w:val="0"/>
                <w:sz w:val="24"/>
                <w:szCs w:val="24"/>
                <w:highlight w:val="none"/>
                <w:lang w:val="en-US" w:eastAsia="zh-CN" w:bidi="ar"/>
              </w:rPr>
              <w:br w:type="textWrapping"/>
            </w:r>
            <w:r>
              <w:rPr>
                <w:rFonts w:hint="eastAsia" w:cs="宋体"/>
                <w:b/>
                <w:bCs w:val="0"/>
                <w:i w:val="0"/>
                <w:iCs w:val="0"/>
                <w:color w:val="auto"/>
                <w:sz w:val="24"/>
                <w:szCs w:val="24"/>
                <w:highlight w:val="none"/>
                <w:lang w:val="en-US" w:eastAsia="zh-CN"/>
              </w:rPr>
              <w:t>◆</w:t>
            </w:r>
            <w:r>
              <w:rPr>
                <w:rFonts w:hint="eastAsia" w:ascii="宋体" w:hAnsi="宋体" w:eastAsia="宋体" w:cs="宋体"/>
                <w:b/>
                <w:bCs w:val="0"/>
                <w:snapToGrid/>
                <w:color w:val="auto"/>
                <w:kern w:val="0"/>
                <w:sz w:val="24"/>
                <w:szCs w:val="24"/>
                <w:highlight w:val="none"/>
                <w:lang w:val="en-US" w:eastAsia="zh-CN" w:bidi="ar"/>
              </w:rPr>
              <w:t>1）日程创建：教职工可在移动端、PC端进行日程创建和管理，支持自定义创建日程，设置日程名称、类型、周期性、日程时间、频次、地点、参与人身份、参与方式、参与人员、是否签到、签到方式、可见教师、备注、留言，日程签到须支持关联场地门禁、班牌，支持日程冲突提醒；【投标时须提供类似系统功能截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2）日程查看：支持按日期、场地查看日程，以不同颜色展示日程签到情况；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3）日程设置：支持自定义设置是否隐藏已结束、仅可查看、我参与的日程；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4）日程导出：支持Excel表格导出日程安排；</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三、我的日程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1）日程查看：支持按已参加、可报名与日期、场地组合筛选查看我的日程，以不同颜色展示日程签到情况；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2）日程设置：支持自定义设置是否隐藏已结束已结束、仅可查看、我参与的日程，可自定定义是否开启全天日程（每日早8点推送）、非全天日程（日程开始前15分钟）推送提醒；</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3）日程导出：支持Excel表格导出我的日程；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四、全校日程</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支持管理教师查看全校的日程安排，并可新建、导出日程。</w:t>
            </w:r>
          </w:p>
          <w:p>
            <w:pPr>
              <w:pStyle w:val="9"/>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五、现有设备对接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须支持对接学校现有电子班牌</w:t>
            </w:r>
            <w:r>
              <w:rPr>
                <w:rFonts w:hint="eastAsia" w:ascii="宋体" w:hAnsi="宋体" w:cs="宋体"/>
                <w:b/>
                <w:bCs/>
                <w:color w:val="auto"/>
                <w:sz w:val="24"/>
                <w:szCs w:val="24"/>
                <w:highlight w:val="none"/>
                <w:lang w:val="en-US" w:eastAsia="zh-CN"/>
              </w:rPr>
              <w:t>（</w:t>
            </w:r>
            <w:r>
              <w:rPr>
                <w:rFonts w:hint="eastAsia" w:ascii="宋体" w:hAnsi="宋体" w:cs="宋体"/>
                <w:bCs/>
                <w:color w:val="auto"/>
                <w:sz w:val="24"/>
                <w:szCs w:val="24"/>
                <w:highlight w:val="none"/>
                <w:lang w:val="en-US" w:eastAsia="zh-CN"/>
              </w:rPr>
              <w:t>海康威视 DS-D6122TH-B/C</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、门禁设备</w:t>
            </w:r>
            <w:r>
              <w:rPr>
                <w:rFonts w:hint="eastAsia"/>
                <w:color w:val="auto"/>
                <w:sz w:val="24"/>
                <w:szCs w:val="24"/>
                <w:highlight w:val="none"/>
                <w:lang w:eastAsia="zh-CN"/>
              </w:rPr>
              <w:t>（</w:t>
            </w:r>
            <w:r>
              <w:rPr>
                <w:rFonts w:hint="eastAsia"/>
                <w:color w:val="auto"/>
                <w:sz w:val="24"/>
                <w:szCs w:val="24"/>
                <w:highlight w:val="none"/>
                <w:lang w:val="en-US" w:eastAsia="zh-CN"/>
              </w:rPr>
              <w:t>海康威视</w:t>
            </w:r>
            <w:r>
              <w:rPr>
                <w:rFonts w:hint="eastAsia" w:ascii="宋体" w:hAnsi="宋体" w:eastAsia="宋体" w:cs="宋体"/>
                <w:bCs/>
                <w:color w:val="auto"/>
                <w:sz w:val="24"/>
                <w:szCs w:val="24"/>
                <w:highlight w:val="none"/>
                <w:lang w:eastAsia="zh-CN"/>
              </w:rPr>
              <w:t>DS-K1T673M</w:t>
            </w:r>
            <w:r>
              <w:rPr>
                <w:rFonts w:hint="eastAsia"/>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，实现班牌端活动日程展示、设备端刷脸开锁签到等功能。【投标时须提供现有设备对接方案及承诺函】</w:t>
            </w:r>
          </w:p>
        </w:tc>
        <w:tc>
          <w:tcPr>
            <w:tcW w:w="911"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w w:val="90"/>
                <w:sz w:val="24"/>
                <w:szCs w:val="24"/>
                <w:highlight w:val="none"/>
                <w:lang w:val="en-US" w:eastAsia="zh-CN"/>
              </w:rPr>
              <w:t>1</w:t>
            </w:r>
          </w:p>
        </w:tc>
        <w:tc>
          <w:tcPr>
            <w:tcW w:w="107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2</w:t>
            </w:r>
          </w:p>
        </w:tc>
        <w:tc>
          <w:tcPr>
            <w:tcW w:w="2142"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sz w:val="24"/>
                <w:szCs w:val="24"/>
                <w:highlight w:val="none"/>
                <w:lang w:val="en-US" w:eastAsia="zh-CN"/>
              </w:rPr>
            </w:pPr>
            <w:r>
              <w:rPr>
                <w:rFonts w:hint="eastAsia" w:ascii="宋体" w:hAnsi="宋体" w:eastAsia="宋体" w:cs="宋体"/>
                <w:bCs/>
                <w:color w:val="auto"/>
                <w:w w:val="90"/>
                <w:sz w:val="24"/>
                <w:szCs w:val="24"/>
                <w:highlight w:val="none"/>
                <w:lang w:val="en-US" w:eastAsia="zh-CN"/>
              </w:rPr>
              <w:t>借阅管理</w:t>
            </w:r>
          </w:p>
        </w:tc>
        <w:tc>
          <w:tcPr>
            <w:tcW w:w="3950"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支持通过刷脸方式记录学生阅览室借阅情况，以可视化图表进行在馆学生、进出情况深度分析，支持班主任、阅览室管理教师及相关责任人查看阅览室实时情况。</w:t>
            </w:r>
          </w:p>
        </w:tc>
        <w:tc>
          <w:tcPr>
            <w:tcW w:w="911"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w w:val="90"/>
                <w:sz w:val="24"/>
                <w:szCs w:val="24"/>
                <w:highlight w:val="none"/>
                <w:lang w:val="en-US" w:eastAsia="zh-CN"/>
              </w:rPr>
              <w:t>1</w:t>
            </w:r>
          </w:p>
        </w:tc>
        <w:tc>
          <w:tcPr>
            <w:tcW w:w="107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3</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lang w:val="en-US" w:eastAsia="zh-CN"/>
              </w:rPr>
              <w:t>教职工请假</w:t>
            </w:r>
          </w:p>
        </w:tc>
        <w:tc>
          <w:tcPr>
            <w:tcW w:w="3950"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cs="宋体"/>
                <w:color w:val="auto"/>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bidi="ar"/>
              </w:rPr>
              <w:t>一、请假申请</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支持教师移动端发起请假，提交内容包括请假类型、请假理由、起止时间、是否需要调代课、是否需要值班、是否需要报销等并上传证明材料；</w:t>
            </w:r>
            <w:r>
              <w:rPr>
                <w:rFonts w:hint="eastAsia" w:ascii="宋体" w:hAnsi="宋体" w:eastAsia="宋体" w:cs="宋体"/>
                <w:b/>
                <w:color w:val="auto"/>
                <w:sz w:val="24"/>
                <w:szCs w:val="24"/>
                <w:highlight w:val="none"/>
                <w:lang w:val="en-US" w:eastAsia="zh-CN"/>
              </w:rPr>
              <w:t>【投标时须提供类似系统功能截图】</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请假审批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支持对教职工请假的表单以及审批流程进行修改，当单节点涉及多个审批、抄送人时，可查看所有人名单，支持一键撤销、转交审批、提交审批意见，可添加图片备注；</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请假统计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须支持按日期、教师姓名搜索查看教师请假统计记录，右上角以不同颜色标注请假审批状态，须支持预览原请假审批单及相关附件，须支持一键撤销教师请假；</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历史记录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须支持信息提交页面快捷入口查看历史申请记录及审批状态；</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五、现有系统对接</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
              </w:rPr>
              <w:t>支持对接学校已有智慧校园平台，同步教师请假信息与已有调代课功能联动。【投标时须提供系统对接方案及承诺函】</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w w:val="90"/>
                <w:sz w:val="24"/>
                <w:szCs w:val="24"/>
                <w:highlight w:val="none"/>
                <w:lang w:val="en-US" w:eastAsia="zh-CN"/>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4</w:t>
            </w:r>
          </w:p>
        </w:tc>
        <w:tc>
          <w:tcPr>
            <w:tcW w:w="2142"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lang w:val="en-US" w:eastAsia="zh-CN"/>
              </w:rPr>
              <w:t>教师值班加班</w:t>
            </w:r>
          </w:p>
        </w:tc>
        <w:tc>
          <w:tcPr>
            <w:tcW w:w="3950" w:type="dxa"/>
            <w:shd w:val="clear" w:color="auto" w:fill="auto"/>
            <w:noWrap w:val="0"/>
            <w:vAlign w:val="center"/>
          </w:tcPr>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补贴规则管理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支持自定义设置值班加班补贴规则，针对不同岗位可设置不同规则，加班时间可精确到小时，支持一键到出补贴规则；</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值班计划管理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支持自定义设置值班岗位，根据不同岗位，不同人员设置值班计划，支持对学期内所有周/本月快速配置，支持值班前消息提醒、未值班提醒、值班反馈提交提醒；</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教师值班打卡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在移动端连接蓝牙信标进行值班打卡，可在教师移动端按已完成/未完成查看个人值班安排；</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加班申请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支持教师移动端发起加班申请，填写加班明细后自动计算补贴金额，提交后相关责任人审核通过后生效，支持查看个人加班记录、加班补贴统计；</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教师值班日志</w:t>
            </w:r>
          </w:p>
          <w:p>
            <w:pPr>
              <w:pStyle w:val="9"/>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支持按教师姓名工号、起止时间、岗位筛选查询教师值班日志，可查看当日值班教师、教师值班岗位、值班详情；</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加班记录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支持按教师姓名工号、起止时间筛选查询教师加班记录，可查看补贴规则、加班时长、加班补贴、提交人、提交时间、提交状态、查看详情，支持一键导出；</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教师补贴统计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支持按教师姓名工号、起止时间筛选查询教师补贴统计，可查看教师加班补贴、值班补贴、补贴合计金额，支持查看教师值班加班详情，可一键导出教师补贴统计；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八、教师调代班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支持教师移动端发起调代班申请，发起时可查看调换预览，显示调换岗位及时间；</w:t>
            </w:r>
          </w:p>
        </w:tc>
        <w:tc>
          <w:tcPr>
            <w:tcW w:w="911"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w w:val="90"/>
                <w:sz w:val="24"/>
                <w:szCs w:val="24"/>
                <w:highlight w:val="none"/>
                <w:lang w:val="en-US" w:eastAsia="zh-CN"/>
              </w:rPr>
              <w:t>1</w:t>
            </w:r>
          </w:p>
        </w:tc>
        <w:tc>
          <w:tcPr>
            <w:tcW w:w="107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5</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lang w:val="en-US" w:eastAsia="zh-CN"/>
              </w:rPr>
              <w:t>体育器材借还</w:t>
            </w:r>
          </w:p>
        </w:tc>
        <w:tc>
          <w:tcPr>
            <w:tcW w:w="3950" w:type="dxa"/>
            <w:shd w:val="clear" w:color="auto" w:fill="auto"/>
            <w:noWrap w:val="0"/>
            <w:vAlign w:val="center"/>
          </w:tcPr>
          <w:p>
            <w:pPr>
              <w:keepNext w:val="0"/>
              <w:keepLines w:val="0"/>
              <w:pageBreakBefore w:val="0"/>
              <w:numPr>
                <w:ilvl w:val="0"/>
                <w:numId w:val="6"/>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器材借用</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支持PC端/班牌端登记借用信息，学生可通过刷脸设备/电子班牌刷脸自动识别身份信息，班牌端可自助选择所需器材，借用器材界面须简单易操作，教师在PC端查看学生借用申请，点击确认后出库；</w:t>
            </w:r>
          </w:p>
          <w:p>
            <w:pPr>
              <w:keepNext w:val="0"/>
              <w:keepLines w:val="0"/>
              <w:pageBreakBefore w:val="0"/>
              <w:numPr>
                <w:ilvl w:val="0"/>
                <w:numId w:val="6"/>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器材归还</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支持学生刷脸识别身份信息，系统自动拉取借用信息，教师确认后可一键归还器材。</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三、现有系统对接</w:t>
            </w:r>
          </w:p>
          <w:p>
            <w:pPr>
              <w:pStyle w:val="9"/>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支持对接学校已有智慧校园平台，获取平台内人员基础信息及人脸库数据。【投标时须提供系统对接方案及承诺函】</w:t>
            </w:r>
            <w:r>
              <w:rPr>
                <w:rFonts w:hint="eastAsia" w:ascii="宋体" w:hAnsi="宋体" w:eastAsia="宋体" w:cs="宋体"/>
                <w:b w:val="0"/>
                <w:bCs/>
                <w:color w:val="auto"/>
                <w:kern w:val="0"/>
                <w:sz w:val="24"/>
                <w:szCs w:val="24"/>
                <w:highlight w:val="none"/>
                <w:lang w:val="en-US" w:eastAsia="zh-CN" w:bidi="ar"/>
              </w:rPr>
              <w:br w:type="textWrapping"/>
            </w: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四、现有设备对接</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须支持对接学校现有电子班牌</w:t>
            </w:r>
            <w:r>
              <w:rPr>
                <w:rFonts w:hint="eastAsia" w:ascii="宋体" w:hAnsi="宋体" w:cs="宋体"/>
                <w:b/>
                <w:bCs/>
                <w:color w:val="auto"/>
                <w:sz w:val="24"/>
                <w:szCs w:val="24"/>
                <w:highlight w:val="none"/>
                <w:lang w:val="en-US" w:eastAsia="zh-CN"/>
              </w:rPr>
              <w:t>（</w:t>
            </w:r>
            <w:r>
              <w:rPr>
                <w:rFonts w:hint="eastAsia" w:ascii="宋体" w:hAnsi="宋体" w:cs="宋体"/>
                <w:bCs/>
                <w:color w:val="auto"/>
                <w:sz w:val="24"/>
                <w:szCs w:val="24"/>
                <w:highlight w:val="none"/>
                <w:lang w:val="en-US" w:eastAsia="zh-CN"/>
              </w:rPr>
              <w:t>海康威视 DS-D6122TH-B/C</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及人脸识别设备</w:t>
            </w:r>
            <w:r>
              <w:rPr>
                <w:rFonts w:hint="eastAsia"/>
                <w:color w:val="auto"/>
                <w:sz w:val="24"/>
                <w:szCs w:val="24"/>
                <w:highlight w:val="none"/>
                <w:lang w:eastAsia="zh-CN"/>
              </w:rPr>
              <w:t>（</w:t>
            </w:r>
            <w:r>
              <w:rPr>
                <w:rFonts w:hint="eastAsia" w:ascii="宋体" w:hAnsi="宋体" w:eastAsia="宋体" w:cs="宋体"/>
                <w:bCs/>
                <w:color w:val="auto"/>
                <w:sz w:val="24"/>
                <w:szCs w:val="24"/>
                <w:highlight w:val="none"/>
                <w:lang w:val="en-US" w:eastAsia="zh-CN"/>
              </w:rPr>
              <w:t>海康威视</w:t>
            </w:r>
            <w:r>
              <w:rPr>
                <w:rFonts w:hint="eastAsia" w:ascii="宋体" w:hAnsi="宋体" w:eastAsia="宋体" w:cs="宋体"/>
                <w:bCs/>
                <w:color w:val="auto"/>
                <w:sz w:val="24"/>
                <w:szCs w:val="24"/>
                <w:highlight w:val="none"/>
                <w:lang w:eastAsia="zh-CN"/>
              </w:rPr>
              <w:t>DS-K5032-D</w:t>
            </w:r>
            <w:r>
              <w:rPr>
                <w:rFonts w:hint="eastAsia"/>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，实现学生刷脸借还。【投标时须提供现有设备对接方案及承诺函】</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2" w:hRule="atLeast"/>
          <w:jc w:val="center"/>
        </w:trPr>
        <w:tc>
          <w:tcPr>
            <w:tcW w:w="1153" w:type="dxa"/>
            <w:shd w:val="clear" w:color="auto" w:fill="FDEAD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p>
        </w:tc>
        <w:tc>
          <w:tcPr>
            <w:tcW w:w="8073" w:type="dxa"/>
            <w:gridSpan w:val="4"/>
            <w:shd w:val="clear" w:color="auto" w:fill="FDEAD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安防管理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kern w:val="2"/>
                <w:sz w:val="24"/>
                <w:szCs w:val="24"/>
                <w:highlight w:val="none"/>
                <w:lang w:val="en-US" w:eastAsia="zh-CN" w:bidi="ar-SA"/>
              </w:rPr>
              <w:t>1</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kern w:val="2"/>
                <w:sz w:val="24"/>
                <w:szCs w:val="24"/>
                <w:highlight w:val="none"/>
                <w:lang w:val="en-US" w:eastAsia="zh-CN" w:bidi="ar-SA"/>
              </w:rPr>
              <w:t>人员轨迹还原</w:t>
            </w:r>
          </w:p>
        </w:tc>
        <w:tc>
          <w:tcPr>
            <w:tcW w:w="39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一、轨迹信息检索</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1）须支持按照年级、班级、性别、寝室、学生姓名筛选查询学生轨迹记录；</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2）须支持7天日期范围内的轨迹记录查询汇总展示，展示内容包含人员头像、学生基本信息、途径点位时间、设备名称、抓拍图、轨迹记录；</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二、轨迹详情</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1）轮播模式：须支持手动开启轨迹抓拍图轮播；</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2）地图模式：须支持手动开启/关闭轨迹路径自动还原轨迹路线，可查看任意轨迹点位的抓拍图；</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3）数据导出：须支持按照人员类型、姓名、时间区间导出人员通行记录；</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四、现有设备对接</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须支持对接巡课监控</w:t>
            </w:r>
            <w:r>
              <w:rPr>
                <w:rFonts w:hint="eastAsia" w:ascii="宋体" w:hAnsi="宋体" w:cs="宋体"/>
                <w:b w:val="0"/>
                <w:bCs w:val="0"/>
                <w:color w:val="auto"/>
                <w:sz w:val="24"/>
                <w:szCs w:val="24"/>
                <w:highlight w:val="none"/>
                <w:lang w:val="en-US" w:eastAsia="zh-CN"/>
              </w:rPr>
              <w:t>（海康威视iDS-EGD0288-H/FR</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、电子班牌</w:t>
            </w:r>
            <w:r>
              <w:rPr>
                <w:rFonts w:hint="eastAsia" w:ascii="宋体" w:hAnsi="宋体" w:cs="宋体"/>
                <w:b/>
                <w:bCs/>
                <w:color w:val="auto"/>
                <w:sz w:val="24"/>
                <w:szCs w:val="24"/>
                <w:highlight w:val="none"/>
                <w:lang w:val="en-US" w:eastAsia="zh-CN"/>
              </w:rPr>
              <w:t>（</w:t>
            </w:r>
            <w:r>
              <w:rPr>
                <w:rFonts w:hint="eastAsia" w:ascii="宋体" w:hAnsi="宋体" w:cs="宋体"/>
                <w:bCs/>
                <w:color w:val="auto"/>
                <w:sz w:val="24"/>
                <w:szCs w:val="24"/>
                <w:highlight w:val="none"/>
                <w:lang w:val="en-US" w:eastAsia="zh-CN"/>
              </w:rPr>
              <w:t>海康威视 DS-D6122TH-B/C</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校内</w:t>
            </w:r>
            <w:r>
              <w:rPr>
                <w:rFonts w:hint="eastAsia" w:ascii="宋体" w:hAnsi="宋体" w:eastAsia="宋体" w:cs="宋体"/>
                <w:b/>
                <w:bCs/>
                <w:color w:val="auto"/>
                <w:sz w:val="24"/>
                <w:szCs w:val="24"/>
                <w:highlight w:val="none"/>
                <w:lang w:val="en-US" w:eastAsia="zh-CN"/>
              </w:rPr>
              <w:t>监控摄像头</w:t>
            </w:r>
            <w:r>
              <w:rPr>
                <w:rFonts w:hint="eastAsia" w:ascii="宋体" w:hAnsi="宋体" w:eastAsia="宋体" w:cs="宋体"/>
                <w:b w:val="0"/>
                <w:bCs/>
                <w:color w:val="auto"/>
                <w:sz w:val="24"/>
                <w:szCs w:val="24"/>
                <w:highlight w:val="none"/>
                <w:lang w:val="en-US" w:eastAsia="zh-CN"/>
              </w:rPr>
              <w:t>（海康威视DS-2CD7A45EVWDV3-IZS、DS-2CD2T45V3-I3）</w:t>
            </w:r>
            <w:r>
              <w:rPr>
                <w:rFonts w:hint="eastAsia" w:ascii="宋体" w:hAnsi="宋体" w:eastAsia="宋体" w:cs="宋体"/>
                <w:b/>
                <w:bCs/>
                <w:color w:val="auto"/>
                <w:sz w:val="24"/>
                <w:szCs w:val="24"/>
                <w:highlight w:val="none"/>
                <w:lang w:val="en-US" w:eastAsia="zh-CN"/>
              </w:rPr>
              <w:t>、门禁</w:t>
            </w:r>
            <w:r>
              <w:rPr>
                <w:rFonts w:hint="eastAsia" w:ascii="宋体" w:hAnsi="宋体" w:eastAsia="宋体" w:cs="宋体"/>
                <w:b w:val="0"/>
                <w:bCs/>
                <w:color w:val="auto"/>
                <w:sz w:val="24"/>
                <w:szCs w:val="24"/>
                <w:highlight w:val="none"/>
                <w:lang w:val="en-US" w:eastAsia="zh-CN"/>
              </w:rPr>
              <w:t>（海康威视DS-K1T673M及大华DH-ASI7213KL）</w:t>
            </w:r>
            <w:r>
              <w:rPr>
                <w:rFonts w:hint="eastAsia" w:ascii="宋体" w:hAnsi="宋体" w:eastAsia="宋体" w:cs="宋体"/>
                <w:b/>
                <w:bCs/>
                <w:color w:val="auto"/>
                <w:sz w:val="24"/>
                <w:szCs w:val="24"/>
                <w:highlight w:val="none"/>
                <w:lang w:val="en-US" w:eastAsia="zh-CN"/>
              </w:rPr>
              <w:t>等校内现有设备，实现学生轨迹数据的多源采集汇总。【投标时须提供现有设备对接方案及承诺函】</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lang w:val="en-US" w:eastAsia="zh-CN"/>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trike w:val="0"/>
                <w:dstrike w:val="0"/>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kern w:val="2"/>
                <w:sz w:val="24"/>
                <w:szCs w:val="24"/>
                <w:highlight w:val="none"/>
                <w:lang w:val="en-US" w:eastAsia="zh-CN" w:bidi="ar-SA"/>
              </w:rPr>
              <w:t>2</w:t>
            </w:r>
          </w:p>
        </w:tc>
        <w:tc>
          <w:tcPr>
            <w:tcW w:w="2142"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lang w:val="en-US" w:eastAsia="zh-CN"/>
              </w:rPr>
              <w:t>安全设备巡检</w:t>
            </w:r>
          </w:p>
        </w:tc>
        <w:tc>
          <w:tcPr>
            <w:tcW w:w="3950" w:type="dxa"/>
            <w:shd w:val="clear" w:color="auto" w:fill="auto"/>
            <w:noWrap w:val="0"/>
            <w:vAlign w:val="center"/>
          </w:tcPr>
          <w:p>
            <w:pPr>
              <w:keepNext w:val="0"/>
              <w:keepLines w:val="0"/>
              <w:pageBreakBefore w:val="0"/>
              <w:numPr>
                <w:ilvl w:val="0"/>
                <w:numId w:val="7"/>
              </w:numPr>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资产管理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1）资产维护：支持按照分类单个添加或批量为维护固定资产，可自定义设置</w:t>
            </w:r>
            <w:r>
              <w:rPr>
                <w:rFonts w:hint="eastAsia" w:ascii="宋体" w:hAnsi="宋体" w:cs="宋体"/>
                <w:color w:val="auto"/>
                <w:sz w:val="24"/>
                <w:szCs w:val="24"/>
                <w:highlight w:val="none"/>
                <w:lang w:val="en-US" w:eastAsia="zh-CN"/>
              </w:rPr>
              <w:t>资产</w:t>
            </w:r>
            <w:r>
              <w:rPr>
                <w:rFonts w:hint="eastAsia" w:ascii="宋体" w:hAnsi="宋体" w:eastAsia="宋体" w:cs="宋体"/>
                <w:color w:val="auto"/>
                <w:sz w:val="24"/>
                <w:szCs w:val="24"/>
                <w:highlight w:val="none"/>
                <w:lang w:val="en-US" w:eastAsia="zh-CN"/>
              </w:rPr>
              <w:t>列表</w:t>
            </w:r>
            <w:r>
              <w:rPr>
                <w:rFonts w:hint="eastAsia" w:ascii="宋体" w:hAnsi="宋体" w:cs="宋体"/>
                <w:color w:val="auto"/>
                <w:sz w:val="24"/>
                <w:szCs w:val="24"/>
                <w:highlight w:val="none"/>
                <w:lang w:val="en-US" w:eastAsia="zh-CN"/>
              </w:rPr>
              <w:t>展示字段</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2）到期预警：为确保资产到达一定年限能够及时更新补充，系统自动推送告警消息至相关责任人；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3）资产导出：支持按照查询条件导出资产及资产二维码；</w:t>
            </w: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4）资产关联:支持按照资产名称、存放地点筛选资产，关联蓝牙信标、巡检规则；</w:t>
            </w: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5）蓝牙信标管理：支持钉钉移动端对蓝牙信标进行管理，支持扫码添加新设备，系统自动统计信标设备总数，可按列表形式查看已添加设备，详情内须包含使用场景、连接距离、查看电量、信标位置、关联计划等，支持修改设备名称、解绑设备；【投标时须提供类似系统功能截图】</w:t>
            </w:r>
          </w:p>
          <w:p>
            <w:pPr>
              <w:keepNext w:val="0"/>
              <w:keepLines w:val="0"/>
              <w:pageBreakBefore w:val="0"/>
              <w:numPr>
                <w:ilvl w:val="0"/>
                <w:numId w:val="7"/>
              </w:numPr>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巡检规则设置</w:t>
            </w: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支持对不同设备配置不同巡检规则，支持批量设置巡检对象，可自定义设置巡检参数；</w:t>
            </w:r>
          </w:p>
          <w:p>
            <w:pPr>
              <w:keepNext w:val="0"/>
              <w:keepLines w:val="0"/>
              <w:pageBreakBefore w:val="0"/>
              <w:numPr>
                <w:ilvl w:val="0"/>
                <w:numId w:val="7"/>
              </w:numPr>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设备巡检</w:t>
            </w: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移动端扫码巡检、蓝牙巡检签到，签到后支持快速填写巡检情况，如逐项检查、上传拍照、提交结果，扫码后支持选择巡检类型，(如巡检、保养、维检、月底巡检、月初巡检等）,支持对设备分组，支持扫码对设备进行巡检登记；</w:t>
            </w:r>
          </w:p>
          <w:p>
            <w:pPr>
              <w:keepNext w:val="0"/>
              <w:keepLines w:val="0"/>
              <w:pageBreakBefore w:val="0"/>
              <w:numPr>
                <w:ilvl w:val="0"/>
                <w:numId w:val="7"/>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巡检记录</w:t>
            </w: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1）PC端管理后台：支持查看巡检记录，包括巡检对象、所在场地、巡检人、巡检结果、维检结果等，支持导出巡检数据；</w:t>
            </w: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2）移动端钉钉：支持管理员查看设备历史巡检情况、个人巡检统计、设备巡检统计；</w:t>
            </w:r>
          </w:p>
        </w:tc>
        <w:tc>
          <w:tcPr>
            <w:tcW w:w="911"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w w:val="90"/>
                <w:sz w:val="24"/>
                <w:szCs w:val="24"/>
                <w:highlight w:val="none"/>
                <w:lang w:val="en-US" w:eastAsia="zh-CN"/>
              </w:rPr>
              <w:t>1</w:t>
            </w:r>
          </w:p>
        </w:tc>
        <w:tc>
          <w:tcPr>
            <w:tcW w:w="107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kern w:val="2"/>
                <w:sz w:val="24"/>
                <w:szCs w:val="24"/>
                <w:highlight w:val="none"/>
                <w:lang w:val="en-US" w:eastAsia="zh-CN" w:bidi="ar-SA"/>
              </w:rPr>
              <w:t>3</w:t>
            </w:r>
          </w:p>
        </w:tc>
        <w:tc>
          <w:tcPr>
            <w:tcW w:w="2142"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lang w:val="en-US" w:eastAsia="zh-CN"/>
              </w:rPr>
              <w:t>教师值日值周</w:t>
            </w:r>
          </w:p>
        </w:tc>
        <w:tc>
          <w:tcPr>
            <w:tcW w:w="3950"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一、岗位管理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创建岗位：须支持自定义创建岗位，可自定义编辑岗位名称、配置多个检查项，检查项配置内容须包含工作时间、签到打卡时间、打卡方式（含蓝牙、地点、二维码）、蓝牙设备、上传水印照片、是否需要签退、检查内容（含自定义表单/评分检查项）</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2）管理岗位：可查看每个岗位的值日值周时段，须支持删除/编辑岗位，可一键导二维码；</w:t>
            </w: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须支持以拖拉拽的形式快速配置岗位总结模板，可自定义配置推送教师；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二、值日值周计划</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1）基础设置：支持自定义设置计划名称、时间段；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2）教师岗位：支持按所有周、周次、本月快速配置教师岗位；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3）消息推送：提供值岗提醒、未值岗提醒、检查项提交提醒、检查项未提交提醒、迟到提醒等多种提醒方式，可自定义设置是否开启对应提醒、按岗位选择提醒教师本人或自定义选择提醒教师；</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三、值日值周日志</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支持按教师姓名/工号、检查项、起止时间筛选查看值日值周日志，日志列表内需包含教师姓名、岗位、检查项、当前状态、更新时间、检查内容，可查看值日值周详情，支持一键导出值日值周日志；</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四、值日值周调代</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支持自定义设置值日值周调代申请表，值日值周老师可在移动端发起调代申请，由相关责任审批通过后生效，支持查看值日值周调代记录，可一键导出；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五、值日值周总结记录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支持按日期/教师查看值岗总结，可按教师姓名工号、起止日期、部门筛选查看，支持一键导出值岗总结提交情况；</w:t>
            </w:r>
          </w:p>
        </w:tc>
        <w:tc>
          <w:tcPr>
            <w:tcW w:w="911"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w w:val="90"/>
                <w:sz w:val="24"/>
                <w:szCs w:val="24"/>
                <w:highlight w:val="none"/>
              </w:rPr>
              <w:t>1</w:t>
            </w:r>
          </w:p>
        </w:tc>
        <w:tc>
          <w:tcPr>
            <w:tcW w:w="107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286"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color w:val="auto"/>
                <w:w w:val="90"/>
                <w:kern w:val="2"/>
                <w:sz w:val="24"/>
                <w:szCs w:val="24"/>
                <w:highlight w:val="none"/>
                <w:lang w:val="en-US" w:eastAsia="zh-CN" w:bidi="ar-SA"/>
              </w:rPr>
              <w:t>4</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lang w:val="en-US" w:eastAsia="zh-CN"/>
              </w:rPr>
              <w:t>蓝牙信标</w:t>
            </w:r>
          </w:p>
        </w:tc>
        <w:tc>
          <w:tcPr>
            <w:tcW w:w="39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为定位打卡功能提供有效的通信手段，采用小尺寸、低功耗的蓝牙设备实现定位打卡、签到的功能效果；</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通讯方式：BLE 2/5.0</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防水等级：不低于IP68</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电池容量：不低于ER142520*2（锂亚电池，共2400毫安时）</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发射功率：-20~+4bBm，不低于0dBm</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广播频率：100ms~10s，不低于500ms</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传输距离：不低于100m（空旷无遮挡）</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安全性：支持密码连接和不可连接模式，防恶意连接功能</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支持设备：IOS 0及以上，Android 3及以上</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w w:val="90"/>
                <w:sz w:val="24"/>
                <w:szCs w:val="24"/>
                <w:highlight w:val="none"/>
                <w:lang w:val="en-US" w:eastAsia="zh-CN"/>
              </w:rPr>
              <w:t>60</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w w:val="90"/>
                <w:sz w:val="24"/>
                <w:szCs w:val="24"/>
                <w:highlight w:val="none"/>
                <w:lang w:val="en-US" w:eastAsia="zh-CN"/>
              </w:rPr>
              <w:t>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52" w:hRule="atLeast"/>
          <w:jc w:val="center"/>
        </w:trPr>
        <w:tc>
          <w:tcPr>
            <w:tcW w:w="1153" w:type="dxa"/>
            <w:shd w:val="clear" w:color="auto" w:fill="FDEAD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p>
        </w:tc>
        <w:tc>
          <w:tcPr>
            <w:tcW w:w="8073" w:type="dxa"/>
            <w:gridSpan w:val="4"/>
            <w:shd w:val="clear" w:color="auto" w:fill="FDEAD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教学管理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1</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 w:val="0"/>
                <w:bCs/>
                <w:i w:val="0"/>
                <w:iCs w:val="0"/>
                <w:color w:val="auto"/>
                <w:sz w:val="24"/>
                <w:szCs w:val="24"/>
                <w:highlight w:val="none"/>
                <w:lang w:val="en-US" w:eastAsia="zh-CN"/>
              </w:rPr>
              <w:t>教学登记</w:t>
            </w:r>
          </w:p>
        </w:tc>
        <w:tc>
          <w:tcPr>
            <w:tcW w:w="39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一、点评项设置</w:t>
            </w: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须支持自定义设置点评项，</w:t>
            </w:r>
            <w:r>
              <w:rPr>
                <w:rFonts w:hint="eastAsia" w:ascii="宋体" w:hAnsi="宋体" w:cs="宋体"/>
                <w:color w:val="auto"/>
                <w:sz w:val="24"/>
                <w:szCs w:val="24"/>
                <w:highlight w:val="none"/>
                <w:lang w:val="en-US" w:eastAsia="zh-CN"/>
              </w:rPr>
              <w:t>便于分类和检索</w:t>
            </w:r>
            <w:r>
              <w:rPr>
                <w:rFonts w:hint="eastAsia" w:ascii="宋体" w:hAnsi="宋体" w:eastAsia="宋体" w:cs="宋体"/>
                <w:color w:val="auto"/>
                <w:sz w:val="24"/>
                <w:szCs w:val="24"/>
                <w:highlight w:val="none"/>
                <w:lang w:val="en-US" w:eastAsia="zh-CN"/>
              </w:rPr>
              <w:t>，可手动控制提醒开关，</w:t>
            </w:r>
            <w:r>
              <w:rPr>
                <w:rFonts w:hint="eastAsia" w:ascii="宋体" w:hAnsi="宋体" w:cs="宋体"/>
                <w:color w:val="auto"/>
                <w:sz w:val="24"/>
                <w:szCs w:val="24"/>
                <w:highlight w:val="none"/>
                <w:lang w:val="en-US" w:eastAsia="zh-CN"/>
              </w:rPr>
              <w:t>自定义选择是否</w:t>
            </w:r>
            <w:r>
              <w:rPr>
                <w:rFonts w:hint="eastAsia" w:ascii="宋体" w:hAnsi="宋体" w:eastAsia="宋体" w:cs="宋体"/>
                <w:color w:val="auto"/>
                <w:sz w:val="24"/>
                <w:szCs w:val="24"/>
                <w:highlight w:val="none"/>
                <w:lang w:val="en-US" w:eastAsia="zh-CN"/>
              </w:rPr>
              <w:t>提醒至</w:t>
            </w:r>
            <w:r>
              <w:rPr>
                <w:rFonts w:hint="eastAsia" w:ascii="宋体" w:hAnsi="宋体" w:cs="宋体"/>
                <w:color w:val="auto"/>
                <w:sz w:val="24"/>
                <w:szCs w:val="24"/>
                <w:highlight w:val="none"/>
                <w:lang w:val="en-US" w:eastAsia="zh-CN"/>
              </w:rPr>
              <w:t>班主任、家长</w:t>
            </w:r>
            <w:r>
              <w:rPr>
                <w:rFonts w:hint="eastAsia" w:ascii="宋体" w:hAnsi="宋体" w:eastAsia="宋体" w:cs="宋体"/>
                <w:color w:val="auto"/>
                <w:sz w:val="24"/>
                <w:szCs w:val="24"/>
                <w:highlight w:val="none"/>
                <w:lang w:val="en-US" w:eastAsia="zh-CN"/>
              </w:rPr>
              <w:t>移动端；</w:t>
            </w: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二、课堂表现点评</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须支持任课教师/指定学生PAD端登录个人账号，拍照识别学生，进行</w:t>
            </w:r>
            <w:r>
              <w:rPr>
                <w:rFonts w:hint="eastAsia" w:hAnsi="宋体" w:cs="宋体"/>
                <w:color w:val="auto"/>
                <w:sz w:val="24"/>
                <w:szCs w:val="24"/>
                <w:highlight w:val="none"/>
                <w:lang w:val="en-US" w:eastAsia="zh-CN"/>
              </w:rPr>
              <w:t>课堂表现</w:t>
            </w:r>
            <w:r>
              <w:rPr>
                <w:rFonts w:hint="eastAsia" w:ascii="宋体" w:hAnsi="宋体" w:eastAsia="宋体" w:cs="宋体"/>
                <w:color w:val="auto"/>
                <w:sz w:val="24"/>
                <w:szCs w:val="24"/>
                <w:highlight w:val="none"/>
                <w:lang w:val="en-US" w:eastAsia="zh-CN"/>
              </w:rPr>
              <w:t>登记；</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三、作业提交情况</w:t>
            </w:r>
          </w:p>
          <w:p>
            <w:pPr>
              <w:pStyle w:val="16"/>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须支持任课教师/指定学生在Pad端拍照识别学生，进行作业提交情况登记；</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b w:val="0"/>
                <w:bCs w:val="0"/>
                <w:color w:val="auto"/>
                <w:sz w:val="24"/>
                <w:szCs w:val="24"/>
                <w:highlight w:val="none"/>
                <w:lang w:val="en-US" w:eastAsia="zh-CN"/>
              </w:rPr>
              <w:t>数据统计</w:t>
            </w: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须支持按日/周/月/学期/自定义时间统计各年级、班级的点评结果，提供直观的数据展示，教师可查看</w:t>
            </w:r>
            <w:r>
              <w:rPr>
                <w:rFonts w:hint="eastAsia" w:ascii="宋体" w:hAnsi="宋体" w:cs="宋体"/>
                <w:color w:val="auto"/>
                <w:sz w:val="24"/>
                <w:szCs w:val="24"/>
                <w:highlight w:val="none"/>
                <w:lang w:val="en-US" w:eastAsia="zh-CN"/>
              </w:rPr>
              <w:t>每个班的</w:t>
            </w:r>
            <w:r>
              <w:rPr>
                <w:rFonts w:hint="eastAsia" w:ascii="宋体" w:hAnsi="宋体" w:eastAsia="宋体" w:cs="宋体"/>
                <w:color w:val="auto"/>
                <w:sz w:val="24"/>
                <w:szCs w:val="24"/>
                <w:highlight w:val="none"/>
                <w:lang w:val="en-US" w:eastAsia="zh-CN"/>
              </w:rPr>
              <w:t>点评项（例如课堂表现、作业情况）加减分详情；</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lang w:val="en-US" w:eastAsia="zh-CN"/>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trike w:val="0"/>
                <w:dstrike w:val="0"/>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2</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lang w:val="en-US" w:eastAsia="zh-CN"/>
              </w:rPr>
              <w:t>上课无感考勤</w:t>
            </w:r>
          </w:p>
        </w:tc>
        <w:tc>
          <w:tcPr>
            <w:tcW w:w="3950" w:type="dxa"/>
            <w:shd w:val="clear" w:color="auto" w:fill="auto"/>
            <w:noWrap w:val="0"/>
            <w:vAlign w:val="center"/>
          </w:tcPr>
          <w:p>
            <w:pPr>
              <w:numPr>
                <w:ilvl w:val="0"/>
                <w:numId w:val="0"/>
              </w:numPr>
              <w:spacing w:line="24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 xml:space="preserve">考勤规则配置 </w:t>
            </w:r>
          </w:p>
          <w:p>
            <w:pPr>
              <w:numPr>
                <w:ilvl w:val="0"/>
                <w:numId w:val="0"/>
              </w:num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须支持教学班、行政班的上课考勤，考勤配置颗粒度可精细到班级、课程、老师；提供班级座位表配置功能，可拖拉拽快速配置班级座位表；须支持设置考勤登记提醒，考勤时间提醒考勤教师登记考勤； </w:t>
            </w:r>
          </w:p>
          <w:p>
            <w:pPr>
              <w:numPr>
                <w:ilvl w:val="0"/>
                <w:numId w:val="0"/>
              </w:num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二、学生上课考勤 </w:t>
            </w:r>
          </w:p>
          <w:p>
            <w:pPr>
              <w:numPr>
                <w:ilvl w:val="0"/>
                <w:numId w:val="9"/>
              </w:numPr>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无感考勤：支持通过教室已有巡课监控抓拍进行上课无感考勤； </w:t>
            </w:r>
          </w:p>
          <w:p>
            <w:pPr>
              <w:numPr>
                <w:ilvl w:val="0"/>
                <w:numId w:val="9"/>
              </w:numPr>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班牌考勤：支持通过电子班牌进行上课进行上课刷脸/刷卡识别自动考勤； </w:t>
            </w:r>
          </w:p>
          <w:p>
            <w:pPr>
              <w:numPr>
                <w:ilvl w:val="0"/>
                <w:numId w:val="9"/>
              </w:numPr>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考勤补录：支持教师通过教室已有一体机设备、移动端进行考勤手动登记补录； </w:t>
            </w:r>
          </w:p>
          <w:p>
            <w:pPr>
              <w:numPr>
                <w:ilvl w:val="0"/>
                <w:numId w:val="9"/>
              </w:numPr>
              <w:spacing w:line="240" w:lineRule="auto"/>
              <w:ind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 xml:space="preserve">学生考勤结果：一体机端、班牌端、教师端可实时同步查询课堂考勤结果； </w:t>
            </w:r>
          </w:p>
          <w:p>
            <w:pPr>
              <w:pStyle w:val="9"/>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三、现有设备对接</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须支持对接巡课监控</w:t>
            </w:r>
            <w:r>
              <w:rPr>
                <w:rFonts w:hint="eastAsia" w:ascii="宋体" w:hAnsi="宋体" w:cs="宋体"/>
                <w:b/>
                <w:bCs/>
                <w:color w:val="auto"/>
                <w:sz w:val="24"/>
                <w:szCs w:val="24"/>
                <w:highlight w:val="none"/>
                <w:lang w:val="en-US" w:eastAsia="zh-CN"/>
              </w:rPr>
              <w:t>设备</w:t>
            </w:r>
            <w:r>
              <w:rPr>
                <w:rFonts w:hint="eastAsia" w:ascii="宋体" w:hAnsi="宋体" w:cs="宋体"/>
                <w:b w:val="0"/>
                <w:bCs w:val="0"/>
                <w:color w:val="auto"/>
                <w:sz w:val="24"/>
                <w:szCs w:val="24"/>
                <w:highlight w:val="none"/>
                <w:lang w:val="en-US" w:eastAsia="zh-CN"/>
              </w:rPr>
              <w:t>（海康威视iDS-EGD0288-H/FR</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，实现考勤数据的自动无感化采集功能。【投标时须提供现有设备对接方案及承诺函】</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trike w:val="0"/>
                <w:dstrike w:val="0"/>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trike w:val="0"/>
                <w:dstrike w:val="0"/>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3</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lang w:val="en-US" w:eastAsia="zh-CN"/>
              </w:rPr>
              <w:t>课堂教学反馈</w:t>
            </w:r>
          </w:p>
        </w:tc>
        <w:tc>
          <w:tcPr>
            <w:tcW w:w="39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支持按班级登记教师课堂反馈情况，可上传图片附件，反馈结果自动抄送相关责任教师。</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lang w:val="en-US" w:eastAsia="zh-CN"/>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trike w:val="0"/>
                <w:dstrike w:val="0"/>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4</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kern w:val="2"/>
                <w:sz w:val="24"/>
                <w:szCs w:val="24"/>
                <w:highlight w:val="none"/>
                <w:lang w:val="en-US" w:eastAsia="zh-CN" w:bidi="ar-SA"/>
              </w:rPr>
              <w:t>学生成绩管理</w:t>
            </w:r>
          </w:p>
        </w:tc>
        <w:tc>
          <w:tcPr>
            <w:tcW w:w="3950" w:type="dxa"/>
            <w:shd w:val="clear" w:color="auto" w:fill="auto"/>
            <w:noWrap w:val="0"/>
            <w:vAlign w:val="center"/>
          </w:tcPr>
          <w:p>
            <w:pPr>
              <w:keepNext w:val="0"/>
              <w:keepLines w:val="0"/>
              <w:pageBreakBefore w:val="0"/>
              <w:numPr>
                <w:ilvl w:val="0"/>
                <w:numId w:val="1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学生成绩录入</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支持教师按照学校Excel模板导入学生成绩，实现不同格式学生成绩的导入。</w:t>
            </w:r>
          </w:p>
          <w:p>
            <w:pPr>
              <w:keepNext w:val="0"/>
              <w:keepLines w:val="0"/>
              <w:pageBreakBefore w:val="0"/>
              <w:numPr>
                <w:ilvl w:val="0"/>
                <w:numId w:val="1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学生成绩发布</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支持根据教师导入的成绩单，点对点发送学生成绩至家长移动端，家长仅能查看自己孩子的成绩情况。</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lang w:val="en-US" w:eastAsia="zh-CN"/>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trike w:val="0"/>
                <w:dstrike w:val="0"/>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5</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lang w:val="en-US" w:eastAsia="zh-CN"/>
              </w:rPr>
              <w:t>学生教学报告</w:t>
            </w:r>
          </w:p>
        </w:tc>
        <w:tc>
          <w:tcPr>
            <w:tcW w:w="3950" w:type="dxa"/>
            <w:shd w:val="clear" w:color="auto" w:fill="auto"/>
            <w:noWrap w:val="0"/>
            <w:vAlign w:val="center"/>
          </w:tcPr>
          <w:p>
            <w:pPr>
              <w:keepNext w:val="0"/>
              <w:keepLines w:val="0"/>
              <w:pageBreakBefore w:val="0"/>
              <w:tabs>
                <w:tab w:val="left" w:pos="1097"/>
              </w:tabs>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支持以可视化报告形式展示学生教学数据，须包含学生作业、课堂表现、考试成绩、上课考勤、教师评语等教学管理维度数据，家长及相关责任教师可在移动端查看学生教学报告。</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lang w:val="en-US" w:eastAsia="zh-CN"/>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trike w:val="0"/>
                <w:dstrike w:val="0"/>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2" w:hRule="atLeast"/>
          <w:jc w:val="center"/>
        </w:trPr>
        <w:tc>
          <w:tcPr>
            <w:tcW w:w="1153" w:type="dxa"/>
            <w:shd w:val="clear" w:color="auto" w:fill="FDEAD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p>
        </w:tc>
        <w:tc>
          <w:tcPr>
            <w:tcW w:w="8073" w:type="dxa"/>
            <w:gridSpan w:val="4"/>
            <w:shd w:val="clear" w:color="auto" w:fill="FDEAD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德育管理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26"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1</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lang w:val="en-US" w:eastAsia="zh-CN"/>
              </w:rPr>
              <w:t>学生荣誉申报</w:t>
            </w:r>
          </w:p>
        </w:tc>
        <w:tc>
          <w:tcPr>
            <w:tcW w:w="3950" w:type="dxa"/>
            <w:shd w:val="clear" w:color="auto" w:fill="auto"/>
            <w:noWrap w:val="0"/>
            <w:vAlign w:val="top"/>
          </w:tcPr>
          <w:p>
            <w:pPr>
              <w:pStyle w:val="8"/>
              <w:keepNext w:val="0"/>
              <w:keepLines w:val="0"/>
              <w:pageBreakBefore w:val="0"/>
              <w:numPr>
                <w:ilvl w:val="0"/>
                <w:numId w:val="11"/>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学生荣誉申报</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须支持通过移动端进行申报，需填写完成学生荣誉各项信息，须支持查看申报记录及审批状态。</w:t>
            </w:r>
          </w:p>
          <w:p>
            <w:pPr>
              <w:keepNext w:val="0"/>
              <w:keepLines w:val="0"/>
              <w:pageBreakBefore w:val="0"/>
              <w:numPr>
                <w:ilvl w:val="0"/>
                <w:numId w:val="11"/>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学生荣誉统计</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须支持通过移动端查看学生荣誉统计，可通过姓名对学生荣誉进行快捷检索，可查看到每个学生的荣誉详情。</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三、学生荣誉管理</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1）须支持通过学生姓名、班级、登记时间对学生荣誉进行快捷检索；</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2）须支持进行高级筛选，可通过荣誉类型、荣誉级别、荣誉等级、荣誉类别对学生荣誉进行筛选并查看详情；</w:t>
            </w:r>
          </w:p>
          <w:p>
            <w:pPr>
              <w:pStyle w:val="8"/>
              <w:keepNext w:val="0"/>
              <w:keepLines w:val="0"/>
              <w:pageBreakBefore w:val="0"/>
              <w:numPr>
                <w:ilvl w:val="0"/>
                <w:numId w:val="0"/>
              </w:numPr>
              <w:kinsoku/>
              <w:wordWrap/>
              <w:overflowPunct/>
              <w:topLinePunct w:val="0"/>
              <w:autoSpaceDE/>
              <w:autoSpaceDN/>
              <w:bidi w:val="0"/>
              <w:adjustRightInd/>
              <w:snapToGrid/>
              <w:spacing w:line="24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2）管理教师可通过后台撤回学生荣誉；</w:t>
            </w:r>
          </w:p>
          <w:p>
            <w:pPr>
              <w:pStyle w:val="11"/>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3）根据校内不同的评分规则，自定义不同级别以及等级的荣誉的评分；</w:t>
            </w:r>
            <w:r>
              <w:rPr>
                <w:rFonts w:hint="eastAsia" w:ascii="宋体" w:hAnsi="宋体" w:eastAsia="宋体" w:cs="宋体"/>
                <w:b w:val="0"/>
                <w:bCs/>
                <w:color w:val="auto"/>
                <w:sz w:val="24"/>
                <w:szCs w:val="24"/>
                <w:highlight w:val="none"/>
                <w:lang w:val="en-US" w:eastAsia="zh-CN"/>
              </w:rPr>
              <w:br w:type="textWrapping"/>
            </w:r>
            <w:r>
              <w:rPr>
                <w:rFonts w:hint="eastAsia" w:ascii="宋体" w:hAnsi="宋体" w:eastAsia="宋体" w:cs="宋体"/>
                <w:b w:val="0"/>
                <w:bCs/>
                <w:color w:val="auto"/>
                <w:sz w:val="24"/>
                <w:szCs w:val="24"/>
                <w:highlight w:val="none"/>
                <w:lang w:val="en-US" w:eastAsia="zh-CN"/>
              </w:rPr>
              <w:t>4）须支持对学生荣誉筛选查询出的数据进行导出，可在数据导出记录中进行查看下载；</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66"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2</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lang w:val="en-US" w:eastAsia="zh-CN"/>
              </w:rPr>
              <w:t>班级荣誉管理</w:t>
            </w:r>
          </w:p>
        </w:tc>
        <w:tc>
          <w:tcPr>
            <w:tcW w:w="3950" w:type="dxa"/>
            <w:shd w:val="clear" w:color="auto" w:fill="auto"/>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一、班级荣誉申报</w:t>
            </w:r>
          </w:p>
          <w:p>
            <w:pPr>
              <w:pStyle w:val="8"/>
              <w:keepNext w:val="0"/>
              <w:keepLines w:val="0"/>
              <w:pageBreakBefore w:val="0"/>
              <w:numPr>
                <w:ilvl w:val="0"/>
                <w:numId w:val="12"/>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须支持教师通过移动端进行班级荣誉申报，可填写荣誉申报各项信息，在通过审批后，对应班级获得的荣誉可通过后台查看；</w:t>
            </w:r>
          </w:p>
          <w:p>
            <w:pPr>
              <w:pStyle w:val="8"/>
              <w:keepNext w:val="0"/>
              <w:keepLines w:val="0"/>
              <w:pageBreakBefore w:val="0"/>
              <w:numPr>
                <w:ilvl w:val="0"/>
                <w:numId w:val="12"/>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须支持教师通过移动端查看班级荣誉申报记录。</w:t>
            </w:r>
          </w:p>
          <w:p>
            <w:pPr>
              <w:keepNext w:val="0"/>
              <w:keepLines w:val="0"/>
              <w:pageBreakBefore w:val="0"/>
              <w:numPr>
                <w:ilvl w:val="0"/>
                <w:numId w:val="11"/>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班级荣誉统计</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须支持教师在移动端查看班级荣誉统计，并查看荣誉详情；</w:t>
            </w:r>
          </w:p>
          <w:p>
            <w:pPr>
              <w:pStyle w:val="11"/>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四、班级荣誉管理</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须支持通过学段、年级，登记开始日期以及登记结束日期对班级荣誉进行快捷检索；可查看每个班级的每次登记的荣誉详情，须支持管理教师通过后台对荣誉进行撤回；须支持对筛选查询到的数据进行数据导出，可到数据导出记录中查看到导出的数据并进行下载；</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2）须支持通过高级筛选帮助管理教师快捷查找到班级荣誉；</w:t>
            </w:r>
          </w:p>
          <w:p>
            <w:pPr>
              <w:pStyle w:val="11"/>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3）须支持对不同荣誉进行评分编辑，编辑不同种类的荣誉得分；</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3</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lang w:val="en-US" w:eastAsia="zh-CN"/>
              </w:rPr>
              <w:t>任职履历登记</w:t>
            </w:r>
          </w:p>
        </w:tc>
        <w:tc>
          <w:tcPr>
            <w:tcW w:w="3950" w:type="dxa"/>
            <w:shd w:val="clear" w:color="auto" w:fill="auto"/>
            <w:noWrap w:val="0"/>
            <w:vAlign w:val="center"/>
          </w:tcPr>
          <w:p>
            <w:pPr>
              <w:pStyle w:val="8"/>
              <w:keepNext w:val="0"/>
              <w:keepLines w:val="0"/>
              <w:pageBreakBefore w:val="0"/>
              <w:numPr>
                <w:ilvl w:val="0"/>
                <w:numId w:val="13"/>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任职履历申报</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须支持教师通过移动端进行申报，教师需选择学生、并填写担任的职务以及其他相关信息，通过审批后，须支持在记录中查看到申报详情；</w:t>
            </w:r>
          </w:p>
          <w:p>
            <w:pPr>
              <w:keepNext w:val="0"/>
              <w:keepLines w:val="0"/>
              <w:pageBreakBefore w:val="0"/>
              <w:numPr>
                <w:ilvl w:val="0"/>
                <w:numId w:val="13"/>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任职履历统计</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须支持通过班级以及学生姓名对任职履历进进行检索，可按班级检索学生，并查看每个学生的任职履历详情；</w:t>
            </w:r>
          </w:p>
          <w:p>
            <w:pPr>
              <w:pStyle w:val="11"/>
              <w:keepNext w:val="0"/>
              <w:keepLines w:val="0"/>
              <w:pageBreakBefore w:val="0"/>
              <w:numPr>
                <w:ilvl w:val="0"/>
                <w:numId w:val="13"/>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任职履历管理</w:t>
            </w:r>
          </w:p>
          <w:p>
            <w:pPr>
              <w:pStyle w:val="11"/>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snapToGrid/>
                <w:color w:val="auto"/>
                <w:kern w:val="2"/>
                <w:sz w:val="24"/>
                <w:szCs w:val="24"/>
                <w:highlight w:val="none"/>
                <w:lang w:val="en-US" w:eastAsia="zh-CN" w:bidi="ar-SA"/>
              </w:rPr>
              <w:t>须支持通过学生姓名以及登记开始时期、结束时期对任</w:t>
            </w:r>
            <w:r>
              <w:rPr>
                <w:rFonts w:hint="eastAsia" w:ascii="宋体" w:hAnsi="宋体" w:eastAsia="宋体" w:cs="宋体"/>
                <w:b w:val="0"/>
                <w:bCs/>
                <w:color w:val="auto"/>
                <w:sz w:val="24"/>
                <w:szCs w:val="24"/>
                <w:highlight w:val="none"/>
                <w:lang w:val="en-US" w:eastAsia="zh-CN"/>
              </w:rPr>
              <w:t>职履历登记记录进行筛选查询，可对任职履历申报进行撤销操作；</w:t>
            </w:r>
          </w:p>
          <w:p>
            <w:pPr>
              <w:pStyle w:val="8"/>
              <w:keepNext w:val="0"/>
              <w:keepLines w:val="0"/>
              <w:pageBreakBefore w:val="0"/>
              <w:numPr>
                <w:ilvl w:val="0"/>
                <w:numId w:val="13"/>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评分管理</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须支持对任职得分进行自定义编辑，并可配置是否打开任职评分；</w:t>
            </w:r>
          </w:p>
          <w:p>
            <w:pPr>
              <w:pStyle w:val="8"/>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五、履历数据统计</w:t>
            </w:r>
          </w:p>
          <w:p>
            <w:pPr>
              <w:pStyle w:val="8"/>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支持筛选履历数据并，进行数据导出；</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376"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4</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trike w:val="0"/>
                <w:dstrike w:val="0"/>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lang w:val="en-US" w:eastAsia="zh-CN"/>
              </w:rPr>
              <w:t>活动参与管理</w:t>
            </w:r>
          </w:p>
        </w:tc>
        <w:tc>
          <w:tcPr>
            <w:tcW w:w="3950" w:type="dxa"/>
            <w:shd w:val="clear" w:color="auto" w:fill="auto"/>
            <w:noWrap w:val="0"/>
            <w:vAlign w:val="center"/>
          </w:tcPr>
          <w:p>
            <w:pPr>
              <w:pStyle w:val="8"/>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活动参与管理</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须支持管理教师通过学生姓名、登记开始时期以及结束时期对参与活动的记录进行快捷检索。须支持对参与的活动进行撤销。</w:t>
            </w:r>
          </w:p>
          <w:p>
            <w:pPr>
              <w:pStyle w:val="11"/>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评分管理</w:t>
            </w:r>
          </w:p>
          <w:p>
            <w:pPr>
              <w:pStyle w:val="11"/>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须支持对不同活动</w:t>
            </w:r>
            <w:r>
              <w:rPr>
                <w:rFonts w:hint="eastAsia" w:cs="宋体"/>
                <w:b w:val="0"/>
                <w:bCs/>
                <w:snapToGrid/>
                <w:color w:val="auto"/>
                <w:kern w:val="2"/>
                <w:sz w:val="24"/>
                <w:szCs w:val="24"/>
                <w:highlight w:val="none"/>
                <w:lang w:val="en-US" w:eastAsia="zh-CN" w:bidi="ar-SA"/>
              </w:rPr>
              <w:t>级别设置</w:t>
            </w:r>
            <w:r>
              <w:rPr>
                <w:rFonts w:hint="eastAsia" w:ascii="宋体" w:hAnsi="宋体" w:eastAsia="宋体" w:cs="宋体"/>
                <w:b w:val="0"/>
                <w:bCs/>
                <w:snapToGrid/>
                <w:color w:val="auto"/>
                <w:kern w:val="2"/>
                <w:sz w:val="24"/>
                <w:szCs w:val="24"/>
                <w:highlight w:val="none"/>
                <w:lang w:val="en-US" w:eastAsia="zh-CN" w:bidi="ar-SA"/>
              </w:rPr>
              <w:t>评分，并可配置是否开启活动评分。</w:t>
            </w:r>
          </w:p>
          <w:p>
            <w:pPr>
              <w:pStyle w:val="8"/>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活动参与申报</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须支持通过移动端进行活动参与申报，并须支持填写参与学生、活动名称、活动级别、日期、活动照片等，须支持上传学生参与活动照片。</w:t>
            </w:r>
          </w:p>
          <w:p>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活动参与统计</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snapToGrid/>
                <w:color w:val="auto"/>
                <w:kern w:val="2"/>
                <w:sz w:val="24"/>
                <w:szCs w:val="24"/>
                <w:highlight w:val="none"/>
                <w:lang w:val="en-US" w:eastAsia="zh-CN" w:bidi="ar-SA"/>
              </w:rPr>
              <w:t>须支持通过移动端按班级以及学生姓名筛选学生，并须支持点击查看学生参与活动详情数据。</w:t>
            </w:r>
          </w:p>
          <w:p>
            <w:pPr>
              <w:pStyle w:val="8"/>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活动参与数据统计</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须支持对当前查询结果进行导出操作，须支持在数据导出记录中查看下载，支撑学校进行数据统计分析。</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346"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5</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lang w:val="en-US" w:eastAsia="zh-CN"/>
              </w:rPr>
              <w:t>处分撤销申请</w:t>
            </w:r>
          </w:p>
        </w:tc>
        <w:tc>
          <w:tcPr>
            <w:tcW w:w="39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支持学生移动端上传手写版自省报告照片，提交后由相关任课教师（须包含语数外及选课）审批，须支持自动拉取发起学生相关任课教师，任课教师审批通过后转至学生处教师负责最终审批。</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56"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kern w:val="2"/>
                <w:sz w:val="24"/>
                <w:szCs w:val="24"/>
                <w:highlight w:val="none"/>
                <w:lang w:val="en-US" w:eastAsia="zh-CN" w:bidi="ar-SA"/>
              </w:rPr>
              <w:t>6</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kern w:val="2"/>
                <w:sz w:val="24"/>
                <w:szCs w:val="24"/>
                <w:highlight w:val="none"/>
                <w:lang w:val="en-US" w:eastAsia="zh-CN" w:bidi="ar-SA"/>
              </w:rPr>
              <w:t>学生端德育登记</w:t>
            </w:r>
          </w:p>
        </w:tc>
        <w:tc>
          <w:tcPr>
            <w:tcW w:w="39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支持指定学生PAD端登录个人账号，进行德育表现登记，能够针对学生的德育情况进行细致点评，数据统一汇总至现有德育登记功能内进行汇总展示。</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52" w:hRule="atLeast"/>
          <w:jc w:val="center"/>
        </w:trPr>
        <w:tc>
          <w:tcPr>
            <w:tcW w:w="1153" w:type="dxa"/>
            <w:shd w:val="clear" w:color="auto" w:fill="FDEAD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p>
        </w:tc>
        <w:tc>
          <w:tcPr>
            <w:tcW w:w="8073" w:type="dxa"/>
            <w:gridSpan w:val="4"/>
            <w:shd w:val="clear" w:color="auto" w:fill="FDEAD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校园AI智脑</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66"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1</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trike w:val="0"/>
                <w:dstrike w:val="0"/>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lang w:val="en-US" w:eastAsia="zh-CN"/>
              </w:rPr>
              <w:t>AI能力中心</w:t>
            </w:r>
          </w:p>
        </w:tc>
        <w:tc>
          <w:tcPr>
            <w:tcW w:w="39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作为智慧校园平台的核心智能中枢，建立教育专属AI服务空间。</w:t>
            </w:r>
          </w:p>
          <w:p>
            <w:pPr>
              <w:keepNext w:val="0"/>
              <w:keepLines w:val="0"/>
              <w:pageBreakBefore w:val="0"/>
              <w:numPr>
                <w:ilvl w:val="0"/>
                <w:numId w:val="15"/>
              </w:numPr>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教育场景AI应用构建</w:t>
            </w: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支持可视化知识库搭建，可将教学资源、行政管理数据、校园服务信息等多源数据进行智能归集，形成可动态更新的教育知识库；同时提供模型调用能力，帮助用户快速对接各类大模型，为校园信息化系统注入智能化基因。</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二、垂直领域大模型训练</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基于平台沉淀的大量教育数据，打造具备教育认知特性的专属大模型。通过预置的教育数据指标，使AI不仅能理解通用语义，更能精准把握教育场景中的专业术语和业务逻辑。</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三、智能体开发支持</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支持与AI一体化智慧校园平台深度融合，提供从数据接入到应用落地的完整能力。须基于学校已有及本项目采购的智慧校园平台内的应用实现请假登记、教师评语、考勤分析、轨迹分析、就诊分析等应用模块AI化构建，通过统一AI能力中心与业务系统之间的无缝对接实现AI应用与业务系统之间的调用（包含数据接口、业务流程的调用、数据调用安全保障机制等），因对接产生的所有费用均包含在内，投标人不得额外收取其他费用。</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2）要求本项目建设的所有AI应用无需安装APP，用户可通过一个账号实现钉钉、微信、web多端的平台内免登。</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2</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trike w:val="0"/>
                <w:dstrike w:val="0"/>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lang w:val="en-US" w:eastAsia="zh-CN"/>
              </w:rPr>
              <w:t>AI数字人</w:t>
            </w:r>
          </w:p>
        </w:tc>
        <w:tc>
          <w:tcPr>
            <w:tcW w:w="39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结合本次项目搭建的AI应用，以数字人形象的方式进行实时交互，实现AI数字人问答、问数等功能，支持大屏端数字人交互端口搭建，可集成并对接知识库或大模型，基于学校提供的学校人物定制设计AI数字人形象。</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3</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trike w:val="0"/>
                <w:dstrike w:val="0"/>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lang w:val="en-US" w:eastAsia="zh-CN"/>
              </w:rPr>
              <w:t>AI请假登记</w:t>
            </w:r>
          </w:p>
        </w:tc>
        <w:tc>
          <w:tcPr>
            <w:tcW w:w="39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利用AI技术实现智慧校园平台内学生请假模块的AI化构建，支持通过简单的文字/语音指令快速发起请假，自动调用应用并填写请假信息，一键快速提交。</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trike w:val="0"/>
                <w:dstrike w:val="0"/>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4</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trike w:val="0"/>
                <w:dstrike w:val="0"/>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lang w:val="en-US" w:eastAsia="zh-CN"/>
              </w:rPr>
              <w:t>AI教师评语</w:t>
            </w:r>
          </w:p>
        </w:tc>
        <w:tc>
          <w:tcPr>
            <w:tcW w:w="39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提供“AI帮我写”教师评语功能，支持根据选择的学生表现维度（如考试成绩、德育评分、荣誉获奖、学生违纪等），拉取指定时间范围内的数据，AI自动生成评语。</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trike w:val="0"/>
                <w:dstrike w:val="0"/>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5</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trike w:val="0"/>
                <w:dstrike w:val="0"/>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lang w:val="en-US" w:eastAsia="zh-CN"/>
              </w:rPr>
              <w:t>AI考勤分析</w:t>
            </w:r>
          </w:p>
        </w:tc>
        <w:tc>
          <w:tcPr>
            <w:tcW w:w="39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支持一句话查学生考勤，对学生上课考勤、晚自修考勤数据进行分析，AI自动生成学生晚自修考勤、上课考勤情况，以便及时发现问题并采取预防措施。</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trike w:val="0"/>
                <w:dstrike w:val="0"/>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6</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trike w:val="0"/>
                <w:dstrike w:val="0"/>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lang w:val="en-US" w:eastAsia="zh-CN"/>
              </w:rPr>
              <w:t>AI轨迹分析</w:t>
            </w:r>
          </w:p>
        </w:tc>
        <w:tc>
          <w:tcPr>
            <w:tcW w:w="39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支持一句话查轨迹，对学生的轨迹数据进行分析，AI自动生成学生一段时间内的轨迹点位、时间分布、异常活动、活动规律、建议等，以便及时发现问题、保护学生安全并采取预防措施。</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jc w:val="center"/>
        </w:trPr>
        <w:tc>
          <w:tcPr>
            <w:tcW w:w="115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7</w:t>
            </w:r>
          </w:p>
        </w:tc>
        <w:tc>
          <w:tcPr>
            <w:tcW w:w="2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trike w:val="0"/>
                <w:dstrike w:val="0"/>
                <w:color w:val="auto"/>
                <w:w w:val="90"/>
                <w:kern w:val="2"/>
                <w:sz w:val="24"/>
                <w:szCs w:val="24"/>
                <w:highlight w:val="none"/>
                <w:lang w:val="en-US" w:eastAsia="zh-CN" w:bidi="ar-SA"/>
              </w:rPr>
            </w:pPr>
            <w:r>
              <w:rPr>
                <w:rFonts w:hint="eastAsia" w:ascii="宋体" w:hAnsi="宋体" w:eastAsia="宋体" w:cs="宋体"/>
                <w:bCs/>
                <w:strike w:val="0"/>
                <w:dstrike w:val="0"/>
                <w:color w:val="auto"/>
                <w:w w:val="90"/>
                <w:sz w:val="24"/>
                <w:szCs w:val="24"/>
                <w:highlight w:val="none"/>
                <w:lang w:val="en-US" w:eastAsia="zh-CN"/>
              </w:rPr>
              <w:t>AI就诊分析</w:t>
            </w:r>
          </w:p>
        </w:tc>
        <w:tc>
          <w:tcPr>
            <w:tcW w:w="395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支持一句话查就医数据，就医高发期，学校可以通过AI分析就医数据，监测学生健康状况、输出健康管理建议，并通过统计疾病发生情况来优化校园医疗服务和促进学生健康。</w:t>
            </w:r>
          </w:p>
        </w:tc>
        <w:tc>
          <w:tcPr>
            <w:tcW w:w="9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1</w:t>
            </w:r>
          </w:p>
        </w:tc>
        <w:tc>
          <w:tcPr>
            <w:tcW w:w="10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w w:val="90"/>
                <w:kern w:val="2"/>
                <w:sz w:val="24"/>
                <w:szCs w:val="24"/>
                <w:highlight w:val="none"/>
                <w:lang w:val="en-US" w:eastAsia="zh-CN" w:bidi="ar-SA"/>
              </w:rPr>
            </w:pPr>
            <w:r>
              <w:rPr>
                <w:rFonts w:hint="eastAsia" w:ascii="宋体" w:hAnsi="宋体" w:eastAsia="宋体" w:cs="宋体"/>
                <w:bCs/>
                <w:color w:val="auto"/>
                <w:w w:val="90"/>
                <w:sz w:val="24"/>
                <w:szCs w:val="24"/>
                <w:highlight w:val="none"/>
              </w:rPr>
              <w:t>套</w:t>
            </w:r>
          </w:p>
        </w:tc>
      </w:tr>
    </w:tbl>
    <w:p>
      <w:pPr>
        <w:rPr>
          <w:rFonts w:ascii="宋体" w:hAnsi="宋体" w:cs="宋体"/>
          <w:b/>
          <w:bCs/>
          <w:color w:val="auto"/>
          <w:sz w:val="24"/>
          <w:highlight w:val="none"/>
        </w:rPr>
      </w:pPr>
    </w:p>
    <w:p>
      <w:pPr>
        <w:numPr>
          <w:ilvl w:val="0"/>
          <w:numId w:val="0"/>
        </w:numPr>
        <w:spacing w:line="360" w:lineRule="auto"/>
        <w:ind w:leftChars="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二、建设要求</w:t>
      </w:r>
    </w:p>
    <w:p>
      <w:pPr>
        <w:bidi w:val="0"/>
        <w:spacing w:line="360" w:lineRule="auto"/>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为更好与招标人信息化系统兼容，保证系统建设的一致性，本次项目平台系统建设须满足学以下建设要求。</w:t>
      </w:r>
    </w:p>
    <w:p>
      <w:pPr>
        <w:bidi w:val="0"/>
        <w:spacing w:line="360" w:lineRule="auto"/>
        <w:ind w:left="0" w:leftChars="0" w:firstLine="422" w:firstLineChars="175"/>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一、原有平台对接：须支持与学校原有智慧校园平台进行无缝对接，实现统一用户认证、统一组织架构、统一业务标准、统一数据标准。【投标时须提供原有平台对接承诺函或相关证明材料】</w:t>
      </w:r>
    </w:p>
    <w:p>
      <w:pPr>
        <w:spacing w:line="360" w:lineRule="auto"/>
        <w:ind w:left="0" w:leftChars="0" w:firstLine="422" w:firstLineChars="175"/>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二、业务应用对接：本次项目建设内容须实现与学校原有智慧校园平台内的请假登记、教师评语等业务应用进行深度对接，实现AI能力中心与已有业务应用之间的接口调用（包含数据接口、业务流程的调用、数据调用过程中的安全保障机制）【投标时须提供业务应用对接承诺函或相关证明材料】</w:t>
      </w:r>
    </w:p>
    <w:p>
      <w:pPr>
        <w:spacing w:line="360" w:lineRule="auto"/>
        <w:ind w:left="0" w:leftChars="0" w:firstLine="422" w:firstLineChars="175"/>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三、业务数据对接：本次项目建设内容须实现与学校原有数据中台内的业务数据进行无缝对接。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1、获取考勤、轨迹、就诊相关基础数据、业务数据，实现AI考勤分析、AI轨迹分析、AI就诊分析相关数据的实时同步；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开放系统产生的所有业务数据至数据中台，确保数据中台可完整获取相关业务数据，实现与现有学生档案、德育管理功能、数据报表、数据驾驶舱的同步展示。【投标时须提供业务数据对接承诺函或相关证明材料】</w:t>
      </w:r>
    </w:p>
    <w:p>
      <w:pPr>
        <w:keepNext w:val="0"/>
        <w:keepLines w:val="0"/>
        <w:spacing w:line="360" w:lineRule="auto"/>
        <w:ind w:left="0" w:firstLine="420" w:firstLineChars="175"/>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p>
      <w:pPr>
        <w:keepNext w:val="0"/>
        <w:keepLines w:val="0"/>
        <w:spacing w:line="360" w:lineRule="auto"/>
        <w:ind w:left="0"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一、原有智慧校园</w:t>
      </w:r>
      <w:r>
        <w:rPr>
          <w:rFonts w:hint="eastAsia" w:ascii="宋体" w:hAnsi="宋体" w:cs="宋体"/>
          <w:b w:val="0"/>
          <w:bCs w:val="0"/>
          <w:color w:val="auto"/>
          <w:sz w:val="24"/>
          <w:szCs w:val="24"/>
          <w:highlight w:val="none"/>
          <w:lang w:val="en-US" w:eastAsia="zh-CN"/>
        </w:rPr>
        <w:t>中</w:t>
      </w:r>
      <w:r>
        <w:rPr>
          <w:rFonts w:hint="eastAsia" w:ascii="宋体" w:hAnsi="宋体" w:eastAsia="宋体" w:cs="宋体"/>
          <w:b w:val="0"/>
          <w:bCs w:val="0"/>
          <w:color w:val="auto"/>
          <w:sz w:val="24"/>
          <w:szCs w:val="24"/>
          <w:highlight w:val="none"/>
          <w:lang w:val="en-US" w:eastAsia="zh-CN"/>
        </w:rPr>
        <w:t>台参数如下：</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1、数据同步数据源支持：</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关系型数据库：MySQL、Oracle、SQLServer、PostgreSQL、DB2、达梦、AnalyticDB PostgreSQL；</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分析型数据库：TiDB、Greenplum、Clickhouse、Kudu、Impala、Doris(http)；</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大数据存储：HDFS、Hive、MaxCompute、Inceptor、phoenix；</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NoSQL存储：ElasticSearch、HBase、MongoDB、Gbase；</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其他存储：FTP、Redis、AWS S3、Solr、SAP HANA；</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国产数据库支持：达梦、Gbase、DB2、GaussDB、Kingbase ES8；</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时序数据库：Influxdb、OpenTSDB，以上数据源保证大部分能够支持向导模式读写；</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2、任务创建：支持丰富的任务类型，包括SparkSQL、GreenplumSQL、InceptorSQL、ImpalaSQL、HiveSQL、TiDBSQL、GaussDBSQL、OracleSQL、AnalyticDB PostgreSQL、MySQL、SQL Server、虚节点、数据同步、PySpark、HadoopMR、Python、Shell、Shell on Agent、条件分支、事件任务、工作流、虚节点、文件拷贝等；</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3、数据源：支持MySQL/Oracle/SQLServer/PostgreSQL/DB2/ADSTiDB/Impala/</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Kylin/ES/MongDB/Solr/HBase/KingbaseES8/ClickHouse/Greenplum/AnalyticDB MySQL/Phoenix/Redis多种数据源查询；</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4、API申请支持用户按照API调用次数、调用周期申请，超出申请的次数时或超出时间段时，系统自动为此用户停止API服务，支持选择出参内容；</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5、向导模式生成：支持向导模式生成API，step by step填写API配置参数，支持大于、等于、小于等至少8种以上操作符；</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6、自定义SQL模式生成：脚本模式支持创建API：支持自定义SQL生成API，支持多张表的关联表输出、子查询、复杂查询及函数计算，支持灵活配置。</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7、API授权：支持查看所有API申请、执行审批/拒绝操作，支持取消某用户的API授权；</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8、API告警：支持对API调用失败进行告警配置及告警通知发送；</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9、安全组设置：支持设置API访问的黑白名单；</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10、行级权限：支持控制API的行级权限，使得每个用户在使用API时，若输入参数不符合行级权限标识，须实现无法获得相应内容的输出；</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11、AK/Sk加密方式调用：APP、Key、APP Secret加密后的签名填写在Header中支持进行调用，以便API调用具有更高的安全性，适合应用系统间、跨域名等安全性要求高的使用场景；</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12、Token加密方式调用：支持将API-TOKEN填写至Header中进行调用，适合API测试等使用场景；</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13、API限流：针对API，控制单秒调用次数；</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14、RSA+AES传输加密：支持对请求/返回结果的传输内容进行加密处理，保障数据安全性；</w:t>
      </w:r>
    </w:p>
    <w:p>
      <w:pPr>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15、API创建：同时支持API向导式、脚本模式、注册方式实现API创建；二、原二、</w:t>
      </w:r>
      <w:r>
        <w:rPr>
          <w:rFonts w:hint="eastAsia" w:ascii="宋体" w:hAnsi="宋体" w:cs="宋体"/>
          <w:b w:val="0"/>
          <w:bCs w:val="0"/>
          <w:color w:val="auto"/>
          <w:sz w:val="24"/>
          <w:szCs w:val="24"/>
          <w:highlight w:val="none"/>
          <w:lang w:val="en-US" w:eastAsia="zh-CN"/>
        </w:rPr>
        <w:t>原</w:t>
      </w:r>
      <w:r>
        <w:rPr>
          <w:rFonts w:hint="eastAsia" w:ascii="宋体" w:hAnsi="宋体" w:eastAsia="宋体" w:cs="宋体"/>
          <w:b w:val="0"/>
          <w:bCs w:val="0"/>
          <w:color w:val="auto"/>
          <w:sz w:val="24"/>
          <w:szCs w:val="24"/>
          <w:highlight w:val="none"/>
          <w:lang w:val="en-US" w:eastAsia="zh-CN"/>
        </w:rPr>
        <w:t>有智慧校园平台参数如下：</w:t>
      </w:r>
    </w:p>
    <w:p>
      <w:pPr>
        <w:keepNext w:val="0"/>
        <w:keepLines w:val="0"/>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1、需授权参数：手机号（mobile）、用户姓名（userName）学工号（userCode）、一卡通号（cardNo）、组织id（campusId）、用户id（userId）、用户类型（userType，用户类型6：老师，2：家长，1：学生）</w:t>
      </w:r>
    </w:p>
    <w:p>
      <w:pPr>
        <w:keepNext w:val="0"/>
        <w:keepLines w:val="0"/>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2、平台开通授权：获取应用的访问凭证access_token，获取的AppKey和AppSecret，调用接口获取应用授权企业的accessToken，通过access_token来鉴权调用者身份。</w:t>
      </w:r>
    </w:p>
    <w:p>
      <w:pPr>
        <w:keepNext w:val="0"/>
        <w:keepLines w:val="0"/>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单点登录接入：平台OAuth2.0/oidc授权登入是用户使用统一身份登录网页，在用户授权登录已接入OAuth2.0的接入方网页后，接入方可以获取到用户的接口调用凭证（access_token），通过access_token可以进行用户信息的接口调用，从而可实现获取用户基本开放信息和帮助用户实现基础开放功能。若是oidc接入，会返回一个idtoken:解析idtoken，会获取到用户的基本信息，不在需要调用获取用户的接口； 适用于拥有server端的应用授权。</w:t>
      </w:r>
    </w:p>
    <w:p>
      <w:pPr>
        <w:keepNext w:val="0"/>
        <w:keepLines w:val="0"/>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CAS接入：同oidc的接入工作，创建一个开发者，选择对接协议为cas，访问第三方地址显示未登入时重定向到cas登入页面，用户已登入情况下会生成一个ticket，跳转到第三方地址，输入账号密码登入，登入成功后，选择登入的组织，选择成功后跳入第三方应用页面，获取票据成功，获取登入用户信息。</w:t>
      </w:r>
    </w:p>
    <w:p>
      <w:pPr>
        <w:keepNext w:val="0"/>
        <w:keepLines w:val="0"/>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5、项目接入：添加依赖、加入注解、CAS配置、获取用户信息。</w:t>
      </w:r>
    </w:p>
    <w:p>
      <w:pPr>
        <w:keepNext w:val="0"/>
        <w:keepLines w:val="0"/>
        <w:spacing w:line="360" w:lineRule="auto"/>
        <w:ind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6、开放接口：为了实现统一用户认证，通过POST请求方式，平台开放以下用户信息，含获取应用的 Access Token、组织管理、内部通讯录、家校通讯录、角色、 授权管理、人脸库等，为保证数据安全，平台会为对接方提供一对密钥，获取数据时对数据加密处理，对接方可通过私钥获取明文。</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、商务要求</w:t>
      </w:r>
    </w:p>
    <w:p>
      <w:pPr>
        <w:numPr>
          <w:ilvl w:val="0"/>
          <w:numId w:val="16"/>
        </w:numPr>
        <w:spacing w:line="360" w:lineRule="auto"/>
        <w:rPr>
          <w:rFonts w:ascii="宋体" w:hAnsi="宋体" w:cs="宋体"/>
          <w:color w:val="auto"/>
          <w:sz w:val="24"/>
          <w:highlight w:val="none"/>
        </w:rPr>
      </w:pPr>
      <w:r>
        <w:rPr>
          <w:rFonts w:hint="eastAsia" w:ascii="宋体" w:hAnsi="宋体" w:cs="宋体"/>
          <w:color w:val="auto"/>
          <w:sz w:val="24"/>
          <w:highlight w:val="none"/>
        </w:rPr>
        <w:t>项目的交付（实施）时间（期限）、地点（范围）：</w:t>
      </w:r>
    </w:p>
    <w:p>
      <w:pPr>
        <w:numPr>
          <w:ilvl w:val="0"/>
          <w:numId w:val="17"/>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实施时间：合同签订后60日历天内完成项目实施。</w:t>
      </w:r>
    </w:p>
    <w:p>
      <w:pPr>
        <w:numPr>
          <w:ilvl w:val="0"/>
          <w:numId w:val="17"/>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实施地点：采购人指定地点。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3.本项目的所有软、硬件(如线缆、管线、软件、硬件、模块等，包括未列出而系统实施又必需的软件、硬件)需配齐以构成一套完整实用系统，如有任何遗漏，由中标人补齐（相关费用包含在总价内）；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4.投标方案中的硬件设备如需使用特别接头、插座等，由投标人提供（相关费用包含在总价内），投标总价应包括运抵学校的运费及安装调试费等；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所投产品需为原厂全新产品、符合国家技术规格和质量标准的出厂合格产品，通过国家有关部门检测合格的原产地产品，未曾开箱使用，能够与学校现有设备正常连接；设备安装调试完毕后，能在其功能范围内保障用户的系统安全、稳定运行。不接受OEM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6.所投产品及主要部件均须非停产设备，并提供备件、附件和耗材的供应。</w:t>
      </w:r>
    </w:p>
    <w:p>
      <w:pPr>
        <w:numPr>
          <w:ilvl w:val="0"/>
          <w:numId w:val="16"/>
        </w:numPr>
        <w:spacing w:line="360" w:lineRule="auto"/>
        <w:rPr>
          <w:rFonts w:ascii="宋体" w:hAnsi="宋体" w:cs="宋体"/>
          <w:color w:val="auto"/>
          <w:sz w:val="24"/>
          <w:highlight w:val="none"/>
        </w:rPr>
      </w:pPr>
      <w:r>
        <w:rPr>
          <w:rFonts w:hint="eastAsia" w:ascii="宋体" w:hAnsi="宋体" w:cs="宋体"/>
          <w:color w:val="auto"/>
          <w:sz w:val="24"/>
          <w:highlight w:val="none"/>
        </w:rPr>
        <w:t>项目组织机构与实施人员要求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项目实施组应包含实施本项目所必须的各类技术和管理人员。</w:t>
      </w:r>
    </w:p>
    <w:p>
      <w:pPr>
        <w:numPr>
          <w:ilvl w:val="0"/>
          <w:numId w:val="16"/>
        </w:numPr>
        <w:spacing w:line="360" w:lineRule="auto"/>
        <w:rPr>
          <w:rFonts w:ascii="宋体" w:hAnsi="宋体" w:cs="宋体"/>
          <w:color w:val="auto"/>
          <w:sz w:val="24"/>
          <w:highlight w:val="none"/>
        </w:rPr>
      </w:pPr>
      <w:r>
        <w:rPr>
          <w:rFonts w:hint="eastAsia" w:ascii="宋体" w:hAnsi="宋体" w:cs="宋体"/>
          <w:color w:val="auto"/>
          <w:sz w:val="24"/>
          <w:highlight w:val="none"/>
        </w:rPr>
        <w:t>培训要求</w:t>
      </w:r>
    </w:p>
    <w:p>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内容包括但不限于：了解整个系统构成、系统操作；使用、系统升级、问题或误操作处理</w:t>
      </w:r>
      <w:r>
        <w:rPr>
          <w:rFonts w:hint="eastAsia" w:ascii="宋体" w:hAnsi="宋体" w:cs="宋体"/>
          <w:color w:val="auto"/>
          <w:sz w:val="24"/>
          <w:highlight w:val="none"/>
        </w:rPr>
        <w:t>。</w:t>
      </w:r>
    </w:p>
    <w:p>
      <w:pPr>
        <w:numPr>
          <w:ilvl w:val="0"/>
          <w:numId w:val="16"/>
        </w:numPr>
        <w:spacing w:line="360" w:lineRule="auto"/>
        <w:rPr>
          <w:rFonts w:ascii="宋体" w:hAnsi="宋体" w:cs="宋体"/>
          <w:color w:val="auto"/>
          <w:sz w:val="24"/>
          <w:highlight w:val="none"/>
        </w:rPr>
      </w:pPr>
      <w:r>
        <w:rPr>
          <w:rFonts w:hint="eastAsia" w:ascii="宋体" w:hAnsi="宋体" w:cs="宋体"/>
          <w:color w:val="auto"/>
          <w:sz w:val="24"/>
          <w:highlight w:val="none"/>
        </w:rPr>
        <w:t>网络信息安全：要保障数据信息安全，不得泄露给第三方，并签订相关保密承诺及法人责任书。</w:t>
      </w:r>
    </w:p>
    <w:p>
      <w:pPr>
        <w:numPr>
          <w:ilvl w:val="0"/>
          <w:numId w:val="16"/>
        </w:numPr>
        <w:spacing w:line="360" w:lineRule="auto"/>
        <w:rPr>
          <w:rFonts w:ascii="宋体" w:hAnsi="宋体" w:cs="宋体"/>
          <w:color w:val="auto"/>
          <w:sz w:val="24"/>
          <w:highlight w:val="none"/>
        </w:rPr>
      </w:pPr>
      <w:r>
        <w:rPr>
          <w:rFonts w:hint="eastAsia" w:ascii="宋体" w:hAnsi="宋体" w:cs="宋体"/>
          <w:color w:val="auto"/>
          <w:sz w:val="24"/>
          <w:highlight w:val="none"/>
        </w:rPr>
        <w:t>项目团队要求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需</w:t>
      </w:r>
      <w:r>
        <w:rPr>
          <w:rFonts w:hint="eastAsia" w:ascii="宋体" w:hAnsi="宋体" w:cs="宋体"/>
          <w:color w:val="auto"/>
          <w:sz w:val="24"/>
          <w:highlight w:val="none"/>
        </w:rPr>
        <w:t>配备专业技术团队，分工合理，权责明晰</w:t>
      </w:r>
      <w:r>
        <w:rPr>
          <w:rFonts w:hint="eastAsia" w:ascii="宋体" w:hAnsi="宋体" w:cs="宋体"/>
          <w:color w:val="auto"/>
          <w:sz w:val="24"/>
          <w:highlight w:val="none"/>
          <w:lang w:eastAsia="zh-CN"/>
        </w:rPr>
        <w:t>。</w:t>
      </w:r>
    </w:p>
    <w:p>
      <w:pPr>
        <w:numPr>
          <w:ilvl w:val="0"/>
          <w:numId w:val="16"/>
        </w:numPr>
        <w:spacing w:line="360" w:lineRule="auto"/>
        <w:rPr>
          <w:rFonts w:ascii="宋体" w:hAnsi="宋体" w:cs="宋体"/>
          <w:color w:val="auto"/>
          <w:sz w:val="24"/>
          <w:highlight w:val="none"/>
        </w:rPr>
      </w:pPr>
      <w:r>
        <w:rPr>
          <w:rFonts w:hint="eastAsia" w:ascii="宋体" w:hAnsi="宋体" w:cs="宋体"/>
          <w:color w:val="auto"/>
          <w:sz w:val="24"/>
          <w:highlight w:val="none"/>
        </w:rPr>
        <w:t>售后服务要求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1.项目质保期不少于3年；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2.供应商必须保证送货到校内指定地点，由采购人组织人员在场当场拆封检查。在规定的时间内负责对其所提供的设备进行安装操作系统、调试，直到投入正常使用；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3.应提供7*24小时在线支持服务；</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维保期内提供系统维护、升级等技术支持服务，对系统运行中出现的故障，报修响应时间为：提供全天候无间断的远程技术服务，半小时内对问题做出响应。若电话中无法解决，1个小时内到达现场，2小时内解决，8小时内无法解决的需用备品备件替换，确保系统正常运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5.服务宗旨必须：及时响应、尽快解决、确保正常使用；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.未经学校书面同意，实施方不得将本合同的权利及义务转让给任何第三方；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.应提供技术支持方案，内容由投标人根据实际选择以下要点：服务机构（维保点.的地址、人员状况、维修能力、联系方式、售后机构资质材料、相关案例等。</w:t>
      </w:r>
    </w:p>
    <w:p>
      <w:pPr>
        <w:numPr>
          <w:ilvl w:val="0"/>
          <w:numId w:val="16"/>
        </w:numPr>
        <w:spacing w:line="360" w:lineRule="auto"/>
        <w:rPr>
          <w:rFonts w:ascii="宋体" w:hAnsi="宋体" w:cs="宋体"/>
          <w:color w:val="auto"/>
          <w:sz w:val="24"/>
          <w:highlight w:val="none"/>
        </w:rPr>
      </w:pPr>
      <w:r>
        <w:rPr>
          <w:rFonts w:hint="eastAsia" w:ascii="宋体" w:hAnsi="宋体" w:cs="宋体"/>
          <w:color w:val="auto"/>
          <w:sz w:val="24"/>
          <w:highlight w:val="none"/>
        </w:rPr>
        <w:t>付款方式：总价包干，分期支付；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第一期：合同生效以及具备实施条件后5个工作日内向中标人支付合同金额的</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第二期：项目验收合格以及具备支付条件后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个工作日内支付合同剩余款项。</w:t>
      </w:r>
    </w:p>
    <w:p>
      <w:pPr>
        <w:numPr>
          <w:ilvl w:val="0"/>
          <w:numId w:val="16"/>
        </w:numPr>
        <w:spacing w:line="360" w:lineRule="auto"/>
        <w:rPr>
          <w:rFonts w:ascii="宋体" w:hAnsi="宋体" w:cs="宋体"/>
          <w:color w:val="auto"/>
          <w:sz w:val="24"/>
          <w:highlight w:val="none"/>
        </w:rPr>
      </w:pPr>
      <w:r>
        <w:rPr>
          <w:rFonts w:hint="eastAsia" w:ascii="宋体" w:hAnsi="宋体" w:cs="宋体"/>
          <w:color w:val="auto"/>
          <w:sz w:val="24"/>
          <w:highlight w:val="none"/>
        </w:rPr>
        <w:t>知识产权：</w:t>
      </w:r>
      <w:r>
        <w:rPr>
          <w:rFonts w:hint="eastAsia" w:ascii="宋体" w:hAnsi="宋体" w:cs="宋体"/>
          <w:iCs/>
          <w:color w:val="auto"/>
          <w:sz w:val="24"/>
          <w:highlight w:val="none"/>
        </w:rPr>
        <w:t>系统成果知识产权归采购人所有，项目实施期间不得侵犯第三方知识产权；</w:t>
      </w:r>
    </w:p>
    <w:p>
      <w:pPr>
        <w:numPr>
          <w:ilvl w:val="0"/>
          <w:numId w:val="16"/>
        </w:numPr>
        <w:spacing w:line="360" w:lineRule="auto"/>
        <w:rPr>
          <w:rFonts w:ascii="宋体" w:hAnsi="宋体" w:cs="宋体"/>
          <w:color w:val="auto"/>
          <w:sz w:val="24"/>
          <w:highlight w:val="none"/>
        </w:rPr>
      </w:pPr>
      <w:r>
        <w:rPr>
          <w:rFonts w:hint="eastAsia" w:ascii="宋体" w:hAnsi="宋体" w:cs="宋体"/>
          <w:color w:val="auto"/>
          <w:sz w:val="24"/>
          <w:highlight w:val="none"/>
        </w:rPr>
        <w:t>验收标准及要求</w:t>
      </w:r>
    </w:p>
    <w:p>
      <w:pPr>
        <w:numPr>
          <w:ilvl w:val="255"/>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项目完成后采购人将组织（或委托验收机构组织）验收。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1.验收标准：</w:t>
      </w:r>
    </w:p>
    <w:p>
      <w:pPr>
        <w:numPr>
          <w:ilvl w:val="255"/>
          <w:numId w:val="0"/>
        </w:num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（1）按期完成系统建设，安装调试、测试试运行；</w:t>
      </w:r>
    </w:p>
    <w:p>
      <w:pPr>
        <w:numPr>
          <w:ilvl w:val="255"/>
          <w:numId w:val="0"/>
        </w:num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（2）完成合同约定供货（设备型号及数量一致），设备运行正常并完成技术培训等会；</w:t>
      </w:r>
    </w:p>
    <w:p>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2.验收材料包含但不限于：项目履约总结，系统建设代码（刻盘），供货签收单，产品合格证或检测报告、实施过程记录，测试（试运行报告），售后服务承诺等材料；</w:t>
      </w:r>
    </w:p>
    <w:p>
      <w:pPr>
        <w:spacing w:line="360" w:lineRule="auto"/>
        <w:ind w:left="420"/>
        <w:rPr>
          <w:rFonts w:ascii="宋体" w:hAnsi="宋体" w:cs="宋体"/>
          <w:bCs/>
          <w:color w:val="auto"/>
          <w:sz w:val="24"/>
          <w:highlight w:val="none"/>
        </w:rPr>
      </w:pPr>
      <w:r>
        <w:rPr>
          <w:rFonts w:hint="eastAsia" w:ascii="宋体" w:hAnsi="宋体" w:cs="宋体"/>
          <w:bCs/>
          <w:color w:val="auto"/>
          <w:sz w:val="24"/>
          <w:highlight w:val="none"/>
        </w:rPr>
        <w:t>3.验收流程</w:t>
      </w:r>
    </w:p>
    <w:p>
      <w:pPr>
        <w:pStyle w:val="49"/>
        <w:numPr>
          <w:ilvl w:val="0"/>
          <w:numId w:val="18"/>
        </w:numPr>
        <w:tabs>
          <w:tab w:val="left" w:pos="840"/>
        </w:tabs>
        <w:snapToGrid w:val="0"/>
        <w:spacing w:line="360" w:lineRule="auto"/>
        <w:ind w:left="5" w:firstLine="415" w:firstLineChars="0"/>
        <w:rPr>
          <w:rFonts w:cs="宋体"/>
          <w:color w:val="auto"/>
          <w:sz w:val="24"/>
          <w:szCs w:val="24"/>
          <w:highlight w:val="none"/>
        </w:rPr>
      </w:pPr>
      <w:r>
        <w:rPr>
          <w:rFonts w:hint="eastAsia" w:cs="宋体"/>
          <w:color w:val="auto"/>
          <w:sz w:val="24"/>
          <w:szCs w:val="24"/>
          <w:highlight w:val="none"/>
        </w:rPr>
        <w:t>验收组织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参考《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验收。</w:t>
      </w:r>
    </w:p>
    <w:p>
      <w:pPr>
        <w:pStyle w:val="49"/>
        <w:numPr>
          <w:ilvl w:val="0"/>
          <w:numId w:val="18"/>
        </w:numPr>
        <w:tabs>
          <w:tab w:val="left" w:pos="840"/>
        </w:tabs>
        <w:snapToGrid w:val="0"/>
        <w:spacing w:line="360" w:lineRule="auto"/>
        <w:ind w:left="5" w:firstLine="415" w:firstLineChars="0"/>
        <w:rPr>
          <w:rFonts w:cs="宋体"/>
          <w:color w:val="auto"/>
          <w:sz w:val="24"/>
          <w:szCs w:val="24"/>
          <w:highlight w:val="none"/>
        </w:rPr>
      </w:pPr>
      <w:r>
        <w:rPr>
          <w:rFonts w:hint="eastAsia" w:cs="宋体"/>
          <w:color w:val="auto"/>
          <w:sz w:val="24"/>
          <w:szCs w:val="24"/>
          <w:highlight w:val="none"/>
        </w:rPr>
        <w:t>验收方法：简易流程，一次性验收。</w:t>
      </w:r>
    </w:p>
    <w:p>
      <w:pPr>
        <w:pStyle w:val="49"/>
        <w:numPr>
          <w:ilvl w:val="0"/>
          <w:numId w:val="18"/>
        </w:numPr>
        <w:tabs>
          <w:tab w:val="left" w:pos="840"/>
        </w:tabs>
        <w:snapToGrid w:val="0"/>
        <w:spacing w:line="360" w:lineRule="auto"/>
        <w:ind w:left="5" w:firstLine="415" w:firstLineChars="0"/>
        <w:rPr>
          <w:rFonts w:cs="宋体"/>
          <w:color w:val="auto"/>
          <w:sz w:val="24"/>
          <w:szCs w:val="24"/>
          <w:highlight w:val="none"/>
        </w:rPr>
      </w:pPr>
      <w:r>
        <w:rPr>
          <w:rFonts w:hint="eastAsia" w:cs="宋体"/>
          <w:color w:val="auto"/>
          <w:sz w:val="24"/>
          <w:szCs w:val="24"/>
          <w:highlight w:val="none"/>
        </w:rPr>
        <w:t>验收标准：项目需执行国家相关标准、行业标准、地方标准或者其他标准、规范。</w:t>
      </w:r>
    </w:p>
    <w:p>
      <w:pPr>
        <w:pStyle w:val="49"/>
        <w:numPr>
          <w:ilvl w:val="0"/>
          <w:numId w:val="18"/>
        </w:numPr>
        <w:tabs>
          <w:tab w:val="left" w:pos="840"/>
        </w:tabs>
        <w:snapToGrid w:val="0"/>
        <w:spacing w:line="360" w:lineRule="auto"/>
        <w:ind w:left="5" w:firstLine="415" w:firstLineChars="0"/>
        <w:rPr>
          <w:rFonts w:cs="宋体"/>
          <w:color w:val="auto"/>
          <w:sz w:val="24"/>
          <w:szCs w:val="24"/>
          <w:highlight w:val="none"/>
        </w:rPr>
      </w:pPr>
      <w:r>
        <w:rPr>
          <w:rFonts w:hint="eastAsia" w:cs="宋体"/>
          <w:color w:val="auto"/>
          <w:sz w:val="24"/>
          <w:szCs w:val="24"/>
          <w:highlight w:val="none"/>
        </w:rPr>
        <w:t>验收小组组建方式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验收负责人组织验收小组，验收小组由相关专家和用户代表按相关规定组成。验收小组负责实施具体的验收活动。采购人可以邀请其他单位的相关专业人员参加验收小组。验收小组推选一名组长，主持验收小组的工作。</w:t>
      </w:r>
    </w:p>
    <w:p>
      <w:pPr>
        <w:pStyle w:val="49"/>
        <w:numPr>
          <w:ilvl w:val="0"/>
          <w:numId w:val="18"/>
        </w:numPr>
        <w:tabs>
          <w:tab w:val="left" w:pos="840"/>
        </w:tabs>
        <w:snapToGrid w:val="0"/>
        <w:spacing w:line="360" w:lineRule="auto"/>
        <w:ind w:left="5" w:firstLine="415" w:firstLineChars="0"/>
        <w:rPr>
          <w:rFonts w:cs="宋体"/>
          <w:color w:val="auto"/>
          <w:sz w:val="24"/>
          <w:szCs w:val="24"/>
          <w:highlight w:val="none"/>
        </w:rPr>
      </w:pPr>
      <w:r>
        <w:rPr>
          <w:rFonts w:hint="eastAsia" w:cs="宋体"/>
          <w:color w:val="auto"/>
          <w:sz w:val="24"/>
          <w:szCs w:val="24"/>
          <w:highlight w:val="none"/>
        </w:rPr>
        <w:t>验收流程</w:t>
      </w:r>
    </w:p>
    <w:p>
      <w:pPr>
        <w:pStyle w:val="49"/>
        <w:tabs>
          <w:tab w:val="left" w:pos="840"/>
        </w:tabs>
        <w:snapToGrid w:val="0"/>
        <w:spacing w:line="360" w:lineRule="auto"/>
        <w:ind w:firstLine="480"/>
        <w:rPr>
          <w:rFonts w:cs="宋体"/>
          <w:color w:val="auto"/>
          <w:sz w:val="24"/>
          <w:szCs w:val="24"/>
          <w:highlight w:val="none"/>
        </w:rPr>
      </w:pPr>
      <w:r>
        <w:rPr>
          <w:rFonts w:hint="eastAsia" w:cs="宋体"/>
          <w:color w:val="auto"/>
          <w:sz w:val="24"/>
          <w:szCs w:val="24"/>
          <w:highlight w:val="none"/>
        </w:rPr>
        <w:t>1）项目验收负责人根据验收方案组织验收小组现场验收，并准备验收材料并通知各验收参与方在指定时间指定地点联合验收，包括采购人、供应商、验收小组、其他验收参与方等。</w:t>
      </w:r>
    </w:p>
    <w:p>
      <w:pPr>
        <w:pStyle w:val="49"/>
        <w:tabs>
          <w:tab w:val="left" w:pos="840"/>
        </w:tabs>
        <w:snapToGrid w:val="0"/>
        <w:spacing w:line="360" w:lineRule="auto"/>
        <w:ind w:firstLine="480"/>
        <w:rPr>
          <w:rFonts w:cs="宋体"/>
          <w:color w:val="auto"/>
          <w:sz w:val="24"/>
          <w:szCs w:val="24"/>
          <w:highlight w:val="none"/>
        </w:rPr>
      </w:pPr>
      <w:r>
        <w:rPr>
          <w:rFonts w:hint="eastAsia" w:cs="宋体"/>
          <w:color w:val="auto"/>
          <w:sz w:val="24"/>
          <w:szCs w:val="24"/>
          <w:highlight w:val="non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作出实质性修改的，应当报经采购人同意。</w:t>
      </w:r>
    </w:p>
    <w:p>
      <w:pPr>
        <w:pStyle w:val="49"/>
        <w:tabs>
          <w:tab w:val="left" w:pos="840"/>
        </w:tabs>
        <w:snapToGrid w:val="0"/>
        <w:spacing w:line="360" w:lineRule="auto"/>
        <w:ind w:firstLine="480"/>
        <w:rPr>
          <w:rFonts w:cs="宋体"/>
          <w:color w:val="auto"/>
          <w:sz w:val="24"/>
          <w:szCs w:val="24"/>
          <w:highlight w:val="none"/>
        </w:rPr>
      </w:pPr>
      <w:r>
        <w:rPr>
          <w:rFonts w:hint="eastAsia" w:cs="宋体"/>
          <w:color w:val="auto"/>
          <w:sz w:val="24"/>
          <w:szCs w:val="24"/>
          <w:highlight w:val="none"/>
        </w:rPr>
        <w:t>3）供应商配合验收工作，并就验收实施过程中的疑问进行解答和澄清。项目验收过程中，供应商不认可验收意见的，按照合同的约定的方式解决，合同未作约定的，按照《中华人民共和国民法典》等相关规定处理。</w:t>
      </w:r>
    </w:p>
    <w:p>
      <w:pPr>
        <w:pStyle w:val="49"/>
        <w:tabs>
          <w:tab w:val="left" w:pos="840"/>
        </w:tabs>
        <w:snapToGrid w:val="0"/>
        <w:spacing w:line="360" w:lineRule="auto"/>
        <w:ind w:firstLine="480"/>
        <w:rPr>
          <w:rFonts w:cs="宋体"/>
          <w:color w:val="auto"/>
          <w:sz w:val="24"/>
          <w:szCs w:val="24"/>
          <w:highlight w:val="none"/>
        </w:rPr>
      </w:pPr>
      <w:r>
        <w:rPr>
          <w:rFonts w:hint="eastAsia" w:cs="宋体"/>
          <w:color w:val="auto"/>
          <w:sz w:val="24"/>
          <w:szCs w:val="24"/>
          <w:highlight w:val="none"/>
        </w:rPr>
        <w:t>4）出具验收报告。验收结束后，验收小组应当出具验收报告，报告采购人。验收报告应当根据验收方案制作，以书面形式作出结论性意见，并经验收小组全体成员签字。验收小组成员对验收报告载明的结论有异议的，应当在验收报告上签署不同意并说明理由，否则视为同意验收结论。</w:t>
      </w:r>
    </w:p>
    <w:p>
      <w:pPr>
        <w:pStyle w:val="49"/>
        <w:tabs>
          <w:tab w:val="left" w:pos="840"/>
        </w:tabs>
        <w:snapToGrid w:val="0"/>
        <w:spacing w:line="360" w:lineRule="auto"/>
        <w:ind w:firstLine="480"/>
        <w:rPr>
          <w:rFonts w:cs="宋体"/>
          <w:color w:val="auto"/>
          <w:sz w:val="24"/>
          <w:szCs w:val="24"/>
          <w:highlight w:val="none"/>
        </w:rPr>
      </w:pPr>
      <w:r>
        <w:rPr>
          <w:rFonts w:hint="eastAsia" w:cs="宋体"/>
          <w:color w:val="auto"/>
          <w:sz w:val="24"/>
          <w:szCs w:val="24"/>
          <w:highlight w:val="none"/>
        </w:rPr>
        <w:t>5）验收不合格的，采购人应责令供应商采取补救措施，向供应商发出整改通知书，并依法及时处理。整改结束后，由供应商通知采购人或其委托的验收组织机构重新验收。</w:t>
      </w:r>
    </w:p>
    <w:p>
      <w:pPr>
        <w:numPr>
          <w:ilvl w:val="0"/>
          <w:numId w:val="16"/>
        </w:numPr>
        <w:spacing w:line="360" w:lineRule="auto"/>
        <w:rPr>
          <w:rFonts w:ascii="宋体" w:hAnsi="宋体" w:cs="宋体"/>
          <w:bCs/>
          <w:color w:val="auto"/>
          <w:sz w:val="24"/>
          <w:highlight w:val="none"/>
        </w:rPr>
      </w:pPr>
      <w:r>
        <w:rPr>
          <w:rFonts w:hint="eastAsia" w:ascii="宋体" w:hAnsi="宋体" w:cs="宋体"/>
          <w:bCs/>
          <w:color w:val="auto"/>
          <w:sz w:val="24"/>
          <w:highlight w:val="none"/>
        </w:rPr>
        <w:t>保密</w:t>
      </w:r>
    </w:p>
    <w:p>
      <w:pPr>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1.中标供应商有义务妥善保管和保护由甲方提供的前款信息和资料等；</w:t>
      </w:r>
    </w:p>
    <w:p>
      <w:pPr>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3.项目投标时若涉及保密相关数据，需脱敏后使用/引用，否则责任由供应商自负。</w:t>
      </w:r>
    </w:p>
    <w:p>
      <w:pPr>
        <w:adjustRightInd w:val="0"/>
        <w:snapToGrid w:val="0"/>
        <w:spacing w:line="360" w:lineRule="auto"/>
        <w:rPr>
          <w:rFonts w:asciiTheme="minorEastAsia" w:hAnsiTheme="minorEastAsia" w:eastAsiaTheme="minorEastAsia" w:cstheme="minorEastAsia"/>
          <w:b/>
          <w:snapToGrid w:val="0"/>
          <w:color w:val="auto"/>
          <w:sz w:val="24"/>
          <w:highlight w:val="none"/>
        </w:rPr>
      </w:pPr>
    </w:p>
    <w:p>
      <w:pPr>
        <w:adjustRightInd w:val="0"/>
        <w:snapToGrid w:val="0"/>
        <w:spacing w:line="360" w:lineRule="auto"/>
        <w:rPr>
          <w:rFonts w:asciiTheme="minorEastAsia" w:hAnsiTheme="minorEastAsia" w:eastAsiaTheme="minorEastAsia" w:cstheme="minorEastAsia"/>
          <w:b/>
          <w:snapToGrid w:val="0"/>
          <w:color w:val="auto"/>
          <w:sz w:val="24"/>
          <w:highlight w:val="none"/>
        </w:rPr>
      </w:pPr>
    </w:p>
    <w:p>
      <w:pPr>
        <w:spacing w:line="360" w:lineRule="auto"/>
        <w:rPr>
          <w:rFonts w:asciiTheme="minorEastAsia" w:hAnsiTheme="minorEastAsia" w:eastAsiaTheme="minorEastAsia" w:cstheme="minorEastAsia"/>
          <w:b/>
          <w:color w:val="auto"/>
          <w:sz w:val="24"/>
          <w:szCs w:val="24"/>
          <w:highlight w:val="none"/>
        </w:rPr>
      </w:pPr>
    </w:p>
    <w:p>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pPr>
        <w:pStyle w:val="5"/>
        <w:spacing w:line="360" w:lineRule="auto"/>
        <w:ind w:firstLine="0"/>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8" w:name="_Toc184313253"/>
      <w:bookmarkEnd w:id="28"/>
      <w:bookmarkStart w:id="29" w:name="_Toc184310282"/>
      <w:bookmarkEnd w:id="29"/>
      <w:bookmarkStart w:id="30" w:name="_Toc184313278"/>
      <w:bookmarkEnd w:id="30"/>
      <w:bookmarkStart w:id="31" w:name="_Toc184313274"/>
      <w:bookmarkEnd w:id="31"/>
      <w:bookmarkStart w:id="32" w:name="_Toc184312068"/>
      <w:bookmarkEnd w:id="32"/>
      <w:bookmarkStart w:id="33" w:name="_Toc184313244"/>
      <w:bookmarkEnd w:id="33"/>
      <w:bookmarkStart w:id="34" w:name="_Toc184313287"/>
      <w:bookmarkEnd w:id="34"/>
      <w:bookmarkStart w:id="35" w:name="_Toc184310274"/>
      <w:bookmarkEnd w:id="35"/>
      <w:bookmarkStart w:id="36" w:name="_Toc184314428"/>
      <w:bookmarkEnd w:id="36"/>
      <w:bookmarkStart w:id="37" w:name="_Toc184308055"/>
      <w:bookmarkEnd w:id="37"/>
      <w:bookmarkStart w:id="38" w:name="_Toc184312082"/>
      <w:bookmarkEnd w:id="38"/>
      <w:bookmarkStart w:id="39" w:name="_Toc184314442"/>
      <w:bookmarkEnd w:id="39"/>
      <w:bookmarkStart w:id="40" w:name="_Toc184308057"/>
      <w:bookmarkEnd w:id="40"/>
      <w:bookmarkStart w:id="41" w:name="_Toc184312093"/>
      <w:bookmarkEnd w:id="41"/>
      <w:bookmarkStart w:id="42" w:name="_Toc184310287"/>
      <w:bookmarkEnd w:id="42"/>
      <w:bookmarkStart w:id="43" w:name="_Toc184310333"/>
      <w:bookmarkEnd w:id="43"/>
      <w:bookmarkStart w:id="44" w:name="_Toc184312106"/>
      <w:bookmarkEnd w:id="44"/>
      <w:bookmarkStart w:id="45" w:name="_Toc184314449"/>
      <w:bookmarkEnd w:id="45"/>
      <w:bookmarkStart w:id="46" w:name="_Toc184312133"/>
      <w:bookmarkEnd w:id="46"/>
      <w:bookmarkStart w:id="47" w:name="_Toc184312117"/>
      <w:bookmarkEnd w:id="47"/>
      <w:bookmarkStart w:id="48" w:name="_Toc184308091"/>
      <w:bookmarkEnd w:id="48"/>
      <w:bookmarkStart w:id="49" w:name="_Toc184308082"/>
      <w:bookmarkEnd w:id="49"/>
      <w:bookmarkStart w:id="50" w:name="_Toc184308108"/>
      <w:bookmarkEnd w:id="50"/>
      <w:bookmarkStart w:id="51" w:name="_Toc184308100"/>
      <w:bookmarkEnd w:id="51"/>
      <w:bookmarkStart w:id="52" w:name="_Toc184308096"/>
      <w:bookmarkEnd w:id="52"/>
      <w:bookmarkStart w:id="53" w:name="_Toc184308052"/>
      <w:bookmarkEnd w:id="53"/>
      <w:bookmarkStart w:id="54" w:name="_Toc184310322"/>
      <w:bookmarkEnd w:id="54"/>
      <w:bookmarkStart w:id="55" w:name="_Toc184308043"/>
      <w:bookmarkEnd w:id="55"/>
      <w:bookmarkStart w:id="56" w:name="_Toc184313268"/>
      <w:bookmarkEnd w:id="56"/>
      <w:bookmarkStart w:id="57" w:name="_Toc184313297"/>
      <w:bookmarkEnd w:id="57"/>
      <w:bookmarkStart w:id="58" w:name="_Toc184314436"/>
      <w:bookmarkEnd w:id="58"/>
      <w:bookmarkStart w:id="59" w:name="_Toc184313296"/>
      <w:bookmarkEnd w:id="59"/>
      <w:bookmarkStart w:id="60" w:name="_Toc184313277"/>
      <w:bookmarkEnd w:id="60"/>
      <w:bookmarkStart w:id="61" w:name="_Toc184313240"/>
      <w:bookmarkEnd w:id="61"/>
      <w:bookmarkStart w:id="62" w:name="_Toc184313266"/>
      <w:bookmarkEnd w:id="62"/>
      <w:bookmarkStart w:id="63" w:name="_Toc184313251"/>
      <w:bookmarkEnd w:id="63"/>
      <w:bookmarkStart w:id="64" w:name="_Toc184314433"/>
      <w:bookmarkEnd w:id="64"/>
      <w:bookmarkStart w:id="65" w:name="_Toc184314434"/>
      <w:bookmarkEnd w:id="65"/>
      <w:bookmarkStart w:id="66" w:name="_Toc184310288"/>
      <w:bookmarkEnd w:id="66"/>
      <w:bookmarkStart w:id="67" w:name="_Toc184310290"/>
      <w:bookmarkEnd w:id="67"/>
      <w:bookmarkStart w:id="68" w:name="_Toc184314468"/>
      <w:bookmarkEnd w:id="68"/>
      <w:bookmarkStart w:id="69" w:name="_Toc184310272"/>
      <w:bookmarkEnd w:id="69"/>
      <w:bookmarkStart w:id="70" w:name="_Toc184310330"/>
      <w:bookmarkEnd w:id="70"/>
      <w:bookmarkStart w:id="71" w:name="_Toc184310297"/>
      <w:bookmarkEnd w:id="71"/>
      <w:bookmarkStart w:id="72" w:name="_Toc184312112"/>
      <w:bookmarkEnd w:id="72"/>
      <w:bookmarkStart w:id="73" w:name="_Toc184312134"/>
      <w:bookmarkEnd w:id="73"/>
      <w:bookmarkStart w:id="74" w:name="_Toc184314473"/>
      <w:bookmarkEnd w:id="74"/>
      <w:bookmarkStart w:id="75" w:name="_Toc184308101"/>
      <w:bookmarkEnd w:id="75"/>
      <w:bookmarkStart w:id="76" w:name="_Toc184314410"/>
      <w:bookmarkEnd w:id="76"/>
      <w:bookmarkStart w:id="77" w:name="_Toc184308037"/>
      <w:bookmarkEnd w:id="77"/>
      <w:bookmarkStart w:id="78" w:name="_Toc184314475"/>
      <w:bookmarkEnd w:id="78"/>
      <w:bookmarkStart w:id="79" w:name="_Toc184313300"/>
      <w:bookmarkEnd w:id="79"/>
      <w:bookmarkStart w:id="80" w:name="_Toc184313295"/>
      <w:bookmarkEnd w:id="80"/>
      <w:bookmarkStart w:id="81" w:name="_Toc184312088"/>
      <w:bookmarkEnd w:id="81"/>
      <w:bookmarkStart w:id="82" w:name="_Toc184310289"/>
      <w:bookmarkEnd w:id="82"/>
      <w:bookmarkStart w:id="83" w:name="_Toc184313246"/>
      <w:bookmarkEnd w:id="83"/>
      <w:bookmarkStart w:id="84" w:name="_Toc184314421"/>
      <w:bookmarkEnd w:id="84"/>
      <w:bookmarkStart w:id="85" w:name="_Toc184312091"/>
      <w:bookmarkEnd w:id="85"/>
      <w:bookmarkStart w:id="86" w:name="_Toc184314437"/>
      <w:bookmarkEnd w:id="86"/>
      <w:bookmarkStart w:id="87" w:name="_Toc184308041"/>
      <w:bookmarkEnd w:id="87"/>
      <w:bookmarkStart w:id="88" w:name="_Toc184313294"/>
      <w:bookmarkEnd w:id="88"/>
      <w:bookmarkStart w:id="89" w:name="_Toc184314450"/>
      <w:bookmarkEnd w:id="89"/>
      <w:bookmarkStart w:id="90" w:name="_Toc184312125"/>
      <w:bookmarkEnd w:id="90"/>
      <w:bookmarkStart w:id="91" w:name="_Toc184313249"/>
      <w:bookmarkEnd w:id="91"/>
      <w:bookmarkStart w:id="92" w:name="_Toc184313267"/>
      <w:bookmarkEnd w:id="92"/>
      <w:bookmarkStart w:id="93" w:name="_Toc184314482"/>
      <w:bookmarkEnd w:id="93"/>
      <w:bookmarkStart w:id="94" w:name="_Toc184312069"/>
      <w:bookmarkEnd w:id="94"/>
      <w:bookmarkStart w:id="95" w:name="_Toc184312092"/>
      <w:bookmarkEnd w:id="95"/>
      <w:bookmarkStart w:id="96" w:name="_Toc184314431"/>
      <w:bookmarkEnd w:id="96"/>
      <w:bookmarkStart w:id="97" w:name="_Toc184308076"/>
      <w:bookmarkEnd w:id="97"/>
      <w:bookmarkStart w:id="98" w:name="_Toc184308073"/>
      <w:bookmarkEnd w:id="98"/>
      <w:bookmarkStart w:id="99" w:name="_Toc184314480"/>
      <w:bookmarkEnd w:id="99"/>
      <w:bookmarkStart w:id="100" w:name="_Toc184314439"/>
      <w:bookmarkEnd w:id="100"/>
      <w:bookmarkStart w:id="101" w:name="_Toc184312101"/>
      <w:bookmarkEnd w:id="101"/>
      <w:bookmarkStart w:id="102" w:name="_Toc184314435"/>
      <w:bookmarkEnd w:id="102"/>
      <w:bookmarkStart w:id="103" w:name="_Toc184314415"/>
      <w:bookmarkEnd w:id="103"/>
      <w:bookmarkStart w:id="104" w:name="_Toc184310317"/>
      <w:bookmarkEnd w:id="104"/>
      <w:bookmarkStart w:id="105" w:name="_Toc184308092"/>
      <w:bookmarkEnd w:id="105"/>
      <w:bookmarkStart w:id="106" w:name="_Toc184310341"/>
      <w:bookmarkEnd w:id="106"/>
      <w:bookmarkStart w:id="107" w:name="_Toc184308088"/>
      <w:bookmarkEnd w:id="107"/>
      <w:bookmarkStart w:id="108" w:name="_Toc184314467"/>
      <w:bookmarkEnd w:id="108"/>
      <w:bookmarkStart w:id="109" w:name="_Toc184308085"/>
      <w:bookmarkEnd w:id="109"/>
      <w:bookmarkStart w:id="110" w:name="_Toc184312098"/>
      <w:bookmarkEnd w:id="110"/>
      <w:bookmarkStart w:id="111" w:name="_Toc184310308"/>
      <w:bookmarkEnd w:id="111"/>
      <w:bookmarkStart w:id="112" w:name="_Toc184310275"/>
      <w:bookmarkEnd w:id="112"/>
      <w:bookmarkStart w:id="113" w:name="_Toc184308064"/>
      <w:bookmarkEnd w:id="113"/>
      <w:bookmarkStart w:id="114" w:name="_Toc184312128"/>
      <w:bookmarkEnd w:id="114"/>
      <w:bookmarkStart w:id="115" w:name="_Toc184310280"/>
      <w:bookmarkEnd w:id="115"/>
      <w:bookmarkStart w:id="116" w:name="_Toc184314476"/>
      <w:bookmarkEnd w:id="116"/>
      <w:bookmarkStart w:id="117" w:name="_Toc184312127"/>
      <w:bookmarkEnd w:id="117"/>
      <w:bookmarkStart w:id="118" w:name="_Toc184313245"/>
      <w:bookmarkEnd w:id="118"/>
      <w:bookmarkStart w:id="119" w:name="_Toc184308086"/>
      <w:bookmarkEnd w:id="119"/>
      <w:bookmarkStart w:id="120" w:name="_Toc184308078"/>
      <w:bookmarkEnd w:id="120"/>
      <w:bookmarkStart w:id="121" w:name="_Toc184310296"/>
      <w:bookmarkEnd w:id="121"/>
      <w:bookmarkStart w:id="122" w:name="_Toc184314474"/>
      <w:bookmarkEnd w:id="122"/>
      <w:bookmarkStart w:id="123" w:name="_Toc184312130"/>
      <w:bookmarkEnd w:id="123"/>
      <w:bookmarkStart w:id="124" w:name="_Toc184310276"/>
      <w:bookmarkEnd w:id="124"/>
      <w:bookmarkStart w:id="125" w:name="_Toc184314427"/>
      <w:bookmarkEnd w:id="125"/>
      <w:bookmarkStart w:id="126" w:name="_Toc184313291"/>
      <w:bookmarkEnd w:id="126"/>
      <w:bookmarkStart w:id="127" w:name="_Toc184310319"/>
      <w:bookmarkEnd w:id="127"/>
      <w:bookmarkStart w:id="128" w:name="_Toc184308054"/>
      <w:bookmarkEnd w:id="128"/>
      <w:bookmarkStart w:id="129" w:name="_Toc184312132"/>
      <w:bookmarkEnd w:id="129"/>
      <w:bookmarkStart w:id="130" w:name="_Toc184312113"/>
      <w:bookmarkEnd w:id="130"/>
      <w:bookmarkStart w:id="131" w:name="_Toc184313241"/>
      <w:bookmarkEnd w:id="131"/>
      <w:bookmarkStart w:id="132" w:name="_Toc184308046"/>
      <w:bookmarkEnd w:id="132"/>
      <w:bookmarkStart w:id="133" w:name="_Toc184313305"/>
      <w:bookmarkEnd w:id="133"/>
      <w:bookmarkStart w:id="134" w:name="_Toc184313302"/>
      <w:bookmarkEnd w:id="134"/>
      <w:bookmarkStart w:id="135" w:name="_Toc184308048"/>
      <w:bookmarkEnd w:id="135"/>
      <w:bookmarkStart w:id="136" w:name="_Toc184314422"/>
      <w:bookmarkEnd w:id="136"/>
      <w:bookmarkStart w:id="137" w:name="_Toc184313260"/>
      <w:bookmarkEnd w:id="137"/>
      <w:bookmarkStart w:id="138" w:name="_Toc184314461"/>
      <w:bookmarkEnd w:id="138"/>
      <w:bookmarkStart w:id="139" w:name="_Toc184310281"/>
      <w:bookmarkEnd w:id="139"/>
      <w:bookmarkStart w:id="140" w:name="_Toc184312097"/>
      <w:bookmarkEnd w:id="140"/>
      <w:bookmarkStart w:id="141" w:name="_Toc184313289"/>
      <w:bookmarkEnd w:id="141"/>
      <w:bookmarkStart w:id="142" w:name="_Toc184310303"/>
      <w:bookmarkEnd w:id="142"/>
      <w:bookmarkStart w:id="143" w:name="_Toc184312138"/>
      <w:bookmarkEnd w:id="143"/>
      <w:bookmarkStart w:id="144" w:name="_Toc184312104"/>
      <w:bookmarkEnd w:id="144"/>
      <w:bookmarkStart w:id="145" w:name="_Toc184308105"/>
      <w:bookmarkEnd w:id="145"/>
      <w:bookmarkStart w:id="146" w:name="_Toc184310307"/>
      <w:bookmarkEnd w:id="146"/>
      <w:bookmarkStart w:id="147" w:name="_Toc184312116"/>
      <w:bookmarkEnd w:id="147"/>
      <w:bookmarkStart w:id="148" w:name="_Toc184312074"/>
      <w:bookmarkEnd w:id="148"/>
      <w:bookmarkStart w:id="149" w:name="_Toc184310340"/>
      <w:bookmarkEnd w:id="149"/>
      <w:bookmarkStart w:id="150" w:name="_Toc184314444"/>
      <w:bookmarkEnd w:id="150"/>
      <w:bookmarkStart w:id="151" w:name="_Toc184314452"/>
      <w:bookmarkEnd w:id="151"/>
      <w:bookmarkStart w:id="152" w:name="_Toc184308097"/>
      <w:bookmarkEnd w:id="152"/>
      <w:bookmarkStart w:id="153" w:name="_Toc184312129"/>
      <w:bookmarkEnd w:id="153"/>
      <w:bookmarkStart w:id="154" w:name="_Toc184312085"/>
      <w:bookmarkEnd w:id="154"/>
      <w:bookmarkStart w:id="155" w:name="_Toc184313263"/>
      <w:bookmarkEnd w:id="155"/>
      <w:bookmarkStart w:id="156" w:name="_Toc184314472"/>
      <w:bookmarkEnd w:id="156"/>
      <w:bookmarkStart w:id="157" w:name="_Toc184310279"/>
      <w:bookmarkEnd w:id="157"/>
      <w:bookmarkStart w:id="158" w:name="_Toc184313239"/>
      <w:bookmarkEnd w:id="158"/>
      <w:bookmarkStart w:id="159" w:name="_Toc184312123"/>
      <w:bookmarkEnd w:id="159"/>
      <w:bookmarkStart w:id="160" w:name="_Toc184310294"/>
      <w:bookmarkEnd w:id="160"/>
      <w:bookmarkStart w:id="161" w:name="_Toc184312072"/>
      <w:bookmarkEnd w:id="161"/>
      <w:bookmarkStart w:id="162" w:name="_Toc184308094"/>
      <w:bookmarkEnd w:id="162"/>
      <w:bookmarkStart w:id="163" w:name="_Toc184314469"/>
      <w:bookmarkEnd w:id="163"/>
      <w:bookmarkStart w:id="164" w:name="_Toc184313262"/>
      <w:bookmarkEnd w:id="164"/>
      <w:bookmarkStart w:id="165" w:name="_Toc184312139"/>
      <w:bookmarkEnd w:id="165"/>
      <w:bookmarkStart w:id="166" w:name="_Toc184314460"/>
      <w:bookmarkEnd w:id="166"/>
      <w:bookmarkStart w:id="167" w:name="_Toc184310335"/>
      <w:bookmarkEnd w:id="167"/>
      <w:bookmarkStart w:id="168" w:name="_Toc184310325"/>
      <w:bookmarkEnd w:id="168"/>
      <w:bookmarkStart w:id="169" w:name="_Toc184308095"/>
      <w:bookmarkEnd w:id="169"/>
      <w:bookmarkStart w:id="170" w:name="_Toc184310324"/>
      <w:bookmarkEnd w:id="170"/>
      <w:bookmarkStart w:id="171" w:name="_Toc184308036"/>
      <w:bookmarkEnd w:id="171"/>
      <w:bookmarkStart w:id="172" w:name="_Toc184310329"/>
      <w:bookmarkEnd w:id="172"/>
      <w:bookmarkStart w:id="173" w:name="_Toc184310310"/>
      <w:bookmarkEnd w:id="173"/>
      <w:bookmarkStart w:id="174" w:name="_Toc184310323"/>
      <w:bookmarkEnd w:id="174"/>
      <w:bookmarkStart w:id="175" w:name="_Toc184308058"/>
      <w:bookmarkEnd w:id="175"/>
      <w:bookmarkStart w:id="176" w:name="_Toc184310315"/>
      <w:bookmarkEnd w:id="176"/>
      <w:bookmarkStart w:id="177" w:name="_Toc184310309"/>
      <w:bookmarkEnd w:id="177"/>
      <w:bookmarkStart w:id="178" w:name="_Toc184312087"/>
      <w:bookmarkEnd w:id="178"/>
      <w:bookmarkStart w:id="179" w:name="_Toc184313284"/>
      <w:bookmarkEnd w:id="179"/>
      <w:bookmarkStart w:id="180" w:name="_Toc184314417"/>
      <w:bookmarkEnd w:id="180"/>
      <w:bookmarkStart w:id="181" w:name="_Toc184310285"/>
      <w:bookmarkEnd w:id="181"/>
      <w:bookmarkStart w:id="182" w:name="_Toc184314455"/>
      <w:bookmarkEnd w:id="182"/>
      <w:bookmarkStart w:id="183" w:name="_Toc184314477"/>
      <w:bookmarkEnd w:id="183"/>
      <w:bookmarkStart w:id="184" w:name="_Toc184312099"/>
      <w:bookmarkEnd w:id="184"/>
      <w:bookmarkStart w:id="185" w:name="_Toc184314465"/>
      <w:bookmarkEnd w:id="185"/>
      <w:bookmarkStart w:id="186" w:name="_Toc184310339"/>
      <w:bookmarkEnd w:id="186"/>
      <w:bookmarkStart w:id="187" w:name="_Toc184313304"/>
      <w:bookmarkEnd w:id="187"/>
      <w:bookmarkStart w:id="188" w:name="_Toc184308065"/>
      <w:bookmarkEnd w:id="188"/>
      <w:bookmarkStart w:id="189" w:name="_Toc184314464"/>
      <w:bookmarkEnd w:id="189"/>
      <w:bookmarkStart w:id="190" w:name="_Toc184314458"/>
      <w:bookmarkEnd w:id="190"/>
      <w:bookmarkStart w:id="191" w:name="_Toc184310344"/>
      <w:bookmarkEnd w:id="191"/>
      <w:bookmarkStart w:id="192" w:name="_Toc184312078"/>
      <w:bookmarkEnd w:id="192"/>
      <w:bookmarkStart w:id="193" w:name="_Toc184308074"/>
      <w:bookmarkEnd w:id="193"/>
      <w:bookmarkStart w:id="194" w:name="_Toc184310302"/>
      <w:bookmarkEnd w:id="194"/>
      <w:bookmarkStart w:id="195" w:name="_Toc184313255"/>
      <w:bookmarkEnd w:id="195"/>
      <w:bookmarkStart w:id="196" w:name="_Toc184313238"/>
      <w:bookmarkEnd w:id="196"/>
      <w:bookmarkStart w:id="197" w:name="_Toc184313292"/>
      <w:bookmarkEnd w:id="197"/>
      <w:bookmarkStart w:id="198" w:name="_Toc184310328"/>
      <w:bookmarkEnd w:id="198"/>
      <w:bookmarkStart w:id="199" w:name="_Toc184312094"/>
      <w:bookmarkEnd w:id="199"/>
      <w:bookmarkStart w:id="200" w:name="_Toc184308087"/>
      <w:bookmarkEnd w:id="200"/>
      <w:bookmarkStart w:id="201" w:name="_Toc184310318"/>
      <w:bookmarkEnd w:id="201"/>
      <w:bookmarkStart w:id="202" w:name="_Toc184308069"/>
      <w:bookmarkEnd w:id="202"/>
      <w:bookmarkStart w:id="203" w:name="_Toc184310298"/>
      <w:bookmarkEnd w:id="203"/>
      <w:bookmarkStart w:id="204" w:name="_Toc184314416"/>
      <w:bookmarkEnd w:id="204"/>
      <w:bookmarkStart w:id="205" w:name="_Toc184314423"/>
      <w:bookmarkEnd w:id="205"/>
      <w:bookmarkStart w:id="206" w:name="_Toc184308102"/>
      <w:bookmarkEnd w:id="206"/>
      <w:bookmarkStart w:id="207" w:name="_Toc184310332"/>
      <w:bookmarkEnd w:id="207"/>
      <w:bookmarkStart w:id="208" w:name="_Toc184308050"/>
      <w:bookmarkEnd w:id="208"/>
      <w:bookmarkStart w:id="209" w:name="_Toc184312100"/>
      <w:bookmarkEnd w:id="209"/>
      <w:bookmarkStart w:id="210" w:name="_Toc184310284"/>
      <w:bookmarkEnd w:id="210"/>
      <w:bookmarkStart w:id="211" w:name="_Toc184312102"/>
      <w:bookmarkEnd w:id="211"/>
      <w:bookmarkStart w:id="212" w:name="_Toc184312107"/>
      <w:bookmarkEnd w:id="212"/>
      <w:bookmarkStart w:id="213" w:name="_Toc184313276"/>
      <w:bookmarkEnd w:id="213"/>
      <w:bookmarkStart w:id="214" w:name="_Toc184313250"/>
      <w:bookmarkEnd w:id="214"/>
      <w:bookmarkStart w:id="215" w:name="_Toc184313307"/>
      <w:bookmarkEnd w:id="215"/>
      <w:bookmarkStart w:id="216" w:name="_Toc184308053"/>
      <w:bookmarkEnd w:id="216"/>
      <w:bookmarkStart w:id="217" w:name="_Toc184313280"/>
      <w:bookmarkEnd w:id="217"/>
      <w:bookmarkStart w:id="218" w:name="_Toc184308103"/>
      <w:bookmarkEnd w:id="218"/>
      <w:bookmarkStart w:id="219" w:name="_Toc184314448"/>
      <w:bookmarkEnd w:id="219"/>
      <w:bookmarkStart w:id="220" w:name="_Toc184310305"/>
      <w:bookmarkEnd w:id="220"/>
      <w:bookmarkStart w:id="221" w:name="_Toc184308063"/>
      <w:bookmarkEnd w:id="221"/>
      <w:bookmarkStart w:id="222" w:name="_Toc184314430"/>
      <w:bookmarkEnd w:id="222"/>
      <w:bookmarkStart w:id="223" w:name="_Toc184312119"/>
      <w:bookmarkEnd w:id="223"/>
      <w:bookmarkStart w:id="224" w:name="_Toc184308056"/>
      <w:bookmarkEnd w:id="224"/>
      <w:bookmarkStart w:id="225" w:name="_Toc184308068"/>
      <w:bookmarkEnd w:id="225"/>
      <w:bookmarkStart w:id="226" w:name="_Toc184308045"/>
      <w:bookmarkEnd w:id="226"/>
      <w:bookmarkStart w:id="227" w:name="_Toc184314412"/>
      <w:bookmarkEnd w:id="227"/>
      <w:bookmarkStart w:id="228" w:name="_Toc184308089"/>
      <w:bookmarkEnd w:id="228"/>
      <w:bookmarkStart w:id="229" w:name="_Toc184308059"/>
      <w:bookmarkEnd w:id="229"/>
      <w:bookmarkStart w:id="230" w:name="_Toc184310306"/>
      <w:bookmarkEnd w:id="230"/>
      <w:bookmarkStart w:id="231" w:name="_Toc184313257"/>
      <w:bookmarkEnd w:id="231"/>
      <w:bookmarkStart w:id="232" w:name="_Toc184310300"/>
      <w:bookmarkEnd w:id="232"/>
      <w:bookmarkStart w:id="233" w:name="_Toc184310336"/>
      <w:bookmarkEnd w:id="233"/>
      <w:bookmarkStart w:id="234" w:name="_Toc184312126"/>
      <w:bookmarkEnd w:id="234"/>
      <w:bookmarkStart w:id="235" w:name="_Toc184312079"/>
      <w:bookmarkEnd w:id="235"/>
      <w:bookmarkStart w:id="236" w:name="_Toc184312124"/>
      <w:bookmarkEnd w:id="236"/>
      <w:bookmarkStart w:id="237" w:name="_Toc184310304"/>
      <w:bookmarkEnd w:id="237"/>
      <w:bookmarkStart w:id="238" w:name="_Toc184308060"/>
      <w:bookmarkEnd w:id="238"/>
      <w:bookmarkStart w:id="239" w:name="_Toc184314432"/>
      <w:bookmarkEnd w:id="239"/>
      <w:bookmarkStart w:id="240" w:name="_Toc184313272"/>
      <w:bookmarkEnd w:id="240"/>
      <w:bookmarkStart w:id="241" w:name="_Toc184310292"/>
      <w:bookmarkEnd w:id="241"/>
      <w:bookmarkStart w:id="242" w:name="_Toc184313309"/>
      <w:bookmarkEnd w:id="242"/>
      <w:bookmarkStart w:id="243" w:name="_Toc184314429"/>
      <w:bookmarkEnd w:id="243"/>
      <w:bookmarkStart w:id="244" w:name="_Toc184312103"/>
      <w:bookmarkEnd w:id="244"/>
      <w:bookmarkStart w:id="245" w:name="_Toc184312115"/>
      <w:bookmarkEnd w:id="245"/>
      <w:bookmarkStart w:id="246" w:name="_Toc184314443"/>
      <w:bookmarkEnd w:id="246"/>
      <w:bookmarkStart w:id="247" w:name="_Toc184312080"/>
      <w:bookmarkEnd w:id="247"/>
      <w:bookmarkStart w:id="248" w:name="_Toc184308098"/>
      <w:bookmarkEnd w:id="248"/>
      <w:bookmarkStart w:id="249" w:name="_Toc184314459"/>
      <w:bookmarkEnd w:id="249"/>
      <w:bookmarkStart w:id="250" w:name="_Toc184312108"/>
      <w:bookmarkEnd w:id="250"/>
      <w:bookmarkStart w:id="251" w:name="_Toc184310326"/>
      <w:bookmarkEnd w:id="251"/>
      <w:bookmarkStart w:id="252" w:name="_Toc184314424"/>
      <w:bookmarkEnd w:id="252"/>
      <w:bookmarkStart w:id="253" w:name="_Toc184308071"/>
      <w:bookmarkEnd w:id="253"/>
      <w:bookmarkStart w:id="254" w:name="_Toc184310321"/>
      <w:bookmarkEnd w:id="254"/>
      <w:bookmarkStart w:id="255" w:name="_Toc184312120"/>
      <w:bookmarkEnd w:id="255"/>
      <w:bookmarkStart w:id="256" w:name="_Toc184312109"/>
      <w:bookmarkEnd w:id="256"/>
      <w:bookmarkStart w:id="257" w:name="_Toc184314481"/>
      <w:bookmarkEnd w:id="257"/>
      <w:bookmarkStart w:id="258" w:name="_Toc184314419"/>
      <w:bookmarkEnd w:id="258"/>
      <w:bookmarkStart w:id="259" w:name="_Toc184312135"/>
      <w:bookmarkEnd w:id="259"/>
      <w:bookmarkStart w:id="260" w:name="_Toc184310320"/>
      <w:bookmarkEnd w:id="260"/>
      <w:bookmarkStart w:id="261" w:name="_Toc184314466"/>
      <w:bookmarkEnd w:id="261"/>
      <w:bookmarkStart w:id="262" w:name="_Toc184312096"/>
      <w:bookmarkEnd w:id="262"/>
      <w:bookmarkStart w:id="263" w:name="_Toc184310299"/>
      <w:bookmarkEnd w:id="263"/>
      <w:bookmarkStart w:id="264" w:name="_Toc184314425"/>
      <w:bookmarkEnd w:id="264"/>
      <w:bookmarkStart w:id="265" w:name="_Toc184314454"/>
      <w:bookmarkEnd w:id="265"/>
      <w:bookmarkStart w:id="266" w:name="_Toc184308049"/>
      <w:bookmarkEnd w:id="266"/>
      <w:bookmarkStart w:id="267" w:name="_Toc184312095"/>
      <w:bookmarkEnd w:id="267"/>
      <w:bookmarkStart w:id="268" w:name="_Toc184312076"/>
      <w:bookmarkEnd w:id="268"/>
      <w:bookmarkStart w:id="269" w:name="_Toc184312086"/>
      <w:bookmarkEnd w:id="269"/>
      <w:bookmarkStart w:id="270" w:name="_Toc184313270"/>
      <w:bookmarkEnd w:id="270"/>
      <w:bookmarkStart w:id="271" w:name="_Toc184310295"/>
      <w:bookmarkEnd w:id="271"/>
      <w:bookmarkStart w:id="272" w:name="_Toc184310342"/>
      <w:bookmarkEnd w:id="272"/>
      <w:bookmarkStart w:id="273" w:name="_Toc184310316"/>
      <w:bookmarkEnd w:id="273"/>
      <w:bookmarkStart w:id="274" w:name="_Toc184310273"/>
      <w:bookmarkEnd w:id="274"/>
      <w:bookmarkStart w:id="275" w:name="_Toc184313265"/>
      <w:bookmarkEnd w:id="275"/>
      <w:bookmarkStart w:id="276" w:name="_Toc184310311"/>
      <w:bookmarkEnd w:id="276"/>
      <w:bookmarkStart w:id="277" w:name="_Toc184310283"/>
      <w:bookmarkEnd w:id="277"/>
      <w:bookmarkStart w:id="278" w:name="_Toc184314445"/>
      <w:bookmarkEnd w:id="278"/>
      <w:bookmarkStart w:id="279" w:name="_Toc184308051"/>
      <w:bookmarkEnd w:id="279"/>
      <w:bookmarkStart w:id="280" w:name="_Toc184308080"/>
      <w:bookmarkEnd w:id="280"/>
      <w:bookmarkStart w:id="281" w:name="_Toc184308106"/>
      <w:bookmarkEnd w:id="281"/>
      <w:bookmarkStart w:id="282" w:name="_Toc184308077"/>
      <w:bookmarkEnd w:id="282"/>
      <w:bookmarkStart w:id="283" w:name="_Toc184312110"/>
      <w:bookmarkEnd w:id="283"/>
      <w:bookmarkStart w:id="284" w:name="_Toc184314446"/>
      <w:bookmarkEnd w:id="284"/>
      <w:bookmarkStart w:id="285" w:name="_Toc184308047"/>
      <w:bookmarkEnd w:id="285"/>
      <w:bookmarkStart w:id="286" w:name="_Toc184313301"/>
      <w:bookmarkEnd w:id="286"/>
      <w:bookmarkStart w:id="287" w:name="_Toc184310277"/>
      <w:bookmarkEnd w:id="287"/>
      <w:bookmarkStart w:id="288" w:name="_Toc184314441"/>
      <w:bookmarkEnd w:id="288"/>
      <w:bookmarkStart w:id="289" w:name="_Toc184313261"/>
      <w:bookmarkEnd w:id="289"/>
      <w:bookmarkStart w:id="290" w:name="_Toc184314457"/>
      <w:bookmarkEnd w:id="290"/>
      <w:bookmarkStart w:id="291" w:name="_Toc184310314"/>
      <w:bookmarkEnd w:id="291"/>
      <w:bookmarkStart w:id="292" w:name="_Toc184308072"/>
      <w:bookmarkEnd w:id="292"/>
      <w:bookmarkStart w:id="293" w:name="_Toc184312131"/>
      <w:bookmarkEnd w:id="293"/>
      <w:bookmarkStart w:id="294" w:name="_Toc184310343"/>
      <w:bookmarkEnd w:id="294"/>
      <w:bookmarkStart w:id="295" w:name="_Toc184312070"/>
      <w:bookmarkEnd w:id="295"/>
      <w:bookmarkStart w:id="296" w:name="_Toc184313282"/>
      <w:bookmarkEnd w:id="296"/>
      <w:bookmarkStart w:id="297" w:name="_Toc184310291"/>
      <w:bookmarkEnd w:id="297"/>
      <w:bookmarkStart w:id="298" w:name="_Toc184308075"/>
      <w:bookmarkEnd w:id="298"/>
      <w:bookmarkStart w:id="299" w:name="_Toc184313306"/>
      <w:bookmarkEnd w:id="299"/>
      <w:bookmarkStart w:id="300" w:name="_Toc184313299"/>
      <w:bookmarkEnd w:id="300"/>
      <w:bookmarkStart w:id="301" w:name="_Toc184312136"/>
      <w:bookmarkEnd w:id="301"/>
      <w:bookmarkStart w:id="302" w:name="_Toc184310293"/>
      <w:bookmarkEnd w:id="302"/>
      <w:bookmarkStart w:id="303" w:name="_Toc184313288"/>
      <w:bookmarkEnd w:id="303"/>
      <w:bookmarkStart w:id="304" w:name="_Toc184312067"/>
      <w:bookmarkEnd w:id="304"/>
      <w:bookmarkStart w:id="305" w:name="_Toc184308084"/>
      <w:bookmarkEnd w:id="305"/>
      <w:bookmarkStart w:id="306" w:name="_Toc184314418"/>
      <w:bookmarkEnd w:id="306"/>
      <w:bookmarkStart w:id="307" w:name="_Toc184312111"/>
      <w:bookmarkEnd w:id="307"/>
      <w:bookmarkStart w:id="308" w:name="_Toc184310338"/>
      <w:bookmarkEnd w:id="308"/>
      <w:bookmarkStart w:id="309" w:name="_Toc184308104"/>
      <w:bookmarkEnd w:id="309"/>
      <w:bookmarkStart w:id="310" w:name="_Toc184312114"/>
      <w:bookmarkEnd w:id="310"/>
      <w:bookmarkStart w:id="311" w:name="_Toc184314478"/>
      <w:bookmarkEnd w:id="311"/>
      <w:bookmarkStart w:id="312" w:name="_Toc184308090"/>
      <w:bookmarkEnd w:id="312"/>
      <w:bookmarkStart w:id="313" w:name="_Toc184310337"/>
      <w:bookmarkEnd w:id="313"/>
      <w:bookmarkStart w:id="314" w:name="_Toc184313283"/>
      <w:bookmarkEnd w:id="314"/>
      <w:bookmarkStart w:id="315" w:name="_Toc184314463"/>
      <w:bookmarkEnd w:id="315"/>
      <w:bookmarkStart w:id="316" w:name="_Toc184308083"/>
      <w:bookmarkEnd w:id="316"/>
      <w:bookmarkStart w:id="317" w:name="_Toc184308062"/>
      <w:bookmarkEnd w:id="317"/>
      <w:bookmarkStart w:id="318" w:name="_Toc184313259"/>
      <w:bookmarkEnd w:id="318"/>
      <w:bookmarkStart w:id="319" w:name="_Toc184308042"/>
      <w:bookmarkEnd w:id="319"/>
      <w:bookmarkStart w:id="320" w:name="_Toc184313275"/>
      <w:bookmarkEnd w:id="320"/>
      <w:bookmarkStart w:id="321" w:name="_Toc184314453"/>
      <w:bookmarkEnd w:id="321"/>
      <w:bookmarkStart w:id="322" w:name="_Toc184313242"/>
      <w:bookmarkEnd w:id="322"/>
      <w:bookmarkStart w:id="323" w:name="_Toc184308039"/>
      <w:bookmarkEnd w:id="323"/>
      <w:bookmarkStart w:id="324" w:name="_Toc184310312"/>
      <w:bookmarkEnd w:id="324"/>
      <w:bookmarkStart w:id="325" w:name="_Toc184313273"/>
      <w:bookmarkEnd w:id="325"/>
      <w:bookmarkStart w:id="326" w:name="_Toc184312137"/>
      <w:bookmarkEnd w:id="326"/>
      <w:bookmarkStart w:id="327" w:name="_Toc184310331"/>
      <w:bookmarkEnd w:id="327"/>
      <w:bookmarkStart w:id="328" w:name="_Toc184314451"/>
      <w:bookmarkEnd w:id="328"/>
      <w:bookmarkStart w:id="329" w:name="_Toc184313247"/>
      <w:bookmarkEnd w:id="329"/>
      <w:bookmarkStart w:id="330" w:name="_Toc184312121"/>
      <w:bookmarkEnd w:id="330"/>
      <w:bookmarkStart w:id="331" w:name="_Toc184313269"/>
      <w:bookmarkEnd w:id="331"/>
      <w:bookmarkStart w:id="332" w:name="_Toc184314426"/>
      <w:bookmarkEnd w:id="332"/>
      <w:bookmarkStart w:id="333" w:name="_Toc184313264"/>
      <w:bookmarkEnd w:id="333"/>
      <w:bookmarkStart w:id="334" w:name="_Toc184313271"/>
      <w:bookmarkEnd w:id="334"/>
      <w:bookmarkStart w:id="335" w:name="_Toc184310286"/>
      <w:bookmarkEnd w:id="335"/>
      <w:bookmarkStart w:id="336" w:name="_Toc184308081"/>
      <w:bookmarkEnd w:id="336"/>
      <w:bookmarkStart w:id="337" w:name="_Toc184313310"/>
      <w:bookmarkEnd w:id="337"/>
      <w:bookmarkStart w:id="338" w:name="_Toc184314447"/>
      <w:bookmarkEnd w:id="338"/>
      <w:bookmarkStart w:id="339" w:name="_Toc184312084"/>
      <w:bookmarkEnd w:id="339"/>
      <w:bookmarkStart w:id="340" w:name="_Toc184308067"/>
      <w:bookmarkEnd w:id="340"/>
      <w:bookmarkStart w:id="341" w:name="_Toc184310334"/>
      <w:bookmarkEnd w:id="341"/>
      <w:bookmarkStart w:id="342" w:name="_Toc184308093"/>
      <w:bookmarkEnd w:id="342"/>
      <w:bookmarkStart w:id="343" w:name="_Toc184313308"/>
      <w:bookmarkEnd w:id="343"/>
      <w:bookmarkStart w:id="344" w:name="_Toc184314470"/>
      <w:bookmarkEnd w:id="344"/>
      <w:bookmarkStart w:id="345" w:name="_Toc184312105"/>
      <w:bookmarkEnd w:id="345"/>
      <w:bookmarkStart w:id="346" w:name="_Toc184308107"/>
      <w:bookmarkEnd w:id="346"/>
      <w:bookmarkStart w:id="347" w:name="_Toc184312075"/>
      <w:bookmarkEnd w:id="347"/>
      <w:bookmarkStart w:id="348" w:name="_Toc184314456"/>
      <w:bookmarkEnd w:id="348"/>
      <w:bookmarkStart w:id="349" w:name="_Toc184313281"/>
      <w:bookmarkEnd w:id="349"/>
      <w:bookmarkStart w:id="350" w:name="_Toc184313293"/>
      <w:bookmarkEnd w:id="350"/>
      <w:bookmarkStart w:id="351" w:name="_Toc184308061"/>
      <w:bookmarkEnd w:id="351"/>
      <w:bookmarkStart w:id="352" w:name="_Toc184313290"/>
      <w:bookmarkEnd w:id="352"/>
      <w:bookmarkStart w:id="353" w:name="_Toc184308099"/>
      <w:bookmarkEnd w:id="353"/>
      <w:bookmarkStart w:id="354" w:name="_Toc184312122"/>
      <w:bookmarkEnd w:id="354"/>
      <w:bookmarkStart w:id="355" w:name="_Toc184313285"/>
      <w:bookmarkEnd w:id="355"/>
      <w:bookmarkStart w:id="356" w:name="_Toc184313279"/>
      <w:bookmarkEnd w:id="356"/>
      <w:bookmarkStart w:id="357" w:name="_Toc184312090"/>
      <w:bookmarkEnd w:id="357"/>
      <w:bookmarkStart w:id="358" w:name="_Toc184312071"/>
      <w:bookmarkEnd w:id="358"/>
      <w:bookmarkStart w:id="359" w:name="_Toc184312118"/>
      <w:bookmarkEnd w:id="359"/>
      <w:bookmarkStart w:id="360" w:name="_Toc184310301"/>
      <w:bookmarkEnd w:id="360"/>
      <w:bookmarkStart w:id="361" w:name="_Toc184313248"/>
      <w:bookmarkEnd w:id="361"/>
      <w:bookmarkStart w:id="362" w:name="_Toc184314420"/>
      <w:bookmarkEnd w:id="362"/>
      <w:bookmarkStart w:id="363" w:name="_Toc184314438"/>
      <w:bookmarkEnd w:id="363"/>
      <w:bookmarkStart w:id="364" w:name="_Toc184313298"/>
      <w:bookmarkEnd w:id="364"/>
      <w:bookmarkStart w:id="365" w:name="_Toc184313303"/>
      <w:bookmarkEnd w:id="365"/>
      <w:bookmarkStart w:id="366" w:name="_Toc184313258"/>
      <w:bookmarkEnd w:id="366"/>
      <w:bookmarkStart w:id="367" w:name="_Toc184314440"/>
      <w:bookmarkEnd w:id="367"/>
      <w:bookmarkStart w:id="368" w:name="_Toc184313252"/>
      <w:bookmarkEnd w:id="368"/>
      <w:bookmarkStart w:id="369" w:name="_Toc184313286"/>
      <w:bookmarkEnd w:id="369"/>
      <w:bookmarkStart w:id="370" w:name="_Toc184312083"/>
      <w:bookmarkEnd w:id="370"/>
      <w:bookmarkStart w:id="371" w:name="_Toc184308066"/>
      <w:bookmarkEnd w:id="371"/>
      <w:bookmarkStart w:id="372" w:name="_Toc184308079"/>
      <w:bookmarkEnd w:id="372"/>
      <w:bookmarkStart w:id="373" w:name="_Toc184310313"/>
      <w:bookmarkEnd w:id="373"/>
      <w:bookmarkStart w:id="374" w:name="_Toc184314462"/>
      <w:bookmarkEnd w:id="374"/>
      <w:bookmarkStart w:id="375" w:name="_Toc184308040"/>
      <w:bookmarkEnd w:id="375"/>
      <w:bookmarkStart w:id="376" w:name="_Toc184308070"/>
      <w:bookmarkEnd w:id="376"/>
      <w:bookmarkStart w:id="377" w:name="_Toc184312077"/>
      <w:bookmarkEnd w:id="377"/>
      <w:bookmarkStart w:id="378" w:name="_Toc184314413"/>
      <w:bookmarkEnd w:id="378"/>
      <w:bookmarkStart w:id="379" w:name="_Toc184308038"/>
      <w:bookmarkEnd w:id="379"/>
      <w:bookmarkStart w:id="380" w:name="_Toc184314471"/>
      <w:bookmarkEnd w:id="380"/>
      <w:bookmarkStart w:id="381" w:name="_Toc184313243"/>
      <w:bookmarkEnd w:id="381"/>
      <w:bookmarkStart w:id="382" w:name="_Toc184314411"/>
      <w:bookmarkEnd w:id="382"/>
      <w:bookmarkStart w:id="383" w:name="_Toc184312073"/>
      <w:bookmarkEnd w:id="383"/>
      <w:bookmarkStart w:id="384" w:name="_Toc184308044"/>
      <w:bookmarkEnd w:id="384"/>
      <w:bookmarkStart w:id="385" w:name="_Toc184310278"/>
      <w:bookmarkEnd w:id="385"/>
      <w:bookmarkStart w:id="386" w:name="_Toc184313254"/>
      <w:bookmarkEnd w:id="386"/>
      <w:bookmarkStart w:id="387" w:name="_Toc184314479"/>
      <w:bookmarkEnd w:id="387"/>
      <w:bookmarkStart w:id="388" w:name="_Toc184312081"/>
      <w:bookmarkEnd w:id="388"/>
      <w:bookmarkStart w:id="389" w:name="_Toc184310327"/>
      <w:bookmarkEnd w:id="389"/>
      <w:bookmarkStart w:id="390" w:name="_Toc184314414"/>
      <w:bookmarkEnd w:id="390"/>
      <w:bookmarkStart w:id="391" w:name="_Toc184312089"/>
      <w:bookmarkEnd w:id="391"/>
      <w:bookmarkStart w:id="392" w:name="_Toc184313256"/>
      <w:bookmarkEnd w:id="392"/>
      <w:r>
        <w:rPr>
          <w:rFonts w:hint="eastAsia" w:asciiTheme="minorEastAsia" w:hAnsiTheme="minorEastAsia" w:eastAsiaTheme="minorEastAsia" w:cstheme="minorEastAsia"/>
          <w:b/>
          <w:color w:val="auto"/>
          <w:sz w:val="36"/>
          <w:szCs w:val="36"/>
          <w:highlight w:val="none"/>
        </w:rPr>
        <w:t>评标办法</w:t>
      </w:r>
    </w:p>
    <w:p>
      <w:pPr>
        <w:snapToGrid w:val="0"/>
        <w:spacing w:line="360" w:lineRule="auto"/>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18"/>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7639"/>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8" w:type="pct"/>
            <w:vAlign w:val="center"/>
          </w:tcPr>
          <w:p>
            <w:pPr>
              <w:snapToGrid w:val="0"/>
              <w:spacing w:line="240" w:lineRule="auto"/>
              <w:jc w:val="center"/>
              <w:outlineLvl w:val="0"/>
              <w:rPr>
                <w:rFonts w:ascii="宋体" w:hAnsi="宋体" w:cs="宋体"/>
                <w:b/>
                <w:color w:val="auto"/>
                <w:sz w:val="22"/>
                <w:highlight w:val="none"/>
              </w:rPr>
            </w:pPr>
            <w:r>
              <w:rPr>
                <w:rFonts w:hint="eastAsia" w:ascii="宋体" w:hAnsi="宋体" w:cs="宋体"/>
                <w:b/>
                <w:color w:val="auto"/>
                <w:sz w:val="22"/>
                <w:highlight w:val="none"/>
              </w:rPr>
              <w:t>序号</w:t>
            </w:r>
          </w:p>
        </w:tc>
        <w:tc>
          <w:tcPr>
            <w:tcW w:w="4155" w:type="pct"/>
            <w:vAlign w:val="center"/>
          </w:tcPr>
          <w:p>
            <w:pPr>
              <w:snapToGrid w:val="0"/>
              <w:spacing w:line="240" w:lineRule="auto"/>
              <w:jc w:val="center"/>
              <w:outlineLvl w:val="0"/>
              <w:rPr>
                <w:rFonts w:ascii="宋体" w:hAnsi="宋体" w:cs="宋体"/>
                <w:b/>
                <w:color w:val="auto"/>
                <w:sz w:val="22"/>
                <w:highlight w:val="none"/>
              </w:rPr>
            </w:pPr>
            <w:r>
              <w:rPr>
                <w:rFonts w:hint="eastAsia" w:ascii="宋体" w:hAnsi="宋体" w:cs="宋体"/>
                <w:b/>
                <w:color w:val="auto"/>
                <w:sz w:val="22"/>
                <w:highlight w:val="none"/>
              </w:rPr>
              <w:t>评标标准</w:t>
            </w:r>
          </w:p>
        </w:tc>
        <w:tc>
          <w:tcPr>
            <w:tcW w:w="356" w:type="pct"/>
            <w:vAlign w:val="center"/>
          </w:tcPr>
          <w:p>
            <w:pPr>
              <w:snapToGrid w:val="0"/>
              <w:spacing w:line="240" w:lineRule="auto"/>
              <w:jc w:val="center"/>
              <w:outlineLvl w:val="0"/>
              <w:rPr>
                <w:rFonts w:ascii="宋体" w:hAnsi="宋体" w:cs="宋体"/>
                <w:b/>
                <w:color w:val="auto"/>
                <w:sz w:val="22"/>
                <w:highlight w:val="none"/>
              </w:rPr>
            </w:pPr>
            <w:r>
              <w:rPr>
                <w:rFonts w:hint="eastAsia" w:ascii="宋体" w:hAnsi="宋体" w:cs="宋体"/>
                <w:b/>
                <w:color w:val="auto"/>
                <w:sz w:val="22"/>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8" w:type="pct"/>
            <w:vAlign w:val="center"/>
          </w:tcPr>
          <w:p>
            <w:pPr>
              <w:adjustRightInd w:val="0"/>
              <w:spacing w:line="240" w:lineRule="auto"/>
              <w:jc w:val="center"/>
              <w:outlineLvl w:val="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4155" w:type="pct"/>
            <w:vAlign w:val="center"/>
          </w:tcPr>
          <w:p>
            <w:pPr>
              <w:adjustRightInd w:val="0"/>
              <w:snapToGrid w:val="0"/>
              <w:spacing w:line="240" w:lineRule="auto"/>
              <w:ind w:firstLine="480" w:firstLineChars="200"/>
              <w:jc w:val="left"/>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有效投标报价的最低价作为评标基准价，其最低报价为满分；按［投标报价得分=（评标基准价/投标报价）×</w:t>
            </w: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val="zh-CN"/>
              </w:rPr>
              <w:t>］的计算公式计算。</w:t>
            </w:r>
          </w:p>
          <w:p>
            <w:pPr>
              <w:adjustRightInd w:val="0"/>
              <w:snapToGrid w:val="0"/>
              <w:spacing w:line="24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评标过程中，不得去掉报价中的最高报价和最低报价。</w:t>
            </w:r>
          </w:p>
        </w:tc>
        <w:tc>
          <w:tcPr>
            <w:tcW w:w="356" w:type="pct"/>
            <w:vAlign w:val="center"/>
          </w:tcPr>
          <w:p>
            <w:pPr>
              <w:adjustRightIn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8" w:type="pct"/>
            <w:vAlign w:val="center"/>
          </w:tcPr>
          <w:p>
            <w:pPr>
              <w:snapToGrid w:val="0"/>
              <w:spacing w:line="240" w:lineRule="auto"/>
              <w:ind w:firstLine="330" w:firstLineChars="150"/>
              <w:outlineLvl w:val="0"/>
              <w:rPr>
                <w:rFonts w:ascii="宋体" w:hAnsi="宋体" w:cs="宋体"/>
                <w:color w:val="auto"/>
                <w:sz w:val="22"/>
                <w:highlight w:val="none"/>
              </w:rPr>
            </w:pPr>
            <w:r>
              <w:rPr>
                <w:rFonts w:hint="eastAsia" w:ascii="宋体" w:hAnsi="宋体" w:cs="宋体"/>
                <w:color w:val="auto"/>
                <w:sz w:val="22"/>
                <w:highlight w:val="none"/>
              </w:rPr>
              <w:t>1</w:t>
            </w:r>
          </w:p>
        </w:tc>
        <w:tc>
          <w:tcPr>
            <w:tcW w:w="4155" w:type="pct"/>
            <w:vAlign w:val="center"/>
          </w:tcPr>
          <w:p>
            <w:pPr>
              <w:widowControl/>
              <w:spacing w:line="240" w:lineRule="auto"/>
              <w:textAlignment w:val="center"/>
              <w:rPr>
                <w:rFonts w:hint="eastAsia" w:ascii="宋体" w:hAnsi="宋体"/>
                <w:color w:val="auto"/>
                <w:kern w:val="0"/>
                <w:sz w:val="24"/>
                <w:highlight w:val="none"/>
              </w:rPr>
            </w:pPr>
            <w:r>
              <w:rPr>
                <w:rFonts w:hint="eastAsia" w:ascii="宋体" w:hAnsi="宋体"/>
                <w:color w:val="auto"/>
                <w:kern w:val="0"/>
                <w:sz w:val="24"/>
                <w:highlight w:val="none"/>
              </w:rPr>
              <w:t>【客观分】投标供应商202</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年1月1日以来具有类似项目实施业绩，每提供1份业绩证明材料得0.5分，最高得1分。</w:t>
            </w:r>
          </w:p>
          <w:p>
            <w:pPr>
              <w:widowControl/>
              <w:spacing w:line="240" w:lineRule="auto"/>
              <w:textAlignment w:val="center"/>
              <w:rPr>
                <w:rFonts w:hint="default" w:ascii="宋体" w:hAnsi="宋体"/>
                <w:color w:val="auto"/>
                <w:kern w:val="0"/>
                <w:sz w:val="24"/>
                <w:highlight w:val="none"/>
                <w:lang w:val="en-US"/>
              </w:rPr>
            </w:pPr>
            <w:r>
              <w:rPr>
                <w:rFonts w:hint="eastAsia" w:ascii="宋体" w:hAnsi="宋体"/>
                <w:color w:val="auto"/>
                <w:kern w:val="0"/>
                <w:sz w:val="24"/>
                <w:highlight w:val="none"/>
                <w:lang w:val="en-US" w:eastAsia="zh-CN"/>
              </w:rPr>
              <w:t>证明材料：</w:t>
            </w:r>
            <w:r>
              <w:rPr>
                <w:rFonts w:hint="eastAsia" w:ascii="宋体" w:hAnsi="宋体"/>
                <w:color w:val="auto"/>
                <w:kern w:val="0"/>
                <w:sz w:val="24"/>
                <w:highlight w:val="none"/>
              </w:rPr>
              <w:t>提供合同</w:t>
            </w:r>
            <w:r>
              <w:rPr>
                <w:rFonts w:hint="eastAsia" w:ascii="宋体" w:hAnsi="宋体"/>
                <w:color w:val="auto"/>
                <w:kern w:val="0"/>
                <w:sz w:val="24"/>
                <w:highlight w:val="none"/>
                <w:lang w:val="en-US" w:eastAsia="zh-CN"/>
              </w:rPr>
              <w:t>复印件，未提供不得分。</w:t>
            </w:r>
          </w:p>
        </w:tc>
        <w:tc>
          <w:tcPr>
            <w:tcW w:w="356" w:type="pct"/>
            <w:vAlign w:val="center"/>
          </w:tcPr>
          <w:p>
            <w:pPr>
              <w:snapToGrid w:val="0"/>
              <w:spacing w:line="240" w:lineRule="auto"/>
              <w:jc w:val="center"/>
              <w:outlineLvl w:val="0"/>
              <w:rPr>
                <w:rFonts w:ascii="宋体" w:hAnsi="宋体" w:cs="宋体"/>
                <w:color w:val="auto"/>
                <w:sz w:val="22"/>
                <w:highlight w:val="none"/>
              </w:rPr>
            </w:pPr>
            <w:r>
              <w:rPr>
                <w:rFonts w:hint="eastAsia" w:ascii="宋体" w:hAnsi="宋体" w:cs="宋体"/>
                <w:color w:val="auto"/>
                <w:sz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488" w:type="pct"/>
            <w:vAlign w:val="center"/>
          </w:tcPr>
          <w:p>
            <w:pPr>
              <w:snapToGrid w:val="0"/>
              <w:spacing w:line="240" w:lineRule="auto"/>
              <w:ind w:firstLine="330" w:firstLineChars="150"/>
              <w:outlineLvl w:val="0"/>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2</w:t>
            </w:r>
          </w:p>
        </w:tc>
        <w:tc>
          <w:tcPr>
            <w:tcW w:w="4155" w:type="pct"/>
            <w:vAlign w:val="center"/>
          </w:tcPr>
          <w:p>
            <w:pPr>
              <w:widowControl/>
              <w:spacing w:line="240" w:lineRule="auto"/>
              <w:textAlignment w:val="center"/>
              <w:rPr>
                <w:rFonts w:hint="eastAsia" w:ascii="宋体" w:hAnsi="宋体"/>
                <w:color w:val="auto"/>
                <w:kern w:val="0"/>
                <w:sz w:val="24"/>
                <w:szCs w:val="24"/>
                <w:highlight w:val="none"/>
              </w:rPr>
            </w:pPr>
            <w:r>
              <w:rPr>
                <w:rFonts w:hint="eastAsia" w:ascii="宋体" w:hAnsi="宋体"/>
                <w:color w:val="auto"/>
                <w:kern w:val="0"/>
                <w:sz w:val="24"/>
                <w:highlight w:val="none"/>
              </w:rPr>
              <w:t>【客观分】</w:t>
            </w:r>
            <w:r>
              <w:rPr>
                <w:rFonts w:hint="eastAsia" w:ascii="宋体" w:hAnsi="宋体"/>
                <w:color w:val="auto"/>
                <w:kern w:val="0"/>
                <w:sz w:val="24"/>
                <w:szCs w:val="24"/>
                <w:highlight w:val="none"/>
              </w:rPr>
              <w:t>投标人具有有效的信息技术服务管理体系认证证书、信息安全管理体系认证证书（两个证书体系涵盖范围必须包含软件开发），每</w:t>
            </w:r>
            <w:r>
              <w:rPr>
                <w:rFonts w:hint="eastAsia" w:ascii="宋体" w:hAnsi="宋体"/>
                <w:color w:val="auto"/>
                <w:kern w:val="0"/>
                <w:sz w:val="24"/>
                <w:szCs w:val="24"/>
                <w:highlight w:val="none"/>
                <w:lang w:val="en-US" w:eastAsia="zh-CN"/>
              </w:rPr>
              <w:t>提供1</w:t>
            </w:r>
            <w:r>
              <w:rPr>
                <w:rFonts w:hint="eastAsia" w:ascii="宋体" w:hAnsi="宋体"/>
                <w:color w:val="auto"/>
                <w:kern w:val="0"/>
                <w:sz w:val="24"/>
                <w:szCs w:val="24"/>
                <w:highlight w:val="none"/>
              </w:rPr>
              <w:t>个有效证书扫描件得1分，共2分。</w:t>
            </w:r>
          </w:p>
          <w:p>
            <w:pPr>
              <w:widowControl/>
              <w:spacing w:line="240" w:lineRule="auto"/>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证明材料：有效认证证书扫描件</w:t>
            </w:r>
            <w:r>
              <w:rPr>
                <w:rFonts w:hint="eastAsia" w:ascii="宋体" w:hAnsi="宋体"/>
                <w:color w:val="auto"/>
                <w:kern w:val="0"/>
                <w:sz w:val="24"/>
                <w:highlight w:val="none"/>
                <w:lang w:val="en-US" w:eastAsia="zh-CN"/>
              </w:rPr>
              <w:t>，未提供不得分</w:t>
            </w:r>
          </w:p>
        </w:tc>
        <w:tc>
          <w:tcPr>
            <w:tcW w:w="356" w:type="pct"/>
            <w:vAlign w:val="center"/>
          </w:tcPr>
          <w:p>
            <w:pPr>
              <w:widowControl/>
              <w:spacing w:line="240" w:lineRule="auto"/>
              <w:jc w:val="center"/>
              <w:textAlignment w:val="center"/>
              <w:rPr>
                <w:rFonts w:hint="default"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488" w:type="pct"/>
            <w:vAlign w:val="center"/>
          </w:tcPr>
          <w:p>
            <w:pPr>
              <w:snapToGrid w:val="0"/>
              <w:spacing w:line="240" w:lineRule="auto"/>
              <w:ind w:firstLine="330" w:firstLineChars="150"/>
              <w:outlineLvl w:val="0"/>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3</w:t>
            </w:r>
          </w:p>
        </w:tc>
        <w:tc>
          <w:tcPr>
            <w:tcW w:w="4155" w:type="pct"/>
            <w:vAlign w:val="center"/>
          </w:tcPr>
          <w:p>
            <w:pPr>
              <w:widowControl/>
              <w:spacing w:line="240" w:lineRule="auto"/>
              <w:jc w:val="both"/>
              <w:textAlignment w:val="center"/>
              <w:rPr>
                <w:rFonts w:hint="eastAsia" w:ascii="宋体" w:hAnsi="宋体" w:eastAsia="宋体" w:cs="宋体"/>
                <w:b w:val="0"/>
                <w:bCs/>
                <w:i w:val="0"/>
                <w:iCs w:val="0"/>
                <w:color w:val="auto"/>
                <w:sz w:val="24"/>
                <w:szCs w:val="24"/>
                <w:highlight w:val="none"/>
              </w:rPr>
            </w:pPr>
            <w:r>
              <w:rPr>
                <w:rFonts w:hint="eastAsia" w:ascii="宋体" w:hAnsi="宋体"/>
                <w:color w:val="auto"/>
                <w:kern w:val="0"/>
                <w:sz w:val="24"/>
                <w:highlight w:val="none"/>
              </w:rPr>
              <w:t>【客观分】</w:t>
            </w:r>
            <w:r>
              <w:rPr>
                <w:rFonts w:hint="eastAsia" w:ascii="宋体" w:hAnsi="宋体"/>
                <w:color w:val="auto"/>
                <w:kern w:val="0"/>
                <w:sz w:val="24"/>
                <w:highlight w:val="none"/>
                <w:lang w:val="en-US" w:eastAsia="zh-CN"/>
              </w:rPr>
              <w:t>投标人具有项目相关</w:t>
            </w:r>
            <w:r>
              <w:rPr>
                <w:rFonts w:hint="eastAsia" w:ascii="宋体" w:hAnsi="宋体" w:eastAsia="宋体" w:cs="宋体"/>
                <w:b w:val="0"/>
                <w:bCs/>
                <w:i w:val="0"/>
                <w:iCs w:val="0"/>
                <w:color w:val="auto"/>
                <w:sz w:val="24"/>
                <w:szCs w:val="24"/>
                <w:highlight w:val="none"/>
              </w:rPr>
              <w:t>计算机软件著作权登记证书的，每个得</w:t>
            </w:r>
            <w:r>
              <w:rPr>
                <w:rFonts w:hint="eastAsia" w:ascii="宋体" w:hAnsi="宋体" w:eastAsia="宋体" w:cs="宋体"/>
                <w:b w:val="0"/>
                <w:bCs/>
                <w:i w:val="0"/>
                <w:iCs w:val="0"/>
                <w:color w:val="auto"/>
                <w:sz w:val="24"/>
                <w:szCs w:val="24"/>
                <w:highlight w:val="none"/>
                <w:lang w:val="en-US" w:eastAsia="zh-CN"/>
              </w:rPr>
              <w:t>1</w:t>
            </w:r>
            <w:r>
              <w:rPr>
                <w:rFonts w:hint="eastAsia" w:ascii="宋体" w:hAnsi="宋体" w:eastAsia="宋体" w:cs="宋体"/>
                <w:b w:val="0"/>
                <w:bCs/>
                <w:i w:val="0"/>
                <w:iCs w:val="0"/>
                <w:color w:val="auto"/>
                <w:sz w:val="24"/>
                <w:szCs w:val="24"/>
                <w:highlight w:val="none"/>
              </w:rPr>
              <w:t>分，此项最多得</w:t>
            </w:r>
            <w:r>
              <w:rPr>
                <w:rFonts w:hint="eastAsia" w:ascii="宋体" w:hAnsi="宋体" w:eastAsia="宋体" w:cs="宋体"/>
                <w:b w:val="0"/>
                <w:bCs/>
                <w:i w:val="0"/>
                <w:iCs w:val="0"/>
                <w:color w:val="auto"/>
                <w:sz w:val="24"/>
                <w:szCs w:val="24"/>
                <w:highlight w:val="none"/>
                <w:lang w:val="en-US" w:eastAsia="zh-CN"/>
              </w:rPr>
              <w:t>3</w:t>
            </w:r>
            <w:r>
              <w:rPr>
                <w:rFonts w:hint="eastAsia" w:ascii="宋体" w:hAnsi="宋体" w:eastAsia="宋体" w:cs="宋体"/>
                <w:b w:val="0"/>
                <w:bCs/>
                <w:i w:val="0"/>
                <w:iCs w:val="0"/>
                <w:color w:val="auto"/>
                <w:sz w:val="24"/>
                <w:szCs w:val="24"/>
                <w:highlight w:val="none"/>
              </w:rPr>
              <w:t>分。</w:t>
            </w:r>
          </w:p>
          <w:p>
            <w:pPr>
              <w:widowControl/>
              <w:spacing w:line="240" w:lineRule="auto"/>
              <w:jc w:val="both"/>
              <w:textAlignment w:val="center"/>
              <w:rPr>
                <w:rFonts w:hint="default" w:ascii="宋体" w:hAnsi="宋体" w:eastAsia="宋体"/>
                <w:color w:val="auto"/>
                <w:kern w:val="0"/>
                <w:sz w:val="24"/>
                <w:szCs w:val="24"/>
                <w:highlight w:val="none"/>
                <w:lang w:val="en-US" w:eastAsia="zh-CN"/>
              </w:rPr>
            </w:pPr>
            <w:r>
              <w:rPr>
                <w:rFonts w:hint="eastAsia" w:ascii="宋体" w:hAnsi="宋体" w:eastAsia="宋体" w:cs="宋体"/>
                <w:b w:val="0"/>
                <w:bCs/>
                <w:i w:val="0"/>
                <w:iCs w:val="0"/>
                <w:color w:val="auto"/>
                <w:sz w:val="24"/>
                <w:szCs w:val="24"/>
                <w:highlight w:val="none"/>
              </w:rPr>
              <w:t>证明材料：有效的计算机软件著作权登记证书复印件加盖投标人电子签名或公章。</w:t>
            </w:r>
          </w:p>
        </w:tc>
        <w:tc>
          <w:tcPr>
            <w:tcW w:w="356" w:type="pct"/>
            <w:vAlign w:val="center"/>
          </w:tcPr>
          <w:p>
            <w:pPr>
              <w:widowControl/>
              <w:spacing w:line="240" w:lineRule="auto"/>
              <w:jc w:val="center"/>
              <w:textAlignment w:val="center"/>
              <w:rPr>
                <w:rFonts w:hint="default"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488" w:type="pct"/>
            <w:vAlign w:val="center"/>
          </w:tcPr>
          <w:p>
            <w:pPr>
              <w:snapToGrid w:val="0"/>
              <w:spacing w:line="240" w:lineRule="auto"/>
              <w:ind w:firstLine="330" w:firstLineChars="150"/>
              <w:outlineLvl w:val="0"/>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4</w:t>
            </w:r>
          </w:p>
        </w:tc>
        <w:tc>
          <w:tcPr>
            <w:tcW w:w="4155" w:type="pct"/>
            <w:vAlign w:val="center"/>
          </w:tcPr>
          <w:p>
            <w:pPr>
              <w:widowControl/>
              <w:spacing w:line="240" w:lineRule="auto"/>
              <w:textAlignment w:val="center"/>
              <w:rPr>
                <w:rFonts w:ascii="宋体" w:hAnsi="宋体"/>
                <w:color w:val="auto"/>
                <w:kern w:val="0"/>
                <w:sz w:val="24"/>
                <w:szCs w:val="24"/>
                <w:highlight w:val="none"/>
              </w:rPr>
            </w:pPr>
            <w:r>
              <w:rPr>
                <w:rFonts w:hint="eastAsia" w:ascii="宋体" w:hAnsi="宋体"/>
                <w:color w:val="auto"/>
                <w:kern w:val="0"/>
                <w:sz w:val="24"/>
                <w:highlight w:val="none"/>
              </w:rPr>
              <w:t>【客观分】</w:t>
            </w:r>
            <w:r>
              <w:rPr>
                <w:rFonts w:hint="eastAsia" w:ascii="宋体" w:hAnsi="宋体" w:eastAsia="宋体" w:cs="宋体"/>
                <w:b w:val="0"/>
                <w:bCs/>
                <w:i w:val="0"/>
                <w:iCs w:val="0"/>
                <w:color w:val="auto"/>
                <w:kern w:val="2"/>
                <w:sz w:val="24"/>
                <w:szCs w:val="24"/>
                <w:highlight w:val="none"/>
                <w:lang w:val="en-US" w:eastAsia="zh-CN" w:bidi="ar-SA"/>
              </w:rPr>
              <w:t>投标人所投软件安全要求符合国家等级保护二级及以上的要求，能够为系统内的数据提供安全保障，可提供同类产品《信息系统安全等级保护备案证明》的，得2分，不提供不得分。</w:t>
            </w:r>
          </w:p>
        </w:tc>
        <w:tc>
          <w:tcPr>
            <w:tcW w:w="356" w:type="pct"/>
            <w:vAlign w:val="center"/>
          </w:tcPr>
          <w:p>
            <w:pPr>
              <w:widowControl/>
              <w:spacing w:line="240" w:lineRule="auto"/>
              <w:jc w:val="center"/>
              <w:textAlignment w:val="center"/>
              <w:rPr>
                <w:rFonts w:hint="default"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488" w:type="pct"/>
            <w:vAlign w:val="center"/>
          </w:tcPr>
          <w:p>
            <w:pPr>
              <w:snapToGrid w:val="0"/>
              <w:spacing w:line="240" w:lineRule="auto"/>
              <w:ind w:firstLine="330" w:firstLineChars="150"/>
              <w:outlineLvl w:val="0"/>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5</w:t>
            </w:r>
          </w:p>
        </w:tc>
        <w:tc>
          <w:tcPr>
            <w:tcW w:w="4155" w:type="pct"/>
            <w:vAlign w:val="center"/>
          </w:tcPr>
          <w:p>
            <w:pPr>
              <w:snapToGrid w:val="0"/>
              <w:spacing w:line="240" w:lineRule="auto"/>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【客观分】完全满足采购文件《第三部分   采购需求》“</w:t>
            </w:r>
            <w:r>
              <w:rPr>
                <w:rFonts w:hint="eastAsia" w:asciiTheme="minorEastAsia" w:hAnsiTheme="minorEastAsia" w:eastAsiaTheme="minorEastAsia" w:cstheme="minorEastAsia"/>
                <w:color w:val="auto"/>
                <w:sz w:val="24"/>
                <w:highlight w:val="none"/>
                <w:lang w:val="en-US" w:eastAsia="zh-CN"/>
              </w:rPr>
              <w:t>一</w:t>
            </w:r>
            <w:r>
              <w:rPr>
                <w:rFonts w:hint="eastAsia" w:asciiTheme="minorEastAsia" w:hAnsiTheme="minorEastAsia" w:eastAsiaTheme="minorEastAsia" w:cstheme="minorEastAsia"/>
                <w:color w:val="auto"/>
                <w:sz w:val="24"/>
                <w:highlight w:val="none"/>
              </w:rPr>
              <w:t>、技术要求”</w:t>
            </w:r>
            <w:r>
              <w:rPr>
                <w:rFonts w:hint="eastAsia" w:asciiTheme="minorEastAsia" w:hAnsiTheme="minorEastAsia" w:eastAsiaTheme="minorEastAsia" w:cstheme="minorEastAsia"/>
                <w:color w:val="auto"/>
                <w:sz w:val="24"/>
                <w:highlight w:val="none"/>
                <w:lang w:val="en-US" w:eastAsia="zh-CN"/>
              </w:rPr>
              <w:t>及“二、建设要求”</w:t>
            </w:r>
            <w:r>
              <w:rPr>
                <w:rFonts w:hint="eastAsia" w:asciiTheme="minorEastAsia" w:hAnsiTheme="minorEastAsia" w:eastAsiaTheme="minorEastAsia" w:cstheme="minorEastAsia"/>
                <w:color w:val="auto"/>
                <w:sz w:val="24"/>
                <w:highlight w:val="none"/>
              </w:rPr>
              <w:t>要求的得</w:t>
            </w:r>
            <w:r>
              <w:rPr>
                <w:rFonts w:hint="eastAsia" w:asciiTheme="minorEastAsia" w:hAnsiTheme="minorEastAsia" w:eastAsiaTheme="minorEastAsia" w:cstheme="minorEastAsia"/>
                <w:color w:val="auto"/>
                <w:sz w:val="24"/>
                <w:highlight w:val="none"/>
                <w:lang w:val="en-US" w:eastAsia="zh-CN"/>
              </w:rPr>
              <w:t>26</w:t>
            </w:r>
            <w:r>
              <w:rPr>
                <w:rFonts w:hint="eastAsia" w:asciiTheme="minorEastAsia" w:hAnsiTheme="minorEastAsia" w:eastAsiaTheme="minorEastAsia" w:cstheme="minorEastAsia"/>
                <w:color w:val="auto"/>
                <w:sz w:val="24"/>
                <w:highlight w:val="none"/>
              </w:rPr>
              <w:t>分，</w:t>
            </w:r>
            <w:r>
              <w:rPr>
                <w:rFonts w:hint="eastAsia" w:ascii="宋体" w:hAnsi="宋体" w:eastAsia="宋体" w:cs="宋体"/>
                <w:b w:val="0"/>
                <w:bCs/>
                <w:i w:val="0"/>
                <w:iCs w:val="0"/>
                <w:color w:val="auto"/>
                <w:sz w:val="24"/>
                <w:szCs w:val="24"/>
                <w:highlight w:val="none"/>
                <w:lang w:eastAsia="zh-CN"/>
              </w:rPr>
              <w:t>“</w:t>
            </w:r>
            <w:r>
              <w:rPr>
                <w:rFonts w:hint="eastAsia" w:ascii="宋体" w:hAnsi="宋体" w:cs="宋体"/>
                <w:b/>
                <w:bCs/>
                <w:color w:val="auto"/>
                <w:sz w:val="24"/>
                <w:szCs w:val="24"/>
                <w:highlight w:val="none"/>
                <w:lang w:val="en-US" w:eastAsia="zh-CN"/>
              </w:rPr>
              <w:t>◆</w:t>
            </w:r>
            <w:r>
              <w:rPr>
                <w:rFonts w:hint="eastAsia" w:ascii="宋体" w:hAnsi="宋体" w:eastAsia="宋体" w:cs="宋体"/>
                <w:b w:val="0"/>
                <w:bCs/>
                <w:i w:val="0"/>
                <w:iCs w:val="0"/>
                <w:color w:val="auto"/>
                <w:sz w:val="24"/>
                <w:szCs w:val="24"/>
                <w:highlight w:val="none"/>
                <w:lang w:val="en-US" w:eastAsia="zh-CN"/>
              </w:rPr>
              <w:t>”项</w:t>
            </w:r>
            <w:r>
              <w:rPr>
                <w:rFonts w:hint="eastAsia" w:ascii="宋体" w:hAnsi="宋体" w:eastAsia="宋体" w:cs="宋体"/>
                <w:b w:val="0"/>
                <w:bCs/>
                <w:i w:val="0"/>
                <w:iCs w:val="0"/>
                <w:color w:val="auto"/>
                <w:sz w:val="24"/>
                <w:szCs w:val="24"/>
                <w:highlight w:val="none"/>
              </w:rPr>
              <w:t>技术要求</w:t>
            </w:r>
            <w:r>
              <w:rPr>
                <w:rFonts w:hint="eastAsia" w:ascii="宋体" w:hAnsi="宋体" w:eastAsia="宋体" w:cs="宋体"/>
                <w:b w:val="0"/>
                <w:bCs/>
                <w:i w:val="0"/>
                <w:iCs w:val="0"/>
                <w:color w:val="auto"/>
                <w:sz w:val="24"/>
                <w:szCs w:val="24"/>
                <w:highlight w:val="none"/>
                <w:lang w:val="en-US" w:eastAsia="zh-CN"/>
              </w:rPr>
              <w:t>及补充要求</w:t>
            </w:r>
            <w:r>
              <w:rPr>
                <w:rFonts w:hint="eastAsia" w:ascii="宋体" w:hAnsi="宋体" w:eastAsia="宋体" w:cs="宋体"/>
                <w:b w:val="0"/>
                <w:bCs/>
                <w:i w:val="0"/>
                <w:iCs w:val="0"/>
                <w:color w:val="auto"/>
                <w:sz w:val="24"/>
                <w:szCs w:val="24"/>
                <w:highlight w:val="none"/>
              </w:rPr>
              <w:t>存在负偏离的，每项扣</w:t>
            </w:r>
            <w:r>
              <w:rPr>
                <w:rFonts w:hint="eastAsia" w:ascii="宋体" w:hAnsi="宋体" w:eastAsia="宋体" w:cs="宋体"/>
                <w:b w:val="0"/>
                <w:bCs/>
                <w:i w:val="0"/>
                <w:iCs w:val="0"/>
                <w:color w:val="auto"/>
                <w:sz w:val="24"/>
                <w:szCs w:val="24"/>
                <w:highlight w:val="none"/>
                <w:lang w:val="en-US" w:eastAsia="zh-CN"/>
              </w:rPr>
              <w:t>2</w:t>
            </w:r>
            <w:r>
              <w:rPr>
                <w:rFonts w:hint="eastAsia" w:ascii="宋体" w:hAnsi="宋体" w:eastAsia="宋体" w:cs="宋体"/>
                <w:b w:val="0"/>
                <w:bCs/>
                <w:i w:val="0"/>
                <w:iCs w:val="0"/>
                <w:color w:val="auto"/>
                <w:sz w:val="24"/>
                <w:szCs w:val="24"/>
                <w:highlight w:val="none"/>
              </w:rPr>
              <w:t>分；一般技术要求存在负偏离的，每项扣1分</w:t>
            </w:r>
            <w:r>
              <w:rPr>
                <w:rFonts w:hint="eastAsia" w:asciiTheme="minorEastAsia" w:hAnsiTheme="minorEastAsia" w:eastAsiaTheme="minorEastAsia" w:cstheme="minorEastAsia"/>
                <w:color w:val="auto"/>
                <w:sz w:val="24"/>
                <w:highlight w:val="none"/>
              </w:rPr>
              <w:t>，扣完为止。</w:t>
            </w:r>
          </w:p>
          <w:p>
            <w:pPr>
              <w:widowControl/>
              <w:spacing w:line="240" w:lineRule="auto"/>
              <w:textAlignment w:val="center"/>
              <w:rPr>
                <w:rFonts w:ascii="宋体" w:hAnsi="宋体"/>
                <w:color w:val="auto"/>
                <w:kern w:val="0"/>
                <w:sz w:val="24"/>
                <w:szCs w:val="24"/>
                <w:highlight w:val="none"/>
              </w:rPr>
            </w:pPr>
            <w:r>
              <w:rPr>
                <w:rFonts w:hint="eastAsia" w:asciiTheme="minorEastAsia" w:hAnsiTheme="minorEastAsia" w:eastAsiaTheme="minorEastAsia" w:cstheme="minorEastAsia"/>
                <w:color w:val="auto"/>
                <w:sz w:val="24"/>
                <w:highlight w:val="none"/>
              </w:rPr>
              <w:t>注：采购需求中要求提供截图证明/证书/检测报告等资料的，需在投标文件中提供相关证明材料复印件（或扫描件）并加盖公章，否则视为不满足此项要求。</w:t>
            </w:r>
          </w:p>
        </w:tc>
        <w:tc>
          <w:tcPr>
            <w:tcW w:w="356" w:type="pct"/>
            <w:vAlign w:val="center"/>
          </w:tcPr>
          <w:p>
            <w:pPr>
              <w:widowControl/>
              <w:spacing w:line="240" w:lineRule="auto"/>
              <w:jc w:val="center"/>
              <w:textAlignment w:val="center"/>
              <w:rPr>
                <w:rFonts w:hint="default"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88" w:type="pct"/>
            <w:vAlign w:val="center"/>
          </w:tcPr>
          <w:p>
            <w:pPr>
              <w:snapToGrid w:val="0"/>
              <w:spacing w:line="240" w:lineRule="auto"/>
              <w:ind w:firstLine="330" w:firstLineChars="150"/>
              <w:outlineLvl w:val="0"/>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6</w:t>
            </w:r>
          </w:p>
        </w:tc>
        <w:tc>
          <w:tcPr>
            <w:tcW w:w="4155" w:type="pct"/>
            <w:vAlign w:val="center"/>
          </w:tcPr>
          <w:p>
            <w:pPr>
              <w:widowControl/>
              <w:spacing w:line="240" w:lineRule="auto"/>
              <w:textAlignment w:val="center"/>
              <w:rPr>
                <w:rFonts w:ascii="宋体" w:hAnsi="宋体"/>
                <w:color w:val="auto"/>
                <w:kern w:val="0"/>
                <w:sz w:val="24"/>
                <w:szCs w:val="24"/>
                <w:highlight w:val="none"/>
              </w:rPr>
            </w:pPr>
            <w:r>
              <w:rPr>
                <w:rFonts w:hint="eastAsia" w:ascii="宋体" w:hAnsi="宋体"/>
                <w:color w:val="auto"/>
                <w:kern w:val="0"/>
                <w:sz w:val="24"/>
                <w:szCs w:val="24"/>
                <w:highlight w:val="none"/>
              </w:rPr>
              <w:t>系统建设方案</w:t>
            </w:r>
          </w:p>
        </w:tc>
        <w:tc>
          <w:tcPr>
            <w:tcW w:w="356" w:type="pct"/>
            <w:vAlign w:val="center"/>
          </w:tcPr>
          <w:p>
            <w:pPr>
              <w:widowControl/>
              <w:spacing w:line="240" w:lineRule="auto"/>
              <w:jc w:val="center"/>
              <w:textAlignment w:val="center"/>
              <w:rPr>
                <w:rFonts w:ascii="宋体" w:hAnsi="宋体"/>
                <w:color w:val="auto"/>
                <w:kern w:val="0"/>
                <w:sz w:val="24"/>
                <w:szCs w:val="24"/>
                <w:highlight w:val="none"/>
              </w:rPr>
            </w:pPr>
            <w:r>
              <w:rPr>
                <w:rFonts w:hint="eastAsia" w:ascii="宋体" w:hAnsi="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88" w:type="pct"/>
            <w:vAlign w:val="center"/>
          </w:tcPr>
          <w:p>
            <w:pPr>
              <w:snapToGrid w:val="0"/>
              <w:spacing w:line="240" w:lineRule="auto"/>
              <w:jc w:val="center"/>
              <w:outlineLvl w:val="0"/>
              <w:rPr>
                <w:rFonts w:ascii="宋体" w:hAnsi="宋体" w:cs="宋体"/>
                <w:color w:val="auto"/>
                <w:sz w:val="22"/>
                <w:highlight w:val="none"/>
              </w:rPr>
            </w:pPr>
            <w:r>
              <w:rPr>
                <w:rFonts w:hint="eastAsia" w:ascii="宋体" w:hAnsi="宋体" w:cs="宋体"/>
                <w:color w:val="auto"/>
                <w:sz w:val="22"/>
                <w:highlight w:val="none"/>
                <w:lang w:val="en-US" w:eastAsia="zh-CN"/>
              </w:rPr>
              <w:t>6</w:t>
            </w:r>
            <w:r>
              <w:rPr>
                <w:rFonts w:hint="eastAsia" w:ascii="宋体" w:hAnsi="宋体" w:cs="宋体"/>
                <w:color w:val="auto"/>
                <w:sz w:val="22"/>
                <w:highlight w:val="none"/>
              </w:rPr>
              <w:t>.1</w:t>
            </w:r>
          </w:p>
        </w:tc>
        <w:tc>
          <w:tcPr>
            <w:tcW w:w="4155" w:type="pct"/>
            <w:vAlign w:val="center"/>
          </w:tcPr>
          <w:p>
            <w:pPr>
              <w:widowControl/>
              <w:spacing w:line="240" w:lineRule="auto"/>
              <w:textAlignment w:val="center"/>
              <w:rPr>
                <w:rFonts w:ascii="宋体" w:hAnsi="宋体"/>
                <w:color w:val="auto"/>
                <w:kern w:val="0"/>
                <w:sz w:val="24"/>
                <w:szCs w:val="24"/>
                <w:highlight w:val="none"/>
              </w:rPr>
            </w:pPr>
            <w:r>
              <w:rPr>
                <w:rFonts w:hint="eastAsia" w:ascii="宋体" w:hAnsi="宋体"/>
                <w:color w:val="auto"/>
                <w:kern w:val="0"/>
                <w:sz w:val="24"/>
                <w:szCs w:val="24"/>
                <w:highlight w:val="none"/>
              </w:rPr>
              <w:t>内控协同建设方案：</w:t>
            </w:r>
            <w:r>
              <w:rPr>
                <w:rFonts w:hint="eastAsia" w:ascii="宋体" w:hAnsi="宋体"/>
                <w:color w:val="auto"/>
                <w:kern w:val="0"/>
                <w:sz w:val="24"/>
                <w:szCs w:val="24"/>
                <w:highlight w:val="none"/>
                <w:lang w:val="en-US" w:eastAsia="zh-CN"/>
              </w:rPr>
              <w:t>包括①日程预约、②借阅管理、③教职工请假、④教师值班加班、⑤体育器材借还，</w:t>
            </w:r>
            <w:r>
              <w:rPr>
                <w:rFonts w:hint="eastAsia" w:ascii="宋体" w:hAnsi="宋体" w:eastAsia="宋体" w:cs="宋体"/>
                <w:color w:val="auto"/>
                <w:sz w:val="24"/>
                <w:szCs w:val="24"/>
                <w:highlight w:val="none"/>
                <w:lang w:val="en-US" w:eastAsia="zh-CN"/>
              </w:rPr>
              <w:t>根据方案</w:t>
            </w:r>
            <w:r>
              <w:rPr>
                <w:rFonts w:hint="eastAsia" w:ascii="宋体" w:hAnsi="宋体" w:eastAsia="宋体" w:cs="宋体"/>
                <w:color w:val="auto"/>
                <w:sz w:val="24"/>
                <w:szCs w:val="24"/>
                <w:highlight w:val="none"/>
              </w:rPr>
              <w:t>思路、内容</w:t>
            </w:r>
            <w:r>
              <w:rPr>
                <w:rFonts w:hint="eastAsia" w:ascii="宋体" w:hAnsi="宋体" w:eastAsia="宋体" w:cs="宋体"/>
                <w:color w:val="auto"/>
                <w:sz w:val="24"/>
                <w:szCs w:val="24"/>
                <w:highlight w:val="none"/>
                <w:lang w:val="en-US" w:eastAsia="zh-CN"/>
              </w:rPr>
              <w:t>和可实施性</w:t>
            </w:r>
            <w:r>
              <w:rPr>
                <w:rFonts w:hint="eastAsia" w:ascii="宋体" w:hAnsi="宋体" w:eastAsia="宋体" w:cs="宋体"/>
                <w:color w:val="auto"/>
                <w:kern w:val="0"/>
                <w:sz w:val="24"/>
                <w:szCs w:val="24"/>
                <w:highlight w:val="none"/>
                <w:lang w:val="en-US" w:eastAsia="zh-CN" w:bidi="ar-SA"/>
              </w:rPr>
              <w:t>进行综合评审，未提供不得分。</w:t>
            </w:r>
            <w:r>
              <w:rPr>
                <w:rFonts w:hint="eastAsia" w:ascii="宋体" w:hAnsi="宋体" w:eastAsia="宋体" w:cs="宋体"/>
                <w:color w:val="auto"/>
                <w:sz w:val="24"/>
                <w:szCs w:val="24"/>
                <w:highlight w:val="none"/>
                <w:lang w:val="en-US" w:eastAsia="zh-CN"/>
              </w:rPr>
              <w:t>（评分范围：5,4,3,2,1,0）</w:t>
            </w:r>
          </w:p>
        </w:tc>
        <w:tc>
          <w:tcPr>
            <w:tcW w:w="356" w:type="pct"/>
            <w:vAlign w:val="center"/>
          </w:tcPr>
          <w:p>
            <w:pPr>
              <w:snapToGrid w:val="0"/>
              <w:spacing w:line="240" w:lineRule="auto"/>
              <w:jc w:val="center"/>
              <w:outlineLvl w:val="0"/>
              <w:rPr>
                <w:rFonts w:ascii="宋体" w:hAnsi="宋体" w:cs="宋体"/>
                <w:color w:val="auto"/>
                <w:sz w:val="22"/>
                <w:highlight w:val="none"/>
              </w:rPr>
            </w:pPr>
            <w:r>
              <w:rPr>
                <w:rFonts w:hint="eastAsia" w:ascii="宋体" w:hAnsi="宋体" w:cs="宋体"/>
                <w:color w:val="auto"/>
                <w:sz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488" w:type="pct"/>
            <w:vAlign w:val="center"/>
          </w:tcPr>
          <w:p>
            <w:pPr>
              <w:snapToGrid w:val="0"/>
              <w:spacing w:line="240" w:lineRule="auto"/>
              <w:jc w:val="center"/>
              <w:outlineLvl w:val="0"/>
              <w:rPr>
                <w:rFonts w:ascii="宋体" w:hAnsi="宋体" w:cs="宋体"/>
                <w:color w:val="auto"/>
                <w:sz w:val="22"/>
                <w:highlight w:val="none"/>
              </w:rPr>
            </w:pPr>
            <w:r>
              <w:rPr>
                <w:rFonts w:hint="eastAsia" w:ascii="宋体" w:hAnsi="宋体" w:cs="宋体"/>
                <w:color w:val="auto"/>
                <w:sz w:val="22"/>
                <w:highlight w:val="none"/>
                <w:lang w:val="en-US" w:eastAsia="zh-CN"/>
              </w:rPr>
              <w:t>6</w:t>
            </w:r>
            <w:r>
              <w:rPr>
                <w:rFonts w:hint="eastAsia" w:ascii="宋体" w:hAnsi="宋体" w:cs="宋体"/>
                <w:color w:val="auto"/>
                <w:sz w:val="22"/>
                <w:highlight w:val="none"/>
              </w:rPr>
              <w:t>.2</w:t>
            </w:r>
          </w:p>
        </w:tc>
        <w:tc>
          <w:tcPr>
            <w:tcW w:w="4155" w:type="pct"/>
            <w:vAlign w:val="center"/>
          </w:tcPr>
          <w:p>
            <w:pPr>
              <w:widowControl/>
              <w:spacing w:line="240" w:lineRule="auto"/>
              <w:textAlignment w:val="center"/>
              <w:rPr>
                <w:rFonts w:ascii="宋体" w:hAnsi="宋体"/>
                <w:color w:val="auto"/>
                <w:kern w:val="0"/>
                <w:sz w:val="24"/>
                <w:szCs w:val="24"/>
                <w:highlight w:val="none"/>
              </w:rPr>
            </w:pPr>
            <w:r>
              <w:rPr>
                <w:rFonts w:hint="eastAsia" w:ascii="宋体" w:hAnsi="宋体"/>
                <w:color w:val="auto"/>
                <w:kern w:val="0"/>
                <w:sz w:val="24"/>
                <w:szCs w:val="24"/>
                <w:highlight w:val="none"/>
              </w:rPr>
              <w:t>安防管理建设方案：</w:t>
            </w:r>
            <w:r>
              <w:rPr>
                <w:rFonts w:hint="eastAsia" w:ascii="宋体" w:hAnsi="宋体"/>
                <w:color w:val="auto"/>
                <w:kern w:val="0"/>
                <w:sz w:val="24"/>
                <w:szCs w:val="24"/>
                <w:highlight w:val="none"/>
                <w:lang w:val="en-US" w:eastAsia="zh-CN"/>
              </w:rPr>
              <w:t>包括①</w:t>
            </w:r>
            <w:r>
              <w:rPr>
                <w:rFonts w:hint="eastAsia" w:ascii="宋体" w:hAnsi="宋体" w:eastAsia="宋体" w:cs="宋体"/>
                <w:b w:val="0"/>
                <w:bCs/>
                <w:i w:val="0"/>
                <w:iCs w:val="0"/>
                <w:color w:val="auto"/>
                <w:sz w:val="24"/>
                <w:szCs w:val="24"/>
                <w:highlight w:val="none"/>
                <w:lang w:val="en-US" w:eastAsia="zh-CN"/>
              </w:rPr>
              <w:t>人员轨迹还原、②安全设备巡检、③教师值日值周、④蓝牙信标，</w:t>
            </w:r>
            <w:r>
              <w:rPr>
                <w:rFonts w:hint="eastAsia" w:ascii="宋体" w:hAnsi="宋体" w:eastAsia="宋体" w:cs="宋体"/>
                <w:color w:val="auto"/>
                <w:sz w:val="24"/>
                <w:szCs w:val="24"/>
                <w:highlight w:val="none"/>
                <w:lang w:val="en-US" w:eastAsia="zh-CN"/>
              </w:rPr>
              <w:t>根据方案</w:t>
            </w:r>
            <w:r>
              <w:rPr>
                <w:rFonts w:hint="eastAsia" w:ascii="宋体" w:hAnsi="宋体" w:eastAsia="宋体" w:cs="宋体"/>
                <w:color w:val="auto"/>
                <w:sz w:val="24"/>
                <w:szCs w:val="24"/>
                <w:highlight w:val="none"/>
              </w:rPr>
              <w:t>思路、内容</w:t>
            </w:r>
            <w:r>
              <w:rPr>
                <w:rFonts w:hint="eastAsia" w:ascii="宋体" w:hAnsi="宋体" w:eastAsia="宋体" w:cs="宋体"/>
                <w:color w:val="auto"/>
                <w:sz w:val="24"/>
                <w:szCs w:val="24"/>
                <w:highlight w:val="none"/>
                <w:lang w:val="en-US" w:eastAsia="zh-CN"/>
              </w:rPr>
              <w:t>和可实施性</w:t>
            </w:r>
            <w:r>
              <w:rPr>
                <w:rFonts w:hint="eastAsia" w:ascii="宋体" w:hAnsi="宋体" w:eastAsia="宋体" w:cs="宋体"/>
                <w:color w:val="auto"/>
                <w:kern w:val="0"/>
                <w:sz w:val="24"/>
                <w:szCs w:val="24"/>
                <w:highlight w:val="none"/>
                <w:lang w:val="en-US" w:eastAsia="zh-CN" w:bidi="ar-SA"/>
              </w:rPr>
              <w:t>进行综合评审，未提供不得分。</w:t>
            </w:r>
            <w:r>
              <w:rPr>
                <w:rFonts w:hint="eastAsia" w:ascii="宋体" w:hAnsi="宋体" w:eastAsia="宋体" w:cs="宋体"/>
                <w:color w:val="auto"/>
                <w:sz w:val="24"/>
                <w:szCs w:val="24"/>
                <w:highlight w:val="none"/>
                <w:lang w:val="en-US" w:eastAsia="zh-CN"/>
              </w:rPr>
              <w:t>（评分范围：5,4,3,2,1,0）</w:t>
            </w:r>
          </w:p>
        </w:tc>
        <w:tc>
          <w:tcPr>
            <w:tcW w:w="356" w:type="pct"/>
            <w:vAlign w:val="center"/>
          </w:tcPr>
          <w:p>
            <w:pPr>
              <w:snapToGrid w:val="0"/>
              <w:spacing w:line="240" w:lineRule="auto"/>
              <w:jc w:val="center"/>
              <w:outlineLvl w:val="0"/>
              <w:rPr>
                <w:rFonts w:ascii="宋体" w:hAnsi="宋体" w:cs="宋体"/>
                <w:color w:val="auto"/>
                <w:sz w:val="22"/>
                <w:highlight w:val="none"/>
              </w:rPr>
            </w:pPr>
            <w:r>
              <w:rPr>
                <w:rFonts w:hint="eastAsia" w:ascii="宋体" w:hAnsi="宋体" w:cs="宋体"/>
                <w:color w:val="auto"/>
                <w:sz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488" w:type="pct"/>
            <w:vAlign w:val="center"/>
          </w:tcPr>
          <w:p>
            <w:pPr>
              <w:snapToGrid w:val="0"/>
              <w:spacing w:line="240" w:lineRule="auto"/>
              <w:jc w:val="center"/>
              <w:outlineLvl w:val="0"/>
              <w:rPr>
                <w:rFonts w:ascii="宋体" w:hAnsi="宋体" w:cs="宋体"/>
                <w:color w:val="auto"/>
                <w:sz w:val="22"/>
                <w:highlight w:val="none"/>
              </w:rPr>
            </w:pPr>
            <w:r>
              <w:rPr>
                <w:rFonts w:hint="eastAsia" w:ascii="宋体" w:hAnsi="宋体" w:cs="宋体"/>
                <w:color w:val="auto"/>
                <w:sz w:val="22"/>
                <w:highlight w:val="none"/>
                <w:lang w:val="en-US" w:eastAsia="zh-CN"/>
              </w:rPr>
              <w:t>6</w:t>
            </w:r>
            <w:r>
              <w:rPr>
                <w:rFonts w:hint="eastAsia" w:ascii="宋体" w:hAnsi="宋体" w:cs="宋体"/>
                <w:color w:val="auto"/>
                <w:sz w:val="22"/>
                <w:highlight w:val="none"/>
              </w:rPr>
              <w:t>.3</w:t>
            </w:r>
          </w:p>
        </w:tc>
        <w:tc>
          <w:tcPr>
            <w:tcW w:w="4155" w:type="pct"/>
            <w:vAlign w:val="center"/>
          </w:tcPr>
          <w:p>
            <w:pPr>
              <w:widowControl/>
              <w:spacing w:line="240" w:lineRule="auto"/>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rPr>
              <w:t>教学管理建设方案：</w:t>
            </w:r>
            <w:r>
              <w:rPr>
                <w:rFonts w:hint="eastAsia" w:ascii="宋体" w:hAnsi="宋体"/>
                <w:color w:val="auto"/>
                <w:kern w:val="0"/>
                <w:sz w:val="24"/>
                <w:szCs w:val="24"/>
                <w:highlight w:val="none"/>
                <w:lang w:val="en-US" w:eastAsia="zh-CN"/>
              </w:rPr>
              <w:t>包括①教学登记、②上课无感考勤、③课堂教学反馈、④学生成绩管理、⑤学生教学报告，</w:t>
            </w:r>
            <w:r>
              <w:rPr>
                <w:rFonts w:hint="eastAsia" w:ascii="宋体" w:hAnsi="宋体" w:eastAsia="宋体" w:cs="宋体"/>
                <w:color w:val="auto"/>
                <w:sz w:val="24"/>
                <w:szCs w:val="24"/>
                <w:highlight w:val="none"/>
                <w:lang w:val="en-US" w:eastAsia="zh-CN"/>
              </w:rPr>
              <w:t>根据方案</w:t>
            </w:r>
            <w:r>
              <w:rPr>
                <w:rFonts w:hint="eastAsia" w:ascii="宋体" w:hAnsi="宋体" w:eastAsia="宋体" w:cs="宋体"/>
                <w:color w:val="auto"/>
                <w:sz w:val="24"/>
                <w:szCs w:val="24"/>
                <w:highlight w:val="none"/>
              </w:rPr>
              <w:t>思路、内容</w:t>
            </w:r>
            <w:r>
              <w:rPr>
                <w:rFonts w:hint="eastAsia" w:ascii="宋体" w:hAnsi="宋体" w:eastAsia="宋体" w:cs="宋体"/>
                <w:color w:val="auto"/>
                <w:sz w:val="24"/>
                <w:szCs w:val="24"/>
                <w:highlight w:val="none"/>
                <w:lang w:val="en-US" w:eastAsia="zh-CN"/>
              </w:rPr>
              <w:t>和可实施性</w:t>
            </w:r>
            <w:r>
              <w:rPr>
                <w:rFonts w:hint="eastAsia" w:ascii="宋体" w:hAnsi="宋体" w:eastAsia="宋体" w:cs="宋体"/>
                <w:color w:val="auto"/>
                <w:kern w:val="0"/>
                <w:sz w:val="24"/>
                <w:szCs w:val="24"/>
                <w:highlight w:val="none"/>
                <w:lang w:val="en-US" w:eastAsia="zh-CN" w:bidi="ar-SA"/>
              </w:rPr>
              <w:t>进行综合评审，未提供不得分。</w:t>
            </w:r>
            <w:r>
              <w:rPr>
                <w:rFonts w:hint="eastAsia" w:ascii="宋体" w:hAnsi="宋体" w:eastAsia="宋体" w:cs="宋体"/>
                <w:color w:val="auto"/>
                <w:sz w:val="24"/>
                <w:szCs w:val="24"/>
                <w:highlight w:val="none"/>
                <w:lang w:val="en-US" w:eastAsia="zh-CN"/>
              </w:rPr>
              <w:t>（评分范围：5,4,3,2,1,0）</w:t>
            </w:r>
          </w:p>
        </w:tc>
        <w:tc>
          <w:tcPr>
            <w:tcW w:w="356" w:type="pct"/>
            <w:vAlign w:val="center"/>
          </w:tcPr>
          <w:p>
            <w:pPr>
              <w:snapToGrid w:val="0"/>
              <w:spacing w:line="240" w:lineRule="auto"/>
              <w:jc w:val="center"/>
              <w:outlineLvl w:val="0"/>
              <w:rPr>
                <w:rFonts w:ascii="宋体" w:hAnsi="宋体" w:cs="宋体"/>
                <w:color w:val="auto"/>
                <w:sz w:val="22"/>
                <w:highlight w:val="none"/>
              </w:rPr>
            </w:pPr>
            <w:r>
              <w:rPr>
                <w:rFonts w:hint="eastAsia" w:ascii="宋体" w:hAnsi="宋体" w:cs="宋体"/>
                <w:color w:val="auto"/>
                <w:sz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488" w:type="pct"/>
            <w:vAlign w:val="center"/>
          </w:tcPr>
          <w:p>
            <w:pPr>
              <w:snapToGrid w:val="0"/>
              <w:spacing w:line="240" w:lineRule="auto"/>
              <w:jc w:val="center"/>
              <w:outlineLvl w:val="0"/>
              <w:rPr>
                <w:rFonts w:ascii="宋体" w:hAnsi="宋体" w:cs="宋体"/>
                <w:color w:val="auto"/>
                <w:sz w:val="22"/>
                <w:highlight w:val="none"/>
              </w:rPr>
            </w:pPr>
            <w:r>
              <w:rPr>
                <w:rFonts w:hint="eastAsia" w:ascii="宋体" w:hAnsi="宋体" w:cs="宋体"/>
                <w:color w:val="auto"/>
                <w:sz w:val="22"/>
                <w:highlight w:val="none"/>
                <w:lang w:val="en-US" w:eastAsia="zh-CN"/>
              </w:rPr>
              <w:t>6</w:t>
            </w:r>
            <w:r>
              <w:rPr>
                <w:rFonts w:hint="eastAsia" w:ascii="宋体" w:hAnsi="宋体" w:cs="宋体"/>
                <w:color w:val="auto"/>
                <w:sz w:val="22"/>
                <w:highlight w:val="none"/>
              </w:rPr>
              <w:t>.4</w:t>
            </w:r>
          </w:p>
        </w:tc>
        <w:tc>
          <w:tcPr>
            <w:tcW w:w="4155" w:type="pct"/>
            <w:vAlign w:val="center"/>
          </w:tcPr>
          <w:p>
            <w:pPr>
              <w:widowControl/>
              <w:spacing w:line="240" w:lineRule="auto"/>
              <w:textAlignment w:val="center"/>
              <w:rPr>
                <w:rFonts w:ascii="宋体" w:hAnsi="宋体"/>
                <w:color w:val="auto"/>
                <w:kern w:val="0"/>
                <w:sz w:val="24"/>
                <w:szCs w:val="24"/>
                <w:highlight w:val="none"/>
              </w:rPr>
            </w:pPr>
            <w:r>
              <w:rPr>
                <w:rFonts w:hint="eastAsia" w:ascii="inherit" w:hAnsi="inherit" w:cs="宋体"/>
                <w:color w:val="auto"/>
                <w:kern w:val="0"/>
                <w:sz w:val="24"/>
                <w:szCs w:val="24"/>
                <w:highlight w:val="none"/>
              </w:rPr>
              <w:t>德育管理建设</w:t>
            </w:r>
            <w:r>
              <w:rPr>
                <w:rFonts w:hint="eastAsia" w:ascii="宋体" w:hAnsi="宋体"/>
                <w:color w:val="auto"/>
                <w:kern w:val="0"/>
                <w:sz w:val="24"/>
                <w:szCs w:val="24"/>
                <w:highlight w:val="none"/>
              </w:rPr>
              <w:t>方案：</w:t>
            </w:r>
            <w:r>
              <w:rPr>
                <w:rFonts w:hint="eastAsia" w:ascii="宋体" w:hAnsi="宋体"/>
                <w:color w:val="auto"/>
                <w:kern w:val="0"/>
                <w:sz w:val="24"/>
                <w:szCs w:val="24"/>
                <w:highlight w:val="none"/>
                <w:lang w:val="en-US" w:eastAsia="zh-CN"/>
              </w:rPr>
              <w:t>包括①学生荣誉申报、②班级荣誉管理、③任职履历登记、④活动参与管理、⑤处分撤销申请、⑥学生端德育登记，</w:t>
            </w:r>
            <w:r>
              <w:rPr>
                <w:rFonts w:hint="eastAsia" w:ascii="宋体" w:hAnsi="宋体" w:eastAsia="宋体" w:cs="宋体"/>
                <w:color w:val="auto"/>
                <w:sz w:val="24"/>
                <w:szCs w:val="24"/>
                <w:highlight w:val="none"/>
                <w:lang w:val="en-US" w:eastAsia="zh-CN"/>
              </w:rPr>
              <w:t>根据方案</w:t>
            </w:r>
            <w:r>
              <w:rPr>
                <w:rFonts w:hint="eastAsia" w:ascii="宋体" w:hAnsi="宋体" w:eastAsia="宋体" w:cs="宋体"/>
                <w:color w:val="auto"/>
                <w:sz w:val="24"/>
                <w:szCs w:val="24"/>
                <w:highlight w:val="none"/>
              </w:rPr>
              <w:t>思路、内容</w:t>
            </w:r>
            <w:r>
              <w:rPr>
                <w:rFonts w:hint="eastAsia" w:ascii="宋体" w:hAnsi="宋体" w:eastAsia="宋体" w:cs="宋体"/>
                <w:color w:val="auto"/>
                <w:sz w:val="24"/>
                <w:szCs w:val="24"/>
                <w:highlight w:val="none"/>
                <w:lang w:val="en-US" w:eastAsia="zh-CN"/>
              </w:rPr>
              <w:t>和可实施性</w:t>
            </w:r>
            <w:r>
              <w:rPr>
                <w:rFonts w:hint="eastAsia" w:ascii="宋体" w:hAnsi="宋体" w:eastAsia="宋体" w:cs="宋体"/>
                <w:color w:val="auto"/>
                <w:kern w:val="0"/>
                <w:sz w:val="24"/>
                <w:szCs w:val="24"/>
                <w:highlight w:val="none"/>
                <w:lang w:val="en-US" w:eastAsia="zh-CN" w:bidi="ar-SA"/>
              </w:rPr>
              <w:t>进行综合评审，未提供不得分。</w:t>
            </w:r>
            <w:r>
              <w:rPr>
                <w:rFonts w:hint="eastAsia" w:ascii="宋体" w:hAnsi="宋体" w:eastAsia="宋体" w:cs="宋体"/>
                <w:color w:val="auto"/>
                <w:sz w:val="24"/>
                <w:szCs w:val="24"/>
                <w:highlight w:val="none"/>
                <w:lang w:val="en-US" w:eastAsia="zh-CN"/>
              </w:rPr>
              <w:t>（评分范围：5,4,3,2,1,0）</w:t>
            </w:r>
          </w:p>
        </w:tc>
        <w:tc>
          <w:tcPr>
            <w:tcW w:w="356" w:type="pct"/>
            <w:vAlign w:val="center"/>
          </w:tcPr>
          <w:p>
            <w:pPr>
              <w:snapToGrid w:val="0"/>
              <w:spacing w:line="240" w:lineRule="auto"/>
              <w:jc w:val="center"/>
              <w:outlineLvl w:val="0"/>
              <w:rPr>
                <w:rFonts w:ascii="宋体" w:hAnsi="宋体" w:cs="宋体"/>
                <w:color w:val="auto"/>
                <w:sz w:val="22"/>
                <w:highlight w:val="none"/>
              </w:rPr>
            </w:pPr>
            <w:r>
              <w:rPr>
                <w:rFonts w:hint="eastAsia" w:ascii="宋体" w:hAnsi="宋体" w:cs="宋体"/>
                <w:color w:val="auto"/>
                <w:sz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488" w:type="pct"/>
            <w:vAlign w:val="center"/>
          </w:tcPr>
          <w:p>
            <w:pPr>
              <w:snapToGrid w:val="0"/>
              <w:spacing w:line="240" w:lineRule="auto"/>
              <w:jc w:val="center"/>
              <w:outlineLvl w:val="0"/>
              <w:rPr>
                <w:rFonts w:ascii="宋体" w:hAnsi="宋体" w:cs="宋体"/>
                <w:color w:val="auto"/>
                <w:sz w:val="22"/>
                <w:highlight w:val="none"/>
              </w:rPr>
            </w:pPr>
            <w:r>
              <w:rPr>
                <w:rFonts w:hint="eastAsia" w:ascii="宋体" w:hAnsi="宋体" w:cs="宋体"/>
                <w:color w:val="auto"/>
                <w:sz w:val="22"/>
                <w:highlight w:val="none"/>
                <w:lang w:val="en-US" w:eastAsia="zh-CN"/>
              </w:rPr>
              <w:t>6</w:t>
            </w:r>
            <w:r>
              <w:rPr>
                <w:rFonts w:hint="eastAsia" w:ascii="宋体" w:hAnsi="宋体" w:cs="宋体"/>
                <w:color w:val="auto"/>
                <w:sz w:val="22"/>
                <w:highlight w:val="none"/>
              </w:rPr>
              <w:t>.5</w:t>
            </w:r>
          </w:p>
        </w:tc>
        <w:tc>
          <w:tcPr>
            <w:tcW w:w="4155" w:type="pct"/>
            <w:vAlign w:val="center"/>
          </w:tcPr>
          <w:p>
            <w:pPr>
              <w:widowControl/>
              <w:spacing w:line="240" w:lineRule="auto"/>
              <w:textAlignment w:val="center"/>
              <w:rPr>
                <w:rFonts w:ascii="宋体" w:hAnsi="宋体"/>
                <w:color w:val="auto"/>
                <w:kern w:val="0"/>
                <w:sz w:val="24"/>
                <w:szCs w:val="24"/>
                <w:highlight w:val="none"/>
              </w:rPr>
            </w:pPr>
            <w:r>
              <w:rPr>
                <w:rFonts w:hint="eastAsia" w:ascii="宋体" w:hAnsi="宋体"/>
                <w:color w:val="auto"/>
                <w:kern w:val="0"/>
                <w:sz w:val="24"/>
                <w:szCs w:val="24"/>
                <w:highlight w:val="none"/>
              </w:rPr>
              <w:t>校园AI智脑</w:t>
            </w:r>
            <w:r>
              <w:rPr>
                <w:rFonts w:hint="eastAsia" w:ascii="宋体" w:hAnsi="宋体"/>
                <w:color w:val="auto"/>
                <w:kern w:val="0"/>
                <w:sz w:val="24"/>
                <w:szCs w:val="24"/>
                <w:highlight w:val="none"/>
                <w:lang w:val="en-US" w:eastAsia="zh-CN"/>
              </w:rPr>
              <w:t>建设方案</w:t>
            </w:r>
            <w:r>
              <w:rPr>
                <w:rFonts w:hint="eastAsia" w:ascii="宋体" w:hAnsi="宋体"/>
                <w:color w:val="auto"/>
                <w:kern w:val="0"/>
                <w:sz w:val="24"/>
                <w:szCs w:val="24"/>
                <w:highlight w:val="none"/>
              </w:rPr>
              <w:t>：</w:t>
            </w:r>
            <w:r>
              <w:rPr>
                <w:rFonts w:hint="eastAsia" w:ascii="宋体" w:hAnsi="宋体"/>
                <w:color w:val="auto"/>
                <w:kern w:val="0"/>
                <w:sz w:val="24"/>
                <w:szCs w:val="24"/>
                <w:highlight w:val="none"/>
                <w:lang w:val="en-US" w:eastAsia="zh-CN"/>
              </w:rPr>
              <w:t>包括①AI能力中心、②AI数字人、③AI请假登记、④AI教师评语、⑤AI考勤分析、⑥AI轨迹分析、⑦AI就诊分析，</w:t>
            </w:r>
            <w:r>
              <w:rPr>
                <w:rFonts w:hint="eastAsia" w:ascii="宋体" w:hAnsi="宋体" w:eastAsia="宋体" w:cs="宋体"/>
                <w:color w:val="auto"/>
                <w:sz w:val="24"/>
                <w:szCs w:val="24"/>
                <w:highlight w:val="none"/>
                <w:lang w:val="en-US" w:eastAsia="zh-CN"/>
              </w:rPr>
              <w:t>根据方案</w:t>
            </w:r>
            <w:r>
              <w:rPr>
                <w:rFonts w:hint="eastAsia" w:ascii="宋体" w:hAnsi="宋体" w:eastAsia="宋体" w:cs="宋体"/>
                <w:color w:val="auto"/>
                <w:sz w:val="24"/>
                <w:szCs w:val="24"/>
                <w:highlight w:val="none"/>
              </w:rPr>
              <w:t>思路、内容</w:t>
            </w:r>
            <w:r>
              <w:rPr>
                <w:rFonts w:hint="eastAsia" w:ascii="宋体" w:hAnsi="宋体" w:eastAsia="宋体" w:cs="宋体"/>
                <w:color w:val="auto"/>
                <w:sz w:val="24"/>
                <w:szCs w:val="24"/>
                <w:highlight w:val="none"/>
                <w:lang w:val="en-US" w:eastAsia="zh-CN"/>
              </w:rPr>
              <w:t>和可实施性</w:t>
            </w:r>
            <w:r>
              <w:rPr>
                <w:rFonts w:hint="eastAsia" w:ascii="宋体" w:hAnsi="宋体" w:eastAsia="宋体" w:cs="宋体"/>
                <w:color w:val="auto"/>
                <w:kern w:val="0"/>
                <w:sz w:val="24"/>
                <w:szCs w:val="24"/>
                <w:highlight w:val="none"/>
                <w:lang w:val="en-US" w:eastAsia="zh-CN" w:bidi="ar-SA"/>
              </w:rPr>
              <w:t>进行综合评审，未提供不得分。</w:t>
            </w:r>
            <w:r>
              <w:rPr>
                <w:rFonts w:hint="eastAsia" w:ascii="宋体" w:hAnsi="宋体" w:eastAsia="宋体" w:cs="宋体"/>
                <w:color w:val="auto"/>
                <w:sz w:val="24"/>
                <w:szCs w:val="24"/>
                <w:highlight w:val="none"/>
                <w:lang w:val="en-US" w:eastAsia="zh-CN"/>
              </w:rPr>
              <w:t>（评分范围：5,4,3,2,1,0）</w:t>
            </w:r>
          </w:p>
        </w:tc>
        <w:tc>
          <w:tcPr>
            <w:tcW w:w="356" w:type="pct"/>
            <w:vAlign w:val="center"/>
          </w:tcPr>
          <w:p>
            <w:pPr>
              <w:snapToGrid w:val="0"/>
              <w:spacing w:line="240" w:lineRule="auto"/>
              <w:jc w:val="center"/>
              <w:outlineLvl w:val="0"/>
              <w:rPr>
                <w:rFonts w:ascii="宋体" w:hAnsi="宋体" w:cs="宋体"/>
                <w:color w:val="auto"/>
                <w:sz w:val="22"/>
                <w:highlight w:val="none"/>
              </w:rPr>
            </w:pPr>
            <w:r>
              <w:rPr>
                <w:rFonts w:hint="eastAsia" w:ascii="宋体" w:hAnsi="宋体" w:cs="宋体"/>
                <w:color w:val="auto"/>
                <w:sz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488" w:type="pct"/>
            <w:vAlign w:val="center"/>
          </w:tcPr>
          <w:p>
            <w:pPr>
              <w:snapToGrid w:val="0"/>
              <w:spacing w:line="240" w:lineRule="auto"/>
              <w:ind w:firstLine="330" w:firstLineChars="150"/>
              <w:outlineLvl w:val="0"/>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7</w:t>
            </w:r>
          </w:p>
        </w:tc>
        <w:tc>
          <w:tcPr>
            <w:tcW w:w="4155" w:type="pct"/>
            <w:vAlign w:val="center"/>
          </w:tcPr>
          <w:p>
            <w:pPr>
              <w:snapToGrid w:val="0"/>
              <w:spacing w:line="240" w:lineRule="auto"/>
              <w:outlineLvl w:val="0"/>
              <w:rPr>
                <w:rFonts w:ascii="宋体" w:hAnsi="宋体" w:cs="宋体"/>
                <w:color w:val="auto"/>
                <w:sz w:val="22"/>
                <w:highlight w:val="none"/>
              </w:rPr>
            </w:pPr>
            <w:r>
              <w:rPr>
                <w:rFonts w:hint="eastAsia" w:ascii="宋体" w:hAnsi="宋体" w:cs="宋体"/>
                <w:color w:val="auto"/>
                <w:sz w:val="24"/>
                <w:szCs w:val="24"/>
                <w:highlight w:val="none"/>
              </w:rPr>
              <w:t>技术解决方案：投标人基于采购需求，结合自身经验，分析项目重难点并提出针对性解决方案及优化策略。</w:t>
            </w:r>
            <w:r>
              <w:rPr>
                <w:rFonts w:hint="eastAsia" w:ascii="宋体" w:hAnsi="宋体" w:eastAsia="宋体" w:cs="宋体"/>
                <w:color w:val="auto"/>
                <w:sz w:val="24"/>
                <w:szCs w:val="24"/>
                <w:highlight w:val="none"/>
                <w:lang w:val="en-US" w:eastAsia="zh-CN"/>
              </w:rPr>
              <w:t>根据方案</w:t>
            </w:r>
            <w:r>
              <w:rPr>
                <w:rFonts w:hint="eastAsia" w:ascii="宋体" w:hAnsi="宋体" w:eastAsia="宋体" w:cs="宋体"/>
                <w:color w:val="auto"/>
                <w:sz w:val="24"/>
                <w:szCs w:val="24"/>
                <w:highlight w:val="none"/>
              </w:rPr>
              <w:t>思路、内容</w:t>
            </w:r>
            <w:r>
              <w:rPr>
                <w:rFonts w:hint="eastAsia" w:ascii="宋体" w:hAnsi="宋体" w:eastAsia="宋体" w:cs="宋体"/>
                <w:color w:val="auto"/>
                <w:sz w:val="24"/>
                <w:szCs w:val="24"/>
                <w:highlight w:val="none"/>
                <w:lang w:val="en-US" w:eastAsia="zh-CN"/>
              </w:rPr>
              <w:t>和可实施性</w:t>
            </w:r>
            <w:r>
              <w:rPr>
                <w:rFonts w:hint="eastAsia" w:ascii="宋体" w:hAnsi="宋体" w:eastAsia="宋体" w:cs="宋体"/>
                <w:color w:val="auto"/>
                <w:kern w:val="0"/>
                <w:sz w:val="24"/>
                <w:szCs w:val="24"/>
                <w:highlight w:val="none"/>
                <w:lang w:val="en-US" w:eastAsia="zh-CN" w:bidi="ar-SA"/>
              </w:rPr>
              <w:t>进行综合评审，未提供不得分。</w:t>
            </w:r>
            <w:r>
              <w:rPr>
                <w:rFonts w:hint="eastAsia" w:ascii="宋体" w:hAnsi="宋体" w:eastAsia="宋体" w:cs="宋体"/>
                <w:color w:val="auto"/>
                <w:sz w:val="24"/>
                <w:szCs w:val="24"/>
                <w:highlight w:val="none"/>
                <w:lang w:val="en-US" w:eastAsia="zh-CN"/>
              </w:rPr>
              <w:t>（评分范围：5,4,3,2,1,0）</w:t>
            </w:r>
          </w:p>
        </w:tc>
        <w:tc>
          <w:tcPr>
            <w:tcW w:w="356" w:type="pct"/>
            <w:vAlign w:val="center"/>
          </w:tcPr>
          <w:p>
            <w:pPr>
              <w:snapToGrid w:val="0"/>
              <w:spacing w:line="240" w:lineRule="auto"/>
              <w:jc w:val="center"/>
              <w:outlineLvl w:val="0"/>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488" w:type="pct"/>
            <w:vAlign w:val="center"/>
          </w:tcPr>
          <w:p>
            <w:pPr>
              <w:snapToGrid w:val="0"/>
              <w:spacing w:line="240" w:lineRule="auto"/>
              <w:ind w:firstLine="330" w:firstLineChars="150"/>
              <w:outlineLvl w:val="0"/>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8</w:t>
            </w:r>
          </w:p>
        </w:tc>
        <w:tc>
          <w:tcPr>
            <w:tcW w:w="4155" w:type="pct"/>
            <w:vAlign w:val="center"/>
          </w:tcPr>
          <w:p>
            <w:pPr>
              <w:snapToGrid w:val="0"/>
              <w:spacing w:line="240" w:lineRule="auto"/>
              <w:outlineLvl w:val="0"/>
              <w:rPr>
                <w:rFonts w:ascii="宋体" w:hAnsi="宋体"/>
                <w:color w:val="auto"/>
                <w:kern w:val="0"/>
                <w:sz w:val="24"/>
                <w:highlight w:val="none"/>
              </w:rPr>
            </w:pPr>
            <w:r>
              <w:rPr>
                <w:rFonts w:hint="eastAsia" w:ascii="宋体" w:hAnsi="宋体"/>
                <w:color w:val="auto"/>
                <w:kern w:val="0"/>
                <w:sz w:val="24"/>
                <w:highlight w:val="none"/>
              </w:rPr>
              <w:t>项目实施方案：</w:t>
            </w:r>
          </w:p>
          <w:p>
            <w:pPr>
              <w:snapToGrid w:val="0"/>
              <w:spacing w:line="240" w:lineRule="auto"/>
              <w:outlineLvl w:val="0"/>
              <w:rPr>
                <w:rFonts w:ascii="宋体" w:hAnsi="宋体" w:cs="宋体"/>
                <w:color w:val="auto"/>
                <w:sz w:val="22"/>
                <w:highlight w:val="none"/>
              </w:rPr>
            </w:pPr>
            <w:r>
              <w:rPr>
                <w:rFonts w:hint="eastAsia" w:ascii="宋体" w:hAnsi="宋体"/>
                <w:color w:val="auto"/>
                <w:kern w:val="0"/>
                <w:sz w:val="24"/>
                <w:highlight w:val="none"/>
              </w:rPr>
              <w:t>包含但不限于</w:t>
            </w:r>
            <w:r>
              <w:rPr>
                <w:rFonts w:hint="eastAsia" w:ascii="宋体" w:hAnsi="宋体" w:cs="宋体"/>
                <w:color w:val="auto"/>
                <w:kern w:val="0"/>
                <w:sz w:val="24"/>
                <w:highlight w:val="none"/>
                <w:lang w:val="en-US" w:eastAsia="zh-CN"/>
              </w:rPr>
              <w:t>①</w:t>
            </w:r>
            <w:r>
              <w:rPr>
                <w:rFonts w:hint="eastAsia" w:ascii="宋体" w:hAnsi="宋体"/>
                <w:color w:val="auto"/>
                <w:kern w:val="0"/>
                <w:sz w:val="24"/>
                <w:highlight w:val="none"/>
              </w:rPr>
              <w:t>试运行（测试）</w:t>
            </w:r>
            <w:r>
              <w:rPr>
                <w:rFonts w:hint="eastAsia" w:ascii="宋体" w:hAnsi="宋体"/>
                <w:color w:val="auto"/>
                <w:kern w:val="0"/>
                <w:sz w:val="24"/>
                <w:highlight w:val="none"/>
                <w:lang w:eastAsia="zh-CN"/>
              </w:rPr>
              <w:t>、</w:t>
            </w:r>
            <w:r>
              <w:rPr>
                <w:rFonts w:hint="eastAsia" w:ascii="宋体" w:hAnsi="宋体" w:cs="宋体"/>
                <w:color w:val="auto"/>
                <w:kern w:val="0"/>
                <w:sz w:val="24"/>
                <w:highlight w:val="none"/>
                <w:lang w:val="en-US" w:eastAsia="zh-CN"/>
              </w:rPr>
              <w:t>②</w:t>
            </w:r>
            <w:r>
              <w:rPr>
                <w:rFonts w:hint="eastAsia" w:ascii="宋体" w:hAnsi="宋体"/>
                <w:color w:val="auto"/>
                <w:kern w:val="0"/>
                <w:sz w:val="24"/>
                <w:highlight w:val="none"/>
              </w:rPr>
              <w:t>信息安全保障</w:t>
            </w:r>
            <w:r>
              <w:rPr>
                <w:rFonts w:hint="eastAsia" w:ascii="宋体" w:hAnsi="宋体"/>
                <w:color w:val="auto"/>
                <w:kern w:val="0"/>
                <w:sz w:val="24"/>
                <w:highlight w:val="none"/>
                <w:lang w:eastAsia="zh-CN"/>
              </w:rPr>
              <w:t>、</w:t>
            </w:r>
            <w:r>
              <w:rPr>
                <w:rFonts w:hint="eastAsia" w:ascii="宋体" w:hAnsi="宋体" w:cs="宋体"/>
                <w:color w:val="auto"/>
                <w:kern w:val="0"/>
                <w:sz w:val="24"/>
                <w:highlight w:val="none"/>
                <w:lang w:val="en-US" w:eastAsia="zh-CN"/>
              </w:rPr>
              <w:t>③</w:t>
            </w:r>
            <w:r>
              <w:rPr>
                <w:rFonts w:hint="eastAsia" w:ascii="宋体" w:hAnsi="宋体"/>
                <w:color w:val="auto"/>
                <w:kern w:val="0"/>
                <w:sz w:val="24"/>
                <w:highlight w:val="none"/>
              </w:rPr>
              <w:t>保密措施</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④验收</w:t>
            </w:r>
            <w:r>
              <w:rPr>
                <w:rFonts w:hint="eastAsia" w:ascii="宋体" w:hAnsi="宋体"/>
                <w:color w:val="auto"/>
                <w:kern w:val="0"/>
                <w:sz w:val="24"/>
                <w:highlight w:val="none"/>
              </w:rPr>
              <w:t>等内容</w:t>
            </w:r>
            <w:r>
              <w:rPr>
                <w:rFonts w:hint="eastAsia" w:ascii="宋体" w:hAnsi="宋体"/>
                <w:color w:val="auto"/>
                <w:kern w:val="0"/>
                <w:sz w:val="24"/>
                <w:highlight w:val="none"/>
                <w:lang w:eastAsia="zh-CN"/>
              </w:rPr>
              <w:t>。</w:t>
            </w:r>
            <w:r>
              <w:rPr>
                <w:rFonts w:hint="eastAsia" w:ascii="宋体" w:hAnsi="宋体" w:eastAsia="宋体" w:cs="宋体"/>
                <w:color w:val="auto"/>
                <w:sz w:val="24"/>
                <w:szCs w:val="24"/>
                <w:highlight w:val="none"/>
                <w:lang w:val="en-US" w:eastAsia="zh-CN"/>
              </w:rPr>
              <w:t>根据方案</w:t>
            </w:r>
            <w:r>
              <w:rPr>
                <w:rFonts w:hint="eastAsia" w:ascii="宋体" w:hAnsi="宋体" w:eastAsia="宋体" w:cs="宋体"/>
                <w:color w:val="auto"/>
                <w:sz w:val="24"/>
                <w:szCs w:val="24"/>
                <w:highlight w:val="none"/>
              </w:rPr>
              <w:t>思路、内容</w:t>
            </w:r>
            <w:r>
              <w:rPr>
                <w:rFonts w:hint="eastAsia" w:ascii="宋体" w:hAnsi="宋体" w:eastAsia="宋体" w:cs="宋体"/>
                <w:color w:val="auto"/>
                <w:sz w:val="24"/>
                <w:szCs w:val="24"/>
                <w:highlight w:val="none"/>
                <w:lang w:val="en-US" w:eastAsia="zh-CN"/>
              </w:rPr>
              <w:t>和可实施性</w:t>
            </w:r>
            <w:r>
              <w:rPr>
                <w:rFonts w:hint="eastAsia" w:ascii="宋体" w:hAnsi="宋体" w:eastAsia="宋体" w:cs="宋体"/>
                <w:color w:val="auto"/>
                <w:kern w:val="0"/>
                <w:sz w:val="24"/>
                <w:szCs w:val="24"/>
                <w:highlight w:val="none"/>
                <w:lang w:val="en-US" w:eastAsia="zh-CN" w:bidi="ar-SA"/>
              </w:rPr>
              <w:t>进行综合评审，未提供不得分。</w:t>
            </w:r>
            <w:r>
              <w:rPr>
                <w:rFonts w:hint="eastAsia" w:ascii="宋体" w:hAnsi="宋体" w:eastAsia="宋体" w:cs="宋体"/>
                <w:color w:val="auto"/>
                <w:sz w:val="24"/>
                <w:szCs w:val="24"/>
                <w:highlight w:val="none"/>
                <w:lang w:val="en-US" w:eastAsia="zh-CN"/>
              </w:rPr>
              <w:t>（评分范围：5,4,3,2,1,0）</w:t>
            </w:r>
          </w:p>
        </w:tc>
        <w:tc>
          <w:tcPr>
            <w:tcW w:w="356" w:type="pct"/>
            <w:vAlign w:val="center"/>
          </w:tcPr>
          <w:p>
            <w:pPr>
              <w:snapToGrid w:val="0"/>
              <w:spacing w:line="240" w:lineRule="auto"/>
              <w:jc w:val="center"/>
              <w:outlineLvl w:val="0"/>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88" w:type="pct"/>
            <w:vAlign w:val="center"/>
          </w:tcPr>
          <w:p>
            <w:pPr>
              <w:snapToGrid w:val="0"/>
              <w:spacing w:line="240" w:lineRule="auto"/>
              <w:jc w:val="center"/>
              <w:outlineLvl w:val="0"/>
              <w:rPr>
                <w:rFonts w:hint="default" w:ascii="宋体" w:hAnsi="宋体"/>
                <w:color w:val="auto"/>
                <w:sz w:val="24"/>
                <w:highlight w:val="none"/>
                <w:lang w:val="en-US" w:eastAsia="zh-CN"/>
              </w:rPr>
            </w:pPr>
            <w:r>
              <w:rPr>
                <w:rFonts w:hint="eastAsia" w:ascii="宋体" w:hAnsi="宋体"/>
                <w:color w:val="auto"/>
                <w:sz w:val="24"/>
                <w:highlight w:val="none"/>
                <w:lang w:val="en-US" w:eastAsia="zh-CN"/>
              </w:rPr>
              <w:t>9</w:t>
            </w:r>
          </w:p>
        </w:tc>
        <w:tc>
          <w:tcPr>
            <w:tcW w:w="4155" w:type="pct"/>
            <w:vAlign w:val="center"/>
          </w:tcPr>
          <w:p>
            <w:pPr>
              <w:snapToGrid w:val="0"/>
              <w:spacing w:line="240" w:lineRule="auto"/>
              <w:outlineLvl w:val="0"/>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项目团队</w:t>
            </w:r>
          </w:p>
        </w:tc>
        <w:tc>
          <w:tcPr>
            <w:tcW w:w="356" w:type="pct"/>
            <w:vAlign w:val="center"/>
          </w:tcPr>
          <w:p>
            <w:pPr>
              <w:snapToGrid w:val="0"/>
              <w:spacing w:line="240" w:lineRule="auto"/>
              <w:jc w:val="center"/>
              <w:outlineLvl w:val="0"/>
              <w:rPr>
                <w:rFonts w:hint="eastAsia" w:ascii="宋体" w:hAnsi="宋体" w:cs="宋体"/>
                <w:color w:val="auto"/>
                <w:sz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488" w:type="pct"/>
            <w:vAlign w:val="center"/>
          </w:tcPr>
          <w:p>
            <w:pPr>
              <w:snapToGrid w:val="0"/>
              <w:spacing w:line="240" w:lineRule="auto"/>
              <w:jc w:val="center"/>
              <w:outlineLvl w:val="0"/>
              <w:rPr>
                <w:rFonts w:hint="default" w:ascii="宋体" w:hAnsi="宋体"/>
                <w:color w:val="auto"/>
                <w:sz w:val="24"/>
                <w:highlight w:val="none"/>
                <w:lang w:val="en-US" w:eastAsia="zh-CN"/>
              </w:rPr>
            </w:pPr>
            <w:r>
              <w:rPr>
                <w:rFonts w:hint="eastAsia" w:ascii="宋体" w:hAnsi="宋体"/>
                <w:color w:val="auto"/>
                <w:sz w:val="24"/>
                <w:highlight w:val="none"/>
                <w:lang w:val="en-US" w:eastAsia="zh-CN"/>
              </w:rPr>
              <w:t>9.1</w:t>
            </w:r>
          </w:p>
        </w:tc>
        <w:tc>
          <w:tcPr>
            <w:tcW w:w="41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项目负责人：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（1）具有信息化相关专业高级职称或资格证书得2分，中级职称证书或资格证书得1分；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（2）2022年1月1日以来具有类似信息化开发管理经验，每个0.5分，最高的1分；</w:t>
            </w:r>
          </w:p>
          <w:p>
            <w:pPr>
              <w:snapToGrid w:val="0"/>
              <w:spacing w:line="240" w:lineRule="auto"/>
              <w:outlineLvl w:val="0"/>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kern w:val="2"/>
                <w:sz w:val="24"/>
                <w:szCs w:val="24"/>
                <w:highlight w:val="none"/>
                <w:lang w:val="en-US" w:eastAsia="zh-CN" w:bidi="ar-SA"/>
              </w:rPr>
              <w:t>证明材料：提供人员履历、证书、业绩证明及近三个月内任意月份打印的社保证明，</w:t>
            </w:r>
            <w:r>
              <w:rPr>
                <w:rFonts w:hint="eastAsia" w:ascii="宋体" w:hAnsi="宋体"/>
                <w:color w:val="auto"/>
                <w:kern w:val="0"/>
                <w:sz w:val="24"/>
                <w:highlight w:val="none"/>
                <w:lang w:val="en-US" w:eastAsia="zh-CN"/>
              </w:rPr>
              <w:t>未提供不得分</w:t>
            </w:r>
            <w:r>
              <w:rPr>
                <w:rFonts w:hint="eastAsia" w:ascii="宋体" w:hAnsi="宋体" w:eastAsia="宋体" w:cs="宋体"/>
                <w:b w:val="0"/>
                <w:bCs/>
                <w:i w:val="0"/>
                <w:iCs w:val="0"/>
                <w:color w:val="auto"/>
                <w:kern w:val="2"/>
                <w:sz w:val="24"/>
                <w:szCs w:val="24"/>
                <w:highlight w:val="none"/>
                <w:lang w:val="en-US" w:eastAsia="zh-CN" w:bidi="ar-SA"/>
              </w:rPr>
              <w:t>。</w:t>
            </w:r>
          </w:p>
        </w:tc>
        <w:tc>
          <w:tcPr>
            <w:tcW w:w="356" w:type="pct"/>
            <w:vAlign w:val="center"/>
          </w:tcPr>
          <w:p>
            <w:pPr>
              <w:snapToGrid w:val="0"/>
              <w:spacing w:line="240" w:lineRule="auto"/>
              <w:jc w:val="center"/>
              <w:outlineLvl w:val="0"/>
              <w:rPr>
                <w:rFonts w:hint="default" w:ascii="宋体" w:hAnsi="宋体" w:cs="宋体"/>
                <w:color w:val="auto"/>
                <w:sz w:val="22"/>
                <w:highlight w:val="none"/>
                <w:lang w:val="en-US" w:eastAsia="zh-CN"/>
              </w:rPr>
            </w:pPr>
            <w:r>
              <w:rPr>
                <w:rFonts w:hint="eastAsia" w:ascii="宋体" w:hAnsi="宋体" w:cs="宋体"/>
                <w:color w:val="auto"/>
                <w:sz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488" w:type="pct"/>
            <w:vAlign w:val="center"/>
          </w:tcPr>
          <w:p>
            <w:pPr>
              <w:snapToGrid w:val="0"/>
              <w:spacing w:line="240" w:lineRule="auto"/>
              <w:jc w:val="center"/>
              <w:outlineLvl w:val="0"/>
              <w:rPr>
                <w:rFonts w:hint="default" w:ascii="宋体" w:hAnsi="宋体"/>
                <w:color w:val="auto"/>
                <w:sz w:val="24"/>
                <w:highlight w:val="none"/>
                <w:lang w:val="en-US" w:eastAsia="zh-CN"/>
              </w:rPr>
            </w:pPr>
            <w:r>
              <w:rPr>
                <w:rFonts w:hint="eastAsia" w:ascii="宋体" w:hAnsi="宋体"/>
                <w:color w:val="auto"/>
                <w:sz w:val="24"/>
                <w:highlight w:val="none"/>
                <w:lang w:val="en-US" w:eastAsia="zh-CN"/>
              </w:rPr>
              <w:t>9.2</w:t>
            </w:r>
          </w:p>
        </w:tc>
        <w:tc>
          <w:tcPr>
            <w:tcW w:w="4155" w:type="pct"/>
            <w:vAlign w:val="center"/>
          </w:tcPr>
          <w:p>
            <w:pPr>
              <w:snapToGrid w:val="0"/>
              <w:spacing w:line="240" w:lineRule="auto"/>
              <w:outlineLvl w:val="0"/>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团队成员配置：根据项目团队成员层级配置和职责划分是否清晰完整，专业、技术水平、经验是否满足采购要求进行综合评审，未提供不得分。</w:t>
            </w:r>
          </w:p>
          <w:p>
            <w:pPr>
              <w:snapToGrid w:val="0"/>
              <w:spacing w:line="240" w:lineRule="auto"/>
              <w:outlineLvl w:val="0"/>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kern w:val="2"/>
                <w:sz w:val="24"/>
                <w:szCs w:val="24"/>
                <w:highlight w:val="none"/>
                <w:lang w:val="en-US" w:eastAsia="zh-CN" w:bidi="ar-SA"/>
              </w:rPr>
              <w:t>证明材料：提供人员简介及及近三个月内任意月份打印的社保证明，</w:t>
            </w:r>
            <w:r>
              <w:rPr>
                <w:rFonts w:hint="eastAsia" w:ascii="宋体" w:hAnsi="宋体"/>
                <w:color w:val="auto"/>
                <w:kern w:val="0"/>
                <w:sz w:val="24"/>
                <w:highlight w:val="none"/>
                <w:lang w:val="en-US" w:eastAsia="zh-CN"/>
              </w:rPr>
              <w:t>未提供不得分</w:t>
            </w:r>
            <w:r>
              <w:rPr>
                <w:rFonts w:hint="eastAsia" w:ascii="宋体" w:hAnsi="宋体" w:eastAsia="宋体" w:cs="宋体"/>
                <w:b w:val="0"/>
                <w:bCs/>
                <w:i w:val="0"/>
                <w:iCs w:val="0"/>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（评分范围：3,2,1,0）</w:t>
            </w:r>
          </w:p>
        </w:tc>
        <w:tc>
          <w:tcPr>
            <w:tcW w:w="356" w:type="pct"/>
            <w:vAlign w:val="center"/>
          </w:tcPr>
          <w:p>
            <w:pPr>
              <w:snapToGrid w:val="0"/>
              <w:spacing w:line="240" w:lineRule="auto"/>
              <w:jc w:val="center"/>
              <w:outlineLvl w:val="0"/>
              <w:rPr>
                <w:rFonts w:hint="default" w:ascii="宋体" w:hAnsi="宋体" w:cs="宋体"/>
                <w:color w:val="auto"/>
                <w:sz w:val="22"/>
                <w:highlight w:val="none"/>
                <w:lang w:val="en-US" w:eastAsia="zh-CN"/>
              </w:rPr>
            </w:pPr>
            <w:r>
              <w:rPr>
                <w:rFonts w:hint="eastAsia" w:ascii="宋体" w:hAnsi="宋体" w:cs="宋体"/>
                <w:color w:val="auto"/>
                <w:sz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488" w:type="pct"/>
            <w:vAlign w:val="center"/>
          </w:tcPr>
          <w:p>
            <w:pPr>
              <w:snapToGrid w:val="0"/>
              <w:spacing w:line="240" w:lineRule="auto"/>
              <w:jc w:val="center"/>
              <w:outlineLvl w:val="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4155" w:type="pct"/>
            <w:vAlign w:val="center"/>
          </w:tcPr>
          <w:p>
            <w:pPr>
              <w:snapToGrid w:val="0"/>
              <w:spacing w:line="240" w:lineRule="auto"/>
              <w:outlineLvl w:val="0"/>
              <w:rPr>
                <w:rFonts w:hint="default" w:ascii="宋体" w:hAnsi="宋体"/>
                <w:color w:val="auto"/>
                <w:sz w:val="24"/>
                <w:szCs w:val="24"/>
                <w:highlight w:val="none"/>
                <w:lang w:val="en-US"/>
              </w:rPr>
            </w:pPr>
            <w:r>
              <w:rPr>
                <w:rFonts w:hint="eastAsia" w:ascii="宋体" w:hAnsi="宋体" w:eastAsia="宋体" w:cs="宋体"/>
                <w:b w:val="0"/>
                <w:bCs/>
                <w:i w:val="0"/>
                <w:iCs w:val="0"/>
                <w:color w:val="auto"/>
                <w:sz w:val="24"/>
                <w:szCs w:val="24"/>
                <w:highlight w:val="none"/>
                <w:lang w:val="en-US" w:eastAsia="zh-CN"/>
              </w:rPr>
              <w:t>售后服务方案：投标人需提供涵盖售后服务、质量保证、系统运维、风险防范的完整方案，根据方案流程、措施、资源配备进行综合评审，未提供不得分。</w:t>
            </w:r>
            <w:r>
              <w:rPr>
                <w:rFonts w:hint="eastAsia" w:ascii="宋体" w:hAnsi="宋体" w:eastAsia="宋体" w:cs="宋体"/>
                <w:color w:val="auto"/>
                <w:sz w:val="24"/>
                <w:szCs w:val="24"/>
                <w:highlight w:val="none"/>
                <w:lang w:val="en-US" w:eastAsia="zh-CN"/>
              </w:rPr>
              <w:t>（评分范围：5,4,3,2,1,0）</w:t>
            </w:r>
          </w:p>
        </w:tc>
        <w:tc>
          <w:tcPr>
            <w:tcW w:w="356" w:type="pct"/>
            <w:vAlign w:val="center"/>
          </w:tcPr>
          <w:p>
            <w:pPr>
              <w:snapToGrid w:val="0"/>
              <w:spacing w:line="240" w:lineRule="auto"/>
              <w:jc w:val="center"/>
              <w:outlineLvl w:val="0"/>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88" w:type="pct"/>
            <w:vAlign w:val="center"/>
          </w:tcPr>
          <w:p>
            <w:pPr>
              <w:snapToGrid w:val="0"/>
              <w:spacing w:line="240" w:lineRule="auto"/>
              <w:jc w:val="center"/>
              <w:outlineLvl w:val="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4155" w:type="pct"/>
            <w:vAlign w:val="center"/>
          </w:tcPr>
          <w:p>
            <w:pPr>
              <w:snapToGrid w:val="0"/>
              <w:spacing w:line="240" w:lineRule="auto"/>
              <w:outlineLvl w:val="0"/>
              <w:rPr>
                <w:rFonts w:hint="default" w:ascii="宋体" w:hAnsi="宋体"/>
                <w:color w:val="auto"/>
                <w:sz w:val="24"/>
                <w:szCs w:val="24"/>
                <w:highlight w:val="none"/>
                <w:lang w:val="en-US"/>
              </w:rPr>
            </w:pPr>
            <w:r>
              <w:rPr>
                <w:rFonts w:hint="eastAsia" w:ascii="宋体" w:hAnsi="宋体" w:eastAsia="宋体" w:cs="宋体"/>
                <w:b w:val="0"/>
                <w:bCs/>
                <w:i w:val="0"/>
                <w:iCs w:val="0"/>
                <w:color w:val="auto"/>
                <w:sz w:val="24"/>
                <w:szCs w:val="24"/>
                <w:highlight w:val="none"/>
                <w:lang w:val="en-US" w:eastAsia="zh-CN"/>
              </w:rPr>
              <w:t>项目培训方案：投标人需涵盖针对相关人员的技术培训计划，培训内容的培训方案，根据方案的完整性和合理性进行综合评审，未提供不得分。</w:t>
            </w:r>
            <w:r>
              <w:rPr>
                <w:rFonts w:hint="eastAsia" w:ascii="宋体" w:hAnsi="宋体" w:eastAsia="宋体" w:cs="宋体"/>
                <w:color w:val="auto"/>
                <w:sz w:val="24"/>
                <w:szCs w:val="24"/>
                <w:highlight w:val="none"/>
                <w:lang w:val="en-US" w:eastAsia="zh-CN"/>
              </w:rPr>
              <w:t>（评分范围：5,4,3,2,1,0）</w:t>
            </w:r>
          </w:p>
        </w:tc>
        <w:tc>
          <w:tcPr>
            <w:tcW w:w="356" w:type="pct"/>
            <w:vAlign w:val="center"/>
          </w:tcPr>
          <w:p>
            <w:pPr>
              <w:snapToGrid w:val="0"/>
              <w:spacing w:line="240" w:lineRule="auto"/>
              <w:jc w:val="center"/>
              <w:outlineLvl w:val="0"/>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5</w:t>
            </w:r>
          </w:p>
        </w:tc>
      </w:tr>
    </w:tbl>
    <w:p>
      <w:pPr>
        <w:snapToGrid w:val="0"/>
        <w:spacing w:line="360" w:lineRule="auto"/>
        <w:jc w:val="left"/>
        <w:rPr>
          <w:rFonts w:asciiTheme="minorEastAsia" w:hAnsiTheme="minorEastAsia" w:eastAsiaTheme="minorEastAsia" w:cstheme="minorEastAsia"/>
          <w:color w:val="auto"/>
          <w:sz w:val="20"/>
          <w:szCs w:val="20"/>
          <w:highlight w:val="none"/>
          <w:shd w:val="clear" w:color="auto" w:fill="FFFFFF"/>
        </w:rPr>
      </w:pPr>
    </w:p>
    <w:p>
      <w:pPr>
        <w:snapToGrid w:val="0"/>
        <w:spacing w:line="360" w:lineRule="auto"/>
        <w:ind w:firstLine="400"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shd w:val="clear" w:color="auto" w:fill="FFFFFF"/>
        </w:rPr>
        <w:t>*</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pPr>
        <w:snapToGrid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一、评标方法</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pP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二、评标标准</w:t>
      </w:r>
    </w:p>
    <w:p>
      <w:pPr>
        <w:spacing w:line="360" w:lineRule="auto"/>
        <w:ind w:firstLine="472" w:firstLineChars="196"/>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pPr>
        <w:spacing w:line="360" w:lineRule="auto"/>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三、评标程序</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pPr>
        <w:pStyle w:val="30"/>
        <w:spacing w:before="0"/>
        <w:ind w:firstLine="508" w:firstLineChars="212"/>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3.4.1投标文件报价出现前后不一致的，按照下列规定修正：</w:t>
      </w:r>
    </w:p>
    <w:p>
      <w:pPr>
        <w:pStyle w:val="30"/>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pPr>
        <w:pStyle w:val="30"/>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pPr>
        <w:pStyle w:val="30"/>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pPr>
        <w:pStyle w:val="30"/>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pPr>
        <w:pStyle w:val="30"/>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pPr>
        <w:pStyle w:val="30"/>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30"/>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w:t>
      </w:r>
      <w:r>
        <w:rPr>
          <w:rFonts w:hint="eastAsia" w:ascii="宋体" w:hAnsi="宋体" w:cs="宋体"/>
          <w:color w:val="auto"/>
          <w:kern w:val="0"/>
          <w:szCs w:val="24"/>
          <w:highlight w:val="none"/>
        </w:rPr>
        <w:t>对于未预留份额专门面向中小企业的采购服务项目，以及预留份额采购服务项目中的非预留部分标项，对小型和微型企业的投标报价给予10%</w:t>
      </w:r>
      <w:r>
        <w:rPr>
          <w:rFonts w:hint="eastAsia" w:asciiTheme="minorEastAsia" w:hAnsiTheme="minorEastAsia" w:eastAsiaTheme="minorEastAsia" w:cstheme="minorEastAsia"/>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w:t>
      </w:r>
      <w:r>
        <w:rPr>
          <w:rFonts w:hint="eastAsia" w:asciiTheme="minorEastAsia" w:hAnsiTheme="minorEastAsia" w:eastAsiaTheme="minorEastAsia" w:cstheme="minorEastAsia"/>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宋体" w:hAnsi="宋体" w:cs="宋体"/>
          <w:bCs/>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bCs/>
          <w:color w:val="auto"/>
          <w:kern w:val="0"/>
          <w:sz w:val="24"/>
          <w:highlight w:val="none"/>
          <w:u w:val="single"/>
          <w:lang w:val="en-US" w:eastAsia="zh-CN"/>
        </w:rPr>
        <w:t>3</w:t>
      </w:r>
      <w:r>
        <w:rPr>
          <w:rFonts w:hint="eastAsia" w:ascii="宋体" w:hAnsi="宋体" w:cs="宋体"/>
          <w:bCs/>
          <w:color w:val="auto"/>
          <w:kern w:val="0"/>
          <w:sz w:val="24"/>
          <w:highlight w:val="none"/>
          <w:u w:val="single"/>
        </w:rPr>
        <w:t>家</w:t>
      </w:r>
      <w:r>
        <w:rPr>
          <w:rFonts w:hint="eastAsia" w:ascii="宋体" w:hAnsi="宋体" w:cs="宋体"/>
          <w:bCs/>
          <w:color w:val="auto"/>
          <w:kern w:val="0"/>
          <w:sz w:val="24"/>
          <w:highlight w:val="none"/>
        </w:rPr>
        <w:t>。</w:t>
      </w:r>
    </w:p>
    <w:p>
      <w:pPr>
        <w:spacing w:line="360" w:lineRule="auto"/>
        <w:ind w:firstLine="480" w:firstLineChars="200"/>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pacing w:after="225" w:line="315" w:lineRule="atLeast"/>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四、评标中的其他事项</w:t>
      </w:r>
    </w:p>
    <w:p>
      <w:pPr>
        <w:pStyle w:val="30"/>
        <w:spacing w:before="0"/>
        <w:ind w:firstLine="472" w:firstLineChars="196"/>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9"/>
        <w:spacing w:line="360" w:lineRule="auto"/>
        <w:ind w:left="954" w:leftChars="226" w:hanging="479"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highlight w:val="none"/>
        </w:rPr>
        <w:t>有下列情形之一的，投标无效：</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投标文件含有采购人不能接受的附加条件的；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投标文件中承诺的投标有效期少于招标文件中载明的投标有效期的；</w:t>
      </w:r>
    </w:p>
    <w:p>
      <w:pPr>
        <w:snapToGrid w:val="0"/>
        <w:spacing w:line="360" w:lineRule="auto"/>
        <w:ind w:firstLine="120" w:firstLineChars="5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投标文件出现不是唯一的、有选择性投标报价的；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投标报价超过招标文件中规定的预算金额或者最高限价的；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投标人对根据修正原则修正后的报价不确认的；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投标人提供虚假材料投标的；</w:t>
      </w:r>
    </w:p>
    <w:p>
      <w:pPr>
        <w:spacing w:line="360" w:lineRule="auto"/>
        <w:ind w:firstLine="240" w:firstLine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w:t>
      </w: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4.2.11</w:t>
      </w:r>
      <w:r>
        <w:rPr>
          <w:rFonts w:hint="eastAsia" w:ascii="宋体" w:hAnsi="宋体" w:cs="宋体"/>
          <w:color w:val="auto"/>
          <w:kern w:val="0"/>
          <w:sz w:val="24"/>
          <w:highlight w:val="none"/>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4.2.12投标人仅提交备份投标文件，未在电子交易平台传输递交投标文件的，投标无效；</w:t>
      </w:r>
    </w:p>
    <w:p>
      <w:pPr>
        <w:pStyle w:val="2"/>
        <w:ind w:left="433" w:leftChars="202" w:hanging="9" w:hangingChars="4"/>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4.2.13 投标文件不满足招标文件的其它实质性要求的；</w:t>
      </w:r>
    </w:p>
    <w:p>
      <w:pPr>
        <w:pStyle w:val="2"/>
        <w:ind w:left="0" w:leftChars="0" w:firstLine="420" w:firstLineChars="175"/>
        <w:rPr>
          <w:rFonts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rPr>
        <w:t>4.2.14法律、法规、规章（适用本市的）及省级以上规范性文件（适用本市的）规定的其他无效情形。</w:t>
      </w:r>
    </w:p>
    <w:p>
      <w:pPr>
        <w:pStyle w:val="9"/>
        <w:snapToGrid w:val="0"/>
        <w:spacing w:line="360" w:lineRule="auto"/>
        <w:ind w:firstLine="472"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pPr>
        <w:pStyle w:val="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pPr>
        <w:pStyle w:val="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pPr>
        <w:pStyle w:val="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pPr>
        <w:pStyle w:val="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pPr>
        <w:pStyle w:val="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废标后，采购代理机构应当将废标理由通知所有投标人。</w:t>
      </w:r>
    </w:p>
    <w:p>
      <w:pPr>
        <w:pStyle w:val="9"/>
        <w:snapToGrid w:val="0"/>
        <w:spacing w:line="360" w:lineRule="auto"/>
        <w:ind w:firstLine="590" w:firstLineChars="24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9"/>
        <w:snapToGrid w:val="0"/>
        <w:spacing w:line="360" w:lineRule="auto"/>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pPr>
        <w:pStyle w:val="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7.1未确定中标供应商的，终止本次采购活动，重新开展政府采购活动。</w:t>
      </w:r>
    </w:p>
    <w:p>
      <w:pPr>
        <w:pStyle w:val="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7.2已确定中标供应商但尚未签订采购合同的，中标结果无效，从合格的中标候选人中另行确定中标供应商；没有合格的中标候选人的，重新开展采购活动。</w:t>
      </w:r>
    </w:p>
    <w:p>
      <w:pPr>
        <w:pStyle w:val="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7.3政府采购合同已签订但尚未履行的，撤销合同，从合格的中标候选人中另行确定中标供应商；没有合格的中标候选人的，重新开展采购活动。</w:t>
      </w:r>
    </w:p>
    <w:p>
      <w:pPr>
        <w:pStyle w:val="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7.4采购合同已经履行，给采购人、供应商造成损失的，由责任人承担赔偿责任。</w:t>
      </w:r>
    </w:p>
    <w:p>
      <w:pPr>
        <w:pStyle w:val="9"/>
        <w:snapToGrid w:val="0"/>
        <w:spacing w:line="360" w:lineRule="auto"/>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highlight w:val="none"/>
        </w:rPr>
        <w:t>7.5采购当事人有其他违反政府采购法或者政府采购法实施条例等法律法规规定的行为，经改正后仍然影响或者可能影响中标结果或者依法被认定为中标无效的，依照7.1-7.4规定处理。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hint="eastAsia" w:asciiTheme="minorEastAsia" w:hAnsiTheme="minorEastAsia" w:eastAsiaTheme="minorEastAsia" w:cstheme="minorEastAsia"/>
          <w:b/>
          <w:color w:val="auto"/>
          <w:sz w:val="36"/>
          <w:szCs w:val="36"/>
          <w:highlight w:val="none"/>
        </w:rPr>
        <w:br w:type="page"/>
      </w:r>
    </w:p>
    <w:p>
      <w:pPr>
        <w:spacing w:line="360" w:lineRule="auto"/>
        <w:ind w:left="720" w:leftChars="343" w:firstLine="1084" w:firstLineChars="300"/>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pPr>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项目编号：</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pPr>
        <w:spacing w:line="480" w:lineRule="auto"/>
        <w:jc w:val="center"/>
        <w:rPr>
          <w:rFonts w:asciiTheme="minorEastAsia" w:hAnsiTheme="minorEastAsia" w:eastAsiaTheme="minorEastAsia" w:cstheme="minorEastAsia"/>
          <w:b/>
          <w:color w:val="auto"/>
          <w:sz w:val="28"/>
          <w:szCs w:val="28"/>
          <w:highlight w:val="none"/>
        </w:rPr>
      </w:pPr>
    </w:p>
    <w:p>
      <w:pPr>
        <w:spacing w:line="480" w:lineRule="auto"/>
        <w:jc w:val="center"/>
        <w:rPr>
          <w:rFonts w:asciiTheme="minorEastAsia" w:hAnsiTheme="minorEastAsia" w:eastAsiaTheme="minorEastAsia" w:cstheme="minorEastAsia"/>
          <w:b/>
          <w:color w:val="auto"/>
          <w:sz w:val="24"/>
          <w:highlight w:val="none"/>
        </w:rPr>
      </w:pPr>
    </w:p>
    <w:p>
      <w:pPr>
        <w:spacing w:line="480" w:lineRule="auto"/>
        <w:jc w:val="center"/>
        <w:rPr>
          <w:rFonts w:asciiTheme="minorEastAsia" w:hAnsiTheme="minorEastAsia" w:eastAsiaTheme="minorEastAsia" w:cstheme="minorEastAsia"/>
          <w:b/>
          <w:color w:val="auto"/>
          <w:sz w:val="24"/>
          <w:highlight w:val="none"/>
        </w:rPr>
      </w:pPr>
    </w:p>
    <w:p>
      <w:pPr>
        <w:spacing w:line="48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采购合同参考范本</w:t>
      </w:r>
    </w:p>
    <w:p>
      <w:pPr>
        <w:spacing w:line="48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（服务类）</w:t>
      </w:r>
    </w:p>
    <w:p>
      <w:pPr>
        <w:pStyle w:val="32"/>
        <w:ind w:firstLine="2843" w:firstLineChars="118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pPr>
        <w:spacing w:before="120" w:line="22" w:lineRule="atLeast"/>
        <w:rPr>
          <w:rFonts w:asciiTheme="minorEastAsia" w:hAnsiTheme="minorEastAsia" w:eastAsiaTheme="minorEastAsia" w:cstheme="minorEastAsia"/>
          <w:color w:val="auto"/>
          <w:sz w:val="24"/>
          <w:highlight w:val="none"/>
        </w:rPr>
      </w:pPr>
    </w:p>
    <w:p>
      <w:pPr>
        <w:pStyle w:val="2"/>
        <w:rPr>
          <w:rFonts w:asciiTheme="minorEastAsia" w:hAnsiTheme="minorEastAsia" w:eastAsiaTheme="minorEastAsia" w:cstheme="minorEastAsia"/>
          <w:color w:val="auto"/>
          <w:highlight w:val="none"/>
        </w:rPr>
      </w:pPr>
    </w:p>
    <w:p>
      <w:pPr>
        <w:spacing w:before="120" w:line="22" w:lineRule="atLeast"/>
        <w:ind w:left="96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pPr>
        <w:pStyle w:val="33"/>
        <w:spacing w:before="120" w:line="22" w:lineRule="atLeast"/>
        <w:rPr>
          <w:rFonts w:asciiTheme="minorEastAsia" w:hAnsiTheme="minorEastAsia" w:eastAsiaTheme="minorEastAsia" w:cstheme="minorEastAsia"/>
          <w:color w:val="auto"/>
          <w:szCs w:val="24"/>
          <w:highlight w:val="none"/>
        </w:rPr>
      </w:pPr>
    </w:p>
    <w:p>
      <w:pPr>
        <w:pStyle w:val="33"/>
        <w:spacing w:before="120" w:line="22" w:lineRule="atLeast"/>
        <w:rPr>
          <w:rFonts w:asciiTheme="minorEastAsia" w:hAnsiTheme="minorEastAsia" w:eastAsiaTheme="minorEastAsia" w:cstheme="minorEastAsia"/>
          <w:color w:val="auto"/>
          <w:szCs w:val="24"/>
          <w:highlight w:val="none"/>
        </w:rPr>
      </w:pPr>
    </w:p>
    <w:p>
      <w:pPr>
        <w:rPr>
          <w:rFonts w:asciiTheme="minorEastAsia" w:hAnsiTheme="minorEastAsia" w:eastAsiaTheme="minorEastAsia" w:cstheme="minorEastAsia"/>
          <w:color w:val="auto"/>
          <w:sz w:val="24"/>
          <w:highlight w:val="none"/>
        </w:rPr>
      </w:pPr>
    </w:p>
    <w:p>
      <w:pPr>
        <w:spacing w:before="120" w:line="22" w:lineRule="atLeast"/>
        <w:ind w:left="96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asciiTheme="minorEastAsia" w:hAnsiTheme="minorEastAsia" w:eastAsiaTheme="minorEastAsia" w:cstheme="minorEastAsia"/>
          <w:color w:val="auto"/>
          <w:sz w:val="24"/>
          <w:highlight w:val="none"/>
        </w:rPr>
      </w:pPr>
    </w:p>
    <w:p>
      <w:pPr>
        <w:spacing w:before="120" w:line="22" w:lineRule="atLeast"/>
        <w:ind w:left="96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asciiTheme="minorEastAsia" w:hAnsiTheme="minorEastAsia" w:eastAsiaTheme="minorEastAsia" w:cstheme="minorEastAsia"/>
          <w:color w:val="auto"/>
          <w:sz w:val="24"/>
          <w:highlight w:val="none"/>
        </w:rPr>
      </w:pPr>
    </w:p>
    <w:p>
      <w:pPr>
        <w:spacing w:before="120" w:line="22" w:lineRule="atLeast"/>
        <w:ind w:firstLine="960" w:firstLineChars="4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asciiTheme="minorEastAsia" w:hAnsiTheme="minorEastAsia" w:eastAsiaTheme="minorEastAsia" w:cstheme="minorEastAsia"/>
          <w:color w:val="auto"/>
          <w:sz w:val="24"/>
          <w:highlight w:val="none"/>
        </w:rPr>
      </w:pPr>
    </w:p>
    <w:p>
      <w:pPr>
        <w:spacing w:before="120" w:line="22" w:lineRule="atLeast"/>
        <w:ind w:firstLine="960" w:firstLineChars="4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widowControl/>
        <w:jc w:val="left"/>
        <w:rPr>
          <w:rFonts w:asciiTheme="minorEastAsia" w:hAnsiTheme="minorEastAsia" w:eastAsiaTheme="minorEastAsia" w:cstheme="minorEastAsia"/>
          <w:color w:val="auto"/>
          <w:kern w:val="0"/>
          <w:sz w:val="24"/>
          <w:highlight w:val="none"/>
        </w:rPr>
        <w:sectPr>
          <w:headerReference r:id="rId3" w:type="default"/>
          <w:footerReference r:id="rId4" w:type="default"/>
          <w:pgSz w:w="11907" w:h="16840"/>
          <w:pgMar w:top="1417" w:right="1417" w:bottom="1417" w:left="1417" w:header="851" w:footer="850" w:gutter="0"/>
          <w:cols w:space="720" w:num="1"/>
          <w:docGrid w:linePitch="1" w:charSpace="0"/>
        </w:sectPr>
      </w:pPr>
    </w:p>
    <w:p>
      <w:pPr>
        <w:adjustRightInd w:val="0"/>
        <w:spacing w:line="360" w:lineRule="auto"/>
        <w:ind w:firstLine="480" w:firstLineChars="200"/>
        <w:rPr>
          <w:rFonts w:asciiTheme="minorEastAsia" w:hAnsiTheme="minorEastAsia" w:eastAsiaTheme="minorEastAsia" w:cstheme="minorEastAsia"/>
          <w:color w:val="auto"/>
          <w:sz w:val="24"/>
          <w:szCs w:val="24"/>
          <w:highlight w:val="none"/>
          <w:u w:val="single"/>
          <w:lang w:val="zh-CN"/>
        </w:rPr>
      </w:pP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年</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月</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日</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浙江省杭州第十一中学</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以</w:t>
      </w:r>
      <w:r>
        <w:rPr>
          <w:rFonts w:hint="eastAsia" w:asciiTheme="minorEastAsia" w:hAnsiTheme="minorEastAsia" w:eastAsiaTheme="minorEastAsia" w:cstheme="minorEastAsia"/>
          <w:color w:val="auto"/>
          <w:sz w:val="24"/>
          <w:szCs w:val="24"/>
          <w:highlight w:val="none"/>
          <w:u w:val="single"/>
        </w:rPr>
        <w:t xml:space="preserve">  公开招标方式 </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智慧校园建设二期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进行了采购。经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highlight w:val="none"/>
          <w:u w:val="single"/>
        </w:rPr>
        <w:t>评审委员会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评定，</w:t>
      </w:r>
      <w:r>
        <w:rPr>
          <w:rFonts w:hint="eastAsia" w:asciiTheme="minorEastAsia" w:hAnsiTheme="minorEastAsia" w:eastAsiaTheme="minorEastAsia" w:cstheme="minorEastAsia"/>
          <w:color w:val="auto"/>
          <w:sz w:val="24"/>
          <w:szCs w:val="24"/>
          <w:highlight w:val="none"/>
          <w:u w:val="single"/>
        </w:rPr>
        <w:t xml:space="preserve">   （中标或者成交供应商名称） </w:t>
      </w:r>
      <w:r>
        <w:rPr>
          <w:rFonts w:hint="eastAsia" w:asciiTheme="minorEastAsia" w:hAnsiTheme="minorEastAsia" w:eastAsiaTheme="minorEastAsia" w:cstheme="minorEastAsia"/>
          <w:color w:val="auto"/>
          <w:sz w:val="24"/>
          <w:szCs w:val="24"/>
          <w:highlight w:val="none"/>
        </w:rPr>
        <w:t>为该项目中标或者成交供应商。</w:t>
      </w:r>
      <w:r>
        <w:rPr>
          <w:rFonts w:hint="eastAsia" w:asciiTheme="minorEastAsia" w:hAnsiTheme="minorEastAsia" w:eastAsiaTheme="minorEastAsia" w:cstheme="minorEastAsia"/>
          <w:color w:val="auto"/>
          <w:sz w:val="24"/>
          <w:highlight w:val="none"/>
        </w:rPr>
        <w:t>现于中标通知书发出之日起30日（鼓励有条件的缩短至10个工作日）内</w:t>
      </w:r>
      <w:r>
        <w:rPr>
          <w:rFonts w:hint="eastAsia" w:asciiTheme="minorEastAsia" w:hAnsiTheme="minorEastAsia" w:eastAsiaTheme="minorEastAsia" w:cstheme="minorEastAsia"/>
          <w:color w:val="auto"/>
          <w:sz w:val="24"/>
          <w:szCs w:val="24"/>
          <w:highlight w:val="none"/>
        </w:rPr>
        <w:t>，按照采购文件确定的事项签订本合同。</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浙江省杭州第十一中学</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val="zh-CN"/>
        </w:rPr>
        <w:t>(以下简称：甲方)和</w:t>
      </w:r>
      <w:r>
        <w:rPr>
          <w:rFonts w:hint="eastAsia" w:asciiTheme="minorEastAsia" w:hAnsiTheme="minorEastAsia" w:eastAsiaTheme="minorEastAsia" w:cstheme="minorEastAsia"/>
          <w:color w:val="auto"/>
          <w:sz w:val="24"/>
          <w:szCs w:val="24"/>
          <w:highlight w:val="none"/>
          <w:u w:val="single"/>
        </w:rPr>
        <w:t xml:space="preserve">   （中或者成交标供应商名称）   </w:t>
      </w:r>
      <w:r>
        <w:rPr>
          <w:rFonts w:hint="eastAsia" w:asciiTheme="minorEastAsia" w:hAnsiTheme="minorEastAsia" w:eastAsiaTheme="minorEastAsia" w:cstheme="minorEastAsia"/>
          <w:color w:val="auto"/>
          <w:sz w:val="24"/>
          <w:szCs w:val="24"/>
          <w:highlight w:val="none"/>
          <w:lang w:val="zh-CN"/>
        </w:rPr>
        <w:t>(以下简称：乙方)协商一致，约定以下合同</w:t>
      </w:r>
      <w:r>
        <w:rPr>
          <w:rFonts w:hint="eastAsia" w:asciiTheme="minorEastAsia" w:hAnsiTheme="minorEastAsia" w:eastAsiaTheme="minorEastAsia" w:cstheme="minorEastAsia"/>
          <w:color w:val="auto"/>
          <w:sz w:val="24"/>
          <w:szCs w:val="24"/>
          <w:highlight w:val="none"/>
        </w:rPr>
        <w:t>条款，以兹共同遵守、全面履行。</w:t>
      </w:r>
    </w:p>
    <w:p>
      <w:pPr>
        <w:adjustRightInd w:val="0"/>
        <w:spacing w:line="360" w:lineRule="auto"/>
        <w:ind w:firstLine="482" w:firstLineChars="200"/>
        <w:outlineLvl w:val="0"/>
        <w:rPr>
          <w:rFonts w:asciiTheme="minorEastAsia" w:hAnsiTheme="minorEastAsia" w:eastAsiaTheme="minorEastAsia" w:cstheme="minorEastAsia"/>
          <w:color w:val="auto"/>
          <w:sz w:val="24"/>
          <w:szCs w:val="24"/>
          <w:highlight w:val="none"/>
        </w:rPr>
      </w:pPr>
      <w:bookmarkStart w:id="395" w:name="_Toc15367"/>
      <w:bookmarkStart w:id="396" w:name="_Toc20421"/>
      <w:bookmarkStart w:id="397" w:name="_Toc28855"/>
      <w:bookmarkStart w:id="398" w:name="_Toc19273"/>
      <w:bookmarkStart w:id="399" w:name="_Toc22967"/>
      <w:r>
        <w:rPr>
          <w:rFonts w:hint="eastAsia" w:asciiTheme="minorEastAsia" w:hAnsiTheme="minorEastAsia" w:eastAsiaTheme="minorEastAsia" w:cstheme="minorEastAsia"/>
          <w:b/>
          <w:color w:val="auto"/>
          <w:sz w:val="24"/>
          <w:szCs w:val="24"/>
          <w:highlight w:val="none"/>
        </w:rPr>
        <w:t>1.1 合同组成部分</w:t>
      </w:r>
      <w:bookmarkEnd w:id="395"/>
      <w:bookmarkEnd w:id="396"/>
      <w:bookmarkEnd w:id="397"/>
      <w:bookmarkEnd w:id="398"/>
      <w:bookmarkEnd w:id="399"/>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 本合同及其补充合同、变更协议；</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 中标或者成交通知书；</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 投标或者响应文件（含澄清或者说明文件）；</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 采购文件（含澄清或者修改文件）；</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 其他相关采购文件。</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00" w:name="_Toc18585"/>
      <w:bookmarkStart w:id="401" w:name="_Toc6311"/>
      <w:bookmarkStart w:id="402" w:name="_Toc22185"/>
      <w:bookmarkStart w:id="403" w:name="_Toc2918"/>
      <w:bookmarkStart w:id="404" w:name="_Toc6773"/>
      <w:r>
        <w:rPr>
          <w:rFonts w:hint="eastAsia" w:asciiTheme="minorEastAsia" w:hAnsiTheme="minorEastAsia" w:eastAsiaTheme="minorEastAsia" w:cstheme="minorEastAsia"/>
          <w:b/>
          <w:color w:val="auto"/>
          <w:sz w:val="24"/>
          <w:szCs w:val="24"/>
          <w:highlight w:val="none"/>
        </w:rPr>
        <w:t>1.2 标的</w:t>
      </w:r>
      <w:bookmarkEnd w:id="400"/>
      <w:bookmarkEnd w:id="401"/>
      <w:bookmarkEnd w:id="402"/>
      <w:bookmarkEnd w:id="403"/>
      <w:bookmarkEnd w:id="404"/>
    </w:p>
    <w:p>
      <w:pPr>
        <w:adjustRightInd w:val="0"/>
        <w:spacing w:line="360" w:lineRule="auto"/>
        <w:ind w:firstLine="480" w:firstLineChars="20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1.2.1 服务内容：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1.2.2 服务标准：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1.2.3 技术保障：</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w:t>
      </w:r>
    </w:p>
    <w:p>
      <w:pPr>
        <w:adjustRightInd w:val="0"/>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 服务人员组成：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widowControl/>
        <w:spacing w:line="360" w:lineRule="auto"/>
        <w:ind w:firstLine="48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1.2.5合同</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（是/否）涉及货物。若涉及货物的的，则：</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u w:val="single"/>
        </w:rPr>
      </w:pPr>
      <w:bookmarkStart w:id="405" w:name="_Toc5635"/>
      <w:bookmarkStart w:id="406" w:name="_Toc21124"/>
      <w:bookmarkStart w:id="407" w:name="_Toc13918"/>
      <w:bookmarkStart w:id="408" w:name="_Toc4929"/>
      <w:bookmarkStart w:id="409" w:name="_Toc1386"/>
      <w:r>
        <w:rPr>
          <w:rFonts w:hint="eastAsia" w:asciiTheme="minorEastAsia" w:hAnsiTheme="minorEastAsia" w:eastAsiaTheme="minorEastAsia" w:cstheme="minorEastAsia"/>
          <w:color w:val="auto"/>
          <w:sz w:val="24"/>
          <w:szCs w:val="24"/>
          <w:highlight w:val="none"/>
        </w:rPr>
        <w:t>1.2.5.1 货物名称、品牌、规格型号、花色：</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1.2.5.2 货物数量：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1.2.5.3 货物质量：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1.3 价款</w:t>
      </w:r>
      <w:bookmarkEnd w:id="405"/>
      <w:bookmarkEnd w:id="406"/>
      <w:bookmarkEnd w:id="407"/>
      <w:bookmarkEnd w:id="408"/>
      <w:bookmarkEnd w:id="409"/>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本项目采用以下第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条款规定的计价方式计价。</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1.3.1总价合同，本合同总价（含税）为：¥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元人民币）。</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分项价格：</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4416"/>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pct"/>
            <w:vAlign w:val="center"/>
          </w:tcPr>
          <w:p>
            <w:pPr>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2377" w:type="pct"/>
            <w:vAlign w:val="center"/>
          </w:tcPr>
          <w:p>
            <w:pPr>
              <w:spacing w:line="360" w:lineRule="auto"/>
              <w:ind w:firstLine="20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分项名称</w:t>
            </w:r>
          </w:p>
        </w:tc>
        <w:tc>
          <w:tcPr>
            <w:tcW w:w="1783" w:type="pct"/>
            <w:vAlign w:val="center"/>
          </w:tcPr>
          <w:p>
            <w:pPr>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pct"/>
            <w:vAlign w:val="center"/>
          </w:tcPr>
          <w:p>
            <w:pPr>
              <w:spacing w:line="360" w:lineRule="auto"/>
              <w:ind w:firstLine="200"/>
              <w:jc w:val="center"/>
              <w:rPr>
                <w:rFonts w:asciiTheme="minorEastAsia" w:hAnsiTheme="minorEastAsia" w:eastAsiaTheme="minorEastAsia" w:cstheme="minorEastAsia"/>
                <w:color w:val="auto"/>
                <w:kern w:val="0"/>
                <w:sz w:val="24"/>
                <w:szCs w:val="24"/>
                <w:highlight w:val="none"/>
              </w:rPr>
            </w:pPr>
          </w:p>
        </w:tc>
        <w:tc>
          <w:tcPr>
            <w:tcW w:w="2377" w:type="pct"/>
            <w:vAlign w:val="center"/>
          </w:tcPr>
          <w:p>
            <w:pPr>
              <w:spacing w:line="360" w:lineRule="auto"/>
              <w:ind w:firstLine="200"/>
              <w:jc w:val="center"/>
              <w:rPr>
                <w:rFonts w:asciiTheme="minorEastAsia" w:hAnsiTheme="minorEastAsia" w:eastAsiaTheme="minorEastAsia" w:cstheme="minorEastAsia"/>
                <w:color w:val="auto"/>
                <w:kern w:val="0"/>
                <w:sz w:val="24"/>
                <w:szCs w:val="24"/>
                <w:highlight w:val="none"/>
              </w:rPr>
            </w:pPr>
          </w:p>
        </w:tc>
        <w:tc>
          <w:tcPr>
            <w:tcW w:w="1783" w:type="pct"/>
            <w:vAlign w:val="center"/>
          </w:tcPr>
          <w:p>
            <w:pPr>
              <w:spacing w:line="360" w:lineRule="auto"/>
              <w:ind w:firstLine="200"/>
              <w:jc w:val="center"/>
              <w:rPr>
                <w:rFonts w:asciiTheme="minorEastAsia" w:hAnsiTheme="minorEastAsia" w:eastAsiaTheme="minorEastAsia" w:cs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pct"/>
            <w:vAlign w:val="center"/>
          </w:tcPr>
          <w:p>
            <w:pPr>
              <w:spacing w:line="360" w:lineRule="auto"/>
              <w:ind w:firstLine="200"/>
              <w:jc w:val="center"/>
              <w:rPr>
                <w:rFonts w:asciiTheme="minorEastAsia" w:hAnsiTheme="minorEastAsia" w:eastAsiaTheme="minorEastAsia" w:cstheme="minorEastAsia"/>
                <w:color w:val="auto"/>
                <w:kern w:val="0"/>
                <w:sz w:val="24"/>
                <w:szCs w:val="24"/>
                <w:highlight w:val="none"/>
              </w:rPr>
            </w:pPr>
          </w:p>
        </w:tc>
        <w:tc>
          <w:tcPr>
            <w:tcW w:w="2377" w:type="pct"/>
            <w:vAlign w:val="center"/>
          </w:tcPr>
          <w:p>
            <w:pPr>
              <w:spacing w:line="360" w:lineRule="auto"/>
              <w:ind w:firstLine="200"/>
              <w:jc w:val="center"/>
              <w:rPr>
                <w:rFonts w:asciiTheme="minorEastAsia" w:hAnsiTheme="minorEastAsia" w:eastAsiaTheme="minorEastAsia" w:cstheme="minorEastAsia"/>
                <w:color w:val="auto"/>
                <w:kern w:val="0"/>
                <w:sz w:val="24"/>
                <w:szCs w:val="24"/>
                <w:highlight w:val="none"/>
              </w:rPr>
            </w:pPr>
          </w:p>
        </w:tc>
        <w:tc>
          <w:tcPr>
            <w:tcW w:w="1783" w:type="pct"/>
            <w:vAlign w:val="center"/>
          </w:tcPr>
          <w:p>
            <w:pPr>
              <w:spacing w:line="360" w:lineRule="auto"/>
              <w:ind w:firstLine="200"/>
              <w:jc w:val="center"/>
              <w:rPr>
                <w:rFonts w:asciiTheme="minorEastAsia" w:hAnsiTheme="minorEastAsia" w:eastAsiaTheme="minorEastAsia" w:cs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pct"/>
            <w:vAlign w:val="center"/>
          </w:tcPr>
          <w:p>
            <w:pPr>
              <w:spacing w:line="360" w:lineRule="auto"/>
              <w:ind w:firstLine="200"/>
              <w:jc w:val="center"/>
              <w:rPr>
                <w:rFonts w:asciiTheme="minorEastAsia" w:hAnsiTheme="minorEastAsia" w:eastAsiaTheme="minorEastAsia" w:cstheme="minorEastAsia"/>
                <w:color w:val="auto"/>
                <w:kern w:val="0"/>
                <w:sz w:val="24"/>
                <w:szCs w:val="24"/>
                <w:highlight w:val="none"/>
              </w:rPr>
            </w:pPr>
          </w:p>
        </w:tc>
        <w:tc>
          <w:tcPr>
            <w:tcW w:w="2377" w:type="pct"/>
            <w:vAlign w:val="center"/>
          </w:tcPr>
          <w:p>
            <w:pPr>
              <w:spacing w:line="360" w:lineRule="auto"/>
              <w:ind w:firstLine="200"/>
              <w:jc w:val="center"/>
              <w:rPr>
                <w:rFonts w:asciiTheme="minorEastAsia" w:hAnsiTheme="minorEastAsia" w:eastAsiaTheme="minorEastAsia" w:cstheme="minorEastAsia"/>
                <w:color w:val="auto"/>
                <w:kern w:val="0"/>
                <w:sz w:val="24"/>
                <w:szCs w:val="24"/>
                <w:highlight w:val="none"/>
              </w:rPr>
            </w:pPr>
          </w:p>
        </w:tc>
        <w:tc>
          <w:tcPr>
            <w:tcW w:w="1783" w:type="pct"/>
            <w:vAlign w:val="center"/>
          </w:tcPr>
          <w:p>
            <w:pPr>
              <w:spacing w:line="360" w:lineRule="auto"/>
              <w:ind w:firstLine="200"/>
              <w:jc w:val="center"/>
              <w:rPr>
                <w:rFonts w:asciiTheme="minorEastAsia" w:hAnsiTheme="minorEastAsia" w:eastAsiaTheme="minorEastAsia" w:cs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pct"/>
            <w:vAlign w:val="center"/>
          </w:tcPr>
          <w:p>
            <w:pPr>
              <w:spacing w:line="360" w:lineRule="auto"/>
              <w:ind w:firstLine="200"/>
              <w:jc w:val="center"/>
              <w:rPr>
                <w:rFonts w:asciiTheme="minorEastAsia" w:hAnsiTheme="minorEastAsia" w:eastAsiaTheme="minorEastAsia" w:cstheme="minorEastAsia"/>
                <w:color w:val="auto"/>
                <w:kern w:val="0"/>
                <w:sz w:val="24"/>
                <w:szCs w:val="24"/>
                <w:highlight w:val="none"/>
              </w:rPr>
            </w:pPr>
          </w:p>
        </w:tc>
        <w:tc>
          <w:tcPr>
            <w:tcW w:w="2377" w:type="pct"/>
            <w:vAlign w:val="center"/>
          </w:tcPr>
          <w:p>
            <w:pPr>
              <w:spacing w:line="360" w:lineRule="auto"/>
              <w:ind w:firstLine="200"/>
              <w:jc w:val="center"/>
              <w:rPr>
                <w:rFonts w:asciiTheme="minorEastAsia" w:hAnsiTheme="minorEastAsia" w:eastAsiaTheme="minorEastAsia" w:cstheme="minorEastAsia"/>
                <w:color w:val="auto"/>
                <w:kern w:val="0"/>
                <w:sz w:val="24"/>
                <w:szCs w:val="24"/>
                <w:highlight w:val="none"/>
              </w:rPr>
            </w:pPr>
          </w:p>
        </w:tc>
        <w:tc>
          <w:tcPr>
            <w:tcW w:w="1783" w:type="pct"/>
            <w:vAlign w:val="center"/>
          </w:tcPr>
          <w:p>
            <w:pPr>
              <w:spacing w:line="360" w:lineRule="auto"/>
              <w:ind w:firstLine="200"/>
              <w:jc w:val="center"/>
              <w:rPr>
                <w:rFonts w:asciiTheme="minorEastAsia" w:hAnsiTheme="minorEastAsia" w:eastAsiaTheme="minorEastAsia" w:cs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216" w:type="pct"/>
            <w:gridSpan w:val="2"/>
            <w:vAlign w:val="center"/>
          </w:tcPr>
          <w:p>
            <w:pPr>
              <w:spacing w:line="360" w:lineRule="auto"/>
              <w:ind w:firstLine="20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总价</w:t>
            </w:r>
          </w:p>
        </w:tc>
        <w:tc>
          <w:tcPr>
            <w:tcW w:w="1783" w:type="pct"/>
            <w:vAlign w:val="center"/>
          </w:tcPr>
          <w:p>
            <w:pPr>
              <w:spacing w:line="360" w:lineRule="auto"/>
              <w:ind w:firstLine="200"/>
              <w:jc w:val="center"/>
              <w:rPr>
                <w:rFonts w:asciiTheme="minorEastAsia" w:hAnsiTheme="minorEastAsia" w:eastAsiaTheme="minorEastAsia" w:cstheme="minorEastAsia"/>
                <w:color w:val="auto"/>
                <w:kern w:val="0"/>
                <w:sz w:val="24"/>
                <w:szCs w:val="24"/>
                <w:highlight w:val="none"/>
              </w:rPr>
            </w:pPr>
          </w:p>
        </w:tc>
      </w:tr>
    </w:tbl>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bookmarkStart w:id="410" w:name="_Toc30506"/>
      <w:bookmarkStart w:id="411" w:name="_Toc3654"/>
      <w:bookmarkStart w:id="412" w:name="_Toc30158"/>
      <w:bookmarkStart w:id="413" w:name="_Toc14993"/>
      <w:bookmarkStart w:id="414" w:name="_Toc26916"/>
      <w:r>
        <w:rPr>
          <w:rFonts w:hint="eastAsia" w:asciiTheme="minorEastAsia" w:hAnsiTheme="minorEastAsia" w:eastAsiaTheme="minorEastAsia" w:cstheme="minorEastAsia"/>
          <w:bCs/>
          <w:color w:val="auto"/>
          <w:sz w:val="24"/>
          <w:szCs w:val="24"/>
          <w:highlight w:val="none"/>
        </w:rPr>
        <w:t>1.3.2单价合同，本合同单价（含税）标准为：</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。服务工作量的计量方式为：</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
          <w:i/>
          <w:color w:val="auto"/>
          <w:sz w:val="24"/>
          <w:szCs w:val="24"/>
          <w:highlight w:val="none"/>
          <w:u w:val="single"/>
        </w:rPr>
        <w:t xml:space="preserve">合同专用条款  </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。单价合同，在合同履行期间内，根据实际完成的工作量据实结算，但结算总价上限不得超过预算金额或者双方确定的金额¥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元人民币）。</w:t>
      </w:r>
    </w:p>
    <w:p>
      <w:pPr>
        <w:keepNext/>
        <w:keepLines/>
        <w:numPr>
          <w:ilvl w:val="1"/>
          <w:numId w:val="0"/>
        </w:numPr>
        <w:spacing w:line="360" w:lineRule="auto"/>
        <w:jc w:val="left"/>
        <w:outlineLvl w:val="1"/>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rPr>
        <w:t xml:space="preserve"> 1.3.3其他计价方式：</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lang w:val="zh-CN"/>
        </w:rPr>
        <w:t>。</w:t>
      </w:r>
    </w:p>
    <w:bookmarkEnd w:id="410"/>
    <w:bookmarkEnd w:id="411"/>
    <w:bookmarkEnd w:id="412"/>
    <w:bookmarkEnd w:id="413"/>
    <w:bookmarkEnd w:id="414"/>
    <w:p>
      <w:pPr>
        <w:widowControl/>
        <w:spacing w:line="360" w:lineRule="auto"/>
        <w:ind w:firstLine="480"/>
        <w:jc w:val="left"/>
        <w:rPr>
          <w:rFonts w:asciiTheme="minorEastAsia" w:hAnsiTheme="minorEastAsia" w:eastAsiaTheme="minorEastAsia" w:cstheme="minorEastAsia"/>
          <w:b/>
          <w:color w:val="auto"/>
          <w:kern w:val="0"/>
          <w:sz w:val="24"/>
          <w:szCs w:val="24"/>
          <w:highlight w:val="none"/>
        </w:rPr>
      </w:pPr>
      <w:bookmarkStart w:id="415" w:name="_Toc10340"/>
      <w:bookmarkStart w:id="416" w:name="_Toc22618"/>
      <w:bookmarkStart w:id="417" w:name="_Toc1814"/>
      <w:bookmarkStart w:id="418" w:name="_Toc31421"/>
      <w:bookmarkStart w:id="419" w:name="_Toc4760"/>
      <w:bookmarkStart w:id="420" w:name="_Toc11108"/>
      <w:bookmarkStart w:id="421" w:name="_Toc3625"/>
      <w:bookmarkStart w:id="422" w:name="_Toc8772"/>
      <w:r>
        <w:rPr>
          <w:rFonts w:hint="eastAsia" w:asciiTheme="minorEastAsia" w:hAnsiTheme="minorEastAsia" w:eastAsiaTheme="minorEastAsia" w:cstheme="minorEastAsia"/>
          <w:b/>
          <w:color w:val="auto"/>
          <w:kern w:val="0"/>
          <w:sz w:val="24"/>
          <w:szCs w:val="24"/>
          <w:highlight w:val="none"/>
        </w:rPr>
        <w:t>1.4履约保证金</w:t>
      </w:r>
    </w:p>
    <w:p>
      <w:pPr>
        <w:widowControl/>
        <w:spacing w:line="360" w:lineRule="auto"/>
        <w:ind w:firstLine="48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否</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（是/否）需要支付履约保证金。若需要支付履约保证金的，则：</w:t>
      </w:r>
    </w:p>
    <w:p>
      <w:pPr>
        <w:adjustRightInd w:val="0"/>
        <w:spacing w:line="360" w:lineRule="auto"/>
        <w:ind w:firstLine="480" w:firstLineChars="200"/>
        <w:outlineLvl w:val="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1.4.1履约保证金的比例为合同金额的</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pPr>
        <w:adjustRightInd w:val="0"/>
        <w:spacing w:line="360" w:lineRule="auto"/>
        <w:ind w:firstLine="480" w:firstLineChars="200"/>
        <w:outlineLvl w:val="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1.4.2履约保证金支付方式详见</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b/>
          <w:i/>
          <w:color w:val="auto"/>
          <w:sz w:val="24"/>
          <w:szCs w:val="24"/>
          <w:highlight w:val="none"/>
          <w:u w:val="single"/>
        </w:rPr>
        <w:t>合同专用条款</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pPr>
        <w:adjustRightInd w:val="0"/>
        <w:spacing w:line="360" w:lineRule="auto"/>
        <w:ind w:firstLine="480" w:firstLineChars="200"/>
        <w:outlineLvl w:val="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adjustRightInd w:val="0"/>
        <w:spacing w:line="360" w:lineRule="auto"/>
        <w:ind w:firstLine="480" w:firstLineChars="200"/>
        <w:outlineLvl w:val="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1.4.4甲方在项目验收结束后及时退还履约保证金。甲方在项目通过验收之日起</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Theme="minorEastAsia" w:hAnsiTheme="minorEastAsia" w:eastAsiaTheme="minorEastAsia" w:cstheme="minorEastAsia"/>
          <w:color w:val="auto"/>
          <w:kern w:val="0"/>
          <w:sz w:val="24"/>
          <w:szCs w:val="24"/>
          <w:highlight w:val="none"/>
          <w:u w:val="single"/>
        </w:rPr>
        <w:t xml:space="preserve">  0.05（可根据情况修改）  </w:t>
      </w:r>
      <w:r>
        <w:rPr>
          <w:rFonts w:hint="eastAsia" w:asciiTheme="minorEastAsia" w:hAnsiTheme="minorEastAsia" w:eastAsiaTheme="minorEastAsia" w:cstheme="minorEastAsia"/>
          <w:color w:val="auto"/>
          <w:kern w:val="0"/>
          <w:sz w:val="24"/>
          <w:szCs w:val="24"/>
          <w:highlight w:val="none"/>
        </w:rPr>
        <w:t>%计算，最高限额为本合同履约保证金的</w:t>
      </w:r>
      <w:r>
        <w:rPr>
          <w:rFonts w:hint="eastAsia" w:asciiTheme="minorEastAsia" w:hAnsiTheme="minorEastAsia" w:eastAsiaTheme="minorEastAsia" w:cstheme="minorEastAsia"/>
          <w:color w:val="auto"/>
          <w:kern w:val="0"/>
          <w:sz w:val="24"/>
          <w:szCs w:val="24"/>
          <w:highlight w:val="none"/>
          <w:u w:val="single"/>
        </w:rPr>
        <w:t xml:space="preserve">  20  </w:t>
      </w:r>
      <w:r>
        <w:rPr>
          <w:rFonts w:hint="eastAsia" w:asciiTheme="minorEastAsia" w:hAnsiTheme="minorEastAsia" w:eastAsiaTheme="minorEastAsia" w:cstheme="minorEastAsia"/>
          <w:color w:val="auto"/>
          <w:kern w:val="0"/>
          <w:sz w:val="24"/>
          <w:szCs w:val="24"/>
          <w:highlight w:val="none"/>
        </w:rPr>
        <w:t>%。</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w:t>
      </w:r>
      <w:bookmarkEnd w:id="415"/>
      <w:bookmarkEnd w:id="416"/>
      <w:bookmarkEnd w:id="417"/>
      <w:r>
        <w:rPr>
          <w:rFonts w:hint="eastAsia" w:asciiTheme="minorEastAsia" w:hAnsiTheme="minorEastAsia" w:eastAsiaTheme="minorEastAsia" w:cstheme="minorEastAsia"/>
          <w:b/>
          <w:color w:val="auto"/>
          <w:sz w:val="24"/>
          <w:szCs w:val="24"/>
          <w:highlight w:val="none"/>
        </w:rPr>
        <w:t>预付款</w:t>
      </w:r>
    </w:p>
    <w:p>
      <w:pPr>
        <w:widowControl/>
        <w:spacing w:line="360" w:lineRule="auto"/>
        <w:ind w:firstLine="48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甲方</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（是/否）需要支付预付款。若需要支付预付款的，则：</w:t>
      </w:r>
    </w:p>
    <w:p>
      <w:pPr>
        <w:adjustRightIn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1.5.1预付款比例、支付方式、时间详见</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b/>
          <w:i/>
          <w:color w:val="auto"/>
          <w:sz w:val="24"/>
          <w:szCs w:val="24"/>
          <w:highlight w:val="none"/>
          <w:u w:val="single"/>
        </w:rPr>
        <w:t>合同专用条款</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pPr>
        <w:widowControl/>
        <w:spacing w:line="360" w:lineRule="auto"/>
        <w:ind w:firstLine="48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1.5.2预付款的扣回方式详见</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b/>
          <w:i/>
          <w:color w:val="auto"/>
          <w:kern w:val="0"/>
          <w:sz w:val="24"/>
          <w:szCs w:val="24"/>
          <w:highlight w:val="none"/>
          <w:u w:val="single"/>
        </w:rPr>
        <w:t>合同专用条款</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pPr>
        <w:widowControl/>
        <w:spacing w:line="360" w:lineRule="auto"/>
        <w:ind w:firstLine="480"/>
        <w:jc w:val="left"/>
        <w:rPr>
          <w:rFonts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1.5.3预付款的担保措施详见</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b/>
          <w:i/>
          <w:color w:val="auto"/>
          <w:kern w:val="0"/>
          <w:sz w:val="24"/>
          <w:szCs w:val="24"/>
          <w:highlight w:val="none"/>
          <w:u w:val="single"/>
        </w:rPr>
        <w:t>合同专用条款</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pPr>
        <w:widowControl/>
        <w:spacing w:line="360" w:lineRule="auto"/>
        <w:ind w:firstLine="480"/>
        <w:jc w:val="left"/>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1.6资金支付</w:t>
      </w:r>
    </w:p>
    <w:p>
      <w:pPr>
        <w:widowControl/>
        <w:spacing w:line="360" w:lineRule="auto"/>
        <w:ind w:firstLine="48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adjustRightInd w:val="0"/>
        <w:spacing w:line="360" w:lineRule="auto"/>
        <w:ind w:firstLine="480" w:firstLineChars="200"/>
        <w:outlineLvl w:val="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1.6.2资金支付的方式、时间和条件详见</w:t>
      </w:r>
      <w:r>
        <w:rPr>
          <w:rFonts w:hint="eastAsia" w:asciiTheme="minorEastAsia" w:hAnsiTheme="minorEastAsia" w:eastAsiaTheme="minorEastAsia" w:cstheme="minorEastAsia"/>
          <w:b/>
          <w:i/>
          <w:color w:val="auto"/>
          <w:sz w:val="24"/>
          <w:szCs w:val="24"/>
          <w:highlight w:val="none"/>
          <w:u w:val="single"/>
        </w:rPr>
        <w:t>合同专用条款</w:t>
      </w:r>
      <w:r>
        <w:rPr>
          <w:rFonts w:hint="eastAsia" w:asciiTheme="minorEastAsia" w:hAnsiTheme="minorEastAsia" w:eastAsiaTheme="minorEastAsia" w:cstheme="minorEastAsia"/>
          <w:color w:val="auto"/>
          <w:sz w:val="24"/>
          <w:szCs w:val="24"/>
          <w:highlight w:val="none"/>
        </w:rPr>
        <w:t>。</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1.7 履行期限、地点和方式</w:t>
      </w:r>
      <w:bookmarkEnd w:id="418"/>
      <w:bookmarkEnd w:id="419"/>
      <w:bookmarkEnd w:id="420"/>
      <w:bookmarkEnd w:id="421"/>
      <w:bookmarkEnd w:id="422"/>
    </w:p>
    <w:p>
      <w:pPr>
        <w:adjustRightInd w:val="0"/>
        <w:spacing w:line="360" w:lineRule="auto"/>
        <w:ind w:firstLine="480" w:firstLineChars="20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1.7.1 服务交付（实施）的时间（期限）：</w:t>
      </w:r>
      <w:r>
        <w:rPr>
          <w:rFonts w:hint="eastAsia" w:asciiTheme="minorEastAsia" w:hAnsiTheme="minorEastAsia" w:eastAsiaTheme="minorEastAsia" w:cstheme="minorEastAsia"/>
          <w:b/>
          <w:i/>
          <w:color w:val="auto"/>
          <w:sz w:val="24"/>
          <w:szCs w:val="24"/>
          <w:highlight w:val="none"/>
          <w:u w:val="single"/>
        </w:rPr>
        <w:t>合同专用条款</w:t>
      </w:r>
      <w:r>
        <w:rPr>
          <w:rFonts w:hint="eastAsia" w:asciiTheme="minorEastAsia" w:hAnsiTheme="minorEastAsia" w:eastAsiaTheme="minorEastAsia" w:cstheme="minorEastAsia"/>
          <w:color w:val="auto"/>
          <w:sz w:val="24"/>
          <w:szCs w:val="24"/>
          <w:highlight w:val="none"/>
        </w:rPr>
        <w:t>；</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 服务交付（实施）的地点（地域范围）：</w:t>
      </w:r>
      <w:r>
        <w:rPr>
          <w:rFonts w:hint="eastAsia" w:asciiTheme="minorEastAsia" w:hAnsiTheme="minorEastAsia" w:eastAsiaTheme="minorEastAsia" w:cstheme="minorEastAsia"/>
          <w:b/>
          <w:i/>
          <w:color w:val="auto"/>
          <w:sz w:val="24"/>
          <w:szCs w:val="24"/>
          <w:highlight w:val="none"/>
          <w:u w:val="single"/>
        </w:rPr>
        <w:t>合同专用条款</w:t>
      </w:r>
      <w:r>
        <w:rPr>
          <w:rFonts w:hint="eastAsia" w:asciiTheme="minorEastAsia" w:hAnsiTheme="minorEastAsia" w:eastAsiaTheme="minorEastAsia" w:cstheme="minorEastAsia"/>
          <w:color w:val="auto"/>
          <w:sz w:val="24"/>
          <w:szCs w:val="24"/>
          <w:highlight w:val="none"/>
        </w:rPr>
        <w:t>；</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 服务交付（实施）的方式：</w:t>
      </w:r>
      <w:r>
        <w:rPr>
          <w:rFonts w:hint="eastAsia" w:asciiTheme="minorEastAsia" w:hAnsiTheme="minorEastAsia" w:eastAsiaTheme="minorEastAsia" w:cstheme="minorEastAsia"/>
          <w:b/>
          <w:i/>
          <w:color w:val="auto"/>
          <w:sz w:val="24"/>
          <w:szCs w:val="24"/>
          <w:highlight w:val="none"/>
          <w:u w:val="single"/>
        </w:rPr>
        <w:t>合同专用条款</w:t>
      </w:r>
      <w:r>
        <w:rPr>
          <w:rFonts w:hint="eastAsia" w:asciiTheme="minorEastAsia" w:hAnsiTheme="minorEastAsia" w:eastAsiaTheme="minorEastAsia" w:cstheme="minorEastAsia"/>
          <w:color w:val="auto"/>
          <w:sz w:val="24"/>
          <w:szCs w:val="24"/>
          <w:highlight w:val="none"/>
        </w:rPr>
        <w:t>。</w:t>
      </w:r>
    </w:p>
    <w:p>
      <w:pPr>
        <w:adjustRightInd w:val="0"/>
        <w:spacing w:line="360" w:lineRule="auto"/>
        <w:ind w:firstLine="480" w:firstLineChars="200"/>
        <w:outlineLvl w:val="0"/>
        <w:rPr>
          <w:rFonts w:asciiTheme="minorEastAsia" w:hAnsiTheme="minorEastAsia" w:eastAsiaTheme="minorEastAsia" w:cstheme="minorEastAsia"/>
          <w:bCs/>
          <w:color w:val="auto"/>
          <w:sz w:val="24"/>
          <w:szCs w:val="24"/>
          <w:highlight w:val="none"/>
        </w:rPr>
      </w:pPr>
      <w:bookmarkStart w:id="423" w:name="_Toc3079"/>
      <w:bookmarkStart w:id="424" w:name="_Toc8586"/>
      <w:bookmarkStart w:id="425" w:name="_Toc5698"/>
      <w:bookmarkStart w:id="426" w:name="_Toc2375"/>
      <w:bookmarkStart w:id="427" w:name="_Toc24662"/>
      <w:r>
        <w:rPr>
          <w:rFonts w:hint="eastAsia" w:asciiTheme="minorEastAsia" w:hAnsiTheme="minorEastAsia" w:eastAsiaTheme="minorEastAsia" w:cstheme="minorEastAsia"/>
          <w:bCs/>
          <w:color w:val="auto"/>
          <w:sz w:val="24"/>
          <w:szCs w:val="24"/>
          <w:highlight w:val="none"/>
        </w:rPr>
        <w:t>1.7.4若服务涉及货物的，则货物的：</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1.7.4.1 交付期限：详见</w:t>
      </w:r>
      <w:r>
        <w:rPr>
          <w:rFonts w:hint="eastAsia" w:asciiTheme="minorEastAsia" w:hAnsiTheme="minorEastAsia" w:eastAsiaTheme="minorEastAsia" w:cstheme="minorEastAsia"/>
          <w:b/>
          <w:i/>
          <w:color w:val="auto"/>
          <w:sz w:val="24"/>
          <w:szCs w:val="24"/>
          <w:highlight w:val="none"/>
          <w:u w:val="single"/>
        </w:rPr>
        <w:t>合同专用条款</w:t>
      </w:r>
      <w:r>
        <w:rPr>
          <w:rFonts w:hint="eastAsia" w:asciiTheme="minorEastAsia" w:hAnsiTheme="minorEastAsia" w:eastAsiaTheme="minorEastAsia" w:cstheme="minorEastAsia"/>
          <w:color w:val="auto"/>
          <w:sz w:val="24"/>
          <w:szCs w:val="24"/>
          <w:highlight w:val="none"/>
        </w:rPr>
        <w:t>；</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1.7.4.2 交付地点：</w:t>
      </w:r>
      <w:r>
        <w:rPr>
          <w:rFonts w:hint="eastAsia" w:asciiTheme="minorEastAsia" w:hAnsiTheme="minorEastAsia" w:eastAsiaTheme="minorEastAsia" w:cstheme="minorEastAsia"/>
          <w:b/>
          <w:i/>
          <w:color w:val="auto"/>
          <w:sz w:val="24"/>
          <w:szCs w:val="24"/>
          <w:highlight w:val="none"/>
          <w:u w:val="single"/>
        </w:rPr>
        <w:t>合同专用条款</w:t>
      </w:r>
      <w:r>
        <w:rPr>
          <w:rFonts w:hint="eastAsia" w:asciiTheme="minorEastAsia" w:hAnsiTheme="minorEastAsia" w:eastAsiaTheme="minorEastAsia" w:cstheme="minorEastAsia"/>
          <w:color w:val="auto"/>
          <w:sz w:val="24"/>
          <w:szCs w:val="24"/>
          <w:highlight w:val="none"/>
        </w:rPr>
        <w:t>；</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1.7.4.3 交付方式：</w:t>
      </w:r>
      <w:r>
        <w:rPr>
          <w:rFonts w:hint="eastAsia" w:asciiTheme="minorEastAsia" w:hAnsiTheme="minorEastAsia" w:eastAsiaTheme="minorEastAsia" w:cstheme="minorEastAsia"/>
          <w:b/>
          <w:i/>
          <w:color w:val="auto"/>
          <w:sz w:val="24"/>
          <w:szCs w:val="24"/>
          <w:highlight w:val="none"/>
          <w:u w:val="single"/>
        </w:rPr>
        <w:t>合同专用条款</w:t>
      </w:r>
      <w:r>
        <w:rPr>
          <w:rFonts w:hint="eastAsia" w:asciiTheme="minorEastAsia" w:hAnsiTheme="minorEastAsia" w:eastAsiaTheme="minorEastAsia" w:cstheme="minorEastAsia"/>
          <w:color w:val="auto"/>
          <w:sz w:val="24"/>
          <w:szCs w:val="24"/>
          <w:highlight w:val="none"/>
        </w:rPr>
        <w:t>。</w:t>
      </w:r>
    </w:p>
    <w:p>
      <w:pPr>
        <w:adjustRightInd w:val="0"/>
        <w:spacing w:line="360" w:lineRule="auto"/>
        <w:ind w:firstLine="482" w:firstLineChars="200"/>
        <w:outlineLvl w:val="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color w:val="auto"/>
          <w:sz w:val="24"/>
          <w:szCs w:val="24"/>
          <w:highlight w:val="none"/>
        </w:rPr>
        <w:t>1.8违约责任</w:t>
      </w:r>
      <w:bookmarkEnd w:id="423"/>
      <w:bookmarkEnd w:id="424"/>
      <w:bookmarkEnd w:id="425"/>
      <w:bookmarkEnd w:id="426"/>
      <w:bookmarkEnd w:id="427"/>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Theme="minorEastAsia" w:hAnsiTheme="minorEastAsia" w:eastAsiaTheme="minorEastAsia" w:cstheme="minorEastAsia"/>
          <w:color w:val="auto"/>
          <w:sz w:val="24"/>
          <w:szCs w:val="24"/>
          <w:highlight w:val="none"/>
          <w:u w:val="single"/>
        </w:rPr>
        <w:t xml:space="preserve">0.05 </w:t>
      </w:r>
      <w:r>
        <w:rPr>
          <w:rFonts w:hint="eastAsia" w:asciiTheme="minorEastAsia" w:hAnsiTheme="minorEastAsia" w:eastAsiaTheme="minorEastAsia" w:cstheme="minorEastAsia"/>
          <w:color w:val="auto"/>
          <w:sz w:val="24"/>
          <w:szCs w:val="24"/>
          <w:highlight w:val="none"/>
        </w:rPr>
        <w:t>%计算，最高限额为本合同总价的</w:t>
      </w:r>
      <w:r>
        <w:rPr>
          <w:rFonts w:hint="eastAsia" w:asciiTheme="minorEastAsia" w:hAnsiTheme="minorEastAsia" w:eastAsiaTheme="minorEastAsia" w:cstheme="minorEastAsia"/>
          <w:color w:val="auto"/>
          <w:sz w:val="24"/>
          <w:szCs w:val="24"/>
          <w:highlight w:val="none"/>
          <w:u w:val="single"/>
        </w:rPr>
        <w:t xml:space="preserve">  20   </w:t>
      </w:r>
      <w:r>
        <w:rPr>
          <w:rFonts w:hint="eastAsia" w:asciiTheme="minorEastAsia" w:hAnsiTheme="minorEastAsia" w:eastAsiaTheme="minorEastAsia" w:cstheme="minorEastAsia"/>
          <w:color w:val="auto"/>
          <w:sz w:val="24"/>
          <w:szCs w:val="24"/>
          <w:highlight w:val="none"/>
        </w:rPr>
        <w:t>%；迟延履行的违约金计算数额达到前述最高限额之日起，甲方有权在要求乙方支付违约金的同时，书面通知乙方解除本合同；</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1.8.2服务中涉及的货物，除不可抗力外，如果乙方没有按照本合同约定的期限、地点和方式交付货物，那么甲方可要求乙方支付违约金，违约金按每迟延交付货物一日的应交付而未交付货物价格的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Theme="minorEastAsia" w:hAnsiTheme="minorEastAsia" w:eastAsiaTheme="minorEastAsia" w:cstheme="minorEastAsia"/>
          <w:color w:val="auto"/>
          <w:sz w:val="24"/>
          <w:szCs w:val="24"/>
          <w:highlight w:val="none"/>
          <w:u w:val="single"/>
        </w:rPr>
        <w:t xml:space="preserve"> 0.05</w:t>
      </w:r>
      <w:r>
        <w:rPr>
          <w:rFonts w:hint="eastAsia" w:asciiTheme="minorEastAsia" w:hAnsiTheme="minorEastAsia" w:eastAsiaTheme="minorEastAsia" w:cstheme="minorEastAsia"/>
          <w:color w:val="auto"/>
          <w:sz w:val="24"/>
          <w:szCs w:val="24"/>
          <w:highlight w:val="none"/>
        </w:rPr>
        <w:t>（可根据情况修改）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%计算，最高限额为本合同总价的 </w:t>
      </w:r>
      <w:r>
        <w:rPr>
          <w:rFonts w:hint="eastAsia" w:asciiTheme="minorEastAsia" w:hAnsiTheme="minorEastAsia" w:eastAsiaTheme="minorEastAsia" w:cstheme="minorEastAsia"/>
          <w:color w:val="auto"/>
          <w:sz w:val="24"/>
          <w:szCs w:val="24"/>
          <w:highlight w:val="none"/>
          <w:u w:val="single"/>
        </w:rPr>
        <w:t xml:space="preserve"> 20</w:t>
      </w:r>
      <w:r>
        <w:rPr>
          <w:rFonts w:hint="eastAsia" w:asciiTheme="minorEastAsia" w:hAnsiTheme="minorEastAsia" w:eastAsiaTheme="minorEastAsia" w:cstheme="minorEastAsia"/>
          <w:color w:val="auto"/>
          <w:sz w:val="24"/>
          <w:szCs w:val="24"/>
          <w:highlight w:val="none"/>
        </w:rPr>
        <w:t xml:space="preserve">  %；迟延交付货物的违约金计算数额达到前述最高限额之日起，甲方有权在要求乙方支付违约金的同时，书面通知乙方解除本合同；</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szCs w:val="24"/>
          <w:highlight w:val="none"/>
          <w:u w:val="single"/>
        </w:rPr>
        <w:t xml:space="preserve">   0.05   </w:t>
      </w:r>
      <w:r>
        <w:rPr>
          <w:rFonts w:hint="eastAsia" w:asciiTheme="minorEastAsia" w:hAnsiTheme="minorEastAsia" w:eastAsiaTheme="minorEastAsia" w:cstheme="minorEastAsia"/>
          <w:color w:val="auto"/>
          <w:sz w:val="24"/>
          <w:szCs w:val="24"/>
          <w:highlight w:val="none"/>
        </w:rPr>
        <w:t>%计算，最高限额为应付而未付款的</w:t>
      </w:r>
      <w:r>
        <w:rPr>
          <w:rFonts w:hint="eastAsia" w:asciiTheme="minorEastAsia" w:hAnsiTheme="minorEastAsia" w:eastAsiaTheme="minorEastAsia" w:cstheme="minorEastAsia"/>
          <w:color w:val="auto"/>
          <w:sz w:val="24"/>
          <w:szCs w:val="24"/>
          <w:highlight w:val="none"/>
          <w:u w:val="single"/>
        </w:rPr>
        <w:t xml:space="preserve">  20</w:t>
      </w:r>
      <w:r>
        <w:rPr>
          <w:rFonts w:hint="eastAsia" w:asciiTheme="minorEastAsia" w:hAnsiTheme="minorEastAsia" w:eastAsiaTheme="minorEastAsia" w:cstheme="minorEastAsia"/>
          <w:color w:val="auto"/>
          <w:kern w:val="0"/>
          <w:sz w:val="24"/>
          <w:szCs w:val="24"/>
          <w:highlight w:val="none"/>
          <w:u w:val="single"/>
        </w:rPr>
        <w:t>（可根据情况修改）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%；迟延付款的违约金计算数额达到前述最高限额之日起，乙方有权在要求甲方支付违约金的同时，书面通知甲方解除本合同；</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bookmarkStart w:id="428" w:name="_Toc26807"/>
      <w:bookmarkStart w:id="429" w:name="_Toc9497"/>
      <w:bookmarkStart w:id="430" w:name="_Toc30329"/>
      <w:bookmarkStart w:id="431" w:name="_Toc32454"/>
      <w:bookmarkStart w:id="432" w:name="_Toc18683"/>
      <w:r>
        <w:rPr>
          <w:rFonts w:hint="eastAsia" w:asciiTheme="minorEastAsia" w:hAnsiTheme="minorEastAsia" w:eastAsiaTheme="minorEastAsia" w:cstheme="minorEastAsia"/>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1.8.6如果出现监督管理部门在处理投诉事项期间，书面通知甲方暂停采购活动的情形，或者询问或质疑事项可能影响中标或者成交结果的，导致甲方中止履行合同的情形，均不视为甲方违约。</w:t>
      </w:r>
    </w:p>
    <w:p>
      <w:pPr>
        <w:adjustRightInd w:val="0"/>
        <w:spacing w:line="360" w:lineRule="auto"/>
        <w:ind w:right="-420" w:rightChars="-200" w:firstLine="480" w:firstLineChars="20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1.8.7违约责任</w:t>
      </w:r>
      <w:r>
        <w:rPr>
          <w:rFonts w:hint="eastAsia" w:asciiTheme="minorEastAsia" w:hAnsiTheme="minorEastAsia" w:eastAsiaTheme="minorEastAsia" w:cstheme="minorEastAsia"/>
          <w:b/>
          <w:i/>
          <w:color w:val="auto"/>
          <w:sz w:val="24"/>
          <w:szCs w:val="24"/>
          <w:highlight w:val="none"/>
          <w:u w:val="single"/>
        </w:rPr>
        <w:t>合同专用条款</w:t>
      </w:r>
      <w:r>
        <w:rPr>
          <w:rFonts w:hint="eastAsia" w:asciiTheme="minorEastAsia" w:hAnsiTheme="minorEastAsia" w:eastAsiaTheme="minorEastAsia" w:cstheme="minorEastAsia"/>
          <w:color w:val="auto"/>
          <w:sz w:val="24"/>
          <w:szCs w:val="24"/>
          <w:highlight w:val="none"/>
        </w:rPr>
        <w:t>另有约定的，从其约定。</w:t>
      </w:r>
    </w:p>
    <w:bookmarkEnd w:id="428"/>
    <w:bookmarkEnd w:id="429"/>
    <w:bookmarkEnd w:id="430"/>
    <w:bookmarkEnd w:id="431"/>
    <w:bookmarkEnd w:id="432"/>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33" w:name="_Toc15583"/>
      <w:bookmarkStart w:id="434" w:name="_Toc16021"/>
      <w:bookmarkStart w:id="435" w:name="_Toc28375"/>
      <w:r>
        <w:rPr>
          <w:rFonts w:hint="eastAsia" w:asciiTheme="minorEastAsia" w:hAnsiTheme="minorEastAsia" w:eastAsiaTheme="minorEastAsia" w:cstheme="minorEastAsia"/>
          <w:b/>
          <w:color w:val="auto"/>
          <w:sz w:val="24"/>
          <w:szCs w:val="24"/>
          <w:highlight w:val="none"/>
        </w:rPr>
        <w:t>1.9合同争议的解决</w:t>
      </w:r>
      <w:bookmarkEnd w:id="433"/>
      <w:bookmarkEnd w:id="434"/>
      <w:bookmarkEnd w:id="435"/>
    </w:p>
    <w:p>
      <w:pPr>
        <w:adjustRightInd w:val="0"/>
        <w:spacing w:line="360" w:lineRule="auto"/>
        <w:ind w:left="-61" w:leftChars="-29" w:right="-420" w:rightChars="-200" w:firstLine="24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条款规定的方式解决：</w:t>
      </w:r>
    </w:p>
    <w:p>
      <w:pPr>
        <w:adjustRightInd w:val="0"/>
        <w:spacing w:line="360" w:lineRule="auto"/>
        <w:ind w:right="-420" w:rightChars="-2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1.9.1 将争议提交</w:t>
      </w:r>
      <w:r>
        <w:rPr>
          <w:rFonts w:hint="eastAsia" w:asciiTheme="minorEastAsia" w:hAnsiTheme="minorEastAsia" w:eastAsiaTheme="minorEastAsia" w:cstheme="minorEastAsia"/>
          <w:b/>
          <w:i/>
          <w:color w:val="auto"/>
          <w:sz w:val="24"/>
          <w:szCs w:val="24"/>
          <w:highlight w:val="none"/>
          <w:u w:val="single"/>
        </w:rPr>
        <w:t>合同专用条款</w:t>
      </w:r>
      <w:r>
        <w:rPr>
          <w:rFonts w:hint="eastAsia" w:asciiTheme="minorEastAsia" w:hAnsiTheme="minorEastAsia" w:eastAsiaTheme="minorEastAsia" w:cstheme="minorEastAsia"/>
          <w:color w:val="auto"/>
          <w:sz w:val="24"/>
          <w:szCs w:val="24"/>
          <w:highlight w:val="none"/>
        </w:rPr>
        <w:t>仲裁委员会依申请仲裁时其现行有效的仲裁规则裁决；</w:t>
      </w:r>
    </w:p>
    <w:p>
      <w:pPr>
        <w:adjustRightInd w:val="0"/>
        <w:spacing w:line="360" w:lineRule="auto"/>
        <w:ind w:right="-420" w:rightChars="-2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1.9.2 向</w:t>
      </w:r>
      <w:r>
        <w:rPr>
          <w:rFonts w:hint="eastAsia" w:asciiTheme="minorEastAsia" w:hAnsiTheme="minorEastAsia" w:eastAsiaTheme="minorEastAsia" w:cstheme="minorEastAsia"/>
          <w:b/>
          <w:i/>
          <w:color w:val="auto"/>
          <w:sz w:val="24"/>
          <w:szCs w:val="24"/>
          <w:highlight w:val="none"/>
          <w:u w:val="single"/>
        </w:rPr>
        <w:t>合同专用条款</w:t>
      </w:r>
      <w:r>
        <w:rPr>
          <w:rFonts w:hint="eastAsia" w:asciiTheme="minorEastAsia" w:hAnsiTheme="minorEastAsia" w:eastAsiaTheme="minorEastAsia" w:cstheme="minorEastAsia"/>
          <w:color w:val="auto"/>
          <w:sz w:val="24"/>
          <w:szCs w:val="24"/>
          <w:highlight w:val="none"/>
        </w:rPr>
        <w:t>人民法院起诉。</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36" w:name="_Toc15322"/>
      <w:bookmarkStart w:id="437" w:name="_Toc11173"/>
      <w:bookmarkStart w:id="438" w:name="_Toc7245"/>
      <w:r>
        <w:rPr>
          <w:rFonts w:hint="eastAsia" w:asciiTheme="minorEastAsia" w:hAnsiTheme="minorEastAsia" w:eastAsiaTheme="minorEastAsia" w:cstheme="minorEastAsia"/>
          <w:b/>
          <w:color w:val="auto"/>
          <w:sz w:val="24"/>
          <w:szCs w:val="24"/>
          <w:highlight w:val="none"/>
        </w:rPr>
        <w:t>2.0 合同生效</w:t>
      </w:r>
      <w:bookmarkEnd w:id="436"/>
      <w:bookmarkEnd w:id="437"/>
      <w:bookmarkEnd w:id="438"/>
    </w:p>
    <w:p>
      <w:pPr>
        <w:snapToGrid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本合同自双方当事人签字盖章后生效。</w:t>
      </w:r>
    </w:p>
    <w:p>
      <w:pPr>
        <w:autoSpaceDE w:val="0"/>
        <w:autoSpaceDN w:val="0"/>
        <w:adjustRightInd w:val="0"/>
        <w:spacing w:line="360" w:lineRule="auto"/>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甲方</w:t>
      </w: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
          <w:color w:val="auto"/>
          <w:sz w:val="24"/>
          <w:szCs w:val="24"/>
          <w:highlight w:val="none"/>
          <w:lang w:val="zh-CN"/>
        </w:rPr>
        <w:t xml:space="preserve">      乙方</w:t>
      </w:r>
      <w:r>
        <w:rPr>
          <w:rFonts w:hint="eastAsia" w:asciiTheme="minorEastAsia" w:hAnsiTheme="minorEastAsia" w:eastAsiaTheme="minorEastAsia" w:cstheme="minorEastAsia"/>
          <w:color w:val="auto"/>
          <w:sz w:val="24"/>
          <w:szCs w:val="24"/>
          <w:highlight w:val="none"/>
          <w:lang w:val="zh-CN"/>
        </w:rPr>
        <w:t>：</w:t>
      </w:r>
    </w:p>
    <w:p>
      <w:pPr>
        <w:autoSpaceDE w:val="0"/>
        <w:autoSpaceDN w:val="0"/>
        <w:adjustRightInd w:val="0"/>
        <w:spacing w:line="360" w:lineRule="auto"/>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统一社会信用代码：                       统一社会信用代码或身份证号码：</w:t>
      </w:r>
    </w:p>
    <w:p>
      <w:pPr>
        <w:autoSpaceDE w:val="0"/>
        <w:autoSpaceDN w:val="0"/>
        <w:adjustRightInd w:val="0"/>
        <w:spacing w:line="360" w:lineRule="auto"/>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住所：                                   住所：</w:t>
      </w:r>
    </w:p>
    <w:p>
      <w:pPr>
        <w:autoSpaceDE w:val="0"/>
        <w:autoSpaceDN w:val="0"/>
        <w:adjustRightInd w:val="0"/>
        <w:spacing w:line="360" w:lineRule="auto"/>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法定代表人或                             法定代表人或</w:t>
      </w:r>
    </w:p>
    <w:p>
      <w:pPr>
        <w:autoSpaceDE w:val="0"/>
        <w:autoSpaceDN w:val="0"/>
        <w:adjustRightInd w:val="0"/>
        <w:spacing w:line="360" w:lineRule="auto"/>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授权代表（签字）：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 xml:space="preserve"> 授权代表（签字）: </w:t>
      </w:r>
    </w:p>
    <w:p>
      <w:pPr>
        <w:autoSpaceDE w:val="0"/>
        <w:autoSpaceDN w:val="0"/>
        <w:adjustRightInd w:val="0"/>
        <w:spacing w:line="360" w:lineRule="auto"/>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联系人：                                 联系人：</w:t>
      </w:r>
    </w:p>
    <w:p>
      <w:pPr>
        <w:autoSpaceDE w:val="0"/>
        <w:autoSpaceDN w:val="0"/>
        <w:adjustRightInd w:val="0"/>
        <w:spacing w:line="360" w:lineRule="auto"/>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约定送达地址：                           约定送达地址：</w:t>
      </w:r>
    </w:p>
    <w:p>
      <w:pPr>
        <w:autoSpaceDE w:val="0"/>
        <w:autoSpaceDN w:val="0"/>
        <w:adjustRightInd w:val="0"/>
        <w:spacing w:line="360" w:lineRule="auto"/>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邮政编码：                               邮政编码：</w:t>
      </w:r>
    </w:p>
    <w:p>
      <w:pPr>
        <w:autoSpaceDE w:val="0"/>
        <w:autoSpaceDN w:val="0"/>
        <w:adjustRightInd w:val="0"/>
        <w:spacing w:line="360" w:lineRule="auto"/>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电话：                                   电话： </w:t>
      </w:r>
    </w:p>
    <w:p>
      <w:pPr>
        <w:autoSpaceDE w:val="0"/>
        <w:autoSpaceDN w:val="0"/>
        <w:adjustRightInd w:val="0"/>
        <w:spacing w:line="360" w:lineRule="auto"/>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传真：                                   传真：</w:t>
      </w:r>
    </w:p>
    <w:p>
      <w:pPr>
        <w:autoSpaceDE w:val="0"/>
        <w:autoSpaceDN w:val="0"/>
        <w:adjustRightInd w:val="0"/>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电子邮箱：                               电子邮箱：</w:t>
      </w:r>
    </w:p>
    <w:p>
      <w:pPr>
        <w:autoSpaceDE w:val="0"/>
        <w:autoSpaceDN w:val="0"/>
        <w:adjustRightInd w:val="0"/>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开户银行：                               开户银行： </w:t>
      </w:r>
    </w:p>
    <w:p>
      <w:pPr>
        <w:autoSpaceDE w:val="0"/>
        <w:autoSpaceDN w:val="0"/>
        <w:adjustRightInd w:val="0"/>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开户名称：                               开户名称： </w:t>
      </w:r>
    </w:p>
    <w:p>
      <w:pPr>
        <w:autoSpaceDE w:val="0"/>
        <w:autoSpaceDN w:val="0"/>
        <w:adjustRightInd w:val="0"/>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开户账号：</w:t>
      </w: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color w:val="auto"/>
          <w:sz w:val="24"/>
          <w:szCs w:val="24"/>
          <w:highlight w:val="none"/>
        </w:rPr>
        <w:t>开户账号：</w:t>
      </w:r>
    </w:p>
    <w:p>
      <w:pPr>
        <w:widowControl/>
        <w:adjustRightInd w:val="0"/>
        <w:spacing w:line="360" w:lineRule="auto"/>
        <w:jc w:val="left"/>
        <w:rPr>
          <w:rFonts w:asciiTheme="minorEastAsia" w:hAnsiTheme="minorEastAsia" w:eastAsiaTheme="minorEastAsia" w:cstheme="minorEastAsia"/>
          <w:b/>
          <w:color w:val="auto"/>
          <w:sz w:val="24"/>
          <w:szCs w:val="24"/>
          <w:highlight w:val="none"/>
        </w:rPr>
      </w:pPr>
    </w:p>
    <w:p>
      <w:pPr>
        <w:pStyle w:val="3"/>
        <w:ind w:left="0" w:firstLine="0"/>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pPr>
        <w:autoSpaceDE w:val="0"/>
        <w:autoSpaceDN w:val="0"/>
        <w:adjustRightInd w:val="0"/>
        <w:snapToGrid w:val="0"/>
        <w:spacing w:line="360" w:lineRule="auto"/>
        <w:ind w:left="420" w:leftChars="200" w:firstLine="482" w:firstLineChars="200"/>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第二部分 合同一般条款</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39" w:name="_Toc25079"/>
      <w:bookmarkStart w:id="440" w:name="_Toc14021"/>
      <w:bookmarkStart w:id="441" w:name="_Toc5228"/>
      <w:bookmarkStart w:id="442" w:name="_Toc19680"/>
      <w:bookmarkStart w:id="443" w:name="_Toc31297"/>
      <w:r>
        <w:rPr>
          <w:rFonts w:hint="eastAsia" w:asciiTheme="minorEastAsia" w:hAnsiTheme="minorEastAsia" w:eastAsiaTheme="minorEastAsia" w:cstheme="minorEastAsia"/>
          <w:b/>
          <w:color w:val="auto"/>
          <w:sz w:val="24"/>
          <w:szCs w:val="24"/>
          <w:highlight w:val="none"/>
        </w:rPr>
        <w:t>2.1 定义</w:t>
      </w:r>
      <w:bookmarkEnd w:id="439"/>
      <w:bookmarkEnd w:id="440"/>
      <w:bookmarkEnd w:id="441"/>
      <w:bookmarkEnd w:id="442"/>
      <w:bookmarkEnd w:id="443"/>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本合同中的下列词语应按以下内容进行解释：</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 “合同”系指采购人和中标或成交供应商签订的载明双方当事人所达成的协议，并包括所有的附件、附录和构成合同的其他文件。</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 “合同价”系指根据合同约定，中标或成交供应商在完全履行合同义务后，采购人应支付给中标或成交供应商的价格。</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2.1.3 “服务”系指中标或成交供应商根据合同约定应向采购人履行的除货物和工程以外的其他采购对象，包括采购人自身需要的服务和向社会公众提供的公共服务。</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2.1.4 “甲方”系指与中标或成交供应商签署合同的采购人；采购人委托采购代理机构代表其与乙方签订合同的，采购人的授权委托书作为合同附件。</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2.1.5 “乙方”系指根据合同约定提供服务的中标或成交供应商；两个以上的自然人、法人或者其他组织组成一个联合体，以一个供应商的身份共同参加采购的，联合体各方均应为乙方或者与乙方相同地位的合同当事人，并就合同约定的事项对甲方承担连带责任。</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2.1.6 “现场”系指合同约定提供服务的地点。</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44" w:name="_Toc3769"/>
      <w:bookmarkStart w:id="445" w:name="_Toc16752"/>
      <w:bookmarkStart w:id="446" w:name="_Toc23289"/>
      <w:bookmarkStart w:id="447" w:name="_Toc31402"/>
      <w:bookmarkStart w:id="448" w:name="_Toc19539"/>
      <w:r>
        <w:rPr>
          <w:rFonts w:hint="eastAsia" w:asciiTheme="minorEastAsia" w:hAnsiTheme="minorEastAsia" w:eastAsiaTheme="minorEastAsia" w:cstheme="minorEastAsia"/>
          <w:b/>
          <w:color w:val="auto"/>
          <w:sz w:val="24"/>
          <w:szCs w:val="24"/>
          <w:highlight w:val="none"/>
        </w:rPr>
        <w:t>2.2 技术规范</w:t>
      </w:r>
      <w:bookmarkEnd w:id="444"/>
      <w:bookmarkEnd w:id="445"/>
      <w:bookmarkEnd w:id="446"/>
      <w:bookmarkEnd w:id="447"/>
      <w:bookmarkEnd w:id="448"/>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49" w:name="_Toc9161"/>
      <w:bookmarkStart w:id="450" w:name="_Toc4133"/>
      <w:bookmarkStart w:id="451" w:name="_Toc12412"/>
      <w:bookmarkStart w:id="452" w:name="_Toc13673"/>
      <w:bookmarkStart w:id="453" w:name="_Toc27945"/>
      <w:r>
        <w:rPr>
          <w:rFonts w:hint="eastAsia" w:asciiTheme="minorEastAsia" w:hAnsiTheme="minorEastAsia" w:eastAsiaTheme="minorEastAsia" w:cstheme="minorEastAsia"/>
          <w:b/>
          <w:color w:val="auto"/>
          <w:sz w:val="24"/>
          <w:szCs w:val="24"/>
          <w:highlight w:val="none"/>
        </w:rPr>
        <w:t>2.3 知识产权</w:t>
      </w:r>
      <w:bookmarkEnd w:id="449"/>
      <w:bookmarkEnd w:id="450"/>
      <w:bookmarkEnd w:id="451"/>
      <w:bookmarkEnd w:id="452"/>
      <w:bookmarkEnd w:id="453"/>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 合同涉及技术成果的归属和收益的分成办法的，详见</w:t>
      </w:r>
      <w:r>
        <w:rPr>
          <w:rFonts w:hint="eastAsia" w:asciiTheme="minorEastAsia" w:hAnsiTheme="minorEastAsia" w:eastAsiaTheme="minorEastAsia" w:cstheme="minorEastAsia"/>
          <w:b/>
          <w:i/>
          <w:color w:val="auto"/>
          <w:sz w:val="24"/>
          <w:szCs w:val="24"/>
          <w:highlight w:val="none"/>
          <w:u w:val="single"/>
        </w:rPr>
        <w:t>合同专用条款</w:t>
      </w:r>
      <w:r>
        <w:rPr>
          <w:rFonts w:hint="eastAsia" w:asciiTheme="minorEastAsia" w:hAnsiTheme="minorEastAsia" w:eastAsiaTheme="minorEastAsia" w:cstheme="minorEastAsia"/>
          <w:color w:val="auto"/>
          <w:sz w:val="24"/>
          <w:szCs w:val="24"/>
          <w:highlight w:val="none"/>
        </w:rPr>
        <w:t>。</w:t>
      </w:r>
    </w:p>
    <w:p>
      <w:pPr>
        <w:adjustRightInd w:val="0"/>
        <w:spacing w:line="360" w:lineRule="auto"/>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2.4 履约检查和问题反馈</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2.4.2 合同履行期间，甲方有权将履行过程中出现的问题反馈给乙方，双方当事人应以书面形式约定需要完善和改进的内容。</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54" w:name="_Toc32670"/>
      <w:bookmarkStart w:id="455" w:name="_Toc31233"/>
      <w:bookmarkStart w:id="456" w:name="_Toc15447"/>
      <w:bookmarkStart w:id="457" w:name="_Toc22011"/>
      <w:bookmarkStart w:id="458" w:name="_Toc26555"/>
      <w:r>
        <w:rPr>
          <w:rFonts w:hint="eastAsia" w:asciiTheme="minorEastAsia" w:hAnsiTheme="minorEastAsia" w:eastAsiaTheme="minorEastAsia" w:cstheme="minorEastAsia"/>
          <w:b/>
          <w:color w:val="auto"/>
          <w:sz w:val="24"/>
          <w:szCs w:val="24"/>
          <w:highlight w:val="none"/>
        </w:rPr>
        <w:t>2.5 结算方式和付款条件</w:t>
      </w:r>
      <w:bookmarkEnd w:id="454"/>
      <w:bookmarkEnd w:id="455"/>
      <w:bookmarkEnd w:id="456"/>
      <w:bookmarkEnd w:id="457"/>
      <w:bookmarkEnd w:id="458"/>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eastAsiaTheme="minorEastAsia" w:cstheme="minorEastAsia"/>
          <w:b/>
          <w:i/>
          <w:color w:val="auto"/>
          <w:sz w:val="24"/>
          <w:szCs w:val="24"/>
          <w:highlight w:val="none"/>
          <w:u w:val="single"/>
        </w:rPr>
        <w:t>合同专用条款</w:t>
      </w:r>
      <w:r>
        <w:rPr>
          <w:rFonts w:hint="eastAsia" w:asciiTheme="minorEastAsia" w:hAnsiTheme="minorEastAsia" w:eastAsiaTheme="minorEastAsia" w:cstheme="minorEastAsia"/>
          <w:color w:val="auto"/>
          <w:sz w:val="24"/>
          <w:szCs w:val="24"/>
          <w:highlight w:val="none"/>
        </w:rPr>
        <w:t>。</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59" w:name="_Toc13467"/>
      <w:bookmarkStart w:id="460" w:name="_Toc13154"/>
      <w:bookmarkStart w:id="461" w:name="_Toc18990"/>
      <w:bookmarkStart w:id="462" w:name="_Toc16163"/>
      <w:bookmarkStart w:id="463" w:name="_Toc30507"/>
      <w:r>
        <w:rPr>
          <w:rFonts w:hint="eastAsia" w:asciiTheme="minorEastAsia" w:hAnsiTheme="minorEastAsia" w:eastAsiaTheme="minorEastAsia" w:cstheme="minorEastAsia"/>
          <w:b/>
          <w:color w:val="auto"/>
          <w:sz w:val="24"/>
          <w:szCs w:val="24"/>
          <w:highlight w:val="none"/>
        </w:rPr>
        <w:t>2.6 技术资料和保密义务</w:t>
      </w:r>
      <w:bookmarkEnd w:id="459"/>
      <w:bookmarkEnd w:id="460"/>
      <w:bookmarkEnd w:id="461"/>
      <w:bookmarkEnd w:id="462"/>
      <w:bookmarkEnd w:id="463"/>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2.6.1 乙方有权依据合同约定和项目需要，向甲方了解有关情况，调阅有关资料等，甲方应予积极配合；</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2.6.2 乙方有义务妥善保管和保护由甲方提供的前款信息和资料等；</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64" w:name="_Toc19069"/>
      <w:r>
        <w:rPr>
          <w:rFonts w:hint="eastAsia" w:asciiTheme="minorEastAsia" w:hAnsiTheme="minorEastAsia" w:eastAsiaTheme="minorEastAsia" w:cstheme="minorEastAsia"/>
          <w:b/>
          <w:color w:val="auto"/>
          <w:sz w:val="24"/>
          <w:szCs w:val="24"/>
          <w:highlight w:val="none"/>
        </w:rPr>
        <w:t>2.7 质量保证</w:t>
      </w:r>
      <w:bookmarkEnd w:id="464"/>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2.7.1 乙方应建立和完善履行合同的内部质量保证体系，并提供相关内部规章制度给甲方，以便甲方进行监督检查；</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2.7.2 乙方应保证履行合同的人员数量和素质、软件和硬件设备的配置、场地、环境和设施等满足全面履行合同的要求，并应接受甲方的监督检查。</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65" w:name="_Toc22267"/>
      <w:r>
        <w:rPr>
          <w:rFonts w:hint="eastAsia" w:asciiTheme="minorEastAsia" w:hAnsiTheme="minorEastAsia" w:eastAsiaTheme="minorEastAsia" w:cstheme="minorEastAsia"/>
          <w:b/>
          <w:color w:val="auto"/>
          <w:sz w:val="24"/>
          <w:szCs w:val="24"/>
          <w:highlight w:val="none"/>
        </w:rPr>
        <w:t>2.8 延迟履行</w:t>
      </w:r>
      <w:bookmarkEnd w:id="465"/>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66" w:name="_Toc10611"/>
      <w:r>
        <w:rPr>
          <w:rFonts w:hint="eastAsia" w:asciiTheme="minorEastAsia" w:hAnsiTheme="minorEastAsia" w:eastAsiaTheme="minorEastAsia" w:cstheme="minorEastAsia"/>
          <w:b/>
          <w:color w:val="auto"/>
          <w:sz w:val="24"/>
          <w:szCs w:val="24"/>
          <w:highlight w:val="none"/>
        </w:rPr>
        <w:t>2.9 合同变更</w:t>
      </w:r>
      <w:bookmarkEnd w:id="466"/>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67" w:name="_Toc42"/>
      <w:bookmarkStart w:id="468" w:name="_Toc23368"/>
      <w:bookmarkStart w:id="469" w:name="_Toc21830"/>
      <w:bookmarkStart w:id="470" w:name="_Toc10663"/>
      <w:bookmarkStart w:id="471" w:name="_Toc26689"/>
      <w:r>
        <w:rPr>
          <w:rFonts w:hint="eastAsia" w:asciiTheme="minorEastAsia" w:hAnsiTheme="minorEastAsia" w:eastAsiaTheme="minorEastAsia" w:cstheme="minorEastAsia"/>
          <w:b/>
          <w:color w:val="auto"/>
          <w:sz w:val="24"/>
          <w:szCs w:val="24"/>
          <w:highlight w:val="none"/>
        </w:rPr>
        <w:t>2.10 合同转让和分包</w:t>
      </w:r>
      <w:bookmarkEnd w:id="467"/>
      <w:bookmarkEnd w:id="468"/>
      <w:bookmarkEnd w:id="469"/>
      <w:bookmarkEnd w:id="470"/>
      <w:bookmarkEnd w:id="471"/>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72" w:name="_Toc14371"/>
      <w:bookmarkStart w:id="473" w:name="_Toc4720"/>
      <w:bookmarkStart w:id="474" w:name="_Toc26633"/>
      <w:bookmarkStart w:id="475" w:name="_Toc25571"/>
      <w:bookmarkStart w:id="476" w:name="_Toc32494"/>
      <w:r>
        <w:rPr>
          <w:rFonts w:hint="eastAsia" w:asciiTheme="minorEastAsia" w:hAnsiTheme="minorEastAsia" w:eastAsiaTheme="minorEastAsia" w:cstheme="minorEastAsia"/>
          <w:b/>
          <w:color w:val="auto"/>
          <w:sz w:val="24"/>
          <w:szCs w:val="24"/>
          <w:highlight w:val="none"/>
        </w:rPr>
        <w:t>2.11 不可抗力</w:t>
      </w:r>
      <w:bookmarkEnd w:id="472"/>
      <w:bookmarkEnd w:id="473"/>
      <w:bookmarkEnd w:id="474"/>
      <w:bookmarkEnd w:id="475"/>
      <w:bookmarkEnd w:id="476"/>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2.11.1如果任何一方遭遇法律规定的不可抗力，致使合同履行受阻时，履行合同的期限应予延长，延长的期限应相当于不可抗力所影响的时间；</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2.11.2 因不可抗力致使不能实现合同目的的，当事人可以解除合同；</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2.11.3 因不可抗力致使合同有变更必要的，双方当事人应在  </w:t>
      </w:r>
      <w:r>
        <w:rPr>
          <w:rFonts w:hint="eastAsia" w:asciiTheme="minorEastAsia" w:hAnsiTheme="minorEastAsia" w:eastAsiaTheme="minorEastAsia" w:cstheme="minorEastAsia"/>
          <w:b/>
          <w:i/>
          <w:color w:val="auto"/>
          <w:sz w:val="24"/>
          <w:szCs w:val="24"/>
          <w:highlight w:val="none"/>
          <w:u w:val="single"/>
        </w:rPr>
        <w:t xml:space="preserve">合同专用条款  </w:t>
      </w:r>
      <w:r>
        <w:rPr>
          <w:rFonts w:hint="eastAsia" w:asciiTheme="minorEastAsia" w:hAnsiTheme="minorEastAsia" w:eastAsiaTheme="minorEastAsia" w:cstheme="minorEastAsia"/>
          <w:color w:val="auto"/>
          <w:sz w:val="24"/>
          <w:szCs w:val="24"/>
          <w:highlight w:val="none"/>
        </w:rPr>
        <w:t>约定时间内以书面形式变更合同；</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2.11.4受不可抗力影响的一方在不可抗力发生后，应在  </w:t>
      </w:r>
      <w:r>
        <w:rPr>
          <w:rFonts w:hint="eastAsia" w:asciiTheme="minorEastAsia" w:hAnsiTheme="minorEastAsia" w:eastAsiaTheme="minorEastAsia" w:cstheme="minorEastAsia"/>
          <w:b/>
          <w:i/>
          <w:color w:val="auto"/>
          <w:sz w:val="24"/>
          <w:szCs w:val="24"/>
          <w:highlight w:val="none"/>
          <w:u w:val="single"/>
        </w:rPr>
        <w:t xml:space="preserve">合同专用条款  </w:t>
      </w:r>
      <w:r>
        <w:rPr>
          <w:rFonts w:hint="eastAsia" w:asciiTheme="minorEastAsia" w:hAnsiTheme="minorEastAsia" w:eastAsiaTheme="minorEastAsia" w:cstheme="minorEastAsia"/>
          <w:color w:val="auto"/>
          <w:sz w:val="24"/>
          <w:szCs w:val="24"/>
          <w:highlight w:val="none"/>
        </w:rPr>
        <w:t xml:space="preserve">约定时间内以书面形式通知对方当事人，并在  </w:t>
      </w:r>
      <w:r>
        <w:rPr>
          <w:rFonts w:hint="eastAsia" w:asciiTheme="minorEastAsia" w:hAnsiTheme="minorEastAsia" w:eastAsiaTheme="minorEastAsia" w:cstheme="minorEastAsia"/>
          <w:b/>
          <w:i/>
          <w:color w:val="auto"/>
          <w:sz w:val="24"/>
          <w:szCs w:val="24"/>
          <w:highlight w:val="none"/>
          <w:u w:val="single"/>
        </w:rPr>
        <w:t xml:space="preserve">合同专用条款  </w:t>
      </w:r>
      <w:r>
        <w:rPr>
          <w:rFonts w:hint="eastAsia" w:asciiTheme="minorEastAsia" w:hAnsiTheme="minorEastAsia" w:eastAsiaTheme="minorEastAsia" w:cstheme="minorEastAsia"/>
          <w:color w:val="auto"/>
          <w:sz w:val="24"/>
          <w:szCs w:val="24"/>
          <w:highlight w:val="none"/>
        </w:rPr>
        <w:t>约定时间内，将有关部门出具的证明文件送达对方当事人。</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77" w:name="_Toc14115"/>
      <w:bookmarkStart w:id="478" w:name="_Toc23854"/>
      <w:bookmarkStart w:id="479" w:name="_Toc3638"/>
      <w:bookmarkStart w:id="480" w:name="_Toc25783"/>
      <w:bookmarkStart w:id="481" w:name="_Toc24465"/>
      <w:r>
        <w:rPr>
          <w:rFonts w:hint="eastAsia" w:asciiTheme="minorEastAsia" w:hAnsiTheme="minorEastAsia" w:eastAsiaTheme="minorEastAsia" w:cstheme="minorEastAsia"/>
          <w:b/>
          <w:color w:val="auto"/>
          <w:sz w:val="24"/>
          <w:szCs w:val="24"/>
          <w:highlight w:val="none"/>
        </w:rPr>
        <w:t>2.12 税费</w:t>
      </w:r>
      <w:bookmarkEnd w:id="477"/>
      <w:bookmarkEnd w:id="478"/>
      <w:bookmarkEnd w:id="479"/>
      <w:bookmarkEnd w:id="480"/>
      <w:bookmarkEnd w:id="481"/>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与合同有关的一切税费，均按照中华人民共和国法律的相关规定缴纳。</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82" w:name="_Toc7315"/>
      <w:bookmarkStart w:id="483" w:name="_Toc30105"/>
      <w:bookmarkStart w:id="484" w:name="_Toc26883"/>
      <w:bookmarkStart w:id="485" w:name="_Toc14814"/>
      <w:bookmarkStart w:id="486" w:name="_Toc25525"/>
      <w:r>
        <w:rPr>
          <w:rFonts w:hint="eastAsia" w:asciiTheme="minorEastAsia" w:hAnsiTheme="minorEastAsia" w:eastAsiaTheme="minorEastAsia" w:cstheme="minorEastAsia"/>
          <w:b/>
          <w:color w:val="auto"/>
          <w:sz w:val="24"/>
          <w:szCs w:val="24"/>
          <w:highlight w:val="none"/>
        </w:rPr>
        <w:t>2.13 乙方破产</w:t>
      </w:r>
      <w:bookmarkEnd w:id="482"/>
      <w:bookmarkEnd w:id="483"/>
      <w:bookmarkEnd w:id="484"/>
      <w:bookmarkEnd w:id="485"/>
      <w:bookmarkEnd w:id="486"/>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87" w:name="_Toc2016"/>
      <w:bookmarkStart w:id="488" w:name="_Toc1123"/>
      <w:bookmarkStart w:id="489" w:name="_Toc23323"/>
      <w:r>
        <w:rPr>
          <w:rFonts w:hint="eastAsia" w:asciiTheme="minorEastAsia" w:hAnsiTheme="minorEastAsia" w:eastAsiaTheme="minorEastAsia" w:cstheme="minorEastAsia"/>
          <w:b/>
          <w:color w:val="auto"/>
          <w:sz w:val="24"/>
          <w:szCs w:val="24"/>
          <w:highlight w:val="none"/>
        </w:rPr>
        <w:t>2.14 合同中止、终止</w:t>
      </w:r>
      <w:bookmarkEnd w:id="487"/>
      <w:bookmarkEnd w:id="488"/>
      <w:bookmarkEnd w:id="489"/>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2.14.1 双方当事人不得擅自中止或者终止合同；</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90" w:name="_Toc1969"/>
      <w:bookmarkStart w:id="491" w:name="_Toc17363"/>
      <w:bookmarkStart w:id="492" w:name="_Toc14525"/>
      <w:r>
        <w:rPr>
          <w:rFonts w:hint="eastAsia" w:asciiTheme="minorEastAsia" w:hAnsiTheme="minorEastAsia" w:eastAsiaTheme="minorEastAsia" w:cstheme="minorEastAsia"/>
          <w:b/>
          <w:color w:val="auto"/>
          <w:sz w:val="24"/>
          <w:szCs w:val="24"/>
          <w:highlight w:val="none"/>
        </w:rPr>
        <w:t>2.15 检验和验收</w:t>
      </w:r>
      <w:bookmarkEnd w:id="490"/>
      <w:bookmarkEnd w:id="491"/>
      <w:bookmarkEnd w:id="492"/>
    </w:p>
    <w:p>
      <w:pPr>
        <w:tabs>
          <w:tab w:val="left" w:pos="360"/>
          <w:tab w:val="left" w:pos="540"/>
          <w:tab w:val="left" w:pos="1080"/>
        </w:tabs>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2.15.1 乙方按照  </w:t>
      </w:r>
      <w:r>
        <w:rPr>
          <w:rFonts w:hint="eastAsia" w:asciiTheme="minorEastAsia" w:hAnsiTheme="minorEastAsia" w:eastAsiaTheme="minorEastAsia" w:cstheme="minorEastAsia"/>
          <w:b/>
          <w:i/>
          <w:color w:val="auto"/>
          <w:sz w:val="24"/>
          <w:szCs w:val="24"/>
          <w:highlight w:val="none"/>
          <w:u w:val="single"/>
        </w:rPr>
        <w:t xml:space="preserve">合同专用条款  </w:t>
      </w:r>
      <w:r>
        <w:rPr>
          <w:rFonts w:hint="eastAsia" w:asciiTheme="minorEastAsia" w:hAnsiTheme="minorEastAsia" w:eastAsiaTheme="minorEastAsia" w:cstheme="minorEastAsia"/>
          <w:color w:val="auto"/>
          <w:sz w:val="24"/>
          <w:szCs w:val="24"/>
          <w:highlight w:val="none"/>
        </w:rPr>
        <w:t xml:space="preserve">的约定，定期提交服务报告，甲方按照  </w:t>
      </w:r>
      <w:r>
        <w:rPr>
          <w:rFonts w:hint="eastAsia" w:asciiTheme="minorEastAsia" w:hAnsiTheme="minorEastAsia" w:eastAsiaTheme="minorEastAsia" w:cstheme="minorEastAsia"/>
          <w:b/>
          <w:i/>
          <w:color w:val="auto"/>
          <w:sz w:val="24"/>
          <w:szCs w:val="24"/>
          <w:highlight w:val="none"/>
          <w:u w:val="single"/>
        </w:rPr>
        <w:t xml:space="preserve">合同专用条款  </w:t>
      </w:r>
      <w:r>
        <w:rPr>
          <w:rFonts w:hint="eastAsia" w:asciiTheme="minorEastAsia" w:hAnsiTheme="minorEastAsia" w:eastAsiaTheme="minorEastAsia" w:cstheme="minorEastAsia"/>
          <w:color w:val="auto"/>
          <w:sz w:val="24"/>
          <w:szCs w:val="24"/>
          <w:highlight w:val="none"/>
        </w:rPr>
        <w:t>的约定进行定期验收；</w:t>
      </w:r>
    </w:p>
    <w:p>
      <w:pPr>
        <w:tabs>
          <w:tab w:val="left" w:pos="360"/>
          <w:tab w:val="left" w:pos="540"/>
          <w:tab w:val="left" w:pos="1080"/>
        </w:tabs>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adjustRightInd w:val="0"/>
        <w:spacing w:line="360" w:lineRule="auto"/>
        <w:ind w:firstLine="480" w:firstLineChars="200"/>
        <w:rPr>
          <w:rFonts w:asciiTheme="minorEastAsia" w:hAnsiTheme="minorEastAsia" w:eastAsiaTheme="minorEastAsia" w:cstheme="minorEastAsia"/>
          <w:i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2.15.3 检验和验收标准、程序等具体内容以及前述验收书的效力详见  </w:t>
      </w:r>
      <w:r>
        <w:rPr>
          <w:rFonts w:hint="eastAsia" w:asciiTheme="minorEastAsia" w:hAnsiTheme="minorEastAsia" w:eastAsiaTheme="minorEastAsia" w:cstheme="minorEastAsia"/>
          <w:b/>
          <w:i/>
          <w:color w:val="auto"/>
          <w:sz w:val="24"/>
          <w:szCs w:val="24"/>
          <w:highlight w:val="none"/>
          <w:u w:val="single"/>
        </w:rPr>
        <w:t xml:space="preserve">合同专用条款  </w:t>
      </w:r>
      <w:r>
        <w:rPr>
          <w:rFonts w:hint="eastAsia" w:asciiTheme="minorEastAsia" w:hAnsiTheme="minorEastAsia" w:eastAsiaTheme="minorEastAsia" w:cstheme="minorEastAsia"/>
          <w:iCs/>
          <w:color w:val="auto"/>
          <w:sz w:val="24"/>
          <w:szCs w:val="24"/>
          <w:highlight w:val="none"/>
        </w:rPr>
        <w:t>。</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93" w:name="_Toc12666"/>
      <w:bookmarkStart w:id="494" w:name="_Toc9808"/>
      <w:bookmarkStart w:id="495" w:name="_Toc2308"/>
      <w:bookmarkStart w:id="496" w:name="_Toc25198"/>
      <w:bookmarkStart w:id="497" w:name="_Toc31892"/>
      <w:r>
        <w:rPr>
          <w:rFonts w:hint="eastAsia" w:asciiTheme="minorEastAsia" w:hAnsiTheme="minorEastAsia" w:eastAsiaTheme="minorEastAsia" w:cstheme="minorEastAsia"/>
          <w:b/>
          <w:color w:val="auto"/>
          <w:sz w:val="24"/>
          <w:szCs w:val="24"/>
          <w:highlight w:val="none"/>
        </w:rPr>
        <w:t>2.16 通知和送达</w:t>
      </w:r>
      <w:bookmarkEnd w:id="493"/>
      <w:bookmarkEnd w:id="494"/>
      <w:bookmarkEnd w:id="495"/>
      <w:bookmarkEnd w:id="496"/>
      <w:bookmarkEnd w:id="497"/>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bookmarkStart w:id="498" w:name="_Toc27674"/>
      <w:bookmarkStart w:id="499" w:name="_Toc18401"/>
      <w:r>
        <w:rPr>
          <w:rFonts w:hint="eastAsia" w:asciiTheme="minorEastAsia" w:hAnsiTheme="minorEastAsia" w:eastAsiaTheme="minorEastAsia" w:cstheme="minorEastAsia"/>
          <w:color w:val="auto"/>
          <w:sz w:val="24"/>
          <w:szCs w:val="24"/>
          <w:highlight w:val="none"/>
        </w:rPr>
        <w:t xml:space="preserve">2.17.1任何一方因履行合同而以合同第一部分尾部所列明的传真或电子邮件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szCs w:val="24"/>
          <w:highlight w:val="none"/>
          <w:u w:val="single"/>
        </w:rPr>
        <w:t>3</w:t>
      </w:r>
      <w:r>
        <w:rPr>
          <w:rFonts w:hint="eastAsia" w:asciiTheme="minorEastAsia" w:hAnsiTheme="minorEastAsia" w:eastAsiaTheme="minorEastAsia" w:cstheme="minorEastAsia"/>
          <w:color w:val="auto"/>
          <w:sz w:val="24"/>
          <w:szCs w:val="24"/>
          <w:highlight w:val="none"/>
        </w:rPr>
        <w:t>个工作日内书面通知对方当事人，在对方当事人收到有关变更通知之前，变更前的约定送达方式或者地址仍视为有效。</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500" w:name="_Toc5063"/>
      <w:bookmarkStart w:id="501" w:name="_Toc20808"/>
      <w:bookmarkStart w:id="502" w:name="_Toc28906"/>
      <w:bookmarkStart w:id="503" w:name="_Toc12254"/>
      <w:bookmarkStart w:id="504" w:name="_Toc27644"/>
      <w:r>
        <w:rPr>
          <w:rFonts w:hint="eastAsia" w:asciiTheme="minorEastAsia" w:hAnsiTheme="minorEastAsia" w:eastAsiaTheme="minorEastAsia" w:cstheme="minorEastAsia"/>
          <w:b/>
          <w:color w:val="auto"/>
          <w:sz w:val="24"/>
          <w:szCs w:val="24"/>
          <w:highlight w:val="none"/>
        </w:rPr>
        <w:t>2.17 合同使用的文字和适用的法律</w:t>
      </w:r>
      <w:bookmarkEnd w:id="500"/>
      <w:bookmarkEnd w:id="501"/>
      <w:bookmarkEnd w:id="502"/>
      <w:bookmarkEnd w:id="503"/>
      <w:bookmarkEnd w:id="504"/>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2.17.1 合同使用汉语书就、变更和解释；</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2.17.2 合同适用中华人民共和国法律。</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505" w:name="_Toc4355"/>
      <w:bookmarkStart w:id="506" w:name="_Toc30599"/>
      <w:bookmarkStart w:id="507" w:name="_Toc18540"/>
      <w:r>
        <w:rPr>
          <w:rFonts w:hint="eastAsia" w:asciiTheme="minorEastAsia" w:hAnsiTheme="minorEastAsia" w:eastAsiaTheme="minorEastAsia" w:cstheme="minorEastAsia"/>
          <w:b/>
          <w:color w:val="auto"/>
          <w:sz w:val="24"/>
          <w:szCs w:val="24"/>
          <w:highlight w:val="none"/>
        </w:rPr>
        <w:t>2.18 计量单位</w:t>
      </w:r>
      <w:bookmarkEnd w:id="505"/>
      <w:bookmarkEnd w:id="506"/>
      <w:bookmarkEnd w:id="507"/>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除技术规范中另有规定外,合同的计量单位均使用国家法定计量单位。</w:t>
      </w:r>
    </w:p>
    <w:p>
      <w:pPr>
        <w:adjustRightIn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2.19 网络安全</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2.19.1 乙方要全面落实网络安全等级保护制度和关键信息基础设施安全保护制度及商用密码应用安全性评估管理办法，网络安全等级保护备案、商用密码应用安全性评估时间，原则上不得晚于项目正式上线运行时间。</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2.19.2 乙方在承担开发或维护服务责任过程中，全面按照《中华人民共和国网络安全法》和《浙江省信息技术服务外包网络安全管理办法》等法规标准，承担技术服务外包过程中的网络安全责任。</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2.19.3 乙方需提供系统应急服务，在系统出现重大隐患或黑客入侵等严重安全事件时，及时启动应急响应服务，指定专业技术团队协助甲方开展事件处置、整改，使系统恢复正常。</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2.19.4 服务过程中因乙方原因引发的系统瘫痪、数据丢失泄露等网络安全事件，将依照服务合同违约相关条款承担违约责任，并赔偿甲方直接及间接经济损失，并承担相应法律责任；若服务合同期限届满后，因乙方原因导致的问题，不影响乙方仍按照服务合同的约定承担相应的违约责任及赔偿责任。</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2.19.5 乙方要根据甲方要求提供服务，在甲方规定的场所开展实施工作，明确项目负责人、安全管理员，提供服务保障、培训、演练等服务。</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2.19.6 乙方需根据甲方要求签订保密协议。</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2.19.7 数据所有人为甲方，乙方需根据甲方规定合理使用数据，对数据有保护义务。</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2.19.8 乙方不得私自收集甲方数据，数据必须储存在甲方认可的机房或云平台，数据使用要符合甲方规范流程，根据等保或密评要求做好数据传输。</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2.19.9 乙方要确保数据使用和处理不出境。</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2.19.10 乙方不得将信息系统核心、关键功能转包。</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2.19.11 服务合同终止后，乙方需继续履行数据安全及保密义务。</w:t>
      </w:r>
    </w:p>
    <w:p>
      <w:pPr>
        <w:adjustRightInd w:val="0"/>
        <w:spacing w:line="360" w:lineRule="auto"/>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2.20合同份数</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合同份数按</w:t>
      </w:r>
      <w:r>
        <w:rPr>
          <w:rFonts w:hint="eastAsia" w:asciiTheme="minorEastAsia" w:hAnsiTheme="minorEastAsia" w:eastAsiaTheme="minorEastAsia" w:cstheme="minorEastAsia"/>
          <w:b/>
          <w:i/>
          <w:color w:val="auto"/>
          <w:sz w:val="24"/>
          <w:szCs w:val="24"/>
          <w:highlight w:val="none"/>
          <w:u w:val="single"/>
        </w:rPr>
        <w:t xml:space="preserve">合同专用条款 </w:t>
      </w:r>
      <w:r>
        <w:rPr>
          <w:rFonts w:hint="eastAsia" w:asciiTheme="minorEastAsia" w:hAnsiTheme="minorEastAsia" w:eastAsiaTheme="minorEastAsia" w:cstheme="minorEastAsia"/>
          <w:color w:val="auto"/>
          <w:sz w:val="24"/>
          <w:szCs w:val="24"/>
          <w:highlight w:val="none"/>
        </w:rPr>
        <w:t>规定，每份均具有同等法律效力。</w:t>
      </w:r>
    </w:p>
    <w:p>
      <w:pPr>
        <w:adjustRightInd w:val="0"/>
        <w:spacing w:line="360" w:lineRule="auto"/>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2.21甲乙双方权利义务</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w:t>
      </w:r>
      <w:r>
        <w:rPr>
          <w:rFonts w:hint="eastAsia" w:asciiTheme="minorEastAsia" w:hAnsiTheme="minorEastAsia" w:eastAsiaTheme="minorEastAsia" w:cstheme="minorEastAsia"/>
          <w:b/>
          <w:i/>
          <w:color w:val="auto"/>
          <w:sz w:val="24"/>
          <w:szCs w:val="24"/>
          <w:highlight w:val="none"/>
          <w:u w:val="single"/>
        </w:rPr>
        <w:t xml:space="preserve">合同专用条款 </w:t>
      </w:r>
      <w:r>
        <w:rPr>
          <w:rFonts w:hint="eastAsia" w:asciiTheme="minorEastAsia" w:hAnsiTheme="minorEastAsia" w:eastAsiaTheme="minorEastAsia" w:cstheme="minorEastAsia"/>
          <w:color w:val="auto"/>
          <w:sz w:val="24"/>
          <w:szCs w:val="24"/>
          <w:highlight w:val="none"/>
        </w:rPr>
        <w:t>规定。</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2质保及售后条款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详见</w:t>
      </w:r>
      <w:r>
        <w:rPr>
          <w:rFonts w:hint="eastAsia" w:ascii="宋体" w:hAnsi="宋体"/>
          <w:b/>
          <w:bCs/>
          <w:i/>
          <w:iCs/>
          <w:color w:val="auto"/>
          <w:sz w:val="24"/>
          <w:highlight w:val="none"/>
          <w:u w:val="single"/>
        </w:rPr>
        <w:t>合同专用条款</w:t>
      </w:r>
      <w:r>
        <w:rPr>
          <w:rFonts w:hint="eastAsia" w:ascii="宋体" w:hAnsi="宋体"/>
          <w:color w:val="auto"/>
          <w:sz w:val="24"/>
          <w:highlight w:val="none"/>
        </w:rPr>
        <w:t>。</w:t>
      </w:r>
    </w:p>
    <w:p>
      <w:pPr>
        <w:adjustRightInd w:val="0"/>
        <w:spacing w:line="360" w:lineRule="auto"/>
        <w:ind w:firstLine="482" w:firstLineChars="200"/>
        <w:rPr>
          <w:rFonts w:asciiTheme="minorEastAsia" w:hAnsiTheme="minorEastAsia" w:eastAsiaTheme="minorEastAsia" w:cstheme="minorEastAsia"/>
          <w:b/>
          <w:color w:val="auto"/>
          <w:sz w:val="24"/>
          <w:szCs w:val="24"/>
          <w:highlight w:val="none"/>
        </w:rPr>
      </w:pPr>
    </w:p>
    <w:p>
      <w:pPr>
        <w:adjustRightInd w:val="0"/>
        <w:spacing w:line="360" w:lineRule="auto"/>
        <w:jc w:val="center"/>
        <w:outlineLvl w:val="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br w:type="page"/>
      </w:r>
      <w:bookmarkStart w:id="508" w:name="_Toc331685784"/>
      <w:r>
        <w:rPr>
          <w:rFonts w:hint="eastAsia" w:asciiTheme="minorEastAsia" w:hAnsiTheme="minorEastAsia" w:eastAsiaTheme="minorEastAsia" w:cstheme="minorEastAsia"/>
          <w:b/>
          <w:color w:val="auto"/>
          <w:sz w:val="24"/>
          <w:szCs w:val="24"/>
          <w:highlight w:val="none"/>
        </w:rPr>
        <w:t xml:space="preserve"> </w:t>
      </w:r>
      <w:bookmarkEnd w:id="508"/>
      <w:r>
        <w:rPr>
          <w:rFonts w:hint="eastAsia" w:asciiTheme="minorEastAsia" w:hAnsiTheme="minorEastAsia" w:eastAsiaTheme="minorEastAsia" w:cstheme="minorEastAsia"/>
          <w:b/>
          <w:color w:val="auto"/>
          <w:sz w:val="24"/>
          <w:szCs w:val="24"/>
          <w:highlight w:val="none"/>
        </w:rPr>
        <w:t>第三部分  合同专用条款</w:t>
      </w:r>
    </w:p>
    <w:p>
      <w:pPr>
        <w:adjustRightInd w:val="0"/>
        <w:spacing w:line="360" w:lineRule="auto"/>
        <w:ind w:left="-420" w:leftChars="-200" w:right="-420" w:rightChars="-2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条款号</w:t>
            </w:r>
          </w:p>
        </w:tc>
        <w:tc>
          <w:tcPr>
            <w:tcW w:w="4464" w:type="pct"/>
            <w:vAlign w:val="center"/>
          </w:tcPr>
          <w:p>
            <w:pPr>
              <w:adjustRightInd w:val="0"/>
              <w:spacing w:line="351"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w:t>
            </w:r>
          </w:p>
        </w:tc>
        <w:tc>
          <w:tcPr>
            <w:tcW w:w="4464" w:type="pct"/>
            <w:vAlign w:val="center"/>
          </w:tcPr>
          <w:p>
            <w:pPr>
              <w:autoSpaceDE w:val="0"/>
              <w:adjustRightInd w:val="0"/>
              <w:spacing w:line="351"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w:t>
            </w:r>
          </w:p>
        </w:tc>
        <w:tc>
          <w:tcPr>
            <w:tcW w:w="4464" w:type="pct"/>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本次项目不缴纳履约保证金。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1.5.1 </w:t>
            </w:r>
          </w:p>
        </w:tc>
        <w:tc>
          <w:tcPr>
            <w:tcW w:w="4464" w:type="pct"/>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合同生效以及具备实施条件后5个工作日内向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支付合同金额的</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w:t>
            </w:r>
          </w:p>
        </w:tc>
        <w:tc>
          <w:tcPr>
            <w:tcW w:w="4464" w:type="pct"/>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1.5.3 </w:t>
            </w:r>
          </w:p>
        </w:tc>
        <w:tc>
          <w:tcPr>
            <w:tcW w:w="4464" w:type="pct"/>
            <w:vAlign w:val="center"/>
          </w:tcPr>
          <w:p>
            <w:pPr>
              <w:adjustRightInd w:val="0"/>
              <w:snapToGri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w:t>
            </w:r>
          </w:p>
        </w:tc>
        <w:tc>
          <w:tcPr>
            <w:tcW w:w="4464" w:type="pct"/>
            <w:vAlign w:val="center"/>
          </w:tcPr>
          <w:p>
            <w:pPr>
              <w:autoSpaceDE w:val="0"/>
              <w:adjustRightInd w:val="0"/>
              <w:spacing w:line="351" w:lineRule="auto"/>
              <w:jc w:val="left"/>
              <w:rPr>
                <w:rFonts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项目验收合格以及具备支付条件后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个工作日内支付合同剩余款项。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1.7.1</w:t>
            </w:r>
          </w:p>
        </w:tc>
        <w:tc>
          <w:tcPr>
            <w:tcW w:w="4464" w:type="pct"/>
            <w:vAlign w:val="center"/>
          </w:tcPr>
          <w:p>
            <w:pPr>
              <w:adjustRightInd w:val="0"/>
              <w:spacing w:line="351" w:lineRule="auto"/>
              <w:rPr>
                <w:rFonts w:asciiTheme="minorEastAsia" w:hAnsi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服务期限：合同签订后60日历天内完成项目实施。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w:t>
            </w:r>
          </w:p>
        </w:tc>
        <w:tc>
          <w:tcPr>
            <w:tcW w:w="4464" w:type="pct"/>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服务地点：</w:t>
            </w:r>
            <w:r>
              <w:rPr>
                <w:rFonts w:hint="eastAsia" w:asciiTheme="minorEastAsia" w:hAnsiTheme="minorEastAsia" w:eastAsiaTheme="minorEastAsia" w:cstheme="minorEastAsia"/>
                <w:color w:val="auto"/>
                <w:sz w:val="24"/>
                <w:szCs w:val="24"/>
                <w:highlight w:val="none"/>
                <w:lang w:eastAsia="zh-CN"/>
              </w:rPr>
              <w:t>浙江省杭州第十一中学</w:t>
            </w:r>
            <w:r>
              <w:rPr>
                <w:rFonts w:hint="eastAsia" w:asciiTheme="minorEastAsia" w:hAnsiTheme="minorEastAsia" w:eastAsiaTheme="minorEastAsia" w:cstheme="minorEastAsia"/>
                <w:color w:val="auto"/>
                <w:sz w:val="24"/>
                <w:szCs w:val="24"/>
                <w:highlight w:val="none"/>
              </w:rPr>
              <w:t>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w:t>
            </w:r>
          </w:p>
        </w:tc>
        <w:tc>
          <w:tcPr>
            <w:tcW w:w="4464" w:type="pct"/>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服务方式：根据采购文件规定内容、投标文件响应的内容提供服务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1.7.4.1</w:t>
            </w:r>
          </w:p>
        </w:tc>
        <w:tc>
          <w:tcPr>
            <w:tcW w:w="4464" w:type="pct"/>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  年   月   日前完成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1.7.4.2</w:t>
            </w:r>
          </w:p>
        </w:tc>
        <w:tc>
          <w:tcPr>
            <w:tcW w:w="4464" w:type="pct"/>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服务地点：</w:t>
            </w:r>
            <w:r>
              <w:rPr>
                <w:rFonts w:hint="eastAsia" w:asciiTheme="minorEastAsia" w:hAnsiTheme="minorEastAsia" w:eastAsiaTheme="minorEastAsia" w:cstheme="minorEastAsia"/>
                <w:color w:val="auto"/>
                <w:sz w:val="24"/>
                <w:szCs w:val="24"/>
                <w:highlight w:val="none"/>
                <w:lang w:eastAsia="zh-CN"/>
              </w:rPr>
              <w:t>浙江省杭州第十一中学</w:t>
            </w:r>
            <w:r>
              <w:rPr>
                <w:rFonts w:hint="eastAsia" w:asciiTheme="minorEastAsia" w:hAnsiTheme="minorEastAsia" w:eastAsiaTheme="minorEastAsia" w:cstheme="minorEastAsia"/>
                <w:color w:val="auto"/>
                <w:sz w:val="24"/>
                <w:szCs w:val="24"/>
                <w:highlight w:val="none"/>
              </w:rPr>
              <w:t>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1.7.4.3</w:t>
            </w:r>
          </w:p>
        </w:tc>
        <w:tc>
          <w:tcPr>
            <w:tcW w:w="4464" w:type="pct"/>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服务方式：根据采购文件规定内容、投标文件响应的内容提供服务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1.8.7</w:t>
            </w:r>
          </w:p>
        </w:tc>
        <w:tc>
          <w:tcPr>
            <w:tcW w:w="4464" w:type="pct"/>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违约责任：</w:t>
            </w:r>
          </w:p>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1、甲方无正当理由拒绝接受服务的，甲方向乙方支付合同款项百分之五作为违约金。</w:t>
            </w:r>
          </w:p>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2、甲方无故逾期验收和办理款项支付手续的，甲方应按逾期付款总额向乙方支付每日万分之五违约金，违约金总额不超过逾期付款额的1%。</w:t>
            </w:r>
          </w:p>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逾期提供服务的，乙方应按逾期天数向甲方支付每日万分之五违约金。逾期超过约定日期10个工作日不能交付的，甲方可解除本合同。乙方因逾期交付或因其他违约行为导致甲方解除合同的，乙方应向甲方支付合同款项百分之五的违约金，如造成甲方损失超过违约金的，超出部分由乙方继续承担赔偿责任。</w:t>
            </w:r>
          </w:p>
          <w:p>
            <w:pPr>
              <w:adjustRightInd w:val="0"/>
              <w:snapToGrid w:val="0"/>
              <w:spacing w:line="351" w:lineRule="auto"/>
              <w:rPr>
                <w:rFonts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4、甲方收到发票后按规定向财政部门申请支付，否则甲方有权暂缓付款且不承担逾期付款的违约责任。以上付款时间是指在乙方提供发票后，甲方完成向财政部门申报支付手续的时间，财政部门审查及实际支付可能造成的时间延误不视为甲方违约。</w:t>
            </w:r>
          </w:p>
          <w:p>
            <w:pPr>
              <w:adjustRightInd w:val="0"/>
              <w:snapToGri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乙方保证乙方交付的成果及提供的服务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负责应诉，并承担所有费用，包括但不限于：诉讼费、律师费、鉴定费、罚金、赔偿金等，如甲方为自身及甲方利益相关方的利益应诉，并不免除乙方的前述义务，乙方应赔偿甲方因此遭受的前述全部损失。乙方若侵害了第三方知识产权或其他合法权益的，还应及时公开澄清相关事实，使甲方声誉免受损害。</w:t>
            </w:r>
          </w:p>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6、违约方应当支付守约方为了维护自身合法权益而支出的费用，包括但不限于律师费、鉴定费、差旅费等。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1.9.1</w:t>
            </w:r>
          </w:p>
        </w:tc>
        <w:tc>
          <w:tcPr>
            <w:tcW w:w="4464" w:type="pct"/>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将争议提交甲方所在地仲裁委员会依申请仲裁时其现行有效的仲裁规则裁决；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1.9.2</w:t>
            </w:r>
          </w:p>
        </w:tc>
        <w:tc>
          <w:tcPr>
            <w:tcW w:w="4464" w:type="pct"/>
            <w:vAlign w:val="center"/>
          </w:tcPr>
          <w:p>
            <w:pPr>
              <w:tabs>
                <w:tab w:val="left" w:pos="360"/>
                <w:tab w:val="left" w:pos="540"/>
                <w:tab w:val="left" w:pos="1080"/>
              </w:tabs>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向甲方单位所在地的有管辖权人民法院起诉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w:t>
            </w:r>
          </w:p>
        </w:tc>
        <w:tc>
          <w:tcPr>
            <w:tcW w:w="4464" w:type="pct"/>
            <w:vAlign w:val="center"/>
          </w:tcPr>
          <w:p>
            <w:pPr>
              <w:adjustRightInd w:val="0"/>
              <w:snapToGrid w:val="0"/>
              <w:spacing w:line="351"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所有开发项目的知识产权归属于甲方，开发完成后供应商须向甲方提供所有开发项目的源代码，乙方所提供系统中涉及到的所有第三方软件或技术的费用、版权与专利技术责任均由乙方承担，由此引起的版权纠纷由乙方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4464" w:type="pct"/>
            <w:vAlign w:val="center"/>
          </w:tcPr>
          <w:p>
            <w:pPr>
              <w:adjustRightInd w:val="0"/>
              <w:snapToGrid w:val="0"/>
              <w:spacing w:line="351" w:lineRule="auto"/>
              <w:rPr>
                <w:rFonts w:asciiTheme="minorEastAsia" w:hAnsiTheme="minorEastAsia" w:eastAsiaTheme="minorEastAsia" w:cstheme="minorEastAsia"/>
                <w:snapToGrid w:val="0"/>
                <w:color w:val="auto"/>
                <w:sz w:val="24"/>
                <w:szCs w:val="24"/>
                <w:highlight w:val="none"/>
                <w:lang w:bidi="ar"/>
              </w:rPr>
            </w:pPr>
            <w:r>
              <w:rPr>
                <w:rFonts w:hint="eastAsia" w:asciiTheme="minorEastAsia" w:hAnsiTheme="minorEastAsia" w:eastAsiaTheme="minorEastAsia" w:cstheme="minorEastAsia"/>
                <w:color w:val="auto"/>
                <w:sz w:val="24"/>
                <w:szCs w:val="24"/>
                <w:highlight w:val="none"/>
              </w:rPr>
              <w:t>总价包干，分期支付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2.11.3</w:t>
            </w:r>
          </w:p>
        </w:tc>
        <w:tc>
          <w:tcPr>
            <w:tcW w:w="4464" w:type="pct"/>
            <w:vAlign w:val="center"/>
          </w:tcPr>
          <w:p>
            <w:pPr>
              <w:autoSpaceDE w:val="0"/>
              <w:adjustRightInd w:val="0"/>
              <w:spacing w:line="351"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因不可抗力致使合同有变更必要的，双方当事人应在10个工作日内以书面形式变更合同；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2.11.4 </w:t>
            </w:r>
          </w:p>
        </w:tc>
        <w:tc>
          <w:tcPr>
            <w:tcW w:w="4464" w:type="pct"/>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受不可抗力影响的一方在不可抗力发生后，应在</w:t>
            </w:r>
            <w:r>
              <w:rPr>
                <w:rFonts w:hint="eastAsia" w:asciiTheme="minorEastAsia" w:hAnsiTheme="minorEastAsia" w:eastAsiaTheme="minorEastAsia" w:cstheme="minorEastAsia"/>
                <w:color w:val="auto"/>
                <w:sz w:val="24"/>
                <w:szCs w:val="24"/>
                <w:highlight w:val="none"/>
                <w:u w:val="single"/>
              </w:rPr>
              <w:t>不可抗力发生的当日</w:t>
            </w:r>
            <w:r>
              <w:rPr>
                <w:rFonts w:hint="eastAsia" w:asciiTheme="minorEastAsia" w:hAnsiTheme="minorEastAsia" w:eastAsiaTheme="minorEastAsia" w:cstheme="minorEastAsia"/>
                <w:color w:val="auto"/>
                <w:sz w:val="24"/>
                <w:szCs w:val="24"/>
                <w:highlight w:val="none"/>
              </w:rPr>
              <w:t>以书面形式通知对方当事人，并在</w:t>
            </w:r>
            <w:r>
              <w:rPr>
                <w:rFonts w:hint="eastAsia" w:asciiTheme="minorEastAsia" w:hAnsiTheme="minorEastAsia" w:eastAsiaTheme="minorEastAsia" w:cstheme="minorEastAsia"/>
                <w:color w:val="auto"/>
                <w:sz w:val="24"/>
                <w:szCs w:val="24"/>
                <w:highlight w:val="none"/>
                <w:u w:val="single"/>
              </w:rPr>
              <w:t>7个工作日</w:t>
            </w:r>
            <w:r>
              <w:rPr>
                <w:rFonts w:hint="eastAsia" w:asciiTheme="minorEastAsia" w:hAnsiTheme="minorEastAsia" w:eastAsiaTheme="minorEastAsia" w:cstheme="minorEastAsia"/>
                <w:color w:val="auto"/>
                <w:sz w:val="24"/>
                <w:szCs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2.15.1</w:t>
            </w:r>
          </w:p>
        </w:tc>
        <w:tc>
          <w:tcPr>
            <w:tcW w:w="4464" w:type="pct"/>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乙方需在服务期限内定期提交服务报告，并接受甲方审核；</w:t>
            </w:r>
          </w:p>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乙方提交验收申请后甲方组织验收</w:t>
            </w:r>
            <w:r>
              <w:rPr>
                <w:rFonts w:hint="eastAsia" w:asciiTheme="minorEastAsia" w:hAnsiTheme="minorEastAsia" w:eastAsiaTheme="minorEastAsia" w:cstheme="minorEastAsia"/>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2.15.3</w:t>
            </w:r>
          </w:p>
        </w:tc>
        <w:tc>
          <w:tcPr>
            <w:tcW w:w="4464" w:type="pct"/>
            <w:vAlign w:val="center"/>
          </w:tcPr>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检验和验收标准、程序等具体内容以及前述验收书的效力：</w:t>
            </w:r>
          </w:p>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验收标准：软件系统完成采购文件和合同规定的全部功能，质量符合要求；交付资料符合采购文件和合同的有关规定；软件系统验收测试时，检测错误数不得超过事项约定的限定值，且可执行代码（源码）完成测试移交。</w:t>
            </w:r>
          </w:p>
          <w:p>
            <w:pPr>
              <w:adjustRightInd w:val="0"/>
              <w:spacing w:line="351"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2、验收不合格的，乙方应在规定时间内整改完成并再次提交验收申请。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2.20</w:t>
            </w:r>
          </w:p>
        </w:tc>
        <w:tc>
          <w:tcPr>
            <w:tcW w:w="4464" w:type="pct"/>
            <w:vAlign w:val="center"/>
          </w:tcPr>
          <w:p>
            <w:pPr>
              <w:adjustRightInd w:val="0"/>
              <w:snapToGrid w:val="0"/>
              <w:spacing w:line="351" w:lineRule="auto"/>
              <w:rPr>
                <w:rFonts w:asciiTheme="minorEastAsia" w:hAnsiTheme="minorEastAsia" w:eastAsiaTheme="minorEastAsia" w:cstheme="minorEastAsia"/>
                <w:color w:val="auto"/>
                <w:sz w:val="24"/>
                <w:szCs w:val="24"/>
                <w:highlight w:val="none"/>
              </w:rPr>
            </w:pPr>
            <w:r>
              <w:rPr>
                <w:rFonts w:hint="eastAsia" w:ascii="宋体" w:hAnsi="宋体"/>
                <w:color w:val="auto"/>
                <w:sz w:val="24"/>
                <w:highlight w:val="none"/>
              </w:rPr>
              <w:t>共</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adjustRightInd w:val="0"/>
              <w:spacing w:line="351"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p>
        </w:tc>
        <w:tc>
          <w:tcPr>
            <w:tcW w:w="4464" w:type="pct"/>
            <w:vAlign w:val="center"/>
          </w:tcPr>
          <w:p>
            <w:pPr>
              <w:adjustRightInd w:val="0"/>
              <w:snapToGrid w:val="0"/>
              <w:spacing w:line="360" w:lineRule="auto"/>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2.21甲乙双方权责</w:t>
            </w:r>
          </w:p>
          <w:p>
            <w:pPr>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2.21.1甲方权责</w:t>
            </w:r>
          </w:p>
          <w:p>
            <w:pPr>
              <w:pStyle w:val="32"/>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1)为乙方工作提供良好的外部条件，并按照合同约定支付款项；</w:t>
            </w:r>
          </w:p>
          <w:p>
            <w:pPr>
              <w:pStyle w:val="32"/>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2)甲方按双方约定的内容和时间，向乙方提供与项目有关的可以提供的资料；</w:t>
            </w:r>
          </w:p>
          <w:p>
            <w:pPr>
              <w:pStyle w:val="32"/>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3)甲方授权一名熟悉本项目情况的代表，负责与乙方联系，更换代表前将提前通知乙方；</w:t>
            </w:r>
          </w:p>
          <w:p>
            <w:pPr>
              <w:pStyle w:val="32"/>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4)甲方对乙方提供的项目工作方案具有审定权、修改权，并有权要求乙方按甲方的要求修改方案,乙方不得以此为由要求增加任何费用。</w:t>
            </w:r>
          </w:p>
          <w:p>
            <w:pPr>
              <w:pStyle w:val="32"/>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5)根据实际情况，甲方有权要求乙方对已经确认的方案进行修改、变通，乙方应当配合执行，以保证项目顺利进行。</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2.21.2乙方权责</w:t>
            </w:r>
          </w:p>
          <w:p>
            <w:pPr>
              <w:pStyle w:val="32"/>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1)根据投标文件的承诺，乙方向甲方委派项目组人员，人员应当固定。乙方更换人员必须经甲方书面同意，否则甲方有权解除本合同；</w:t>
            </w:r>
          </w:p>
          <w:p>
            <w:pPr>
              <w:pStyle w:val="32"/>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2)乙方针对该项目出具的工作方案，均须事先经甲方书面确认后方可实施。乙方应当负责本项目的所有外部关系联系与协调；</w:t>
            </w:r>
          </w:p>
          <w:p>
            <w:pPr>
              <w:pStyle w:val="32"/>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3)乙方应指派一名授权项目代表，负责与甲方的联络。代表更换应至少提前两天通知甲方。</w:t>
            </w:r>
            <w:r>
              <w:rPr>
                <w:rFonts w:hint="eastAsia" w:asciiTheme="minorEastAsia" w:hAnsiTheme="minorEastAsia" w:eastAsiaTheme="minorEastAsia" w:cstheme="minorEastAsia"/>
                <w:b/>
                <w:bCs/>
                <w:color w:val="auto"/>
                <w:kern w:val="0"/>
                <w:szCs w:val="24"/>
                <w:highlight w:val="none"/>
              </w:rPr>
              <w:t>项目负责人：</w:t>
            </w:r>
            <w:r>
              <w:rPr>
                <w:rFonts w:hint="eastAsia" w:asciiTheme="minorEastAsia" w:hAnsiTheme="minorEastAsia" w:eastAsiaTheme="minorEastAsia" w:cstheme="minorEastAsia"/>
                <w:b/>
                <w:bCs/>
                <w:color w:val="auto"/>
                <w:kern w:val="0"/>
                <w:szCs w:val="24"/>
                <w:highlight w:val="none"/>
                <w:u w:val="single"/>
              </w:rPr>
              <w:t xml:space="preserve">       </w:t>
            </w:r>
            <w:r>
              <w:rPr>
                <w:rFonts w:hint="eastAsia" w:asciiTheme="minorEastAsia" w:hAnsiTheme="minorEastAsia" w:eastAsiaTheme="minorEastAsia" w:cstheme="minorEastAsia"/>
                <w:b/>
                <w:bCs/>
                <w:color w:val="auto"/>
                <w:kern w:val="0"/>
                <w:szCs w:val="24"/>
                <w:highlight w:val="none"/>
              </w:rPr>
              <w:t>；联系电话：</w:t>
            </w:r>
            <w:r>
              <w:rPr>
                <w:rFonts w:hint="eastAsia" w:asciiTheme="minorEastAsia" w:hAnsiTheme="minorEastAsia" w:eastAsiaTheme="minorEastAsia" w:cstheme="minorEastAsia"/>
                <w:b/>
                <w:bCs/>
                <w:color w:val="auto"/>
                <w:kern w:val="0"/>
                <w:szCs w:val="24"/>
                <w:highlight w:val="none"/>
                <w:u w:val="single"/>
              </w:rPr>
              <w:t xml:space="preserve">       </w:t>
            </w:r>
            <w:r>
              <w:rPr>
                <w:rFonts w:hint="eastAsia" w:asciiTheme="minorEastAsia" w:hAnsiTheme="minorEastAsia" w:eastAsiaTheme="minorEastAsia" w:cstheme="minorEastAsia"/>
                <w:b/>
                <w:bCs/>
                <w:color w:val="auto"/>
                <w:kern w:val="0"/>
                <w:szCs w:val="24"/>
                <w:highlight w:val="none"/>
              </w:rPr>
              <w:t>；邮箱：</w:t>
            </w:r>
            <w:r>
              <w:rPr>
                <w:rFonts w:hint="eastAsia" w:asciiTheme="minorEastAsia" w:hAnsiTheme="minorEastAsia" w:eastAsiaTheme="minorEastAsia" w:cstheme="minorEastAsia"/>
                <w:b/>
                <w:bCs/>
                <w:color w:val="auto"/>
                <w:kern w:val="0"/>
                <w:szCs w:val="24"/>
                <w:highlight w:val="none"/>
                <w:u w:val="single"/>
              </w:rPr>
              <w:t xml:space="preserve">       </w:t>
            </w:r>
            <w:r>
              <w:rPr>
                <w:rFonts w:hint="eastAsia" w:asciiTheme="minorEastAsia" w:hAnsiTheme="minorEastAsia" w:eastAsiaTheme="minorEastAsia" w:cstheme="minorEastAsia"/>
                <w:b/>
                <w:bCs/>
                <w:color w:val="auto"/>
                <w:kern w:val="0"/>
                <w:szCs w:val="24"/>
                <w:highlight w:val="none"/>
              </w:rPr>
              <w:t>。</w:t>
            </w:r>
          </w:p>
          <w:p>
            <w:pPr>
              <w:pStyle w:val="32"/>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4)乙方承诺按照招标文件要求和投标文件承诺提供各项服务；</w:t>
            </w:r>
          </w:p>
          <w:p>
            <w:pPr>
              <w:pStyle w:val="32"/>
              <w:adjustRightInd w:val="0"/>
              <w:spacing w:after="0"/>
              <w:ind w:left="218" w:leftChars="104" w:firstLine="417" w:firstLineChars="174"/>
              <w:jc w:val="left"/>
              <w:rPr>
                <w:rFonts w:asciiTheme="minorEastAsia" w:hAnsiTheme="minorEastAsia" w:eastAsiaTheme="minorEastAsia" w:cstheme="minorEastAsia"/>
                <w:b/>
                <w:bCs/>
                <w:snapToGrid w:val="0"/>
                <w:color w:val="auto"/>
                <w:szCs w:val="24"/>
                <w:highlight w:val="none"/>
              </w:rPr>
            </w:pPr>
            <w:r>
              <w:rPr>
                <w:rFonts w:hint="eastAsia" w:asciiTheme="minorEastAsia" w:hAnsiTheme="minorEastAsia" w:eastAsiaTheme="minorEastAsia" w:cstheme="minorEastAsia"/>
                <w:color w:val="auto"/>
                <w:kern w:val="0"/>
                <w:szCs w:val="24"/>
                <w:highlight w:val="none"/>
              </w:rPr>
              <w:t>5)乙方必须在规定期间内完成招标文件要求和投标文件承诺的服务内容，并通过甲方的验收，否则甲方有权终止合同，并索回全部支付的货款，赔偿延误的损失。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spacing w:line="300" w:lineRule="auto"/>
              <w:ind w:left="-420" w:leftChars="-200" w:right="-420" w:rightChars="-200"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2.22</w:t>
            </w:r>
          </w:p>
        </w:tc>
        <w:tc>
          <w:tcPr>
            <w:tcW w:w="4464" w:type="pct"/>
            <w:vAlign w:val="center"/>
          </w:tcPr>
          <w:p>
            <w:pPr>
              <w:spacing w:line="300" w:lineRule="auto"/>
              <w:rPr>
                <w:color w:val="auto"/>
                <w:sz w:val="24"/>
                <w:highlight w:val="none"/>
              </w:rPr>
            </w:pPr>
            <w:r>
              <w:rPr>
                <w:rFonts w:hint="eastAsia"/>
                <w:color w:val="auto"/>
                <w:sz w:val="24"/>
                <w:highlight w:val="none"/>
              </w:rPr>
              <w:t>质保期：</w:t>
            </w:r>
            <w:r>
              <w:rPr>
                <w:color w:val="auto"/>
                <w:sz w:val="24"/>
                <w:highlight w:val="none"/>
              </w:rPr>
              <w:t>质保期为验收合格之日起</w:t>
            </w:r>
            <w:r>
              <w:rPr>
                <w:rFonts w:hint="eastAsia"/>
                <w:color w:val="auto"/>
                <w:sz w:val="24"/>
                <w:highlight w:val="none"/>
                <w:u w:val="single"/>
              </w:rPr>
              <w:t xml:space="preserve"> </w:t>
            </w:r>
            <w:r>
              <w:rPr>
                <w:rFonts w:hint="eastAsia"/>
                <w:color w:val="auto"/>
                <w:sz w:val="24"/>
                <w:highlight w:val="none"/>
                <w:u w:val="single"/>
                <w:lang w:val="en-US" w:eastAsia="zh-CN"/>
              </w:rPr>
              <w:t>三</w:t>
            </w:r>
            <w:r>
              <w:rPr>
                <w:rFonts w:hint="eastAsia"/>
                <w:color w:val="auto"/>
                <w:sz w:val="24"/>
                <w:highlight w:val="none"/>
                <w:u w:val="single"/>
              </w:rPr>
              <w:t xml:space="preserve">   </w:t>
            </w:r>
            <w:r>
              <w:rPr>
                <w:color w:val="auto"/>
                <w:sz w:val="24"/>
                <w:highlight w:val="none"/>
              </w:rPr>
              <w:t>年。</w:t>
            </w:r>
          </w:p>
          <w:p>
            <w:pPr>
              <w:spacing w:line="300" w:lineRule="auto"/>
              <w:rPr>
                <w:color w:val="auto"/>
                <w:sz w:val="24"/>
                <w:highlight w:val="none"/>
              </w:rPr>
            </w:pPr>
            <w:r>
              <w:rPr>
                <w:rFonts w:hint="eastAsia"/>
                <w:color w:val="auto"/>
                <w:sz w:val="24"/>
                <w:highlight w:val="none"/>
              </w:rPr>
              <w:t>质保范围：</w:t>
            </w:r>
            <w:r>
              <w:rPr>
                <w:rFonts w:hint="eastAsia" w:ascii="宋体" w:hAnsi="宋体"/>
                <w:color w:val="auto"/>
                <w:sz w:val="24"/>
                <w:highlight w:val="none"/>
              </w:rPr>
              <w:t>保修期内产品因设计、质量出现问题，均由乙方即时解决（包括更换配件耗材）。</w:t>
            </w:r>
          </w:p>
          <w:p>
            <w:pPr>
              <w:tabs>
                <w:tab w:val="left" w:pos="0"/>
              </w:tabs>
              <w:spacing w:line="300" w:lineRule="auto"/>
              <w:rPr>
                <w:rFonts w:hint="eastAsia" w:asciiTheme="minorEastAsia" w:hAnsiTheme="minorEastAsia" w:eastAsiaTheme="minorEastAsia" w:cstheme="minorEastAsia"/>
                <w:color w:val="auto"/>
                <w:kern w:val="0"/>
                <w:szCs w:val="24"/>
                <w:highlight w:val="none"/>
              </w:rPr>
            </w:pPr>
            <w:r>
              <w:rPr>
                <w:rFonts w:hint="eastAsia"/>
                <w:color w:val="auto"/>
                <w:sz w:val="24"/>
                <w:highlight w:val="none"/>
              </w:rPr>
              <w:t>售后服务内容：（根据投标响应补充）</w:t>
            </w:r>
          </w:p>
        </w:tc>
      </w:tr>
    </w:tbl>
    <w:p>
      <w:pPr>
        <w:spacing w:line="360" w:lineRule="auto"/>
        <w:ind w:left="-420" w:leftChars="-200" w:right="-420" w:rightChars="-200" w:firstLine="480" w:firstLineChars="200"/>
        <w:jc w:val="center"/>
        <w:outlineLvl w:val="0"/>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jc w:val="center"/>
        <w:rPr>
          <w:rFonts w:asciiTheme="minorEastAsia" w:hAnsiTheme="minorEastAsia" w:eastAsiaTheme="minorEastAsia" w:cstheme="minorEastAsia"/>
          <w:b/>
          <w:color w:val="auto"/>
          <w:sz w:val="36"/>
          <w:szCs w:val="20"/>
          <w:highlight w:val="none"/>
        </w:rPr>
      </w:pPr>
    </w:p>
    <w:p>
      <w:pPr>
        <w:jc w:val="center"/>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3"/>
      <w:r>
        <w:rPr>
          <w:rFonts w:hint="eastAsia" w:asciiTheme="minorEastAsia" w:hAnsiTheme="minorEastAsia" w:eastAsiaTheme="minorEastAsia" w:cstheme="minorEastAsia"/>
          <w:b/>
          <w:color w:val="auto"/>
          <w:sz w:val="36"/>
          <w:szCs w:val="20"/>
          <w:highlight w:val="none"/>
        </w:rPr>
        <w:t xml:space="preserve"> </w:t>
      </w:r>
      <w:bookmarkEnd w:id="394"/>
      <w:r>
        <w:rPr>
          <w:rFonts w:hint="eastAsia" w:asciiTheme="minorEastAsia" w:hAnsiTheme="minorEastAsia" w:eastAsiaTheme="minorEastAsia" w:cstheme="minorEastAsia"/>
          <w:b/>
          <w:color w:val="auto"/>
          <w:sz w:val="36"/>
          <w:szCs w:val="20"/>
          <w:highlight w:val="none"/>
        </w:rPr>
        <w:t>应提交的有关格式范例</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资格文件部分</w:t>
      </w:r>
    </w:p>
    <w:p>
      <w:pPr>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目录</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numPr>
          <w:ilvl w:val="0"/>
          <w:numId w:val="19"/>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符合参加采购活动应当具备的一般条件的承诺函…………………（页码）</w:t>
      </w:r>
    </w:p>
    <w:p>
      <w:pPr>
        <w:numPr>
          <w:ilvl w:val="0"/>
          <w:numId w:val="19"/>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联合协议</w:t>
      </w:r>
      <w:r>
        <w:rPr>
          <w:rFonts w:hint="eastAsia" w:asciiTheme="minorEastAsia" w:hAnsiTheme="minorEastAsia" w:eastAsiaTheme="minorEastAsia" w:cstheme="minorEastAsia"/>
          <w:color w:val="auto"/>
          <w:sz w:val="24"/>
          <w:highlight w:val="none"/>
        </w:rPr>
        <w:t>………………………………………………………………（页码）</w:t>
      </w:r>
    </w:p>
    <w:p>
      <w:pPr>
        <w:numPr>
          <w:ilvl w:val="0"/>
          <w:numId w:val="19"/>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落实采购政策需满足的资格要求……………………………………（页码）</w:t>
      </w:r>
    </w:p>
    <w:p>
      <w:pPr>
        <w:numPr>
          <w:ilvl w:val="0"/>
          <w:numId w:val="19"/>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本项目的特定资格要求………………………………………………（页码）</w:t>
      </w:r>
    </w:p>
    <w:p>
      <w:pPr>
        <w:snapToGrid w:val="0"/>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一、符合参加采购活动应当具备的一般条件的承诺函</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浙江省杭州第十一中学</w:t>
      </w:r>
      <w:r>
        <w:rPr>
          <w:rFonts w:hint="eastAsia" w:asciiTheme="minorEastAsia" w:hAnsiTheme="minorEastAsia" w:eastAsiaTheme="minorEastAsia" w:cstheme="minorEastAsia"/>
          <w:color w:val="auto"/>
          <w:sz w:val="24"/>
          <w:highlight w:val="none"/>
        </w:rPr>
        <w:t>、杭州洲源招标代理有限公司：</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我方参与贵单位</w:t>
      </w:r>
      <w:r>
        <w:rPr>
          <w:rFonts w:hint="eastAsia" w:asciiTheme="minorEastAsia" w:hAnsiTheme="minorEastAsia" w:eastAsiaTheme="minorEastAsia" w:cstheme="minorEastAsia"/>
          <w:color w:val="auto"/>
          <w:sz w:val="24"/>
          <w:highlight w:val="none"/>
          <w:lang w:eastAsia="zh-CN"/>
        </w:rPr>
        <w:t>智慧校园建设二期</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HSYZ-2025-021</w:t>
      </w:r>
      <w:r>
        <w:rPr>
          <w:rFonts w:hint="eastAsia" w:asciiTheme="minorEastAsia" w:hAnsiTheme="minorEastAsia" w:eastAsiaTheme="minorEastAsia" w:cstheme="minorEastAsia"/>
          <w:color w:val="auto"/>
          <w:sz w:val="24"/>
          <w:highlight w:val="none"/>
        </w:rPr>
        <w:t>】采购活动，郑重承诺：</w:t>
      </w:r>
    </w:p>
    <w:p>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pPr>
        <w:spacing w:line="360" w:lineRule="auto"/>
        <w:ind w:firstLine="480" w:firstLineChars="200"/>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以上承诺如有虚假或隐瞒，采购人可取消我方任何资格（投标/中标/签订合同），我方对此无任何异议，并愿意承担一切后果和责任。</w:t>
      </w:r>
    </w:p>
    <w:p>
      <w:pPr>
        <w:spacing w:line="360" w:lineRule="auto"/>
        <w:ind w:firstLine="480" w:firstLineChars="200"/>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特此承诺！</w:t>
      </w:r>
    </w:p>
    <w:p>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pPr>
        <w:snapToGrid w:val="0"/>
        <w:spacing w:line="360" w:lineRule="auto"/>
        <w:ind w:firstLine="5520" w:firstLineChars="23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pPr>
        <w:widowControl/>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widowControl/>
        <w:spacing w:line="360" w:lineRule="auto"/>
        <w:ind w:firstLine="643" w:firstLineChars="20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pPr>
        <w:widowControl/>
        <w:spacing w:line="360" w:lineRule="auto"/>
        <w:ind w:firstLine="482"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Theme="minorEastAsia" w:hAnsiTheme="minorEastAsia" w:eastAsiaTheme="minorEastAsia" w:cstheme="minorEastAsia"/>
          <w:b/>
          <w:color w:val="auto"/>
          <w:sz w:val="24"/>
          <w:highlight w:val="none"/>
        </w:rPr>
      </w:pPr>
    </w:p>
    <w:p>
      <w:pPr>
        <w:snapToGrid w:val="0"/>
        <w:spacing w:before="50" w:after="50"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asciiTheme="minorEastAsia" w:hAnsiTheme="minorEastAsia" w:eastAsiaTheme="minorEastAsia" w:cstheme="minorEastAsia"/>
          <w:color w:val="auto"/>
          <w:sz w:val="24"/>
          <w:highlight w:val="none"/>
        </w:rPr>
      </w:pPr>
    </w:p>
    <w:p>
      <w:pPr>
        <w:widowControl/>
        <w:spacing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pPr>
        <w:widowControl/>
        <w:spacing w:line="360" w:lineRule="auto"/>
        <w:ind w:left="150"/>
        <w:jc w:val="center"/>
        <w:rPr>
          <w:rFonts w:asciiTheme="minorEastAsia" w:hAnsiTheme="minorEastAsia" w:eastAsiaTheme="minorEastAsia" w:cstheme="minorEastAsia"/>
          <w:b/>
          <w:color w:val="auto"/>
          <w:kern w:val="0"/>
          <w:sz w:val="32"/>
          <w:szCs w:val="32"/>
          <w:highlight w:val="none"/>
        </w:rPr>
      </w:pPr>
    </w:p>
    <w:p>
      <w:pPr>
        <w:widowControl/>
        <w:spacing w:line="360" w:lineRule="auto"/>
        <w:ind w:left="15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四、本项目的特定资格要求（如果有）</w:t>
      </w: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pPr>
        <w:rPr>
          <w:rFonts w:asciiTheme="minorEastAsia" w:hAnsiTheme="minorEastAsia" w:eastAsiaTheme="minorEastAsia" w:cstheme="minorEastAsia"/>
          <w:color w:val="auto"/>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widowControl/>
        <w:jc w:val="left"/>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pPr>
        <w:spacing w:line="360" w:lineRule="auto"/>
        <w:ind w:right="420"/>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 xml:space="preserve">   商务技术文件部分</w:t>
      </w:r>
    </w:p>
    <w:p>
      <w:pPr>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目录</w:t>
      </w:r>
    </w:p>
    <w:p>
      <w:pPr>
        <w:numPr>
          <w:ilvl w:val="0"/>
          <w:numId w:val="2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投标函…………………………………………………………………………（页码）</w:t>
      </w:r>
    </w:p>
    <w:p>
      <w:pPr>
        <w:numPr>
          <w:ilvl w:val="0"/>
          <w:numId w:val="2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授权委托书或法定代表人（单位负责人、自然人本人）身份证明………（页码）</w:t>
      </w:r>
    </w:p>
    <w:p>
      <w:pPr>
        <w:numPr>
          <w:ilvl w:val="0"/>
          <w:numId w:val="2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符合性审查资料………………………………………………………………（页码）</w:t>
      </w:r>
    </w:p>
    <w:p>
      <w:pPr>
        <w:numPr>
          <w:ilvl w:val="0"/>
          <w:numId w:val="2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评标标准相应的商务技术资料………………………………………………（页码）</w:t>
      </w:r>
    </w:p>
    <w:p>
      <w:pPr>
        <w:numPr>
          <w:ilvl w:val="0"/>
          <w:numId w:val="2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投标标的清单…………………………………………………………………（页码）</w:t>
      </w:r>
    </w:p>
    <w:p>
      <w:pPr>
        <w:numPr>
          <w:ilvl w:val="0"/>
          <w:numId w:val="2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商务技术偏离表………………………………………………………………（页码）</w:t>
      </w:r>
    </w:p>
    <w:p>
      <w:pPr>
        <w:numPr>
          <w:ilvl w:val="0"/>
          <w:numId w:val="2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采购供应商廉洁自律承诺书</w:t>
      </w:r>
      <w:r>
        <w:rPr>
          <w:rFonts w:hint="eastAsia" w:asciiTheme="minorEastAsia" w:hAnsiTheme="minorEastAsia" w:eastAsiaTheme="minorEastAsia" w:cstheme="minorEastAsia"/>
          <w:color w:val="auto"/>
          <w:sz w:val="24"/>
          <w:highlight w:val="none"/>
        </w:rPr>
        <w:t>…………………………………………………（页码）</w:t>
      </w: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评分索引表</w:t>
      </w:r>
    </w:p>
    <w:p>
      <w:pPr>
        <w:snapToGrid w:val="0"/>
        <w:spacing w:line="36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（根据评标办法自行编制）</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3610"/>
        <w:gridCol w:w="3609"/>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944"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评标标准</w:t>
            </w:r>
          </w:p>
        </w:tc>
        <w:tc>
          <w:tcPr>
            <w:tcW w:w="1943"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投标响应</w:t>
            </w:r>
          </w:p>
        </w:tc>
        <w:tc>
          <w:tcPr>
            <w:tcW w:w="661"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4"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3"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661"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4"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3"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661"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4"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3"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661"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50"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4"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3"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661"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r>
    </w:tbl>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rPr>
          <w:rFonts w:asciiTheme="minorEastAsia" w:hAnsiTheme="minorEastAsia" w:eastAsiaTheme="minorEastAsia" w:cstheme="minorEastAsia"/>
          <w:b/>
          <w:color w:val="auto"/>
          <w:kern w:val="0"/>
          <w:sz w:val="32"/>
          <w:szCs w:val="32"/>
          <w:highlight w:val="none"/>
          <w:lang w:val="zh-CN"/>
        </w:rPr>
      </w:pPr>
    </w:p>
    <w:p>
      <w:pPr>
        <w:widowControl/>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napToGri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浙江省杭州第十一中学</w:t>
      </w:r>
      <w:r>
        <w:rPr>
          <w:rFonts w:hint="eastAsia" w:asciiTheme="minorEastAsia" w:hAnsiTheme="minorEastAsia" w:eastAsiaTheme="minorEastAsia" w:cstheme="minorEastAsia"/>
          <w:color w:val="auto"/>
          <w:sz w:val="24"/>
          <w:highlight w:val="none"/>
        </w:rPr>
        <w:t>、杭州洲源招标代理有限公司：</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lang w:eastAsia="zh-CN"/>
        </w:rPr>
        <w:t>智慧校园建设二期</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HSYZ-2025-021</w:t>
      </w:r>
      <w:r>
        <w:rPr>
          <w:rFonts w:hint="eastAsia" w:asciiTheme="minorEastAsia" w:hAnsiTheme="minorEastAsia" w:eastAsiaTheme="minorEastAsia" w:cstheme="minorEastAsia"/>
          <w:color w:val="auto"/>
          <w:sz w:val="24"/>
          <w:highlight w:val="none"/>
        </w:rPr>
        <w:t>】招标的有关活动，并对此项目进行投标。为此：</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w:t>
      </w:r>
      <w:bookmarkStart w:id="509" w:name="_Hlk101257010"/>
      <w:r>
        <w:rPr>
          <w:rFonts w:hint="eastAsia" w:asciiTheme="minorEastAsia" w:hAnsiTheme="minorEastAsia" w:eastAsiaTheme="minorEastAsia" w:cstheme="minorEastAsia"/>
          <w:color w:val="auto"/>
          <w:sz w:val="24"/>
          <w:highlight w:val="none"/>
        </w:rPr>
        <w:t>（如果有)</w:t>
      </w:r>
      <w:bookmarkEnd w:id="509"/>
      <w:r>
        <w:rPr>
          <w:rFonts w:hint="eastAsia" w:asciiTheme="minorEastAsia" w:hAnsiTheme="minorEastAsia" w:eastAsiaTheme="minorEastAsia" w:cstheme="minorEastAsia"/>
          <w:snapToGrid w:val="0"/>
          <w:color w:val="auto"/>
          <w:kern w:val="28"/>
          <w:sz w:val="24"/>
          <w:szCs w:val="20"/>
          <w:highlight w:val="none"/>
        </w:rPr>
        <w:t>；</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2.1.3落实政府采购政策需满足的资格要求（如果有）；</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2.1.4本项目的特定资格要求（如果有)。</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采购供应商廉洁自律承诺书；</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pPr>
        <w:snapToGrid w:val="0"/>
        <w:spacing w:line="360" w:lineRule="auto"/>
        <w:ind w:left="420" w:leftChars="2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2.3.2</w:t>
      </w:r>
      <w:r>
        <w:rPr>
          <w:rFonts w:hint="eastAsia" w:asciiTheme="minorEastAsia" w:hAnsiTheme="minorEastAsia" w:eastAsiaTheme="minorEastAsia" w:cstheme="minorEastAsia"/>
          <w:color w:val="auto"/>
          <w:sz w:val="24"/>
          <w:szCs w:val="24"/>
          <w:highlight w:val="none"/>
        </w:rPr>
        <w:t>报价情况说明（如供应商报价低于项目预算50%的，应当提交本文档，详细阐述不影响产品质量或者诚信履约的具体原因）</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2.3.3</w:t>
      </w:r>
      <w:r>
        <w:rPr>
          <w:rFonts w:hint="eastAsia" w:asciiTheme="minorEastAsia" w:hAnsiTheme="minorEastAsia" w:eastAsiaTheme="minorEastAsia" w:cstheme="minorEastAsia"/>
          <w:color w:val="auto"/>
          <w:sz w:val="24"/>
          <w:highlight w:val="none"/>
        </w:rPr>
        <w:t>中小企业声明函（如果有）。</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4.3按照招标文件要求提交履约保证金；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pacing w:line="360" w:lineRule="auto"/>
        <w:ind w:firstLine="4800" w:firstLineChars="20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pStyle w:val="2"/>
        <w:rPr>
          <w:rFonts w:asciiTheme="minorEastAsia" w:hAnsiTheme="minorEastAsia" w:eastAsiaTheme="minorEastAsia" w:cstheme="minorEastAsia"/>
          <w:b w:val="0"/>
          <w:bCs w:val="0"/>
          <w:color w:val="auto"/>
          <w:highlight w:val="none"/>
          <w:lang w:val="en-US"/>
        </w:rPr>
      </w:pPr>
      <w:r>
        <w:rPr>
          <w:rFonts w:hint="eastAsia" w:asciiTheme="minorEastAsia" w:hAnsiTheme="minorEastAsia" w:eastAsiaTheme="minorEastAsia" w:cstheme="minorEastAsia"/>
          <w:b w:val="0"/>
          <w:bCs w:val="0"/>
          <w:color w:val="auto"/>
          <w:sz w:val="24"/>
          <w:highlight w:val="none"/>
        </w:rPr>
        <w:t>注</w:t>
      </w:r>
      <w:r>
        <w:rPr>
          <w:rFonts w:hint="eastAsia" w:asciiTheme="minorEastAsia" w:hAnsiTheme="minorEastAsia" w:eastAsiaTheme="minorEastAsia" w:cstheme="minorEastAsia"/>
          <w:b w:val="0"/>
          <w:bCs w:val="0"/>
          <w:color w:val="auto"/>
          <w:sz w:val="24"/>
          <w:highlight w:val="none"/>
          <w:lang w:val="en-US"/>
        </w:rPr>
        <w:t>：</w:t>
      </w:r>
      <w:r>
        <w:rPr>
          <w:rFonts w:hint="eastAsia" w:asciiTheme="minorEastAsia" w:hAnsiTheme="minorEastAsia" w:eastAsiaTheme="minorEastAsia" w:cstheme="minorEastAsia"/>
          <w:b w:val="0"/>
          <w:bCs w:val="0"/>
          <w:color w:val="auto"/>
          <w:sz w:val="24"/>
          <w:highlight w:val="none"/>
        </w:rPr>
        <w:t>按本格式和要求提供。</w:t>
      </w:r>
      <w:r>
        <w:rPr>
          <w:rFonts w:hint="eastAsia" w:asciiTheme="minorEastAsia" w:hAnsiTheme="minorEastAsia" w:eastAsiaTheme="minorEastAsia" w:cstheme="minorEastAsia"/>
          <w:b w:val="0"/>
          <w:bCs w:val="0"/>
          <w:color w:val="auto"/>
          <w:sz w:val="24"/>
          <w:highlight w:val="none"/>
          <w:lang w:val="en-US"/>
        </w:rPr>
        <w:t xml:space="preserve">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pPr>
        <w:adjustRightInd w:val="0"/>
        <w:spacing w:line="360" w:lineRule="auto"/>
        <w:jc w:val="center"/>
        <w:rPr>
          <w:rFonts w:asciiTheme="minorEastAsia" w:hAnsiTheme="minorEastAsia" w:eastAsiaTheme="minorEastAsia" w:cstheme="minorEastAsia"/>
          <w:b/>
          <w:color w:val="auto"/>
          <w:kern w:val="0"/>
          <w:sz w:val="28"/>
          <w:szCs w:val="28"/>
          <w:highlight w:val="none"/>
          <w:lang w:val="zh-CN"/>
        </w:rPr>
      </w:pPr>
      <w:r>
        <w:rPr>
          <w:rFonts w:hint="eastAsia" w:asciiTheme="minorEastAsia" w:hAnsiTheme="minorEastAsia" w:eastAsiaTheme="minorEastAsia" w:cstheme="minorEastAsia"/>
          <w:b/>
          <w:color w:val="auto"/>
          <w:kern w:val="0"/>
          <w:sz w:val="28"/>
          <w:szCs w:val="28"/>
          <w:highlight w:val="none"/>
          <w:lang w:val="zh-CN"/>
        </w:rPr>
        <w:t>二、授权委托书或法定代表人（单位负责人、自然人本人）身份证明</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adjustRightInd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浙江省杭州第十一中学</w:t>
      </w:r>
      <w:r>
        <w:rPr>
          <w:rFonts w:hint="eastAsia" w:asciiTheme="minorEastAsia" w:hAnsiTheme="minorEastAsia" w:eastAsiaTheme="minorEastAsia" w:cstheme="minorEastAsia"/>
          <w:color w:val="auto"/>
          <w:sz w:val="24"/>
          <w:highlight w:val="none"/>
        </w:rPr>
        <w:t>、杭州洲源招标代理有限公司</w:t>
      </w:r>
      <w:r>
        <w:rPr>
          <w:rFonts w:hint="eastAsia" w:asciiTheme="minorEastAsia" w:hAnsiTheme="minorEastAsia" w:eastAsiaTheme="minorEastAsia" w:cstheme="minorEastAsia"/>
          <w:color w:val="auto"/>
          <w:kern w:val="0"/>
          <w:sz w:val="24"/>
          <w:highlight w:val="none"/>
          <w:lang w:val="zh-CN"/>
        </w:rPr>
        <w:t>：</w:t>
      </w:r>
    </w:p>
    <w:p>
      <w:pPr>
        <w:adjustRightInd w:val="0"/>
        <w:snapToGrid w:val="0"/>
        <w:spacing w:line="360" w:lineRule="auto"/>
        <w:ind w:firstLine="57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智慧校园建设二期</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HSYZ-2025-021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采购投标的一切事项，其法律后果由我方承担。</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pPr>
        <w:adjustRightInd w:val="0"/>
        <w:snapToGrid w:val="0"/>
        <w:spacing w:line="360" w:lineRule="auto"/>
        <w:rPr>
          <w:rFonts w:asciiTheme="minorEastAsia" w:hAnsiTheme="minorEastAsia" w:eastAsiaTheme="minorEastAsia" w:cstheme="minorEastAsia"/>
          <w:color w:val="auto"/>
          <w:sz w:val="24"/>
          <w:highlight w:val="none"/>
        </w:rPr>
      </w:pPr>
    </w:p>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p>
    <w:p>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授权代表身份证明</w:t>
      </w:r>
    </w:p>
    <w:p>
      <w:pPr>
        <w:autoSpaceDE w:val="0"/>
        <w:autoSpaceDN w:val="0"/>
        <w:spacing w:line="360" w:lineRule="auto"/>
        <w:jc w:val="left"/>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Cs/>
          <w:color w:val="auto"/>
          <w:sz w:val="24"/>
          <w:highlight w:val="none"/>
        </w:rPr>
        <w:t>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9207" w:type="dxa"/>
          </w:tcPr>
          <w:p>
            <w:pPr>
              <w:pStyle w:val="36"/>
              <w:adjustRightIn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tc>
      </w:tr>
    </w:tbl>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p>
      <w:pPr>
        <w:adjustRightInd w:val="0"/>
        <w:snapToGrid w:val="0"/>
        <w:spacing w:line="360" w:lineRule="auto"/>
        <w:ind w:firstLine="6000" w:firstLineChars="25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pPr>
        <w:adjustRightInd w:val="0"/>
        <w:snapToGrid w:val="0"/>
        <w:spacing w:line="360" w:lineRule="auto"/>
        <w:ind w:firstLine="6000" w:firstLineChars="25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pPr>
        <w:autoSpaceDE w:val="0"/>
        <w:autoSpaceDN w:val="0"/>
        <w:spacing w:line="360" w:lineRule="auto"/>
        <w:jc w:val="center"/>
        <w:rPr>
          <w:rFonts w:asciiTheme="minorEastAsia" w:hAnsiTheme="minorEastAsia" w:eastAsiaTheme="minorEastAsia" w:cstheme="minorEastAsia"/>
          <w:b/>
          <w:color w:val="auto"/>
          <w:kern w:val="0"/>
          <w:sz w:val="32"/>
          <w:szCs w:val="32"/>
          <w:highlight w:val="none"/>
          <w:lang w:val="zh-CN"/>
        </w:rPr>
      </w:pPr>
    </w:p>
    <w:p>
      <w:pPr>
        <w:autoSpaceDE w:val="0"/>
        <w:autoSpaceDN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pPr>
        <w:pStyle w:val="36"/>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9207" w:type="dxa"/>
          </w:tcPr>
          <w:p>
            <w:pPr>
              <w:pStyle w:val="36"/>
              <w:adjustRightIn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tc>
      </w:tr>
    </w:tbl>
    <w:p>
      <w:pPr>
        <w:snapToGrid w:val="0"/>
        <w:spacing w:line="360" w:lineRule="auto"/>
        <w:ind w:firstLine="576"/>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60" w:lineRule="auto"/>
        <w:ind w:firstLine="576"/>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r>
        <w:rPr>
          <w:rFonts w:hint="eastAsia" w:asciiTheme="minorEastAsia" w:hAnsiTheme="minorEastAsia" w:eastAsiaTheme="minorEastAsia" w:cstheme="minorEastAsia"/>
          <w:color w:val="auto"/>
          <w:kern w:val="0"/>
          <w:sz w:val="24"/>
          <w:highlight w:val="none"/>
          <w:lang w:val="zh-CN"/>
        </w:rPr>
        <w:t xml:space="preserve">                            </w:t>
      </w:r>
    </w:p>
    <w:p>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b/>
          <w:color w:val="auto"/>
          <w:kern w:val="0"/>
          <w:sz w:val="32"/>
          <w:szCs w:val="32"/>
          <w:highlight w:val="none"/>
        </w:rPr>
        <w:t>三、符合性审查资料</w:t>
      </w:r>
    </w:p>
    <w:p>
      <w:pPr>
        <w:jc w:val="center"/>
        <w:rPr>
          <w:rFonts w:asciiTheme="minorEastAsia" w:hAnsiTheme="minorEastAsia" w:eastAsiaTheme="minorEastAsia" w:cstheme="minorEastAsia"/>
          <w:b/>
          <w:color w:val="auto"/>
          <w:kern w:val="0"/>
          <w:sz w:val="32"/>
          <w:szCs w:val="32"/>
          <w:highlight w:val="none"/>
        </w:rPr>
      </w:pP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2723"/>
        <w:gridCol w:w="3658"/>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466" w:type="pct"/>
            <w:vAlign w:val="center"/>
          </w:tcPr>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1969" w:type="pct"/>
            <w:vAlign w:val="center"/>
          </w:tcPr>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295" w:type="pct"/>
            <w:vAlign w:val="center"/>
          </w:tcPr>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466" w:type="pct"/>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1969" w:type="pct"/>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295" w:type="pct"/>
            <w:vAlign w:val="center"/>
          </w:tcPr>
          <w:p>
            <w:pP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466" w:type="pct"/>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1969" w:type="pct"/>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295" w:type="pct"/>
            <w:vAlign w:val="center"/>
          </w:tcPr>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466" w:type="pct"/>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投标文件满足招标文件的其它实质性要求。</w:t>
            </w:r>
          </w:p>
        </w:tc>
        <w:tc>
          <w:tcPr>
            <w:tcW w:w="1969" w:type="pct"/>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招标文件其它实质性要求相应的材料（“▲” 系指实质性要求条款，招标文件无其它实质性要求的，无需提供）</w:t>
            </w:r>
          </w:p>
        </w:tc>
        <w:tc>
          <w:tcPr>
            <w:tcW w:w="1295" w:type="pct"/>
            <w:vAlign w:val="center"/>
          </w:tcPr>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四、评标标准相应的商务技术资料</w:t>
      </w:r>
    </w:p>
    <w:p>
      <w:pPr>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p>
      <w:pPr>
        <w:spacing w:line="360" w:lineRule="auto"/>
        <w:jc w:val="lef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参考格式1</w:t>
      </w:r>
    </w:p>
    <w:p>
      <w:pPr>
        <w:spacing w:line="360" w:lineRule="auto"/>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投标供应商简况表</w:t>
      </w:r>
    </w:p>
    <w:tbl>
      <w:tblPr>
        <w:tblStyle w:val="18"/>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单位名称</w:t>
            </w:r>
          </w:p>
        </w:tc>
        <w:tc>
          <w:tcPr>
            <w:tcW w:w="5143" w:type="dxa"/>
            <w:gridSpan w:val="4"/>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1418"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成立时间</w:t>
            </w:r>
          </w:p>
        </w:tc>
        <w:tc>
          <w:tcPr>
            <w:tcW w:w="1515" w:type="dxa"/>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资质等级</w:t>
            </w:r>
          </w:p>
        </w:tc>
        <w:tc>
          <w:tcPr>
            <w:tcW w:w="1600" w:type="dxa"/>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1134"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经营方式</w:t>
            </w:r>
          </w:p>
        </w:tc>
        <w:tc>
          <w:tcPr>
            <w:tcW w:w="2409" w:type="dxa"/>
            <w:gridSpan w:val="2"/>
            <w:vAlign w:val="center"/>
          </w:tcPr>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□有限责任公司</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□个人独立经营方式</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□合伙经营方式</w:t>
            </w:r>
          </w:p>
          <w:p>
            <w:pPr>
              <w:autoSpaceDE w:val="0"/>
              <w:snapToGrid w:val="0"/>
              <w:jc w:val="left"/>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lang w:val="zh-CN"/>
              </w:rPr>
              <w:t>□其他</w:t>
            </w:r>
          </w:p>
        </w:tc>
        <w:tc>
          <w:tcPr>
            <w:tcW w:w="1418" w:type="dxa"/>
            <w:vAlign w:val="center"/>
          </w:tcPr>
          <w:p>
            <w:pPr>
              <w:autoSpaceDE w:val="0"/>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企业性质</w:t>
            </w:r>
          </w:p>
        </w:tc>
        <w:tc>
          <w:tcPr>
            <w:tcW w:w="1515" w:type="dxa"/>
            <w:vAlign w:val="center"/>
          </w:tcPr>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□事业单位</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□国企</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□民营</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□个体经营者</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□自然人</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注册资金</w:t>
            </w:r>
          </w:p>
        </w:tc>
        <w:tc>
          <w:tcPr>
            <w:tcW w:w="1600" w:type="dxa"/>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1134"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地    址</w:t>
            </w:r>
          </w:p>
        </w:tc>
        <w:tc>
          <w:tcPr>
            <w:tcW w:w="5342" w:type="dxa"/>
            <w:gridSpan w:val="4"/>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经营范围</w:t>
            </w:r>
          </w:p>
        </w:tc>
        <w:tc>
          <w:tcPr>
            <w:tcW w:w="8076" w:type="dxa"/>
            <w:gridSpan w:val="6"/>
            <w:vAlign w:val="center"/>
          </w:tcPr>
          <w:p>
            <w:pPr>
              <w:autoSpaceDE w:val="0"/>
              <w:snapToGrid w:val="0"/>
              <w:spacing w:line="360" w:lineRule="auto"/>
              <w:rPr>
                <w:rFonts w:asciiTheme="minorEastAsia" w:hAnsiTheme="minorEastAsia" w:eastAsiaTheme="minorEastAsia" w:cstheme="minorEastAsia"/>
                <w:color w:val="auto"/>
                <w:sz w:val="24"/>
                <w:highlight w:val="none"/>
                <w:lang w:val="zh-CN"/>
              </w:rPr>
            </w:pPr>
          </w:p>
          <w:p>
            <w:pPr>
              <w:autoSpaceDE w:val="0"/>
              <w:snapToGrid w:val="0"/>
              <w:spacing w:line="360" w:lineRule="auto"/>
              <w:rPr>
                <w:rFonts w:asciiTheme="minorEastAsia" w:hAnsiTheme="minorEastAsia" w:eastAsiaTheme="minorEastAsia" w:cstheme="minorEastAsia"/>
                <w:color w:val="auto"/>
                <w:sz w:val="24"/>
                <w:highlight w:val="none"/>
                <w:lang w:val="zh-CN"/>
              </w:rPr>
            </w:pPr>
          </w:p>
          <w:p>
            <w:pPr>
              <w:autoSpaceDE w:val="0"/>
              <w:snapToGrid w:val="0"/>
              <w:spacing w:line="360" w:lineRule="auto"/>
              <w:rPr>
                <w:rFonts w:asciiTheme="minorEastAsia" w:hAnsiTheme="minorEastAsia" w:eastAsiaTheme="minorEastAsia" w:cstheme="minorEastAsia"/>
                <w:color w:val="auto"/>
                <w:sz w:val="24"/>
                <w:highlight w:val="none"/>
                <w:lang w:val="zh-CN"/>
              </w:rPr>
            </w:pPr>
          </w:p>
          <w:p>
            <w:pPr>
              <w:autoSpaceDE w:val="0"/>
              <w:snapToGrid w:val="0"/>
              <w:spacing w:line="360" w:lineRule="auto"/>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职工</w:t>
            </w:r>
          </w:p>
        </w:tc>
        <w:tc>
          <w:tcPr>
            <w:tcW w:w="4348" w:type="dxa"/>
            <w:gridSpan w:val="3"/>
            <w:vAlign w:val="center"/>
          </w:tcPr>
          <w:p>
            <w:pPr>
              <w:autoSpaceDE w:val="0"/>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人数</w:t>
            </w:r>
          </w:p>
        </w:tc>
        <w:tc>
          <w:tcPr>
            <w:tcW w:w="3728" w:type="dxa"/>
            <w:gridSpan w:val="3"/>
            <w:vAlign w:val="center"/>
          </w:tcPr>
          <w:p>
            <w:pPr>
              <w:autoSpaceDE w:val="0"/>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具有执业资格的管理人员人数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4348" w:type="dxa"/>
            <w:gridSpan w:val="3"/>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3728" w:type="dxa"/>
            <w:gridSpan w:val="3"/>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获奖情况</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(荣誉)</w:t>
            </w:r>
          </w:p>
        </w:tc>
        <w:tc>
          <w:tcPr>
            <w:tcW w:w="8076" w:type="dxa"/>
            <w:gridSpan w:val="6"/>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17"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位</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简</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历</w:t>
            </w:r>
          </w:p>
        </w:tc>
        <w:tc>
          <w:tcPr>
            <w:tcW w:w="8076" w:type="dxa"/>
            <w:gridSpan w:val="6"/>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bl>
    <w:p>
      <w:pPr>
        <w:autoSpaceDE w:val="0"/>
        <w:snapToGrid w:val="0"/>
        <w:spacing w:line="360" w:lineRule="auto"/>
        <w:ind w:firstLine="84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附企业、人员的相关证书复印件。如有其它补充材料，格式自拟。（文本中已提供的资料无需重复提供）</w:t>
      </w:r>
    </w:p>
    <w:p>
      <w:pPr>
        <w:snapToGrid w:val="0"/>
        <w:spacing w:line="360" w:lineRule="auto"/>
        <w:ind w:firstLine="576"/>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 xml:space="preserve">名称(电子签名)：                </w:t>
      </w:r>
    </w:p>
    <w:p>
      <w:pPr>
        <w:snapToGrid w:val="0"/>
        <w:spacing w:line="360" w:lineRule="auto"/>
        <w:ind w:firstLine="576"/>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jc w:val="lef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参考格式2</w:t>
      </w:r>
    </w:p>
    <w:p>
      <w:pPr>
        <w:autoSpaceDE w:val="0"/>
        <w:spacing w:line="360" w:lineRule="auto"/>
        <w:ind w:firstLine="12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0"/>
          <w:szCs w:val="30"/>
          <w:highlight w:val="none"/>
        </w:rPr>
        <w:t>20  年  月  日以</w:t>
      </w:r>
      <w:r>
        <w:rPr>
          <w:rFonts w:hint="eastAsia" w:asciiTheme="minorEastAsia" w:hAnsiTheme="minorEastAsia" w:eastAsiaTheme="minorEastAsia" w:cstheme="minorEastAsia"/>
          <w:b/>
          <w:color w:val="auto"/>
          <w:sz w:val="30"/>
          <w:szCs w:val="30"/>
          <w:highlight w:val="none"/>
          <w:lang w:val="zh-CN"/>
        </w:rPr>
        <w:t>来主要业绩证明</w:t>
      </w:r>
    </w:p>
    <w:p>
      <w:pPr>
        <w:autoSpaceDE w:val="0"/>
        <w:spacing w:line="360" w:lineRule="auto"/>
        <w:ind w:firstLine="1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附表：相关项目业绩一览表</w:t>
      </w:r>
    </w:p>
    <w:tbl>
      <w:tblPr>
        <w:tblStyle w:val="18"/>
        <w:tblW w:w="4997" w:type="pct"/>
        <w:tblInd w:w="0" w:type="dxa"/>
        <w:tblLayout w:type="autofit"/>
        <w:tblCellMar>
          <w:top w:w="0" w:type="dxa"/>
          <w:left w:w="108" w:type="dxa"/>
          <w:bottom w:w="0" w:type="dxa"/>
          <w:right w:w="108" w:type="dxa"/>
        </w:tblCellMar>
      </w:tblPr>
      <w:tblGrid>
        <w:gridCol w:w="1187"/>
        <w:gridCol w:w="1224"/>
        <w:gridCol w:w="1274"/>
        <w:gridCol w:w="1250"/>
        <w:gridCol w:w="1029"/>
        <w:gridCol w:w="2582"/>
        <w:gridCol w:w="734"/>
      </w:tblGrid>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项目名称</w:t>
            </w:r>
          </w:p>
        </w:tc>
        <w:tc>
          <w:tcPr>
            <w:tcW w:w="659"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项目类型</w:t>
            </w:r>
          </w:p>
        </w:tc>
        <w:tc>
          <w:tcPr>
            <w:tcW w:w="686"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简要描述</w:t>
            </w:r>
          </w:p>
        </w:tc>
        <w:tc>
          <w:tcPr>
            <w:tcW w:w="673"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项目投资（万元）</w:t>
            </w:r>
          </w:p>
        </w:tc>
        <w:tc>
          <w:tcPr>
            <w:tcW w:w="554"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合同签订日期</w:t>
            </w:r>
          </w:p>
        </w:tc>
        <w:tc>
          <w:tcPr>
            <w:tcW w:w="1390"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项目地址与采购单位联系电话</w:t>
            </w:r>
          </w:p>
        </w:tc>
        <w:tc>
          <w:tcPr>
            <w:tcW w:w="395"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所在页码</w:t>
            </w: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r>
    </w:tbl>
    <w:p>
      <w:pPr>
        <w:autoSpaceDE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注：投标供应商可按上述的格式自行编制，须随表提交相应的业绩证明材料（详见评分要求）并注明所在投标商务文件页码。</w:t>
      </w:r>
    </w:p>
    <w:p>
      <w:pPr>
        <w:snapToGrid w:val="0"/>
        <w:spacing w:line="360" w:lineRule="auto"/>
        <w:ind w:firstLine="576"/>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 xml:space="preserve">名称(电子签名)：                </w:t>
      </w:r>
    </w:p>
    <w:p>
      <w:pPr>
        <w:snapToGrid w:val="0"/>
        <w:spacing w:line="360" w:lineRule="auto"/>
        <w:ind w:firstLine="576"/>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 xml:space="preserve"> 日期：</w:t>
      </w:r>
      <w:r>
        <w:rPr>
          <w:rFonts w:hint="eastAsia" w:asciiTheme="minorEastAsia" w:hAnsiTheme="minorEastAsia" w:eastAsiaTheme="minorEastAsia" w:cstheme="minorEastAsia"/>
          <w:color w:val="auto"/>
          <w:sz w:val="24"/>
          <w:highlight w:val="none"/>
        </w:rPr>
        <w:t xml:space="preserve">    年   月   日</w:t>
      </w:r>
    </w:p>
    <w:p>
      <w:pPr>
        <w:rPr>
          <w:rFonts w:asciiTheme="minorEastAsia" w:hAnsiTheme="minorEastAsia" w:eastAsiaTheme="minorEastAsia" w:cstheme="minorEastAsia"/>
          <w:b/>
          <w:color w:val="auto"/>
          <w:kern w:val="0"/>
          <w:sz w:val="28"/>
          <w:highlight w:val="none"/>
        </w:rPr>
      </w:pPr>
    </w:p>
    <w:p>
      <w:pPr>
        <w:rPr>
          <w:rFonts w:asciiTheme="minorEastAsia" w:hAnsiTheme="minorEastAsia" w:eastAsiaTheme="minorEastAsia" w:cstheme="minorEastAsia"/>
          <w:b/>
          <w:color w:val="auto"/>
          <w:kern w:val="0"/>
          <w:sz w:val="28"/>
          <w:highlight w:val="none"/>
        </w:rPr>
      </w:pPr>
    </w:p>
    <w:p>
      <w:pPr>
        <w:rPr>
          <w:rFonts w:asciiTheme="minorEastAsia" w:hAnsiTheme="minorEastAsia" w:eastAsiaTheme="minorEastAsia" w:cstheme="minorEastAsia"/>
          <w:b/>
          <w:color w:val="auto"/>
          <w:kern w:val="0"/>
          <w:sz w:val="28"/>
          <w:highlight w:val="none"/>
        </w:rPr>
      </w:pPr>
    </w:p>
    <w:p>
      <w:pPr>
        <w:rPr>
          <w:rFonts w:asciiTheme="minorEastAsia" w:hAnsiTheme="minorEastAsia" w:eastAsiaTheme="minorEastAsia" w:cstheme="minorEastAsia"/>
          <w:b/>
          <w:color w:val="auto"/>
          <w:kern w:val="0"/>
          <w:sz w:val="28"/>
          <w:highlight w:val="none"/>
        </w:rPr>
      </w:pPr>
      <w:r>
        <w:rPr>
          <w:rFonts w:hint="eastAsia" w:asciiTheme="minorEastAsia" w:hAnsiTheme="minorEastAsia" w:eastAsiaTheme="minorEastAsia" w:cstheme="minorEastAsia"/>
          <w:b/>
          <w:color w:val="auto"/>
          <w:kern w:val="0"/>
          <w:sz w:val="28"/>
          <w:highlight w:val="none"/>
        </w:rPr>
        <w:t>参考格式3</w:t>
      </w:r>
    </w:p>
    <w:p>
      <w:pPr>
        <w:jc w:val="center"/>
        <w:rPr>
          <w:rFonts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拟投入项目成员情况表</w:t>
      </w:r>
    </w:p>
    <w:tbl>
      <w:tblPr>
        <w:tblStyle w:val="18"/>
        <w:tblW w:w="4997" w:type="pct"/>
        <w:jc w:val="center"/>
        <w:tblLayout w:type="autofit"/>
        <w:tblCellMar>
          <w:top w:w="0" w:type="dxa"/>
          <w:left w:w="108" w:type="dxa"/>
          <w:bottom w:w="0" w:type="dxa"/>
          <w:right w:w="108" w:type="dxa"/>
        </w:tblCellMar>
      </w:tblPr>
      <w:tblGrid>
        <w:gridCol w:w="973"/>
        <w:gridCol w:w="685"/>
        <w:gridCol w:w="802"/>
        <w:gridCol w:w="728"/>
        <w:gridCol w:w="1321"/>
        <w:gridCol w:w="901"/>
        <w:gridCol w:w="1239"/>
        <w:gridCol w:w="1152"/>
        <w:gridCol w:w="734"/>
        <w:gridCol w:w="745"/>
      </w:tblGrid>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团队</w:t>
            </w:r>
          </w:p>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学历/专业</w:t>
            </w: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职称/执业资格</w:t>
            </w: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证书号码</w:t>
            </w: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对应页码</w:t>
            </w: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自行补充</w:t>
            </w: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项目负责人</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bl>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360" w:lineRule="auto"/>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名称(电子签名)：</w:t>
      </w:r>
    </w:p>
    <w:p>
      <w:pPr>
        <w:spacing w:line="360" w:lineRule="auto"/>
        <w:jc w:val="center"/>
        <w:rPr>
          <w:rFonts w:asciiTheme="minorEastAsia" w:hAnsiTheme="minorEastAsia" w:eastAsiaTheme="minorEastAsia" w:cstheme="minorEastAsia"/>
          <w:b/>
          <w:color w:val="auto"/>
          <w:kern w:val="0"/>
          <w:sz w:val="32"/>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28"/>
          <w:highlight w:val="none"/>
        </w:rPr>
        <w:br w:type="page"/>
      </w:r>
      <w:r>
        <w:rPr>
          <w:rFonts w:hint="eastAsia" w:asciiTheme="minorEastAsia" w:hAnsiTheme="minorEastAsia" w:eastAsiaTheme="minorEastAsia" w:cstheme="minorEastAsia"/>
          <w:b/>
          <w:color w:val="auto"/>
          <w:kern w:val="0"/>
          <w:sz w:val="28"/>
          <w:highlight w:val="none"/>
        </w:rPr>
        <w:t>五</w:t>
      </w:r>
      <w:r>
        <w:rPr>
          <w:rFonts w:hint="eastAsia" w:asciiTheme="minorEastAsia" w:hAnsiTheme="minorEastAsia" w:eastAsiaTheme="minorEastAsia" w:cstheme="minorEastAsia"/>
          <w:b/>
          <w:color w:val="auto"/>
          <w:kern w:val="0"/>
          <w:sz w:val="32"/>
          <w:szCs w:val="32"/>
          <w:highlight w:val="none"/>
        </w:rPr>
        <w:t>、投标标的清单</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1365"/>
        <w:gridCol w:w="1365"/>
        <w:gridCol w:w="1365"/>
        <w:gridCol w:w="136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735" w:type="pct"/>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pPr>
              <w:spacing w:line="360" w:lineRule="auto"/>
              <w:jc w:val="center"/>
              <w:rPr>
                <w:rFonts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r>
    </w:tbl>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六、商务技术偏离表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498"/>
        <w:gridCol w:w="3498"/>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883" w:type="pct"/>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1883" w:type="pct"/>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773" w:type="pct"/>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773" w:type="pct"/>
          </w:tcPr>
          <w:p>
            <w:pPr>
              <w:jc w:val="center"/>
              <w:rPr>
                <w:rFonts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773" w:type="pct"/>
          </w:tcPr>
          <w:p>
            <w:pPr>
              <w:jc w:val="center"/>
              <w:rPr>
                <w:rFonts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773" w:type="pct"/>
          </w:tcPr>
          <w:p>
            <w:pPr>
              <w:jc w:val="center"/>
              <w:rPr>
                <w:rFonts w:asciiTheme="minorEastAsia" w:hAnsiTheme="minorEastAsia" w:eastAsiaTheme="minorEastAsia" w:cstheme="minorEastAsia"/>
                <w:b/>
                <w:color w:val="auto"/>
                <w:kern w:val="0"/>
                <w:sz w:val="32"/>
                <w:szCs w:val="32"/>
                <w:highlight w:val="none"/>
              </w:rPr>
            </w:pPr>
          </w:p>
        </w:tc>
      </w:tr>
    </w:tbl>
    <w:p>
      <w:pPr>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p>
    <w:p>
      <w:pPr>
        <w:jc w:val="center"/>
        <w:rPr>
          <w:rFonts w:asciiTheme="minorEastAsia" w:hAnsiTheme="minorEastAsia" w:eastAsiaTheme="minorEastAsia" w:cstheme="minorEastAsia"/>
          <w:b/>
          <w:color w:val="auto"/>
          <w:kern w:val="0"/>
          <w:sz w:val="32"/>
          <w:szCs w:val="32"/>
          <w:highlight w:val="none"/>
        </w:rPr>
      </w:pPr>
    </w:p>
    <w:p>
      <w:pPr>
        <w:spacing w:line="360" w:lineRule="auto"/>
        <w:ind w:right="4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注：按本格式和要求提供。</w:t>
      </w:r>
    </w:p>
    <w:p>
      <w:pPr>
        <w:rPr>
          <w:rFonts w:asciiTheme="minorEastAsia" w:hAnsiTheme="minorEastAsia" w:eastAsiaTheme="minorEastAsia" w:cstheme="minorEastAsia"/>
          <w:b/>
          <w:bCs/>
          <w:color w:val="auto"/>
          <w:sz w:val="32"/>
          <w:szCs w:val="32"/>
          <w:highlight w:val="none"/>
        </w:rPr>
      </w:pPr>
    </w:p>
    <w:p>
      <w:pPr>
        <w:ind w:firstLine="1911" w:firstLineChars="595"/>
        <w:rPr>
          <w:rFonts w:asciiTheme="minorEastAsia" w:hAnsiTheme="minorEastAsia" w:eastAsiaTheme="minorEastAsia" w:cstheme="minorEastAsia"/>
          <w:b/>
          <w:bCs/>
          <w:color w:val="auto"/>
          <w:sz w:val="32"/>
          <w:szCs w:val="32"/>
          <w:highlight w:val="none"/>
        </w:rPr>
      </w:pPr>
    </w:p>
    <w:p>
      <w:pPr>
        <w:ind w:firstLine="1911" w:firstLineChars="595"/>
        <w:rPr>
          <w:rFonts w:asciiTheme="minorEastAsia" w:hAnsiTheme="minorEastAsia" w:eastAsiaTheme="minorEastAsia" w:cstheme="minorEastAsia"/>
          <w:b/>
          <w:bCs/>
          <w:color w:val="auto"/>
          <w:sz w:val="32"/>
          <w:szCs w:val="32"/>
          <w:highlight w:val="none"/>
        </w:rPr>
      </w:pPr>
    </w:p>
    <w:p>
      <w:pP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pPr>
        <w:adjustRightInd w:val="0"/>
        <w:spacing w:line="360" w:lineRule="auto"/>
        <w:ind w:firstLine="1911" w:firstLineChars="595"/>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七、</w:t>
      </w:r>
      <w:r>
        <w:rPr>
          <w:rFonts w:hint="eastAsia" w:asciiTheme="minorEastAsia" w:hAnsiTheme="minorEastAsia" w:eastAsiaTheme="minorEastAsia" w:cstheme="minorEastAsia"/>
          <w:b/>
          <w:color w:val="auto"/>
          <w:kern w:val="0"/>
          <w:sz w:val="32"/>
          <w:szCs w:val="32"/>
          <w:highlight w:val="none"/>
          <w:lang w:val="zh-CN"/>
        </w:rPr>
        <w:t>采购供应商廉洁自律承诺书</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浙江省杭州第十一中学</w:t>
      </w:r>
      <w:r>
        <w:rPr>
          <w:rFonts w:hint="eastAsia" w:asciiTheme="minorEastAsia" w:hAnsiTheme="minorEastAsia" w:eastAsiaTheme="minorEastAsia" w:cstheme="minorEastAsia"/>
          <w:color w:val="auto"/>
          <w:sz w:val="24"/>
          <w:highlight w:val="none"/>
        </w:rPr>
        <w:t>、杭州洲源招标代理有限公司</w:t>
      </w:r>
      <w:r>
        <w:rPr>
          <w:rFonts w:hint="eastAsia" w:asciiTheme="minorEastAsia" w:hAnsiTheme="minorEastAsia" w:eastAsiaTheme="minorEastAsia" w:cstheme="minorEastAsia"/>
          <w:color w:val="auto"/>
          <w:kern w:val="0"/>
          <w:sz w:val="24"/>
          <w:highlight w:val="none"/>
          <w:lang w:val="zh-CN"/>
        </w:rPr>
        <w:t>：</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pPr>
        <w:spacing w:line="360" w:lineRule="auto"/>
        <w:ind w:left="4620" w:leftChars="2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pPr>
        <w:spacing w:line="360" w:lineRule="auto"/>
        <w:jc w:val="center"/>
        <w:rPr>
          <w:rFonts w:asciiTheme="minorEastAsia" w:hAnsiTheme="minorEastAsia" w:eastAsiaTheme="minorEastAsia" w:cstheme="minorEastAsia"/>
          <w:b/>
          <w:bCs/>
          <w:color w:val="auto"/>
          <w:sz w:val="24"/>
          <w:highlight w:val="none"/>
        </w:rPr>
      </w:pPr>
    </w:p>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spacing w:line="360" w:lineRule="auto"/>
        <w:jc w:val="center"/>
        <w:rPr>
          <w:rFonts w:asciiTheme="minorEastAsia" w:hAnsiTheme="minorEastAsia" w:eastAsiaTheme="minorEastAsia" w:cstheme="minorEastAsia"/>
          <w:b/>
          <w:bCs/>
          <w:color w:val="auto"/>
          <w:sz w:val="24"/>
          <w:highlight w:val="none"/>
        </w:rPr>
        <w:sectPr>
          <w:headerReference r:id="rId6" w:type="first"/>
          <w:footerReference r:id="rId8" w:type="first"/>
          <w:headerReference r:id="rId5" w:type="default"/>
          <w:footerReference r:id="rId7" w:type="default"/>
          <w:pgSz w:w="11906" w:h="16838"/>
          <w:pgMar w:top="1417" w:right="1418" w:bottom="1417" w:left="1418" w:header="851" w:footer="992" w:gutter="0"/>
          <w:cols w:space="720" w:num="1"/>
          <w:titlePg/>
          <w:docGrid w:linePitch="312" w:charSpace="0"/>
        </w:sectPr>
      </w:pP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numPr>
          <w:ilvl w:val="0"/>
          <w:numId w:val="21"/>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开标一览表（报价表）……………………………………………………（页码）</w:t>
      </w:r>
    </w:p>
    <w:p>
      <w:pPr>
        <w:numPr>
          <w:ilvl w:val="0"/>
          <w:numId w:val="21"/>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中小企业声明函……………………………………………………………（页码）</w:t>
      </w: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pStyle w:val="39"/>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pStyle w:val="39"/>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浙江省杭州第十一中学</w:t>
      </w:r>
      <w:r>
        <w:rPr>
          <w:rFonts w:hint="eastAsia" w:asciiTheme="minorEastAsia" w:hAnsiTheme="minorEastAsia" w:eastAsiaTheme="minorEastAsia" w:cstheme="minorEastAsia"/>
          <w:color w:val="auto"/>
          <w:sz w:val="24"/>
          <w:highlight w:val="none"/>
        </w:rPr>
        <w:t>、杭州洲源招标代理有限公司</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zh-CN"/>
        </w:rPr>
        <w:t>本投标文件签字方</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lang w:eastAsia="zh-CN"/>
        </w:rPr>
        <w:t>智慧校园建设二期</w:t>
      </w:r>
      <w:r>
        <w:rPr>
          <w:rFonts w:hint="eastAsia" w:asciiTheme="minorEastAsia" w:hAnsiTheme="minorEastAsia" w:eastAsiaTheme="minorEastAsia" w:cstheme="minorEastAsia"/>
          <w:color w:val="auto"/>
          <w:kern w:val="0"/>
          <w:sz w:val="24"/>
          <w:highlight w:val="none"/>
          <w:lang w:val="zh-CN"/>
        </w:rPr>
        <w:t>【项目编号：</w:t>
      </w:r>
      <w:r>
        <w:rPr>
          <w:rFonts w:hint="eastAsia" w:asciiTheme="minorEastAsia" w:hAnsiTheme="minorEastAsia" w:eastAsiaTheme="minorEastAsia" w:cstheme="minorEastAsia"/>
          <w:color w:val="auto"/>
          <w:sz w:val="24"/>
          <w:highlight w:val="none"/>
          <w:lang w:eastAsia="zh-CN"/>
        </w:rPr>
        <w:t>HSYZ-2025-021</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pPr>
        <w:spacing w:line="360" w:lineRule="auto"/>
        <w:jc w:val="center"/>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开标一览表（报价表）(单位均为人民币元)</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834"/>
        <w:gridCol w:w="1909"/>
        <w:gridCol w:w="2028"/>
        <w:gridCol w:w="1909"/>
        <w:gridCol w:w="1790"/>
        <w:gridCol w:w="1790"/>
        <w:gridCol w:w="179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236"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87"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657" w:type="pct"/>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697"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657"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616"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616" w:type="pct"/>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服务人数</w:t>
            </w:r>
          </w:p>
        </w:tc>
        <w:tc>
          <w:tcPr>
            <w:tcW w:w="616"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项目负责人</w:t>
            </w:r>
          </w:p>
        </w:tc>
        <w:tc>
          <w:tcPr>
            <w:tcW w:w="616" w:type="pct"/>
            <w:vAlign w:val="center"/>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pPr>
              <w:spacing w:line="360" w:lineRule="auto"/>
              <w:jc w:val="center"/>
              <w:rPr>
                <w:rFonts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878" w:type="pct"/>
            <w:gridSpan w:val="4"/>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投标报价（小写）</w:t>
            </w:r>
          </w:p>
        </w:tc>
        <w:tc>
          <w:tcPr>
            <w:tcW w:w="3121" w:type="pct"/>
            <w:gridSpan w:val="5"/>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78" w:type="pct"/>
            <w:gridSpan w:val="4"/>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投标报价（大写）</w:t>
            </w:r>
          </w:p>
        </w:tc>
        <w:tc>
          <w:tcPr>
            <w:tcW w:w="3121" w:type="pct"/>
            <w:gridSpan w:val="5"/>
          </w:tcPr>
          <w:p>
            <w:pPr>
              <w:spacing w:line="360" w:lineRule="auto"/>
              <w:jc w:val="center"/>
              <w:rPr>
                <w:rFonts w:asciiTheme="minorEastAsia" w:hAnsiTheme="minorEastAsia" w:eastAsiaTheme="minorEastAsia" w:cstheme="minorEastAsia"/>
                <w:color w:val="auto"/>
                <w:sz w:val="24"/>
                <w:highlight w:val="none"/>
              </w:rPr>
            </w:pPr>
          </w:p>
        </w:tc>
      </w:tr>
    </w:tbl>
    <w:p>
      <w:pPr>
        <w:snapToGrid w:val="0"/>
        <w:spacing w:line="360" w:lineRule="auto"/>
        <w:ind w:left="480"/>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pPr>
        <w:spacing w:line="360" w:lineRule="auto"/>
        <w:ind w:left="-2" w:leftChars="-1"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1、投标人需按本表格式填写</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b/>
          <w:color w:val="auto"/>
          <w:kern w:val="0"/>
          <w:sz w:val="24"/>
          <w:highlight w:val="none"/>
          <w:lang w:val="zh-CN"/>
        </w:rPr>
        <w:t>；</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bCs/>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5、项目负责人应与商务技术文件中一致</w:t>
      </w:r>
      <w:r>
        <w:rPr>
          <w:rFonts w:hint="eastAsia" w:asciiTheme="minorEastAsia" w:hAnsiTheme="minorEastAsia" w:eastAsiaTheme="minorEastAsia" w:cstheme="minorEastAsia"/>
          <w:color w:val="auto"/>
          <w:kern w:val="0"/>
          <w:sz w:val="24"/>
          <w:highlight w:val="none"/>
          <w:lang w:val="zh-CN"/>
        </w:rPr>
        <w:t>。</w:t>
      </w:r>
    </w:p>
    <w:p>
      <w:pPr>
        <w:spacing w:line="360" w:lineRule="auto"/>
        <w:ind w:firstLine="482" w:firstLineChars="200"/>
        <w:rPr>
          <w:rFonts w:asciiTheme="minorEastAsia" w:hAnsiTheme="minorEastAsia" w:eastAsiaTheme="minorEastAsia" w:cstheme="minorEastAsia"/>
          <w:b/>
          <w:color w:val="auto"/>
          <w:kern w:val="0"/>
          <w:sz w:val="24"/>
          <w:highlight w:val="none"/>
        </w:rPr>
      </w:pPr>
    </w:p>
    <w:p>
      <w:pPr>
        <w:pStyle w:val="39"/>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pPr>
        <w:pStyle w:val="39"/>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9"/>
        <w:keepNext w:val="0"/>
        <w:pageBreakBefore w:val="0"/>
        <w:tabs>
          <w:tab w:val="clear" w:pos="720"/>
        </w:tabs>
        <w:snapToGrid w:val="0"/>
        <w:spacing w:before="120" w:after="120"/>
        <w:jc w:val="both"/>
        <w:outlineLvl w:val="9"/>
        <w:rPr>
          <w:rFonts w:asciiTheme="minorEastAsia" w:hAnsiTheme="minorEastAsia" w:eastAsiaTheme="minorEastAsia" w:cstheme="minorEastAsia"/>
          <w:color w:val="auto"/>
          <w:kern w:val="2"/>
          <w:sz w:val="32"/>
          <w:szCs w:val="32"/>
          <w:highlight w:val="none"/>
        </w:rPr>
      </w:pPr>
    </w:p>
    <w:p>
      <w:pPr>
        <w:pStyle w:val="39"/>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pPr>
        <w:pStyle w:val="39"/>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lang w:val="en-US" w:eastAsia="zh-CN"/>
        </w:rPr>
        <w:t>二</w:t>
      </w:r>
      <w:r>
        <w:rPr>
          <w:rFonts w:hint="eastAsia" w:asciiTheme="minorEastAsia" w:hAnsiTheme="minorEastAsia" w:eastAsiaTheme="minorEastAsia" w:cstheme="minorEastAsia"/>
          <w:color w:val="auto"/>
          <w:kern w:val="2"/>
          <w:sz w:val="32"/>
          <w:szCs w:val="32"/>
          <w:highlight w:val="none"/>
        </w:rPr>
        <w:t>、</w:t>
      </w:r>
      <w:r>
        <w:rPr>
          <w:rFonts w:hint="eastAsia" w:asciiTheme="minorEastAsia" w:hAnsiTheme="minorEastAsia" w:eastAsiaTheme="minorEastAsia" w:cstheme="minorEastAsia"/>
          <w:color w:val="auto"/>
          <w:sz w:val="32"/>
          <w:szCs w:val="32"/>
          <w:highlight w:val="none"/>
        </w:rPr>
        <w:t>中小企业声明函（如果有）</w:t>
      </w:r>
    </w:p>
    <w:p>
      <w:pPr>
        <w:widowControl/>
        <w:spacing w:line="360" w:lineRule="auto"/>
        <w:ind w:firstLine="120" w:firstLineChars="5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p>
    <w:p>
      <w:pPr>
        <w:spacing w:line="360" w:lineRule="auto"/>
        <w:jc w:val="left"/>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pPr>
        <w:spacing w:line="360" w:lineRule="auto"/>
        <w:jc w:val="center"/>
        <w:rPr>
          <w:rFonts w:asciiTheme="minorEastAsia" w:hAnsiTheme="minorEastAsia" w:eastAsiaTheme="minorEastAsia" w:cstheme="minorEastAsia"/>
          <w:b/>
          <w:color w:val="auto"/>
          <w:spacing w:val="6"/>
          <w:sz w:val="32"/>
          <w:szCs w:val="32"/>
          <w:highlight w:val="none"/>
        </w:rPr>
      </w:pPr>
      <w:bookmarkStart w:id="510" w:name="OLE_LINK13"/>
      <w:bookmarkStart w:id="511" w:name="OLE_LINK14"/>
      <w:r>
        <w:rPr>
          <w:rFonts w:hint="eastAsia" w:asciiTheme="minorEastAsia" w:hAnsiTheme="minorEastAsia" w:eastAsiaTheme="minorEastAsia" w:cstheme="minorEastAsia"/>
          <w:b/>
          <w:color w:val="auto"/>
          <w:spacing w:val="6"/>
          <w:sz w:val="32"/>
          <w:szCs w:val="32"/>
          <w:highlight w:val="none"/>
        </w:rPr>
        <w:t>残疾人福利性单位声明函</w:t>
      </w:r>
    </w:p>
    <w:bookmarkEnd w:id="510"/>
    <w:bookmarkEnd w:id="511"/>
    <w:p>
      <w:pPr>
        <w:spacing w:line="360" w:lineRule="auto"/>
        <w:rPr>
          <w:rFonts w:asciiTheme="minorEastAsia" w:hAnsiTheme="minorEastAsia" w:eastAsiaTheme="minorEastAsia" w:cstheme="minorEastAsia"/>
          <w:b/>
          <w:color w:val="auto"/>
          <w:spacing w:val="6"/>
          <w:sz w:val="30"/>
          <w:szCs w:val="30"/>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浙江省杭州第十一中学</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智慧校园建设二期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pPr>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p>
    <w:p>
      <w:pPr>
        <w:tabs>
          <w:tab w:val="left" w:pos="4860"/>
        </w:tabs>
        <w:spacing w:line="360" w:lineRule="auto"/>
        <w:ind w:right="1560"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pPr>
        <w:tabs>
          <w:tab w:val="left" w:pos="4860"/>
        </w:tabs>
        <w:spacing w:line="360" w:lineRule="auto"/>
        <w:ind w:right="1560"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    年   月   日</w:t>
      </w:r>
    </w:p>
    <w:p>
      <w:pPr>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pPr>
        <w:snapToGrid w:val="0"/>
        <w:spacing w:before="240" w:beforeLines="100"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jc w:val="center"/>
        <w:rPr>
          <w:rFonts w:asciiTheme="minorEastAsia" w:hAnsiTheme="minorEastAsia" w:eastAsiaTheme="minorEastAsia" w:cstheme="minorEastAsia"/>
          <w:b/>
          <w:bCs/>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Theme="minorEastAsia" w:hAnsiTheme="minorEastAsia" w:eastAsiaTheme="minorEastAsia" w:cstheme="minorEastAsia"/>
          <w:color w:val="auto"/>
          <w:sz w:val="30"/>
          <w:szCs w:val="30"/>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left"/>
        <w:rPr>
          <w:rFonts w:asciiTheme="minorEastAsia" w:hAnsiTheme="minorEastAsia" w:eastAsiaTheme="minorEastAsia" w:cstheme="minorEastAsia"/>
          <w:b/>
          <w:color w:val="auto"/>
          <w:spacing w:val="6"/>
          <w:sz w:val="32"/>
          <w:szCs w:val="32"/>
          <w:highlight w:val="none"/>
        </w:rPr>
      </w:pPr>
    </w:p>
    <w:p>
      <w:pPr>
        <w:spacing w:line="360" w:lineRule="auto"/>
        <w:jc w:val="left"/>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tabs>
          <w:tab w:val="left" w:pos="6510"/>
        </w:tabs>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p>
    <w:p>
      <w:pPr>
        <w:tabs>
          <w:tab w:val="left" w:pos="6510"/>
        </w:tabs>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pPr>
        <w:spacing w:line="360" w:lineRule="auto"/>
        <w:ind w:firstLine="480" w:firstLineChars="200"/>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pPr>
        <w:widowControl/>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Theme="minorEastAsia" w:hAnsiTheme="minorEastAsia" w:eastAsiaTheme="minorEastAsia" w:cstheme="minorEastAsia"/>
          <w:b/>
          <w:color w:val="auto"/>
          <w:sz w:val="24"/>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autoSpaceDE w:val="0"/>
        <w:autoSpaceDN w:val="0"/>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pPr>
        <w:spacing w:line="360" w:lineRule="auto"/>
        <w:rPr>
          <w:rFonts w:asciiTheme="minorEastAsia" w:hAnsiTheme="minorEastAsia" w:eastAsiaTheme="minorEastAsia" w:cstheme="minorEastAsia"/>
          <w:color w:val="auto"/>
          <w:sz w:val="24"/>
          <w:highlight w:val="none"/>
          <w:u w:val="single"/>
        </w:rPr>
      </w:pP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浙江省杭州第十一中学</w:t>
      </w:r>
      <w:r>
        <w:rPr>
          <w:rFonts w:hint="eastAsia" w:asciiTheme="minorEastAsia" w:hAnsiTheme="minorEastAsia" w:eastAsiaTheme="minorEastAsia" w:cstheme="minorEastAsia"/>
          <w:color w:val="auto"/>
          <w:sz w:val="24"/>
          <w:highlight w:val="none"/>
        </w:rPr>
        <w:t>、杭州洲源招标代理有限公司：</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w:t>
      </w:r>
      <w:r>
        <w:rPr>
          <w:rFonts w:hint="eastAsia" w:asciiTheme="minorEastAsia" w:hAnsiTheme="minorEastAsia" w:eastAsiaTheme="minorEastAsia" w:cstheme="minorEastAsia"/>
          <w:color w:val="auto"/>
          <w:sz w:val="24"/>
          <w:highlight w:val="none"/>
          <w:lang w:eastAsia="zh-CN"/>
        </w:rPr>
        <w:t>智慧校园建设二期</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HSYZ-2025-021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right="480" w:firstLine="4560" w:firstLineChars="19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pPr>
        <w:ind w:right="1440" w:firstLine="494"/>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w:t>
      </w:r>
    </w:p>
    <w:p>
      <w:pPr>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矩形 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HP+MHYAAAACgEAAA8AAAAA&#10;AAAAAQAgAAAAIgAAAGRycy9kb3ducmV2LnhtbFBLAQIUABQAAAAIAIdO4kCCNCKb2wEAANMDAAAO&#10;AAAAAAAAAAEAIAAAACcBAABkcnMvZTJvRG9jLnhtbFBLBQYAAAAABgAGAFkBAAB0BQ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矩形 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07BY2AAAAAoBAAAPAAAA&#10;AAAAAAEAIAAAACIAAABkcnMvZG93bnJldi54bWxQSwECFAAUAAAACACHTuJAdGzyW9wBAADTAwAA&#10;DgAAAAAAAAABACAAAAAnAQAAZHJzL2Uyb0RvYy54bWxQSwUGAAAAAAYABgBZAQAAdQU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autoSpaceDE w:val="0"/>
        <w:autoSpaceDN w:val="0"/>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kern w:val="0"/>
          <w:sz w:val="32"/>
          <w:szCs w:val="32"/>
          <w:highlight w:val="none"/>
          <w:lang w:val="zh-CN"/>
        </w:rPr>
        <w:t>联合协议</w:t>
      </w:r>
    </w:p>
    <w:p>
      <w:pPr>
        <w:widowControl/>
        <w:spacing w:line="312" w:lineRule="auto"/>
        <w:ind w:firstLine="482"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lang w:eastAsia="zh-CN"/>
        </w:rPr>
        <w:t>智慧校园建设二期</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HSYZ-2025-021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投标。 </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pPr>
        <w:snapToGrid w:val="0"/>
        <w:spacing w:line="312"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w:t>
      </w:r>
      <w:bookmarkStart w:id="512" w:name="_Hlk101131882"/>
      <w:r>
        <w:rPr>
          <w:rFonts w:hint="eastAsia" w:asciiTheme="minorEastAsia" w:hAnsiTheme="minorEastAsia" w:eastAsiaTheme="minorEastAsia" w:cstheme="minorEastAsia"/>
          <w:color w:val="auto"/>
          <w:kern w:val="0"/>
          <w:sz w:val="24"/>
          <w:highlight w:val="none"/>
          <w:u w:val="single"/>
        </w:rPr>
        <w:t>联合体成员X,……</w:t>
      </w:r>
      <w:bookmarkEnd w:id="512"/>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提供的服务由小微企业承接，其合同份额占到合同总金额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w:t>
      </w:r>
      <w:bookmarkStart w:id="513" w:name="_Hlk101133598"/>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bookmarkEnd w:id="513"/>
      <w:r>
        <w:rPr>
          <w:rFonts w:hint="eastAsia" w:asciiTheme="minorEastAsia" w:hAnsiTheme="minorEastAsia" w:eastAsiaTheme="minorEastAsia" w:cstheme="minorEastAsia"/>
          <w:b/>
          <w:color w:val="auto"/>
          <w:kern w:val="0"/>
          <w:sz w:val="24"/>
          <w:highlight w:val="none"/>
          <w:lang w:val="zh-CN"/>
        </w:rPr>
        <w:t>）</w:t>
      </w:r>
    </w:p>
    <w:p>
      <w:pPr>
        <w:spacing w:line="312" w:lineRule="auto"/>
        <w:ind w:firstLine="480"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514"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514"/>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pPr>
        <w:snapToGrid w:val="0"/>
        <w:spacing w:line="312" w:lineRule="auto"/>
        <w:ind w:firstLine="4320" w:firstLineChars="18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snapToGrid w:val="0"/>
        <w:spacing w:line="312" w:lineRule="auto"/>
        <w:ind w:firstLine="4320" w:firstLineChars="18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 ……</w:t>
      </w:r>
    </w:p>
    <w:p>
      <w:pPr>
        <w:spacing w:line="312" w:lineRule="auto"/>
        <w:ind w:right="42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注：按本格式和要求提供。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snapToGrid w:val="0"/>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pacing w:val="6"/>
          <w:sz w:val="32"/>
          <w:szCs w:val="32"/>
          <w:highlight w:val="none"/>
        </w:rPr>
        <w:t>附件6：</w:t>
      </w:r>
      <w:r>
        <w:rPr>
          <w:rFonts w:hint="eastAsia" w:asciiTheme="minorEastAsia" w:hAnsiTheme="minorEastAsia" w:eastAsiaTheme="minorEastAsia" w:cstheme="minorEastAsia"/>
          <w:b/>
          <w:color w:val="auto"/>
          <w:kern w:val="0"/>
          <w:sz w:val="32"/>
          <w:szCs w:val="32"/>
          <w:highlight w:val="none"/>
        </w:rPr>
        <w:t>分包意向协议</w:t>
      </w:r>
    </w:p>
    <w:p>
      <w:pPr>
        <w:widowControl/>
        <w:spacing w:line="312"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lang w:eastAsia="zh-CN"/>
        </w:rPr>
        <w:t>智慧校园建设二期</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HSYZ-2025-021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（分包供应商2名称），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pPr>
        <w:pStyle w:val="2"/>
        <w:spacing w:line="312" w:lineRule="auto"/>
        <w:ind w:left="664" w:leftChars="316" w:firstLine="229" w:firstLineChars="95"/>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pPr>
        <w:spacing w:line="312"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kern w:val="0"/>
          <w:sz w:val="24"/>
          <w:highlight w:val="none"/>
          <w:lang w:val="zh-CN"/>
        </w:rPr>
        <w:t>二、分包供应商中小企业合同份额</w:t>
      </w:r>
    </w:p>
    <w:p>
      <w:pPr>
        <w:snapToGrid w:val="0"/>
        <w:spacing w:line="312"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（分包供应商X,……）提供的服务全部由小微企业承接，</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pPr>
        <w:spacing w:line="312" w:lineRule="auto"/>
        <w:ind w:firstLine="480"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pPr>
        <w:snapToGrid w:val="0"/>
        <w:spacing w:line="288"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pPr>
        <w:snapToGrid w:val="0"/>
        <w:spacing w:line="288" w:lineRule="auto"/>
        <w:ind w:firstLine="576"/>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pPr>
        <w:snapToGrid w:val="0"/>
        <w:spacing w:line="288"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pPr>
        <w:snapToGrid w:val="0"/>
        <w:spacing w:line="288"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pPr>
        <w:snapToGrid w:val="0"/>
        <w:spacing w:line="288"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pPr>
        <w:snapToGrid w:val="0"/>
        <w:spacing w:line="288"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八、其他</w:t>
      </w:r>
    </w:p>
    <w:p>
      <w:pPr>
        <w:snapToGrid w:val="0"/>
        <w:spacing w:line="288" w:lineRule="auto"/>
        <w:ind w:left="5758" w:leftChars="342" w:hanging="5040" w:hangingChars="2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  。                             投标人名称(电子签名)：</w:t>
      </w:r>
    </w:p>
    <w:p>
      <w:pPr>
        <w:snapToGrid w:val="0"/>
        <w:spacing w:line="312" w:lineRule="auto"/>
        <w:jc w:val="righ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pPr>
        <w:snapToGrid w:val="0"/>
        <w:spacing w:line="312" w:lineRule="auto"/>
        <w:ind w:firstLine="5760" w:firstLineChars="2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pPr>
        <w:spacing w:line="312" w:lineRule="auto"/>
        <w:ind w:right="42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注：按本格式和要求提供。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spacing w:line="336"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附件7：中小企业声明函（服务）</w:t>
      </w:r>
    </w:p>
    <w:p>
      <w:pPr>
        <w:spacing w:line="348" w:lineRule="auto"/>
        <w:ind w:firstLine="360" w:firstLineChars="1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lang w:eastAsia="zh-CN"/>
        </w:rPr>
        <w:t>浙江省杭州第十一中学</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智慧校园建设二期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采购活动，服务全部由符合政策要求的中小企业承接。相关企业（含联合体中的中小企业、签订分包意向协议的中小企业）的具体情况如下：</w:t>
      </w:r>
    </w:p>
    <w:p>
      <w:pPr>
        <w:spacing w:line="348"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软件和信息技术服务业</w:t>
      </w:r>
      <w:r>
        <w:rPr>
          <w:rFonts w:hint="eastAsia" w:asciiTheme="minorEastAsia" w:hAnsiTheme="minorEastAsia" w:eastAsiaTheme="minorEastAsia" w:cstheme="minorEastAsia"/>
          <w:color w:val="auto"/>
          <w:sz w:val="24"/>
          <w:highlight w:val="none"/>
        </w:rPr>
        <w:t xml:space="preserve"> ；承接企业为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pPr>
        <w:spacing w:line="348"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（标的名称），</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 xml:space="preserve">软件和信息技术服务业 </w:t>
      </w:r>
      <w:r>
        <w:rPr>
          <w:rFonts w:hint="eastAsia" w:asciiTheme="minorEastAsia" w:hAnsiTheme="minorEastAsia" w:eastAsiaTheme="minorEastAsia" w:cstheme="minorEastAsia"/>
          <w:color w:val="auto"/>
          <w:sz w:val="24"/>
          <w:highlight w:val="none"/>
        </w:rPr>
        <w:t xml:space="preserve">；承接企业为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pPr>
        <w:spacing w:line="348"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pPr>
        <w:spacing w:line="348"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pPr>
        <w:spacing w:line="348" w:lineRule="auto"/>
        <w:ind w:right="176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投标人名称（电子签名）：</w:t>
      </w:r>
    </w:p>
    <w:p>
      <w:pPr>
        <w:spacing w:line="348" w:lineRule="auto"/>
        <w:ind w:right="1120" w:firstLine="4680" w:firstLineChars="19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    年   月   日</w:t>
      </w:r>
    </w:p>
    <w:p>
      <w:pPr>
        <w:spacing w:line="348" w:lineRule="auto"/>
        <w:ind w:firstLine="325" w:firstLineChars="147"/>
        <w:jc w:val="left"/>
        <w:rPr>
          <w:rFonts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pPr>
        <w:spacing w:line="348" w:lineRule="auto"/>
        <w:ind w:right="420" w:firstLine="630" w:firstLineChars="300"/>
        <w:rPr>
          <w:rFonts w:asciiTheme="minorEastAsia" w:hAnsiTheme="minorEastAsia" w:eastAsiaTheme="minorEastAsia" w:cstheme="minorEastAsia"/>
          <w:color w:val="auto"/>
          <w:highlight w:val="none"/>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Segoe Print"/>
    <w:panose1 w:val="00000000000000000000"/>
    <w:charset w:val="00"/>
    <w:family w:val="decorative"/>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inherit">
    <w:altName w:val="Segoe Print"/>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32</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7pm2xM8BAACrAwAADgAAAAAAAAABACAAAAAfAQAAZHJz&#10;L2Uyb0RvYy54bWxQSwUGAAAAAAYABgBZAQAAY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69</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A8NIyPzgEAAKsDAAAOAAAAAAAAAAEAIAAAAB8BAABkcnMv&#10;ZTJvRG9jLnhtbFBLBQYAAAAABgAGAFkBAABf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69</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矩形 41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45</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2DPD3s8BAACrAwAADgAAAAAAAAABACAAAAAfAQAAZHJz&#10;L2Uyb0RvYy54bWxQSwUGAAAAAAYABgBZAQAAY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45</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矩形 410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u8zWWM8BAACrAwAADgAAAAAAAAABACAAAAAfAQAAZHJz&#10;L2Uyb0RvYy54bWxQSwUGAAAAAAYABgBZAQAAY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矩形 410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71</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EDxdfM8BAACrAwAADgAAAAAAAAABACAAAAAfAQAAZHJz&#10;L2Uyb0RvYy54bWxQSwUGAAAAAAYABgBZAQAAY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71</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szCs w:val="24"/>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83</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nchorCtr="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CL2nNtsBAAC6AwAADgAAAAAAAAAB&#10;ACAAAAAfAQAAZHJzL2Uyb0RvYy54bWxQSwUGAAAAAAYABgBZAQAAb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83</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end"/>
    </w:r>
  </w:p>
  <w:p>
    <w:pPr>
      <w:pStyle w:val="1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73</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nchorCtr="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Wx9+WtsBAAC6AwAADgAAAAAAAAAB&#10;ACAAAAAfAQAAZHJzL2Uyb0RvYy54bWxQSwUGAAAAAAYABgBZAQAAb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73</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b/>
        <w:i/>
        <w:u w:val="single"/>
      </w:rPr>
    </w:pPr>
    <w:r>
      <w:t></w:t>
    </w:r>
    <w:r>
      <w:rPr>
        <w:rFonts w:hint="eastAsia"/>
      </w:rPr>
      <w:t xml:space="preserve">                                                  </w:t>
    </w:r>
    <w:r>
      <w:t xml:space="preserve">            公开招标文件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b/>
        <w:i/>
        <w:u w:val="single"/>
      </w:rPr>
    </w:pPr>
    <w:r>
      <w:t></w:t>
    </w:r>
    <w:r>
      <w:rPr>
        <w:rFonts w:hint="eastAsia"/>
      </w:rPr>
      <w:t xml:space="preserve">                                                  </w:t>
    </w:r>
    <w:r>
      <w:t>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t></w:t>
    </w:r>
    <w:r>
      <w:rPr>
        <w:rFonts w:hint="eastAsia"/>
      </w:rPr>
      <w:t xml:space="preserve">                 </w:t>
    </w:r>
    <w:r>
      <w:t xml:space="preserve">                                </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1241C"/>
    <w:multiLevelType w:val="singleLevel"/>
    <w:tmpl w:val="9901241C"/>
    <w:lvl w:ilvl="0" w:tentative="0">
      <w:start w:val="1"/>
      <w:numFmt w:val="chineseCounting"/>
      <w:suff w:val="nothing"/>
      <w:lvlText w:val="%1、"/>
      <w:lvlJc w:val="left"/>
      <w:rPr>
        <w:rFonts w:hint="eastAsia"/>
      </w:rPr>
    </w:lvl>
  </w:abstractNum>
  <w:abstractNum w:abstractNumId="1">
    <w:nsid w:val="9D197868"/>
    <w:multiLevelType w:val="singleLevel"/>
    <w:tmpl w:val="9D197868"/>
    <w:lvl w:ilvl="0" w:tentative="0">
      <w:start w:val="1"/>
      <w:numFmt w:val="chineseCounting"/>
      <w:suff w:val="nothing"/>
      <w:lvlText w:val="（%1）"/>
      <w:lvlJc w:val="left"/>
      <w:pPr>
        <w:ind w:left="0" w:firstLine="420"/>
      </w:pPr>
      <w:rPr>
        <w:rFonts w:hint="eastAsia"/>
      </w:rPr>
    </w:lvl>
  </w:abstractNum>
  <w:abstractNum w:abstractNumId="2">
    <w:nsid w:val="A262DD76"/>
    <w:multiLevelType w:val="singleLevel"/>
    <w:tmpl w:val="A262DD76"/>
    <w:lvl w:ilvl="0" w:tentative="0">
      <w:start w:val="1"/>
      <w:numFmt w:val="decimal"/>
      <w:suff w:val="nothing"/>
      <w:lvlText w:val="%1）"/>
      <w:lvlJc w:val="left"/>
    </w:lvl>
  </w:abstractNum>
  <w:abstractNum w:abstractNumId="3">
    <w:nsid w:val="B3FF8E17"/>
    <w:multiLevelType w:val="singleLevel"/>
    <w:tmpl w:val="B3FF8E17"/>
    <w:lvl w:ilvl="0" w:tentative="0">
      <w:start w:val="1"/>
      <w:numFmt w:val="chineseCounting"/>
      <w:suff w:val="nothing"/>
      <w:lvlText w:val="%1、"/>
      <w:lvlJc w:val="left"/>
      <w:rPr>
        <w:rFonts w:hint="eastAsia"/>
      </w:rPr>
    </w:lvl>
  </w:abstractNum>
  <w:abstractNum w:abstractNumId="4">
    <w:nsid w:val="B4CC7D87"/>
    <w:multiLevelType w:val="singleLevel"/>
    <w:tmpl w:val="B4CC7D87"/>
    <w:lvl w:ilvl="0" w:tentative="0">
      <w:start w:val="1"/>
      <w:numFmt w:val="decimal"/>
      <w:lvlText w:val="%1."/>
      <w:lvlJc w:val="left"/>
      <w:pPr>
        <w:tabs>
          <w:tab w:val="left" w:pos="312"/>
        </w:tabs>
      </w:pPr>
    </w:lvl>
  </w:abstractNum>
  <w:abstractNum w:abstractNumId="5">
    <w:nsid w:val="D6390654"/>
    <w:multiLevelType w:val="singleLevel"/>
    <w:tmpl w:val="D6390654"/>
    <w:lvl w:ilvl="0" w:tentative="0">
      <w:start w:val="3"/>
      <w:numFmt w:val="decimal"/>
      <w:lvlText w:val="%1."/>
      <w:lvlJc w:val="left"/>
      <w:pPr>
        <w:tabs>
          <w:tab w:val="left" w:pos="312"/>
        </w:tabs>
      </w:pPr>
    </w:lvl>
  </w:abstractNum>
  <w:abstractNum w:abstractNumId="6">
    <w:nsid w:val="E93E1F06"/>
    <w:multiLevelType w:val="singleLevel"/>
    <w:tmpl w:val="E93E1F06"/>
    <w:lvl w:ilvl="0" w:tentative="0">
      <w:start w:val="1"/>
      <w:numFmt w:val="chineseCounting"/>
      <w:suff w:val="nothing"/>
      <w:lvlText w:val="%1、"/>
      <w:lvlJc w:val="left"/>
      <w:rPr>
        <w:rFonts w:hint="eastAsia"/>
      </w:rPr>
    </w:lvl>
  </w:abstractNum>
  <w:abstractNum w:abstractNumId="7">
    <w:nsid w:val="00000002"/>
    <w:multiLevelType w:val="singleLevel"/>
    <w:tmpl w:val="00000002"/>
    <w:lvl w:ilvl="0" w:tentative="0">
      <w:start w:val="1"/>
      <w:numFmt w:val="chineseCounting"/>
      <w:suff w:val="nothing"/>
      <w:lvlText w:val="%1、"/>
      <w:lvlJc w:val="left"/>
      <w:pPr>
        <w:ind w:left="167" w:firstLine="420"/>
      </w:pPr>
      <w:rPr>
        <w:rFonts w:hint="eastAsia"/>
      </w:rPr>
    </w:lvl>
  </w:abstractNum>
  <w:abstractNum w:abstractNumId="8">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9">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10">
    <w:nsid w:val="06469E91"/>
    <w:multiLevelType w:val="singleLevel"/>
    <w:tmpl w:val="06469E91"/>
    <w:lvl w:ilvl="0" w:tentative="0">
      <w:start w:val="1"/>
      <w:numFmt w:val="chineseCounting"/>
      <w:suff w:val="nothing"/>
      <w:lvlText w:val="%1、"/>
      <w:lvlJc w:val="left"/>
      <w:rPr>
        <w:rFonts w:hint="eastAsia"/>
      </w:rPr>
    </w:lvl>
  </w:abstractNum>
  <w:abstractNum w:abstractNumId="11">
    <w:nsid w:val="071ECA11"/>
    <w:multiLevelType w:val="singleLevel"/>
    <w:tmpl w:val="071ECA11"/>
    <w:lvl w:ilvl="0" w:tentative="0">
      <w:start w:val="2"/>
      <w:numFmt w:val="chineseCounting"/>
      <w:suff w:val="nothing"/>
      <w:lvlText w:val="%1、"/>
      <w:lvlJc w:val="left"/>
      <w:rPr>
        <w:rFonts w:hint="eastAsia"/>
      </w:rPr>
    </w:lvl>
  </w:abstractNum>
  <w:abstractNum w:abstractNumId="12">
    <w:nsid w:val="0C183BC2"/>
    <w:multiLevelType w:val="singleLevel"/>
    <w:tmpl w:val="0C183BC2"/>
    <w:lvl w:ilvl="0" w:tentative="0">
      <w:start w:val="1"/>
      <w:numFmt w:val="chineseCounting"/>
      <w:suff w:val="nothing"/>
      <w:lvlText w:val="%1、"/>
      <w:lvlJc w:val="left"/>
      <w:rPr>
        <w:rFonts w:hint="eastAsia"/>
      </w:rPr>
    </w:lvl>
  </w:abstractNum>
  <w:abstractNum w:abstractNumId="13">
    <w:nsid w:val="0DA6D261"/>
    <w:multiLevelType w:val="singleLevel"/>
    <w:tmpl w:val="0DA6D261"/>
    <w:lvl w:ilvl="0" w:tentative="0">
      <w:start w:val="1"/>
      <w:numFmt w:val="chineseCounting"/>
      <w:suff w:val="nothing"/>
      <w:lvlText w:val="%1、"/>
      <w:lvlJc w:val="left"/>
      <w:rPr>
        <w:rFonts w:hint="eastAsia"/>
      </w:rPr>
    </w:lvl>
  </w:abstractNum>
  <w:abstractNum w:abstractNumId="14">
    <w:nsid w:val="0F0BE306"/>
    <w:multiLevelType w:val="singleLevel"/>
    <w:tmpl w:val="0F0BE306"/>
    <w:lvl w:ilvl="0" w:tentative="0">
      <w:start w:val="1"/>
      <w:numFmt w:val="chineseCounting"/>
      <w:suff w:val="nothing"/>
      <w:lvlText w:val="%1、"/>
      <w:lvlJc w:val="left"/>
      <w:rPr>
        <w:rFonts w:hint="eastAsia"/>
      </w:rPr>
    </w:lvl>
  </w:abstractNum>
  <w:abstractNum w:abstractNumId="15">
    <w:nsid w:val="276DB0E2"/>
    <w:multiLevelType w:val="singleLevel"/>
    <w:tmpl w:val="276DB0E2"/>
    <w:lvl w:ilvl="0" w:tentative="0">
      <w:start w:val="1"/>
      <w:numFmt w:val="decimal"/>
      <w:lvlText w:val="(%1)"/>
      <w:lvlJc w:val="left"/>
      <w:pPr>
        <w:ind w:left="425" w:hanging="425"/>
      </w:pPr>
      <w:rPr>
        <w:rFonts w:hint="default"/>
      </w:rPr>
    </w:lvl>
  </w:abstractNum>
  <w:abstractNum w:abstractNumId="16">
    <w:nsid w:val="2992AE18"/>
    <w:multiLevelType w:val="singleLevel"/>
    <w:tmpl w:val="2992AE18"/>
    <w:lvl w:ilvl="0" w:tentative="0">
      <w:start w:val="1"/>
      <w:numFmt w:val="decimal"/>
      <w:suff w:val="nothing"/>
      <w:lvlText w:val="%1）"/>
      <w:lvlJc w:val="left"/>
    </w:lvl>
  </w:abstractNum>
  <w:abstractNum w:abstractNumId="17">
    <w:nsid w:val="383526F0"/>
    <w:multiLevelType w:val="singleLevel"/>
    <w:tmpl w:val="383526F0"/>
    <w:lvl w:ilvl="0" w:tentative="0">
      <w:start w:val="1"/>
      <w:numFmt w:val="decimal"/>
      <w:suff w:val="nothing"/>
      <w:lvlText w:val="（%1）"/>
      <w:lvlJc w:val="left"/>
    </w:lvl>
  </w:abstractNum>
  <w:abstractNum w:abstractNumId="18">
    <w:nsid w:val="3DF973EB"/>
    <w:multiLevelType w:val="singleLevel"/>
    <w:tmpl w:val="3DF973EB"/>
    <w:lvl w:ilvl="0" w:tentative="0">
      <w:start w:val="3"/>
      <w:numFmt w:val="decimal"/>
      <w:suff w:val="nothing"/>
      <w:lvlText w:val="%1）"/>
      <w:lvlJc w:val="left"/>
    </w:lvl>
  </w:abstractNum>
  <w:abstractNum w:abstractNumId="19">
    <w:nsid w:val="413566C0"/>
    <w:multiLevelType w:val="singleLevel"/>
    <w:tmpl w:val="413566C0"/>
    <w:lvl w:ilvl="0" w:tentative="0">
      <w:start w:val="1"/>
      <w:numFmt w:val="chineseCounting"/>
      <w:suff w:val="nothing"/>
      <w:lvlText w:val="%1、"/>
      <w:lvlJc w:val="left"/>
      <w:rPr>
        <w:rFonts w:hint="eastAsia"/>
      </w:rPr>
    </w:lvl>
  </w:abstractNum>
  <w:abstractNum w:abstractNumId="20">
    <w:nsid w:val="498D0500"/>
    <w:multiLevelType w:val="singleLevel"/>
    <w:tmpl w:val="498D0500"/>
    <w:lvl w:ilvl="0" w:tentative="0">
      <w:start w:val="1"/>
      <w:numFmt w:val="chineseCounting"/>
      <w:suff w:val="nothing"/>
      <w:lvlText w:val="%1、"/>
      <w:lvlJc w:val="left"/>
      <w:rPr>
        <w:rFonts w:hint="eastAsia"/>
      </w:rPr>
    </w:lvl>
  </w:abstractNum>
  <w:num w:numId="1">
    <w:abstractNumId w:val="5"/>
  </w:num>
  <w:num w:numId="2">
    <w:abstractNumId w:val="17"/>
  </w:num>
  <w:num w:numId="3">
    <w:abstractNumId w:val="10"/>
  </w:num>
  <w:num w:numId="4">
    <w:abstractNumId w:val="11"/>
  </w:num>
  <w:num w:numId="5">
    <w:abstractNumId w:val="13"/>
  </w:num>
  <w:num w:numId="6">
    <w:abstractNumId w:val="0"/>
  </w:num>
  <w:num w:numId="7">
    <w:abstractNumId w:val="12"/>
  </w:num>
  <w:num w:numId="8">
    <w:abstractNumId w:val="18"/>
  </w:num>
  <w:num w:numId="9">
    <w:abstractNumId w:val="2"/>
  </w:num>
  <w:num w:numId="10">
    <w:abstractNumId w:val="3"/>
  </w:num>
  <w:num w:numId="11">
    <w:abstractNumId w:val="19"/>
  </w:num>
  <w:num w:numId="12">
    <w:abstractNumId w:val="16"/>
  </w:num>
  <w:num w:numId="13">
    <w:abstractNumId w:val="20"/>
  </w:num>
  <w:num w:numId="14">
    <w:abstractNumId w:val="14"/>
  </w:num>
  <w:num w:numId="15">
    <w:abstractNumId w:val="6"/>
  </w:num>
  <w:num w:numId="16">
    <w:abstractNumId w:val="1"/>
  </w:num>
  <w:num w:numId="17">
    <w:abstractNumId w:val="4"/>
  </w:num>
  <w:num w:numId="18">
    <w:abstractNumId w:val="15"/>
  </w:num>
  <w:num w:numId="19">
    <w:abstractNumId w:val="8"/>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YzJlNTRlZmEzZDk4NWFkM2I3YWM3NGE4ODU3NjIifQ=="/>
    <w:docVar w:name="KSO_WPS_MARK_KEY" w:val="3c88afa3-953b-48f3-88a3-e44d47092b8b"/>
  </w:docVars>
  <w:rsids>
    <w:rsidRoot w:val="00A70E6F"/>
    <w:rsid w:val="00097A4F"/>
    <w:rsid w:val="00115D66"/>
    <w:rsid w:val="00153CFB"/>
    <w:rsid w:val="001641AB"/>
    <w:rsid w:val="001C6FF6"/>
    <w:rsid w:val="00214168"/>
    <w:rsid w:val="00281D4B"/>
    <w:rsid w:val="00297E77"/>
    <w:rsid w:val="002B16CC"/>
    <w:rsid w:val="00384B30"/>
    <w:rsid w:val="00392403"/>
    <w:rsid w:val="003E080B"/>
    <w:rsid w:val="003F3BDA"/>
    <w:rsid w:val="0040464C"/>
    <w:rsid w:val="004479E5"/>
    <w:rsid w:val="00481076"/>
    <w:rsid w:val="00504653"/>
    <w:rsid w:val="00537C28"/>
    <w:rsid w:val="006B0417"/>
    <w:rsid w:val="007146FD"/>
    <w:rsid w:val="00770C3F"/>
    <w:rsid w:val="007A7224"/>
    <w:rsid w:val="007D6A53"/>
    <w:rsid w:val="008322BB"/>
    <w:rsid w:val="00875B96"/>
    <w:rsid w:val="008C16A9"/>
    <w:rsid w:val="0090283D"/>
    <w:rsid w:val="00911C27"/>
    <w:rsid w:val="009D0EA3"/>
    <w:rsid w:val="00A12741"/>
    <w:rsid w:val="00A273A4"/>
    <w:rsid w:val="00A70E6F"/>
    <w:rsid w:val="00AD3DE4"/>
    <w:rsid w:val="00B57B36"/>
    <w:rsid w:val="00B636C3"/>
    <w:rsid w:val="00BB03C0"/>
    <w:rsid w:val="00BD1472"/>
    <w:rsid w:val="00C621A8"/>
    <w:rsid w:val="00C87405"/>
    <w:rsid w:val="00CF1E63"/>
    <w:rsid w:val="00D035B8"/>
    <w:rsid w:val="00D5063D"/>
    <w:rsid w:val="00D50F79"/>
    <w:rsid w:val="00D92E07"/>
    <w:rsid w:val="00DA20FF"/>
    <w:rsid w:val="00DD522D"/>
    <w:rsid w:val="00E84140"/>
    <w:rsid w:val="00E84E56"/>
    <w:rsid w:val="00E95ABB"/>
    <w:rsid w:val="00EB7B01"/>
    <w:rsid w:val="00F02569"/>
    <w:rsid w:val="00F56018"/>
    <w:rsid w:val="00FB2A8E"/>
    <w:rsid w:val="00FC36FB"/>
    <w:rsid w:val="00FF2A2A"/>
    <w:rsid w:val="015E6884"/>
    <w:rsid w:val="017165B7"/>
    <w:rsid w:val="017A141F"/>
    <w:rsid w:val="017D31AE"/>
    <w:rsid w:val="019B53E2"/>
    <w:rsid w:val="01E054EB"/>
    <w:rsid w:val="01EC20E2"/>
    <w:rsid w:val="023F66B6"/>
    <w:rsid w:val="025008C3"/>
    <w:rsid w:val="027564D5"/>
    <w:rsid w:val="02BD75DA"/>
    <w:rsid w:val="02D54924"/>
    <w:rsid w:val="02D84414"/>
    <w:rsid w:val="033D6E0E"/>
    <w:rsid w:val="038F0F77"/>
    <w:rsid w:val="03C44B8E"/>
    <w:rsid w:val="03F4527E"/>
    <w:rsid w:val="04115E30"/>
    <w:rsid w:val="04117BDE"/>
    <w:rsid w:val="041E22FB"/>
    <w:rsid w:val="04310280"/>
    <w:rsid w:val="043438CC"/>
    <w:rsid w:val="04722D72"/>
    <w:rsid w:val="04770389"/>
    <w:rsid w:val="04B02D72"/>
    <w:rsid w:val="04B62533"/>
    <w:rsid w:val="04B8274F"/>
    <w:rsid w:val="04DF1A8A"/>
    <w:rsid w:val="04E15802"/>
    <w:rsid w:val="04FE63B4"/>
    <w:rsid w:val="05121E5F"/>
    <w:rsid w:val="05283431"/>
    <w:rsid w:val="053B7608"/>
    <w:rsid w:val="054D1796"/>
    <w:rsid w:val="056A3A4A"/>
    <w:rsid w:val="056A57F8"/>
    <w:rsid w:val="057C377D"/>
    <w:rsid w:val="05B747B5"/>
    <w:rsid w:val="05F07090"/>
    <w:rsid w:val="061A5470"/>
    <w:rsid w:val="06725723"/>
    <w:rsid w:val="069D1BFD"/>
    <w:rsid w:val="06C947A0"/>
    <w:rsid w:val="06CB49BC"/>
    <w:rsid w:val="06D849E3"/>
    <w:rsid w:val="0721282E"/>
    <w:rsid w:val="074D717F"/>
    <w:rsid w:val="07506C6F"/>
    <w:rsid w:val="075E75DE"/>
    <w:rsid w:val="076170CE"/>
    <w:rsid w:val="077566D6"/>
    <w:rsid w:val="07833FB5"/>
    <w:rsid w:val="07A33243"/>
    <w:rsid w:val="07CF5DE6"/>
    <w:rsid w:val="08055CAB"/>
    <w:rsid w:val="08141A93"/>
    <w:rsid w:val="08234384"/>
    <w:rsid w:val="082A5712"/>
    <w:rsid w:val="08365E65"/>
    <w:rsid w:val="08471E20"/>
    <w:rsid w:val="084A1910"/>
    <w:rsid w:val="084D495D"/>
    <w:rsid w:val="086724C2"/>
    <w:rsid w:val="086B306E"/>
    <w:rsid w:val="088272FC"/>
    <w:rsid w:val="089F23D8"/>
    <w:rsid w:val="08C01BD2"/>
    <w:rsid w:val="08C47915"/>
    <w:rsid w:val="08C72F61"/>
    <w:rsid w:val="09077801"/>
    <w:rsid w:val="09390FDF"/>
    <w:rsid w:val="096469A0"/>
    <w:rsid w:val="09772BD9"/>
    <w:rsid w:val="098552F6"/>
    <w:rsid w:val="09AD2157"/>
    <w:rsid w:val="09B937E6"/>
    <w:rsid w:val="09C35E1E"/>
    <w:rsid w:val="09CF47C3"/>
    <w:rsid w:val="09EB5058"/>
    <w:rsid w:val="0A2543E3"/>
    <w:rsid w:val="0A326B00"/>
    <w:rsid w:val="0A391C3C"/>
    <w:rsid w:val="0A4725AB"/>
    <w:rsid w:val="0A5627EE"/>
    <w:rsid w:val="0A7F7F97"/>
    <w:rsid w:val="0A80247F"/>
    <w:rsid w:val="0AAF1EFF"/>
    <w:rsid w:val="0B410F01"/>
    <w:rsid w:val="0B5B0684"/>
    <w:rsid w:val="0B957346"/>
    <w:rsid w:val="0B9F3D21"/>
    <w:rsid w:val="0BE300B2"/>
    <w:rsid w:val="0BF40511"/>
    <w:rsid w:val="0C1D0597"/>
    <w:rsid w:val="0C201306"/>
    <w:rsid w:val="0C601702"/>
    <w:rsid w:val="0C831895"/>
    <w:rsid w:val="0C9C64B3"/>
    <w:rsid w:val="0CBD0903"/>
    <w:rsid w:val="0D186481"/>
    <w:rsid w:val="0D411534"/>
    <w:rsid w:val="0DC108C7"/>
    <w:rsid w:val="0DC42165"/>
    <w:rsid w:val="0DC64C81"/>
    <w:rsid w:val="0E04650C"/>
    <w:rsid w:val="0E603C3C"/>
    <w:rsid w:val="0E626AF0"/>
    <w:rsid w:val="0E666D78"/>
    <w:rsid w:val="0E6F3E7F"/>
    <w:rsid w:val="0E884F40"/>
    <w:rsid w:val="0E910299"/>
    <w:rsid w:val="0F470958"/>
    <w:rsid w:val="0F4E618A"/>
    <w:rsid w:val="0F7F4595"/>
    <w:rsid w:val="0F893C6F"/>
    <w:rsid w:val="0FB87AA7"/>
    <w:rsid w:val="0FBD1A3F"/>
    <w:rsid w:val="0FE8038D"/>
    <w:rsid w:val="0FE95EB3"/>
    <w:rsid w:val="1032785A"/>
    <w:rsid w:val="10482228"/>
    <w:rsid w:val="10606175"/>
    <w:rsid w:val="10615A49"/>
    <w:rsid w:val="107439CE"/>
    <w:rsid w:val="108D683E"/>
    <w:rsid w:val="10AC760C"/>
    <w:rsid w:val="10CD478A"/>
    <w:rsid w:val="10EA3C90"/>
    <w:rsid w:val="10F44B0F"/>
    <w:rsid w:val="10F92125"/>
    <w:rsid w:val="11051EBC"/>
    <w:rsid w:val="11164A85"/>
    <w:rsid w:val="11274EE5"/>
    <w:rsid w:val="11403824"/>
    <w:rsid w:val="11447845"/>
    <w:rsid w:val="119500A0"/>
    <w:rsid w:val="11AF257C"/>
    <w:rsid w:val="11C42733"/>
    <w:rsid w:val="11C528AA"/>
    <w:rsid w:val="11E608FC"/>
    <w:rsid w:val="11EB5F12"/>
    <w:rsid w:val="11FA7F03"/>
    <w:rsid w:val="12105979"/>
    <w:rsid w:val="121F5BBC"/>
    <w:rsid w:val="12505D75"/>
    <w:rsid w:val="127E7D9D"/>
    <w:rsid w:val="12A0267D"/>
    <w:rsid w:val="12BE53D5"/>
    <w:rsid w:val="12D32A47"/>
    <w:rsid w:val="12E60488"/>
    <w:rsid w:val="130848A2"/>
    <w:rsid w:val="13975E9B"/>
    <w:rsid w:val="139B0B7E"/>
    <w:rsid w:val="13A06C33"/>
    <w:rsid w:val="14005579"/>
    <w:rsid w:val="141D437D"/>
    <w:rsid w:val="14223741"/>
    <w:rsid w:val="1433594E"/>
    <w:rsid w:val="14481D3D"/>
    <w:rsid w:val="14755F67"/>
    <w:rsid w:val="149C7709"/>
    <w:rsid w:val="14C94663"/>
    <w:rsid w:val="14EA425F"/>
    <w:rsid w:val="14F25809"/>
    <w:rsid w:val="14FA769C"/>
    <w:rsid w:val="15121A08"/>
    <w:rsid w:val="151E65FF"/>
    <w:rsid w:val="15545B7C"/>
    <w:rsid w:val="15793835"/>
    <w:rsid w:val="15AA1C40"/>
    <w:rsid w:val="15EC2259"/>
    <w:rsid w:val="15EE5FD1"/>
    <w:rsid w:val="161D2412"/>
    <w:rsid w:val="164976AB"/>
    <w:rsid w:val="165D6CB3"/>
    <w:rsid w:val="165F2A2B"/>
    <w:rsid w:val="16A668AC"/>
    <w:rsid w:val="16A843D2"/>
    <w:rsid w:val="16CF7BB0"/>
    <w:rsid w:val="16E80C72"/>
    <w:rsid w:val="16EF2001"/>
    <w:rsid w:val="1743234C"/>
    <w:rsid w:val="175870A3"/>
    <w:rsid w:val="177B7D38"/>
    <w:rsid w:val="17852965"/>
    <w:rsid w:val="17A0154D"/>
    <w:rsid w:val="17AE00A0"/>
    <w:rsid w:val="17C90AA4"/>
    <w:rsid w:val="1849100D"/>
    <w:rsid w:val="18504D21"/>
    <w:rsid w:val="186453D5"/>
    <w:rsid w:val="188977EB"/>
    <w:rsid w:val="18A4506D"/>
    <w:rsid w:val="18BA03EC"/>
    <w:rsid w:val="18EE62E8"/>
    <w:rsid w:val="18F602DF"/>
    <w:rsid w:val="19062897"/>
    <w:rsid w:val="192341E3"/>
    <w:rsid w:val="19397563"/>
    <w:rsid w:val="194B7296"/>
    <w:rsid w:val="195C76F5"/>
    <w:rsid w:val="19645A8A"/>
    <w:rsid w:val="199B021E"/>
    <w:rsid w:val="19A5109C"/>
    <w:rsid w:val="19C045AE"/>
    <w:rsid w:val="1A450189"/>
    <w:rsid w:val="1A564145"/>
    <w:rsid w:val="1A646862"/>
    <w:rsid w:val="1A98650B"/>
    <w:rsid w:val="1ABA7CEB"/>
    <w:rsid w:val="1AE44224"/>
    <w:rsid w:val="1AF04599"/>
    <w:rsid w:val="1B0911B7"/>
    <w:rsid w:val="1B1905FB"/>
    <w:rsid w:val="1B42017F"/>
    <w:rsid w:val="1BAF6202"/>
    <w:rsid w:val="1BBE4697"/>
    <w:rsid w:val="1BCA6B98"/>
    <w:rsid w:val="1BCD6688"/>
    <w:rsid w:val="1BCE2D72"/>
    <w:rsid w:val="1C5841A4"/>
    <w:rsid w:val="1C6956A2"/>
    <w:rsid w:val="1CA473E9"/>
    <w:rsid w:val="1CAA0881"/>
    <w:rsid w:val="1CD81789"/>
    <w:rsid w:val="1CE912A0"/>
    <w:rsid w:val="1CFF6D16"/>
    <w:rsid w:val="1D48246B"/>
    <w:rsid w:val="1D76522A"/>
    <w:rsid w:val="1D9413D8"/>
    <w:rsid w:val="1DE81558"/>
    <w:rsid w:val="1E14059F"/>
    <w:rsid w:val="1E147594"/>
    <w:rsid w:val="1E28404A"/>
    <w:rsid w:val="1E5F5CBE"/>
    <w:rsid w:val="1E876FC3"/>
    <w:rsid w:val="1E8E0351"/>
    <w:rsid w:val="1E9E60BA"/>
    <w:rsid w:val="1ED85A70"/>
    <w:rsid w:val="1F0B3750"/>
    <w:rsid w:val="1F1A3993"/>
    <w:rsid w:val="1F2D0B20"/>
    <w:rsid w:val="1F4D3D68"/>
    <w:rsid w:val="1FCB1131"/>
    <w:rsid w:val="1FDB75C6"/>
    <w:rsid w:val="1FE50445"/>
    <w:rsid w:val="203647FC"/>
    <w:rsid w:val="204F3B10"/>
    <w:rsid w:val="205253AE"/>
    <w:rsid w:val="205E1FA5"/>
    <w:rsid w:val="206C0909"/>
    <w:rsid w:val="20B3409F"/>
    <w:rsid w:val="20BA2816"/>
    <w:rsid w:val="20C51CD3"/>
    <w:rsid w:val="21043B97"/>
    <w:rsid w:val="210963B5"/>
    <w:rsid w:val="2127683B"/>
    <w:rsid w:val="2164183D"/>
    <w:rsid w:val="2177331E"/>
    <w:rsid w:val="219428A7"/>
    <w:rsid w:val="21A7055E"/>
    <w:rsid w:val="21E169EA"/>
    <w:rsid w:val="21EB07A6"/>
    <w:rsid w:val="222F59A7"/>
    <w:rsid w:val="2278441E"/>
    <w:rsid w:val="22A243CB"/>
    <w:rsid w:val="22B20386"/>
    <w:rsid w:val="2302174C"/>
    <w:rsid w:val="2331574F"/>
    <w:rsid w:val="23333275"/>
    <w:rsid w:val="233B1B71"/>
    <w:rsid w:val="23757D31"/>
    <w:rsid w:val="23812232"/>
    <w:rsid w:val="238C0BD7"/>
    <w:rsid w:val="23922691"/>
    <w:rsid w:val="23BD1C3E"/>
    <w:rsid w:val="23C30A9D"/>
    <w:rsid w:val="23D435DD"/>
    <w:rsid w:val="23DF233A"/>
    <w:rsid w:val="23F74798"/>
    <w:rsid w:val="240A67BF"/>
    <w:rsid w:val="24117358"/>
    <w:rsid w:val="24284DA4"/>
    <w:rsid w:val="2466767A"/>
    <w:rsid w:val="246A0F18"/>
    <w:rsid w:val="24857B00"/>
    <w:rsid w:val="24A0493A"/>
    <w:rsid w:val="24AB32DF"/>
    <w:rsid w:val="24E011DB"/>
    <w:rsid w:val="250C1C1C"/>
    <w:rsid w:val="252C4420"/>
    <w:rsid w:val="25311A36"/>
    <w:rsid w:val="25473008"/>
    <w:rsid w:val="25506360"/>
    <w:rsid w:val="25550DA9"/>
    <w:rsid w:val="256E4A38"/>
    <w:rsid w:val="25816423"/>
    <w:rsid w:val="25D41B88"/>
    <w:rsid w:val="25DD571A"/>
    <w:rsid w:val="25DD6BD2"/>
    <w:rsid w:val="25E20F82"/>
    <w:rsid w:val="26062EC3"/>
    <w:rsid w:val="26143832"/>
    <w:rsid w:val="26213859"/>
    <w:rsid w:val="262D044F"/>
    <w:rsid w:val="263E265D"/>
    <w:rsid w:val="26591245"/>
    <w:rsid w:val="26605EB5"/>
    <w:rsid w:val="26A1499A"/>
    <w:rsid w:val="26B446CD"/>
    <w:rsid w:val="26CA0394"/>
    <w:rsid w:val="26E50406"/>
    <w:rsid w:val="26E56F7C"/>
    <w:rsid w:val="27111B1F"/>
    <w:rsid w:val="271D04C4"/>
    <w:rsid w:val="27381344"/>
    <w:rsid w:val="27433CA3"/>
    <w:rsid w:val="27455C6D"/>
    <w:rsid w:val="27554102"/>
    <w:rsid w:val="279D1605"/>
    <w:rsid w:val="279F35CF"/>
    <w:rsid w:val="27DC037F"/>
    <w:rsid w:val="27DD555D"/>
    <w:rsid w:val="28177609"/>
    <w:rsid w:val="281F026C"/>
    <w:rsid w:val="284D302B"/>
    <w:rsid w:val="288C3979"/>
    <w:rsid w:val="289447B6"/>
    <w:rsid w:val="28C037FD"/>
    <w:rsid w:val="28EA2628"/>
    <w:rsid w:val="2940493E"/>
    <w:rsid w:val="29A21154"/>
    <w:rsid w:val="2A2F29AD"/>
    <w:rsid w:val="2A391AB9"/>
    <w:rsid w:val="2A3A138D"/>
    <w:rsid w:val="2A946CEF"/>
    <w:rsid w:val="2AC1385C"/>
    <w:rsid w:val="2AC86999"/>
    <w:rsid w:val="2ACF2A6A"/>
    <w:rsid w:val="2AD74E2E"/>
    <w:rsid w:val="2AD76BDC"/>
    <w:rsid w:val="2AED28A3"/>
    <w:rsid w:val="2B1C6CE5"/>
    <w:rsid w:val="2B6D12EE"/>
    <w:rsid w:val="2B7767EE"/>
    <w:rsid w:val="2B9D1BD3"/>
    <w:rsid w:val="2BAE3DE1"/>
    <w:rsid w:val="2BBE1B4A"/>
    <w:rsid w:val="2BCE6231"/>
    <w:rsid w:val="2C471B3F"/>
    <w:rsid w:val="2C626979"/>
    <w:rsid w:val="2C82701B"/>
    <w:rsid w:val="2C8E59C0"/>
    <w:rsid w:val="2C97233F"/>
    <w:rsid w:val="2CAB6572"/>
    <w:rsid w:val="2CB01DDA"/>
    <w:rsid w:val="2CB1704A"/>
    <w:rsid w:val="2CB90C8F"/>
    <w:rsid w:val="2CBA67B5"/>
    <w:rsid w:val="2D0B7011"/>
    <w:rsid w:val="2D412A32"/>
    <w:rsid w:val="2D430559"/>
    <w:rsid w:val="2D616C31"/>
    <w:rsid w:val="2D621F11"/>
    <w:rsid w:val="2D662499"/>
    <w:rsid w:val="2D727090"/>
    <w:rsid w:val="2D7B4196"/>
    <w:rsid w:val="2DAD1E76"/>
    <w:rsid w:val="2DB94CBF"/>
    <w:rsid w:val="2DC07DFB"/>
    <w:rsid w:val="2DC21DC5"/>
    <w:rsid w:val="2DCA2A28"/>
    <w:rsid w:val="2DCC054E"/>
    <w:rsid w:val="2DFA155F"/>
    <w:rsid w:val="2E20089A"/>
    <w:rsid w:val="2E556795"/>
    <w:rsid w:val="2E6E3CFB"/>
    <w:rsid w:val="2E756E38"/>
    <w:rsid w:val="2E7C6418"/>
    <w:rsid w:val="2E913546"/>
    <w:rsid w:val="2ECD0A22"/>
    <w:rsid w:val="2EEA15D4"/>
    <w:rsid w:val="2F092DFF"/>
    <w:rsid w:val="2F36061D"/>
    <w:rsid w:val="2F5B427F"/>
    <w:rsid w:val="2F6649D2"/>
    <w:rsid w:val="2F794705"/>
    <w:rsid w:val="2F807842"/>
    <w:rsid w:val="2F947791"/>
    <w:rsid w:val="2F9B28CE"/>
    <w:rsid w:val="2FAA48BF"/>
    <w:rsid w:val="2FBC45F2"/>
    <w:rsid w:val="2FCA6D0F"/>
    <w:rsid w:val="30167854"/>
    <w:rsid w:val="30336FAA"/>
    <w:rsid w:val="303E14AB"/>
    <w:rsid w:val="304E7940"/>
    <w:rsid w:val="30751371"/>
    <w:rsid w:val="30901D07"/>
    <w:rsid w:val="30B33C47"/>
    <w:rsid w:val="311C17EC"/>
    <w:rsid w:val="31413001"/>
    <w:rsid w:val="314F3797"/>
    <w:rsid w:val="31906759"/>
    <w:rsid w:val="31F14A27"/>
    <w:rsid w:val="31FA3C94"/>
    <w:rsid w:val="32180206"/>
    <w:rsid w:val="325842AB"/>
    <w:rsid w:val="326205EA"/>
    <w:rsid w:val="32D305D1"/>
    <w:rsid w:val="32FE3DC8"/>
    <w:rsid w:val="3310712F"/>
    <w:rsid w:val="331F55C4"/>
    <w:rsid w:val="3321133C"/>
    <w:rsid w:val="33291F9F"/>
    <w:rsid w:val="338A5133"/>
    <w:rsid w:val="338E6D71"/>
    <w:rsid w:val="33A37FA3"/>
    <w:rsid w:val="34030A42"/>
    <w:rsid w:val="341744ED"/>
    <w:rsid w:val="34A83397"/>
    <w:rsid w:val="34AC10D9"/>
    <w:rsid w:val="35494B7A"/>
    <w:rsid w:val="35951B6D"/>
    <w:rsid w:val="35D20381"/>
    <w:rsid w:val="362953BB"/>
    <w:rsid w:val="364C2B74"/>
    <w:rsid w:val="36712C44"/>
    <w:rsid w:val="36EC7418"/>
    <w:rsid w:val="36EE3C2B"/>
    <w:rsid w:val="36FD3E6E"/>
    <w:rsid w:val="372238D5"/>
    <w:rsid w:val="37773C20"/>
    <w:rsid w:val="37906A90"/>
    <w:rsid w:val="37AE699A"/>
    <w:rsid w:val="37B87D95"/>
    <w:rsid w:val="37E62B54"/>
    <w:rsid w:val="37E868CC"/>
    <w:rsid w:val="381C20D2"/>
    <w:rsid w:val="381F2104"/>
    <w:rsid w:val="384E3C7F"/>
    <w:rsid w:val="3857135C"/>
    <w:rsid w:val="38961E84"/>
    <w:rsid w:val="38997BC6"/>
    <w:rsid w:val="38A30A45"/>
    <w:rsid w:val="38C054A4"/>
    <w:rsid w:val="38E250CA"/>
    <w:rsid w:val="391A2AB5"/>
    <w:rsid w:val="393F5DB2"/>
    <w:rsid w:val="39657AA9"/>
    <w:rsid w:val="39971E35"/>
    <w:rsid w:val="39C168A6"/>
    <w:rsid w:val="39C80763"/>
    <w:rsid w:val="39CB3764"/>
    <w:rsid w:val="39F50E2C"/>
    <w:rsid w:val="3A014F61"/>
    <w:rsid w:val="3A0D6BB5"/>
    <w:rsid w:val="3A192D6D"/>
    <w:rsid w:val="3A2B6F44"/>
    <w:rsid w:val="3A2E433E"/>
    <w:rsid w:val="3A323E2F"/>
    <w:rsid w:val="3A377697"/>
    <w:rsid w:val="3A543DA5"/>
    <w:rsid w:val="3A7F148E"/>
    <w:rsid w:val="3A850402"/>
    <w:rsid w:val="3AAA1C17"/>
    <w:rsid w:val="3AAB1BB2"/>
    <w:rsid w:val="3AB74334"/>
    <w:rsid w:val="3AF17846"/>
    <w:rsid w:val="3B0A0908"/>
    <w:rsid w:val="3B0C4680"/>
    <w:rsid w:val="3B497682"/>
    <w:rsid w:val="3BA24410"/>
    <w:rsid w:val="3BAC19BF"/>
    <w:rsid w:val="3BD11425"/>
    <w:rsid w:val="3BFF41E4"/>
    <w:rsid w:val="3C12185C"/>
    <w:rsid w:val="3C2123AD"/>
    <w:rsid w:val="3C3245BA"/>
    <w:rsid w:val="3C4A5059"/>
    <w:rsid w:val="3C552056"/>
    <w:rsid w:val="3C575DCE"/>
    <w:rsid w:val="3C65673D"/>
    <w:rsid w:val="3C6E4EC6"/>
    <w:rsid w:val="3CAA05F4"/>
    <w:rsid w:val="3CED46E2"/>
    <w:rsid w:val="3D1837B0"/>
    <w:rsid w:val="3D3659E4"/>
    <w:rsid w:val="3D8C1AA8"/>
    <w:rsid w:val="3DAC5CA6"/>
    <w:rsid w:val="3DB334D8"/>
    <w:rsid w:val="3DE74F30"/>
    <w:rsid w:val="3DF95994"/>
    <w:rsid w:val="3E1B02D9"/>
    <w:rsid w:val="3E502AD5"/>
    <w:rsid w:val="3E826884"/>
    <w:rsid w:val="3E8A248B"/>
    <w:rsid w:val="3E8E35FE"/>
    <w:rsid w:val="3ECA6D2C"/>
    <w:rsid w:val="3F0D6C18"/>
    <w:rsid w:val="3F1C50AD"/>
    <w:rsid w:val="3F566811"/>
    <w:rsid w:val="3F650802"/>
    <w:rsid w:val="3F7942AE"/>
    <w:rsid w:val="3F8847ED"/>
    <w:rsid w:val="3FAB00AC"/>
    <w:rsid w:val="3FB11C9A"/>
    <w:rsid w:val="3FCF2120"/>
    <w:rsid w:val="40061FE5"/>
    <w:rsid w:val="40923879"/>
    <w:rsid w:val="4093139F"/>
    <w:rsid w:val="40DE261A"/>
    <w:rsid w:val="40F63E08"/>
    <w:rsid w:val="40FE4A6B"/>
    <w:rsid w:val="4105404B"/>
    <w:rsid w:val="411A40CF"/>
    <w:rsid w:val="411E510D"/>
    <w:rsid w:val="41474664"/>
    <w:rsid w:val="41635215"/>
    <w:rsid w:val="416A2100"/>
    <w:rsid w:val="416A65A4"/>
    <w:rsid w:val="418D5DEE"/>
    <w:rsid w:val="41A63871"/>
    <w:rsid w:val="41A90E7A"/>
    <w:rsid w:val="41B31CF9"/>
    <w:rsid w:val="41EA4FEF"/>
    <w:rsid w:val="41EE4ADF"/>
    <w:rsid w:val="41F84884"/>
    <w:rsid w:val="41F8595E"/>
    <w:rsid w:val="42605FEB"/>
    <w:rsid w:val="429873E3"/>
    <w:rsid w:val="42B775C7"/>
    <w:rsid w:val="42C70904"/>
    <w:rsid w:val="42D17F20"/>
    <w:rsid w:val="42EA799C"/>
    <w:rsid w:val="42F44377"/>
    <w:rsid w:val="430420E0"/>
    <w:rsid w:val="430B7913"/>
    <w:rsid w:val="432D54FA"/>
    <w:rsid w:val="43813731"/>
    <w:rsid w:val="43884ABF"/>
    <w:rsid w:val="438C0A54"/>
    <w:rsid w:val="43A37E5C"/>
    <w:rsid w:val="43C27FD1"/>
    <w:rsid w:val="43D67F21"/>
    <w:rsid w:val="43FB71BF"/>
    <w:rsid w:val="440004EA"/>
    <w:rsid w:val="44586B88"/>
    <w:rsid w:val="445F1CC4"/>
    <w:rsid w:val="446612A5"/>
    <w:rsid w:val="44692B43"/>
    <w:rsid w:val="447339C1"/>
    <w:rsid w:val="449E2E8B"/>
    <w:rsid w:val="44B74C3C"/>
    <w:rsid w:val="44CC6C2E"/>
    <w:rsid w:val="450E7246"/>
    <w:rsid w:val="454A2974"/>
    <w:rsid w:val="454D3BBD"/>
    <w:rsid w:val="45A4125B"/>
    <w:rsid w:val="45D466E2"/>
    <w:rsid w:val="45D64208"/>
    <w:rsid w:val="45EF7078"/>
    <w:rsid w:val="45FB77CB"/>
    <w:rsid w:val="46170428"/>
    <w:rsid w:val="46325030"/>
    <w:rsid w:val="4669507C"/>
    <w:rsid w:val="467A2DE5"/>
    <w:rsid w:val="46AC31BB"/>
    <w:rsid w:val="46BB04B2"/>
    <w:rsid w:val="47282841"/>
    <w:rsid w:val="47486A40"/>
    <w:rsid w:val="47590C4D"/>
    <w:rsid w:val="47775577"/>
    <w:rsid w:val="47867568"/>
    <w:rsid w:val="47953C4F"/>
    <w:rsid w:val="47AA594C"/>
    <w:rsid w:val="47F72214"/>
    <w:rsid w:val="480C5CBF"/>
    <w:rsid w:val="482A673E"/>
    <w:rsid w:val="484F32FA"/>
    <w:rsid w:val="485D476D"/>
    <w:rsid w:val="4882013D"/>
    <w:rsid w:val="48B12D0A"/>
    <w:rsid w:val="48C447EC"/>
    <w:rsid w:val="48DD3AFF"/>
    <w:rsid w:val="48DF1625"/>
    <w:rsid w:val="48EE631A"/>
    <w:rsid w:val="49117305"/>
    <w:rsid w:val="492E7EB7"/>
    <w:rsid w:val="49351245"/>
    <w:rsid w:val="495E079C"/>
    <w:rsid w:val="49A14B2D"/>
    <w:rsid w:val="4A1C1F96"/>
    <w:rsid w:val="4A3414FD"/>
    <w:rsid w:val="4A791606"/>
    <w:rsid w:val="4A920621"/>
    <w:rsid w:val="4AC7035A"/>
    <w:rsid w:val="4AC9433B"/>
    <w:rsid w:val="4AD36F68"/>
    <w:rsid w:val="4B335C59"/>
    <w:rsid w:val="4BAD5A0B"/>
    <w:rsid w:val="4BE0566A"/>
    <w:rsid w:val="4C15710C"/>
    <w:rsid w:val="4C3C0B3D"/>
    <w:rsid w:val="4C433C79"/>
    <w:rsid w:val="4C667968"/>
    <w:rsid w:val="4C891FD4"/>
    <w:rsid w:val="4CBB4158"/>
    <w:rsid w:val="4CBE4D8F"/>
    <w:rsid w:val="4CBF7C53"/>
    <w:rsid w:val="4CF57205"/>
    <w:rsid w:val="4D0D7ED3"/>
    <w:rsid w:val="4D0E6C05"/>
    <w:rsid w:val="4D2515D1"/>
    <w:rsid w:val="4D52686A"/>
    <w:rsid w:val="4D6A6542"/>
    <w:rsid w:val="4D93478D"/>
    <w:rsid w:val="4DA93FB0"/>
    <w:rsid w:val="4DCE1C69"/>
    <w:rsid w:val="4DD3727F"/>
    <w:rsid w:val="4E031912"/>
    <w:rsid w:val="4E0D453F"/>
    <w:rsid w:val="4E404914"/>
    <w:rsid w:val="4E683E6B"/>
    <w:rsid w:val="4E6C5DF8"/>
    <w:rsid w:val="4E73096D"/>
    <w:rsid w:val="4EA053B3"/>
    <w:rsid w:val="4EC372F3"/>
    <w:rsid w:val="4ED4505D"/>
    <w:rsid w:val="4EE01C53"/>
    <w:rsid w:val="4EF63225"/>
    <w:rsid w:val="4EF851EF"/>
    <w:rsid w:val="4F006555"/>
    <w:rsid w:val="4F440434"/>
    <w:rsid w:val="4F6B3C13"/>
    <w:rsid w:val="4FB64B8F"/>
    <w:rsid w:val="4FF260E2"/>
    <w:rsid w:val="5012408F"/>
    <w:rsid w:val="502913D8"/>
    <w:rsid w:val="50414974"/>
    <w:rsid w:val="50493828"/>
    <w:rsid w:val="504B57F2"/>
    <w:rsid w:val="50A3118B"/>
    <w:rsid w:val="50AA2519"/>
    <w:rsid w:val="50B25872"/>
    <w:rsid w:val="50C51101"/>
    <w:rsid w:val="5108607B"/>
    <w:rsid w:val="51566BAA"/>
    <w:rsid w:val="518C60C3"/>
    <w:rsid w:val="51C4760A"/>
    <w:rsid w:val="51D5428B"/>
    <w:rsid w:val="52546BE0"/>
    <w:rsid w:val="525A3ACB"/>
    <w:rsid w:val="527821A3"/>
    <w:rsid w:val="52A03BD4"/>
    <w:rsid w:val="53041AD6"/>
    <w:rsid w:val="534764ED"/>
    <w:rsid w:val="5354676C"/>
    <w:rsid w:val="53553155"/>
    <w:rsid w:val="537E1A3B"/>
    <w:rsid w:val="538B66AA"/>
    <w:rsid w:val="53B4545D"/>
    <w:rsid w:val="53B92A73"/>
    <w:rsid w:val="53F046E7"/>
    <w:rsid w:val="544C45A3"/>
    <w:rsid w:val="545C514A"/>
    <w:rsid w:val="547C3048"/>
    <w:rsid w:val="54837309"/>
    <w:rsid w:val="54852806"/>
    <w:rsid w:val="54890697"/>
    <w:rsid w:val="54AA0D3A"/>
    <w:rsid w:val="54B003AC"/>
    <w:rsid w:val="54B35714"/>
    <w:rsid w:val="54B75204"/>
    <w:rsid w:val="54F16968"/>
    <w:rsid w:val="5503669C"/>
    <w:rsid w:val="551C150B"/>
    <w:rsid w:val="55222FC6"/>
    <w:rsid w:val="553D094E"/>
    <w:rsid w:val="556A671B"/>
    <w:rsid w:val="55AD03B6"/>
    <w:rsid w:val="55C37BD9"/>
    <w:rsid w:val="55DD0C9B"/>
    <w:rsid w:val="55F34962"/>
    <w:rsid w:val="564E7DEA"/>
    <w:rsid w:val="565D3B8A"/>
    <w:rsid w:val="56660C90"/>
    <w:rsid w:val="56680EAC"/>
    <w:rsid w:val="56701B0F"/>
    <w:rsid w:val="569A4DDE"/>
    <w:rsid w:val="56D4209E"/>
    <w:rsid w:val="56DC0F52"/>
    <w:rsid w:val="5717642E"/>
    <w:rsid w:val="571E156B"/>
    <w:rsid w:val="574865E8"/>
    <w:rsid w:val="57C33EC0"/>
    <w:rsid w:val="57CC0FC7"/>
    <w:rsid w:val="57D305A7"/>
    <w:rsid w:val="57F03CA5"/>
    <w:rsid w:val="58022C3B"/>
    <w:rsid w:val="5818245E"/>
    <w:rsid w:val="58366D88"/>
    <w:rsid w:val="58584F50"/>
    <w:rsid w:val="586B6A32"/>
    <w:rsid w:val="586E6522"/>
    <w:rsid w:val="58810003"/>
    <w:rsid w:val="588E44CE"/>
    <w:rsid w:val="58900246"/>
    <w:rsid w:val="589917F1"/>
    <w:rsid w:val="589C4E3D"/>
    <w:rsid w:val="58AB1524"/>
    <w:rsid w:val="58B905E9"/>
    <w:rsid w:val="58E14F46"/>
    <w:rsid w:val="58FD62BE"/>
    <w:rsid w:val="592117E6"/>
    <w:rsid w:val="595B4CF8"/>
    <w:rsid w:val="597D4C6F"/>
    <w:rsid w:val="59AD4E28"/>
    <w:rsid w:val="59CD4055"/>
    <w:rsid w:val="59E940B2"/>
    <w:rsid w:val="5A1153B7"/>
    <w:rsid w:val="5A2D762B"/>
    <w:rsid w:val="5A581238"/>
    <w:rsid w:val="5A7476F4"/>
    <w:rsid w:val="5AB436C3"/>
    <w:rsid w:val="5AC73CC7"/>
    <w:rsid w:val="5AFA5E4B"/>
    <w:rsid w:val="5B04316E"/>
    <w:rsid w:val="5B653C0C"/>
    <w:rsid w:val="5B7025B1"/>
    <w:rsid w:val="5B927CEC"/>
    <w:rsid w:val="5BA26C0E"/>
    <w:rsid w:val="5BC528FD"/>
    <w:rsid w:val="5BC8419B"/>
    <w:rsid w:val="5BF3746A"/>
    <w:rsid w:val="5BFA1D4F"/>
    <w:rsid w:val="5C1B42CB"/>
    <w:rsid w:val="5C430981"/>
    <w:rsid w:val="5C62014C"/>
    <w:rsid w:val="5C741C2D"/>
    <w:rsid w:val="5C8207EE"/>
    <w:rsid w:val="5CD66444"/>
    <w:rsid w:val="5D0B2591"/>
    <w:rsid w:val="5D577585"/>
    <w:rsid w:val="5D6D4FFA"/>
    <w:rsid w:val="5D753EAF"/>
    <w:rsid w:val="5D902A97"/>
    <w:rsid w:val="5DA327CA"/>
    <w:rsid w:val="5DB91FED"/>
    <w:rsid w:val="5DCA244C"/>
    <w:rsid w:val="5DFE20F6"/>
    <w:rsid w:val="5E0314BA"/>
    <w:rsid w:val="5E14640F"/>
    <w:rsid w:val="5E68026C"/>
    <w:rsid w:val="5E6F6B50"/>
    <w:rsid w:val="5E79352B"/>
    <w:rsid w:val="5E9D36BD"/>
    <w:rsid w:val="5ECB197B"/>
    <w:rsid w:val="5F4E1050"/>
    <w:rsid w:val="5F751F44"/>
    <w:rsid w:val="5FA62A45"/>
    <w:rsid w:val="5FB25842"/>
    <w:rsid w:val="5FB8266D"/>
    <w:rsid w:val="5FDC0215"/>
    <w:rsid w:val="6008725C"/>
    <w:rsid w:val="60200102"/>
    <w:rsid w:val="603B318E"/>
    <w:rsid w:val="604F09E7"/>
    <w:rsid w:val="607D3CAE"/>
    <w:rsid w:val="608E59B3"/>
    <w:rsid w:val="608F5287"/>
    <w:rsid w:val="60B27ED6"/>
    <w:rsid w:val="60D158A0"/>
    <w:rsid w:val="60E47381"/>
    <w:rsid w:val="60EB4BB4"/>
    <w:rsid w:val="613320B7"/>
    <w:rsid w:val="61370707"/>
    <w:rsid w:val="613C51CA"/>
    <w:rsid w:val="613D4CE3"/>
    <w:rsid w:val="614C3178"/>
    <w:rsid w:val="615C785F"/>
    <w:rsid w:val="61AC3E95"/>
    <w:rsid w:val="61B825BC"/>
    <w:rsid w:val="61B956A8"/>
    <w:rsid w:val="61D218D0"/>
    <w:rsid w:val="62210161"/>
    <w:rsid w:val="62214E20"/>
    <w:rsid w:val="62467BC8"/>
    <w:rsid w:val="625642AF"/>
    <w:rsid w:val="62832BCA"/>
    <w:rsid w:val="62AF7E63"/>
    <w:rsid w:val="62B15989"/>
    <w:rsid w:val="62E42DEA"/>
    <w:rsid w:val="632443AD"/>
    <w:rsid w:val="6329551F"/>
    <w:rsid w:val="63304B00"/>
    <w:rsid w:val="635A1B7D"/>
    <w:rsid w:val="6390559E"/>
    <w:rsid w:val="63A33B28"/>
    <w:rsid w:val="63D23E09"/>
    <w:rsid w:val="63FD7CA1"/>
    <w:rsid w:val="64151F48"/>
    <w:rsid w:val="6429154F"/>
    <w:rsid w:val="643E02BF"/>
    <w:rsid w:val="644B4006"/>
    <w:rsid w:val="646F1658"/>
    <w:rsid w:val="64890368"/>
    <w:rsid w:val="64B85A8B"/>
    <w:rsid w:val="64D616D7"/>
    <w:rsid w:val="64E77440"/>
    <w:rsid w:val="65271F32"/>
    <w:rsid w:val="655820EC"/>
    <w:rsid w:val="655F791E"/>
    <w:rsid w:val="656E316C"/>
    <w:rsid w:val="65DF6369"/>
    <w:rsid w:val="65FD703F"/>
    <w:rsid w:val="661029C7"/>
    <w:rsid w:val="66430FEE"/>
    <w:rsid w:val="669A6E11"/>
    <w:rsid w:val="66A575B3"/>
    <w:rsid w:val="66CC2D91"/>
    <w:rsid w:val="66D36628"/>
    <w:rsid w:val="6723497B"/>
    <w:rsid w:val="67430B7A"/>
    <w:rsid w:val="6784253D"/>
    <w:rsid w:val="68273FF7"/>
    <w:rsid w:val="682B3AE8"/>
    <w:rsid w:val="683A01CF"/>
    <w:rsid w:val="68420E31"/>
    <w:rsid w:val="68613110"/>
    <w:rsid w:val="68BC0BE4"/>
    <w:rsid w:val="68DE4FFE"/>
    <w:rsid w:val="69375808"/>
    <w:rsid w:val="69390486"/>
    <w:rsid w:val="693E3CEF"/>
    <w:rsid w:val="69434E61"/>
    <w:rsid w:val="696A6892"/>
    <w:rsid w:val="69745F77"/>
    <w:rsid w:val="6994390F"/>
    <w:rsid w:val="69B33D95"/>
    <w:rsid w:val="69C33C99"/>
    <w:rsid w:val="69EB1780"/>
    <w:rsid w:val="6A1F4759"/>
    <w:rsid w:val="6A260A0B"/>
    <w:rsid w:val="6A4B221F"/>
    <w:rsid w:val="6A7F011B"/>
    <w:rsid w:val="6AAF0A00"/>
    <w:rsid w:val="6AE14931"/>
    <w:rsid w:val="6AE54422"/>
    <w:rsid w:val="6AED1528"/>
    <w:rsid w:val="6B0108EE"/>
    <w:rsid w:val="6B513865"/>
    <w:rsid w:val="6B56531F"/>
    <w:rsid w:val="6B7118E7"/>
    <w:rsid w:val="6BA7725A"/>
    <w:rsid w:val="6BD31C32"/>
    <w:rsid w:val="6BE16FFE"/>
    <w:rsid w:val="6C092392"/>
    <w:rsid w:val="6C2216A6"/>
    <w:rsid w:val="6C375151"/>
    <w:rsid w:val="6C515AE7"/>
    <w:rsid w:val="6C727F37"/>
    <w:rsid w:val="6C8669DD"/>
    <w:rsid w:val="6C991968"/>
    <w:rsid w:val="6CC60283"/>
    <w:rsid w:val="6CF03552"/>
    <w:rsid w:val="6CF44DF0"/>
    <w:rsid w:val="6D013069"/>
    <w:rsid w:val="6D0B213A"/>
    <w:rsid w:val="6D352454"/>
    <w:rsid w:val="6D372F2F"/>
    <w:rsid w:val="6D431EE2"/>
    <w:rsid w:val="6D611CF4"/>
    <w:rsid w:val="6D9739CD"/>
    <w:rsid w:val="6DCF760B"/>
    <w:rsid w:val="6DD16EDF"/>
    <w:rsid w:val="6E16447B"/>
    <w:rsid w:val="6E647D53"/>
    <w:rsid w:val="6E6E2980"/>
    <w:rsid w:val="6E7F2DDF"/>
    <w:rsid w:val="6E957F0D"/>
    <w:rsid w:val="6E9C573F"/>
    <w:rsid w:val="6EA168B2"/>
    <w:rsid w:val="6EB72579"/>
    <w:rsid w:val="6F2B261F"/>
    <w:rsid w:val="6F4A519B"/>
    <w:rsid w:val="6F7051FE"/>
    <w:rsid w:val="6F7A553E"/>
    <w:rsid w:val="6FC50568"/>
    <w:rsid w:val="701001ED"/>
    <w:rsid w:val="702F613F"/>
    <w:rsid w:val="704020FA"/>
    <w:rsid w:val="705160B5"/>
    <w:rsid w:val="70587444"/>
    <w:rsid w:val="70BF6C34"/>
    <w:rsid w:val="70E84C6C"/>
    <w:rsid w:val="70FA674D"/>
    <w:rsid w:val="710A284E"/>
    <w:rsid w:val="71771B4C"/>
    <w:rsid w:val="719631A5"/>
    <w:rsid w:val="71970440"/>
    <w:rsid w:val="719E532A"/>
    <w:rsid w:val="71A861A9"/>
    <w:rsid w:val="71AF12E6"/>
    <w:rsid w:val="71EA67C2"/>
    <w:rsid w:val="72055B10"/>
    <w:rsid w:val="720B2872"/>
    <w:rsid w:val="72330169"/>
    <w:rsid w:val="725510A6"/>
    <w:rsid w:val="726E11A1"/>
    <w:rsid w:val="729D3834"/>
    <w:rsid w:val="72E90827"/>
    <w:rsid w:val="7313256E"/>
    <w:rsid w:val="733F6699"/>
    <w:rsid w:val="7386076C"/>
    <w:rsid w:val="738B2BB5"/>
    <w:rsid w:val="739476BE"/>
    <w:rsid w:val="7399224D"/>
    <w:rsid w:val="73A34E7A"/>
    <w:rsid w:val="73B61051"/>
    <w:rsid w:val="73DF6DE5"/>
    <w:rsid w:val="73F51748"/>
    <w:rsid w:val="7423420D"/>
    <w:rsid w:val="743B50B2"/>
    <w:rsid w:val="74561EEC"/>
    <w:rsid w:val="747D391D"/>
    <w:rsid w:val="74836A59"/>
    <w:rsid w:val="74AC5FB0"/>
    <w:rsid w:val="74C57072"/>
    <w:rsid w:val="74F87447"/>
    <w:rsid w:val="74FB2A94"/>
    <w:rsid w:val="74FD680C"/>
    <w:rsid w:val="75695C4F"/>
    <w:rsid w:val="75910BBA"/>
    <w:rsid w:val="75C74413"/>
    <w:rsid w:val="75D237F5"/>
    <w:rsid w:val="75E8126A"/>
    <w:rsid w:val="75EB2B08"/>
    <w:rsid w:val="75F471C6"/>
    <w:rsid w:val="75F90028"/>
    <w:rsid w:val="76164029"/>
    <w:rsid w:val="762322A2"/>
    <w:rsid w:val="76261D92"/>
    <w:rsid w:val="762B1157"/>
    <w:rsid w:val="76CC46E8"/>
    <w:rsid w:val="76D812DE"/>
    <w:rsid w:val="76DF266D"/>
    <w:rsid w:val="76EA1012"/>
    <w:rsid w:val="76EC2FDC"/>
    <w:rsid w:val="77183DD1"/>
    <w:rsid w:val="7773729F"/>
    <w:rsid w:val="777D1373"/>
    <w:rsid w:val="77FE4D75"/>
    <w:rsid w:val="78191561"/>
    <w:rsid w:val="783F1B89"/>
    <w:rsid w:val="78591FAB"/>
    <w:rsid w:val="78727511"/>
    <w:rsid w:val="788C2381"/>
    <w:rsid w:val="78FA0020"/>
    <w:rsid w:val="791240A1"/>
    <w:rsid w:val="791D122B"/>
    <w:rsid w:val="792A1B99"/>
    <w:rsid w:val="79330A4E"/>
    <w:rsid w:val="798B6ADC"/>
    <w:rsid w:val="79915D9D"/>
    <w:rsid w:val="79960FDD"/>
    <w:rsid w:val="799C4845"/>
    <w:rsid w:val="799D236B"/>
    <w:rsid w:val="79ED32F3"/>
    <w:rsid w:val="79F301DD"/>
    <w:rsid w:val="7A150154"/>
    <w:rsid w:val="7A212F9C"/>
    <w:rsid w:val="7A2471F6"/>
    <w:rsid w:val="7A4647B1"/>
    <w:rsid w:val="7A88301C"/>
    <w:rsid w:val="7A9C0875"/>
    <w:rsid w:val="7AC202DC"/>
    <w:rsid w:val="7AC50DC7"/>
    <w:rsid w:val="7AD95625"/>
    <w:rsid w:val="7AEF46D7"/>
    <w:rsid w:val="7B0C77A9"/>
    <w:rsid w:val="7B5D1DB2"/>
    <w:rsid w:val="7B643141"/>
    <w:rsid w:val="7B757796"/>
    <w:rsid w:val="7B892BA7"/>
    <w:rsid w:val="7BC462D5"/>
    <w:rsid w:val="7BF24BF0"/>
    <w:rsid w:val="7BFA1CF7"/>
    <w:rsid w:val="7C016BE2"/>
    <w:rsid w:val="7C217284"/>
    <w:rsid w:val="7C756F0E"/>
    <w:rsid w:val="7C7B2E38"/>
    <w:rsid w:val="7C8F0691"/>
    <w:rsid w:val="7C9A0DE4"/>
    <w:rsid w:val="7CEA3B1A"/>
    <w:rsid w:val="7CEF1130"/>
    <w:rsid w:val="7D124E1E"/>
    <w:rsid w:val="7D2F777E"/>
    <w:rsid w:val="7D6A0402"/>
    <w:rsid w:val="7D8276CB"/>
    <w:rsid w:val="7D997846"/>
    <w:rsid w:val="7DDA465A"/>
    <w:rsid w:val="7DDD542C"/>
    <w:rsid w:val="7DEE13E8"/>
    <w:rsid w:val="7E096221"/>
    <w:rsid w:val="7E1F3C97"/>
    <w:rsid w:val="7E342E2B"/>
    <w:rsid w:val="7E551467"/>
    <w:rsid w:val="7E7E4724"/>
    <w:rsid w:val="7E8D0C00"/>
    <w:rsid w:val="7E8D29AE"/>
    <w:rsid w:val="7EA128FE"/>
    <w:rsid w:val="7EA74461"/>
    <w:rsid w:val="7EA85A3A"/>
    <w:rsid w:val="7EF01004"/>
    <w:rsid w:val="7EF26CB5"/>
    <w:rsid w:val="7EFE21D4"/>
    <w:rsid w:val="7F403EC5"/>
    <w:rsid w:val="7F482D79"/>
    <w:rsid w:val="7F5259A6"/>
    <w:rsid w:val="7F5B0CFF"/>
    <w:rsid w:val="7F69341C"/>
    <w:rsid w:val="7F9F28D0"/>
    <w:rsid w:val="7FE707E4"/>
    <w:rsid w:val="84DBDC6E"/>
    <w:rsid w:val="9EE312F5"/>
    <w:rsid w:val="ECDFDF13"/>
    <w:rsid w:val="EFDDCAFC"/>
    <w:rsid w:val="F9BD4C96"/>
    <w:rsid w:val="FDEE5A81"/>
    <w:rsid w:val="FFF7B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5"/>
    <w:qFormat/>
    <w:uiPriority w:val="0"/>
    <w:pPr>
      <w:keepNext/>
      <w:widowControl/>
      <w:jc w:val="center"/>
      <w:outlineLvl w:val="3"/>
    </w:pPr>
    <w:rPr>
      <w:rFonts w:ascii="MS Sans Serif" w:hAnsi="仿宋_GB2312" w:eastAsia="MS Sans Serif"/>
      <w:snapToGrid w:val="0"/>
      <w:kern w:val="0"/>
      <w:sz w:val="24"/>
      <w:szCs w:val="20"/>
    </w:rPr>
  </w:style>
  <w:style w:type="paragraph" w:styleId="6">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link w:val="45"/>
    <w:semiHidden/>
    <w:unhideWhenUsed/>
    <w:qFormat/>
    <w:uiPriority w:val="99"/>
    <w:pPr>
      <w:jc w:val="left"/>
    </w:pPr>
  </w:style>
  <w:style w:type="paragraph" w:styleId="8">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Plain Text"/>
    <w:basedOn w:val="1"/>
    <w:qFormat/>
    <w:uiPriority w:val="0"/>
    <w:rPr>
      <w:rFonts w:ascii="宋体" w:hAnsi="Courier New" w:cs="Arial"/>
      <w:snapToGrid w:val="0"/>
      <w:szCs w:val="21"/>
    </w:rPr>
  </w:style>
  <w:style w:type="paragraph" w:styleId="11">
    <w:name w:val="Date"/>
    <w:basedOn w:val="1"/>
    <w:next w:val="1"/>
    <w:qFormat/>
    <w:uiPriority w:val="0"/>
    <w:pPr>
      <w:widowControl w:val="0"/>
      <w:ind w:leftChars="2500"/>
      <w:jc w:val="both"/>
    </w:pPr>
    <w:rPr>
      <w:rFonts w:hint="eastAsia" w:ascii="宋体" w:hAnsi="宋体" w:eastAsia="宋体" w:cs="Times New Roman"/>
      <w:snapToGrid/>
      <w:kern w:val="2"/>
      <w:sz w:val="24"/>
      <w:lang w:val="en-US" w:eastAsia="zh-CN" w:bidi="ar-SA"/>
    </w:rPr>
  </w:style>
  <w:style w:type="paragraph" w:styleId="12">
    <w:name w:val="Balloon Text"/>
    <w:basedOn w:val="1"/>
    <w:link w:val="24"/>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Body Text First Indent"/>
    <w:basedOn w:val="8"/>
    <w:next w:val="1"/>
    <w:qFormat/>
    <w:uiPriority w:val="0"/>
    <w:pPr>
      <w:ind w:firstLine="420"/>
    </w:pPr>
    <w:rPr>
      <w:rFonts w:hAnsi="Calibri" w:cs="Times New Roman"/>
      <w:snapToGrid/>
      <w:szCs w:val="20"/>
    </w:rPr>
  </w:style>
  <w:style w:type="paragraph" w:styleId="17">
    <w:name w:val="Body Text First Indent 2"/>
    <w:basedOn w:val="9"/>
    <w:qFormat/>
    <w:uiPriority w:val="0"/>
    <w:pPr>
      <w:spacing w:line="360" w:lineRule="auto"/>
      <w:pPrChange w:id="0" w:author="chenyi li" w:date="2024-02-02T12:57:00Z">
        <w:pPr>
          <w:widowControl w:val="0"/>
          <w:spacing w:line="360" w:lineRule="auto"/>
          <w:ind w:firstLine="480" w:firstLineChars="200"/>
          <w:jc w:val="both"/>
        </w:pPr>
      </w:pPrChange>
    </w:pPr>
    <w:rPr>
      <w:rFonts w:ascii="Calibri" w:hAnsi="Calibri"/>
      <w:rPrChange w:id="1" w:author="chenyi li" w:date="2024-02-02T12:57:00Z">
        <w:rPr>
          <w:rFonts w:ascii="Calibri" w:hAnsi="Calibri" w:eastAsia="宋体"/>
          <w:kern w:val="2"/>
          <w:sz w:val="24"/>
          <w:szCs w:val="22"/>
          <w:lang w:val="en-US" w:eastAsia="zh-CN" w:bidi="ar-SA"/>
        </w:rPr>
      </w:rPrChange>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character" w:styleId="23">
    <w:name w:val="annotation reference"/>
    <w:qFormat/>
    <w:uiPriority w:val="0"/>
    <w:rPr>
      <w:sz w:val="21"/>
      <w:szCs w:val="21"/>
    </w:rPr>
  </w:style>
  <w:style w:type="character" w:customStyle="1" w:styleId="24">
    <w:name w:val="批注框文本 字符"/>
    <w:link w:val="12"/>
    <w:semiHidden/>
    <w:qFormat/>
    <w:uiPriority w:val="99"/>
    <w:rPr>
      <w:sz w:val="18"/>
      <w:szCs w:val="18"/>
    </w:rPr>
  </w:style>
  <w:style w:type="character" w:customStyle="1" w:styleId="25">
    <w:name w:val="页脚 字符"/>
    <w:link w:val="13"/>
    <w:qFormat/>
    <w:uiPriority w:val="99"/>
    <w:rPr>
      <w:kern w:val="2"/>
      <w:sz w:val="18"/>
      <w:szCs w:val="18"/>
    </w:rPr>
  </w:style>
  <w:style w:type="character" w:customStyle="1" w:styleId="26">
    <w:name w:val="页眉 字符"/>
    <w:link w:val="14"/>
    <w:qFormat/>
    <w:uiPriority w:val="99"/>
    <w:rPr>
      <w:kern w:val="2"/>
      <w:sz w:val="18"/>
      <w:szCs w:val="18"/>
    </w:rPr>
  </w:style>
  <w:style w:type="paragraph" w:customStyle="1" w:styleId="27">
    <w:name w:val="正文文字"/>
    <w:basedOn w:val="1"/>
    <w:qFormat/>
    <w:uiPriority w:val="0"/>
    <w:pPr>
      <w:widowControl/>
      <w:spacing w:line="952" w:lineRule="atLeast"/>
      <w:ind w:firstLine="419"/>
      <w:textAlignment w:val="baseline"/>
    </w:pPr>
    <w:rPr>
      <w:b/>
      <w:color w:val="000000"/>
      <w:sz w:val="44"/>
    </w:rPr>
  </w:style>
  <w:style w:type="paragraph" w:customStyle="1" w:styleId="2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29">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2"/>
    <w:basedOn w:val="1"/>
    <w:qFormat/>
    <w:uiPriority w:val="0"/>
    <w:pPr>
      <w:spacing w:before="156" w:line="360" w:lineRule="auto"/>
      <w:ind w:firstLine="510" w:firstLineChars="200"/>
    </w:pPr>
    <w:rPr>
      <w:sz w:val="24"/>
      <w:szCs w:val="20"/>
    </w:rPr>
  </w:style>
  <w:style w:type="paragraph" w:customStyle="1" w:styleId="3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
    <w:name w:val="索引 11"/>
    <w:basedOn w:val="1"/>
    <w:next w:val="1"/>
    <w:qFormat/>
    <w:uiPriority w:val="99"/>
    <w:pPr>
      <w:spacing w:line="360" w:lineRule="auto"/>
    </w:pPr>
    <w:rPr>
      <w:rFonts w:ascii="仿宋_GB2312" w:eastAsia="仿宋_GB2312"/>
      <w:sz w:val="24"/>
      <w:szCs w:val="20"/>
    </w:rPr>
  </w:style>
  <w:style w:type="paragraph" w:customStyle="1" w:styleId="34">
    <w:name w:val="纯文本1"/>
    <w:basedOn w:val="1"/>
    <w:qFormat/>
    <w:uiPriority w:val="0"/>
    <w:rPr>
      <w:rFonts w:ascii="宋体" w:hAnsi="Courier New"/>
      <w:kern w:val="0"/>
      <w:sz w:val="20"/>
      <w:szCs w:val="20"/>
    </w:rPr>
  </w:style>
  <w:style w:type="paragraph" w:customStyle="1" w:styleId="35">
    <w:name w:val="text-tag"/>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
    <w:name w:val="纯文本_0_0"/>
    <w:basedOn w:val="37"/>
    <w:qFormat/>
    <w:uiPriority w:val="0"/>
    <w:rPr>
      <w:rFonts w:ascii="宋体" w:hAnsi="Courier New"/>
      <w:szCs w:val="21"/>
    </w:rPr>
  </w:style>
  <w:style w:type="paragraph" w:customStyle="1" w:styleId="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Table Paragraph"/>
    <w:basedOn w:val="1"/>
    <w:qFormat/>
    <w:uiPriority w:val="1"/>
    <w:pPr>
      <w:jc w:val="left"/>
    </w:pPr>
    <w:rPr>
      <w:kern w:val="0"/>
      <w:sz w:val="22"/>
      <w:lang w:eastAsia="en-US"/>
    </w:rPr>
  </w:style>
  <w:style w:type="paragraph" w:customStyle="1" w:styleId="3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0">
    <w:name w:val="font11"/>
    <w:qFormat/>
    <w:uiPriority w:val="0"/>
    <w:rPr>
      <w:rFonts w:hint="eastAsia" w:ascii="宋体" w:hAnsi="宋体" w:eastAsia="宋体" w:cs="宋体"/>
      <w:color w:val="000000"/>
      <w:sz w:val="24"/>
      <w:szCs w:val="24"/>
      <w:u w:val="none"/>
    </w:rPr>
  </w:style>
  <w:style w:type="character" w:customStyle="1" w:styleId="41">
    <w:name w:val="font31"/>
    <w:basedOn w:val="20"/>
    <w:qFormat/>
    <w:uiPriority w:val="0"/>
    <w:rPr>
      <w:rFonts w:hint="eastAsia" w:ascii="宋体" w:hAnsi="宋体" w:eastAsia="宋体" w:cs="宋体"/>
      <w:color w:val="000000"/>
      <w:sz w:val="22"/>
      <w:szCs w:val="22"/>
      <w:u w:val="none"/>
    </w:rPr>
  </w:style>
  <w:style w:type="character" w:customStyle="1" w:styleId="42">
    <w:name w:val="font41"/>
    <w:qFormat/>
    <w:uiPriority w:val="0"/>
    <w:rPr>
      <w:rFonts w:hint="eastAsia" w:ascii="宋体" w:hAnsi="宋体" w:eastAsia="宋体" w:cs="宋体"/>
      <w:color w:val="000000"/>
      <w:sz w:val="21"/>
      <w:szCs w:val="21"/>
      <w:u w:val="none"/>
    </w:rPr>
  </w:style>
  <w:style w:type="paragraph" w:customStyle="1" w:styleId="43">
    <w:name w:val="Body text|1"/>
    <w:basedOn w:val="1"/>
    <w:qFormat/>
    <w:uiPriority w:val="0"/>
    <w:pPr>
      <w:spacing w:line="446" w:lineRule="auto"/>
      <w:jc w:val="left"/>
    </w:pPr>
    <w:rPr>
      <w:rFonts w:ascii="宋体" w:hAnsi="宋体" w:cs="宋体"/>
      <w:kern w:val="0"/>
      <w:sz w:val="20"/>
      <w:lang w:val="zh-TW" w:eastAsia="zh-TW" w:bidi="zh-TW"/>
    </w:rPr>
  </w:style>
  <w:style w:type="paragraph" w:customStyle="1" w:styleId="44">
    <w:name w:val="修订1"/>
    <w:hidden/>
    <w:unhideWhenUsed/>
    <w:qFormat/>
    <w:uiPriority w:val="99"/>
    <w:rPr>
      <w:rFonts w:ascii="Calibri" w:hAnsi="Calibri" w:eastAsia="宋体" w:cs="Times New Roman"/>
      <w:kern w:val="2"/>
      <w:sz w:val="21"/>
      <w:szCs w:val="22"/>
      <w:lang w:val="en-US" w:eastAsia="zh-CN" w:bidi="ar-SA"/>
    </w:rPr>
  </w:style>
  <w:style w:type="character" w:customStyle="1" w:styleId="45">
    <w:name w:val="批注文字 字符"/>
    <w:basedOn w:val="20"/>
    <w:link w:val="7"/>
    <w:semiHidden/>
    <w:qFormat/>
    <w:uiPriority w:val="99"/>
    <w:rPr>
      <w:kern w:val="2"/>
      <w:sz w:val="21"/>
      <w:szCs w:val="22"/>
    </w:rPr>
  </w:style>
  <w:style w:type="paragraph" w:customStyle="1" w:styleId="46">
    <w:name w:val="修订2"/>
    <w:hidden/>
    <w:unhideWhenUsed/>
    <w:qFormat/>
    <w:uiPriority w:val="99"/>
    <w:rPr>
      <w:rFonts w:ascii="Calibri" w:hAnsi="Calibri" w:eastAsia="宋体" w:cs="Times New Roman"/>
      <w:kern w:val="2"/>
      <w:sz w:val="21"/>
      <w:szCs w:val="22"/>
      <w:lang w:val="en-US" w:eastAsia="zh-CN" w:bidi="ar-SA"/>
    </w:rPr>
  </w:style>
  <w:style w:type="character" w:customStyle="1" w:styleId="47">
    <w:name w:val="font51"/>
    <w:qFormat/>
    <w:uiPriority w:val="0"/>
    <w:rPr>
      <w:rFonts w:hint="eastAsia" w:ascii="等线" w:hAnsi="等线" w:eastAsia="等线" w:cs="等线"/>
      <w:color w:val="auto"/>
      <w:sz w:val="21"/>
      <w:szCs w:val="21"/>
      <w:u w:val="none"/>
    </w:rPr>
  </w:style>
  <w:style w:type="paragraph" w:customStyle="1" w:styleId="48">
    <w:name w:val="[Normal]"/>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宋体" w:hAnsi="宋体" w:eastAsia="宋体" w:cs="Times New Roman"/>
      <w:sz w:val="24"/>
      <w:szCs w:val="22"/>
      <w:lang w:val="zh-CN" w:eastAsia="zh-CN" w:bidi="ar-SA"/>
    </w:rPr>
  </w:style>
  <w:style w:type="paragraph" w:customStyle="1" w:styleId="49">
    <w:name w:val="_正文"/>
    <w:basedOn w:val="1"/>
    <w:qFormat/>
    <w:uiPriority w:val="0"/>
    <w:pPr>
      <w:ind w:firstLine="560" w:firstLineChars="200"/>
    </w:pPr>
    <w:rPr>
      <w:rFonts w:ascii="宋体" w:hAnsi="宋体"/>
      <w:sz w:val="28"/>
      <w:szCs w:val="28"/>
    </w:rPr>
  </w:style>
  <w:style w:type="paragraph" w:customStyle="1" w:styleId="50">
    <w:name w:val="Revision"/>
    <w:hidden/>
    <w:unhideWhenUsed/>
    <w:qFormat/>
    <w:uiPriority w:val="99"/>
    <w:rPr>
      <w:rFonts w:ascii="Calibri" w:hAnsi="Calibri" w:eastAsia="宋体" w:cs="Times New Roman"/>
      <w:kern w:val="2"/>
      <w:sz w:val="21"/>
      <w:szCs w:val="22"/>
      <w:lang w:val="en-US" w:eastAsia="zh-CN" w:bidi="ar-SA"/>
    </w:rPr>
  </w:style>
  <w:style w:type="paragraph" w:customStyle="1" w:styleId="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45418</Words>
  <Characters>48715</Characters>
  <Lines>439</Lines>
  <Paragraphs>123</Paragraphs>
  <TotalTime>35</TotalTime>
  <ScaleCrop>false</ScaleCrop>
  <LinksUpToDate>false</LinksUpToDate>
  <CharactersWithSpaces>55088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2024-06-12T13:29:00Z</dcterms:created>
  <dc:creator>NTKO</dc:creator>
  <cp:lastModifiedBy>成三少</cp:lastModifiedBy>
  <dcterms:modified xsi:type="dcterms:W3CDTF">2025-06-18T11:55:54Z</dcterms:modified>
  <dc:title>市建委2024年信息化运维项目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AF6BE7D60B8A468FB64115DE21BF5A2C_13</vt:lpwstr>
  </property>
  <property fmtid="{D5CDD505-2E9C-101B-9397-08002B2CF9AE}" pid="4" name="KSOTemplateDocerSaveRecord">
    <vt:lpwstr>eyJoZGlkIjoiZjk4ODA0NjMwNjFhYWEyZThjZjg2N2YxN2FlZGJmODIiLCJ1c2VySWQiOiI0NDg3MDg0OTkifQ==</vt:lpwstr>
  </property>
</Properties>
</file>