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pStyle w:val="57"/>
        <w:widowControl w:val="0"/>
        <w:snapToGrid w:val="0"/>
        <w:spacing w:line="360" w:lineRule="auto"/>
        <w:ind w:firstLine="0"/>
        <w:jc w:val="center"/>
        <w:rPr>
          <w:rFonts w:asciiTheme="minorEastAsia" w:hAnsiTheme="minorEastAsia" w:eastAsiaTheme="minorEastAsia" w:cstheme="minorEastAsia"/>
          <w:color w:val="auto"/>
          <w:sz w:val="48"/>
          <w:szCs w:val="48"/>
          <w:highlight w:val="none"/>
        </w:rPr>
      </w:pPr>
    </w:p>
    <w:p>
      <w:pPr>
        <w:pStyle w:val="57"/>
        <w:widowControl w:val="0"/>
        <w:snapToGrid w:val="0"/>
        <w:spacing w:line="360" w:lineRule="auto"/>
        <w:ind w:firstLine="0"/>
        <w:jc w:val="center"/>
        <w:rPr>
          <w:rFonts w:ascii="宋体" w:hAnsi="宋体" w:cs="宋体"/>
          <w:bCs/>
          <w:color w:val="auto"/>
          <w:sz w:val="48"/>
          <w:szCs w:val="48"/>
          <w:highlight w:val="none"/>
        </w:rPr>
      </w:pPr>
      <w:r>
        <w:rPr>
          <w:rFonts w:hint="eastAsia" w:asciiTheme="minorEastAsia" w:hAnsiTheme="minorEastAsia" w:eastAsiaTheme="minorEastAsia" w:cstheme="minorEastAsia"/>
          <w:color w:val="auto"/>
          <w:sz w:val="48"/>
          <w:szCs w:val="48"/>
          <w:highlight w:val="none"/>
        </w:rPr>
        <w:t>浙江省杭州第十一中学</w:t>
      </w:r>
    </w:p>
    <w:p>
      <w:pPr>
        <w:adjustRightInd/>
        <w:spacing w:line="360" w:lineRule="auto"/>
        <w:jc w:val="center"/>
        <w:rPr>
          <w:rFonts w:ascii="宋体" w:hAnsi="宋体" w:cs="宋体"/>
          <w:color w:val="auto"/>
          <w:sz w:val="48"/>
          <w:szCs w:val="48"/>
          <w:highlight w:val="none"/>
        </w:rPr>
      </w:pPr>
      <w:r>
        <w:rPr>
          <w:rFonts w:hint="eastAsia" w:ascii="宋体" w:hAnsi="宋体" w:cs="宋体"/>
          <w:b/>
          <w:bCs/>
          <w:color w:val="auto"/>
          <w:sz w:val="48"/>
          <w:szCs w:val="48"/>
          <w:highlight w:val="none"/>
        </w:rPr>
        <w:t>德胜教学楼多联机制冷设备改造</w:t>
      </w:r>
    </w:p>
    <w:p>
      <w:pPr>
        <w:adjustRightInd/>
        <w:spacing w:line="360" w:lineRule="auto"/>
        <w:jc w:val="center"/>
        <w:rPr>
          <w:rFonts w:ascii="宋体" w:hAnsi="宋体" w:cs="宋体"/>
          <w:color w:val="auto"/>
          <w:sz w:val="48"/>
          <w:szCs w:val="48"/>
          <w:highlight w:val="none"/>
        </w:rPr>
      </w:pPr>
    </w:p>
    <w:p>
      <w:pPr>
        <w:pStyle w:val="11"/>
        <w:rPr>
          <w:rFonts w:hAnsi="宋体" w:cs="宋体"/>
          <w:color w:val="auto"/>
          <w:sz w:val="48"/>
          <w:szCs w:val="48"/>
          <w:highlight w:val="none"/>
        </w:rPr>
      </w:pPr>
    </w:p>
    <w:p>
      <w:pPr>
        <w:pStyle w:val="11"/>
        <w:rPr>
          <w:rFonts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72"/>
          <w:szCs w:val="72"/>
          <w:highlight w:val="none"/>
        </w:rPr>
        <w:t>招标文件</w:t>
      </w:r>
      <w:r>
        <w:rPr>
          <w:rFonts w:hint="eastAsia" w:ascii="宋体" w:hAnsi="宋体" w:cs="宋体"/>
          <w:color w:val="auto"/>
          <w:sz w:val="48"/>
          <w:szCs w:val="48"/>
          <w:highlight w:val="none"/>
        </w:rPr>
        <w:t xml:space="preserve"> </w:t>
      </w:r>
    </w:p>
    <w:p>
      <w:pPr>
        <w:adjustRightInd/>
        <w:spacing w:line="360" w:lineRule="auto"/>
        <w:jc w:val="center"/>
        <w:rPr>
          <w:rFonts w:ascii="宋体" w:hAnsi="宋体" w:cs="宋体"/>
          <w:b/>
          <w:color w:val="auto"/>
          <w:sz w:val="30"/>
          <w:szCs w:val="30"/>
          <w:highlight w:val="none"/>
        </w:rPr>
      </w:pPr>
      <w:r>
        <w:rPr>
          <w:rFonts w:hint="eastAsia" w:ascii="宋体" w:hAnsi="宋体" w:cs="宋体"/>
          <w:b/>
          <w:color w:val="auto"/>
          <w:sz w:val="44"/>
          <w:szCs w:val="44"/>
          <w:highlight w:val="none"/>
        </w:rPr>
        <w:t xml:space="preserve"> </w:t>
      </w:r>
      <w:r>
        <w:rPr>
          <w:rFonts w:hint="eastAsia" w:ascii="宋体" w:hAnsi="宋体" w:cs="宋体"/>
          <w:b/>
          <w:color w:val="auto"/>
          <w:sz w:val="30"/>
          <w:szCs w:val="30"/>
          <w:highlight w:val="none"/>
        </w:rPr>
        <w:t>（</w:t>
      </w:r>
      <w:r>
        <w:rPr>
          <w:rFonts w:hint="eastAsia" w:ascii="宋体" w:hAnsi="宋体" w:cs="宋体"/>
          <w:b/>
          <w:bCs/>
          <w:color w:val="auto"/>
          <w:sz w:val="30"/>
          <w:szCs w:val="30"/>
          <w:highlight w:val="none"/>
        </w:rPr>
        <w:t>非政府采购项目-</w:t>
      </w:r>
      <w:r>
        <w:rPr>
          <w:rFonts w:hint="eastAsia" w:ascii="宋体" w:hAnsi="宋体" w:cs="宋体"/>
          <w:b/>
          <w:color w:val="auto"/>
          <w:sz w:val="30"/>
          <w:szCs w:val="30"/>
          <w:highlight w:val="none"/>
        </w:rPr>
        <w:t>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项目编号：HSYZ-2025-023</w:t>
      </w:r>
    </w:p>
    <w:p>
      <w:pPr>
        <w:adjustRightInd/>
        <w:spacing w:line="360" w:lineRule="auto"/>
        <w:rPr>
          <w:rFonts w:ascii="宋体" w:hAnsi="宋体" w:cs="宋体"/>
          <w:color w:val="auto"/>
          <w:sz w:val="28"/>
          <w:szCs w:val="20"/>
          <w:highlight w:val="none"/>
        </w:rPr>
      </w:pPr>
    </w:p>
    <w:p>
      <w:pPr>
        <w:spacing w:line="360" w:lineRule="auto"/>
        <w:rPr>
          <w:rFonts w:ascii="宋体" w:hAnsi="宋体" w:cs="宋体"/>
          <w:b/>
          <w:color w:val="auto"/>
          <w:sz w:val="44"/>
          <w:szCs w:val="4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浙江省杭州第十一中学</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杭州洲源招标代理有限公司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二〇二五年六月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28"/>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2560" w:firstLineChars="8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2560" w:firstLineChars="8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2560" w:firstLineChars="8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2560" w:firstLineChars="8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2560" w:firstLineChars="8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2560" w:firstLineChars="8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德胜教学楼多联机制冷设备改造招标项目的潜在投标人应在杭州市教育局非依法招标（小额）项目平台</w:t>
      </w:r>
      <w:r>
        <w:rPr>
          <w:rFonts w:hint="eastAsia" w:ascii="宋体" w:hAnsi="宋体" w:cs="宋体"/>
          <w:bCs/>
          <w:color w:val="auto"/>
          <w:sz w:val="24"/>
          <w:highlight w:val="none"/>
        </w:rPr>
        <w:t>https://hzjyg.lecaiyun.com/</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23"/>
          <w:rFonts w:hint="eastAsia" w:ascii="宋体" w:hAnsi="宋体" w:eastAsia="宋体" w:cs="宋体"/>
          <w:snapToGrid/>
          <w:color w:val="auto"/>
          <w:kern w:val="2"/>
          <w:sz w:val="24"/>
          <w:szCs w:val="24"/>
          <w:highlight w:val="none"/>
        </w:rPr>
        <w:t>获取（下载）招标文件，并于</w:t>
      </w: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日</w:t>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14</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0（北京时间）前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项目编号：HSYZ-2025-023</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项目名称：德胜教学楼多联机制冷设备改造</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预算金额（元）：497000</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最高限价（元）：497000</w:t>
      </w:r>
    </w:p>
    <w:p>
      <w:pPr>
        <w:pStyle w:val="5"/>
        <w:spacing w:line="360" w:lineRule="auto"/>
        <w:ind w:firstLine="480"/>
        <w:rPr>
          <w:rFonts w:hAnsi="宋体" w:cs="宋体"/>
          <w:bCs/>
          <w:snapToGrid/>
          <w:color w:val="auto"/>
          <w:kern w:val="2"/>
          <w:sz w:val="24"/>
          <w:szCs w:val="24"/>
          <w:highlight w:val="none"/>
        </w:rPr>
      </w:pPr>
      <w:r>
        <w:rPr>
          <w:rFonts w:hint="eastAsia" w:hAnsi="宋体" w:cs="宋体"/>
          <w:color w:val="auto"/>
          <w:sz w:val="24"/>
          <w:highlight w:val="none"/>
        </w:rPr>
        <w:t>采购需求：</w:t>
      </w:r>
    </w:p>
    <w:p>
      <w:pPr>
        <w:pStyle w:val="5"/>
        <w:spacing w:line="360" w:lineRule="auto"/>
        <w:ind w:firstLine="480"/>
        <w:rPr>
          <w:rFonts w:hAnsi="宋体" w:cs="宋体"/>
          <w:bCs/>
          <w:snapToGrid/>
          <w:color w:val="auto"/>
          <w:kern w:val="2"/>
          <w:sz w:val="24"/>
          <w:szCs w:val="24"/>
          <w:highlight w:val="none"/>
        </w:rPr>
      </w:pPr>
    </w:p>
    <w:p>
      <w:pPr>
        <w:pStyle w:val="5"/>
        <w:spacing w:line="360" w:lineRule="auto"/>
        <w:ind w:firstLine="480"/>
        <w:rPr>
          <w:rFonts w:hAnsi="宋体" w:cs="宋体"/>
          <w:snapToGrid/>
          <w:color w:val="auto"/>
          <w:kern w:val="2"/>
          <w:sz w:val="24"/>
          <w:szCs w:val="24"/>
          <w:highlight w:val="none"/>
        </w:rPr>
      </w:pPr>
      <w:r>
        <w:rPr>
          <w:rFonts w:hint="eastAsia" w:hAnsi="宋体" w:cs="宋体"/>
          <w:bCs/>
          <w:snapToGrid/>
          <w:color w:val="auto"/>
          <w:kern w:val="2"/>
          <w:sz w:val="24"/>
          <w:szCs w:val="24"/>
          <w:highlight w:val="none"/>
        </w:rPr>
        <w:t>标项名称</w:t>
      </w:r>
      <w:r>
        <w:rPr>
          <w:rFonts w:hint="eastAsia" w:hAnsi="宋体" w:cs="宋体"/>
          <w:snapToGrid/>
          <w:color w:val="auto"/>
          <w:kern w:val="2"/>
          <w:sz w:val="24"/>
          <w:szCs w:val="24"/>
          <w:highlight w:val="none"/>
        </w:rPr>
        <w:t xml:space="preserve">：德胜教学楼多联机制冷设备改造  </w:t>
      </w:r>
    </w:p>
    <w:p>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 xml:space="preserve">数量：1  </w:t>
      </w:r>
    </w:p>
    <w:p>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color w:val="auto"/>
          <w:sz w:val="24"/>
          <w:highlight w:val="none"/>
        </w:rPr>
        <w:t>497000</w:t>
      </w:r>
    </w:p>
    <w:p>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简要规格描述或项目基本概况介绍、用途：本次项目拟采购多联式室外机及环形嵌入式室内机。详见招标文件第三部分采购需求。</w:t>
      </w:r>
    </w:p>
    <w:p>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备注：</w:t>
      </w:r>
    </w:p>
    <w:p>
      <w:pPr>
        <w:pStyle w:val="5"/>
        <w:spacing w:line="360" w:lineRule="auto"/>
        <w:ind w:firstLine="480"/>
        <w:rPr>
          <w:rFonts w:hAnsi="宋体" w:cs="宋体"/>
          <w:bCs/>
          <w:snapToGrid/>
          <w:color w:val="auto"/>
          <w:kern w:val="2"/>
          <w:sz w:val="24"/>
          <w:szCs w:val="24"/>
          <w:highlight w:val="none"/>
        </w:rPr>
      </w:pPr>
    </w:p>
    <w:p>
      <w:pPr>
        <w:pStyle w:val="5"/>
        <w:spacing w:line="360" w:lineRule="auto"/>
        <w:ind w:firstLine="480"/>
        <w:rPr>
          <w:rFonts w:hint="eastAsia"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合同履约期限：</w:t>
      </w:r>
      <w:r>
        <w:rPr>
          <w:rFonts w:hint="eastAsia" w:hAnsi="宋体" w:cs="宋体"/>
          <w:bCs/>
          <w:snapToGrid/>
          <w:color w:val="auto"/>
          <w:kern w:val="2"/>
          <w:sz w:val="24"/>
          <w:szCs w:val="24"/>
          <w:highlight w:val="none"/>
          <w:lang w:val="en-US" w:eastAsia="zh-CN"/>
        </w:rPr>
        <w:t>2025年8月20日前完成</w:t>
      </w:r>
      <w:r>
        <w:rPr>
          <w:rFonts w:hint="eastAsia" w:hAnsi="宋体" w:cs="宋体"/>
          <w:bCs/>
          <w:snapToGrid/>
          <w:color w:val="auto"/>
          <w:kern w:val="2"/>
          <w:sz w:val="24"/>
          <w:szCs w:val="24"/>
          <w:highlight w:val="none"/>
        </w:rPr>
        <w:t>安装调试完毕</w:t>
      </w:r>
      <w:r>
        <w:rPr>
          <w:rFonts w:hint="eastAsia" w:hAnsi="宋体" w:cs="宋体"/>
          <w:bCs/>
          <w:snapToGrid/>
          <w:color w:val="auto"/>
          <w:kern w:val="2"/>
          <w:sz w:val="24"/>
          <w:szCs w:val="24"/>
          <w:highlight w:val="none"/>
          <w:lang w:eastAsia="zh-CN"/>
        </w:rPr>
        <w:t>。</w:t>
      </w:r>
    </w:p>
    <w:p>
      <w:pPr>
        <w:pStyle w:val="5"/>
        <w:spacing w:line="360" w:lineRule="auto"/>
        <w:ind w:firstLine="480"/>
        <w:rPr>
          <w:rFonts w:hAnsi="宋体" w:cs="宋体"/>
          <w:b/>
          <w:color w:val="auto"/>
          <w:sz w:val="24"/>
          <w:highlight w:val="none"/>
        </w:rPr>
      </w:pPr>
      <w:r>
        <w:rPr>
          <w:rFonts w:hint="eastAsia" w:hAnsi="宋体" w:cs="宋体"/>
          <w:bCs/>
          <w:color w:val="auto"/>
          <w:sz w:val="24"/>
          <w:highlight w:val="none"/>
        </w:rPr>
        <w:t>本项目接受联合体投标：</w:t>
      </w:r>
      <w:r>
        <w:rPr>
          <w:rFonts w:hAnsi="宋体" w:cs="宋体"/>
          <w:bCs/>
          <w:color w:val="auto"/>
          <w:kern w:val="0"/>
          <w:sz w:val="24"/>
          <w:highlight w:val="none"/>
        </w:rPr>
        <w:sym w:font="Wingdings" w:char="00FE"/>
      </w:r>
      <w:r>
        <w:rPr>
          <w:rFonts w:hint="eastAsia" w:hAnsi="宋体" w:cs="宋体"/>
          <w:bCs/>
          <w:color w:val="auto"/>
          <w:sz w:val="24"/>
          <w:highlight w:val="none"/>
        </w:rPr>
        <w:t>是；</w:t>
      </w:r>
      <w:r>
        <w:rPr>
          <w:rFonts w:hAnsi="宋体" w:cs="宋体"/>
          <w:bCs/>
          <w:color w:val="auto"/>
          <w:kern w:val="0"/>
          <w:sz w:val="24"/>
          <w:highlight w:val="none"/>
        </w:rPr>
        <w:sym w:font="Wingdings" w:char="00A8"/>
      </w:r>
      <w:r>
        <w:rPr>
          <w:rFonts w:hint="eastAsia" w:hAnsi="宋体" w:cs="宋体"/>
          <w:bCs/>
          <w:color w:val="auto"/>
          <w:sz w:val="24"/>
          <w:highlight w:val="none"/>
        </w:rPr>
        <w:t>否</w:t>
      </w:r>
      <w:r>
        <w:rPr>
          <w:rFonts w:hint="eastAsia" w:hAnsi="宋体" w:cs="宋体"/>
          <w:bCs/>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jc w:val="left"/>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.落实采购政策需满足的资格要求：</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sym w:font="Wingdings" w:char="00FE"/>
      </w:r>
      <w:r>
        <w:rPr>
          <w:rFonts w:hint="eastAsia" w:ascii="宋体" w:hAnsi="宋体" w:cs="宋体"/>
          <w:b/>
          <w:bCs/>
          <w:color w:val="auto"/>
          <w:sz w:val="24"/>
          <w:highlight w:val="none"/>
        </w:rPr>
        <w:t>无</w:t>
      </w:r>
      <w:r>
        <w:rPr>
          <w:rFonts w:hint="eastAsia" w:ascii="宋体" w:hAnsi="宋体" w:cs="宋体"/>
          <w:b/>
          <w:bCs/>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r>
        <w:rPr>
          <w:rFonts w:hint="eastAsia" w:ascii="宋体" w:hAnsi="宋体" w:cs="宋体"/>
          <w:color w:val="auto"/>
          <w:kern w:val="0"/>
          <w:sz w:val="24"/>
          <w:highlight w:val="none"/>
        </w:rPr>
        <w:sym w:font="Wingdings" w:char="00A8"/>
      </w:r>
      <w:r>
        <w:rPr>
          <w:rFonts w:hint="eastAsia" w:ascii="宋体" w:hAnsi="宋体" w:cs="宋体"/>
          <w:color w:val="auto"/>
          <w:sz w:val="24"/>
          <w:highlight w:val="none"/>
        </w:rPr>
        <w:t>货物全部由符合政策要求的中小企业制造，提供中小企业声明函；</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sz w:val="24"/>
          <w:highlight w:val="none"/>
        </w:rPr>
        <w:t>货物全部由符合政策要求的小微企业制造，提供中小企业声明函。</w:t>
      </w:r>
    </w:p>
    <w:p>
      <w:pPr>
        <w:numPr>
          <w:ilvl w:val="0"/>
          <w:numId w:val="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本项目的特定资格要求：</w:t>
      </w:r>
    </w:p>
    <w:p>
      <w:pPr>
        <w:spacing w:line="360" w:lineRule="auto"/>
        <w:ind w:firstLine="422" w:firstLineChars="175"/>
        <w:rPr>
          <w:rFonts w:ascii="宋体" w:hAnsi="宋体" w:cs="宋体"/>
          <w:b/>
          <w:bCs/>
          <w:color w:val="auto"/>
          <w:sz w:val="24"/>
          <w:highlight w:val="none"/>
        </w:rPr>
      </w:pPr>
      <w:r>
        <w:rPr>
          <w:rFonts w:hint="eastAsia" w:ascii="宋体" w:hAnsi="宋体" w:cs="宋体"/>
          <w:b/>
          <w:bCs/>
          <w:color w:val="auto"/>
          <w:kern w:val="0"/>
          <w:sz w:val="24"/>
          <w:highlight w:val="none"/>
        </w:rPr>
        <w:sym w:font="Wingdings" w:char="00FE"/>
      </w:r>
      <w:r>
        <w:rPr>
          <w:rFonts w:hint="eastAsia" w:ascii="宋体" w:hAnsi="宋体" w:cs="宋体"/>
          <w:b/>
          <w:bCs/>
          <w:color w:val="auto"/>
          <w:sz w:val="24"/>
          <w:highlight w:val="none"/>
        </w:rPr>
        <w:t>无。</w:t>
      </w:r>
    </w:p>
    <w:p>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投标人，不得参加同一合同项下的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时间：即日起至2025年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日</w:t>
      </w:r>
      <w:r>
        <w:rPr>
          <w:rFonts w:hint="eastAsia" w:ascii="宋体" w:hAnsi="宋体" w:cs="宋体"/>
          <w:bCs/>
          <w:color w:val="auto"/>
          <w:sz w:val="24"/>
          <w:highlight w:val="none"/>
        </w:rPr>
        <w:t>，每天上午00:00至12:00 ，下午12:00至23:59（北京时间，线上获取法定节假日均可，线下获取文件法定节假日除外）</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地点（网址）：</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 xml:space="preserve">线上获取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方式：供应商登录</w:t>
      </w:r>
      <w:r>
        <w:rPr>
          <w:rFonts w:hint="eastAsia" w:ascii="宋体" w:hAnsi="宋体" w:cs="宋体"/>
          <w:color w:val="auto"/>
          <w:sz w:val="24"/>
          <w:highlight w:val="none"/>
        </w:rPr>
        <w:t>乐采云平台</w:t>
      </w:r>
      <w:r>
        <w:rPr>
          <w:rFonts w:hint="eastAsia" w:ascii="宋体" w:hAnsi="宋体" w:cs="宋体"/>
          <w:bCs/>
          <w:color w:val="auto"/>
          <w:sz w:val="24"/>
          <w:highlight w:val="none"/>
        </w:rPr>
        <w:t xml:space="preserve">https://hzjyg.lecaiyun.com/在线申请获取采购文件（进入“项目采购”应用，在获取采购文件菜单中选择项目，申请获取采购文件）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提交投标文件截止时间：2025年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日</w:t>
      </w: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14</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0（北京时间）</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投标地点（网址）：通过</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 xml:space="preserve">在线递交 </w:t>
      </w:r>
    </w:p>
    <w:p>
      <w:pPr>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开标时间：2025年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日</w:t>
      </w: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14</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0（（北京时间）</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开标地点（网址）：</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（线下：杭州市上城区环站东路99号云峰大厦1号楼16楼开标室）</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乐采云平台（https://hzjyg.lecaiyun.com）”进行招投标活动，不接受纸质投标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彩云平台“服务中心-帮助文档-项目采购-操作流程-电子招投标-采购项目电子交易管理操作指南-供应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1.采购人信息</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名称：</w:t>
      </w:r>
      <w:r>
        <w:rPr>
          <w:rFonts w:hint="eastAsia" w:ascii="宋体" w:hAnsi="宋体" w:cs="宋体"/>
          <w:color w:val="auto"/>
          <w:sz w:val="24"/>
          <w:highlight w:val="none"/>
        </w:rPr>
        <w:t>浙江省杭州第十一中学</w:t>
      </w:r>
      <w:r>
        <w:rPr>
          <w:rFonts w:hint="eastAsia" w:ascii="宋体" w:hAnsi="宋体"/>
          <w:color w:val="auto"/>
          <w:sz w:val="24"/>
          <w:highlight w:val="none"/>
        </w:rPr>
        <w:t>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w:t>
      </w:r>
      <w:r>
        <w:rPr>
          <w:rFonts w:hint="eastAsia" w:ascii="宋体" w:hAnsi="宋体" w:cs="宋体"/>
          <w:color w:val="auto"/>
          <w:sz w:val="24"/>
          <w:highlight w:val="none"/>
        </w:rPr>
        <w:t>杭州市拱墅区八丈井东路150号</w:t>
      </w:r>
      <w:r>
        <w:rPr>
          <w:rFonts w:hint="eastAsia" w:ascii="宋体" w:hAnsi="宋体"/>
          <w:color w:val="auto"/>
          <w:sz w:val="24"/>
          <w:highlight w:val="none"/>
        </w:rPr>
        <w:t>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传真：/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项目联系人（询问）：</w:t>
      </w:r>
      <w:r>
        <w:rPr>
          <w:rFonts w:hint="eastAsia" w:ascii="宋体" w:hAnsi="宋体" w:cs="宋体"/>
          <w:color w:val="auto"/>
          <w:sz w:val="24"/>
          <w:highlight w:val="none"/>
        </w:rPr>
        <w:t>翁老师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项目联系方式（询问）：</w:t>
      </w:r>
      <w:r>
        <w:rPr>
          <w:rFonts w:hint="eastAsia" w:ascii="宋体" w:hAnsi="宋体" w:cs="宋体"/>
          <w:color w:val="auto"/>
          <w:sz w:val="24"/>
          <w:highlight w:val="none"/>
        </w:rPr>
        <w:t>0571-88038395</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质疑联系人：</w:t>
      </w:r>
      <w:r>
        <w:rPr>
          <w:rFonts w:hint="eastAsia" w:ascii="宋体" w:hAnsi="宋体" w:cs="宋体"/>
          <w:color w:val="auto"/>
          <w:sz w:val="24"/>
          <w:highlight w:val="none"/>
        </w:rPr>
        <w:t>李老师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质疑联系方式：</w:t>
      </w:r>
      <w:r>
        <w:rPr>
          <w:rFonts w:hint="eastAsia" w:ascii="宋体" w:hAnsi="宋体" w:cs="宋体"/>
          <w:color w:val="auto"/>
          <w:sz w:val="24"/>
          <w:highlight w:val="none"/>
        </w:rPr>
        <w:t>0571-88317524</w:t>
      </w:r>
      <w:r>
        <w:rPr>
          <w:rFonts w:hint="eastAsia" w:ascii="宋体" w:hAnsi="宋体"/>
          <w:color w:val="auto"/>
          <w:sz w:val="24"/>
          <w:highlight w:val="none"/>
        </w:rPr>
        <w:t>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2.采购代理机构信息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名称：杭州洲源招标代理有限公司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地址：杭州市环站东路99号云峰大厦1号楼16楼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传真：</w:t>
      </w:r>
      <w:r>
        <w:rPr>
          <w:rFonts w:hint="eastAsia" w:ascii="宋体" w:cs="宋体"/>
          <w:color w:val="auto"/>
          <w:sz w:val="24"/>
          <w:highlight w:val="none"/>
        </w:rPr>
        <w:t>0571-85292825</w:t>
      </w:r>
      <w:r>
        <w:rPr>
          <w:rFonts w:hint="eastAsia" w:ascii="宋体" w:hAnsi="宋体"/>
          <w:color w:val="auto"/>
          <w:sz w:val="24"/>
          <w:highlight w:val="none"/>
        </w:rPr>
        <w:t>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项目联系人（询问）：陈工、羊工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项目联系方式（询问）：</w:t>
      </w:r>
      <w:r>
        <w:rPr>
          <w:rFonts w:hint="eastAsia" w:ascii="宋体" w:cs="宋体"/>
          <w:color w:val="auto"/>
          <w:sz w:val="24"/>
          <w:highlight w:val="none"/>
        </w:rPr>
        <w:t>0571-85292825</w:t>
      </w:r>
      <w:r>
        <w:rPr>
          <w:rFonts w:hint="eastAsia" w:ascii="宋体" w:hAnsi="宋体"/>
          <w:color w:val="auto"/>
          <w:sz w:val="24"/>
          <w:highlight w:val="none"/>
        </w:rPr>
        <w:t>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质疑联系人：蓝工             </w:t>
      </w:r>
    </w:p>
    <w:p>
      <w:pPr>
        <w:spacing w:line="360" w:lineRule="auto"/>
        <w:ind w:firstLine="480" w:firstLineChars="200"/>
        <w:rPr>
          <w:rFonts w:ascii="宋体" w:cs="宋体"/>
          <w:color w:val="auto"/>
          <w:sz w:val="24"/>
          <w:highlight w:val="none"/>
        </w:rPr>
      </w:pPr>
      <w:r>
        <w:rPr>
          <w:rFonts w:hint="eastAsia" w:ascii="宋体" w:hAnsi="宋体"/>
          <w:color w:val="auto"/>
          <w:sz w:val="24"/>
          <w:highlight w:val="none"/>
        </w:rPr>
        <w:t>质疑联系方式：</w:t>
      </w:r>
      <w:r>
        <w:rPr>
          <w:rFonts w:hint="eastAsia" w:ascii="宋体" w:cs="宋体"/>
          <w:color w:val="auto"/>
          <w:sz w:val="24"/>
          <w:highlight w:val="none"/>
        </w:rPr>
        <w:t>0571-85292825</w:t>
      </w:r>
    </w:p>
    <w:p>
      <w:pPr>
        <w:spacing w:line="360" w:lineRule="auto"/>
        <w:ind w:firstLine="480" w:firstLineChars="200"/>
        <w:rPr>
          <w:rFonts w:ascii="宋体" w:cs="宋体"/>
          <w:color w:val="auto"/>
          <w:sz w:val="24"/>
          <w:highlight w:val="none"/>
        </w:rPr>
      </w:pPr>
    </w:p>
    <w:p>
      <w:pPr>
        <w:numPr>
          <w:ilvl w:val="0"/>
          <w:numId w:val="2"/>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采购监督管理部门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名称：</w:t>
      </w:r>
      <w:r>
        <w:rPr>
          <w:rFonts w:hint="eastAsia" w:ascii="宋体" w:hAnsi="宋体" w:cs="宋体"/>
          <w:color w:val="auto"/>
          <w:sz w:val="24"/>
          <w:highlight w:val="none"/>
        </w:rPr>
        <w:t>浙江省杭州第十一中学</w:t>
      </w:r>
    </w:p>
    <w:p>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地址：</w:t>
      </w:r>
      <w:r>
        <w:rPr>
          <w:rFonts w:hint="eastAsia" w:ascii="宋体" w:hAnsi="宋体" w:cs="宋体"/>
          <w:color w:val="auto"/>
          <w:sz w:val="24"/>
          <w:highlight w:val="none"/>
        </w:rPr>
        <w:t>杭州市拱墅区八丈井东路150号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传真：/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s="宋体"/>
          <w:color w:val="auto"/>
          <w:sz w:val="24"/>
          <w:highlight w:val="none"/>
        </w:rPr>
        <w:t>胡老师</w:t>
      </w:r>
    </w:p>
    <w:p>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联系电话：</w:t>
      </w:r>
      <w:r>
        <w:rPr>
          <w:rFonts w:hint="eastAsia" w:ascii="宋体" w:hAnsi="宋体" w:cs="宋体"/>
          <w:color w:val="auto"/>
          <w:sz w:val="24"/>
          <w:highlight w:val="none"/>
        </w:rPr>
        <w:t>0571-87881286</w:t>
      </w:r>
    </w:p>
    <w:p>
      <w:pPr>
        <w:spacing w:line="360" w:lineRule="auto"/>
        <w:ind w:firstLine="480" w:firstLineChars="200"/>
        <w:rPr>
          <w:rFonts w:asci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若对项目采购电子交易系统操作有疑问，可登录乐采云（https://hzjyg.lecaiyun.com），点击右侧咨询小采，获取采小蜜智能服务管家帮助，或拨打乐采云服务热线95763获取热线服务帮助。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rPr>
          <w:rFonts w:hAnsi="宋体" w:cs="宋体"/>
          <w:b/>
          <w:color w:val="auto"/>
          <w:sz w:val="36"/>
          <w:szCs w:val="20"/>
          <w:highlight w:val="none"/>
        </w:rPr>
      </w:pPr>
      <w:r>
        <w:rPr>
          <w:rFonts w:hint="eastAsia" w:hAnsi="宋体" w:cs="宋体"/>
          <w:b/>
          <w:color w:val="auto"/>
          <w:sz w:val="36"/>
          <w:szCs w:val="20"/>
          <w:highlight w:val="none"/>
        </w:rPr>
        <w:br w:type="page"/>
      </w:r>
    </w:p>
    <w:p>
      <w:pPr>
        <w:pStyle w:val="11"/>
        <w:spacing w:line="360" w:lineRule="auto"/>
        <w:jc w:val="center"/>
        <w:rPr>
          <w:rFonts w:hAnsi="宋体" w:cs="宋体"/>
          <w:b/>
          <w:color w:val="auto"/>
          <w:sz w:val="36"/>
          <w:szCs w:val="20"/>
          <w:highlight w:val="none"/>
        </w:rPr>
      </w:pPr>
      <w:r>
        <w:rPr>
          <w:rFonts w:hint="eastAsia" w:hAnsi="宋体" w:cs="宋体"/>
          <w:b/>
          <w:color w:val="auto"/>
          <w:sz w:val="36"/>
          <w:szCs w:val="20"/>
          <w:highlight w:val="none"/>
        </w:rPr>
        <w:t>第二部分</w:t>
      </w:r>
      <w:bookmarkEnd w:id="8"/>
      <w:r>
        <w:rPr>
          <w:rFonts w:hint="eastAsia" w:hAnsi="宋体" w:cs="宋体"/>
          <w:b/>
          <w:color w:val="auto"/>
          <w:sz w:val="36"/>
          <w:szCs w:val="20"/>
          <w:highlight w:val="none"/>
        </w:rPr>
        <w:t xml:space="preserve">  投标人须知</w:t>
      </w:r>
      <w:bookmarkEnd w:id="9"/>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19"/>
        <w:tblW w:w="9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70"/>
        <w:gridCol w:w="2253"/>
        <w:gridCol w:w="6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25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4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numPr>
                <w:ilvl w:val="0"/>
                <w:numId w:val="3"/>
              </w:numPr>
              <w:snapToGrid w:val="0"/>
              <w:spacing w:line="360" w:lineRule="auto"/>
              <w:jc w:val="center"/>
              <w:rPr>
                <w:rFonts w:ascii="宋体" w:hAnsi="宋体"/>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项目属性及核心产品</w:t>
            </w:r>
          </w:p>
        </w:tc>
        <w:tc>
          <w:tcPr>
            <w:tcW w:w="6485"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pPr>
              <w:spacing w:line="360" w:lineRule="auto"/>
              <w:jc w:val="left"/>
              <w:rPr>
                <w:rFonts w:hint="eastAsia" w:ascii="宋体" w:hAnsi="宋体" w:eastAsia="宋体"/>
                <w:color w:val="auto"/>
                <w:sz w:val="24"/>
                <w:highlight w:val="none"/>
                <w:lang w:val="en-US" w:eastAsia="zh-CN"/>
              </w:rPr>
            </w:pPr>
            <w:r>
              <w:rPr>
                <w:rFonts w:hint="eastAsia" w:ascii="宋体" w:hAnsi="宋体"/>
                <w:color w:val="auto"/>
                <w:sz w:val="24"/>
                <w:highlight w:val="none"/>
              </w:rPr>
              <w:t>货物类，单一产品或核心产品为：</w:t>
            </w:r>
            <w:r>
              <w:rPr>
                <w:rFonts w:hint="eastAsia" w:ascii="宋体" w:hAnsi="宋体"/>
                <w:color w:val="auto"/>
                <w:sz w:val="24"/>
                <w:highlight w:val="none"/>
                <w:u w:val="single"/>
              </w:rPr>
              <w:t>多联式室外机</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环形嵌入式室内机</w:t>
            </w:r>
            <w:r>
              <w:rPr>
                <w:rFonts w:hint="eastAsia" w:ascii="宋体" w:hAnsi="宋体"/>
                <w:color w:val="auto"/>
                <w:sz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auto"/>
              <w:jc w:val="center"/>
              <w:rPr>
                <w:rFonts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采购标的及其对应的中小企业划分标准所属行业</w:t>
            </w:r>
          </w:p>
        </w:tc>
        <w:tc>
          <w:tcPr>
            <w:tcW w:w="6485" w:type="dxa"/>
            <w:tcBorders>
              <w:top w:val="single" w:color="000000" w:sz="8" w:space="0"/>
              <w:left w:val="single" w:color="000000" w:sz="2" w:space="0"/>
              <w:bottom w:val="single" w:color="000000" w:sz="8" w:space="0"/>
              <w:right w:val="single" w:color="000000" w:sz="8" w:space="0"/>
            </w:tcBorders>
            <w:vAlign w:val="center"/>
          </w:tcPr>
          <w:p>
            <w:pPr>
              <w:numPr>
                <w:ilvl w:val="0"/>
                <w:numId w:val="4"/>
              </w:numPr>
              <w:snapToGrid w:val="0"/>
              <w:spacing w:line="360" w:lineRule="auto"/>
              <w:ind w:right="143" w:rightChars="68"/>
              <w:jc w:val="left"/>
              <w:rPr>
                <w:rFonts w:ascii="宋体" w:hAnsi="宋体"/>
                <w:color w:val="auto"/>
                <w:sz w:val="24"/>
                <w:highlight w:val="none"/>
              </w:rPr>
            </w:pPr>
            <w:r>
              <w:rPr>
                <w:rFonts w:hint="eastAsia" w:ascii="宋体" w:hAnsi="宋体"/>
                <w:color w:val="auto"/>
                <w:sz w:val="24"/>
                <w:highlight w:val="none"/>
              </w:rPr>
              <w:t>标的：</w:t>
            </w:r>
            <w:r>
              <w:rPr>
                <w:rFonts w:hint="eastAsia" w:ascii="宋体" w:hAnsi="宋体"/>
                <w:color w:val="auto"/>
                <w:sz w:val="24"/>
                <w:highlight w:val="none"/>
                <w:u w:val="single"/>
              </w:rPr>
              <w:t>多联式室外机</w:t>
            </w:r>
            <w:r>
              <w:rPr>
                <w:rFonts w:hint="eastAsia" w:ascii="宋体" w:hAnsi="宋体"/>
                <w:color w:val="auto"/>
                <w:sz w:val="24"/>
                <w:highlight w:val="none"/>
              </w:rPr>
              <w:t>；属于</w:t>
            </w:r>
            <w:r>
              <w:rPr>
                <w:rFonts w:hint="eastAsia" w:ascii="宋体" w:hAnsi="宋体"/>
                <w:color w:val="auto"/>
                <w:sz w:val="24"/>
                <w:highlight w:val="none"/>
                <w:u w:val="single"/>
              </w:rPr>
              <w:t xml:space="preserve"> 工业</w:t>
            </w:r>
            <w:r>
              <w:rPr>
                <w:rFonts w:hint="eastAsia" w:ascii="宋体" w:hAnsi="宋体"/>
                <w:color w:val="auto"/>
                <w:sz w:val="24"/>
                <w:highlight w:val="none"/>
              </w:rPr>
              <w:t>；</w:t>
            </w:r>
          </w:p>
          <w:p>
            <w:pPr>
              <w:snapToGrid w:val="0"/>
              <w:spacing w:line="360" w:lineRule="auto"/>
              <w:ind w:right="143" w:rightChars="68" w:firstLine="638" w:firstLineChars="266"/>
              <w:jc w:val="left"/>
              <w:rPr>
                <w:rFonts w:ascii="宋体" w:hAnsi="宋体"/>
                <w:color w:val="auto"/>
                <w:sz w:val="24"/>
                <w:highlight w:val="none"/>
              </w:rPr>
            </w:pPr>
            <w:r>
              <w:rPr>
                <w:rFonts w:hint="eastAsia" w:ascii="宋体" w:hAnsi="宋体"/>
                <w:color w:val="auto"/>
                <w:sz w:val="24"/>
                <w:highlight w:val="none"/>
              </w:rPr>
              <w:t>标的：</w:t>
            </w:r>
            <w:r>
              <w:rPr>
                <w:rFonts w:hint="eastAsia" w:ascii="宋体" w:hAnsi="宋体"/>
                <w:color w:val="auto"/>
                <w:sz w:val="24"/>
                <w:highlight w:val="none"/>
                <w:u w:val="single"/>
              </w:rPr>
              <w:t>环形嵌入式室内机</w:t>
            </w:r>
            <w:r>
              <w:rPr>
                <w:rFonts w:hint="eastAsia" w:ascii="宋体" w:hAnsi="宋体"/>
                <w:color w:val="auto"/>
                <w:sz w:val="24"/>
                <w:highlight w:val="none"/>
              </w:rPr>
              <w:t>；属于</w:t>
            </w:r>
            <w:r>
              <w:rPr>
                <w:rFonts w:hint="eastAsia" w:ascii="宋体" w:hAnsi="宋体"/>
                <w:color w:val="auto"/>
                <w:sz w:val="24"/>
                <w:highlight w:val="none"/>
                <w:u w:val="single"/>
              </w:rPr>
              <w:t xml:space="preserve"> 工业</w:t>
            </w:r>
            <w:r>
              <w:rPr>
                <w:rFonts w:hint="eastAsia" w:ascii="宋体" w:hAnsi="宋体"/>
                <w:color w:val="auto"/>
                <w:sz w:val="24"/>
                <w:highlight w:val="none"/>
              </w:rPr>
              <w:t>；</w:t>
            </w:r>
          </w:p>
          <w:p>
            <w:pPr>
              <w:snapToGrid w:val="0"/>
              <w:spacing w:line="360" w:lineRule="auto"/>
              <w:ind w:right="143" w:rightChars="68"/>
              <w:jc w:val="left"/>
              <w:rPr>
                <w:rFonts w:ascii="宋体" w:hAnsi="宋体"/>
                <w:color w:val="auto"/>
                <w:kern w:val="0"/>
                <w:sz w:val="24"/>
                <w:highlight w:val="none"/>
                <w:u w:val="single"/>
              </w:rPr>
            </w:pPr>
            <w:r>
              <w:rPr>
                <w:rFonts w:hint="eastAsia" w:ascii="宋体" w:hAnsi="宋体"/>
                <w:color w:val="auto"/>
                <w:kern w:val="0"/>
                <w:sz w:val="24"/>
                <w:highlight w:val="none"/>
              </w:rPr>
              <w:t>根据《关于印发中小企业划型标准规定的通知》（工信部联企业〔2011〕300号）第四条规定：</w:t>
            </w:r>
            <w:r>
              <w:rPr>
                <w:rFonts w:hint="eastAsia" w:ascii="宋体" w:hAnsi="宋体"/>
                <w:color w:val="auto"/>
                <w:kern w:val="0"/>
                <w:sz w:val="24"/>
                <w:highlight w:val="none"/>
                <w:u w:val="single"/>
              </w:rPr>
              <w:t>工业</w:t>
            </w:r>
            <w:r>
              <w:rPr>
                <w:rFonts w:hint="eastAsia" w:ascii="宋体" w:hAnsi="宋体"/>
                <w:color w:val="auto"/>
                <w:kern w:val="0"/>
                <w:sz w:val="24"/>
                <w:highlight w:val="none"/>
              </w:rPr>
              <w:t>行业，</w:t>
            </w:r>
            <w:r>
              <w:rPr>
                <w:rFonts w:hint="eastAsia" w:ascii="宋体" w:hAnsi="宋体"/>
                <w:color w:val="auto"/>
                <w:kern w:val="0"/>
                <w:sz w:val="24"/>
                <w:highlight w:val="none"/>
                <w:u w:val="singl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3"/>
              <w:tabs>
                <w:tab w:val="clear" w:pos="432"/>
              </w:tabs>
              <w:rPr>
                <w:rFonts w:asciiTheme="minorEastAsia" w:hAnsiTheme="minorEastAsia" w:eastAsiaTheme="minorEastAsia" w:cstheme="minorEastAsia"/>
                <w:b w:val="0"/>
                <w:bCs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bCs w:val="0"/>
                <w:color w:val="auto"/>
                <w:kern w:val="0"/>
                <w:sz w:val="24"/>
                <w:szCs w:val="22"/>
                <w:highlight w:val="none"/>
                <w:shd w:val="clear" w:color="auto" w:fill="FFFFFF" w:themeFill="background1"/>
                <w:lang w:val="en-US"/>
              </w:rPr>
              <w:t>（2）中小企业扶持力度：</w:t>
            </w:r>
          </w:p>
          <w:p>
            <w:pPr>
              <w:pStyle w:val="3"/>
              <w:tabs>
                <w:tab w:val="clear" w:pos="432"/>
              </w:tabs>
              <w:ind w:left="12" w:hanging="12" w:hangingChars="5"/>
              <w:rPr>
                <w:rFonts w:asciiTheme="minorEastAsia" w:hAnsiTheme="minorEastAsia" w:eastAsiaTheme="minorEastAsia" w:cstheme="minorEastAsia"/>
                <w:b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color w:val="auto"/>
                <w:kern w:val="0"/>
                <w:sz w:val="24"/>
                <w:szCs w:val="22"/>
                <w:highlight w:val="none"/>
                <w:shd w:val="clear" w:color="auto" w:fill="FFFFFF" w:themeFill="background1"/>
              </w:rPr>
              <w:sym w:font="Wingdings" w:char="00A8"/>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A本项目专门面向中小企业，不做价格扶持。</w:t>
            </w:r>
          </w:p>
          <w:p>
            <w:pPr>
              <w:pStyle w:val="3"/>
              <w:tabs>
                <w:tab w:val="clear" w:pos="432"/>
              </w:tabs>
              <w:ind w:left="12" w:hanging="12" w:hangingChars="5"/>
              <w:rPr>
                <w:rFonts w:asciiTheme="minorEastAsia" w:hAnsiTheme="minorEastAsia" w:eastAsiaTheme="minorEastAsia" w:cstheme="minorEastAsia"/>
                <w:b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color w:val="auto"/>
                <w:kern w:val="0"/>
                <w:sz w:val="24"/>
                <w:szCs w:val="22"/>
                <w:highlight w:val="none"/>
                <w:shd w:val="clear" w:color="auto" w:fill="FFFFFF" w:themeFill="background1"/>
              </w:rPr>
              <w:sym w:font="Wingdings" w:char="00A8"/>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B本项目预留</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lang w:val="en-US"/>
              </w:rPr>
              <w:t xml:space="preserve"> 40 </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rPr>
              <w:t>%</w:t>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份额给中小企业，其中</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lang w:val="en-US"/>
              </w:rPr>
              <w:t xml:space="preserve"> 70 </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rPr>
              <w:t>%</w:t>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给小微企业，不再做价格扶持；</w:t>
            </w:r>
          </w:p>
          <w:p>
            <w:pPr>
              <w:snapToGrid w:val="0"/>
              <w:spacing w:line="348" w:lineRule="auto"/>
              <w:rPr>
                <w:rFonts w:eastAsiaTheme="minorEastAsia"/>
                <w:color w:val="auto"/>
                <w:sz w:val="24"/>
                <w:highlight w:val="none"/>
              </w:rPr>
            </w:pPr>
            <w:r>
              <w:rPr>
                <w:rFonts w:hint="eastAsia" w:asciiTheme="minorEastAsia" w:hAnsiTheme="minorEastAsia" w:eastAsiaTheme="minorEastAsia" w:cstheme="minorEastAsia"/>
                <w:b/>
                <w:color w:val="auto"/>
                <w:kern w:val="0"/>
                <w:sz w:val="24"/>
                <w:szCs w:val="22"/>
                <w:highlight w:val="none"/>
                <w:shd w:val="clear" w:color="auto" w:fill="FFFFFF" w:themeFill="background1"/>
              </w:rPr>
              <w:sym w:font="Wingdings" w:char="00FE"/>
            </w:r>
            <w:r>
              <w:rPr>
                <w:rFonts w:hint="eastAsia" w:asciiTheme="minorEastAsia" w:hAnsiTheme="minorEastAsia" w:eastAsiaTheme="minorEastAsia" w:cstheme="minorEastAsia"/>
                <w:b/>
                <w:color w:val="auto"/>
                <w:kern w:val="0"/>
                <w:sz w:val="24"/>
                <w:szCs w:val="22"/>
                <w:highlight w:val="none"/>
                <w:shd w:val="clear" w:color="auto" w:fill="FFFFFF" w:themeFill="background1"/>
              </w:rPr>
              <w:t>C</w:t>
            </w:r>
            <w:r>
              <w:rPr>
                <w:rFonts w:hint="eastAsia" w:ascii="宋体" w:hAnsi="宋体" w:cs="宋体"/>
                <w:b/>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b/>
                <w:color w:val="auto"/>
                <w:sz w:val="24"/>
                <w:highlight w:val="none"/>
                <w:u w:val="single"/>
              </w:rPr>
              <w:t>10</w:t>
            </w:r>
            <w:r>
              <w:rPr>
                <w:rFonts w:hint="eastAsia" w:ascii="宋体" w:hAnsi="宋体" w:cs="宋体"/>
                <w:b/>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color w:val="auto"/>
                <w:sz w:val="24"/>
                <w:highlight w:val="none"/>
                <w:u w:val="single"/>
              </w:rPr>
              <w:t xml:space="preserve"> 4 </w:t>
            </w:r>
            <w:r>
              <w:rPr>
                <w:rFonts w:hint="eastAsia" w:ascii="宋体" w:hAnsi="宋体" w:cs="宋体"/>
                <w:b/>
                <w:color w:val="auto"/>
                <w:sz w:val="24"/>
                <w:highlight w:val="none"/>
              </w:rPr>
              <w:t>%的扣除，用扣除后的价格参加评审。组成联合体或者接受分包的小微企业与联合体内其他企业、分包企业之间存在直接控股、管理关系的，不享受价格扣除优惠政策。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auto"/>
              <w:jc w:val="center"/>
              <w:rPr>
                <w:rFonts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cs="宋体" w:asciiTheme="majorEastAsia" w:hAnsiTheme="majorEastAsia" w:eastAsiaTheme="majorEastAsia"/>
                <w:bCs/>
                <w:color w:val="auto"/>
                <w:kern w:val="0"/>
                <w:sz w:val="24"/>
                <w:highlight w:val="none"/>
              </w:rPr>
              <w:t>履约保证金</w:t>
            </w:r>
          </w:p>
        </w:tc>
        <w:tc>
          <w:tcPr>
            <w:tcW w:w="64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Theme="majorEastAsia" w:hAnsiTheme="majorEastAsia" w:eastAsiaTheme="majorEastAsia"/>
                <w:color w:val="auto"/>
                <w:sz w:val="24"/>
                <w:highlight w:val="none"/>
              </w:rPr>
            </w:pPr>
            <w:sdt>
              <w:sdtPr>
                <w:rPr>
                  <w:rFonts w:hint="eastAsia" w:hAnsi="宋体" w:cs="宋体"/>
                  <w:color w:val="auto"/>
                  <w:kern w:val="0"/>
                  <w:sz w:val="24"/>
                  <w:highlight w:val="none"/>
                </w:rPr>
                <w:id w:val="918839376"/>
              </w:sdtPr>
              <w:sdtEndPr>
                <w:rPr>
                  <w:rFonts w:hint="eastAsia" w:hAnsi="宋体" w:cs="宋体"/>
                  <w:b/>
                  <w:bCs/>
                  <w:color w:val="auto"/>
                  <w:kern w:val="0"/>
                  <w:sz w:val="24"/>
                  <w:highlight w:val="none"/>
                </w:rPr>
              </w:sdtEndPr>
              <w:sdtContent>
                <w:sdt>
                  <w:sdtPr>
                    <w:rPr>
                      <w:rFonts w:hint="eastAsia" w:hAnsi="宋体" w:cs="宋体"/>
                      <w:color w:val="auto"/>
                      <w:kern w:val="0"/>
                      <w:sz w:val="24"/>
                      <w:highlight w:val="none"/>
                    </w:rPr>
                    <w:id w:val="147470819"/>
                  </w:sdtPr>
                  <w:sdtEndPr>
                    <w:rPr>
                      <w:rFonts w:hint="eastAsia" w:hAnsi="宋体" w:cs="宋体"/>
                      <w:b/>
                      <w:bCs/>
                      <w:color w:val="auto"/>
                      <w:kern w:val="0"/>
                      <w:sz w:val="24"/>
                      <w:highlight w:val="none"/>
                    </w:rPr>
                  </w:sdtEndPr>
                  <w:sdtContent>
                    <w:sdt>
                      <w:sdtPr>
                        <w:rPr>
                          <w:rFonts w:hint="eastAsia" w:hAnsi="宋体" w:cs="宋体"/>
                          <w:color w:val="auto"/>
                          <w:kern w:val="0"/>
                          <w:sz w:val="24"/>
                          <w:highlight w:val="none"/>
                        </w:rPr>
                        <w:id w:val="1884752468"/>
                      </w:sdtPr>
                      <w:sdtEndPr>
                        <w:rPr>
                          <w:rFonts w:hint="eastAsia" w:hAnsi="宋体" w:cs="宋体"/>
                          <w:b/>
                          <w:bCs/>
                          <w:color w:val="auto"/>
                          <w:kern w:val="0"/>
                          <w:sz w:val="24"/>
                          <w:highlight w:val="none"/>
                        </w:rPr>
                      </w:sdtEndPr>
                      <w:sdtContent>
                        <w:r>
                          <w:rPr>
                            <w:rFonts w:hint="eastAsia" w:hAnsi="宋体" w:cs="宋体"/>
                            <w:b/>
                            <w:bCs/>
                            <w:color w:val="auto"/>
                            <w:kern w:val="0"/>
                            <w:sz w:val="24"/>
                            <w:highlight w:val="none"/>
                          </w:rPr>
                          <w:sym w:font="Wingdings" w:char="00FE"/>
                        </w:r>
                      </w:sdtContent>
                    </w:sdt>
                  </w:sdtContent>
                </w:sdt>
              </w:sdtContent>
            </w:sdt>
            <w:r>
              <w:rPr>
                <w:rFonts w:hint="eastAsia" w:cs="宋体" w:asciiTheme="majorEastAsia" w:hAnsiTheme="majorEastAsia" w:eastAsiaTheme="majorEastAsia"/>
                <w:b/>
                <w:bCs/>
                <w:color w:val="auto"/>
                <w:kern w:val="0"/>
                <w:sz w:val="24"/>
                <w:highlight w:val="none"/>
              </w:rPr>
              <w:t>本项目不设履约保证金；</w:t>
            </w:r>
          </w:p>
          <w:p>
            <w:pPr>
              <w:snapToGrid w:val="0"/>
              <w:spacing w:line="360" w:lineRule="auto"/>
              <w:rPr>
                <w:rFonts w:ascii="宋体" w:hAnsi="宋体" w:cs="宋体"/>
                <w:bCs/>
                <w:color w:val="auto"/>
                <w:kern w:val="0"/>
                <w:sz w:val="24"/>
                <w:highlight w:val="none"/>
              </w:rPr>
            </w:pPr>
            <w:sdt>
              <w:sdtPr>
                <w:rPr>
                  <w:rFonts w:hint="eastAsia" w:hAnsi="宋体" w:cs="宋体"/>
                  <w:color w:val="auto"/>
                  <w:kern w:val="0"/>
                  <w:sz w:val="24"/>
                  <w:highlight w:val="none"/>
                </w:rPr>
                <w:id w:val="-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A8"/>
                </w:r>
              </w:sdtContent>
            </w:sdt>
            <w:r>
              <w:rPr>
                <w:rFonts w:hint="eastAsia" w:cs="宋体" w:asciiTheme="majorEastAsia" w:hAnsiTheme="majorEastAsia" w:eastAsiaTheme="majorEastAsia"/>
                <w:color w:val="auto"/>
                <w:kern w:val="0"/>
                <w:sz w:val="24"/>
                <w:highlight w:val="none"/>
              </w:rPr>
              <w:t>中标人在合同签订后7个工作日内，须向采购人提交合同金额最高</w:t>
            </w:r>
            <w:r>
              <w:rPr>
                <w:rFonts w:hint="eastAsia" w:cs="宋体" w:asciiTheme="majorEastAsia" w:hAnsiTheme="majorEastAsia" w:eastAsiaTheme="majorEastAsia"/>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rPr>
              <w:t>的履约保证金。履约保证金以电汇、银行汇票、转账支票或金融机构、担保机构出具的保函等非现金形式缴纳。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auto"/>
              <w:jc w:val="center"/>
              <w:rPr>
                <w:rFonts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是否允许采购进口产品</w:t>
            </w: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宋体" w:hAnsi="宋体" w:cs="宋体"/>
                <w:bCs/>
                <w:color w:val="auto"/>
                <w:kern w:val="0"/>
                <w:sz w:val="24"/>
                <w:highlight w:val="none"/>
              </w:rPr>
            </w:pPr>
            <w:r>
              <w:rPr>
                <w:rFonts w:hint="eastAsia" w:ascii="宋体" w:hAnsi="宋体" w:cs="宋体"/>
                <w:b/>
                <w:color w:val="auto"/>
                <w:kern w:val="0"/>
                <w:sz w:val="24"/>
                <w:highlight w:val="none"/>
              </w:rPr>
              <w:sym w:font="Wingdings" w:char="F0FE"/>
            </w:r>
            <w:r>
              <w:rPr>
                <w:rFonts w:hint="eastAsia" w:ascii="宋体" w:hAnsi="宋体" w:cs="宋体"/>
                <w:b/>
                <w:color w:val="auto"/>
                <w:kern w:val="0"/>
                <w:sz w:val="24"/>
                <w:highlight w:val="none"/>
              </w:rPr>
              <w:t>本项目不允许采购进口产品。</w:t>
            </w:r>
          </w:p>
          <w:p>
            <w:pPr>
              <w:spacing w:line="360" w:lineRule="auto"/>
              <w:jc w:val="left"/>
              <w:rPr>
                <w:rFonts w:ascii="宋体" w:hAnsi="宋体" w:cs="宋体"/>
                <w:bCs/>
                <w:color w:val="auto"/>
                <w:sz w:val="24"/>
                <w:highlight w:val="none"/>
              </w:rPr>
            </w:pPr>
            <w:r>
              <w:rPr>
                <w:rFonts w:hint="eastAsia" w:ascii="宋体" w:hAnsi="宋体" w:cs="宋体"/>
                <w:bCs/>
                <w:color w:val="auto"/>
                <w:kern w:val="0"/>
                <w:sz w:val="24"/>
                <w:highlight w:val="none"/>
              </w:rPr>
              <w:t>☐可以就</w:t>
            </w:r>
            <w:r>
              <w:rPr>
                <w:rFonts w:hint="eastAsia" w:ascii="宋体" w:hAnsi="宋体" w:cs="宋体"/>
                <w:bCs/>
                <w:color w:val="auto"/>
                <w:sz w:val="24"/>
                <w:highlight w:val="none"/>
                <w:u w:val="single"/>
              </w:rPr>
              <w:t xml:space="preserve">    </w:t>
            </w:r>
            <w:r>
              <w:rPr>
                <w:rFonts w:hint="eastAsia" w:ascii="宋体" w:hAnsi="宋体" w:cs="宋体"/>
                <w:bCs/>
                <w:color w:val="auto"/>
                <w:kern w:val="0"/>
                <w:sz w:val="24"/>
                <w:highlight w:val="none"/>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auto"/>
              <w:jc w:val="center"/>
              <w:rPr>
                <w:rFonts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分包</w:t>
            </w: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宋体" w:hAnsi="宋体" w:cs="宋体"/>
                <w:b/>
                <w:color w:val="auto"/>
                <w:sz w:val="24"/>
                <w:highlight w:val="none"/>
              </w:rPr>
            </w:pPr>
            <w:r>
              <w:rPr>
                <w:rFonts w:ascii="Wingdings" w:hAnsi="Wingdings" w:cs="宋体"/>
                <w:b/>
                <w:color w:val="auto"/>
                <w:kern w:val="0"/>
                <w:sz w:val="24"/>
                <w:highlight w:val="none"/>
              </w:rPr>
              <w:sym w:font="Wingdings" w:char="00FE"/>
            </w:r>
            <w:r>
              <w:rPr>
                <w:rFonts w:hint="eastAsia" w:ascii="宋体" w:hAnsi="宋体" w:cs="宋体"/>
                <w:b/>
                <w:color w:val="auto"/>
                <w:kern w:val="0"/>
                <w:sz w:val="24"/>
                <w:highlight w:val="none"/>
              </w:rPr>
              <w:t xml:space="preserve"> A经采购人</w:t>
            </w:r>
            <w:r>
              <w:rPr>
                <w:rFonts w:hint="eastAsia" w:ascii="宋体" w:hAnsi="宋体" w:cs="宋体"/>
                <w:b/>
                <w:color w:val="auto"/>
                <w:sz w:val="24"/>
                <w:highlight w:val="none"/>
              </w:rPr>
              <w:t>同意将非主体、非关键性的</w:t>
            </w:r>
            <w:r>
              <w:rPr>
                <w:rFonts w:hint="eastAsia" w:ascii="宋体" w:hAnsi="宋体" w:cs="宋体"/>
                <w:b/>
                <w:color w:val="auto"/>
                <w:sz w:val="24"/>
                <w:highlight w:val="none"/>
                <w:u w:val="single"/>
              </w:rPr>
              <w:t xml:space="preserve"> 运输 </w:t>
            </w:r>
            <w:r>
              <w:rPr>
                <w:rFonts w:hint="eastAsia" w:ascii="宋体" w:hAnsi="宋体" w:cs="宋体"/>
                <w:b/>
                <w:color w:val="auto"/>
                <w:sz w:val="24"/>
                <w:highlight w:val="none"/>
              </w:rPr>
              <w:t>工作分包。</w:t>
            </w:r>
          </w:p>
          <w:p>
            <w:pPr>
              <w:spacing w:line="360" w:lineRule="auto"/>
              <w:jc w:val="left"/>
              <w:rPr>
                <w:rFonts w:ascii="宋体" w:hAnsi="宋体" w:cs="宋体"/>
                <w:bCs/>
                <w:color w:val="auto"/>
                <w:sz w:val="24"/>
                <w:highlight w:val="none"/>
              </w:rPr>
            </w:pPr>
            <w:r>
              <w:rPr>
                <w:rFonts w:ascii="Wingdings" w:hAnsi="Wingdings" w:cs="宋体"/>
                <w:bCs/>
                <w:color w:val="auto"/>
                <w:kern w:val="0"/>
                <w:sz w:val="24"/>
                <w:highlight w:val="none"/>
              </w:rPr>
              <w:sym w:font="Wingdings" w:char="00A8"/>
            </w:r>
            <w:r>
              <w:rPr>
                <w:rFonts w:hint="eastAsia" w:ascii="宋体" w:hAnsi="宋体" w:cs="宋体"/>
                <w:bCs/>
                <w:color w:val="auto"/>
                <w:kern w:val="0"/>
                <w:sz w:val="24"/>
                <w:highlight w:val="none"/>
              </w:rPr>
              <w:t xml:space="preserve">  B</w:t>
            </w:r>
            <w:r>
              <w:rPr>
                <w:rFonts w:hint="eastAsia" w:ascii="宋体" w:hAnsi="宋体" w:cs="宋体"/>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auto"/>
              <w:jc w:val="center"/>
              <w:rPr>
                <w:rFonts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开标前答疑会或现场考察</w:t>
            </w: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宋体" w:hAnsi="宋体" w:cs="宋体"/>
                <w:b/>
                <w:color w:val="auto"/>
                <w:sz w:val="24"/>
                <w:highlight w:val="none"/>
              </w:rPr>
            </w:pPr>
            <w:r>
              <w:rPr>
                <w:rFonts w:hint="eastAsia" w:ascii="宋体" w:hAnsi="宋体" w:cs="宋体"/>
                <w:b/>
                <w:color w:val="auto"/>
                <w:kern w:val="0"/>
                <w:sz w:val="24"/>
                <w:highlight w:val="none"/>
              </w:rPr>
              <w:sym w:font="Wingdings" w:char="00FE"/>
            </w:r>
            <w:r>
              <w:rPr>
                <w:rFonts w:hint="eastAsia" w:ascii="宋体" w:hAnsi="宋体" w:cs="宋体"/>
                <w:b/>
                <w:color w:val="auto"/>
                <w:kern w:val="0"/>
                <w:sz w:val="24"/>
                <w:highlight w:val="none"/>
              </w:rPr>
              <w:t>A</w:t>
            </w:r>
            <w:r>
              <w:rPr>
                <w:rFonts w:hint="eastAsia" w:ascii="宋体" w:hAnsi="宋体" w:cs="宋体"/>
                <w:b/>
                <w:color w:val="auto"/>
                <w:sz w:val="24"/>
                <w:highlight w:val="none"/>
              </w:rPr>
              <w:t>不组织。</w:t>
            </w:r>
          </w:p>
          <w:p>
            <w:pPr>
              <w:spacing w:line="360" w:lineRule="auto"/>
              <w:jc w:val="left"/>
              <w:rPr>
                <w:rFonts w:ascii="宋体" w:hAnsi="宋体" w:cs="宋体"/>
                <w:bCs/>
                <w:color w:val="auto"/>
                <w:sz w:val="24"/>
                <w:highlight w:val="none"/>
              </w:rPr>
            </w:pPr>
            <w:r>
              <w:rPr>
                <w:rFonts w:hint="eastAsia" w:ascii="宋体" w:hAnsi="宋体" w:cs="宋体"/>
                <w:bCs/>
                <w:color w:val="auto"/>
                <w:kern w:val="0"/>
                <w:sz w:val="24"/>
                <w:highlight w:val="none"/>
              </w:rPr>
              <w:t>☐B组织，</w:t>
            </w:r>
            <w:r>
              <w:rPr>
                <w:rFonts w:hint="eastAsia" w:ascii="宋体" w:hAnsi="宋体" w:cs="宋体"/>
                <w:bCs/>
                <w:color w:val="auto"/>
                <w:sz w:val="24"/>
                <w:highlight w:val="none"/>
              </w:rPr>
              <w:t>时间：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p>
            <w:pPr>
              <w:spacing w:line="360" w:lineRule="auto"/>
              <w:jc w:val="left"/>
              <w:rPr>
                <w:rFonts w:ascii="宋体" w:hAnsi="宋体" w:cs="宋体"/>
                <w:bCs/>
                <w:color w:val="auto"/>
                <w:sz w:val="24"/>
                <w:highlight w:val="none"/>
              </w:rPr>
            </w:pPr>
            <w:r>
              <w:rPr>
                <w:rFonts w:hint="eastAsia" w:ascii="宋体" w:hAnsi="宋体" w:cs="宋体"/>
                <w:bCs/>
                <w:color w:val="auto"/>
                <w:kern w:val="0"/>
                <w:sz w:val="24"/>
                <w:highlight w:val="none"/>
              </w:rPr>
              <w:sym w:font="Wingdings" w:char="00A8"/>
            </w:r>
            <w:r>
              <w:rPr>
                <w:rFonts w:hint="eastAsia" w:ascii="宋体" w:hAnsi="宋体" w:cs="宋体"/>
                <w:bCs/>
                <w:color w:val="auto"/>
                <w:sz w:val="24"/>
                <w:highlight w:val="none"/>
              </w:rPr>
              <w:t>C不统一组织，供应商在获取采购文件后，自行至项目现场考察。地点：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auto"/>
              <w:jc w:val="center"/>
              <w:rPr>
                <w:rFonts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样品提供</w:t>
            </w: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宋体" w:hAnsi="宋体" w:cs="宋体"/>
                <w:b/>
                <w:color w:val="auto"/>
                <w:sz w:val="24"/>
                <w:highlight w:val="none"/>
              </w:rPr>
            </w:pPr>
            <w:r>
              <w:rPr>
                <w:rFonts w:hint="eastAsia" w:ascii="Wingdings" w:hAnsi="Wingdings" w:eastAsia="MS Gothic" w:cs="宋体"/>
                <w:b/>
                <w:color w:val="auto"/>
                <w:kern w:val="0"/>
                <w:sz w:val="24"/>
                <w:highlight w:val="none"/>
              </w:rPr>
              <w:sym w:font="Wingdings" w:char="00FE"/>
            </w:r>
            <w:r>
              <w:rPr>
                <w:rFonts w:hint="eastAsia" w:ascii="宋体" w:hAnsi="宋体" w:cs="宋体"/>
                <w:b/>
                <w:color w:val="auto"/>
                <w:kern w:val="0"/>
                <w:sz w:val="24"/>
                <w:highlight w:val="none"/>
              </w:rPr>
              <w:t>A</w:t>
            </w:r>
            <w:r>
              <w:rPr>
                <w:rFonts w:hint="eastAsia" w:ascii="宋体" w:hAnsi="宋体" w:cs="宋体"/>
                <w:b/>
                <w:color w:val="auto"/>
                <w:sz w:val="24"/>
                <w:highlight w:val="none"/>
              </w:rPr>
              <w:t>不要求提供；</w:t>
            </w:r>
          </w:p>
          <w:p>
            <w:pPr>
              <w:spacing w:line="360" w:lineRule="auto"/>
              <w:jc w:val="left"/>
              <w:rPr>
                <w:rFonts w:ascii="宋体" w:hAnsi="宋体" w:cs="宋体"/>
                <w:bCs/>
                <w:color w:val="auto"/>
                <w:kern w:val="0"/>
                <w:sz w:val="24"/>
                <w:highlight w:val="none"/>
              </w:rPr>
            </w:pPr>
            <w:r>
              <w:rPr>
                <w:rFonts w:hint="eastAsia" w:ascii="Wingdings" w:hAnsi="Wingdings" w:eastAsia="MS Gothic" w:cs="宋体"/>
                <w:bCs/>
                <w:color w:val="auto"/>
                <w:kern w:val="0"/>
                <w:sz w:val="24"/>
                <w:highlight w:val="none"/>
              </w:rPr>
              <w:sym w:font="Wingdings" w:char="00A8"/>
            </w:r>
            <w:r>
              <w:rPr>
                <w:rFonts w:hint="eastAsia" w:ascii="宋体" w:hAnsi="宋体" w:cs="宋体"/>
                <w:bCs/>
                <w:color w:val="auto"/>
                <w:kern w:val="0"/>
                <w:sz w:val="24"/>
                <w:highlight w:val="none"/>
              </w:rPr>
              <w:t>B要求提供。</w:t>
            </w:r>
          </w:p>
          <w:p>
            <w:pPr>
              <w:spacing w:line="360" w:lineRule="auto"/>
              <w:rPr>
                <w:rFonts w:ascii="宋体" w:hAnsi="宋体"/>
                <w:bCs/>
                <w:snapToGrid w:val="0"/>
                <w:color w:val="auto"/>
                <w:kern w:val="28"/>
                <w:sz w:val="24"/>
                <w:highlight w:val="none"/>
              </w:rPr>
            </w:pPr>
            <w:r>
              <w:rPr>
                <w:rFonts w:hint="eastAsia" w:ascii="宋体" w:hAnsi="宋体"/>
                <w:bCs/>
                <w:color w:val="auto"/>
                <w:kern w:val="0"/>
                <w:sz w:val="24"/>
                <w:highlight w:val="none"/>
              </w:rPr>
              <w:t>（</w:t>
            </w:r>
            <w:r>
              <w:rPr>
                <w:rFonts w:ascii="宋体" w:hAnsi="宋体"/>
                <w:bCs/>
                <w:color w:val="auto"/>
                <w:kern w:val="0"/>
                <w:sz w:val="24"/>
                <w:highlight w:val="none"/>
              </w:rPr>
              <w:t>1）</w:t>
            </w:r>
            <w:r>
              <w:rPr>
                <w:rFonts w:hint="eastAsia" w:ascii="宋体" w:hAnsi="宋体"/>
                <w:bCs/>
                <w:snapToGrid w:val="0"/>
                <w:color w:val="auto"/>
                <w:kern w:val="28"/>
                <w:sz w:val="24"/>
                <w:highlight w:val="none"/>
              </w:rPr>
              <w:t>样品：</w:t>
            </w:r>
            <w:r>
              <w:rPr>
                <w:rFonts w:hint="eastAsia" w:ascii="宋体" w:hAnsi="宋体"/>
                <w:bCs/>
                <w:snapToGrid w:val="0"/>
                <w:color w:val="auto"/>
                <w:kern w:val="28"/>
                <w:sz w:val="24"/>
                <w:highlight w:val="none"/>
                <w:u w:val="single"/>
              </w:rPr>
              <w:t xml:space="preserve">           </w:t>
            </w:r>
            <w:r>
              <w:rPr>
                <w:rFonts w:hint="eastAsia" w:ascii="宋体" w:hAnsi="宋体"/>
                <w:bCs/>
                <w:snapToGrid w:val="0"/>
                <w:color w:val="auto"/>
                <w:kern w:val="28"/>
                <w:sz w:val="24"/>
                <w:highlight w:val="none"/>
              </w:rPr>
              <w:t>；</w:t>
            </w:r>
          </w:p>
          <w:p>
            <w:pPr>
              <w:spacing w:line="360" w:lineRule="auto"/>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2）</w:t>
            </w:r>
            <w:r>
              <w:rPr>
                <w:rFonts w:hint="eastAsia" w:ascii="宋体" w:hAnsi="宋体"/>
                <w:snapToGrid w:val="0"/>
                <w:color w:val="auto"/>
                <w:kern w:val="28"/>
                <w:sz w:val="24"/>
                <w:highlight w:val="none"/>
              </w:rPr>
              <w:t>样品制作的标准和要求：</w:t>
            </w:r>
            <w:r>
              <w:rPr>
                <w:rFonts w:hint="eastAsia" w:ascii="宋体" w:hAnsi="宋体"/>
                <w:color w:val="auto"/>
                <w:sz w:val="24"/>
                <w:highlight w:val="none"/>
                <w:u w:val="single"/>
              </w:rPr>
              <w:t>（详见第三部分 采购需求）</w:t>
            </w:r>
            <w:r>
              <w:rPr>
                <w:rFonts w:hint="eastAsia" w:ascii="宋体" w:hAnsi="宋体"/>
                <w:color w:val="auto"/>
                <w:kern w:val="0"/>
                <w:sz w:val="24"/>
                <w:highlight w:val="none"/>
              </w:rPr>
              <w:t>；</w:t>
            </w:r>
          </w:p>
          <w:p>
            <w:pPr>
              <w:spacing w:line="360" w:lineRule="auto"/>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3）样品的评审方法以及评审标准</w:t>
            </w:r>
            <w:r>
              <w:rPr>
                <w:rFonts w:hint="eastAsia" w:ascii="宋体" w:hAnsi="宋体"/>
                <w:snapToGrid w:val="0"/>
                <w:color w:val="auto"/>
                <w:kern w:val="28"/>
                <w:sz w:val="24"/>
                <w:highlight w:val="none"/>
              </w:rPr>
              <w:t>：详见</w:t>
            </w:r>
            <w:r>
              <w:rPr>
                <w:rFonts w:hint="eastAsia" w:ascii="宋体" w:hAnsi="宋体"/>
                <w:color w:val="auto"/>
                <w:sz w:val="24"/>
                <w:highlight w:val="none"/>
                <w:u w:val="single"/>
              </w:rPr>
              <w:t>评标办法</w:t>
            </w:r>
            <w:r>
              <w:rPr>
                <w:rFonts w:hint="eastAsia" w:ascii="宋体" w:hAnsi="宋体"/>
                <w:color w:val="auto"/>
                <w:kern w:val="0"/>
                <w:sz w:val="24"/>
                <w:highlight w:val="none"/>
              </w:rPr>
              <w:t>；</w:t>
            </w:r>
          </w:p>
          <w:p>
            <w:pPr>
              <w:spacing w:line="360" w:lineRule="auto"/>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4）是否需要随样品提交检测报告</w:t>
            </w:r>
            <w:r>
              <w:rPr>
                <w:rFonts w:hint="eastAsia" w:ascii="宋体" w:hAnsi="宋体"/>
                <w:color w:val="auto"/>
                <w:kern w:val="0"/>
                <w:sz w:val="24"/>
                <w:highlight w:val="none"/>
              </w:rPr>
              <w:t>：</w:t>
            </w:r>
            <w:r>
              <w:rPr>
                <w:rFonts w:ascii="宋体" w:hAnsi="宋体" w:cs="Arial"/>
                <w:color w:val="auto"/>
                <w:kern w:val="0"/>
                <w:sz w:val="24"/>
                <w:highlight w:val="none"/>
              </w:rPr>
              <w:sym w:font="Wingdings" w:char="00FE"/>
            </w:r>
            <w:r>
              <w:rPr>
                <w:rFonts w:ascii="宋体" w:hAnsi="宋体"/>
                <w:color w:val="auto"/>
                <w:kern w:val="0"/>
                <w:sz w:val="24"/>
                <w:highlight w:val="none"/>
              </w:rPr>
              <w:t>否；</w:t>
            </w:r>
            <w:r>
              <w:rPr>
                <w:rFonts w:ascii="宋体" w:hAnsi="MS Gothic" w:cs="Arial"/>
                <w:color w:val="auto"/>
                <w:kern w:val="0"/>
                <w:sz w:val="24"/>
                <w:highlight w:val="none"/>
              </w:rPr>
              <w:t>☐</w:t>
            </w:r>
            <w:r>
              <w:rPr>
                <w:rFonts w:ascii="宋体" w:hAnsi="宋体"/>
                <w:color w:val="auto"/>
                <w:kern w:val="0"/>
                <w:sz w:val="24"/>
                <w:highlight w:val="none"/>
              </w:rPr>
              <w:t>是，检测机构的要求</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kern w:val="0"/>
                <w:sz w:val="24"/>
                <w:highlight w:val="none"/>
              </w:rPr>
              <w:t>；检测内容</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kern w:val="0"/>
                <w:sz w:val="24"/>
                <w:highlight w:val="none"/>
              </w:rPr>
              <w:t>。</w:t>
            </w:r>
          </w:p>
          <w:p>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5）提供样品的时间：</w:t>
            </w:r>
            <w:r>
              <w:rPr>
                <w:rFonts w:hint="eastAsia" w:ascii="宋体" w:hAnsi="宋体"/>
                <w:color w:val="auto"/>
                <w:sz w:val="24"/>
                <w:highlight w:val="none"/>
                <w:u w:val="single"/>
              </w:rPr>
              <w:t>同提交投标文件截止时间</w:t>
            </w:r>
            <w:r>
              <w:rPr>
                <w:rFonts w:hint="eastAsia" w:ascii="宋体" w:hAnsi="宋体"/>
                <w:color w:val="auto"/>
                <w:kern w:val="0"/>
                <w:sz w:val="24"/>
                <w:highlight w:val="none"/>
              </w:rPr>
              <w:t>；地点：</w:t>
            </w:r>
            <w:r>
              <w:rPr>
                <w:rFonts w:hint="eastAsia" w:ascii="宋体" w:hAnsi="宋体"/>
                <w:color w:val="auto"/>
                <w:sz w:val="24"/>
                <w:highlight w:val="none"/>
                <w:u w:val="single"/>
              </w:rPr>
              <w:t xml:space="preserve">         </w:t>
            </w:r>
            <w:r>
              <w:rPr>
                <w:rFonts w:hint="eastAsia" w:ascii="宋体" w:hAnsi="宋体"/>
                <w:color w:val="auto"/>
                <w:kern w:val="0"/>
                <w:sz w:val="24"/>
                <w:highlight w:val="none"/>
              </w:rPr>
              <w:t>；联系人</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kern w:val="28"/>
                <w:sz w:val="24"/>
                <w:highlight w:val="none"/>
              </w:rPr>
              <w:t>联系电话：</w:t>
            </w:r>
            <w:r>
              <w:rPr>
                <w:rFonts w:hint="eastAsia" w:ascii="宋体" w:hAnsi="宋体"/>
                <w:color w:val="auto"/>
                <w:kern w:val="28"/>
                <w:sz w:val="24"/>
                <w:highlight w:val="none"/>
                <w:u w:val="single"/>
              </w:rPr>
              <w:t xml:space="preserve">         </w:t>
            </w:r>
            <w:r>
              <w:rPr>
                <w:rFonts w:hint="eastAsia" w:ascii="宋体" w:hAnsi="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（6）</w:t>
            </w:r>
            <w:r>
              <w:rPr>
                <w:rFonts w:ascii="宋体" w:hAnsi="宋体"/>
                <w:color w:val="auto"/>
                <w:sz w:val="24"/>
                <w:highlight w:val="none"/>
              </w:rPr>
              <w:t>采购活动结束后，对于未中标人提供的样品，</w:t>
            </w:r>
            <w:r>
              <w:rPr>
                <w:rFonts w:hint="eastAsia" w:ascii="宋体" w:hAnsi="宋体"/>
                <w:color w:val="auto"/>
                <w:sz w:val="24"/>
                <w:highlight w:val="none"/>
              </w:rPr>
              <w:t>采购人、采购代理机构将通知</w:t>
            </w:r>
            <w:r>
              <w:rPr>
                <w:rFonts w:ascii="宋体" w:hAnsi="宋体"/>
                <w:color w:val="auto"/>
                <w:sz w:val="24"/>
                <w:highlight w:val="none"/>
              </w:rPr>
              <w:t>未中标人</w:t>
            </w:r>
            <w:r>
              <w:rPr>
                <w:rFonts w:hint="eastAsia" w:ascii="宋体" w:hAnsi="宋体"/>
                <w:color w:val="auto"/>
                <w:sz w:val="24"/>
                <w:highlight w:val="none"/>
              </w:rPr>
              <w:t>在规定的时间内取回，逾期未取回的，采购人、采购代理机构不负保管义务</w:t>
            </w:r>
            <w:r>
              <w:rPr>
                <w:rFonts w:ascii="宋体" w:hAnsi="宋体"/>
                <w:color w:val="auto"/>
                <w:sz w:val="24"/>
                <w:highlight w:val="none"/>
              </w:rPr>
              <w:t>；对于中标人提供的样品，</w:t>
            </w:r>
            <w:r>
              <w:rPr>
                <w:rFonts w:hint="eastAsia" w:ascii="宋体" w:hAnsi="宋体"/>
                <w:color w:val="auto"/>
                <w:sz w:val="24"/>
                <w:highlight w:val="none"/>
              </w:rPr>
              <w:t>采购人将进</w:t>
            </w:r>
            <w:r>
              <w:rPr>
                <w:rFonts w:ascii="宋体" w:hAnsi="宋体"/>
                <w:color w:val="auto"/>
                <w:sz w:val="24"/>
                <w:highlight w:val="none"/>
              </w:rPr>
              <w:t>行保管、封存，并作为履约验收的参考</w:t>
            </w:r>
            <w:r>
              <w:rPr>
                <w:rFonts w:hint="eastAsia" w:ascii="宋体" w:hAnsi="宋体"/>
                <w:color w:val="auto"/>
                <w:sz w:val="24"/>
                <w:highlight w:val="none"/>
              </w:rPr>
              <w:t>。（详见第三部分 采购需求）</w:t>
            </w:r>
          </w:p>
          <w:p>
            <w:pPr>
              <w:spacing w:line="360" w:lineRule="auto"/>
              <w:jc w:val="left"/>
              <w:rPr>
                <w:rFonts w:ascii="宋体" w:hAnsi="宋体" w:cs="宋体"/>
                <w:bCs/>
                <w:color w:val="auto"/>
                <w:sz w:val="24"/>
                <w:highlight w:val="none"/>
              </w:rPr>
            </w:pPr>
            <w:r>
              <w:rPr>
                <w:rFonts w:hint="eastAsia" w:ascii="宋体" w:hAnsi="宋体"/>
                <w:color w:val="auto"/>
                <w:sz w:val="24"/>
                <w:highlight w:val="none"/>
              </w:rPr>
              <w:t>（</w:t>
            </w:r>
            <w:r>
              <w:rPr>
                <w:rFonts w:ascii="宋体" w:hAnsi="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auto"/>
              <w:jc w:val="center"/>
              <w:rPr>
                <w:rFonts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仿宋_GB2312"/>
                <w:bCs/>
                <w:color w:val="auto"/>
                <w:sz w:val="24"/>
                <w:highlight w:val="none"/>
              </w:rPr>
              <w:t>方案讲解演示</w:t>
            </w: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ind w:right="143" w:rightChars="68" w:firstLine="82" w:firstLineChars="34"/>
              <w:jc w:val="left"/>
              <w:rPr>
                <w:rFonts w:ascii="宋体" w:hAnsi="宋体"/>
                <w:b/>
                <w:color w:val="auto"/>
                <w:sz w:val="24"/>
                <w:highlight w:val="none"/>
              </w:rPr>
            </w:pPr>
            <w:r>
              <w:rPr>
                <w:rFonts w:hint="eastAsia" w:ascii="宋体" w:hAnsi="宋体" w:cs="宋体"/>
                <w:b/>
                <w:color w:val="auto"/>
                <w:sz w:val="24"/>
                <w:highlight w:val="none"/>
              </w:rPr>
              <w:sym w:font="Wingdings 2" w:char="0052"/>
            </w:r>
            <w:r>
              <w:rPr>
                <w:rFonts w:hint="eastAsia" w:ascii="宋体" w:hAnsi="MS Gothic" w:cs="Arial"/>
                <w:b/>
                <w:color w:val="auto"/>
                <w:sz w:val="24"/>
                <w:highlight w:val="none"/>
              </w:rPr>
              <w:t xml:space="preserve"> </w:t>
            </w:r>
            <w:r>
              <w:rPr>
                <w:rFonts w:hint="eastAsia" w:ascii="宋体" w:hAnsi="宋体" w:cs="Arial"/>
                <w:b/>
                <w:color w:val="auto"/>
                <w:sz w:val="24"/>
                <w:highlight w:val="none"/>
              </w:rPr>
              <w:t>A</w:t>
            </w:r>
            <w:r>
              <w:rPr>
                <w:rFonts w:hint="eastAsia" w:ascii="宋体" w:hAnsi="宋体"/>
                <w:b/>
                <w:color w:val="auto"/>
                <w:sz w:val="24"/>
                <w:highlight w:val="none"/>
              </w:rPr>
              <w:t>不组织；</w:t>
            </w:r>
          </w:p>
          <w:p>
            <w:pPr>
              <w:spacing w:line="360" w:lineRule="auto"/>
              <w:ind w:right="143" w:rightChars="68" w:firstLine="81" w:firstLineChars="34"/>
              <w:jc w:val="left"/>
              <w:rPr>
                <w:rFonts w:ascii="宋体" w:hAnsi="宋体"/>
                <w:bCs/>
                <w:color w:val="auto"/>
                <w:sz w:val="24"/>
                <w:highlight w:val="none"/>
              </w:rPr>
            </w:pPr>
            <w:r>
              <w:rPr>
                <w:rFonts w:hint="eastAsia" w:ascii="宋体" w:hAnsi="宋体" w:cs="宋体"/>
                <w:bCs/>
                <w:color w:val="auto"/>
                <w:sz w:val="24"/>
                <w:highlight w:val="none"/>
              </w:rPr>
              <w:sym w:font="Wingdings 2" w:char="00A3"/>
            </w:r>
            <w:r>
              <w:rPr>
                <w:rFonts w:hint="eastAsia" w:ascii="宋体" w:hAnsi="MS Gothic" w:cs="Arial"/>
                <w:bCs/>
                <w:color w:val="auto"/>
                <w:sz w:val="24"/>
                <w:highlight w:val="none"/>
              </w:rPr>
              <w:t xml:space="preserve"> </w:t>
            </w:r>
            <w:r>
              <w:rPr>
                <w:rFonts w:hint="eastAsia" w:ascii="宋体" w:hAnsi="宋体"/>
                <w:bCs/>
                <w:color w:val="auto"/>
                <w:sz w:val="24"/>
                <w:highlight w:val="none"/>
              </w:rPr>
              <w:t>B组织。</w:t>
            </w:r>
          </w:p>
          <w:p>
            <w:pPr>
              <w:snapToGrid w:val="0"/>
              <w:spacing w:line="360" w:lineRule="auto"/>
              <w:ind w:right="143" w:rightChars="68" w:firstLine="81" w:firstLineChars="34"/>
              <w:jc w:val="left"/>
              <w:rPr>
                <w:rFonts w:ascii="宋体" w:hAnsi="宋体"/>
                <w:bCs/>
                <w:color w:val="auto"/>
                <w:sz w:val="24"/>
                <w:highlight w:val="none"/>
              </w:rPr>
            </w:pPr>
            <w:r>
              <w:rPr>
                <w:rFonts w:hint="eastAsia" w:ascii="宋体" w:hAnsi="宋体"/>
                <w:bCs/>
                <w:color w:val="auto"/>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ind w:right="143" w:rightChars="68" w:firstLine="81" w:firstLineChars="34"/>
              <w:jc w:val="left"/>
              <w:rPr>
                <w:rFonts w:ascii="宋体" w:hAnsi="宋体"/>
                <w:bCs/>
                <w:color w:val="auto"/>
                <w:sz w:val="24"/>
                <w:highlight w:val="none"/>
              </w:rPr>
            </w:pPr>
            <w:r>
              <w:rPr>
                <w:rFonts w:hint="eastAsia" w:ascii="宋体" w:hAnsi="宋体"/>
                <w:bCs/>
                <w:color w:val="auto"/>
                <w:sz w:val="24"/>
                <w:highlight w:val="none"/>
              </w:rPr>
              <w:t>（2）方案讲解演示可选择以下其中一种方式：</w:t>
            </w:r>
          </w:p>
          <w:p>
            <w:pPr>
              <w:snapToGrid w:val="0"/>
              <w:spacing w:line="360" w:lineRule="auto"/>
              <w:ind w:right="143" w:rightChars="68" w:firstLine="81" w:firstLineChars="34"/>
              <w:jc w:val="left"/>
              <w:rPr>
                <w:rFonts w:ascii="宋体" w:hAnsi="宋体"/>
                <w:bCs/>
                <w:color w:val="auto"/>
                <w:sz w:val="24"/>
                <w:highlight w:val="none"/>
              </w:rPr>
            </w:pPr>
            <w:r>
              <w:rPr>
                <w:rFonts w:hint="eastAsia" w:ascii="宋体" w:hAnsi="宋体"/>
                <w:bCs/>
                <w:color w:val="auto"/>
                <w:sz w:val="24"/>
                <w:highlight w:val="none"/>
              </w:rPr>
              <w:t>方式一：录屏讲解演示：若投标人不到现场，提供演示录屏（视频格式为非常规格式提供视频安装软件，以免无法播放），可与备份文件一起邮寄，需明确备注。</w:t>
            </w:r>
          </w:p>
          <w:p>
            <w:pPr>
              <w:snapToGrid w:val="0"/>
              <w:spacing w:line="360" w:lineRule="auto"/>
              <w:ind w:right="143" w:rightChars="68" w:firstLine="81" w:firstLineChars="34"/>
              <w:jc w:val="left"/>
              <w:rPr>
                <w:rFonts w:ascii="宋体" w:hAnsi="宋体"/>
                <w:bCs/>
                <w:color w:val="auto"/>
                <w:sz w:val="24"/>
                <w:highlight w:val="none"/>
              </w:rPr>
            </w:pPr>
            <w:r>
              <w:rPr>
                <w:rFonts w:hint="eastAsia" w:ascii="宋体" w:hAnsi="宋体"/>
                <w:bCs/>
                <w:color w:val="auto"/>
                <w:sz w:val="24"/>
                <w:highlight w:val="none"/>
              </w:rPr>
              <w:t>注：因投标人自身原因导致无法演示或者演示效果不理想的，责任自负。</w:t>
            </w:r>
          </w:p>
          <w:p>
            <w:pPr>
              <w:snapToGrid w:val="0"/>
              <w:spacing w:line="360" w:lineRule="auto"/>
              <w:ind w:right="143" w:rightChars="68" w:firstLine="81" w:firstLineChars="34"/>
              <w:jc w:val="left"/>
              <w:rPr>
                <w:rFonts w:ascii="宋体" w:hAnsi="宋体" w:cs="宋体"/>
                <w:bCs/>
                <w:color w:val="auto"/>
                <w:kern w:val="0"/>
                <w:sz w:val="24"/>
                <w:highlight w:val="none"/>
                <w:lang w:val="zh-CN"/>
              </w:rPr>
            </w:pPr>
            <w:r>
              <w:rPr>
                <w:rFonts w:hint="eastAsia" w:ascii="宋体" w:hAnsi="宋体"/>
                <w:bCs/>
                <w:color w:val="auto"/>
                <w:sz w:val="24"/>
                <w:highlight w:val="none"/>
              </w:rPr>
              <w:t>方式二：现场讲解演示：地点为</w:t>
            </w:r>
            <w:r>
              <w:rPr>
                <w:rFonts w:hint="eastAsia" w:ascii="宋体" w:hAnsi="宋体"/>
                <w:bCs/>
                <w:color w:val="auto"/>
                <w:sz w:val="24"/>
                <w:highlight w:val="none"/>
                <w:u w:val="single"/>
              </w:rPr>
              <w:t xml:space="preserve">  杭州市上城区环站东路99号云峰大厦1号楼16楼评标室 </w:t>
            </w:r>
            <w:r>
              <w:rPr>
                <w:rFonts w:hint="eastAsia" w:ascii="宋体" w:hAnsi="宋体"/>
                <w:bCs/>
                <w:color w:val="auto"/>
                <w:sz w:val="24"/>
                <w:highlight w:val="none"/>
              </w:rPr>
              <w:t>，讲解演示所用电脑等设备由投标人自备。现场讲解演示人员进场时提供讲解人员名单（加盖公章）及身份证明，否则不得讲解演示。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jc w:val="center"/>
        </w:trPr>
        <w:tc>
          <w:tcPr>
            <w:tcW w:w="570" w:type="dxa"/>
            <w:tcBorders>
              <w:top w:val="single" w:color="auto" w:sz="4" w:space="0"/>
              <w:left w:val="single" w:color="auto" w:sz="4" w:space="0"/>
              <w:right w:val="single" w:color="auto" w:sz="4" w:space="0"/>
            </w:tcBorders>
            <w:vAlign w:val="center"/>
          </w:tcPr>
          <w:p>
            <w:pPr>
              <w:numPr>
                <w:ilvl w:val="0"/>
                <w:numId w:val="3"/>
              </w:numPr>
              <w:snapToGrid w:val="0"/>
              <w:spacing w:line="360" w:lineRule="auto"/>
              <w:jc w:val="center"/>
              <w:rPr>
                <w:rFonts w:ascii="宋体" w:hAnsi="宋体" w:cs="宋体"/>
                <w:bCs/>
                <w:color w:val="auto"/>
                <w:sz w:val="24"/>
                <w:highlight w:val="none"/>
              </w:rPr>
            </w:pPr>
          </w:p>
        </w:tc>
        <w:tc>
          <w:tcPr>
            <w:tcW w:w="2253"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投标人应当提供的资格、资信证明文件</w:t>
            </w: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（1）资格证明文件：见招标文件第二部分11.1。</w:t>
            </w:r>
          </w:p>
          <w:p>
            <w:pPr>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投标人未提供有效的资格证明文件的，视为投标人不具备招标文件中规定的资格要求，投标无效。</w:t>
            </w:r>
          </w:p>
          <w:p>
            <w:pPr>
              <w:spacing w:line="360" w:lineRule="auto"/>
              <w:jc w:val="left"/>
              <w:rPr>
                <w:rFonts w:ascii="宋体" w:hAnsi="宋体" w:cs="宋体"/>
                <w:bCs/>
                <w:snapToGrid w:val="0"/>
                <w:color w:val="auto"/>
                <w:kern w:val="0"/>
                <w:sz w:val="24"/>
                <w:highlight w:val="none"/>
              </w:rPr>
            </w:pPr>
            <w:r>
              <w:rPr>
                <w:rFonts w:hint="eastAsia" w:ascii="宋体" w:hAnsi="宋体" w:cs="宋体"/>
                <w:bCs/>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pPr>
              <w:numPr>
                <w:ilvl w:val="0"/>
                <w:numId w:val="3"/>
              </w:numPr>
              <w:snapToGrid w:val="0"/>
              <w:spacing w:line="360" w:lineRule="auto"/>
              <w:jc w:val="center"/>
              <w:rPr>
                <w:rFonts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olor w:val="auto"/>
                <w:sz w:val="24"/>
                <w:highlight w:val="none"/>
              </w:rPr>
              <w:t>中小企业信用融资</w:t>
            </w: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color w:val="auto"/>
                <w:sz w:val="24"/>
                <w:highlight w:val="none"/>
              </w:rPr>
            </w:pPr>
            <w:r>
              <w:rPr>
                <w:rFonts w:hint="eastAsia" w:ascii="宋体" w:hAnsi="宋体"/>
                <w:snapToGrid w:val="0"/>
                <w:color w:val="auto"/>
                <w:kern w:val="28"/>
                <w:sz w:val="24"/>
                <w:highlight w:val="none"/>
              </w:rPr>
              <w:t>投标人中标后也可在“乐采云”平台申请政采贷：操作路径：登录杭州市教育局非依法招标（小额）项目平台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pPr>
              <w:numPr>
                <w:ilvl w:val="0"/>
                <w:numId w:val="3"/>
              </w:numPr>
              <w:snapToGrid w:val="0"/>
              <w:spacing w:line="360" w:lineRule="auto"/>
              <w:jc w:val="center"/>
              <w:rPr>
                <w:rFonts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节能产品、环境标志产品</w:t>
            </w:r>
          </w:p>
        </w:tc>
        <w:tc>
          <w:tcPr>
            <w:tcW w:w="64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Cs/>
                <w:color w:val="auto"/>
                <w:kern w:val="0"/>
                <w:sz w:val="24"/>
                <w:highlight w:val="none"/>
              </w:rPr>
            </w:pPr>
            <w:r>
              <w:rPr>
                <w:rFonts w:hint="eastAsia"/>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pPr>
              <w:numPr>
                <w:ilvl w:val="0"/>
                <w:numId w:val="3"/>
              </w:numPr>
              <w:snapToGrid w:val="0"/>
              <w:spacing w:line="360" w:lineRule="auto"/>
              <w:jc w:val="center"/>
              <w:rPr>
                <w:rFonts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报价要求</w:t>
            </w:r>
          </w:p>
        </w:tc>
        <w:tc>
          <w:tcPr>
            <w:tcW w:w="64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有关本项目实施所需的所有费用（含税费）均计入报价。投标文件</w:t>
            </w:r>
            <w:r>
              <w:rPr>
                <w:rFonts w:hint="eastAsia" w:ascii="宋体" w:hAnsi="宋体" w:cs="宋体"/>
                <w:bCs/>
                <w:color w:val="auto"/>
                <w:sz w:val="24"/>
                <w:highlight w:val="none"/>
              </w:rPr>
              <w:t>开标一览表（报价表）是报价的唯一载体，如投标人在乐采云平台填写的投标报价与投标文件报价文件中开标一览表（报价表）不一致的，以报价文件中开标一览表（报价表）为准。</w:t>
            </w:r>
            <w:r>
              <w:rPr>
                <w:rFonts w:hint="eastAsia" w:ascii="宋体" w:hAnsi="宋体" w:cs="宋体"/>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投标报价出现下列情形的，投标无效：</w:t>
            </w:r>
          </w:p>
          <w:p>
            <w:pPr>
              <w:snapToGrid w:val="0"/>
              <w:spacing w:line="360" w:lineRule="auto"/>
              <w:ind w:firstLine="240" w:firstLineChars="1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投标文件出现不是唯一的、有选择性投标报价的；</w:t>
            </w:r>
          </w:p>
          <w:p>
            <w:pPr>
              <w:snapToGrid w:val="0"/>
              <w:spacing w:line="360" w:lineRule="auto"/>
              <w:ind w:firstLine="240" w:firstLineChars="1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投标报价超过招标文件中规定的预算金额或者最高限价的；</w:t>
            </w:r>
          </w:p>
          <w:p>
            <w:pPr>
              <w:spacing w:line="360" w:lineRule="auto"/>
              <w:ind w:firstLine="240" w:firstLineChars="100"/>
              <w:jc w:val="left"/>
              <w:rPr>
                <w:rFonts w:ascii="宋体" w:hAnsi="宋体" w:cs="宋体"/>
                <w:bCs/>
                <w:color w:val="auto"/>
                <w:sz w:val="24"/>
                <w:highlight w:val="none"/>
              </w:rPr>
            </w:pPr>
            <w:r>
              <w:rPr>
                <w:rFonts w:hint="eastAsia" w:ascii="宋体" w:hAnsi="宋体" w:cs="宋体"/>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sz w:val="24"/>
                <w:highlight w:val="none"/>
              </w:rPr>
              <w:t>；</w:t>
            </w:r>
          </w:p>
          <w:p>
            <w:pPr>
              <w:spacing w:line="360" w:lineRule="auto"/>
              <w:ind w:firstLine="240" w:firstLineChars="100"/>
              <w:jc w:val="left"/>
              <w:rPr>
                <w:rFonts w:ascii="宋体" w:hAnsi="宋体" w:cs="宋体"/>
                <w:bCs/>
                <w:color w:val="auto"/>
                <w:sz w:val="24"/>
                <w:highlight w:val="none"/>
              </w:rPr>
            </w:pPr>
            <w:r>
              <w:rPr>
                <w:rFonts w:hint="eastAsia" w:ascii="宋体" w:hAnsi="宋体" w:cs="宋体"/>
                <w:bCs/>
                <w:color w:val="auto"/>
                <w:kern w:val="0"/>
                <w:sz w:val="24"/>
                <w:highlight w:val="none"/>
              </w:rPr>
              <w:t>投标人对根据修正原则修正后的报价不确认的</w:t>
            </w:r>
            <w:r>
              <w:rPr>
                <w:rFonts w:hint="eastAsia" w:ascii="宋体" w:hAnsi="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pPr>
              <w:numPr>
                <w:ilvl w:val="0"/>
                <w:numId w:val="3"/>
              </w:numPr>
              <w:snapToGrid w:val="0"/>
              <w:spacing w:line="360" w:lineRule="auto"/>
              <w:jc w:val="center"/>
              <w:rPr>
                <w:rFonts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仿宋_GB2312"/>
                <w:bCs/>
                <w:color w:val="auto"/>
                <w:sz w:val="24"/>
                <w:highlight w:val="none"/>
              </w:rPr>
              <w:t>备份投标文件送达地点和签收人员</w:t>
            </w:r>
          </w:p>
        </w:tc>
        <w:tc>
          <w:tcPr>
            <w:tcW w:w="6485" w:type="dxa"/>
            <w:tcBorders>
              <w:top w:val="single" w:color="000000" w:sz="8" w:space="0"/>
              <w:left w:val="single" w:color="000000" w:sz="2" w:space="0"/>
              <w:bottom w:val="single" w:color="000000" w:sz="8" w:space="0"/>
              <w:right w:val="single" w:color="000000" w:sz="8" w:space="0"/>
            </w:tcBorders>
            <w:vAlign w:val="center"/>
          </w:tcPr>
          <w:p>
            <w:pPr>
              <w:pStyle w:val="11"/>
              <w:spacing w:line="360" w:lineRule="auto"/>
              <w:ind w:right="143" w:rightChars="68" w:firstLine="480" w:firstLineChars="200"/>
              <w:jc w:val="left"/>
              <w:rPr>
                <w:rFonts w:hAnsi="宋体" w:cs="宋体"/>
                <w:bCs/>
                <w:color w:val="auto"/>
                <w:kern w:val="28"/>
                <w:sz w:val="24"/>
                <w:szCs w:val="24"/>
                <w:highlight w:val="none"/>
              </w:rPr>
            </w:pPr>
            <w:r>
              <w:rPr>
                <w:rFonts w:hint="eastAsia" w:hAnsi="宋体"/>
                <w:bCs/>
                <w:color w:val="auto"/>
                <w:kern w:val="28"/>
                <w:sz w:val="24"/>
                <w:szCs w:val="24"/>
                <w:highlight w:val="none"/>
              </w:rPr>
              <w:t>备份投标文件送达地点：</w:t>
            </w:r>
            <w:r>
              <w:rPr>
                <w:rFonts w:hint="eastAsia" w:hAnsi="宋体"/>
                <w:bCs/>
                <w:color w:val="auto"/>
                <w:sz w:val="24"/>
                <w:szCs w:val="24"/>
                <w:highlight w:val="none"/>
                <w:u w:val="single"/>
              </w:rPr>
              <w:t>杭州市上城区环站东路99号云峰大厦1号楼16楼（接受邮寄，需在投标截止前寄达签收）</w:t>
            </w:r>
            <w:r>
              <w:rPr>
                <w:rFonts w:hint="eastAsia" w:hAnsi="宋体"/>
                <w:bCs/>
                <w:color w:val="auto"/>
                <w:kern w:val="28"/>
                <w:sz w:val="24"/>
                <w:szCs w:val="24"/>
                <w:highlight w:val="none"/>
              </w:rPr>
              <w:t>；备份投标文件签收人员联系电话：</w:t>
            </w:r>
            <w:r>
              <w:rPr>
                <w:rFonts w:hint="eastAsia" w:hAnsi="宋体"/>
                <w:bCs/>
                <w:color w:val="auto"/>
                <w:kern w:val="28"/>
                <w:sz w:val="24"/>
                <w:szCs w:val="24"/>
                <w:highlight w:val="none"/>
                <w:u w:val="single"/>
              </w:rPr>
              <w:t xml:space="preserve"> 成晓松</w:t>
            </w:r>
            <w:r>
              <w:rPr>
                <w:rFonts w:hint="eastAsia" w:hAnsi="宋体"/>
                <w:bCs/>
                <w:color w:val="auto"/>
                <w:sz w:val="24"/>
                <w:szCs w:val="24"/>
                <w:highlight w:val="none"/>
                <w:u w:val="single"/>
              </w:rPr>
              <w:t xml:space="preserve"> 18221599746 </w:t>
            </w:r>
            <w:r>
              <w:rPr>
                <w:rFonts w:hint="eastAsia" w:hAnsi="宋体" w:cs="仿宋_GB2312"/>
                <w:bCs/>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restart"/>
            <w:tcBorders>
              <w:top w:val="single" w:color="auto" w:sz="4" w:space="0"/>
              <w:left w:val="single" w:color="000000" w:sz="8" w:space="0"/>
              <w:right w:val="single" w:color="000000" w:sz="2" w:space="0"/>
            </w:tcBorders>
            <w:vAlign w:val="center"/>
          </w:tcPr>
          <w:p>
            <w:pPr>
              <w:numPr>
                <w:ilvl w:val="0"/>
                <w:numId w:val="3"/>
              </w:numPr>
              <w:snapToGrid w:val="0"/>
              <w:spacing w:line="360" w:lineRule="auto"/>
              <w:jc w:val="center"/>
              <w:rPr>
                <w:rFonts w:ascii="宋体" w:hAnsi="宋体" w:cs="宋体"/>
                <w:bCs/>
                <w:color w:val="auto"/>
                <w:sz w:val="24"/>
                <w:highlight w:val="none"/>
              </w:rPr>
            </w:pPr>
          </w:p>
        </w:tc>
        <w:tc>
          <w:tcPr>
            <w:tcW w:w="225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仿宋_GB2312"/>
                <w:bCs/>
                <w:color w:val="auto"/>
                <w:sz w:val="24"/>
                <w:highlight w:val="none"/>
              </w:rPr>
              <w:t>特别说明</w:t>
            </w: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rFonts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bCs/>
                <w:color w:val="auto"/>
                <w:sz w:val="24"/>
                <w:highlight w:val="none"/>
              </w:rPr>
            </w:pPr>
          </w:p>
        </w:tc>
        <w:tc>
          <w:tcPr>
            <w:tcW w:w="2253" w:type="dxa"/>
            <w:vMerge w:val="continue"/>
            <w:tcBorders>
              <w:left w:val="single" w:color="000000" w:sz="2" w:space="0"/>
              <w:right w:val="single" w:color="000000" w:sz="8" w:space="0"/>
            </w:tcBorders>
            <w:vAlign w:val="center"/>
          </w:tcPr>
          <w:p>
            <w:pPr>
              <w:snapToGrid w:val="0"/>
              <w:spacing w:line="360" w:lineRule="auto"/>
              <w:jc w:val="left"/>
              <w:rPr>
                <w:rFonts w:ascii="宋体" w:hAnsi="宋体" w:cs="宋体"/>
                <w:bCs/>
                <w:color w:val="auto"/>
                <w:sz w:val="24"/>
                <w:highlight w:val="none"/>
              </w:rPr>
            </w:pP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rFonts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☐联合体投标的，联合体各方均需按招标文件第四部分评标标准要求提供资信证明文件，否则视为不符合相关要求。</w:t>
            </w:r>
          </w:p>
          <w:p>
            <w:pPr>
              <w:spacing w:line="360" w:lineRule="auto"/>
              <w:ind w:firstLine="480" w:firstLineChars="200"/>
              <w:jc w:val="left"/>
              <w:rPr>
                <w:rFonts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sym w:font="Wingdings" w:char="F0FE"/>
            </w:r>
            <w:r>
              <w:rPr>
                <w:rFonts w:hint="eastAsia" w:ascii="宋体" w:hAnsi="宋体" w:cs="宋体"/>
                <w:bCs/>
                <w:snapToGrid w:val="0"/>
                <w:color w:val="auto"/>
                <w:kern w:val="28"/>
                <w:sz w:val="24"/>
                <w:highlight w:val="none"/>
              </w:rPr>
              <w:t>联合体投标的，联合体中有一方或者联合体成员根据分工按招标文件第四部分评标标准要求提供资信证明文件的，视为符合了相关要求。</w:t>
            </w:r>
            <w:r>
              <w:rPr>
                <w:rFonts w:hint="eastAsia" w:ascii="宋体" w:hAnsi="宋体" w:cs="宋体"/>
                <w:snapToGrid w:val="0"/>
                <w:color w:val="auto"/>
                <w:kern w:val="28"/>
                <w:sz w:val="24"/>
                <w:highlight w:val="none"/>
              </w:rPr>
              <w:t>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bCs/>
                <w:color w:val="auto"/>
                <w:sz w:val="24"/>
                <w:highlight w:val="none"/>
              </w:rPr>
            </w:pPr>
          </w:p>
        </w:tc>
        <w:tc>
          <w:tcPr>
            <w:tcW w:w="2253" w:type="dxa"/>
            <w:vMerge w:val="continue"/>
            <w:tcBorders>
              <w:left w:val="single" w:color="000000" w:sz="2" w:space="0"/>
              <w:right w:val="single" w:color="000000" w:sz="8" w:space="0"/>
            </w:tcBorders>
            <w:vAlign w:val="center"/>
          </w:tcPr>
          <w:p>
            <w:pPr>
              <w:snapToGrid w:val="0"/>
              <w:spacing w:line="360" w:lineRule="auto"/>
              <w:jc w:val="left"/>
              <w:rPr>
                <w:rFonts w:ascii="宋体" w:hAnsi="宋体" w:cs="宋体"/>
                <w:bCs/>
                <w:color w:val="auto"/>
                <w:sz w:val="24"/>
                <w:highlight w:val="none"/>
              </w:rPr>
            </w:pPr>
          </w:p>
        </w:tc>
        <w:tc>
          <w:tcPr>
            <w:tcW w:w="6485"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ind w:right="143" w:rightChars="68" w:firstLine="81" w:firstLineChars="34"/>
              <w:jc w:val="left"/>
              <w:rPr>
                <w:rFonts w:ascii="宋体" w:hAnsi="宋体"/>
                <w:bCs/>
                <w:color w:val="auto"/>
                <w:kern w:val="28"/>
                <w:sz w:val="24"/>
                <w:highlight w:val="none"/>
              </w:rPr>
            </w:pPr>
            <w:r>
              <w:rPr>
                <w:rFonts w:hint="eastAsia" w:ascii="宋体" w:hAnsi="宋体"/>
                <w:bCs/>
                <w:color w:val="auto"/>
                <w:sz w:val="24"/>
                <w:highlight w:val="none"/>
              </w:rPr>
              <w:t>（1）</w:t>
            </w:r>
            <w:r>
              <w:rPr>
                <w:rFonts w:ascii="宋体" w:hAnsi="宋体"/>
                <w:bCs/>
                <w:color w:val="auto"/>
                <w:sz w:val="24"/>
                <w:highlight w:val="none"/>
              </w:rPr>
              <w:t>中标通知书发出后30日</w:t>
            </w:r>
            <w:r>
              <w:rPr>
                <w:rFonts w:hint="eastAsia" w:ascii="宋体" w:hAnsi="宋体"/>
                <w:b/>
                <w:color w:val="auto"/>
                <w:sz w:val="24"/>
                <w:highlight w:val="none"/>
              </w:rPr>
              <w:t>（鼓励有条件的缩短至10个工作日）</w:t>
            </w:r>
            <w:r>
              <w:rPr>
                <w:rFonts w:ascii="宋体" w:hAnsi="宋体"/>
                <w:bCs/>
                <w:color w:val="auto"/>
                <w:sz w:val="24"/>
                <w:highlight w:val="none"/>
              </w:rPr>
              <w:t>内，中标供应商持中标通知书与采购人签订合同</w:t>
            </w:r>
            <w:r>
              <w:rPr>
                <w:rFonts w:hint="eastAsia" w:ascii="宋体" w:hAnsi="宋体"/>
                <w:bCs/>
                <w:color w:val="auto"/>
                <w:sz w:val="24"/>
                <w:highlight w:val="none"/>
              </w:rPr>
              <w:t>。</w:t>
            </w:r>
          </w:p>
          <w:p>
            <w:pPr>
              <w:snapToGrid w:val="0"/>
              <w:spacing w:line="360" w:lineRule="auto"/>
              <w:ind w:right="143" w:rightChars="68" w:firstLine="81" w:firstLineChars="34"/>
              <w:jc w:val="left"/>
              <w:rPr>
                <w:rFonts w:ascii="宋体" w:hAnsi="宋体"/>
                <w:bCs/>
                <w:color w:val="auto"/>
                <w:kern w:val="28"/>
                <w:sz w:val="24"/>
                <w:highlight w:val="none"/>
              </w:rPr>
            </w:pPr>
            <w:r>
              <w:rPr>
                <w:rFonts w:hint="eastAsia" w:ascii="宋体" w:hAnsi="宋体"/>
                <w:bCs/>
                <w:color w:val="auto"/>
                <w:kern w:val="28"/>
                <w:sz w:val="24"/>
                <w:highlight w:val="none"/>
              </w:rPr>
              <w:t>（2）</w:t>
            </w:r>
            <w:r>
              <w:rPr>
                <w:rFonts w:hint="eastAsia" w:ascii="宋体" w:hAnsi="宋体"/>
                <w:bCs/>
                <w:color w:val="auto"/>
                <w:sz w:val="24"/>
                <w:highlight w:val="none"/>
              </w:rPr>
              <w:t>中标供应商在收到中标通知后7个工作日内提交纸质版胶装投标文件（内容同电子投标文件）一正两副或系统解密版打印三份（封面盖章加骑缝），用于项目资料存档。（邮寄地址：杭州市上城区环站东路99号云峰大厦1号楼16楼 成晓松 18221599746收）</w:t>
            </w:r>
          </w:p>
          <w:p>
            <w:pPr>
              <w:snapToGrid w:val="0"/>
              <w:spacing w:line="360" w:lineRule="auto"/>
              <w:ind w:right="143" w:rightChars="68" w:firstLine="81" w:firstLineChars="34"/>
              <w:jc w:val="left"/>
              <w:rPr>
                <w:rFonts w:ascii="宋体" w:hAnsi="宋体"/>
                <w:bCs/>
                <w:color w:val="auto"/>
                <w:sz w:val="24"/>
                <w:highlight w:val="none"/>
              </w:rPr>
            </w:pPr>
            <w:r>
              <w:rPr>
                <w:rFonts w:hint="eastAsia" w:ascii="宋体" w:hAnsi="宋体"/>
                <w:bCs/>
                <w:color w:val="auto"/>
                <w:kern w:val="28"/>
                <w:sz w:val="24"/>
                <w:highlight w:val="none"/>
              </w:rPr>
              <w:t>（3）</w:t>
            </w:r>
            <w:r>
              <w:rPr>
                <w:rFonts w:hint="eastAsia" w:ascii="宋体" w:hAnsi="宋体"/>
                <w:bCs/>
                <w:color w:val="auto"/>
                <w:sz w:val="24"/>
                <w:highlight w:val="none"/>
              </w:rPr>
              <w:t>本项目招标代理服务费收费为：以中标金额为计费基准，以原国家计委《招标代理服务收费管理暂行办法》（计价格〔2002〕1980 号）的收费标准的80%计取。</w:t>
            </w:r>
          </w:p>
          <w:p>
            <w:pPr>
              <w:snapToGrid w:val="0"/>
              <w:spacing w:line="360" w:lineRule="auto"/>
              <w:ind w:right="143" w:rightChars="68"/>
              <w:jc w:val="left"/>
              <w:rPr>
                <w:rFonts w:ascii="宋体" w:hAnsi="宋体"/>
                <w:bCs/>
                <w:color w:val="auto"/>
                <w:sz w:val="24"/>
                <w:highlight w:val="none"/>
              </w:rPr>
            </w:pPr>
            <w:r>
              <w:rPr>
                <w:rFonts w:hint="eastAsia" w:ascii="宋体" w:hAnsi="宋体"/>
                <w:bCs/>
                <w:color w:val="auto"/>
                <w:sz w:val="24"/>
                <w:highlight w:val="none"/>
              </w:rPr>
              <w:sym w:font="Wingdings 2" w:char="00A3"/>
            </w:r>
            <w:r>
              <w:rPr>
                <w:rFonts w:hint="eastAsia" w:ascii="宋体" w:hAnsi="宋体"/>
                <w:bCs/>
                <w:color w:val="auto"/>
                <w:sz w:val="24"/>
                <w:highlight w:val="none"/>
              </w:rPr>
              <w:t>采购人在招标完成后支付；</w:t>
            </w:r>
          </w:p>
          <w:p>
            <w:pPr>
              <w:snapToGrid w:val="0"/>
              <w:spacing w:line="360" w:lineRule="auto"/>
              <w:ind w:right="143" w:rightChars="68"/>
              <w:jc w:val="left"/>
              <w:rPr>
                <w:rFonts w:ascii="宋体" w:hAnsi="宋体"/>
                <w:b/>
                <w:color w:val="auto"/>
                <w:sz w:val="24"/>
                <w:highlight w:val="none"/>
              </w:rPr>
            </w:pPr>
            <w:r>
              <w:rPr>
                <w:rFonts w:hint="eastAsia" w:ascii="宋体" w:hAnsi="宋体"/>
                <w:b/>
                <w:color w:val="auto"/>
                <w:sz w:val="24"/>
                <w:highlight w:val="none"/>
              </w:rPr>
              <w:sym w:font="Wingdings 2" w:char="0052"/>
            </w:r>
            <w:r>
              <w:rPr>
                <w:rFonts w:hint="eastAsia" w:ascii="宋体" w:hAnsi="宋体"/>
                <w:b/>
                <w:color w:val="auto"/>
                <w:sz w:val="24"/>
                <w:highlight w:val="none"/>
              </w:rPr>
              <w:t>由中标供应商在领取中标通知书后7个工作日内向采购代理机构一次性缴纳。</w:t>
            </w:r>
          </w:p>
          <w:p>
            <w:pPr>
              <w:snapToGrid w:val="0"/>
              <w:spacing w:line="360" w:lineRule="auto"/>
              <w:ind w:right="143" w:rightChars="68" w:firstLine="81" w:firstLineChars="34"/>
              <w:jc w:val="left"/>
              <w:rPr>
                <w:rFonts w:ascii="宋体" w:hAnsi="宋体"/>
                <w:bCs/>
                <w:color w:val="auto"/>
                <w:sz w:val="24"/>
                <w:highlight w:val="none"/>
              </w:rPr>
            </w:pPr>
            <w:r>
              <w:rPr>
                <w:rFonts w:hint="eastAsia" w:ascii="宋体" w:hAnsi="宋体"/>
                <w:bCs/>
                <w:color w:val="auto"/>
                <w:sz w:val="24"/>
                <w:highlight w:val="none"/>
              </w:rPr>
              <w:t>收款单位：杭州洲源招标代理有限公司</w:t>
            </w:r>
          </w:p>
          <w:p>
            <w:pPr>
              <w:snapToGrid w:val="0"/>
              <w:spacing w:line="360" w:lineRule="auto"/>
              <w:ind w:right="143" w:rightChars="68" w:firstLine="81" w:firstLineChars="34"/>
              <w:jc w:val="left"/>
              <w:rPr>
                <w:rFonts w:ascii="宋体" w:hAnsi="宋体"/>
                <w:bCs/>
                <w:color w:val="auto"/>
                <w:sz w:val="24"/>
                <w:highlight w:val="none"/>
              </w:rPr>
            </w:pPr>
            <w:r>
              <w:rPr>
                <w:rFonts w:hint="eastAsia" w:ascii="宋体" w:hAnsi="宋体"/>
                <w:bCs/>
                <w:color w:val="auto"/>
                <w:sz w:val="24"/>
                <w:highlight w:val="none"/>
              </w:rPr>
              <w:t>开户银行：</w:t>
            </w:r>
            <w:r>
              <w:rPr>
                <w:rFonts w:hint="eastAsia" w:ascii="宋体" w:hAnsi="宋体" w:cs="宋体"/>
                <w:color w:val="auto"/>
                <w:sz w:val="24"/>
                <w:highlight w:val="none"/>
              </w:rPr>
              <w:t>中信银行杭州西湖支行</w:t>
            </w:r>
          </w:p>
          <w:p>
            <w:pPr>
              <w:snapToGrid w:val="0"/>
              <w:spacing w:line="360" w:lineRule="auto"/>
              <w:ind w:right="143" w:rightChars="68" w:firstLine="81" w:firstLineChars="34"/>
              <w:jc w:val="left"/>
              <w:rPr>
                <w:rFonts w:ascii="宋体" w:hAnsi="宋体" w:cs="Arial"/>
                <w:bCs/>
                <w:color w:val="auto"/>
                <w:kern w:val="0"/>
                <w:sz w:val="24"/>
                <w:highlight w:val="none"/>
              </w:rPr>
            </w:pPr>
            <w:r>
              <w:rPr>
                <w:rFonts w:hint="eastAsia" w:ascii="宋体" w:hAnsi="宋体"/>
                <w:bCs/>
                <w:color w:val="auto"/>
                <w:sz w:val="24"/>
                <w:highlight w:val="none"/>
              </w:rPr>
              <w:t>账    号：</w:t>
            </w:r>
            <w:r>
              <w:rPr>
                <w:rFonts w:hint="eastAsia" w:ascii="宋体" w:hAnsi="宋体" w:cs="宋体"/>
                <w:color w:val="auto"/>
                <w:sz w:val="24"/>
                <w:highlight w:val="none"/>
              </w:rPr>
              <w:t>8110801012701859954</w:t>
            </w:r>
          </w:p>
        </w:tc>
      </w:tr>
      <w:bookmarkEnd w:id="10"/>
    </w:tbl>
    <w:p>
      <w:pPr>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br w:type="page"/>
      </w:r>
    </w:p>
    <w:p>
      <w:pPr>
        <w:adjustRightInd/>
        <w:snapToGrid w:val="0"/>
        <w:spacing w:line="360" w:lineRule="auto"/>
        <w:ind w:firstLine="3605" w:firstLineChars="1197"/>
        <w:outlineLvl w:val="0"/>
        <w:rPr>
          <w:rFonts w:ascii="宋体" w:hAnsi="宋体" w:cs="宋体"/>
          <w:b/>
          <w:color w:val="auto"/>
          <w:sz w:val="30"/>
          <w:szCs w:val="30"/>
          <w:highlight w:val="none"/>
        </w:rPr>
      </w:pPr>
      <w:r>
        <w:rPr>
          <w:rFonts w:hint="eastAsia" w:ascii="宋体" w:hAnsi="宋体" w:cs="宋体"/>
          <w:b/>
          <w:color w:val="auto"/>
          <w:sz w:val="30"/>
          <w:szCs w:val="30"/>
          <w:highlight w:val="none"/>
        </w:rPr>
        <w:t>一、总则</w:t>
      </w:r>
    </w:p>
    <w:p>
      <w:pPr>
        <w:snapToGrid w:val="0"/>
        <w:spacing w:line="348"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348"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napToGrid w:val="0"/>
        <w:spacing w:line="348"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napToGrid w:val="0"/>
        <w:spacing w:line="348"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2.6“电子交易平台”是指本项目政府采购活动所依托的乐采云平台（https://hzjyg.lecaiyun.com）。</w:t>
      </w:r>
    </w:p>
    <w:p>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宋体" w:hAnsi="宋体" w:cs="宋体"/>
          <w:color w:val="auto"/>
          <w:sz w:val="24"/>
          <w:highlight w:val="none"/>
        </w:rPr>
        <w:t>◆</w:t>
      </w:r>
      <w:r>
        <w:rPr>
          <w:rFonts w:hint="eastAsia" w:ascii="宋体" w:hAnsi="宋体" w:cs="宋体"/>
          <w:color w:val="auto"/>
          <w:sz w:val="24"/>
          <w:highlight w:val="none"/>
        </w:rPr>
        <w:t>”系指技术参数重要指标，“</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napToGrid w:val="0"/>
        <w:spacing w:line="348"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napToGrid w:val="0"/>
        <w:spacing w:line="348"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鼓励供应商在参加采购过程中开展绿色设计、选择绿色材料、打造绿色制造工艺、开展绿色运输、做好废弃产品回收处理，实现产品全周期的绿色环保。鼓励采购单位对其提高预付款比例、免收履约保证金。</w:t>
      </w:r>
      <w:bookmarkEnd w:id="13"/>
    </w:p>
    <w:p>
      <w:pPr>
        <w:snapToGrid w:val="0"/>
        <w:spacing w:line="348"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 支持中小企业发展</w:t>
      </w:r>
    </w:p>
    <w:p>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符合中小企业划分标准的个体工商户，在采购活动中视同中小企业。</w:t>
      </w:r>
    </w:p>
    <w:p>
      <w:pPr>
        <w:widowControl/>
        <w:snapToGrid w:val="0"/>
        <w:spacing w:line="348"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w:t>
      </w:r>
      <w:r>
        <w:rPr>
          <w:rFonts w:hint="eastAsia" w:ascii="宋体" w:hAnsi="宋体" w:cs="宋体"/>
          <w:bCs/>
          <w:color w:val="auto"/>
          <w:sz w:val="24"/>
          <w:highlight w:val="none"/>
        </w:rPr>
        <w:t>3</w:t>
      </w:r>
      <w:r>
        <w:rPr>
          <w:rFonts w:ascii="宋体" w:hAnsi="宋体" w:cs="宋体"/>
          <w:bCs/>
          <w:color w:val="auto"/>
          <w:sz w:val="24"/>
          <w:highlight w:val="none"/>
        </w:rPr>
        <w:t>.2</w:t>
      </w:r>
      <w:r>
        <w:rPr>
          <w:rFonts w:hint="eastAsia" w:ascii="宋体" w:hAnsi="宋体" w:cs="宋体"/>
          <w:color w:val="auto"/>
          <w:kern w:val="0"/>
          <w:sz w:val="24"/>
          <w:highlight w:val="none"/>
        </w:rPr>
        <w:t>在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napToGrid w:val="0"/>
        <w:spacing w:line="348"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以联合体形式参加采购活动，联合体各方均为中小企业的，联合体视同中小企业。其中，联合体各方均为小微企业的，联合体视同小微企业。</w:t>
      </w:r>
    </w:p>
    <w:p>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采购服务项目，以及预留份额采购服务项目中的非预留部分标项，对小型和微型企业的投标报价给予10%-20%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48"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3.3.7中小企业享受扶持政策获得采购合同的，小微企业不得将合同分包给大中型企业，中型企业不得将合同分包给大型企业。</w:t>
      </w:r>
    </w:p>
    <w:p>
      <w:pPr>
        <w:snapToGrid w:val="0"/>
        <w:spacing w:line="348"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napToGrid w:val="0"/>
        <w:spacing w:line="348"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pPr>
        <w:snapToGrid w:val="0"/>
        <w:spacing w:line="348"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3.4.2采购人应当贯彻落实知识产权保护相关法律法规，应当采购使用正版软件。</w:t>
      </w:r>
    </w:p>
    <w:p>
      <w:pPr>
        <w:snapToGrid w:val="0"/>
        <w:spacing w:line="348"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napToGrid w:val="0"/>
        <w:spacing w:line="348"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向同级采购监督管理部门提起投诉。</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4.3.1提出质疑的供应商应当是参与所质疑项目采购活动的供应商。潜在供应商已依法获取其可质疑的招标文件的，可以对该文件提出质疑。</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4.3.2.1对招标文件提出质疑的，质疑期限为供应商获得招标文件之日或者招标文件公告期限届满之日起计算。</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4.3.2.2对采购过程提出质疑的，质疑期限为各采购程序环节结束之日起计算。4.3.2.3对采购结果提出质疑的，质疑期限自采购结果公告期限届满之日起计算。</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4.3.3供应商提出质疑应当提交质疑函和必要的证明材料。质疑函应当包括下列内容：</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4.3.3.1供应商的姓名或者名称、地址、邮编、联系人及联系电话；</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4.3.3.2质疑项目的名称、编号；</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4.3.3.3具体、明确的质疑事项和与质疑事项相关的请求；</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4.3.3.4事实依据；</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4.3.3.5必要的法律依据；</w:t>
      </w:r>
    </w:p>
    <w:p>
      <w:pPr>
        <w:autoSpaceDE w:val="0"/>
        <w:autoSpaceDN w:val="0"/>
        <w:snapToGrid w:val="0"/>
        <w:spacing w:line="348" w:lineRule="auto"/>
        <w:ind w:firstLine="960" w:firstLineChars="4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4.3.3.6提出质疑的日期。</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质疑函范本及制作说明详见附件2。</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4.3.4对同一采购程序环节的质疑，供应商须在法定质疑期内一次性提出。</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4.3.5采购人或者采购代理机构应当在收到供应商的书面质疑后七个工作日内作出答复，并以书面形式通知质疑供应商和其他与质疑处理结果有利害关系的采购当事人，但答复的内容不得涉及商业秘密。</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4.3.6询问或者质疑事项可能影响采购结果的，采购人应当暂停签订合同，已经签订合同的，应当中止履行合同。</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4.4供应商投诉</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4.4.1质疑供应商对采购人、采购代理机构的答复不满意或者采购人、采购代理机构未在规定的时间内作出答复的，可以在答复期满后十五个工作日内向采购监督管理部门提出投诉。</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4.4.2供应商投诉的事项不得超出已质疑事项的范围，基于质疑答复内容提出的投诉事项除外。</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4.4.3供应商投诉应当有明确的请求和必要的证明材料。</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4.4.4以联合体形式参加采购活动的，其投诉应当由组成联合体的所有供应商共同提出。</w:t>
      </w:r>
    </w:p>
    <w:p>
      <w:pPr>
        <w:autoSpaceDE w:val="0"/>
        <w:autoSpaceDN w:val="0"/>
        <w:snapToGrid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投诉书范本及制作说明详见附件3。</w:t>
      </w:r>
    </w:p>
    <w:p>
      <w:pPr>
        <w:adjustRightInd/>
        <w:snapToGrid w:val="0"/>
        <w:spacing w:line="348" w:lineRule="auto"/>
        <w:jc w:val="center"/>
        <w:outlineLvl w:val="0"/>
        <w:rPr>
          <w:rFonts w:ascii="宋体" w:hAnsi="宋体" w:cs="宋体"/>
          <w:b/>
          <w:color w:val="auto"/>
          <w:sz w:val="32"/>
          <w:szCs w:val="20"/>
          <w:highlight w:val="none"/>
        </w:rPr>
      </w:pPr>
      <w:r>
        <w:rPr>
          <w:rFonts w:hint="eastAsia" w:ascii="宋体" w:hAnsi="宋体" w:cs="宋体"/>
          <w:b/>
          <w:color w:val="auto"/>
          <w:sz w:val="30"/>
          <w:szCs w:val="30"/>
          <w:highlight w:val="none"/>
        </w:rPr>
        <w:t>二、招标文件的构成、澄清、修改</w:t>
      </w:r>
    </w:p>
    <w:p>
      <w:pPr>
        <w:pStyle w:val="11"/>
        <w:snapToGrid w:val="0"/>
        <w:spacing w:line="348"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11"/>
        <w:snapToGrid w:val="0"/>
        <w:spacing w:line="34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11"/>
        <w:tabs>
          <w:tab w:val="left" w:pos="840"/>
        </w:tabs>
        <w:snapToGrid w:val="0"/>
        <w:spacing w:line="348"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11"/>
        <w:tabs>
          <w:tab w:val="left" w:pos="840"/>
        </w:tabs>
        <w:snapToGrid w:val="0"/>
        <w:spacing w:line="348"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11"/>
        <w:tabs>
          <w:tab w:val="left" w:pos="840"/>
        </w:tabs>
        <w:snapToGrid w:val="0"/>
        <w:spacing w:line="348"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11"/>
        <w:tabs>
          <w:tab w:val="left" w:pos="840"/>
        </w:tabs>
        <w:snapToGrid w:val="0"/>
        <w:spacing w:line="348"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11"/>
        <w:tabs>
          <w:tab w:val="left" w:pos="840"/>
        </w:tabs>
        <w:snapToGrid w:val="0"/>
        <w:spacing w:line="348"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11"/>
        <w:tabs>
          <w:tab w:val="left" w:pos="840"/>
        </w:tabs>
        <w:snapToGrid w:val="0"/>
        <w:spacing w:line="348"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11"/>
        <w:snapToGrid w:val="0"/>
        <w:spacing w:line="348"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29"/>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29"/>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7"/>
        <w:snapToGrid w:val="0"/>
        <w:spacing w:line="348" w:lineRule="auto"/>
        <w:jc w:val="center"/>
        <w:rPr>
          <w:rFonts w:hAnsi="宋体" w:cs="宋体"/>
          <w:b/>
          <w:color w:val="auto"/>
          <w:sz w:val="30"/>
          <w:szCs w:val="20"/>
          <w:highlight w:val="none"/>
        </w:rPr>
      </w:pPr>
      <w:r>
        <w:rPr>
          <w:rFonts w:hint="eastAsia" w:hAnsi="宋体" w:cs="宋体"/>
          <w:b/>
          <w:color w:val="auto"/>
          <w:sz w:val="30"/>
          <w:szCs w:val="20"/>
          <w:highlight w:val="none"/>
        </w:rPr>
        <w:t>三、投标</w:t>
      </w:r>
    </w:p>
    <w:p>
      <w:pPr>
        <w:pStyle w:val="11"/>
        <w:snapToGrid w:val="0"/>
        <w:spacing w:line="348"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napToGrid w:val="0"/>
        <w:spacing w:line="348"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11"/>
        <w:snapToGrid w:val="0"/>
        <w:spacing w:line="348"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11"/>
        <w:snapToGrid w:val="0"/>
        <w:spacing w:line="34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11"/>
        <w:snapToGrid w:val="0"/>
        <w:spacing w:line="348" w:lineRule="auto"/>
        <w:rPr>
          <w:rFonts w:hAnsi="宋体" w:cs="宋体"/>
          <w:b/>
          <w:color w:val="auto"/>
          <w:szCs w:val="24"/>
          <w:highlight w:val="none"/>
        </w:rPr>
      </w:pPr>
      <w:r>
        <w:rPr>
          <w:rFonts w:hint="eastAsia" w:hAnsi="宋体" w:cs="宋体"/>
          <w:b/>
          <w:color w:val="auto"/>
          <w:kern w:val="28"/>
          <w:sz w:val="24"/>
          <w:szCs w:val="24"/>
          <w:highlight w:val="none"/>
        </w:rPr>
        <w:t>9</w:t>
      </w:r>
      <w:r>
        <w:rPr>
          <w:rFonts w:hint="eastAsia" w:cs="宋体"/>
          <w:b/>
          <w:color w:val="auto"/>
          <w:highlight w:val="none"/>
        </w:rPr>
        <w:t xml:space="preserve">. </w:t>
      </w:r>
      <w:r>
        <w:rPr>
          <w:rFonts w:hint="eastAsia" w:hAnsi="宋体" w:cs="宋体"/>
          <w:b/>
          <w:color w:val="auto"/>
          <w:kern w:val="28"/>
          <w:sz w:val="24"/>
          <w:szCs w:val="24"/>
          <w:highlight w:val="none"/>
        </w:rPr>
        <w:t>投标保证金</w:t>
      </w:r>
    </w:p>
    <w:p>
      <w:pPr>
        <w:pStyle w:val="5"/>
        <w:spacing w:line="348"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11"/>
        <w:snapToGrid w:val="0"/>
        <w:spacing w:line="348"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napToGrid w:val="0"/>
        <w:spacing w:line="348"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11"/>
        <w:snapToGrid w:val="0"/>
        <w:spacing w:line="348"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p>
    <w:p>
      <w:pPr>
        <w:snapToGrid w:val="0"/>
        <w:spacing w:line="348"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pPr>
        <w:snapToGrid w:val="0"/>
        <w:spacing w:line="348"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48"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48"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48"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pPr>
        <w:snapToGrid w:val="0"/>
        <w:spacing w:line="348"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48"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48"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48"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48"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48"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48"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48"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pPr>
        <w:snapToGrid w:val="0"/>
        <w:spacing w:line="348"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48"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48" w:lineRule="auto"/>
        <w:ind w:firstLine="960" w:firstLineChars="400"/>
        <w:rPr>
          <w:color w:val="auto"/>
          <w:highlight w:val="none"/>
        </w:rPr>
      </w:pPr>
      <w:r>
        <w:rPr>
          <w:rFonts w:hint="eastAsia" w:ascii="宋体" w:hAnsi="宋体" w:cs="宋体"/>
          <w:color w:val="auto"/>
          <w:sz w:val="24"/>
          <w:highlight w:val="none"/>
        </w:rPr>
        <w:t>11.3.2 报价情况说明；</w:t>
      </w:r>
    </w:p>
    <w:p>
      <w:pPr>
        <w:snapToGrid w:val="0"/>
        <w:spacing w:line="348"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r>
        <w:rPr>
          <w:rFonts w:hint="eastAsia" w:ascii="宋体" w:hAnsi="宋体"/>
          <w:snapToGrid w:val="0"/>
          <w:color w:val="auto"/>
          <w:kern w:val="28"/>
          <w:sz w:val="24"/>
          <w:highlight w:val="none"/>
        </w:rPr>
        <w:t>（如果有)</w:t>
      </w:r>
      <w:r>
        <w:rPr>
          <w:rFonts w:hint="eastAsia" w:ascii="宋体" w:hAnsi="宋体" w:cs="宋体"/>
          <w:color w:val="auto"/>
          <w:sz w:val="24"/>
          <w:highlight w:val="none"/>
        </w:rPr>
        <w:t>。</w:t>
      </w:r>
    </w:p>
    <w:p>
      <w:pPr>
        <w:snapToGrid w:val="0"/>
        <w:spacing w:line="348"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napToGrid w:val="0"/>
        <w:spacing w:line="348"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pStyle w:val="29"/>
        <w:snapToGrid w:val="0"/>
        <w:spacing w:before="0" w:line="348" w:lineRule="auto"/>
        <w:ind w:firstLine="420" w:firstLineChars="175"/>
        <w:outlineLvl w:val="0"/>
        <w:rPr>
          <w:rFonts w:ascii="宋体" w:hAnsi="宋体" w:cs="宋体"/>
          <w:color w:val="auto"/>
          <w:highlight w:val="none"/>
        </w:rPr>
      </w:pPr>
      <w:r>
        <w:rPr>
          <w:rFonts w:hint="eastAsia" w:ascii="宋体" w:hAnsi="宋体" w:cs="宋体"/>
          <w:color w:val="auto"/>
          <w:highlight w:val="none"/>
        </w:rPr>
        <w:t>投标人可事先在公开官网查询、核对相关证书和报告内容，确保投标（响应）文件资料准确无误。投标人应对投标文件中材料的真实性、合法性负责。</w:t>
      </w:r>
    </w:p>
    <w:p>
      <w:pPr>
        <w:pStyle w:val="29"/>
        <w:snapToGrid w:val="0"/>
        <w:spacing w:before="0" w:line="348" w:lineRule="auto"/>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cs="宋体"/>
          <w:b/>
          <w:color w:val="auto"/>
          <w:highlight w:val="none"/>
        </w:rPr>
        <w:t xml:space="preserve">. </w:t>
      </w:r>
      <w:r>
        <w:rPr>
          <w:rFonts w:hint="eastAsia" w:ascii="宋体" w:hAnsi="宋体" w:cs="宋体"/>
          <w:b/>
          <w:color w:val="auto"/>
          <w:szCs w:val="24"/>
          <w:highlight w:val="none"/>
        </w:rPr>
        <w:t>投标文件的编制</w:t>
      </w:r>
    </w:p>
    <w:p>
      <w:pPr>
        <w:snapToGrid w:val="0"/>
        <w:spacing w:line="348"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napToGrid w:val="0"/>
        <w:spacing w:line="348"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pPr>
        <w:snapToGrid w:val="0"/>
        <w:spacing w:line="348"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12.3使用“乐采云电子交易客户端”需要提前申领CA数字证书，申领流程请自行前往“</w:t>
      </w:r>
      <w:r>
        <w:rPr>
          <w:rFonts w:hint="eastAsia" w:ascii="宋体" w:hAnsi="宋体" w:cs="宋体"/>
          <w:color w:val="auto"/>
          <w:kern w:val="0"/>
          <w:sz w:val="24"/>
          <w:highlight w:val="none"/>
        </w:rPr>
        <w:t>乐采云平台</w:t>
      </w:r>
      <w:r>
        <w:rPr>
          <w:rFonts w:hint="eastAsia" w:ascii="宋体" w:hAnsi="宋体" w:cs="宋体"/>
          <w:color w:val="auto"/>
          <w:kern w:val="0"/>
          <w:sz w:val="24"/>
          <w:highlight w:val="none"/>
          <w:lang w:val="zh-CN"/>
        </w:rPr>
        <w:t>-下载专区-电子交易客户端-CA驱动和申领流程”进行查阅。</w:t>
      </w:r>
    </w:p>
    <w:p>
      <w:pPr>
        <w:snapToGrid w:val="0"/>
        <w:spacing w:line="348" w:lineRule="auto"/>
        <w:rPr>
          <w:rFonts w:ascii="宋体" w:hAnsi="宋体" w:cs="宋体"/>
          <w:b/>
          <w:color w:val="auto"/>
          <w:sz w:val="24"/>
          <w:highlight w:val="none"/>
        </w:rPr>
      </w:pPr>
      <w:r>
        <w:rPr>
          <w:rFonts w:hint="eastAsia" w:ascii="宋体" w:hAnsi="宋体" w:cs="宋体"/>
          <w:b/>
          <w:color w:val="auto"/>
          <w:sz w:val="24"/>
          <w:highlight w:val="none"/>
        </w:rPr>
        <w:t>13</w:t>
      </w:r>
      <w:r>
        <w:rPr>
          <w:rFonts w:hint="eastAsia" w:cs="宋体"/>
          <w:b/>
          <w:color w:val="auto"/>
          <w:highlight w:val="none"/>
        </w:rPr>
        <w:t xml:space="preserve">. </w:t>
      </w:r>
      <w:r>
        <w:rPr>
          <w:rFonts w:hint="eastAsia" w:ascii="宋体" w:hAnsi="宋体" w:cs="宋体"/>
          <w:b/>
          <w:color w:val="auto"/>
          <w:sz w:val="24"/>
          <w:highlight w:val="none"/>
        </w:rPr>
        <w:t>投标文件的签署、盖章</w:t>
      </w:r>
    </w:p>
    <w:p>
      <w:pPr>
        <w:pStyle w:val="29"/>
        <w:snapToGrid w:val="0"/>
        <w:spacing w:before="0" w:line="348" w:lineRule="auto"/>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29"/>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13.2为确保网上操作合法、有效和安全，投标人应当在投标截止时间前完成在“乐采云平台”的身份认证，确保在电子投标过程中能够对相关数据电文进行加密和使用电子签名。</w:t>
      </w:r>
    </w:p>
    <w:p>
      <w:pPr>
        <w:pStyle w:val="29"/>
        <w:snapToGrid w:val="0"/>
        <w:spacing w:before="0" w:line="348" w:lineRule="auto"/>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29"/>
        <w:snapToGrid w:val="0"/>
        <w:spacing w:before="0" w:line="348"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14</w:t>
      </w:r>
      <w:r>
        <w:rPr>
          <w:rFonts w:hint="eastAsia" w:cs="宋体"/>
          <w:b/>
          <w:color w:val="auto"/>
          <w:highlight w:val="none"/>
        </w:rPr>
        <w:t xml:space="preserve">. </w:t>
      </w:r>
      <w:r>
        <w:rPr>
          <w:rFonts w:hint="eastAsia" w:ascii="宋体" w:hAnsi="宋体" w:cs="宋体"/>
          <w:b/>
          <w:color w:val="auto"/>
          <w:szCs w:val="24"/>
          <w:highlight w:val="none"/>
        </w:rPr>
        <w:t>投标文件的提交、补充、修改、撤回</w:t>
      </w:r>
    </w:p>
    <w:p>
      <w:pPr>
        <w:pStyle w:val="29"/>
        <w:snapToGrid w:val="0"/>
        <w:spacing w:before="0" w:line="348" w:lineRule="auto"/>
        <w:ind w:firstLine="480"/>
        <w:rPr>
          <w:rFonts w:ascii="宋体" w:hAnsi="宋体" w:cs="宋体"/>
          <w:color w:val="auto"/>
          <w:szCs w:val="24"/>
          <w:highlight w:val="none"/>
        </w:rPr>
      </w:pPr>
      <w:r>
        <w:rPr>
          <w:rFonts w:hint="eastAsia" w:ascii="宋体" w:hAnsi="宋体" w:cs="宋体"/>
          <w:color w:val="auto"/>
          <w:szCs w:val="24"/>
          <w:highlight w:val="none"/>
        </w:rPr>
        <w:t>14.1 投标人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29"/>
        <w:snapToGrid w:val="0"/>
        <w:spacing w:before="0" w:line="348" w:lineRule="auto"/>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14.2电子交易平台收到投标文件，将妥善保存并即时向投标人发出确认回执通知。在投标截止时间前，除投标人补充、修改或者撤回投标文件外，任何单位和个人不得解密或提取投标文件。</w:t>
      </w:r>
    </w:p>
    <w:p>
      <w:pPr>
        <w:pStyle w:val="29"/>
        <w:snapToGrid w:val="0"/>
        <w:spacing w:before="0" w:line="348" w:lineRule="auto"/>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11"/>
        <w:snapToGrid w:val="0"/>
        <w:spacing w:line="348" w:lineRule="auto"/>
        <w:rPr>
          <w:rFonts w:hAnsi="宋体" w:cs="宋体"/>
          <w:b/>
          <w:color w:val="auto"/>
          <w:sz w:val="24"/>
          <w:szCs w:val="24"/>
          <w:highlight w:val="none"/>
        </w:rPr>
      </w:pPr>
      <w:r>
        <w:rPr>
          <w:rFonts w:hint="eastAsia" w:hAnsi="宋体" w:cs="宋体"/>
          <w:b/>
          <w:color w:val="auto"/>
          <w:sz w:val="24"/>
          <w:szCs w:val="24"/>
          <w:highlight w:val="none"/>
        </w:rPr>
        <w:t>15</w:t>
      </w:r>
      <w:r>
        <w:rPr>
          <w:rFonts w:hint="eastAsia" w:cs="宋体"/>
          <w:b/>
          <w:color w:val="auto"/>
          <w:highlight w:val="none"/>
        </w:rPr>
        <w:t xml:space="preserve">. </w:t>
      </w:r>
      <w:r>
        <w:rPr>
          <w:rFonts w:hint="eastAsia" w:hAnsi="宋体" w:cs="宋体"/>
          <w:b/>
          <w:color w:val="auto"/>
          <w:sz w:val="24"/>
          <w:szCs w:val="24"/>
          <w:highlight w:val="none"/>
        </w:rPr>
        <w:t>备份投标文件</w:t>
      </w:r>
    </w:p>
    <w:p>
      <w:pPr>
        <w:pStyle w:val="11"/>
        <w:snapToGrid w:val="0"/>
        <w:spacing w:line="348"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11"/>
        <w:snapToGrid w:val="0"/>
        <w:spacing w:line="348"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15.2备份投标文件须在“乐采云投标客户端”制作生成，并储存在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11"/>
        <w:snapToGrid w:val="0"/>
        <w:spacing w:line="34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11"/>
        <w:snapToGrid w:val="0"/>
        <w:spacing w:line="34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11"/>
        <w:snapToGrid w:val="0"/>
        <w:spacing w:line="348"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29"/>
        <w:snapToGrid w:val="0"/>
        <w:spacing w:before="0" w:line="348"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16</w:t>
      </w:r>
      <w:r>
        <w:rPr>
          <w:rFonts w:hint="eastAsia" w:cs="宋体"/>
          <w:b/>
          <w:color w:val="auto"/>
          <w:highlight w:val="none"/>
        </w:rPr>
        <w:t xml:space="preserve">. </w:t>
      </w:r>
      <w:r>
        <w:rPr>
          <w:rFonts w:hint="eastAsia" w:ascii="宋体" w:hAnsi="宋体" w:cs="宋体"/>
          <w:b/>
          <w:color w:val="auto"/>
          <w:szCs w:val="24"/>
          <w:highlight w:val="none"/>
        </w:rPr>
        <w:t>投标文件的无效处理</w:t>
      </w:r>
    </w:p>
    <w:p>
      <w:pPr>
        <w:pStyle w:val="10"/>
        <w:snapToGrid w:val="0"/>
        <w:spacing w:line="348"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29"/>
        <w:snapToGrid w:val="0"/>
        <w:spacing w:before="0" w:line="348"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17</w:t>
      </w:r>
      <w:r>
        <w:rPr>
          <w:rFonts w:hint="eastAsia" w:cs="宋体"/>
          <w:b/>
          <w:color w:val="auto"/>
          <w:highlight w:val="none"/>
        </w:rPr>
        <w:t xml:space="preserve">. </w:t>
      </w:r>
      <w:r>
        <w:rPr>
          <w:rFonts w:hint="eastAsia" w:ascii="宋体" w:hAnsi="宋体" w:cs="宋体"/>
          <w:b/>
          <w:color w:val="auto"/>
          <w:szCs w:val="24"/>
          <w:highlight w:val="none"/>
        </w:rPr>
        <w:t>投标有效期</w:t>
      </w:r>
    </w:p>
    <w:p>
      <w:pPr>
        <w:snapToGrid w:val="0"/>
        <w:spacing w:line="348"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29"/>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29"/>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29"/>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29"/>
        <w:snapToGrid w:val="0"/>
        <w:spacing w:before="0" w:line="348" w:lineRule="auto"/>
        <w:ind w:firstLine="0" w:firstLineChars="0"/>
        <w:jc w:val="center"/>
        <w:rPr>
          <w:rFonts w:ascii="宋体" w:hAnsi="宋体" w:cs="宋体"/>
          <w:b/>
          <w:color w:val="auto"/>
          <w:sz w:val="30"/>
          <w:szCs w:val="30"/>
          <w:highlight w:val="none"/>
        </w:rPr>
      </w:pPr>
      <w:r>
        <w:rPr>
          <w:rFonts w:hint="eastAsia" w:ascii="宋体" w:hAnsi="宋体" w:cs="宋体"/>
          <w:b/>
          <w:color w:val="auto"/>
          <w:sz w:val="30"/>
          <w:szCs w:val="30"/>
          <w:highlight w:val="none"/>
        </w:rPr>
        <w:t>四、开标、资格审查与信用信息查询</w:t>
      </w:r>
    </w:p>
    <w:p>
      <w:pPr>
        <w:pStyle w:val="30"/>
        <w:snapToGrid w:val="0"/>
        <w:spacing w:before="0" w:line="348"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cs="宋体"/>
          <w:b/>
          <w:color w:val="auto"/>
          <w:highlight w:val="none"/>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pPr>
        <w:pStyle w:val="30"/>
        <w:snapToGrid w:val="0"/>
        <w:spacing w:before="0" w:line="348"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30"/>
        <w:snapToGrid w:val="0"/>
        <w:spacing w:before="0" w:line="348"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30"/>
        <w:snapToGrid w:val="0"/>
        <w:spacing w:before="0" w:line="348"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napToGrid w:val="0"/>
        <w:spacing w:line="348"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cs="宋体"/>
          <w:b/>
          <w:color w:val="auto"/>
          <w:highlight w:val="none"/>
        </w:rPr>
        <w:t xml:space="preserve">. </w:t>
      </w:r>
      <w:r>
        <w:rPr>
          <w:rFonts w:hint="eastAsia" w:ascii="宋体" w:hAnsi="宋体" w:cs="宋体"/>
          <w:b/>
          <w:color w:val="auto"/>
          <w:sz w:val="24"/>
          <w:szCs w:val="20"/>
          <w:highlight w:val="none"/>
        </w:rPr>
        <w:t>资格审查</w:t>
      </w:r>
    </w:p>
    <w:p>
      <w:pPr>
        <w:pStyle w:val="29"/>
        <w:snapToGrid w:val="0"/>
        <w:spacing w:before="0" w:line="348"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19.1开标后，采购人或采购代理机构将依据法律法规和招标文件的规定，对投标人的资格进行审查。</w:t>
      </w:r>
    </w:p>
    <w:p>
      <w:pPr>
        <w:pStyle w:val="29"/>
        <w:snapToGrid w:val="0"/>
        <w:spacing w:before="0" w:line="348" w:lineRule="auto"/>
        <w:ind w:firstLine="480"/>
        <w:rPr>
          <w:rFonts w:ascii="宋体" w:hAnsi="宋体" w:cs="宋体"/>
          <w:color w:val="auto"/>
          <w:highlight w:val="none"/>
        </w:rPr>
      </w:pPr>
      <w:r>
        <w:rPr>
          <w:rFonts w:hint="eastAsia" w:ascii="宋体" w:hAnsi="宋体" w:cs="宋体"/>
          <w:color w:val="auto"/>
          <w:kern w:val="0"/>
          <w:highlight w:val="none"/>
        </w:rPr>
        <w:t>19.2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29"/>
        <w:snapToGrid w:val="0"/>
        <w:spacing w:before="0" w:line="348" w:lineRule="auto"/>
        <w:ind w:firstLine="480"/>
        <w:rPr>
          <w:rFonts w:ascii="宋体" w:hAnsi="宋体" w:cs="宋体"/>
          <w:color w:val="auto"/>
          <w:highlight w:val="none"/>
        </w:rPr>
      </w:pPr>
      <w:r>
        <w:rPr>
          <w:rFonts w:hint="eastAsia" w:ascii="宋体" w:hAnsi="宋体" w:cs="宋体"/>
          <w:color w:val="auto"/>
          <w:kern w:val="0"/>
          <w:szCs w:val="24"/>
          <w:highlight w:val="none"/>
        </w:rPr>
        <w:t>19.3</w:t>
      </w:r>
      <w:r>
        <w:rPr>
          <w:rFonts w:hint="eastAsia" w:ascii="宋体" w:hAnsi="宋体" w:cs="宋体"/>
          <w:color w:val="auto"/>
          <w:highlight w:val="none"/>
        </w:rPr>
        <w:t>对未通过资格审查的投标人，采购人或采购代理机构告知其未通过的原因。</w:t>
      </w:r>
    </w:p>
    <w:p>
      <w:pPr>
        <w:pStyle w:val="29"/>
        <w:snapToGrid w:val="0"/>
        <w:spacing w:before="0" w:line="348" w:lineRule="auto"/>
        <w:ind w:firstLine="480"/>
        <w:rPr>
          <w:rFonts w:ascii="宋体" w:hAnsi="宋体" w:cs="宋体"/>
          <w:color w:val="auto"/>
          <w:highlight w:val="none"/>
        </w:rPr>
      </w:pPr>
      <w:r>
        <w:rPr>
          <w:rFonts w:hint="eastAsia" w:ascii="宋体" w:hAnsi="宋体" w:cs="宋体"/>
          <w:color w:val="auto"/>
          <w:kern w:val="0"/>
          <w:szCs w:val="24"/>
          <w:highlight w:val="none"/>
        </w:rPr>
        <w:t>19.4</w:t>
      </w:r>
      <w:r>
        <w:rPr>
          <w:rFonts w:hint="eastAsia" w:ascii="宋体" w:hAnsi="宋体" w:cs="宋体"/>
          <w:color w:val="auto"/>
          <w:highlight w:val="none"/>
        </w:rPr>
        <w:t>合格投标人不足3家的，不再评标。</w:t>
      </w:r>
    </w:p>
    <w:p>
      <w:pPr>
        <w:pStyle w:val="29"/>
        <w:snapToGrid w:val="0"/>
        <w:spacing w:before="0" w:line="348"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cs="宋体"/>
          <w:b/>
          <w:color w:val="auto"/>
          <w:highlight w:val="none"/>
        </w:rPr>
        <w:t xml:space="preserve">. </w:t>
      </w:r>
      <w:r>
        <w:rPr>
          <w:rFonts w:hint="eastAsia" w:ascii="宋体" w:hAnsi="宋体" w:cs="宋体"/>
          <w:b/>
          <w:color w:val="auto"/>
          <w:szCs w:val="24"/>
          <w:highlight w:val="none"/>
        </w:rPr>
        <w:t>信用信息查询</w:t>
      </w:r>
    </w:p>
    <w:p>
      <w:pPr>
        <w:pStyle w:val="29"/>
        <w:snapToGrid w:val="0"/>
        <w:spacing w:before="0" w:line="348" w:lineRule="auto"/>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29"/>
        <w:snapToGrid w:val="0"/>
        <w:spacing w:before="0" w:line="348" w:lineRule="auto"/>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29"/>
        <w:snapToGrid w:val="0"/>
        <w:spacing w:before="0" w:line="348" w:lineRule="auto"/>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20.3信用信息的使用规则：经查询列入失信被执行人名单、重大税收违法失信主体、政府采购严重违法失信行为记录名单的投标人将被拒绝参与采购活动。</w:t>
      </w:r>
    </w:p>
    <w:p>
      <w:pPr>
        <w:pStyle w:val="29"/>
        <w:snapToGrid w:val="0"/>
        <w:spacing w:before="0" w:line="348" w:lineRule="auto"/>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投标人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snapToGrid w:val="0"/>
        <w:spacing w:line="348" w:lineRule="auto"/>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五、评标</w:t>
      </w:r>
    </w:p>
    <w:p>
      <w:pPr>
        <w:snapToGrid w:val="0"/>
        <w:spacing w:line="348"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b/>
          <w:color w:val="auto"/>
          <w:highlight w:val="none"/>
        </w:rPr>
        <w:t>.</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napToGrid w:val="0"/>
        <w:spacing w:line="348" w:lineRule="auto"/>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六、定标</w:t>
      </w:r>
    </w:p>
    <w:p>
      <w:pPr>
        <w:pStyle w:val="10"/>
        <w:snapToGrid w:val="0"/>
        <w:spacing w:line="348" w:lineRule="auto"/>
        <w:ind w:left="479" w:hanging="479" w:hangingChars="199"/>
        <w:rPr>
          <w:rFonts w:cs="宋体"/>
          <w:b/>
          <w:color w:val="auto"/>
          <w:highlight w:val="none"/>
        </w:rPr>
      </w:pPr>
      <w:r>
        <w:rPr>
          <w:rFonts w:hint="eastAsia" w:cs="宋体"/>
          <w:b/>
          <w:color w:val="auto"/>
          <w:highlight w:val="none"/>
        </w:rPr>
        <w:t>22. 确定中标供应商</w:t>
      </w:r>
    </w:p>
    <w:p>
      <w:pPr>
        <w:pStyle w:val="29"/>
        <w:snapToGrid w:val="0"/>
        <w:spacing w:before="0" w:line="348" w:lineRule="auto"/>
        <w:ind w:firstLine="480"/>
        <w:rPr>
          <w:rFonts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pPr>
        <w:pStyle w:val="29"/>
        <w:snapToGrid w:val="0"/>
        <w:spacing w:before="0" w:line="348"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napToGrid w:val="0"/>
        <w:spacing w:line="348"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23.1自中标供应商确定之日起2个工作日内，采购代理机构通过电子交易平台向中标供应商发出中标通知书，同时编制发布采购结果公告。采购代理机构也可以以纸质形式进行中标通知。</w:t>
      </w:r>
    </w:p>
    <w:p>
      <w:pPr>
        <w:widowControl/>
        <w:shd w:val="clear" w:color="auto" w:fill="FFFFFF"/>
        <w:snapToGrid w:val="0"/>
        <w:spacing w:line="348"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供应商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pPr>
        <w:widowControl/>
        <w:shd w:val="clear" w:color="auto" w:fill="FFFFFF"/>
        <w:snapToGrid w:val="0"/>
        <w:spacing w:line="348"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widowControl/>
        <w:shd w:val="clear" w:color="auto" w:fill="FFFFFF"/>
        <w:snapToGrid w:val="0"/>
        <w:spacing w:line="348" w:lineRule="auto"/>
        <w:ind w:firstLine="480"/>
        <w:jc w:val="left"/>
        <w:rPr>
          <w:rFonts w:ascii="宋体" w:hAnsi="宋体" w:cs="宋体"/>
          <w:b/>
          <w:color w:val="auto"/>
          <w:sz w:val="32"/>
          <w:highlight w:val="none"/>
        </w:rPr>
      </w:pPr>
      <w:r>
        <w:rPr>
          <w:rFonts w:hint="eastAsia" w:ascii="宋体" w:hAnsi="宋体" w:cs="宋体"/>
          <w:color w:val="auto"/>
          <w:sz w:val="24"/>
          <w:highlight w:val="none"/>
        </w:rPr>
        <w:t>23.4 由于中标、成交供应商原因导致重新采购的，应当承担支付代理费和专家评审费等费用在内的赔偿责任。</w:t>
      </w:r>
    </w:p>
    <w:p>
      <w:pPr>
        <w:snapToGrid w:val="0"/>
        <w:spacing w:line="348" w:lineRule="auto"/>
        <w:ind w:left="120" w:leftChars="57" w:firstLine="452" w:firstLineChars="150"/>
        <w:jc w:val="center"/>
        <w:rPr>
          <w:rFonts w:ascii="宋体" w:hAnsi="宋体" w:cs="宋体"/>
          <w:b/>
          <w:color w:val="auto"/>
          <w:sz w:val="30"/>
          <w:szCs w:val="30"/>
          <w:highlight w:val="none"/>
        </w:rPr>
      </w:pPr>
      <w:r>
        <w:rPr>
          <w:rFonts w:hint="eastAsia" w:ascii="宋体" w:hAnsi="宋体" w:cs="宋体"/>
          <w:b/>
          <w:color w:val="auto"/>
          <w:sz w:val="30"/>
          <w:szCs w:val="30"/>
          <w:highlight w:val="none"/>
        </w:rPr>
        <w:t>七、合同授予</w:t>
      </w:r>
    </w:p>
    <w:p>
      <w:pPr>
        <w:pStyle w:val="10"/>
        <w:snapToGrid w:val="0"/>
        <w:spacing w:line="348"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10"/>
        <w:snapToGrid w:val="0"/>
        <w:spacing w:line="348"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napToGrid w:val="0"/>
        <w:spacing w:line="348"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供应商应当通过电子交易平台在中标通知书发出之日起三十日内，按照招标文件确定的事项签订采购合同。鼓励有条件的采购人视情缩减采购合同签订时限（10个工作日），提高采购效率，杜绝“冷、硬、横、推”等不当行为。</w:t>
      </w:r>
    </w:p>
    <w:p>
      <w:pPr>
        <w:pStyle w:val="29"/>
        <w:snapToGrid w:val="0"/>
        <w:spacing w:before="0" w:line="348" w:lineRule="auto"/>
        <w:ind w:firstLine="480"/>
        <w:rPr>
          <w:rFonts w:ascii="宋体" w:hAnsi="宋体" w:cs="宋体"/>
          <w:color w:val="auto"/>
          <w:kern w:val="0"/>
          <w:highlight w:val="none"/>
        </w:rPr>
      </w:pPr>
      <w:r>
        <w:rPr>
          <w:rFonts w:hint="eastAsia" w:ascii="宋体" w:hAnsi="宋体" w:cs="宋体"/>
          <w:color w:val="auto"/>
          <w:kern w:val="0"/>
          <w:highlight w:val="none"/>
          <w:lang w:val="zh-CN"/>
        </w:rPr>
        <w:t>25.2中标供应商按规定的日期、时间、地点，由法定代表人或其授权代表与采购人代表签订合同。如中标供应商为联合体的，由联合体成员各方法定代表人或其授权代表与采购人代表签订合同。</w:t>
      </w:r>
    </w:p>
    <w:p>
      <w:pPr>
        <w:pStyle w:val="29"/>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25.3如签订合同并生效后，中标供应商无故拒绝或延期，除按照合同条款处理外，列入不良行为记录一次，并给予通报。</w:t>
      </w:r>
    </w:p>
    <w:p>
      <w:pPr>
        <w:pStyle w:val="29"/>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25.4中标供应商拒绝与采购人签订合同的，采购人可以按照评审报告推荐的中标或者成交候选人名单排序，确定下一候选人为中标供应商，也可以重新开展采购活动。</w:t>
      </w:r>
    </w:p>
    <w:p>
      <w:pPr>
        <w:pStyle w:val="10"/>
        <w:snapToGrid w:val="0"/>
        <w:spacing w:line="348"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napToGrid w:val="0"/>
        <w:spacing w:line="348"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拟签订的合同文本要求中标供应商提交履约保证金的，中标供应商应当以支票、汇票、本票或者金融机构、担保机构出具的保函等非现金形式提交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%。鼓励和支持中标供应商以银行、保险公司出具的保函形式提供履约保证金。采购人不得拒收履约保函，项目验收结束后应及时退还，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3"/>
        <w:snapToGrid w:val="0"/>
        <w:spacing w:line="348" w:lineRule="auto"/>
        <w:rPr>
          <w:color w:val="auto"/>
          <w:highlight w:val="none"/>
        </w:rPr>
      </w:pPr>
      <w:r>
        <w:rPr>
          <w:rFonts w:ascii="宋体" w:hAnsi="宋体" w:eastAsia="宋体"/>
          <w:color w:val="auto"/>
          <w:sz w:val="24"/>
          <w:highlight w:val="none"/>
          <w:lang w:val="en-US"/>
        </w:rPr>
        <w:t>27.预付款</w:t>
      </w:r>
    </w:p>
    <w:p>
      <w:pPr>
        <w:adjustRightInd/>
        <w:snapToGrid w:val="0"/>
        <w:spacing w:line="348" w:lineRule="auto"/>
        <w:ind w:firstLine="480" w:firstLineChars="200"/>
        <w:rPr>
          <w:color w:val="auto"/>
          <w:highlight w:val="none"/>
        </w:rPr>
      </w:pPr>
      <w:r>
        <w:rPr>
          <w:rFonts w:hint="eastAsia" w:ascii="宋体" w:hAnsi="宋体"/>
          <w:color w:val="auto"/>
          <w:sz w:val="24"/>
          <w:highlight w:val="none"/>
        </w:rPr>
        <w:t>采购单位应当在采购合同中约定预付款，对中小企业合同预付款比例原则上不低于合同金额的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w:t>
      </w:r>
    </w:p>
    <w:p>
      <w:pPr>
        <w:snapToGrid w:val="0"/>
        <w:spacing w:line="348" w:lineRule="auto"/>
        <w:ind w:firstLine="3147" w:firstLineChars="1045"/>
        <w:rPr>
          <w:rFonts w:ascii="宋体" w:hAnsi="宋体" w:cs="宋体"/>
          <w:b/>
          <w:color w:val="auto"/>
          <w:sz w:val="30"/>
          <w:szCs w:val="30"/>
          <w:highlight w:val="none"/>
        </w:rPr>
      </w:pPr>
      <w:r>
        <w:rPr>
          <w:rFonts w:hint="eastAsia" w:ascii="宋体" w:hAnsi="宋体" w:cs="宋体"/>
          <w:b/>
          <w:color w:val="auto"/>
          <w:sz w:val="30"/>
          <w:szCs w:val="30"/>
          <w:highlight w:val="none"/>
        </w:rPr>
        <w:t>八、电子交易活动的中止</w:t>
      </w:r>
    </w:p>
    <w:p>
      <w:pPr>
        <w:pStyle w:val="29"/>
        <w:snapToGrid w:val="0"/>
        <w:spacing w:before="0" w:line="348" w:lineRule="auto"/>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29"/>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29"/>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29"/>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29"/>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29"/>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29"/>
        <w:snapToGrid w:val="0"/>
        <w:spacing w:before="0" w:line="348" w:lineRule="auto"/>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48" w:lineRule="auto"/>
        <w:ind w:left="120" w:leftChars="57" w:firstLine="452" w:firstLineChars="150"/>
        <w:jc w:val="center"/>
        <w:rPr>
          <w:rFonts w:ascii="宋体" w:hAnsi="宋体" w:cs="宋体"/>
          <w:b/>
          <w:color w:val="auto"/>
          <w:sz w:val="30"/>
          <w:szCs w:val="30"/>
          <w:highlight w:val="none"/>
        </w:rPr>
      </w:pPr>
      <w:r>
        <w:rPr>
          <w:rFonts w:hint="eastAsia" w:ascii="宋体" w:hAnsi="宋体" w:cs="宋体"/>
          <w:b/>
          <w:color w:val="auto"/>
          <w:sz w:val="30"/>
          <w:szCs w:val="30"/>
          <w:highlight w:val="none"/>
        </w:rPr>
        <w:t>九、验收</w:t>
      </w:r>
    </w:p>
    <w:p>
      <w:pPr>
        <w:pStyle w:val="10"/>
        <w:snapToGrid w:val="0"/>
        <w:spacing w:line="348" w:lineRule="auto"/>
        <w:ind w:firstLine="0" w:firstLineChars="0"/>
        <w:rPr>
          <w:rFonts w:cs="宋体"/>
          <w:b/>
          <w:color w:val="auto"/>
          <w:highlight w:val="none"/>
        </w:rPr>
      </w:pPr>
      <w:r>
        <w:rPr>
          <w:rFonts w:hint="eastAsia" w:cs="宋体"/>
          <w:b/>
          <w:color w:val="auto"/>
          <w:highlight w:val="none"/>
        </w:rPr>
        <w:t>30.验收</w:t>
      </w:r>
    </w:p>
    <w:p>
      <w:pPr>
        <w:tabs>
          <w:tab w:val="left" w:pos="0"/>
        </w:tabs>
        <w:snapToGrid w:val="0"/>
        <w:spacing w:line="348"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48"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napToGrid w:val="0"/>
        <w:spacing w:line="348"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napToGrid w:val="0"/>
        <w:spacing w:line="348"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cols w:space="0" w:num="1"/>
          <w:titlePg/>
          <w:docGrid w:linePitch="312" w:charSpace="0"/>
        </w:sect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4"/>
    </w:p>
    <w:bookmarkEnd w:id="11"/>
    <w:bookmarkEnd w:id="12"/>
    <w:p>
      <w:pPr>
        <w:spacing w:line="360" w:lineRule="auto"/>
        <w:jc w:val="center"/>
        <w:outlineLvl w:val="0"/>
        <w:rPr>
          <w:rFonts w:ascii="宋体" w:hAnsi="宋体" w:cs="宋体"/>
          <w:b/>
          <w:color w:val="auto"/>
          <w:sz w:val="36"/>
          <w:szCs w:val="36"/>
          <w:highlight w:val="none"/>
        </w:rPr>
      </w:pPr>
      <w:bookmarkStart w:id="16" w:name="第四部分"/>
      <w:r>
        <w:rPr>
          <w:rFonts w:hint="eastAsia" w:ascii="宋体" w:hAnsi="宋体" w:cs="宋体"/>
          <w:b/>
          <w:color w:val="auto"/>
          <w:sz w:val="36"/>
          <w:szCs w:val="36"/>
          <w:highlight w:val="none"/>
        </w:rPr>
        <w:t>第三部分   采购需求</w:t>
      </w:r>
    </w:p>
    <w:p>
      <w:pPr>
        <w:tabs>
          <w:tab w:val="left" w:pos="0"/>
        </w:tabs>
        <w:spacing w:line="360" w:lineRule="auto"/>
        <w:rPr>
          <w:rFonts w:ascii="宋体" w:hAnsi="宋体" w:cs="宋体"/>
          <w:b/>
          <w:color w:val="auto"/>
          <w:sz w:val="24"/>
          <w:highlight w:val="none"/>
        </w:rPr>
      </w:pPr>
      <w:r>
        <w:rPr>
          <w:rFonts w:hint="eastAsia" w:ascii="宋体" w:hAnsi="宋体" w:cs="宋体"/>
          <w:b/>
          <w:color w:val="auto"/>
          <w:sz w:val="24"/>
          <w:highlight w:val="none"/>
        </w:rPr>
        <w:t>一、项目概况</w:t>
      </w:r>
    </w:p>
    <w:p>
      <w:pPr>
        <w:spacing w:line="360" w:lineRule="auto"/>
        <w:ind w:firstLine="480" w:firstLineChars="200"/>
        <w:rPr>
          <w:color w:val="auto"/>
          <w:highlight w:val="none"/>
        </w:rPr>
      </w:pPr>
      <w:r>
        <w:rPr>
          <w:rFonts w:hint="eastAsia" w:ascii="宋体" w:hAnsi="宋体" w:eastAsia="宋体" w:cs="宋体"/>
          <w:color w:val="auto"/>
          <w:sz w:val="24"/>
          <w:szCs w:val="24"/>
          <w:highlight w:val="none"/>
        </w:rPr>
        <w:t>本项目为杭州第十一中学德胜教学楼多联机制冷设备改造，项目位于杭州市拱墅区德苑路97号。原先设备已经使用12年，效果不好，满足不了学生对空调冷暖的需求，且原先设备使用时间久远，能耗高，不方便集中管理等。本次改造的教室区域，本着响应“绿色校园”建设号召，改善教室学习环境，提升师生满意度，降低运维成本，方便集中管理。打造安全可靠、舒适、节能、静音的适合学生学习的环境。</w:t>
      </w:r>
    </w:p>
    <w:p>
      <w:pPr>
        <w:widowControl/>
        <w:numPr>
          <w:ilvl w:val="0"/>
          <w:numId w:val="5"/>
        </w:num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招标需求</w:t>
      </w:r>
    </w:p>
    <w:tbl>
      <w:tblPr>
        <w:tblStyle w:val="19"/>
        <w:tblW w:w="8966" w:type="dxa"/>
        <w:tblInd w:w="0" w:type="dxa"/>
        <w:tblLayout w:type="fixed"/>
        <w:tblCellMar>
          <w:top w:w="0" w:type="dxa"/>
          <w:left w:w="108" w:type="dxa"/>
          <w:bottom w:w="0" w:type="dxa"/>
          <w:right w:w="108" w:type="dxa"/>
        </w:tblCellMar>
      </w:tblPr>
      <w:tblGrid>
        <w:gridCol w:w="687"/>
        <w:gridCol w:w="1599"/>
        <w:gridCol w:w="1243"/>
        <w:gridCol w:w="4406"/>
        <w:gridCol w:w="1031"/>
      </w:tblGrid>
      <w:tr>
        <w:tblPrEx>
          <w:tblCellMar>
            <w:top w:w="0" w:type="dxa"/>
            <w:left w:w="108" w:type="dxa"/>
            <w:bottom w:w="0" w:type="dxa"/>
            <w:right w:w="108" w:type="dxa"/>
          </w:tblCellMar>
        </w:tblPrEx>
        <w:trPr>
          <w:trHeight w:val="462" w:hRule="atLeast"/>
        </w:trPr>
        <w:tc>
          <w:tcPr>
            <w:tcW w:w="68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599"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243"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数量（台）</w:t>
            </w:r>
          </w:p>
        </w:tc>
        <w:tc>
          <w:tcPr>
            <w:tcW w:w="4406"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主要技术规格</w:t>
            </w:r>
          </w:p>
        </w:tc>
        <w:tc>
          <w:tcPr>
            <w:tcW w:w="1031"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tblCellMar>
            <w:top w:w="0" w:type="dxa"/>
            <w:left w:w="108" w:type="dxa"/>
            <w:bottom w:w="0" w:type="dxa"/>
            <w:right w:w="108" w:type="dxa"/>
          </w:tblCellMar>
        </w:tblPrEx>
        <w:trPr>
          <w:trHeight w:val="2555" w:hRule="atLeast"/>
        </w:trPr>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9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多联式室外机</w:t>
            </w:r>
          </w:p>
        </w:tc>
        <w:tc>
          <w:tcPr>
            <w:tcW w:w="1243" w:type="dxa"/>
            <w:tcBorders>
              <w:top w:val="single" w:color="auto" w:sz="4" w:space="0"/>
              <w:left w:val="nil"/>
              <w:bottom w:val="single" w:color="auto" w:sz="4" w:space="0"/>
              <w:right w:val="single" w:color="auto" w:sz="4" w:space="0"/>
            </w:tcBorders>
            <w:vAlign w:val="center"/>
          </w:tcPr>
          <w:p>
            <w:pPr>
              <w:widowControl/>
              <w:spacing w:before="120" w:beforeLines="50" w:after="120" w:afterLine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4406" w:type="dxa"/>
            <w:tcBorders>
              <w:top w:val="single" w:color="auto" w:sz="4" w:space="0"/>
              <w:left w:val="nil"/>
              <w:bottom w:val="single" w:color="auto" w:sz="4" w:space="0"/>
              <w:right w:val="single" w:color="auto" w:sz="4" w:space="0"/>
            </w:tcBorders>
          </w:tcPr>
          <w:p>
            <w:pPr>
              <w:widowControl/>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1、▲能效等级：≥变频1级；</w:t>
            </w:r>
          </w:p>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2、◆制冷量（W）：≥15000W</w:t>
            </w:r>
          </w:p>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3、◆制冷功率：≤4800W</w:t>
            </w:r>
          </w:p>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4、◆制热量（W）：≥17000W</w:t>
            </w:r>
          </w:p>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5、◆制热功率：≤4600W</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6、◆环保冷媒：R410A</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7、◆噪音dB(A):≤57</w:t>
            </w:r>
          </w:p>
          <w:p>
            <w:pPr>
              <w:widowControl/>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8、▲电源（V）：380V；</w:t>
            </w:r>
          </w:p>
        </w:tc>
        <w:tc>
          <w:tcPr>
            <w:tcW w:w="103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465" w:hRule="atLeast"/>
        </w:trPr>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9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环形嵌入式室内机</w:t>
            </w:r>
          </w:p>
        </w:tc>
        <w:tc>
          <w:tcPr>
            <w:tcW w:w="1243" w:type="dxa"/>
            <w:tcBorders>
              <w:top w:val="single" w:color="auto" w:sz="4" w:space="0"/>
              <w:left w:val="nil"/>
              <w:bottom w:val="single" w:color="auto" w:sz="4" w:space="0"/>
              <w:right w:val="single" w:color="auto" w:sz="4" w:space="0"/>
            </w:tcBorders>
            <w:vAlign w:val="center"/>
          </w:tcPr>
          <w:p>
            <w:pPr>
              <w:widowControl/>
              <w:spacing w:before="120" w:beforeLines="50" w:after="120" w:afterLine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4406"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1、◆制冷量（W）：≥7500W</w:t>
            </w:r>
          </w:p>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2、◆制热量（W）：≥8500W</w:t>
            </w:r>
          </w:p>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3、◆额定功率：≤50W</w:t>
            </w:r>
          </w:p>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4、◆循环风量：≥1000m³/h</w:t>
            </w:r>
          </w:p>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5、◆噪音dB(A):≤46</w:t>
            </w:r>
          </w:p>
          <w:p>
            <w:pPr>
              <w:widowControl/>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6、▲电源（V）：220V；</w:t>
            </w: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7、▲标配冷凝水提升泵</w:t>
            </w:r>
          </w:p>
          <w:p>
            <w:pPr>
              <w:pStyle w:val="18"/>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8、▲控制方式：遥控器 </w:t>
            </w:r>
          </w:p>
        </w:tc>
        <w:tc>
          <w:tcPr>
            <w:tcW w:w="103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1536" w:hRule="atLeast"/>
        </w:trPr>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9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1243" w:type="dxa"/>
            <w:tcBorders>
              <w:top w:val="single" w:color="auto" w:sz="4" w:space="0"/>
              <w:left w:val="nil"/>
              <w:bottom w:val="single" w:color="auto" w:sz="4" w:space="0"/>
              <w:right w:val="single" w:color="auto" w:sz="4" w:space="0"/>
            </w:tcBorders>
            <w:vAlign w:val="center"/>
          </w:tcPr>
          <w:p>
            <w:pPr>
              <w:widowControl/>
              <w:spacing w:before="120" w:beforeLines="50" w:after="120" w:afterLine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406" w:type="dxa"/>
            <w:tcBorders>
              <w:top w:val="single" w:color="auto" w:sz="4" w:space="0"/>
              <w:left w:val="nil"/>
              <w:bottom w:val="single" w:color="auto" w:sz="4" w:space="0"/>
              <w:right w:val="single" w:color="auto" w:sz="4" w:space="0"/>
            </w:tcBorders>
            <w:vAlign w:val="center"/>
          </w:tcPr>
          <w:p>
            <w:pPr>
              <w:pStyle w:val="18"/>
              <w:spacing w:after="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1、包含旧设备拆除及搬运至指点地点。</w:t>
            </w:r>
          </w:p>
          <w:p>
            <w:pPr>
              <w:pStyle w:val="18"/>
              <w:spacing w:after="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2、新设备安装：包括铜管、保温、水管、吊杆、抱箍、扎带、隔震垫、信号线、机械开孔及封堵、脚手架搭拆、</w:t>
            </w:r>
            <w:r>
              <w:rPr>
                <w:rFonts w:hint="eastAsia" w:ascii="宋体" w:hAnsi="宋体" w:eastAsia="宋体" w:cs="宋体"/>
                <w:color w:val="auto"/>
                <w:sz w:val="24"/>
                <w:szCs w:val="24"/>
                <w:highlight w:val="none"/>
                <w:lang w:val="en-US" w:eastAsia="zh-CN"/>
              </w:rPr>
              <w:t>空调</w:t>
            </w:r>
            <w:r>
              <w:rPr>
                <w:rFonts w:hint="eastAsia" w:ascii="宋体" w:hAnsi="宋体" w:eastAsia="宋体" w:cs="宋体"/>
                <w:color w:val="auto"/>
                <w:sz w:val="24"/>
                <w:szCs w:val="24"/>
                <w:highlight w:val="none"/>
              </w:rPr>
              <w:t>系统调试、成品保护材料费、主材费、技术措施费、组织措施费、管理利润费、规费、税金等所需一切费用。（即提供的机组安装就位后，只需通电，便可进行调试和正式运转和使用）。</w:t>
            </w:r>
          </w:p>
          <w:p>
            <w:pPr>
              <w:pStyle w:val="18"/>
              <w:spacing w:after="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3、现场原吊顶的拆除及修复、墙面开孔后封堵修复、防火封堵等及所有复原工作。</w:t>
            </w:r>
          </w:p>
          <w:p>
            <w:pPr>
              <w:pStyle w:val="18"/>
              <w:spacing w:after="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4、室外机吊装及美化。</w:t>
            </w:r>
          </w:p>
        </w:tc>
        <w:tc>
          <w:tcPr>
            <w:tcW w:w="103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kern w:val="0"/>
                <w:sz w:val="24"/>
                <w:szCs w:val="24"/>
                <w:highlight w:val="none"/>
              </w:rPr>
            </w:pPr>
          </w:p>
        </w:tc>
      </w:tr>
    </w:tbl>
    <w:p>
      <w:pPr>
        <w:tabs>
          <w:tab w:val="left" w:pos="0"/>
        </w:tabs>
        <w:spacing w:line="360" w:lineRule="auto"/>
        <w:ind w:firstLine="420"/>
        <w:rPr>
          <w:color w:val="auto"/>
          <w:highlight w:val="none"/>
        </w:rPr>
      </w:pPr>
      <w:r>
        <w:rPr>
          <w:rFonts w:hint="eastAsia" w:ascii="宋体" w:hAnsi="宋体" w:cs="宋体"/>
          <w:color w:val="auto"/>
          <w:sz w:val="24"/>
          <w:highlight w:val="none"/>
        </w:rPr>
        <w:t>本项目为“交钥匙”项目，具体包含所有货物的制造、供货、运输、安装调试（含配套施工、辅材辅料）、验收配合、技术培训、售后服务、拆旧机器、拆修复吊顶、电源线及电源线施工等全部内容。如果采购需求中缺少了系统建设必须的设备、材料或其他工作内容，但在实际采购和安装过程中需要配置的各种设备、材料，投标人应在投标时自行完成补齐，并在投标文件中详细说明增加内容及增加理由，由此产生的费用包含在投标报价内。</w:t>
      </w:r>
      <w:r>
        <w:rPr>
          <w:rFonts w:hint="eastAsia" w:ascii="宋体" w:hAnsi="宋体" w:cs="宋体"/>
          <w:b/>
          <w:bCs/>
          <w:color w:val="auto"/>
          <w:sz w:val="24"/>
          <w:highlight w:val="none"/>
        </w:rPr>
        <w:t>所有系统集成所需的各种配置件、辅材辅料等均计入设备单价中，不另列。</w:t>
      </w:r>
    </w:p>
    <w:p>
      <w:pPr>
        <w:pStyle w:val="8"/>
        <w:numPr>
          <w:ilvl w:val="0"/>
          <w:numId w:val="5"/>
        </w:numPr>
        <w:ind w:firstLine="0"/>
        <w:rPr>
          <w:rFonts w:hAnsi="宋体" w:cs="宋体"/>
          <w:b/>
          <w:bCs/>
          <w:color w:val="auto"/>
          <w:szCs w:val="24"/>
          <w:highlight w:val="none"/>
        </w:rPr>
      </w:pPr>
      <w:r>
        <w:rPr>
          <w:rFonts w:hint="eastAsia" w:hAnsi="宋体" w:cs="宋体"/>
          <w:b/>
          <w:bCs/>
          <w:color w:val="auto"/>
          <w:szCs w:val="24"/>
          <w:highlight w:val="none"/>
          <w:lang w:val="en-US"/>
        </w:rPr>
        <w:t>其他项目要求</w:t>
      </w:r>
    </w:p>
    <w:p>
      <w:pPr>
        <w:snapToGrid w:val="0"/>
        <w:spacing w:line="360" w:lineRule="auto"/>
        <w:ind w:firstLine="422" w:firstLineChars="175"/>
        <w:rPr>
          <w:rFonts w:ascii="宋体" w:hAnsi="宋体" w:cs="宋体"/>
          <w:b/>
          <w:bCs/>
          <w:color w:val="auto"/>
          <w:sz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本项目所有</w:t>
      </w:r>
      <w:r>
        <w:rPr>
          <w:rFonts w:hint="eastAsia" w:ascii="宋体" w:hAnsi="宋体" w:cs="宋体"/>
          <w:b/>
          <w:bCs/>
          <w:color w:val="auto"/>
          <w:sz w:val="24"/>
          <w:highlight w:val="none"/>
          <w:lang w:val="en-US" w:eastAsia="zh-CN"/>
        </w:rPr>
        <w:t>空调</w:t>
      </w:r>
      <w:r>
        <w:rPr>
          <w:rFonts w:hint="eastAsia" w:ascii="宋体" w:hAnsi="宋体" w:cs="宋体"/>
          <w:b/>
          <w:bCs/>
          <w:color w:val="auto"/>
          <w:sz w:val="24"/>
          <w:highlight w:val="none"/>
        </w:rPr>
        <w:t>均需与集控系统兼容，纳入校方统一管理</w:t>
      </w:r>
      <w:r>
        <w:rPr>
          <w:rFonts w:ascii="宋体" w:hAnsi="宋体" w:cs="宋体"/>
          <w:b/>
          <w:bCs/>
          <w:color w:val="auto"/>
          <w:sz w:val="24"/>
          <w:highlight w:val="none"/>
        </w:rPr>
        <w:t>。</w:t>
      </w:r>
      <w:r>
        <w:rPr>
          <w:rFonts w:hint="eastAsia" w:ascii="宋体" w:hAnsi="宋体" w:cs="宋体"/>
          <w:b/>
          <w:bCs/>
          <w:color w:val="auto"/>
          <w:sz w:val="24"/>
          <w:highlight w:val="none"/>
        </w:rPr>
        <w:t>空调室内机及室外机均采用无刷直流电机。</w:t>
      </w:r>
    </w:p>
    <w:p>
      <w:pPr>
        <w:snapToGrid w:val="0"/>
        <w:spacing w:line="360" w:lineRule="auto"/>
        <w:ind w:firstLine="422" w:firstLineChars="175"/>
        <w:rPr>
          <w:rFonts w:ascii="宋体" w:hAnsi="宋体" w:cs="宋体"/>
          <w:b/>
          <w:bCs/>
          <w:color w:val="auto"/>
          <w:sz w:val="24"/>
          <w:highlight w:val="none"/>
        </w:rPr>
      </w:pPr>
      <w:r>
        <w:rPr>
          <w:rFonts w:hint="eastAsia" w:ascii="宋体" w:hAnsi="宋体" w:cs="宋体"/>
          <w:b/>
          <w:bCs/>
          <w:color w:val="auto"/>
          <w:sz w:val="24"/>
          <w:highlight w:val="none"/>
        </w:rPr>
        <w:t>2、室外机技术要求：</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2.1 室外机采用直流变频压缩机。</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2.2 冷媒采用环保冷媒。</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w:t>
      </w:r>
      <w:r>
        <w:rPr>
          <w:rFonts w:hAnsi="宋体" w:cs="宋体"/>
          <w:color w:val="auto"/>
          <w:sz w:val="24"/>
          <w:szCs w:val="24"/>
          <w:highlight w:val="none"/>
        </w:rPr>
        <w:t>3</w:t>
      </w:r>
      <w:r>
        <w:rPr>
          <w:rFonts w:hint="eastAsia" w:hAnsi="宋体" w:cs="宋体"/>
          <w:color w:val="auto"/>
          <w:sz w:val="24"/>
          <w:szCs w:val="24"/>
          <w:highlight w:val="none"/>
        </w:rPr>
        <w:t xml:space="preserve"> 室外机具有回油技术。</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w:t>
      </w:r>
      <w:r>
        <w:rPr>
          <w:rFonts w:hAnsi="宋体" w:cs="宋体"/>
          <w:color w:val="auto"/>
          <w:sz w:val="24"/>
          <w:szCs w:val="24"/>
          <w:highlight w:val="none"/>
        </w:rPr>
        <w:t>4</w:t>
      </w:r>
      <w:r>
        <w:rPr>
          <w:rFonts w:hint="eastAsia" w:hAnsi="宋体" w:cs="宋体"/>
          <w:color w:val="auto"/>
          <w:sz w:val="24"/>
          <w:szCs w:val="24"/>
          <w:highlight w:val="none"/>
        </w:rPr>
        <w:t xml:space="preserve"> 室外机具有过冷技术。</w:t>
      </w:r>
    </w:p>
    <w:p>
      <w:pPr>
        <w:pStyle w:val="11"/>
        <w:spacing w:line="360" w:lineRule="auto"/>
        <w:ind w:firstLine="422" w:firstLineChars="175"/>
        <w:rPr>
          <w:rFonts w:hAnsi="宋体" w:cs="宋体"/>
          <w:b/>
          <w:bCs/>
          <w:color w:val="auto"/>
          <w:sz w:val="24"/>
          <w:szCs w:val="24"/>
          <w:highlight w:val="none"/>
        </w:rPr>
      </w:pPr>
      <w:r>
        <w:rPr>
          <w:rFonts w:hint="eastAsia" w:hAnsi="宋体" w:cs="宋体"/>
          <w:b/>
          <w:bCs/>
          <w:color w:val="auto"/>
          <w:sz w:val="24"/>
          <w:szCs w:val="24"/>
          <w:highlight w:val="none"/>
        </w:rPr>
        <w:t>3、室内机技术要求</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3.1 室内机具有七档及以上送风调节模式。</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3.2 机组需有良好的隔热措施，室内机组表面及管路不得有露水外滴。隔热材料应具有无毒、无腐蚀、无异味、不起尘、不吸湿的性能，并符合建筑防火规范的要求。</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3.3 具有温度传感器。</w:t>
      </w:r>
    </w:p>
    <w:p>
      <w:pPr>
        <w:pStyle w:val="11"/>
        <w:spacing w:line="360" w:lineRule="auto"/>
        <w:ind w:firstLine="422" w:firstLineChars="175"/>
        <w:rPr>
          <w:rFonts w:hAnsi="宋体" w:cs="宋体"/>
          <w:b/>
          <w:bCs/>
          <w:color w:val="auto"/>
          <w:sz w:val="24"/>
          <w:szCs w:val="24"/>
          <w:highlight w:val="none"/>
        </w:rPr>
      </w:pPr>
      <w:r>
        <w:rPr>
          <w:rFonts w:hint="eastAsia" w:hAnsi="宋体" w:cs="宋体"/>
          <w:b/>
          <w:bCs/>
          <w:color w:val="auto"/>
          <w:sz w:val="24"/>
          <w:szCs w:val="24"/>
          <w:highlight w:val="none"/>
        </w:rPr>
        <w:t>4、系统其他部件</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4.1 蒸发器、冷凝器盘管采用铜管，翅片应排列整齐、片距均匀，无裂纹、毛刺。不允许有碰撞损坏。</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4.2 冷凝器、蒸发器及其他在压力下工作的部件，在工作压力下应能长期正常运行、无渗漏。</w:t>
      </w:r>
    </w:p>
    <w:p>
      <w:pPr>
        <w:pStyle w:val="7"/>
        <w:ind w:firstLine="480" w:firstLineChars="200"/>
        <w:rPr>
          <w:color w:val="auto"/>
          <w:highlight w:val="none"/>
          <w:lang w:val="en-US"/>
        </w:rPr>
      </w:pPr>
      <w:r>
        <w:rPr>
          <w:rFonts w:hint="eastAsia" w:hAnsi="宋体" w:cs="宋体"/>
          <w:color w:val="auto"/>
          <w:szCs w:val="24"/>
          <w:highlight w:val="none"/>
          <w:lang w:val="en-US"/>
        </w:rPr>
        <w:t>4.3 具有自我诊断功能。可通过室外机和线控器显示，以获得故障自我诊断信息，监控系统运行状态，方便运行管理及维护。</w:t>
      </w:r>
    </w:p>
    <w:p>
      <w:pPr>
        <w:pStyle w:val="11"/>
        <w:spacing w:line="360" w:lineRule="auto"/>
        <w:ind w:firstLine="422" w:firstLineChars="175"/>
        <w:rPr>
          <w:rFonts w:hint="eastAsia" w:hAnsi="宋体" w:eastAsia="宋体" w:cs="宋体"/>
          <w:b/>
          <w:bCs/>
          <w:color w:val="auto"/>
          <w:sz w:val="24"/>
          <w:szCs w:val="24"/>
          <w:highlight w:val="none"/>
          <w:lang w:eastAsia="zh-CN"/>
        </w:rPr>
      </w:pPr>
      <w:r>
        <w:rPr>
          <w:rFonts w:hint="eastAsia" w:hAnsi="宋体" w:cs="宋体"/>
          <w:b/>
          <w:bCs/>
          <w:color w:val="auto"/>
          <w:sz w:val="24"/>
          <w:szCs w:val="24"/>
          <w:highlight w:val="none"/>
        </w:rPr>
        <w:t>5、安装材料、辅助材料</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冷媒管：变冷媒流量多联式空调系统设备中供液及回气管应采用铜管，并通过分支器连接。室外机和室内机到分支器的铜管必须为整根铜管，中间不允许有分段联结。冷媒管必须采用优质铜管制造，投标人须提供铜管的产地、品牌及规格。冷媒管保温橡塑保温材料，其保温厚度及性能参见GB 50019-2015要求。固定铜管用吊杆：按1根/1～1.5米，固定水管用吊杆：按1根/0.8～1.2米。</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注：外机支架采用</w:t>
      </w:r>
      <w:r>
        <w:rPr>
          <w:rFonts w:hint="eastAsia" w:hAnsi="宋体" w:cs="宋体"/>
          <w:color w:val="auto"/>
          <w:sz w:val="24"/>
          <w:highlight w:val="none"/>
        </w:rPr>
        <w:t>符合国家标准《GB/T35753-2017》的空调支架</w:t>
      </w:r>
      <w:r>
        <w:rPr>
          <w:rFonts w:hint="eastAsia" w:hAnsi="宋体" w:cs="宋体"/>
          <w:color w:val="auto"/>
          <w:sz w:val="24"/>
          <w:szCs w:val="24"/>
          <w:highlight w:val="none"/>
        </w:rPr>
        <w:t>。</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5.2 保温：冷媒的供液及回气管、凝结水管采用难燃型橡塑材料进行保温。气管保温材料的耐热性应超过120℃，液管保温材料的耐热性应超过70℃，铜管保温厚度不得低于以下要求： ⑴ φ6.4-19.05：15mm；⑵ φ22.2-41.3：20mm。冷媒管道、凝结水管采用一级闭孔橡塑海绵保温材料（要求难燃B1级）进行保温，管道阀门保温必须做严密，防止凝结水下滴。保温材料厚度≥15mm。</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5.3冷凝水管系统必须设置排气口（须每个系统），排气口应加装必要的防异物护网，下降主管应设置相应回水弯。空调冷凝水管采用 UPVC管，保温采用 10mm厚橡塑海绵管壳。投标人在安装时必须保证空调冷凝水能顺利排放。</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5.4室外机：室外机具体位置最终需采购人确认。压缩机形式：采用全变频压缩机，带减震装置，维修方便。压缩机具有高压保护、过载保护、结露保护等功能，并可以自动复位。各系统室外机应满足在系统处于低负荷时，通过控制器控制压缩机，使系统内冷媒的循环量得以改变，从而对制冷量进行自动控制以符合使用要求，必须保证空调系统正常使用，是否需要安装导流风管根据实际情况自行决定。</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5.5室内机：室内机需根据机房的实际情况来合理设计分布，安装前由校方确认。室内机是本系统的末端装置，它应自带蒸发器、循环风机及控制系统包括外部线控器，带冷凝水提升泵，确保空调冷凝水排放通畅。</w:t>
      </w:r>
    </w:p>
    <w:p>
      <w:pPr>
        <w:spacing w:line="360" w:lineRule="auto"/>
        <w:ind w:firstLine="420" w:firstLineChars="156"/>
        <w:rPr>
          <w:rFonts w:ascii="宋体" w:hAnsi="宋体" w:cs="宋体"/>
          <w:b/>
          <w:bCs/>
          <w:color w:val="auto"/>
          <w:spacing w:val="14"/>
          <w:kern w:val="24"/>
          <w:sz w:val="24"/>
          <w:highlight w:val="none"/>
        </w:rPr>
      </w:pPr>
      <w:r>
        <w:rPr>
          <w:rFonts w:hint="eastAsia" w:ascii="宋体" w:hAnsi="宋体" w:cs="宋体"/>
          <w:b/>
          <w:bCs/>
          <w:color w:val="auto"/>
          <w:spacing w:val="14"/>
          <w:kern w:val="24"/>
          <w:sz w:val="24"/>
          <w:highlight w:val="none"/>
        </w:rPr>
        <w:t>6、其他要求</w:t>
      </w:r>
    </w:p>
    <w:p>
      <w:pPr>
        <w:pStyle w:val="11"/>
        <w:spacing w:line="360" w:lineRule="auto"/>
        <w:ind w:firstLine="480"/>
        <w:rPr>
          <w:rFonts w:hAnsi="宋体" w:cs="宋体"/>
          <w:color w:val="auto"/>
          <w:sz w:val="24"/>
          <w:szCs w:val="24"/>
          <w:highlight w:val="none"/>
        </w:rPr>
      </w:pPr>
      <w:r>
        <w:rPr>
          <w:rFonts w:hint="eastAsia" w:hAnsi="宋体" w:cs="宋体"/>
          <w:color w:val="auto"/>
          <w:sz w:val="24"/>
          <w:szCs w:val="24"/>
          <w:highlight w:val="none"/>
        </w:rPr>
        <w:t>6.1各投标人按项目的技术规范和服务要求，完成空调设备的供货、运输保险、安装、调试、培训及售后服务等工作（中标单位需在施工前递交项目深化安装施工图）。投标文件中须明确标明空调及其主要部件的原产地（生产基地）、品牌及相关技术资料，交货时应附上原产地（生产基地）出厂合格证明、装箱清单等；竣工验收合格后提供安装竣工图等资料，竣工资料与设计施工图、出厂合格证明、装箱清单等作为空调特种设备的归档与备案材料。</w:t>
      </w:r>
    </w:p>
    <w:p>
      <w:pPr>
        <w:pStyle w:val="11"/>
        <w:spacing w:line="360" w:lineRule="auto"/>
        <w:ind w:firstLine="480"/>
        <w:rPr>
          <w:rFonts w:hAnsi="宋体" w:cs="宋体"/>
          <w:color w:val="auto"/>
          <w:sz w:val="24"/>
          <w:szCs w:val="24"/>
          <w:highlight w:val="none"/>
        </w:rPr>
      </w:pPr>
      <w:r>
        <w:rPr>
          <w:rFonts w:hint="eastAsia" w:hAnsi="宋体" w:cs="宋体"/>
          <w:color w:val="auto"/>
          <w:sz w:val="24"/>
          <w:szCs w:val="24"/>
          <w:highlight w:val="none"/>
        </w:rPr>
        <w:t>6.2</w:t>
      </w:r>
      <w:r>
        <w:rPr>
          <w:rFonts w:hint="eastAsia" w:hAnsi="宋体" w:cs="宋体"/>
          <w:color w:val="auto"/>
          <w:sz w:val="24"/>
          <w:highlight w:val="none"/>
        </w:rPr>
        <w:t>本项目为“交钥匙”项目，</w:t>
      </w:r>
      <w:r>
        <w:rPr>
          <w:rFonts w:hint="eastAsia" w:hAnsi="宋体" w:cs="宋体"/>
          <w:color w:val="auto"/>
          <w:sz w:val="24"/>
          <w:szCs w:val="24"/>
          <w:highlight w:val="none"/>
        </w:rPr>
        <w:t>有关本项目实施所需的方案深化设计费、设备购置费、运输费、吊装费、安装调试费</w:t>
      </w:r>
      <w:r>
        <w:rPr>
          <w:rFonts w:hint="eastAsia" w:hAnsi="宋体" w:cs="宋体"/>
          <w:color w:val="auto"/>
          <w:sz w:val="24"/>
          <w:highlight w:val="none"/>
        </w:rPr>
        <w:t>（含配套施工、辅材辅料）</w:t>
      </w:r>
      <w:r>
        <w:rPr>
          <w:rFonts w:hint="eastAsia" w:hAnsi="宋体" w:cs="宋体"/>
          <w:color w:val="auto"/>
          <w:sz w:val="24"/>
          <w:szCs w:val="24"/>
          <w:highlight w:val="none"/>
        </w:rPr>
        <w:t>、培训费、售后服务及维护费、税金等所涉及的一切费用均计入报价。投标人在设备投入正常运行前，包括招标文件已提及的工作内容，均含在投标报价中。</w:t>
      </w:r>
    </w:p>
    <w:p>
      <w:pPr>
        <w:keepNext/>
        <w:keepLines/>
        <w:spacing w:line="360" w:lineRule="auto"/>
        <w:rPr>
          <w:rFonts w:ascii="宋体" w:hAnsi="宋体" w:cs="宋体"/>
          <w:b/>
          <w:bCs/>
          <w:color w:val="auto"/>
          <w:spacing w:val="14"/>
          <w:kern w:val="24"/>
          <w:sz w:val="24"/>
          <w:highlight w:val="none"/>
        </w:rPr>
      </w:pPr>
      <w:bookmarkStart w:id="17" w:name="_Toc17812"/>
      <w:bookmarkStart w:id="18" w:name="_Toc290"/>
      <w:bookmarkStart w:id="19" w:name="_Toc23144"/>
      <w:bookmarkStart w:id="20" w:name="_Toc30382"/>
      <w:bookmarkStart w:id="21" w:name="_Toc1233"/>
      <w:bookmarkStart w:id="22" w:name="_Toc10567"/>
      <w:bookmarkStart w:id="23" w:name="_Toc16806"/>
      <w:r>
        <w:rPr>
          <w:rFonts w:hint="eastAsia" w:ascii="宋体" w:hAnsi="宋体" w:cs="宋体"/>
          <w:b/>
          <w:bCs/>
          <w:color w:val="auto"/>
          <w:spacing w:val="14"/>
          <w:kern w:val="24"/>
          <w:sz w:val="24"/>
          <w:highlight w:val="none"/>
        </w:rPr>
        <w:t>四、</w:t>
      </w:r>
      <w:bookmarkEnd w:id="17"/>
      <w:r>
        <w:rPr>
          <w:rFonts w:hint="eastAsia" w:ascii="宋体" w:hAnsi="宋体" w:cs="宋体"/>
          <w:b/>
          <w:bCs/>
          <w:color w:val="auto"/>
          <w:spacing w:val="14"/>
          <w:kern w:val="24"/>
          <w:sz w:val="24"/>
          <w:highlight w:val="none"/>
        </w:rPr>
        <w:t>实施及验收标准</w:t>
      </w:r>
    </w:p>
    <w:p>
      <w:pPr>
        <w:keepNext/>
        <w:keepLines/>
        <w:spacing w:line="360" w:lineRule="auto"/>
        <w:ind w:firstLine="420" w:firstLineChars="156"/>
        <w:rPr>
          <w:rFonts w:ascii="宋体" w:hAnsi="宋体" w:cs="宋体"/>
          <w:b/>
          <w:bCs/>
          <w:color w:val="auto"/>
          <w:spacing w:val="14"/>
          <w:kern w:val="24"/>
          <w:sz w:val="24"/>
          <w:highlight w:val="none"/>
        </w:rPr>
      </w:pPr>
      <w:r>
        <w:rPr>
          <w:rFonts w:hint="eastAsia" w:ascii="宋体" w:hAnsi="宋体" w:cs="宋体"/>
          <w:b/>
          <w:bCs/>
          <w:color w:val="auto"/>
          <w:spacing w:val="14"/>
          <w:kern w:val="24"/>
          <w:sz w:val="24"/>
          <w:highlight w:val="none"/>
        </w:rPr>
        <w:t>1、设备交货（交付验收）条件</w:t>
      </w:r>
    </w:p>
    <w:p>
      <w:pPr>
        <w:numPr>
          <w:ilvl w:val="0"/>
          <w:numId w:val="6"/>
        </w:numPr>
        <w:snapToGrid w:val="0"/>
        <w:spacing w:line="360" w:lineRule="auto"/>
        <w:rPr>
          <w:rStyle w:val="58"/>
          <w:rFonts w:ascii="宋体"/>
          <w:color w:val="auto"/>
          <w:sz w:val="24"/>
          <w:highlight w:val="none"/>
        </w:rPr>
      </w:pPr>
      <w:r>
        <w:rPr>
          <w:rStyle w:val="58"/>
          <w:rFonts w:hint="eastAsia" w:ascii="宋体" w:hAnsi="宋体"/>
          <w:color w:val="auto"/>
          <w:sz w:val="24"/>
          <w:highlight w:val="none"/>
        </w:rPr>
        <w:t>投标人现场交货</w:t>
      </w:r>
    </w:p>
    <w:p>
      <w:pPr>
        <w:numPr>
          <w:ilvl w:val="0"/>
          <w:numId w:val="6"/>
        </w:numPr>
        <w:snapToGrid w:val="0"/>
        <w:spacing w:line="360" w:lineRule="auto"/>
        <w:rPr>
          <w:rStyle w:val="58"/>
          <w:rFonts w:ascii="宋体"/>
          <w:color w:val="auto"/>
          <w:sz w:val="24"/>
          <w:highlight w:val="none"/>
        </w:rPr>
      </w:pPr>
      <w:r>
        <w:rPr>
          <w:rStyle w:val="58"/>
          <w:rFonts w:hint="eastAsia" w:ascii="宋体" w:hAnsi="宋体"/>
          <w:color w:val="auto"/>
          <w:sz w:val="24"/>
          <w:highlight w:val="none"/>
        </w:rPr>
        <w:t>附详细的交货设备清单</w:t>
      </w:r>
    </w:p>
    <w:p>
      <w:pPr>
        <w:numPr>
          <w:ilvl w:val="0"/>
          <w:numId w:val="6"/>
        </w:numPr>
        <w:snapToGrid w:val="0"/>
        <w:spacing w:line="360" w:lineRule="auto"/>
        <w:rPr>
          <w:rStyle w:val="58"/>
          <w:rFonts w:ascii="宋体"/>
          <w:color w:val="auto"/>
          <w:sz w:val="24"/>
          <w:highlight w:val="none"/>
        </w:rPr>
      </w:pPr>
      <w:r>
        <w:rPr>
          <w:rStyle w:val="58"/>
          <w:rFonts w:hint="eastAsia" w:ascii="宋体" w:hAnsi="宋体"/>
          <w:color w:val="auto"/>
          <w:sz w:val="24"/>
          <w:highlight w:val="none"/>
        </w:rPr>
        <w:t>产品合格证及检验记录</w:t>
      </w:r>
    </w:p>
    <w:p>
      <w:pPr>
        <w:numPr>
          <w:ilvl w:val="0"/>
          <w:numId w:val="6"/>
        </w:numPr>
        <w:snapToGrid w:val="0"/>
        <w:spacing w:line="360" w:lineRule="auto"/>
        <w:rPr>
          <w:rStyle w:val="58"/>
          <w:rFonts w:ascii="宋体"/>
          <w:color w:val="auto"/>
          <w:sz w:val="24"/>
          <w:highlight w:val="none"/>
        </w:rPr>
      </w:pPr>
      <w:r>
        <w:rPr>
          <w:rStyle w:val="58"/>
          <w:rFonts w:hint="eastAsia" w:ascii="宋体" w:hAnsi="宋体"/>
          <w:color w:val="auto"/>
          <w:sz w:val="24"/>
          <w:highlight w:val="none"/>
        </w:rPr>
        <w:t>产品安装技术资料（中文）</w:t>
      </w:r>
    </w:p>
    <w:p>
      <w:pPr>
        <w:numPr>
          <w:ilvl w:val="0"/>
          <w:numId w:val="6"/>
        </w:numPr>
        <w:snapToGrid w:val="0"/>
        <w:spacing w:line="360" w:lineRule="auto"/>
        <w:rPr>
          <w:rStyle w:val="58"/>
          <w:rFonts w:ascii="宋体"/>
          <w:color w:val="auto"/>
          <w:sz w:val="24"/>
          <w:highlight w:val="none"/>
        </w:rPr>
      </w:pPr>
      <w:r>
        <w:rPr>
          <w:rStyle w:val="58"/>
          <w:rFonts w:hint="eastAsia" w:ascii="宋体" w:hAnsi="宋体"/>
          <w:color w:val="auto"/>
          <w:sz w:val="24"/>
          <w:highlight w:val="none"/>
        </w:rPr>
        <w:t>产品说明书或系统操作手册（中文）</w:t>
      </w:r>
    </w:p>
    <w:p>
      <w:pPr>
        <w:numPr>
          <w:ilvl w:val="0"/>
          <w:numId w:val="6"/>
        </w:numPr>
        <w:snapToGrid w:val="0"/>
        <w:spacing w:line="360" w:lineRule="auto"/>
        <w:rPr>
          <w:rStyle w:val="58"/>
          <w:rFonts w:ascii="宋体"/>
          <w:color w:val="auto"/>
          <w:sz w:val="24"/>
          <w:highlight w:val="none"/>
        </w:rPr>
      </w:pPr>
      <w:r>
        <w:rPr>
          <w:rStyle w:val="58"/>
          <w:rFonts w:hint="eastAsia" w:ascii="宋体" w:hAnsi="宋体"/>
          <w:color w:val="auto"/>
          <w:sz w:val="24"/>
          <w:highlight w:val="none"/>
        </w:rPr>
        <w:t>所有随机软件正本</w:t>
      </w:r>
    </w:p>
    <w:p>
      <w:pPr>
        <w:numPr>
          <w:ilvl w:val="0"/>
          <w:numId w:val="6"/>
        </w:numPr>
        <w:snapToGrid w:val="0"/>
        <w:spacing w:line="360" w:lineRule="auto"/>
        <w:rPr>
          <w:rStyle w:val="58"/>
          <w:rFonts w:ascii="宋体"/>
          <w:color w:val="auto"/>
          <w:sz w:val="24"/>
          <w:highlight w:val="none"/>
        </w:rPr>
      </w:pPr>
      <w:r>
        <w:rPr>
          <w:rStyle w:val="58"/>
          <w:rFonts w:hint="eastAsia" w:ascii="宋体" w:hAnsi="宋体"/>
          <w:color w:val="auto"/>
          <w:sz w:val="24"/>
          <w:highlight w:val="none"/>
        </w:rPr>
        <w:t>设备维修所需的维修工具（包括特殊专用工具）</w:t>
      </w:r>
    </w:p>
    <w:p>
      <w:pPr>
        <w:numPr>
          <w:ilvl w:val="0"/>
          <w:numId w:val="6"/>
        </w:numPr>
        <w:snapToGrid w:val="0"/>
        <w:spacing w:line="360" w:lineRule="auto"/>
        <w:rPr>
          <w:rStyle w:val="58"/>
          <w:rFonts w:ascii="宋体"/>
          <w:color w:val="auto"/>
          <w:sz w:val="24"/>
          <w:highlight w:val="none"/>
        </w:rPr>
      </w:pPr>
      <w:r>
        <w:rPr>
          <w:rStyle w:val="58"/>
          <w:rFonts w:hint="eastAsia" w:ascii="宋体" w:hAnsi="宋体"/>
          <w:color w:val="auto"/>
          <w:sz w:val="24"/>
          <w:highlight w:val="none"/>
        </w:rPr>
        <w:t>施工图、竣工图，包含主机设备总图（尺寸、性能参数、安装要求等）、易损件、电气原理及接线、电子线路图、地基图、机械部件等</w:t>
      </w:r>
    </w:p>
    <w:p>
      <w:pPr>
        <w:numPr>
          <w:ilvl w:val="0"/>
          <w:numId w:val="6"/>
        </w:numPr>
        <w:snapToGrid w:val="0"/>
        <w:spacing w:line="360" w:lineRule="auto"/>
        <w:rPr>
          <w:rFonts w:ascii="宋体" w:hAnsi="宋体" w:cs="宋体"/>
          <w:b/>
          <w:bCs/>
          <w:color w:val="auto"/>
          <w:spacing w:val="14"/>
          <w:kern w:val="24"/>
          <w:sz w:val="24"/>
          <w:highlight w:val="none"/>
        </w:rPr>
      </w:pPr>
      <w:r>
        <w:rPr>
          <w:rStyle w:val="58"/>
          <w:rFonts w:hint="eastAsia" w:ascii="宋体" w:hAnsi="宋体"/>
          <w:color w:val="auto"/>
          <w:sz w:val="24"/>
          <w:highlight w:val="none"/>
        </w:rPr>
        <w:t>测试记录、有关部门的检测记录</w:t>
      </w:r>
    </w:p>
    <w:p>
      <w:pPr>
        <w:keepNext/>
        <w:keepLines/>
        <w:spacing w:line="360" w:lineRule="auto"/>
        <w:ind w:firstLine="420" w:firstLineChars="156"/>
        <w:rPr>
          <w:rFonts w:ascii="宋体" w:hAnsi="宋体" w:cs="宋体"/>
          <w:b/>
          <w:bCs/>
          <w:color w:val="auto"/>
          <w:spacing w:val="14"/>
          <w:kern w:val="24"/>
          <w:sz w:val="24"/>
          <w:highlight w:val="none"/>
        </w:rPr>
      </w:pPr>
      <w:r>
        <w:rPr>
          <w:rFonts w:hint="eastAsia" w:ascii="宋体" w:hAnsi="宋体" w:cs="宋体"/>
          <w:b/>
          <w:bCs/>
          <w:color w:val="auto"/>
          <w:spacing w:val="14"/>
          <w:kern w:val="24"/>
          <w:sz w:val="24"/>
          <w:highlight w:val="none"/>
        </w:rPr>
        <w:t>2、安装要求</w:t>
      </w:r>
    </w:p>
    <w:p>
      <w:pPr>
        <w:numPr>
          <w:ilvl w:val="0"/>
          <w:numId w:val="7"/>
        </w:numPr>
        <w:tabs>
          <w:tab w:val="left" w:pos="0"/>
          <w:tab w:val="clear" w:pos="420"/>
        </w:tabs>
        <w:snapToGrid w:val="0"/>
        <w:spacing w:line="360" w:lineRule="auto"/>
        <w:ind w:left="0" w:firstLine="420"/>
        <w:rPr>
          <w:rFonts w:ascii="宋体" w:hAnsi="宋体" w:cs="宋体"/>
          <w:color w:val="auto"/>
          <w:sz w:val="24"/>
          <w:highlight w:val="none"/>
        </w:rPr>
      </w:pPr>
      <w:r>
        <w:rPr>
          <w:rFonts w:hint="eastAsia" w:ascii="宋体" w:hAnsi="宋体" w:cs="宋体"/>
          <w:color w:val="auto"/>
          <w:sz w:val="24"/>
          <w:highlight w:val="none"/>
        </w:rPr>
        <w:t>供应商进场前应现场进行测量，了解施工界面、电路图要求、指定具体实施要点、操作细则详细，设备安装工序完整且配合现场施工要求。</w:t>
      </w:r>
    </w:p>
    <w:p>
      <w:pPr>
        <w:numPr>
          <w:ilvl w:val="0"/>
          <w:numId w:val="7"/>
        </w:numPr>
        <w:tabs>
          <w:tab w:val="left" w:pos="0"/>
          <w:tab w:val="clear" w:pos="420"/>
        </w:tabs>
        <w:snapToGrid w:val="0"/>
        <w:spacing w:line="360" w:lineRule="auto"/>
        <w:ind w:left="0" w:firstLine="420"/>
        <w:rPr>
          <w:rFonts w:ascii="宋体" w:hAnsi="宋体" w:cs="宋体"/>
          <w:color w:val="auto"/>
          <w:sz w:val="24"/>
          <w:highlight w:val="none"/>
        </w:rPr>
      </w:pPr>
      <w:r>
        <w:rPr>
          <w:rFonts w:hint="eastAsia" w:ascii="宋体" w:hAnsi="宋体" w:cs="宋体"/>
          <w:color w:val="auto"/>
          <w:sz w:val="24"/>
          <w:highlight w:val="none"/>
        </w:rPr>
        <w:t>设备运抵施工现场后，投标人应派有经验的工程技术人员实施现场安装、调试、操作维修培训。</w:t>
      </w:r>
    </w:p>
    <w:p>
      <w:pPr>
        <w:numPr>
          <w:ilvl w:val="0"/>
          <w:numId w:val="7"/>
        </w:numPr>
        <w:tabs>
          <w:tab w:val="left" w:pos="0"/>
          <w:tab w:val="clear" w:pos="420"/>
        </w:tabs>
        <w:snapToGrid w:val="0"/>
        <w:spacing w:line="360" w:lineRule="auto"/>
        <w:ind w:left="0" w:firstLine="420"/>
        <w:rPr>
          <w:rFonts w:ascii="宋体" w:hAnsi="宋体" w:cs="宋体"/>
          <w:color w:val="auto"/>
          <w:sz w:val="24"/>
          <w:highlight w:val="none"/>
        </w:rPr>
      </w:pPr>
      <w:r>
        <w:rPr>
          <w:rFonts w:hint="eastAsia" w:ascii="宋体" w:hAnsi="宋体" w:cs="宋体"/>
          <w:color w:val="auto"/>
          <w:sz w:val="24"/>
          <w:highlight w:val="none"/>
        </w:rPr>
        <w:t>室外机安装位置考虑教室外墙，采用支架，冷媒管及凝结水管由施工单位根据实际情况调整。</w:t>
      </w:r>
    </w:p>
    <w:p>
      <w:pPr>
        <w:numPr>
          <w:ilvl w:val="0"/>
          <w:numId w:val="7"/>
        </w:numPr>
        <w:tabs>
          <w:tab w:val="left" w:pos="0"/>
          <w:tab w:val="clear" w:pos="420"/>
        </w:tabs>
        <w:snapToGrid w:val="0"/>
        <w:spacing w:line="360" w:lineRule="auto"/>
        <w:ind w:left="0" w:firstLine="420"/>
        <w:rPr>
          <w:rFonts w:ascii="宋体" w:hAnsi="宋体" w:cs="宋体"/>
          <w:color w:val="auto"/>
          <w:sz w:val="24"/>
          <w:highlight w:val="none"/>
        </w:rPr>
      </w:pPr>
      <w:r>
        <w:rPr>
          <w:rFonts w:hint="eastAsia" w:ascii="宋体" w:hAnsi="宋体" w:cs="宋体"/>
          <w:color w:val="auto"/>
          <w:sz w:val="24"/>
          <w:highlight w:val="none"/>
        </w:rPr>
        <w:t>室内外机连接管和冷凝水管位置根据现场实际情况确定。</w:t>
      </w:r>
    </w:p>
    <w:p>
      <w:pPr>
        <w:numPr>
          <w:ilvl w:val="0"/>
          <w:numId w:val="7"/>
        </w:numPr>
        <w:tabs>
          <w:tab w:val="left" w:pos="0"/>
          <w:tab w:val="clear" w:pos="420"/>
        </w:tabs>
        <w:snapToGrid w:val="0"/>
        <w:spacing w:line="360" w:lineRule="auto"/>
        <w:ind w:left="0" w:firstLine="420"/>
        <w:rPr>
          <w:rFonts w:ascii="宋体" w:hAnsi="宋体" w:cs="宋体"/>
          <w:color w:val="auto"/>
          <w:sz w:val="24"/>
          <w:highlight w:val="none"/>
        </w:rPr>
      </w:pPr>
      <w:r>
        <w:rPr>
          <w:rFonts w:hint="eastAsia" w:ascii="宋体" w:hAnsi="宋体" w:cs="宋体"/>
          <w:color w:val="auto"/>
          <w:sz w:val="24"/>
          <w:highlight w:val="none"/>
        </w:rPr>
        <w:t>室内机安装位置需与采购人最终通确定位置后施工。</w:t>
      </w:r>
    </w:p>
    <w:p>
      <w:pPr>
        <w:numPr>
          <w:ilvl w:val="0"/>
          <w:numId w:val="7"/>
        </w:numPr>
        <w:tabs>
          <w:tab w:val="left" w:pos="0"/>
          <w:tab w:val="clear" w:pos="420"/>
        </w:tabs>
        <w:snapToGrid w:val="0"/>
        <w:spacing w:line="360" w:lineRule="auto"/>
        <w:ind w:left="0" w:firstLine="420"/>
        <w:rPr>
          <w:rFonts w:ascii="宋体" w:hAnsi="宋体" w:cs="宋体"/>
          <w:color w:val="auto"/>
          <w:sz w:val="24"/>
          <w:highlight w:val="none"/>
        </w:rPr>
      </w:pPr>
      <w:r>
        <w:rPr>
          <w:rFonts w:hint="eastAsia" w:ascii="宋体" w:hAnsi="宋体" w:cs="宋体"/>
          <w:color w:val="auto"/>
          <w:sz w:val="24"/>
          <w:highlight w:val="none"/>
        </w:rPr>
        <w:t>铜管采用磷脱氧无缝铜管（含保温材料）。保温材料要求难燃B1级橡塑，须保证在28℃环境温度、相对湿度85％条件下不结露。</w:t>
      </w:r>
    </w:p>
    <w:p>
      <w:pPr>
        <w:numPr>
          <w:ilvl w:val="0"/>
          <w:numId w:val="7"/>
        </w:numPr>
        <w:tabs>
          <w:tab w:val="left" w:pos="0"/>
          <w:tab w:val="clear" w:pos="420"/>
        </w:tabs>
        <w:snapToGrid w:val="0"/>
        <w:spacing w:line="360" w:lineRule="auto"/>
        <w:ind w:left="0" w:firstLine="420"/>
        <w:rPr>
          <w:rFonts w:ascii="宋体" w:hAnsi="宋体" w:cs="宋体"/>
          <w:color w:val="auto"/>
          <w:sz w:val="24"/>
          <w:highlight w:val="none"/>
        </w:rPr>
      </w:pPr>
      <w:r>
        <w:rPr>
          <w:rFonts w:hint="eastAsia" w:ascii="宋体" w:hAnsi="宋体" w:cs="宋体"/>
          <w:color w:val="auto"/>
          <w:sz w:val="24"/>
          <w:highlight w:val="none"/>
        </w:rPr>
        <w:t>冷凝水管采用外包10mm厚橡塑海绵管壳。冷凝水管的固定同冷媒管的固定方式，吊架间距应符合CJJ/T2P-980的技术规程。</w:t>
      </w:r>
    </w:p>
    <w:p>
      <w:pPr>
        <w:numPr>
          <w:ilvl w:val="0"/>
          <w:numId w:val="7"/>
        </w:numPr>
        <w:tabs>
          <w:tab w:val="left" w:pos="0"/>
          <w:tab w:val="clear" w:pos="420"/>
        </w:tabs>
        <w:snapToGrid w:val="0"/>
        <w:spacing w:line="360" w:lineRule="auto"/>
        <w:ind w:left="0" w:firstLine="420"/>
        <w:rPr>
          <w:rFonts w:ascii="宋体" w:hAnsi="宋体" w:cs="宋体"/>
          <w:color w:val="auto"/>
          <w:sz w:val="24"/>
          <w:highlight w:val="none"/>
        </w:rPr>
      </w:pPr>
      <w:r>
        <w:rPr>
          <w:rFonts w:hint="eastAsia" w:ascii="宋体" w:hAnsi="宋体" w:cs="宋体"/>
          <w:color w:val="auto"/>
          <w:sz w:val="24"/>
          <w:highlight w:val="none"/>
        </w:rPr>
        <w:t>冷凝水管道必须缚设坡度、坡向排水点。支管坡度不小于1%。安装完毕后按要求做排水试验。（包括密封性试验）</w:t>
      </w:r>
    </w:p>
    <w:p>
      <w:pPr>
        <w:numPr>
          <w:ilvl w:val="0"/>
          <w:numId w:val="7"/>
        </w:numPr>
        <w:tabs>
          <w:tab w:val="left" w:pos="0"/>
          <w:tab w:val="clear" w:pos="420"/>
        </w:tabs>
        <w:snapToGrid w:val="0"/>
        <w:spacing w:line="360" w:lineRule="auto"/>
        <w:ind w:left="0" w:firstLine="420"/>
        <w:rPr>
          <w:rFonts w:ascii="宋体" w:hAnsi="宋体" w:cs="宋体"/>
          <w:b w:val="0"/>
          <w:bCs w:val="0"/>
          <w:color w:val="auto"/>
          <w:spacing w:val="14"/>
          <w:kern w:val="24"/>
          <w:sz w:val="24"/>
          <w:highlight w:val="none"/>
        </w:rPr>
      </w:pPr>
      <w:r>
        <w:rPr>
          <w:rFonts w:hint="eastAsia" w:ascii="宋体" w:hAnsi="宋体" w:cs="宋体"/>
          <w:b w:val="0"/>
          <w:bCs w:val="0"/>
          <w:color w:val="auto"/>
          <w:sz w:val="24"/>
          <w:highlight w:val="none"/>
        </w:rPr>
        <w:t>已安装好的冷媒管按各冷媒系统对气管及液管进行氮气加压试验，试验结果各项指标必须满足规范要求。</w:t>
      </w:r>
    </w:p>
    <w:p>
      <w:pPr>
        <w:keepNext/>
        <w:keepLines/>
        <w:spacing w:line="360" w:lineRule="auto"/>
        <w:ind w:firstLine="420" w:firstLineChars="156"/>
        <w:rPr>
          <w:rFonts w:ascii="宋体" w:hAnsi="宋体" w:cs="宋体"/>
          <w:b/>
          <w:bCs/>
          <w:color w:val="auto"/>
          <w:spacing w:val="14"/>
          <w:kern w:val="24"/>
          <w:sz w:val="24"/>
          <w:highlight w:val="none"/>
        </w:rPr>
      </w:pPr>
      <w:r>
        <w:rPr>
          <w:rFonts w:hint="eastAsia" w:ascii="宋体" w:hAnsi="宋体" w:cs="宋体"/>
          <w:b/>
          <w:bCs/>
          <w:color w:val="auto"/>
          <w:spacing w:val="14"/>
          <w:kern w:val="24"/>
          <w:sz w:val="24"/>
          <w:highlight w:val="none"/>
        </w:rPr>
        <w:t>3、设备的测试和试运行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3.1项目负责人（项目经理）：具有暖通或机电类专业工程师及以上职称；具有类似项目建设经验，具有调动投标人各项资源权限。</w:t>
      </w:r>
    </w:p>
    <w:p>
      <w:pPr>
        <w:tabs>
          <w:tab w:val="left" w:pos="0"/>
        </w:tabs>
        <w:snapToGrid w:val="0"/>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3.2安排参与项目的专业人员不少于10人（包括相应的安装施工、质量管理、资料管理、材料管理、安全管理人员等)，提供专业、分工、素质经验情况介绍。</w:t>
      </w:r>
    </w:p>
    <w:p>
      <w:pPr>
        <w:tabs>
          <w:tab w:val="left" w:pos="0"/>
        </w:tabs>
        <w:snapToGrid w:val="0"/>
        <w:spacing w:line="360" w:lineRule="auto"/>
        <w:ind w:firstLine="660" w:firstLineChars="275"/>
        <w:rPr>
          <w:rFonts w:ascii="宋体" w:hAnsi="宋体" w:cs="宋体"/>
          <w:color w:val="auto"/>
          <w:sz w:val="24"/>
          <w:highlight w:val="none"/>
        </w:rPr>
      </w:pPr>
      <w:r>
        <w:rPr>
          <w:rFonts w:hint="eastAsia" w:ascii="宋体" w:hAnsi="宋体" w:cs="宋体"/>
          <w:color w:val="auto"/>
          <w:sz w:val="24"/>
          <w:highlight w:val="none"/>
        </w:rPr>
        <w:t>应派有五年以上工作经验的工程师在现场负责测试和调试，以检测其设计、制造、运行效果等。</w:t>
      </w:r>
    </w:p>
    <w:p>
      <w:pPr>
        <w:tabs>
          <w:tab w:val="left" w:pos="0"/>
        </w:tabs>
        <w:snapToGrid w:val="0"/>
        <w:spacing w:line="360" w:lineRule="auto"/>
        <w:ind w:firstLine="420" w:firstLineChars="175"/>
        <w:rPr>
          <w:rFonts w:ascii="宋体" w:hAnsi="宋体" w:cs="宋体"/>
          <w:b/>
          <w:bCs/>
          <w:color w:val="auto"/>
          <w:spacing w:val="14"/>
          <w:kern w:val="24"/>
          <w:sz w:val="24"/>
          <w:highlight w:val="none"/>
        </w:rPr>
      </w:pPr>
      <w:r>
        <w:rPr>
          <w:rFonts w:hint="eastAsia" w:ascii="宋体" w:hAnsi="宋体" w:cs="宋体"/>
          <w:color w:val="auto"/>
          <w:sz w:val="24"/>
          <w:highlight w:val="none"/>
        </w:rPr>
        <w:t>3.3提供所有测试和调试所需的工具、材料、仪器。</w:t>
      </w:r>
    </w:p>
    <w:p>
      <w:pPr>
        <w:keepNext/>
        <w:keepLines/>
        <w:spacing w:line="360" w:lineRule="auto"/>
        <w:jc w:val="left"/>
        <w:rPr>
          <w:rFonts w:ascii="宋体" w:hAnsi="宋体" w:cs="宋体"/>
          <w:b/>
          <w:color w:val="auto"/>
          <w:sz w:val="24"/>
          <w:highlight w:val="none"/>
        </w:rPr>
      </w:pPr>
      <w:r>
        <w:rPr>
          <w:rFonts w:hint="eastAsia" w:ascii="宋体" w:hAnsi="宋体" w:cs="宋体"/>
          <w:b/>
          <w:bCs/>
          <w:color w:val="auto"/>
          <w:spacing w:val="14"/>
          <w:kern w:val="24"/>
          <w:sz w:val="24"/>
          <w:highlight w:val="none"/>
        </w:rPr>
        <w:t>五、</w:t>
      </w:r>
      <w:bookmarkEnd w:id="18"/>
      <w:bookmarkEnd w:id="19"/>
      <w:bookmarkEnd w:id="20"/>
      <w:bookmarkEnd w:id="21"/>
      <w:bookmarkEnd w:id="22"/>
      <w:bookmarkEnd w:id="23"/>
      <w:bookmarkStart w:id="24" w:name="_Toc449016998"/>
      <w:r>
        <w:rPr>
          <w:rFonts w:hint="eastAsia" w:ascii="宋体" w:hAnsi="宋体" w:cs="宋体"/>
          <w:b/>
          <w:bCs/>
          <w:color w:val="auto"/>
          <w:spacing w:val="14"/>
          <w:kern w:val="24"/>
          <w:sz w:val="24"/>
          <w:highlight w:val="none"/>
        </w:rPr>
        <w:t>商务要求</w:t>
      </w:r>
    </w:p>
    <w:tbl>
      <w:tblPr>
        <w:tblStyle w:val="19"/>
        <w:tblW w:w="0" w:type="auto"/>
        <w:tblInd w:w="169"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9"/>
        <w:gridCol w:w="1525"/>
        <w:gridCol w:w="634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5" w:hRule="atLeast"/>
        </w:trPr>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5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商务条款</w:t>
            </w:r>
          </w:p>
        </w:tc>
        <w:tc>
          <w:tcPr>
            <w:tcW w:w="634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具体要求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52" w:hRule="atLeast"/>
        </w:trPr>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5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实施期</w:t>
            </w:r>
          </w:p>
        </w:tc>
        <w:tc>
          <w:tcPr>
            <w:tcW w:w="634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lang w:val="en-US" w:eastAsia="zh-CN"/>
              </w:rPr>
              <w:t>2025年8月20日前完成</w:t>
            </w:r>
            <w:r>
              <w:rPr>
                <w:rFonts w:hint="eastAsia" w:ascii="宋体" w:hAnsi="宋体" w:cs="宋体"/>
                <w:color w:val="auto"/>
                <w:sz w:val="24"/>
                <w:highlight w:val="none"/>
              </w:rPr>
              <w:t>安装调试完毕</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2" w:hRule="atLeast"/>
        </w:trPr>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5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产品质量要求</w:t>
            </w:r>
          </w:p>
        </w:tc>
        <w:tc>
          <w:tcPr>
            <w:tcW w:w="634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1、所提供的产品必须是原装正品，原厂原包装供货，所有设备在质量保质期内原厂维修、维护，提供人员技术培训和提供文档资料，费用包含在投标报价中。</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2、投标人应保证所提供货物是全新的、未使用过的，并完全符合合同规定的质量、规格和性能的要求。</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3、由生产厂商及中标人派专业人员对设备现场安装调试。</w:t>
            </w:r>
          </w:p>
        </w:tc>
      </w:tr>
      <w:bookmarkEnd w:id="24"/>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0" w:hRule="atLeast"/>
        </w:trPr>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5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售后服务要求</w:t>
            </w:r>
          </w:p>
        </w:tc>
        <w:tc>
          <w:tcPr>
            <w:tcW w:w="634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1、提供项目质保期不少于3年的原厂质保，相关费用包含在投标报价内；</w:t>
            </w:r>
          </w:p>
          <w:p>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2、售后响应：提供7*24小时技术支持，维修1小时电话服务响应，2小时上门技术服务，一般问题应在12小时内解决，重大问题或其他无法迅速解决的问题应在一周内解决或明确承诺修复时间，如在承诺的时间内未能使空调恢复正常工作，投标人将承担由此产生的一切损失。</w:t>
            </w:r>
          </w:p>
          <w:p>
            <w:pPr>
              <w:widowControl/>
              <w:spacing w:line="360" w:lineRule="auto"/>
              <w:jc w:val="left"/>
              <w:rPr>
                <w:rFonts w:ascii="宋体" w:hAnsi="宋体" w:cs="宋体"/>
                <w:color w:val="auto"/>
                <w:sz w:val="24"/>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维修点需提供足够的备品备件以满足日常维修需求。</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3、在质量保证期内的工作应包括对所有设备系统常规检查、调整、润滑、冷媒补充等。</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4、供应商在质保期内须负责修理和更换任何由于设备自身的质量问题造成的损坏部件，并排除故障。</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5、在质量保证期届满前15天内，供应商工程师和采购人代表将对设备进行一次全面测试，任何故障均须解决并取得采购人的最终认可后进行交接。</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6、质保期内，因不能排除的故障而影响工作的情况每发生一次，其质保期相应延长60天，质保期内因货物本身缺陷造成各种故障应由中标供应商予以更换。（费用含在报价中）</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7、中标人应保证在质保期内对设备进行维修，维护，软件提供升级，提供人员技术培训和文档资料；质保期外发生的损坏，负责设备的终身维修，修理和换件应按成本费收取，不再收取其它费用。</w:t>
            </w:r>
          </w:p>
          <w:p>
            <w:pPr>
              <w:widowControl/>
              <w:spacing w:line="360" w:lineRule="auto"/>
              <w:jc w:val="left"/>
              <w:rPr>
                <w:rFonts w:ascii="宋体" w:hAnsi="宋体" w:cs="宋体"/>
                <w:color w:val="auto"/>
                <w:sz w:val="24"/>
                <w:highlight w:val="none"/>
              </w:rPr>
            </w:pPr>
            <w:r>
              <w:rPr>
                <w:rFonts w:hint="eastAsia" w:ascii="宋体" w:hAnsi="宋体" w:cs="宋体"/>
                <w:b/>
                <w:bCs/>
                <w:color w:val="auto"/>
                <w:sz w:val="24"/>
                <w:highlight w:val="none"/>
              </w:rPr>
              <w:t>8、投标过程中，投标人应提供一份有关投标设备在质量保证期后，5年内的维修和保养合同范本，应有如下内容：服务范围、服务期限、服务内容（零件单和易损坏的零件单）、服务费、不免责任的内容、双方负责的内容、采购人保留是否签此合同的权力、其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34" w:hRule="atLeast"/>
        </w:trPr>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5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培训</w:t>
            </w:r>
          </w:p>
        </w:tc>
        <w:tc>
          <w:tcPr>
            <w:tcW w:w="634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需提供至少2名人员的原厂（包括软件、硬件）管理培训，相关费用包含在投标报价中。投标人应提供相应的培训计划，详细说明培训的方式、地点、人数、时间等内容。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trPr>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5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实施要求</w:t>
            </w:r>
          </w:p>
        </w:tc>
        <w:tc>
          <w:tcPr>
            <w:tcW w:w="634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项目安装调试完成后，运行没有任何问题后再进行验收；系统集成完成后，项目经理需驻场一周，提供相关的技术优化。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trPr>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5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付款方式</w:t>
            </w:r>
          </w:p>
        </w:tc>
        <w:tc>
          <w:tcPr>
            <w:tcW w:w="634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合同生效以及具备支付条件后5个工作日内，</w:t>
            </w:r>
            <w:r>
              <w:rPr>
                <w:rFonts w:hint="eastAsia" w:ascii="宋体" w:hAnsi="宋体" w:cs="宋体"/>
                <w:color w:val="auto"/>
                <w:sz w:val="24"/>
                <w:highlight w:val="none"/>
                <w:lang w:val="en-US" w:eastAsia="zh-CN"/>
              </w:rPr>
              <w:t>支付</w:t>
            </w:r>
            <w:r>
              <w:rPr>
                <w:rFonts w:hint="eastAsia" w:ascii="宋体" w:hAnsi="宋体" w:cs="宋体"/>
                <w:color w:val="auto"/>
                <w:sz w:val="24"/>
                <w:highlight w:val="none"/>
              </w:rPr>
              <w:t>合同金额</w:t>
            </w:r>
            <w:r>
              <w:rPr>
                <w:rFonts w:hint="eastAsia" w:ascii="宋体" w:hAnsi="宋体" w:cs="宋体"/>
                <w:color w:val="auto"/>
                <w:sz w:val="24"/>
                <w:highlight w:val="none"/>
                <w:lang w:val="en-US" w:eastAsia="zh-CN"/>
              </w:rPr>
              <w:t>的5</w:t>
            </w:r>
            <w:r>
              <w:rPr>
                <w:rFonts w:hint="eastAsia" w:ascii="宋体" w:hAnsi="宋体" w:cs="宋体"/>
                <w:color w:val="auto"/>
                <w:sz w:val="24"/>
                <w:highlight w:val="none"/>
              </w:rPr>
              <w:t>0％预付款；项目验收合格以及具备支付条件后5个工作日内支付合同余款。</w:t>
            </w:r>
          </w:p>
        </w:tc>
      </w:tr>
    </w:tbl>
    <w:p>
      <w:pPr>
        <w:tabs>
          <w:tab w:val="left" w:pos="0"/>
        </w:tabs>
        <w:spacing w:line="360" w:lineRule="auto"/>
        <w:ind w:firstLine="480"/>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第四部分</w:t>
      </w:r>
      <w:bookmarkStart w:id="25" w:name="_Toc184314449"/>
      <w:bookmarkEnd w:id="25"/>
      <w:bookmarkStart w:id="26" w:name="_Toc184313260"/>
      <w:bookmarkEnd w:id="26"/>
      <w:bookmarkStart w:id="27" w:name="_Toc184312076"/>
      <w:bookmarkEnd w:id="27"/>
      <w:bookmarkStart w:id="28" w:name="_Toc184312134"/>
      <w:bookmarkEnd w:id="28"/>
      <w:bookmarkStart w:id="29" w:name="_Toc184308076"/>
      <w:bookmarkEnd w:id="29"/>
      <w:bookmarkStart w:id="30" w:name="_Toc184308084"/>
      <w:bookmarkEnd w:id="30"/>
      <w:bookmarkStart w:id="31" w:name="_Toc184314463"/>
      <w:bookmarkEnd w:id="31"/>
      <w:bookmarkStart w:id="32" w:name="_Toc184308037"/>
      <w:bookmarkEnd w:id="32"/>
      <w:bookmarkStart w:id="33" w:name="_Toc184313280"/>
      <w:bookmarkEnd w:id="33"/>
      <w:bookmarkStart w:id="34" w:name="_Toc184312088"/>
      <w:bookmarkEnd w:id="34"/>
      <w:bookmarkStart w:id="35" w:name="_Toc184312079"/>
      <w:bookmarkEnd w:id="35"/>
      <w:bookmarkStart w:id="36" w:name="_Toc184313278"/>
      <w:bookmarkEnd w:id="36"/>
      <w:bookmarkStart w:id="37" w:name="_Toc184312102"/>
      <w:bookmarkEnd w:id="37"/>
      <w:bookmarkStart w:id="38" w:name="_Toc184312104"/>
      <w:bookmarkEnd w:id="38"/>
      <w:bookmarkStart w:id="39" w:name="_Toc184313263"/>
      <w:bookmarkEnd w:id="39"/>
      <w:bookmarkStart w:id="40" w:name="_Toc184314470"/>
      <w:bookmarkEnd w:id="40"/>
      <w:bookmarkStart w:id="41" w:name="_Toc184314471"/>
      <w:bookmarkEnd w:id="41"/>
      <w:bookmarkStart w:id="42" w:name="_Toc184312111"/>
      <w:bookmarkEnd w:id="42"/>
      <w:bookmarkStart w:id="43" w:name="_Toc184308102"/>
      <w:bookmarkEnd w:id="43"/>
      <w:bookmarkStart w:id="44" w:name="_Toc184312068"/>
      <w:bookmarkEnd w:id="44"/>
      <w:bookmarkStart w:id="45" w:name="_Toc184308085"/>
      <w:bookmarkEnd w:id="45"/>
      <w:bookmarkStart w:id="46" w:name="_Toc184313256"/>
      <w:bookmarkEnd w:id="46"/>
      <w:bookmarkStart w:id="47" w:name="_Toc184310340"/>
      <w:bookmarkEnd w:id="47"/>
      <w:bookmarkStart w:id="48" w:name="_Toc184314482"/>
      <w:bookmarkEnd w:id="48"/>
      <w:bookmarkStart w:id="49" w:name="_Toc184312071"/>
      <w:bookmarkEnd w:id="49"/>
      <w:bookmarkStart w:id="50" w:name="_Toc184314424"/>
      <w:bookmarkEnd w:id="50"/>
      <w:bookmarkStart w:id="51" w:name="_Toc184314416"/>
      <w:bookmarkEnd w:id="51"/>
      <w:bookmarkStart w:id="52" w:name="_Toc184313288"/>
      <w:bookmarkEnd w:id="52"/>
      <w:bookmarkStart w:id="53" w:name="_Toc184308055"/>
      <w:bookmarkEnd w:id="53"/>
      <w:bookmarkStart w:id="54" w:name="_Toc184313268"/>
      <w:bookmarkEnd w:id="54"/>
      <w:bookmarkStart w:id="55" w:name="_Toc184314423"/>
      <w:bookmarkEnd w:id="55"/>
      <w:bookmarkStart w:id="56" w:name="_Toc184312108"/>
      <w:bookmarkEnd w:id="56"/>
      <w:bookmarkStart w:id="57" w:name="_Toc184310295"/>
      <w:bookmarkEnd w:id="57"/>
      <w:bookmarkStart w:id="58" w:name="_Toc184312101"/>
      <w:bookmarkEnd w:id="58"/>
      <w:bookmarkStart w:id="59" w:name="_Toc184308105"/>
      <w:bookmarkEnd w:id="59"/>
      <w:bookmarkStart w:id="60" w:name="_Toc184313284"/>
      <w:bookmarkEnd w:id="60"/>
      <w:bookmarkStart w:id="61" w:name="_Toc184308047"/>
      <w:bookmarkEnd w:id="61"/>
      <w:bookmarkStart w:id="62" w:name="_Toc184314479"/>
      <w:bookmarkEnd w:id="62"/>
      <w:bookmarkStart w:id="63" w:name="_Toc184312132"/>
      <w:bookmarkEnd w:id="63"/>
      <w:bookmarkStart w:id="64" w:name="_Toc184312100"/>
      <w:bookmarkEnd w:id="64"/>
      <w:bookmarkStart w:id="65" w:name="_Toc184313251"/>
      <w:bookmarkEnd w:id="65"/>
      <w:bookmarkStart w:id="66" w:name="_Toc184314457"/>
      <w:bookmarkEnd w:id="66"/>
      <w:bookmarkStart w:id="67" w:name="_Toc184314412"/>
      <w:bookmarkEnd w:id="67"/>
      <w:bookmarkStart w:id="68" w:name="_Toc184310273"/>
      <w:bookmarkEnd w:id="68"/>
      <w:bookmarkStart w:id="69" w:name="_Toc184310289"/>
      <w:bookmarkEnd w:id="69"/>
      <w:bookmarkStart w:id="70" w:name="_Toc184314429"/>
      <w:bookmarkEnd w:id="70"/>
      <w:bookmarkStart w:id="71" w:name="_Toc184313265"/>
      <w:bookmarkEnd w:id="71"/>
      <w:bookmarkStart w:id="72" w:name="_Toc184313286"/>
      <w:bookmarkEnd w:id="72"/>
      <w:bookmarkStart w:id="73" w:name="_Toc184314453"/>
      <w:bookmarkEnd w:id="73"/>
      <w:bookmarkStart w:id="74" w:name="_Toc184310342"/>
      <w:bookmarkEnd w:id="74"/>
      <w:bookmarkStart w:id="75" w:name="_Toc184310306"/>
      <w:bookmarkEnd w:id="75"/>
      <w:bookmarkStart w:id="76" w:name="_Toc184310301"/>
      <w:bookmarkEnd w:id="76"/>
      <w:bookmarkStart w:id="77" w:name="_Toc184310307"/>
      <w:bookmarkEnd w:id="77"/>
      <w:bookmarkStart w:id="78" w:name="_Toc184312106"/>
      <w:bookmarkEnd w:id="78"/>
      <w:bookmarkStart w:id="79" w:name="_Toc184314441"/>
      <w:bookmarkEnd w:id="79"/>
      <w:bookmarkStart w:id="80" w:name="_Toc184310320"/>
      <w:bookmarkEnd w:id="80"/>
      <w:bookmarkStart w:id="81" w:name="_Toc184310341"/>
      <w:bookmarkEnd w:id="81"/>
      <w:bookmarkStart w:id="82" w:name="_Toc184310323"/>
      <w:bookmarkEnd w:id="82"/>
      <w:bookmarkStart w:id="83" w:name="_Toc184313273"/>
      <w:bookmarkEnd w:id="83"/>
      <w:bookmarkStart w:id="84" w:name="_Toc184308048"/>
      <w:bookmarkEnd w:id="84"/>
      <w:bookmarkStart w:id="85" w:name="_Toc184312105"/>
      <w:bookmarkEnd w:id="85"/>
      <w:bookmarkStart w:id="86" w:name="_Toc184310293"/>
      <w:bookmarkEnd w:id="86"/>
      <w:bookmarkStart w:id="87" w:name="_Toc184312093"/>
      <w:bookmarkEnd w:id="87"/>
      <w:bookmarkStart w:id="88" w:name="_Toc184312087"/>
      <w:bookmarkEnd w:id="88"/>
      <w:bookmarkStart w:id="89" w:name="_Toc184312094"/>
      <w:bookmarkEnd w:id="89"/>
      <w:bookmarkStart w:id="90" w:name="_Toc184313281"/>
      <w:bookmarkEnd w:id="90"/>
      <w:bookmarkStart w:id="91" w:name="_Toc184310326"/>
      <w:bookmarkEnd w:id="91"/>
      <w:bookmarkStart w:id="92" w:name="_Toc184312074"/>
      <w:bookmarkEnd w:id="92"/>
      <w:bookmarkStart w:id="93" w:name="_Toc184312091"/>
      <w:bookmarkEnd w:id="93"/>
      <w:bookmarkStart w:id="94" w:name="_Toc184310318"/>
      <w:bookmarkEnd w:id="94"/>
      <w:bookmarkStart w:id="95" w:name="_Toc184314445"/>
      <w:bookmarkEnd w:id="95"/>
      <w:bookmarkStart w:id="96" w:name="_Toc184313244"/>
      <w:bookmarkEnd w:id="96"/>
      <w:bookmarkStart w:id="97" w:name="_Toc184312129"/>
      <w:bookmarkEnd w:id="97"/>
      <w:bookmarkStart w:id="98" w:name="_Toc184312119"/>
      <w:bookmarkEnd w:id="98"/>
      <w:bookmarkStart w:id="99" w:name="_Toc184310328"/>
      <w:bookmarkEnd w:id="99"/>
      <w:bookmarkStart w:id="100" w:name="_Toc184310272"/>
      <w:bookmarkEnd w:id="100"/>
      <w:bookmarkStart w:id="101" w:name="_Toc184310332"/>
      <w:bookmarkEnd w:id="101"/>
      <w:bookmarkStart w:id="102" w:name="_Toc184313274"/>
      <w:bookmarkEnd w:id="102"/>
      <w:bookmarkStart w:id="103" w:name="_Toc184308062"/>
      <w:bookmarkEnd w:id="103"/>
      <w:bookmarkStart w:id="104" w:name="_Toc184313277"/>
      <w:bookmarkEnd w:id="104"/>
      <w:bookmarkStart w:id="105" w:name="_Toc184314419"/>
      <w:bookmarkEnd w:id="105"/>
      <w:bookmarkStart w:id="106" w:name="_Toc184312120"/>
      <w:bookmarkEnd w:id="106"/>
      <w:bookmarkStart w:id="107" w:name="_Toc184312097"/>
      <w:bookmarkEnd w:id="107"/>
      <w:bookmarkStart w:id="108" w:name="_Toc184314455"/>
      <w:bookmarkEnd w:id="108"/>
      <w:bookmarkStart w:id="109" w:name="_Toc184313266"/>
      <w:bookmarkEnd w:id="109"/>
      <w:bookmarkStart w:id="110" w:name="_Toc184308080"/>
      <w:bookmarkEnd w:id="110"/>
      <w:bookmarkStart w:id="111" w:name="_Toc184308039"/>
      <w:bookmarkEnd w:id="111"/>
      <w:bookmarkStart w:id="112" w:name="_Toc184310322"/>
      <w:bookmarkEnd w:id="112"/>
      <w:bookmarkStart w:id="113" w:name="_Toc184313309"/>
      <w:bookmarkEnd w:id="113"/>
      <w:bookmarkStart w:id="114" w:name="_Toc184310313"/>
      <w:bookmarkEnd w:id="114"/>
      <w:bookmarkStart w:id="115" w:name="_Toc184308078"/>
      <w:bookmarkEnd w:id="115"/>
      <w:bookmarkStart w:id="116" w:name="_Toc184314417"/>
      <w:bookmarkEnd w:id="116"/>
      <w:bookmarkStart w:id="117" w:name="_Toc184312133"/>
      <w:bookmarkEnd w:id="117"/>
      <w:bookmarkStart w:id="118" w:name="_Toc184314440"/>
      <w:bookmarkEnd w:id="118"/>
      <w:bookmarkStart w:id="119" w:name="_Toc184308038"/>
      <w:bookmarkEnd w:id="119"/>
      <w:bookmarkStart w:id="120" w:name="_Toc184308057"/>
      <w:bookmarkEnd w:id="120"/>
      <w:bookmarkStart w:id="121" w:name="_Toc184310280"/>
      <w:bookmarkEnd w:id="121"/>
      <w:bookmarkStart w:id="122" w:name="_Toc184313240"/>
      <w:bookmarkEnd w:id="122"/>
      <w:bookmarkStart w:id="123" w:name="_Toc184310336"/>
      <w:bookmarkEnd w:id="123"/>
      <w:bookmarkStart w:id="124" w:name="_Toc184313259"/>
      <w:bookmarkEnd w:id="124"/>
      <w:bookmarkStart w:id="125" w:name="_Toc184313290"/>
      <w:bookmarkEnd w:id="125"/>
      <w:bookmarkStart w:id="126" w:name="_Toc184310297"/>
      <w:bookmarkEnd w:id="126"/>
      <w:bookmarkStart w:id="127" w:name="_Toc184310319"/>
      <w:bookmarkEnd w:id="127"/>
      <w:bookmarkStart w:id="128" w:name="_Toc184314450"/>
      <w:bookmarkEnd w:id="128"/>
      <w:bookmarkStart w:id="129" w:name="_Toc184310310"/>
      <w:bookmarkEnd w:id="129"/>
      <w:bookmarkStart w:id="130" w:name="_Toc184310290"/>
      <w:bookmarkEnd w:id="130"/>
      <w:bookmarkStart w:id="131" w:name="_Toc184313297"/>
      <w:bookmarkEnd w:id="131"/>
      <w:bookmarkStart w:id="132" w:name="_Toc184308068"/>
      <w:bookmarkEnd w:id="132"/>
      <w:bookmarkStart w:id="133" w:name="_Toc184314421"/>
      <w:bookmarkEnd w:id="133"/>
      <w:bookmarkStart w:id="134" w:name="_Toc184314420"/>
      <w:bookmarkEnd w:id="134"/>
      <w:bookmarkStart w:id="135" w:name="_Toc184308051"/>
      <w:bookmarkEnd w:id="135"/>
      <w:bookmarkStart w:id="136" w:name="_Toc184314469"/>
      <w:bookmarkEnd w:id="136"/>
      <w:bookmarkStart w:id="137" w:name="_Toc184310335"/>
      <w:bookmarkEnd w:id="137"/>
      <w:bookmarkStart w:id="138" w:name="_Toc184313310"/>
      <w:bookmarkEnd w:id="138"/>
      <w:bookmarkStart w:id="139" w:name="_Toc184312096"/>
      <w:bookmarkEnd w:id="139"/>
      <w:bookmarkStart w:id="140" w:name="_Toc184310277"/>
      <w:bookmarkEnd w:id="140"/>
      <w:bookmarkStart w:id="141" w:name="_Toc184312103"/>
      <w:bookmarkEnd w:id="141"/>
      <w:bookmarkStart w:id="142" w:name="_Toc184308077"/>
      <w:bookmarkEnd w:id="142"/>
      <w:bookmarkStart w:id="143" w:name="_Toc184310311"/>
      <w:bookmarkEnd w:id="143"/>
      <w:bookmarkStart w:id="144" w:name="_Toc184308097"/>
      <w:bookmarkEnd w:id="144"/>
      <w:bookmarkStart w:id="145" w:name="_Toc184313301"/>
      <w:bookmarkEnd w:id="145"/>
      <w:bookmarkStart w:id="146" w:name="_Toc184308095"/>
      <w:bookmarkEnd w:id="146"/>
      <w:bookmarkStart w:id="147" w:name="_Toc184314480"/>
      <w:bookmarkEnd w:id="147"/>
      <w:bookmarkStart w:id="148" w:name="_Toc184313257"/>
      <w:bookmarkEnd w:id="148"/>
      <w:bookmarkStart w:id="149" w:name="_Toc184312131"/>
      <w:bookmarkEnd w:id="149"/>
      <w:bookmarkStart w:id="150" w:name="_Toc184313298"/>
      <w:bookmarkEnd w:id="150"/>
      <w:bookmarkStart w:id="151" w:name="_Toc184308108"/>
      <w:bookmarkEnd w:id="151"/>
      <w:bookmarkStart w:id="152" w:name="_Toc184314458"/>
      <w:bookmarkEnd w:id="152"/>
      <w:bookmarkStart w:id="153" w:name="_Toc184308063"/>
      <w:bookmarkEnd w:id="153"/>
      <w:bookmarkStart w:id="154" w:name="_Toc184308100"/>
      <w:bookmarkEnd w:id="154"/>
      <w:bookmarkStart w:id="155" w:name="_Toc184314411"/>
      <w:bookmarkEnd w:id="155"/>
      <w:bookmarkStart w:id="156" w:name="_Toc184312095"/>
      <w:bookmarkEnd w:id="156"/>
      <w:bookmarkStart w:id="157" w:name="_Toc184312107"/>
      <w:bookmarkEnd w:id="157"/>
      <w:bookmarkStart w:id="158" w:name="_Toc184308049"/>
      <w:bookmarkEnd w:id="158"/>
      <w:bookmarkStart w:id="159" w:name="_Toc184308065"/>
      <w:bookmarkEnd w:id="159"/>
      <w:bookmarkStart w:id="160" w:name="_Toc184312138"/>
      <w:bookmarkEnd w:id="160"/>
      <w:bookmarkStart w:id="161" w:name="_Toc184312115"/>
      <w:bookmarkEnd w:id="161"/>
      <w:bookmarkStart w:id="162" w:name="_Toc184313243"/>
      <w:bookmarkEnd w:id="162"/>
      <w:bookmarkStart w:id="163" w:name="_Toc184314444"/>
      <w:bookmarkEnd w:id="163"/>
      <w:bookmarkStart w:id="164" w:name="_Toc184308071"/>
      <w:bookmarkEnd w:id="164"/>
      <w:bookmarkStart w:id="165" w:name="_Toc184313279"/>
      <w:bookmarkEnd w:id="165"/>
      <w:bookmarkStart w:id="166" w:name="_Toc184314415"/>
      <w:bookmarkEnd w:id="166"/>
      <w:bookmarkStart w:id="167" w:name="_Toc184313276"/>
      <w:bookmarkEnd w:id="167"/>
      <w:bookmarkStart w:id="168" w:name="_Toc184313267"/>
      <w:bookmarkEnd w:id="168"/>
      <w:bookmarkStart w:id="169" w:name="_Toc184314442"/>
      <w:bookmarkEnd w:id="169"/>
      <w:bookmarkStart w:id="170" w:name="_Toc184310279"/>
      <w:bookmarkEnd w:id="170"/>
      <w:bookmarkStart w:id="171" w:name="_Toc184314461"/>
      <w:bookmarkEnd w:id="171"/>
      <w:bookmarkStart w:id="172" w:name="_Toc184308075"/>
      <w:bookmarkEnd w:id="172"/>
      <w:bookmarkStart w:id="173" w:name="_Toc184308064"/>
      <w:bookmarkEnd w:id="173"/>
      <w:bookmarkStart w:id="174" w:name="_Toc184308107"/>
      <w:bookmarkEnd w:id="174"/>
      <w:bookmarkStart w:id="175" w:name="_Toc184313246"/>
      <w:bookmarkEnd w:id="175"/>
      <w:bookmarkStart w:id="176" w:name="_Toc184310291"/>
      <w:bookmarkEnd w:id="176"/>
      <w:bookmarkStart w:id="177" w:name="_Toc184313271"/>
      <w:bookmarkEnd w:id="177"/>
      <w:bookmarkStart w:id="178" w:name="_Toc184310274"/>
      <w:bookmarkEnd w:id="178"/>
      <w:bookmarkStart w:id="179" w:name="_Toc184314475"/>
      <w:bookmarkEnd w:id="179"/>
      <w:bookmarkStart w:id="180" w:name="_Toc184310282"/>
      <w:bookmarkEnd w:id="180"/>
      <w:bookmarkStart w:id="181" w:name="_Toc184310294"/>
      <w:bookmarkEnd w:id="181"/>
      <w:bookmarkStart w:id="182" w:name="_Toc184313306"/>
      <w:bookmarkEnd w:id="182"/>
      <w:bookmarkStart w:id="183" w:name="_Toc184312124"/>
      <w:bookmarkEnd w:id="183"/>
      <w:bookmarkStart w:id="184" w:name="_Toc184313262"/>
      <w:bookmarkEnd w:id="184"/>
      <w:bookmarkStart w:id="185" w:name="_Toc184308050"/>
      <w:bookmarkEnd w:id="185"/>
      <w:bookmarkStart w:id="186" w:name="_Toc184312121"/>
      <w:bookmarkEnd w:id="186"/>
      <w:bookmarkStart w:id="187" w:name="_Toc184310303"/>
      <w:bookmarkEnd w:id="187"/>
      <w:bookmarkStart w:id="188" w:name="_Toc184310337"/>
      <w:bookmarkEnd w:id="188"/>
      <w:bookmarkStart w:id="189" w:name="_Toc184314418"/>
      <w:bookmarkEnd w:id="189"/>
      <w:bookmarkStart w:id="190" w:name="_Toc184310284"/>
      <w:bookmarkEnd w:id="190"/>
      <w:bookmarkStart w:id="191" w:name="_Toc184312114"/>
      <w:bookmarkEnd w:id="191"/>
      <w:bookmarkStart w:id="192" w:name="_Toc184310330"/>
      <w:bookmarkEnd w:id="192"/>
      <w:bookmarkStart w:id="193" w:name="_Toc184308045"/>
      <w:bookmarkEnd w:id="193"/>
      <w:bookmarkStart w:id="194" w:name="_Toc184312113"/>
      <w:bookmarkEnd w:id="194"/>
      <w:bookmarkStart w:id="195" w:name="_Toc184314410"/>
      <w:bookmarkEnd w:id="195"/>
      <w:bookmarkStart w:id="196" w:name="_Toc184313242"/>
      <w:bookmarkEnd w:id="196"/>
      <w:bookmarkStart w:id="197" w:name="_Toc184314434"/>
      <w:bookmarkEnd w:id="197"/>
      <w:bookmarkStart w:id="198" w:name="_Toc184308092"/>
      <w:bookmarkEnd w:id="198"/>
      <w:bookmarkStart w:id="199" w:name="_Toc184310324"/>
      <w:bookmarkEnd w:id="199"/>
      <w:bookmarkStart w:id="200" w:name="_Toc184314425"/>
      <w:bookmarkEnd w:id="200"/>
      <w:bookmarkStart w:id="201" w:name="_Toc184310331"/>
      <w:bookmarkEnd w:id="201"/>
      <w:bookmarkStart w:id="202" w:name="_Toc184313292"/>
      <w:bookmarkEnd w:id="202"/>
      <w:bookmarkStart w:id="203" w:name="_Toc184308060"/>
      <w:bookmarkEnd w:id="203"/>
      <w:bookmarkStart w:id="204" w:name="_Toc184313252"/>
      <w:bookmarkEnd w:id="204"/>
      <w:bookmarkStart w:id="205" w:name="_Toc184314456"/>
      <w:bookmarkEnd w:id="205"/>
      <w:bookmarkStart w:id="206" w:name="_Toc184313307"/>
      <w:bookmarkEnd w:id="206"/>
      <w:bookmarkStart w:id="207" w:name="_Toc184308069"/>
      <w:bookmarkEnd w:id="207"/>
      <w:bookmarkStart w:id="208" w:name="_Toc184312117"/>
      <w:bookmarkEnd w:id="208"/>
      <w:bookmarkStart w:id="209" w:name="_Toc184314460"/>
      <w:bookmarkEnd w:id="209"/>
      <w:bookmarkStart w:id="210" w:name="_Toc184310317"/>
      <w:bookmarkEnd w:id="210"/>
      <w:bookmarkStart w:id="211" w:name="_Toc184314413"/>
      <w:bookmarkEnd w:id="211"/>
      <w:bookmarkStart w:id="212" w:name="_Toc184314472"/>
      <w:bookmarkEnd w:id="212"/>
      <w:bookmarkStart w:id="213" w:name="_Toc184310304"/>
      <w:bookmarkEnd w:id="213"/>
      <w:bookmarkStart w:id="214" w:name="_Toc184313308"/>
      <w:bookmarkEnd w:id="214"/>
      <w:bookmarkStart w:id="215" w:name="_Toc184314462"/>
      <w:bookmarkEnd w:id="215"/>
      <w:bookmarkStart w:id="216" w:name="_Toc184312099"/>
      <w:bookmarkEnd w:id="216"/>
      <w:bookmarkStart w:id="217" w:name="_Toc184308061"/>
      <w:bookmarkEnd w:id="217"/>
      <w:bookmarkStart w:id="218" w:name="_Toc184314468"/>
      <w:bookmarkEnd w:id="218"/>
      <w:bookmarkStart w:id="219" w:name="_Toc184310305"/>
      <w:bookmarkEnd w:id="219"/>
      <w:bookmarkStart w:id="220" w:name="_Toc184308087"/>
      <w:bookmarkEnd w:id="220"/>
      <w:bookmarkStart w:id="221" w:name="_Toc184312112"/>
      <w:bookmarkEnd w:id="221"/>
      <w:bookmarkStart w:id="222" w:name="_Toc184313289"/>
      <w:bookmarkEnd w:id="222"/>
      <w:bookmarkStart w:id="223" w:name="_Toc184312135"/>
      <w:bookmarkEnd w:id="223"/>
      <w:bookmarkStart w:id="224" w:name="_Toc184314474"/>
      <w:bookmarkEnd w:id="224"/>
      <w:bookmarkStart w:id="225" w:name="_Toc184310298"/>
      <w:bookmarkEnd w:id="225"/>
      <w:bookmarkStart w:id="226" w:name="_Toc184308042"/>
      <w:bookmarkEnd w:id="226"/>
      <w:bookmarkStart w:id="227" w:name="_Toc184312067"/>
      <w:bookmarkEnd w:id="227"/>
      <w:bookmarkStart w:id="228" w:name="_Toc184312122"/>
      <w:bookmarkEnd w:id="228"/>
      <w:bookmarkStart w:id="229" w:name="_Toc184314435"/>
      <w:bookmarkEnd w:id="229"/>
      <w:bookmarkStart w:id="230" w:name="_Toc184312085"/>
      <w:bookmarkEnd w:id="230"/>
      <w:bookmarkStart w:id="231" w:name="_Toc184308093"/>
      <w:bookmarkEnd w:id="231"/>
      <w:bookmarkStart w:id="232" w:name="_Toc184308040"/>
      <w:bookmarkEnd w:id="232"/>
      <w:bookmarkStart w:id="233" w:name="_Toc184310312"/>
      <w:bookmarkEnd w:id="233"/>
      <w:bookmarkStart w:id="234" w:name="_Toc184310327"/>
      <w:bookmarkEnd w:id="234"/>
      <w:bookmarkStart w:id="235" w:name="_Toc184313270"/>
      <w:bookmarkEnd w:id="235"/>
      <w:bookmarkStart w:id="236" w:name="_Toc184312123"/>
      <w:bookmarkEnd w:id="236"/>
      <w:bookmarkStart w:id="237" w:name="_Toc184310314"/>
      <w:bookmarkEnd w:id="237"/>
      <w:bookmarkStart w:id="238" w:name="_Toc184312081"/>
      <w:bookmarkEnd w:id="238"/>
      <w:bookmarkStart w:id="239" w:name="_Toc184310296"/>
      <w:bookmarkEnd w:id="239"/>
      <w:bookmarkStart w:id="240" w:name="_Toc184308094"/>
      <w:bookmarkEnd w:id="240"/>
      <w:bookmarkStart w:id="241" w:name="_Toc184310281"/>
      <w:bookmarkEnd w:id="241"/>
      <w:bookmarkStart w:id="242" w:name="_Toc184313296"/>
      <w:bookmarkEnd w:id="242"/>
      <w:bookmarkStart w:id="243" w:name="_Toc184310276"/>
      <w:bookmarkEnd w:id="243"/>
      <w:bookmarkStart w:id="244" w:name="_Toc184314464"/>
      <w:bookmarkEnd w:id="244"/>
      <w:bookmarkStart w:id="245" w:name="_Toc184308106"/>
      <w:bookmarkEnd w:id="245"/>
      <w:bookmarkStart w:id="246" w:name="_Toc184314446"/>
      <w:bookmarkEnd w:id="246"/>
      <w:bookmarkStart w:id="247" w:name="_Toc184312125"/>
      <w:bookmarkEnd w:id="247"/>
      <w:bookmarkStart w:id="248" w:name="_Toc184313300"/>
      <w:bookmarkEnd w:id="248"/>
      <w:bookmarkStart w:id="249" w:name="_Toc184314427"/>
      <w:bookmarkEnd w:id="249"/>
      <w:bookmarkStart w:id="250" w:name="_Toc184312139"/>
      <w:bookmarkEnd w:id="250"/>
      <w:bookmarkStart w:id="251" w:name="_Toc184308043"/>
      <w:bookmarkEnd w:id="251"/>
      <w:bookmarkStart w:id="252" w:name="_Toc184310308"/>
      <w:bookmarkEnd w:id="252"/>
      <w:bookmarkStart w:id="253" w:name="_Toc184310333"/>
      <w:bookmarkEnd w:id="253"/>
      <w:bookmarkStart w:id="254" w:name="_Toc184312073"/>
      <w:bookmarkEnd w:id="254"/>
      <w:bookmarkStart w:id="255" w:name="_Toc184313287"/>
      <w:bookmarkEnd w:id="255"/>
      <w:bookmarkStart w:id="256" w:name="_Toc184310338"/>
      <w:bookmarkEnd w:id="256"/>
      <w:bookmarkStart w:id="257" w:name="_Toc184314422"/>
      <w:bookmarkEnd w:id="257"/>
      <w:bookmarkStart w:id="258" w:name="_Toc184312092"/>
      <w:bookmarkEnd w:id="258"/>
      <w:bookmarkStart w:id="259" w:name="_Toc184314454"/>
      <w:bookmarkEnd w:id="259"/>
      <w:bookmarkStart w:id="260" w:name="_Toc184313247"/>
      <w:bookmarkEnd w:id="260"/>
      <w:bookmarkStart w:id="261" w:name="_Toc184310288"/>
      <w:bookmarkEnd w:id="261"/>
      <w:bookmarkStart w:id="262" w:name="_Toc184312130"/>
      <w:bookmarkEnd w:id="262"/>
      <w:bookmarkStart w:id="263" w:name="_Toc184312072"/>
      <w:bookmarkEnd w:id="263"/>
      <w:bookmarkStart w:id="264" w:name="_Toc184312069"/>
      <w:bookmarkEnd w:id="264"/>
      <w:bookmarkStart w:id="265" w:name="_Toc184308090"/>
      <w:bookmarkEnd w:id="265"/>
      <w:bookmarkStart w:id="266" w:name="_Toc184308046"/>
      <w:bookmarkEnd w:id="266"/>
      <w:bookmarkStart w:id="267" w:name="_Toc184312070"/>
      <w:bookmarkEnd w:id="267"/>
      <w:bookmarkStart w:id="268" w:name="_Toc184314465"/>
      <w:bookmarkEnd w:id="268"/>
      <w:bookmarkStart w:id="269" w:name="_Toc184310302"/>
      <w:bookmarkEnd w:id="269"/>
      <w:bookmarkStart w:id="270" w:name="_Toc184313261"/>
      <w:bookmarkEnd w:id="270"/>
      <w:bookmarkStart w:id="271" w:name="_Toc184313239"/>
      <w:bookmarkEnd w:id="271"/>
      <w:bookmarkStart w:id="272" w:name="_Toc184308053"/>
      <w:bookmarkEnd w:id="272"/>
      <w:bookmarkStart w:id="273" w:name="_Toc184308073"/>
      <w:bookmarkEnd w:id="273"/>
      <w:bookmarkStart w:id="274" w:name="_Toc184308081"/>
      <w:bookmarkEnd w:id="274"/>
      <w:bookmarkStart w:id="275" w:name="_Toc184308066"/>
      <w:bookmarkEnd w:id="275"/>
      <w:bookmarkStart w:id="276" w:name="_Toc184308083"/>
      <w:bookmarkEnd w:id="276"/>
      <w:bookmarkStart w:id="277" w:name="_Toc184314473"/>
      <w:bookmarkEnd w:id="277"/>
      <w:bookmarkStart w:id="278" w:name="_Toc184313282"/>
      <w:bookmarkEnd w:id="278"/>
      <w:bookmarkStart w:id="279" w:name="_Toc184313283"/>
      <w:bookmarkEnd w:id="279"/>
      <w:bookmarkStart w:id="280" w:name="_Toc184313254"/>
      <w:bookmarkEnd w:id="280"/>
      <w:bookmarkStart w:id="281" w:name="_Toc184314481"/>
      <w:bookmarkEnd w:id="281"/>
      <w:bookmarkStart w:id="282" w:name="_Toc184310285"/>
      <w:bookmarkEnd w:id="282"/>
      <w:bookmarkStart w:id="283" w:name="_Toc184314428"/>
      <w:bookmarkEnd w:id="283"/>
      <w:bookmarkStart w:id="284" w:name="_Toc184314443"/>
      <w:bookmarkEnd w:id="284"/>
      <w:bookmarkStart w:id="285" w:name="_Toc184314467"/>
      <w:bookmarkEnd w:id="285"/>
      <w:bookmarkStart w:id="286" w:name="_Toc184310275"/>
      <w:bookmarkEnd w:id="286"/>
      <w:bookmarkStart w:id="287" w:name="_Toc184314433"/>
      <w:bookmarkEnd w:id="287"/>
      <w:bookmarkStart w:id="288" w:name="_Toc184310321"/>
      <w:bookmarkEnd w:id="288"/>
      <w:bookmarkStart w:id="289" w:name="_Toc184308074"/>
      <w:bookmarkEnd w:id="289"/>
      <w:bookmarkStart w:id="290" w:name="_Toc184312082"/>
      <w:bookmarkEnd w:id="290"/>
      <w:bookmarkStart w:id="291" w:name="_Toc184310329"/>
      <w:bookmarkEnd w:id="291"/>
      <w:bookmarkStart w:id="292" w:name="_Toc184314439"/>
      <w:bookmarkEnd w:id="292"/>
      <w:bookmarkStart w:id="293" w:name="_Toc184312126"/>
      <w:bookmarkEnd w:id="293"/>
      <w:bookmarkStart w:id="294" w:name="_Toc184312090"/>
      <w:bookmarkEnd w:id="294"/>
      <w:bookmarkStart w:id="295" w:name="_Toc184308072"/>
      <w:bookmarkEnd w:id="295"/>
      <w:bookmarkStart w:id="296" w:name="_Toc184310343"/>
      <w:bookmarkEnd w:id="296"/>
      <w:bookmarkStart w:id="297" w:name="_Toc184312083"/>
      <w:bookmarkEnd w:id="297"/>
      <w:bookmarkStart w:id="298" w:name="_Toc184312084"/>
      <w:bookmarkEnd w:id="298"/>
      <w:bookmarkStart w:id="299" w:name="_Toc184313250"/>
      <w:bookmarkEnd w:id="299"/>
      <w:bookmarkStart w:id="300" w:name="_Toc184312080"/>
      <w:bookmarkEnd w:id="300"/>
      <w:bookmarkStart w:id="301" w:name="_Toc184308099"/>
      <w:bookmarkEnd w:id="301"/>
      <w:bookmarkStart w:id="302" w:name="_Toc184310278"/>
      <w:bookmarkEnd w:id="302"/>
      <w:bookmarkStart w:id="303" w:name="_Toc184312136"/>
      <w:bookmarkEnd w:id="303"/>
      <w:bookmarkStart w:id="304" w:name="_Toc184308070"/>
      <w:bookmarkEnd w:id="304"/>
      <w:bookmarkStart w:id="305" w:name="_Toc184310283"/>
      <w:bookmarkEnd w:id="305"/>
      <w:bookmarkStart w:id="306" w:name="_Toc184314477"/>
      <w:bookmarkEnd w:id="306"/>
      <w:bookmarkStart w:id="307" w:name="_Toc184313255"/>
      <w:bookmarkEnd w:id="307"/>
      <w:bookmarkStart w:id="308" w:name="_Toc184314426"/>
      <w:bookmarkEnd w:id="308"/>
      <w:bookmarkStart w:id="309" w:name="_Toc184314452"/>
      <w:bookmarkEnd w:id="309"/>
      <w:bookmarkStart w:id="310" w:name="_Toc184308089"/>
      <w:bookmarkEnd w:id="310"/>
      <w:bookmarkStart w:id="311" w:name="_Toc184308041"/>
      <w:bookmarkEnd w:id="311"/>
      <w:bookmarkStart w:id="312" w:name="_Toc184312089"/>
      <w:bookmarkEnd w:id="312"/>
      <w:bookmarkStart w:id="313" w:name="_Toc184314448"/>
      <w:bookmarkEnd w:id="313"/>
      <w:bookmarkStart w:id="314" w:name="_Toc184314438"/>
      <w:bookmarkEnd w:id="314"/>
      <w:bookmarkStart w:id="315" w:name="_Toc184312128"/>
      <w:bookmarkEnd w:id="315"/>
      <w:bookmarkStart w:id="316" w:name="_Toc184308104"/>
      <w:bookmarkEnd w:id="316"/>
      <w:bookmarkStart w:id="317" w:name="_Toc184308088"/>
      <w:bookmarkEnd w:id="317"/>
      <w:bookmarkStart w:id="318" w:name="_Toc184308052"/>
      <w:bookmarkEnd w:id="318"/>
      <w:bookmarkStart w:id="319" w:name="_Toc184313299"/>
      <w:bookmarkEnd w:id="319"/>
      <w:bookmarkStart w:id="320" w:name="_Toc184308044"/>
      <w:bookmarkEnd w:id="320"/>
      <w:bookmarkStart w:id="321" w:name="_Toc184312098"/>
      <w:bookmarkEnd w:id="321"/>
      <w:bookmarkStart w:id="322" w:name="_Toc184314478"/>
      <w:bookmarkEnd w:id="322"/>
      <w:bookmarkStart w:id="323" w:name="_Toc184310309"/>
      <w:bookmarkEnd w:id="323"/>
      <w:bookmarkStart w:id="324" w:name="_Toc184310292"/>
      <w:bookmarkEnd w:id="324"/>
      <w:bookmarkStart w:id="325" w:name="_Toc184314459"/>
      <w:bookmarkEnd w:id="325"/>
      <w:bookmarkStart w:id="326" w:name="_Toc184312137"/>
      <w:bookmarkEnd w:id="326"/>
      <w:bookmarkStart w:id="327" w:name="_Toc184314451"/>
      <w:bookmarkEnd w:id="327"/>
      <w:bookmarkStart w:id="328" w:name="_Toc184313302"/>
      <w:bookmarkEnd w:id="328"/>
      <w:bookmarkStart w:id="329" w:name="_Toc184310316"/>
      <w:bookmarkEnd w:id="329"/>
      <w:bookmarkStart w:id="330" w:name="_Toc184314430"/>
      <w:bookmarkEnd w:id="330"/>
      <w:bookmarkStart w:id="331" w:name="_Toc184314432"/>
      <w:bookmarkEnd w:id="331"/>
      <w:bookmarkStart w:id="332" w:name="_Toc184308101"/>
      <w:bookmarkEnd w:id="332"/>
      <w:bookmarkStart w:id="333" w:name="_Toc184314414"/>
      <w:bookmarkEnd w:id="333"/>
      <w:bookmarkStart w:id="334" w:name="_Toc184314476"/>
      <w:bookmarkEnd w:id="334"/>
      <w:bookmarkStart w:id="335" w:name="_Toc184308058"/>
      <w:bookmarkEnd w:id="335"/>
      <w:bookmarkStart w:id="336" w:name="_Toc184310339"/>
      <w:bookmarkEnd w:id="336"/>
      <w:bookmarkStart w:id="337" w:name="_Toc184312075"/>
      <w:bookmarkEnd w:id="337"/>
      <w:bookmarkStart w:id="338" w:name="_Toc184314466"/>
      <w:bookmarkEnd w:id="338"/>
      <w:bookmarkStart w:id="339" w:name="_Toc184310299"/>
      <w:bookmarkEnd w:id="339"/>
      <w:bookmarkStart w:id="340" w:name="_Toc184313264"/>
      <w:bookmarkEnd w:id="340"/>
      <w:bookmarkStart w:id="341" w:name="_Toc184310287"/>
      <w:bookmarkEnd w:id="341"/>
      <w:bookmarkStart w:id="342" w:name="_Toc184313285"/>
      <w:bookmarkEnd w:id="342"/>
      <w:bookmarkStart w:id="343" w:name="_Toc184308067"/>
      <w:bookmarkEnd w:id="343"/>
      <w:bookmarkStart w:id="344" w:name="_Toc184313305"/>
      <w:bookmarkEnd w:id="344"/>
      <w:bookmarkStart w:id="345" w:name="_Toc184313295"/>
      <w:bookmarkEnd w:id="345"/>
      <w:bookmarkStart w:id="346" w:name="_Toc184314436"/>
      <w:bookmarkEnd w:id="346"/>
      <w:bookmarkStart w:id="347" w:name="_Toc184310300"/>
      <w:bookmarkEnd w:id="347"/>
      <w:bookmarkStart w:id="348" w:name="_Toc184312127"/>
      <w:bookmarkEnd w:id="348"/>
      <w:bookmarkStart w:id="349" w:name="_Toc184310315"/>
      <w:bookmarkEnd w:id="349"/>
      <w:bookmarkStart w:id="350" w:name="_Toc184310325"/>
      <w:bookmarkEnd w:id="350"/>
      <w:bookmarkStart w:id="351" w:name="_Toc184312078"/>
      <w:bookmarkEnd w:id="351"/>
      <w:bookmarkStart w:id="352" w:name="_Toc184310286"/>
      <w:bookmarkEnd w:id="352"/>
      <w:bookmarkStart w:id="353" w:name="_Toc184313303"/>
      <w:bookmarkEnd w:id="353"/>
      <w:bookmarkStart w:id="354" w:name="_Toc184312077"/>
      <w:bookmarkEnd w:id="354"/>
      <w:bookmarkStart w:id="355" w:name="_Toc184313293"/>
      <w:bookmarkEnd w:id="355"/>
      <w:bookmarkStart w:id="356" w:name="_Toc184313304"/>
      <w:bookmarkEnd w:id="356"/>
      <w:bookmarkStart w:id="357" w:name="_Toc184312109"/>
      <w:bookmarkEnd w:id="357"/>
      <w:bookmarkStart w:id="358" w:name="_Toc184313275"/>
      <w:bookmarkEnd w:id="358"/>
      <w:bookmarkStart w:id="359" w:name="_Toc184313272"/>
      <w:bookmarkEnd w:id="359"/>
      <w:bookmarkStart w:id="360" w:name="_Toc184313291"/>
      <w:bookmarkEnd w:id="360"/>
      <w:bookmarkStart w:id="361" w:name="_Toc184308079"/>
      <w:bookmarkEnd w:id="361"/>
      <w:bookmarkStart w:id="362" w:name="_Toc184308036"/>
      <w:bookmarkEnd w:id="362"/>
      <w:bookmarkStart w:id="363" w:name="_Toc184310344"/>
      <w:bookmarkEnd w:id="363"/>
      <w:bookmarkStart w:id="364" w:name="_Toc184314447"/>
      <w:bookmarkEnd w:id="364"/>
      <w:bookmarkStart w:id="365" w:name="_Toc184310334"/>
      <w:bookmarkEnd w:id="365"/>
      <w:bookmarkStart w:id="366" w:name="_Toc184308082"/>
      <w:bookmarkEnd w:id="366"/>
      <w:bookmarkStart w:id="367" w:name="_Toc184308096"/>
      <w:bookmarkEnd w:id="367"/>
      <w:bookmarkStart w:id="368" w:name="_Toc184313248"/>
      <w:bookmarkEnd w:id="368"/>
      <w:bookmarkStart w:id="369" w:name="_Toc184312116"/>
      <w:bookmarkEnd w:id="369"/>
      <w:bookmarkStart w:id="370" w:name="_Toc184313245"/>
      <w:bookmarkEnd w:id="370"/>
      <w:bookmarkStart w:id="371" w:name="_Toc184308103"/>
      <w:bookmarkEnd w:id="371"/>
      <w:bookmarkStart w:id="372" w:name="_Toc184308098"/>
      <w:bookmarkEnd w:id="372"/>
      <w:bookmarkStart w:id="373" w:name="_Toc184313241"/>
      <w:bookmarkEnd w:id="373"/>
      <w:bookmarkStart w:id="374" w:name="_Toc184312110"/>
      <w:bookmarkEnd w:id="374"/>
      <w:bookmarkStart w:id="375" w:name="_Toc184308056"/>
      <w:bookmarkEnd w:id="375"/>
      <w:bookmarkStart w:id="376" w:name="_Toc184308091"/>
      <w:bookmarkEnd w:id="376"/>
      <w:bookmarkStart w:id="377" w:name="_Toc184314437"/>
      <w:bookmarkEnd w:id="377"/>
      <w:bookmarkStart w:id="378" w:name="_Toc184312118"/>
      <w:bookmarkEnd w:id="378"/>
      <w:bookmarkStart w:id="379" w:name="_Toc184308054"/>
      <w:bookmarkEnd w:id="379"/>
      <w:bookmarkStart w:id="380" w:name="_Toc184313238"/>
      <w:bookmarkEnd w:id="380"/>
      <w:bookmarkStart w:id="381" w:name="_Toc184314431"/>
      <w:bookmarkEnd w:id="381"/>
      <w:bookmarkStart w:id="382" w:name="_Toc184313269"/>
      <w:bookmarkEnd w:id="382"/>
      <w:bookmarkStart w:id="383" w:name="_Toc184312086"/>
      <w:bookmarkEnd w:id="383"/>
      <w:bookmarkStart w:id="384" w:name="_Toc184313249"/>
      <w:bookmarkEnd w:id="384"/>
      <w:bookmarkStart w:id="385" w:name="_Toc184313294"/>
      <w:bookmarkEnd w:id="385"/>
      <w:bookmarkStart w:id="386" w:name="_Toc184313258"/>
      <w:bookmarkEnd w:id="386"/>
      <w:bookmarkStart w:id="387" w:name="_Toc184313253"/>
      <w:bookmarkEnd w:id="387"/>
      <w:bookmarkStart w:id="388" w:name="_Toc184308086"/>
      <w:bookmarkEnd w:id="388"/>
      <w:bookmarkStart w:id="389" w:name="_Toc184308059"/>
      <w:bookmarkEnd w:id="389"/>
      <w:r>
        <w:rPr>
          <w:rFonts w:hint="eastAsia" w:ascii="宋体" w:hAnsi="宋体" w:cs="宋体"/>
          <w:b/>
          <w:color w:val="auto"/>
          <w:sz w:val="36"/>
          <w:szCs w:val="36"/>
          <w:highlight w:val="none"/>
        </w:rPr>
        <w:t xml:space="preserve">  评标办法</w:t>
      </w:r>
    </w:p>
    <w:tbl>
      <w:tblPr>
        <w:tblStyle w:val="19"/>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7695"/>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1" w:type="pct"/>
            <w:vAlign w:val="center"/>
          </w:tcPr>
          <w:p>
            <w:pPr>
              <w:snapToGrid w:val="0"/>
              <w:jc w:val="center"/>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186" w:type="pct"/>
            <w:vAlign w:val="center"/>
          </w:tcPr>
          <w:p>
            <w:pPr>
              <w:snapToGrid w:val="0"/>
              <w:jc w:val="center"/>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评标标准</w:t>
            </w:r>
          </w:p>
        </w:tc>
        <w:tc>
          <w:tcPr>
            <w:tcW w:w="402" w:type="pct"/>
            <w:vAlign w:val="center"/>
          </w:tcPr>
          <w:p>
            <w:pPr>
              <w:snapToGrid w:val="0"/>
              <w:jc w:val="center"/>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411" w:type="pct"/>
            <w:vAlign w:val="center"/>
          </w:tcPr>
          <w:p>
            <w:pPr>
              <w:snapToGrid w:val="0"/>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p>
        </w:tc>
        <w:tc>
          <w:tcPr>
            <w:tcW w:w="4186" w:type="pct"/>
            <w:vAlign w:val="center"/>
          </w:tcPr>
          <w:p>
            <w:pPr>
              <w:snapToGrid w:val="0"/>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有效投标报价的最低价作为评标基准价，其最低报价为满分；按［投标报价得分=（评标基准价/投标报价）*30］的计算公式计算。</w:t>
            </w:r>
          </w:p>
          <w:p>
            <w:pPr>
              <w:widowControl/>
              <w:shd w:val="clear" w:color="auto" w:fill="FFFFFF"/>
              <w:adjustRightInd/>
              <w:snapToGrid w:val="0"/>
              <w:ind w:firstLine="42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评标过程中，不得去掉报价中的最高报价和最低报价。</w:t>
            </w:r>
          </w:p>
          <w:p>
            <w:pPr>
              <w:widowControl/>
              <w:shd w:val="clear" w:color="auto" w:fill="FFFFFF"/>
              <w:adjustRightInd/>
              <w:snapToGrid w:val="0"/>
              <w:ind w:firstLine="42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因落实政府采购政策需要进行价格调整的，以调整后的价格计算评标基准价和投标报价。</w:t>
            </w:r>
          </w:p>
        </w:tc>
        <w:tc>
          <w:tcPr>
            <w:tcW w:w="402" w:type="pct"/>
            <w:vAlign w:val="center"/>
          </w:tcPr>
          <w:p>
            <w:pPr>
              <w:snapToGrid w:val="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11"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1</w:t>
            </w:r>
          </w:p>
        </w:tc>
        <w:tc>
          <w:tcPr>
            <w:tcW w:w="4186" w:type="pct"/>
            <w:vAlign w:val="center"/>
          </w:tcPr>
          <w:p>
            <w:pPr>
              <w:jc w:val="left"/>
              <w:rPr>
                <w:rFonts w:asciiTheme="minorEastAsia" w:hAnsiTheme="minorEastAsia" w:eastAsiaTheme="minorEastAsia" w:cstheme="minorEastAsia"/>
                <w:bCs/>
                <w:color w:val="auto"/>
                <w:spacing w:val="-6"/>
                <w:sz w:val="24"/>
                <w:highlight w:val="none"/>
                <w:lang w:val="zh-TW"/>
              </w:rPr>
            </w:pPr>
            <w:r>
              <w:rPr>
                <w:rFonts w:hint="eastAsia" w:asciiTheme="minorEastAsia" w:hAnsiTheme="minorEastAsia" w:eastAsiaTheme="minorEastAsia" w:cstheme="minorEastAsia"/>
                <w:bCs/>
                <w:color w:val="auto"/>
                <w:spacing w:val="-6"/>
                <w:sz w:val="24"/>
                <w:highlight w:val="none"/>
              </w:rPr>
              <w:t>【客观分】投标人具有有效的环境管理体系认证证书、职业健康安全管理体系认证证书、质量管理体系认证证书，每证得1分，最高得3分。提供有效证书加盖公章。</w:t>
            </w:r>
          </w:p>
        </w:tc>
        <w:tc>
          <w:tcPr>
            <w:tcW w:w="402"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11"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2</w:t>
            </w:r>
          </w:p>
        </w:tc>
        <w:tc>
          <w:tcPr>
            <w:tcW w:w="4186" w:type="pct"/>
            <w:vAlign w:val="center"/>
          </w:tcPr>
          <w:p>
            <w:pPr>
              <w:snapToGrid w:val="0"/>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【客观分】投标人或投标产品制造商自2022年1月1日以来（以合同签订时间为准）承接过类似案例业绩的，每个得1分，最高得3分。</w:t>
            </w:r>
          </w:p>
          <w:p>
            <w:pPr>
              <w:snapToGrid w:val="0"/>
              <w:jc w:val="left"/>
              <w:outlineLvl w:val="0"/>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color w:val="auto"/>
                <w:sz w:val="24"/>
                <w:highlight w:val="none"/>
              </w:rPr>
              <w:t>注：证明材料须提供合同复印件。</w:t>
            </w:r>
          </w:p>
        </w:tc>
        <w:tc>
          <w:tcPr>
            <w:tcW w:w="402"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411"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3</w:t>
            </w:r>
          </w:p>
        </w:tc>
        <w:tc>
          <w:tcPr>
            <w:tcW w:w="4186" w:type="pct"/>
            <w:vAlign w:val="center"/>
          </w:tcPr>
          <w:p>
            <w:pPr>
              <w:snapToGrid w:val="0"/>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【客观分】投标产品针对《第三部分  采购需求》中“二、招标需求”内的所有设备技术参数的响应程度,结合《技术偏离表》、佐证材料等，打“◆”项指标每负偏离一条扣2分，普通指标每负偏离一条扣1分，扣完为止，本项最高得15分。</w:t>
            </w:r>
          </w:p>
          <w:p>
            <w:pPr>
              <w:snapToGrid w:val="0"/>
              <w:jc w:val="left"/>
              <w:outlineLvl w:val="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sz w:val="24"/>
                <w:highlight w:val="none"/>
              </w:rPr>
              <w:t>注：采购需求中要求提供截图证明/证书/检测报告等资料的，需在投标文件中提供相关证明材料复印件（或扫描件）并加盖公章，否则视为不满足此项要求。</w:t>
            </w:r>
          </w:p>
        </w:tc>
        <w:tc>
          <w:tcPr>
            <w:tcW w:w="402"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411"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4</w:t>
            </w:r>
          </w:p>
        </w:tc>
        <w:tc>
          <w:tcPr>
            <w:tcW w:w="4186" w:type="pct"/>
            <w:vAlign w:val="center"/>
          </w:tcPr>
          <w:p>
            <w:pPr>
              <w:snapToGrid w:val="0"/>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【客观分】投标的空调室内机及室外机均采用无刷直流电机得2分，室外机采用直流变频压缩机的得2分，室内机具有七档及以上送风调节模式的得2分，此项最高得6分。</w:t>
            </w:r>
          </w:p>
          <w:p>
            <w:pPr>
              <w:snapToGrid w:val="0"/>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注：证明材料须提供所投产品样册或彩页。</w:t>
            </w:r>
          </w:p>
        </w:tc>
        <w:tc>
          <w:tcPr>
            <w:tcW w:w="402"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411"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5</w:t>
            </w:r>
          </w:p>
        </w:tc>
        <w:tc>
          <w:tcPr>
            <w:tcW w:w="4186" w:type="pct"/>
            <w:vAlign w:val="center"/>
          </w:tcPr>
          <w:p>
            <w:pPr>
              <w:snapToGrid w:val="0"/>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重难点分析：根据采购需求，提供本项目实施重难点分析，针对重难点给出应对方案，根据投标人提供的方案内容是否符合采购需求、可实施性强进行综合评审，未提供不得分。</w:t>
            </w:r>
            <w:r>
              <w:rPr>
                <w:rFonts w:hint="eastAsia" w:ascii="宋体" w:hAnsi="宋体" w:cs="宋体"/>
                <w:color w:val="auto"/>
                <w:sz w:val="24"/>
                <w:highlight w:val="none"/>
              </w:rPr>
              <w:t>（分值范围5,4,3,2,1,0）</w:t>
            </w:r>
          </w:p>
        </w:tc>
        <w:tc>
          <w:tcPr>
            <w:tcW w:w="402" w:type="pct"/>
            <w:vAlign w:val="center"/>
          </w:tcPr>
          <w:p>
            <w:pPr>
              <w:jc w:val="center"/>
              <w:rPr>
                <w:rFonts w:hint="eastAsia"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11"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6</w:t>
            </w:r>
          </w:p>
        </w:tc>
        <w:tc>
          <w:tcPr>
            <w:tcW w:w="4186" w:type="pct"/>
            <w:vAlign w:val="center"/>
          </w:tcPr>
          <w:p>
            <w:pPr>
              <w:snapToGrid w:val="0"/>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项目组织实施方案</w:t>
            </w:r>
          </w:p>
        </w:tc>
        <w:tc>
          <w:tcPr>
            <w:tcW w:w="402"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411"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6.1</w:t>
            </w:r>
          </w:p>
        </w:tc>
        <w:tc>
          <w:tcPr>
            <w:tcW w:w="4186" w:type="pct"/>
            <w:vAlign w:val="center"/>
          </w:tcPr>
          <w:p>
            <w:pPr>
              <w:snapToGrid w:val="0"/>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项目实施、安装方案：根据投标人提供的方案内容是否完整合理、可实施性强进行综合评审，未提供不得分。</w:t>
            </w:r>
            <w:r>
              <w:rPr>
                <w:rFonts w:hint="eastAsia" w:ascii="宋体" w:hAnsi="宋体" w:cs="宋体"/>
                <w:color w:val="auto"/>
                <w:sz w:val="24"/>
                <w:highlight w:val="none"/>
              </w:rPr>
              <w:t>（分值范围5,4,3,2,1,0）</w:t>
            </w:r>
          </w:p>
        </w:tc>
        <w:tc>
          <w:tcPr>
            <w:tcW w:w="402"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411"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6.2</w:t>
            </w:r>
          </w:p>
        </w:tc>
        <w:tc>
          <w:tcPr>
            <w:tcW w:w="4186" w:type="pct"/>
            <w:vAlign w:val="center"/>
          </w:tcPr>
          <w:p>
            <w:pPr>
              <w:snapToGrid w:val="0"/>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功能测试、试运行及验收方案：根据投标人提供的方案内容是否完整合理、可实施性强进行综合评审，未提供不得分。</w:t>
            </w:r>
            <w:r>
              <w:rPr>
                <w:rFonts w:hint="eastAsia" w:ascii="宋体" w:hAnsi="宋体" w:cs="宋体"/>
                <w:color w:val="auto"/>
                <w:sz w:val="24"/>
                <w:highlight w:val="none"/>
              </w:rPr>
              <w:t>（分值范围5,4,3,2,1,0）</w:t>
            </w:r>
          </w:p>
        </w:tc>
        <w:tc>
          <w:tcPr>
            <w:tcW w:w="402"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411"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6.3</w:t>
            </w:r>
          </w:p>
        </w:tc>
        <w:tc>
          <w:tcPr>
            <w:tcW w:w="4186" w:type="pct"/>
            <w:vAlign w:val="center"/>
          </w:tcPr>
          <w:p>
            <w:pPr>
              <w:snapToGrid w:val="0"/>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供货进度实施及进度保障措施方案：根据投标人提供的方案内容是否完整合理、可实施性强进行综合评审，未提供不得分。</w:t>
            </w:r>
            <w:r>
              <w:rPr>
                <w:rFonts w:hint="eastAsia" w:ascii="宋体" w:hAnsi="宋体" w:cs="宋体"/>
                <w:color w:val="auto"/>
                <w:sz w:val="24"/>
                <w:highlight w:val="none"/>
              </w:rPr>
              <w:t>（分值范围5,4,3,2,1,0）</w:t>
            </w:r>
          </w:p>
        </w:tc>
        <w:tc>
          <w:tcPr>
            <w:tcW w:w="402"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11"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6.4</w:t>
            </w:r>
          </w:p>
        </w:tc>
        <w:tc>
          <w:tcPr>
            <w:tcW w:w="4186" w:type="pct"/>
            <w:vAlign w:val="center"/>
          </w:tcPr>
          <w:p>
            <w:pPr>
              <w:snapToGrid w:val="0"/>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培训方案：包含但不限于培训对象、培训目标、培训内容、培训时间安排等，最大限度保障项目的顺利实施。根据投标人提供的方案内容是否完整合理、可实施性强进行综合评审，未提供不得分。</w:t>
            </w:r>
            <w:r>
              <w:rPr>
                <w:rFonts w:hint="eastAsia" w:ascii="宋体" w:hAnsi="宋体" w:cs="宋体"/>
                <w:color w:val="auto"/>
                <w:sz w:val="24"/>
                <w:highlight w:val="none"/>
              </w:rPr>
              <w:t>（分值范围5,4,3,2,1,0）</w:t>
            </w:r>
          </w:p>
        </w:tc>
        <w:tc>
          <w:tcPr>
            <w:tcW w:w="402"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411"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7</w:t>
            </w:r>
          </w:p>
        </w:tc>
        <w:tc>
          <w:tcPr>
            <w:tcW w:w="4186" w:type="pct"/>
            <w:vAlign w:val="center"/>
          </w:tcPr>
          <w:p>
            <w:pPr>
              <w:snapToGrid w:val="0"/>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安全文明措施：根据投标人提供关于安全施工措施的工作思路和要点内容是否完整合理、可实施性强进行综合评审，未提供不得分。</w:t>
            </w:r>
            <w:r>
              <w:rPr>
                <w:rFonts w:hint="eastAsia" w:ascii="宋体" w:hAnsi="宋体" w:cs="宋体"/>
                <w:color w:val="auto"/>
                <w:sz w:val="24"/>
                <w:highlight w:val="none"/>
              </w:rPr>
              <w:t>（分值范围5,4,3,2,1,0）</w:t>
            </w:r>
          </w:p>
        </w:tc>
        <w:tc>
          <w:tcPr>
            <w:tcW w:w="402" w:type="pct"/>
            <w:vAlign w:val="center"/>
          </w:tcPr>
          <w:p>
            <w:pPr>
              <w:snapToGrid w:val="0"/>
              <w:spacing w:line="288" w:lineRule="auto"/>
              <w:jc w:val="center"/>
              <w:outlineLvl w:val="0"/>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411"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8</w:t>
            </w:r>
          </w:p>
        </w:tc>
        <w:tc>
          <w:tcPr>
            <w:tcW w:w="4186" w:type="pct"/>
            <w:vAlign w:val="center"/>
          </w:tcPr>
          <w:p>
            <w:pPr>
              <w:snapToGrid w:val="0"/>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项目团队：</w:t>
            </w:r>
          </w:p>
          <w:p>
            <w:pPr>
              <w:snapToGrid w:val="0"/>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1）【客观分】</w:t>
            </w:r>
            <w:r>
              <w:rPr>
                <w:rFonts w:hint="eastAsia" w:asciiTheme="minorEastAsia" w:hAnsiTheme="minorEastAsia" w:eastAsiaTheme="minorEastAsia" w:cstheme="minorEastAsia"/>
                <w:color w:val="auto"/>
                <w:sz w:val="24"/>
                <w:highlight w:val="none"/>
                <w:lang w:val="en-US" w:eastAsia="zh-CN"/>
              </w:rPr>
              <w:t>项目负责人</w:t>
            </w:r>
            <w:bookmarkStart w:id="527" w:name="_GoBack"/>
            <w:bookmarkEnd w:id="527"/>
            <w:r>
              <w:rPr>
                <w:rFonts w:hint="eastAsia" w:asciiTheme="minorEastAsia" w:hAnsiTheme="minorEastAsia" w:eastAsiaTheme="minorEastAsia" w:cstheme="minorEastAsia"/>
                <w:color w:val="auto"/>
                <w:sz w:val="24"/>
                <w:highlight w:val="none"/>
              </w:rPr>
              <w:t>具有暖通或机电类专业工程师及以上职称的得1分；具有调动投标人各项资源权限的得1分，最高得2分。</w:t>
            </w:r>
          </w:p>
          <w:p>
            <w:pPr>
              <w:snapToGrid w:val="0"/>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2）根据拟派项目团队人员资格、专业、技术职称、经验等，是否符合本项目实际需求，经验是否丰富进行综合评审，未提供不得分。</w:t>
            </w:r>
            <w:r>
              <w:rPr>
                <w:rFonts w:hint="eastAsia" w:ascii="宋体" w:hAnsi="宋体" w:cs="宋体"/>
                <w:color w:val="auto"/>
                <w:sz w:val="24"/>
                <w:highlight w:val="none"/>
              </w:rPr>
              <w:t>（分值范围2,1,0）</w:t>
            </w:r>
          </w:p>
          <w:p>
            <w:pPr>
              <w:snapToGrid w:val="0"/>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注：提供人员证书及近三个月内任意一个月投标人为其缴纳的社保证明加盖公章，未提供不得分。</w:t>
            </w:r>
          </w:p>
        </w:tc>
        <w:tc>
          <w:tcPr>
            <w:tcW w:w="402"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11"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9</w:t>
            </w:r>
          </w:p>
        </w:tc>
        <w:tc>
          <w:tcPr>
            <w:tcW w:w="4186" w:type="pct"/>
            <w:vAlign w:val="center"/>
          </w:tcPr>
          <w:p>
            <w:pPr>
              <w:tabs>
                <w:tab w:val="left" w:pos="720"/>
              </w:tabs>
              <w:snapToGrid w:val="0"/>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售后服务方案：</w:t>
            </w:r>
            <w:r>
              <w:rPr>
                <w:rFonts w:hint="eastAsia" w:ascii="宋体" w:hAnsi="宋体" w:cs="宋体"/>
                <w:color w:val="auto"/>
                <w:sz w:val="24"/>
                <w:highlight w:val="none"/>
              </w:rPr>
              <w:t>包括但不限于售后服务承诺、维护人员和服务机构设置、保障措施、质保期外费用计取等，根据方案的完整性及可实施性进行综合评审，未提供不得分。（分值范围4,3,2,1,0）</w:t>
            </w:r>
          </w:p>
        </w:tc>
        <w:tc>
          <w:tcPr>
            <w:tcW w:w="402"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411"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10</w:t>
            </w:r>
          </w:p>
        </w:tc>
        <w:tc>
          <w:tcPr>
            <w:tcW w:w="4186" w:type="pct"/>
            <w:vAlign w:val="center"/>
          </w:tcPr>
          <w:p>
            <w:pPr>
              <w:snapToGrid w:val="0"/>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验收方案：根据投标人提供的方案内容是否完整合理可实施性强进行综合评审，未提供不得分。</w:t>
            </w:r>
            <w:r>
              <w:rPr>
                <w:rFonts w:hint="eastAsia" w:ascii="宋体" w:hAnsi="宋体" w:cs="宋体"/>
                <w:color w:val="auto"/>
                <w:sz w:val="24"/>
                <w:highlight w:val="none"/>
              </w:rPr>
              <w:t>（分值范围3,2,1,0）</w:t>
            </w:r>
          </w:p>
        </w:tc>
        <w:tc>
          <w:tcPr>
            <w:tcW w:w="402" w:type="pct"/>
            <w:vAlign w:val="center"/>
          </w:tcPr>
          <w:p>
            <w:pPr>
              <w:jc w:val="center"/>
              <w:rPr>
                <w:rFonts w:hint="eastAsia" w:asciiTheme="minorEastAsia" w:hAnsiTheme="minorEastAsia" w:eastAsiaTheme="minorEastAsia" w:cstheme="minorEastAsia"/>
                <w:bCs/>
                <w:color w:val="auto"/>
                <w:spacing w:val="-6"/>
                <w:sz w:val="24"/>
                <w:highlight w:val="none"/>
                <w:lang w:eastAsia="zh-CN"/>
              </w:rPr>
            </w:pPr>
            <w:r>
              <w:rPr>
                <w:rFonts w:hint="eastAsia" w:asciiTheme="minorEastAsia" w:hAnsiTheme="minorEastAsia" w:eastAsiaTheme="minorEastAsia" w:cstheme="minorEastAsia"/>
                <w:bCs/>
                <w:color w:val="auto"/>
                <w:spacing w:val="-6"/>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411"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11</w:t>
            </w:r>
          </w:p>
        </w:tc>
        <w:tc>
          <w:tcPr>
            <w:tcW w:w="4186" w:type="pct"/>
            <w:vAlign w:val="center"/>
          </w:tcPr>
          <w:p>
            <w:pPr>
              <w:snapToGrid w:val="0"/>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备品备件清单：根据投标人提供的备品备件清单种类、库存是否满足日常维修保障进行</w:t>
            </w:r>
            <w:r>
              <w:rPr>
                <w:rFonts w:hint="eastAsia" w:ascii="宋体" w:hAnsi="宋体" w:cs="宋体"/>
                <w:color w:val="auto"/>
                <w:sz w:val="24"/>
                <w:highlight w:val="none"/>
              </w:rPr>
              <w:t>综合评审，未提供不得分。（分值范围2,1,0）</w:t>
            </w:r>
          </w:p>
        </w:tc>
        <w:tc>
          <w:tcPr>
            <w:tcW w:w="402" w:type="pct"/>
            <w:vAlign w:val="center"/>
          </w:tcPr>
          <w:p>
            <w:pPr>
              <w:jc w:val="center"/>
              <w:rPr>
                <w:rFonts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2</w:t>
            </w:r>
          </w:p>
        </w:tc>
      </w:tr>
    </w:tbl>
    <w:p>
      <w:pPr>
        <w:snapToGrid w:val="0"/>
        <w:spacing w:line="360" w:lineRule="auto"/>
        <w:rPr>
          <w:rFonts w:ascii="宋体" w:hAnsi="宋体" w:cs="宋体"/>
          <w:color w:val="auto"/>
          <w:sz w:val="20"/>
          <w:szCs w:val="20"/>
          <w:highlight w:val="none"/>
          <w:shd w:val="clear" w:color="auto" w:fill="FFFFFF"/>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24"/>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29"/>
        <w:spacing w:before="0"/>
        <w:ind w:firstLine="508" w:firstLineChars="212"/>
        <w:rPr>
          <w:rFonts w:ascii="宋体" w:hAnsi="宋体" w:cs="宋体"/>
          <w:color w:val="auto"/>
          <w:kern w:val="0"/>
          <w:szCs w:val="24"/>
          <w:highlight w:val="none"/>
        </w:rPr>
      </w:pPr>
      <w:r>
        <w:rPr>
          <w:rFonts w:hint="eastAsia" w:ascii="宋体" w:hAnsi="宋体" w:cs="宋体"/>
          <w:color w:val="auto"/>
          <w:kern w:val="0"/>
          <w:szCs w:val="24"/>
          <w:highlight w:val="none"/>
        </w:rPr>
        <w:t>3.4.1投标文件报价出现前后不一致的，按照下列规定修正：</w:t>
      </w:r>
    </w:p>
    <w:p>
      <w:pPr>
        <w:pStyle w:val="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3.4.5对于未预留份额专门面向中小企业的采购服务项目，以及预留份额采购服务项目中的非预留部分标项，对小型和微型企业的投标报价给予10%</w:t>
      </w:r>
      <w:r>
        <w:rPr>
          <w:rFonts w:hint="eastAsia" w:asciiTheme="minorEastAsia" w:hAnsiTheme="minorEastAsia" w:eastAsiaTheme="minorEastAsia" w:cstheme="minorEastAsia"/>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w:t>
      </w:r>
      <w:r>
        <w:rPr>
          <w:rFonts w:hint="eastAsia" w:asciiTheme="minorEastAsia" w:hAnsiTheme="minorEastAsia" w:eastAsiaTheme="minorEastAsia" w:cstheme="minorEastAsia"/>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bCs/>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24"/>
          <w:highlight w:val="none"/>
        </w:rPr>
      </w:pPr>
      <w:r>
        <w:rPr>
          <w:rFonts w:hint="eastAsia" w:ascii="宋体" w:hAnsi="宋体" w:cs="宋体"/>
          <w:b/>
          <w:color w:val="auto"/>
          <w:sz w:val="24"/>
          <w:highlight w:val="none"/>
        </w:rPr>
        <w:t>四、评标中的其他事项</w:t>
      </w:r>
    </w:p>
    <w:p>
      <w:pPr>
        <w:pStyle w:val="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0"/>
        <w:spacing w:line="360" w:lineRule="auto"/>
        <w:ind w:left="954" w:leftChars="226" w:hanging="479" w:firstLineChars="0"/>
        <w:rPr>
          <w:rFonts w:cs="宋体"/>
          <w:color w:val="auto"/>
          <w:highlight w:val="none"/>
        </w:rPr>
      </w:pPr>
      <w:r>
        <w:rPr>
          <w:rFonts w:hint="eastAsia" w:cs="宋体"/>
          <w:b/>
          <w:color w:val="auto"/>
          <w:kern w:val="0"/>
          <w:highlight w:val="none"/>
        </w:rPr>
        <w:t>4.2投标无效。</w:t>
      </w:r>
      <w:r>
        <w:rPr>
          <w:rFonts w:hint="eastAsia" w:cs="宋体"/>
          <w:color w:val="auto"/>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4.2.13投标人未提供样品或提供的样品不满足采购需求实质性条件的，投标无效；</w:t>
      </w:r>
    </w:p>
    <w:p>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pPr>
        <w:pStyle w:val="3"/>
        <w:ind w:left="0" w:firstLine="420" w:firstLineChars="175"/>
        <w:jc w:val="both"/>
        <w:rPr>
          <w:rFonts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4.2.</w:t>
      </w:r>
      <w:r>
        <w:rPr>
          <w:rFonts w:hint="eastAsia" w:ascii="宋体" w:hAnsi="宋体" w:eastAsia="宋体" w:cs="宋体"/>
          <w:b w:val="0"/>
          <w:bCs w:val="0"/>
          <w:color w:val="auto"/>
          <w:kern w:val="0"/>
          <w:sz w:val="24"/>
          <w:highlight w:val="none"/>
          <w:lang w:val="en-US"/>
        </w:rPr>
        <w:t>15</w:t>
      </w:r>
      <w:r>
        <w:rPr>
          <w:rFonts w:hint="eastAsia" w:ascii="宋体" w:hAnsi="宋体" w:eastAsia="宋体" w:cs="宋体"/>
          <w:b w:val="0"/>
          <w:bCs w:val="0"/>
          <w:color w:val="auto"/>
          <w:kern w:val="0"/>
          <w:sz w:val="24"/>
          <w:highlight w:val="none"/>
        </w:rPr>
        <w:t>法律、法规、规章（适用本市的）及省级以上规范性文件（适用本市的）规定的其他无效情形。</w:t>
      </w:r>
    </w:p>
    <w:p>
      <w:pPr>
        <w:pStyle w:val="10"/>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10"/>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10"/>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10"/>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10"/>
        <w:snapToGrid w:val="0"/>
        <w:spacing w:line="360" w:lineRule="auto"/>
        <w:rPr>
          <w:rFonts w:cs="宋体"/>
          <w:color w:val="auto"/>
          <w:highlight w:val="none"/>
        </w:rPr>
      </w:pPr>
      <w:r>
        <w:rPr>
          <w:rFonts w:hint="eastAsia" w:cs="宋体"/>
          <w:color w:val="auto"/>
          <w:highlight w:val="none"/>
        </w:rPr>
        <w:t>5.4因重大变故，采购任务取消的。</w:t>
      </w:r>
    </w:p>
    <w:p>
      <w:pPr>
        <w:pStyle w:val="10"/>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10"/>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0"/>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10"/>
        <w:snapToGrid w:val="0"/>
        <w:spacing w:line="360" w:lineRule="auto"/>
        <w:rPr>
          <w:rFonts w:cs="宋体"/>
          <w:color w:val="auto"/>
          <w:highlight w:val="none"/>
        </w:rPr>
      </w:pPr>
      <w:r>
        <w:rPr>
          <w:rFonts w:hint="eastAsia" w:cs="宋体"/>
          <w:color w:val="auto"/>
          <w:highlight w:val="none"/>
        </w:rPr>
        <w:t>7.1未确定中标供应商的，终止本次采购活动，重新开展采购活动。</w:t>
      </w:r>
    </w:p>
    <w:p>
      <w:pPr>
        <w:pStyle w:val="10"/>
        <w:snapToGrid w:val="0"/>
        <w:spacing w:line="360" w:lineRule="auto"/>
        <w:rPr>
          <w:rFonts w:cs="宋体"/>
          <w:color w:val="auto"/>
          <w:highlight w:val="none"/>
        </w:rPr>
      </w:pPr>
      <w:r>
        <w:rPr>
          <w:rFonts w:hint="eastAsia" w:cs="宋体"/>
          <w:color w:val="auto"/>
          <w:highlight w:val="none"/>
        </w:rPr>
        <w:t>7.2已确定中标供应商但尚未签订采购合同的，中标结果无效，从合格的中标候选人中另行确定中标供应商；没有合格的中标候选人的，重新开展采购活动。</w:t>
      </w:r>
    </w:p>
    <w:p>
      <w:pPr>
        <w:pStyle w:val="10"/>
        <w:snapToGrid w:val="0"/>
        <w:spacing w:line="360" w:lineRule="auto"/>
        <w:rPr>
          <w:rFonts w:cs="宋体"/>
          <w:color w:val="auto"/>
          <w:highlight w:val="none"/>
        </w:rPr>
      </w:pPr>
      <w:r>
        <w:rPr>
          <w:rFonts w:hint="eastAsia" w:cs="宋体"/>
          <w:color w:val="auto"/>
          <w:highlight w:val="none"/>
        </w:rPr>
        <w:t>7.3采购合同已签订但尚未履行的，撤销合同，从合格的中标候选人中另行确定中标供应商；没有合格的中标候选人的，重新开展采购活动。</w:t>
      </w:r>
    </w:p>
    <w:p>
      <w:pPr>
        <w:pStyle w:val="10"/>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pPr>
        <w:pStyle w:val="10"/>
        <w:snapToGrid w:val="0"/>
        <w:spacing w:line="360" w:lineRule="auto"/>
        <w:rPr>
          <w:rFonts w:cs="宋体"/>
          <w:b/>
          <w:color w:val="auto"/>
          <w:sz w:val="36"/>
          <w:szCs w:val="36"/>
          <w:highlight w:val="none"/>
        </w:rPr>
      </w:pPr>
      <w:r>
        <w:rPr>
          <w:rFonts w:hint="eastAsia" w:cs="宋体"/>
          <w:color w:val="auto"/>
          <w:highlight w:val="none"/>
        </w:rPr>
        <w:t>7.5采购当事人有其他违反政府采购法或者政府采购法实施条例等法律法规规定的行为，经改正后仍然影响或者可能影响中标结果或者依法被认定为中标无效的，依照7.1-7.4规定处理。</w:t>
      </w:r>
      <w:bookmarkEnd w:id="16"/>
      <w:bookmarkStart w:id="390" w:name="_Toc86217003"/>
      <w:bookmarkStart w:id="391" w:name="第五部分"/>
      <w:r>
        <w:rPr>
          <w:rFonts w:hint="eastAsia" w:cs="宋体"/>
          <w:b/>
          <w:color w:val="auto"/>
          <w:highlight w:val="none"/>
        </w:rPr>
        <w:t xml:space="preserve">  </w:t>
      </w:r>
      <w:r>
        <w:rPr>
          <w:rFonts w:hint="eastAsia"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rPr>
      </w:pPr>
    </w:p>
    <w:p>
      <w:pPr>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HSYZ-2025-023 </w:t>
      </w:r>
    </w:p>
    <w:p>
      <w:pPr>
        <w:rPr>
          <w:rFonts w:ascii="宋体" w:hAnsi="宋体" w:cs="宋体"/>
          <w:color w:val="auto"/>
          <w:sz w:val="24"/>
          <w:highlight w:val="none"/>
        </w:rPr>
      </w:pP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pStyle w:val="25"/>
        <w:rPr>
          <w:color w:val="auto"/>
          <w:highlight w:val="none"/>
        </w:rPr>
      </w:pPr>
    </w:p>
    <w:p>
      <w:pPr>
        <w:spacing w:line="480" w:lineRule="auto"/>
        <w:jc w:val="center"/>
        <w:rPr>
          <w:rFonts w:ascii="宋体" w:hAnsi="宋体"/>
          <w:b/>
          <w:color w:val="auto"/>
          <w:sz w:val="24"/>
          <w:highlight w:val="none"/>
        </w:rPr>
      </w:pPr>
    </w:p>
    <w:p>
      <w:pPr>
        <w:spacing w:line="480" w:lineRule="auto"/>
        <w:jc w:val="center"/>
        <w:rPr>
          <w:rFonts w:ascii="宋体" w:hAnsi="宋体"/>
          <w:b/>
          <w:color w:val="auto"/>
          <w:sz w:val="36"/>
          <w:highlight w:val="none"/>
        </w:rPr>
      </w:pPr>
      <w:r>
        <w:rPr>
          <w:rFonts w:hint="eastAsia" w:ascii="宋体" w:hAnsi="宋体"/>
          <w:b/>
          <w:color w:val="auto"/>
          <w:sz w:val="36"/>
          <w:highlight w:val="none"/>
        </w:rPr>
        <w:t>采购合同参考范本</w:t>
      </w:r>
    </w:p>
    <w:p>
      <w:pPr>
        <w:spacing w:line="480" w:lineRule="auto"/>
        <w:jc w:val="center"/>
        <w:rPr>
          <w:rFonts w:ascii="宋体" w:hAnsi="宋体"/>
          <w:b/>
          <w:color w:val="auto"/>
          <w:sz w:val="36"/>
          <w:highlight w:val="none"/>
        </w:rPr>
      </w:pPr>
      <w:r>
        <w:rPr>
          <w:rFonts w:hint="eastAsia" w:ascii="宋体" w:hAnsi="宋体"/>
          <w:b/>
          <w:color w:val="auto"/>
          <w:sz w:val="36"/>
          <w:highlight w:val="none"/>
        </w:rPr>
        <w:t>（货物类）</w:t>
      </w:r>
    </w:p>
    <w:p>
      <w:pPr>
        <w:pStyle w:val="33"/>
        <w:ind w:left="0" w:leftChars="0" w:firstLine="0" w:firstLineChars="0"/>
        <w:jc w:val="center"/>
        <w:rPr>
          <w:rFonts w:ascii="宋体" w:hAnsi="宋体"/>
          <w:b/>
          <w:color w:val="auto"/>
          <w:highlight w:val="none"/>
        </w:rPr>
      </w:pPr>
      <w:r>
        <w:rPr>
          <w:rFonts w:hint="eastAsia" w:ascii="宋体" w:hAnsi="宋体"/>
          <w:b/>
          <w:color w:val="auto"/>
          <w:highlight w:val="none"/>
        </w:rPr>
        <w:t>第一部分 合同书</w:t>
      </w:r>
    </w:p>
    <w:p>
      <w:pPr>
        <w:spacing w:before="120" w:line="22" w:lineRule="atLeast"/>
        <w:rPr>
          <w:rFonts w:ascii="宋体" w:hAnsi="宋体"/>
          <w:color w:val="auto"/>
          <w:sz w:val="24"/>
          <w:highlight w:val="none"/>
        </w:rPr>
      </w:pPr>
    </w:p>
    <w:p>
      <w:pPr>
        <w:pStyle w:val="25"/>
        <w:ind w:firstLine="480"/>
        <w:rPr>
          <w:rFonts w:ascii="宋体" w:hAnsi="宋体"/>
          <w:color w:val="auto"/>
          <w:sz w:val="24"/>
          <w:highlight w:val="none"/>
        </w:rPr>
      </w:pPr>
    </w:p>
    <w:p>
      <w:pPr>
        <w:pStyle w:val="25"/>
        <w:ind w:firstLine="480"/>
        <w:rPr>
          <w:rFonts w:ascii="宋体" w:hAnsi="宋体"/>
          <w:color w:val="auto"/>
          <w:sz w:val="24"/>
          <w:highlight w:val="none"/>
        </w:rPr>
      </w:pPr>
    </w:p>
    <w:p>
      <w:pPr>
        <w:pStyle w:val="3"/>
        <w:rPr>
          <w:color w:val="auto"/>
          <w:highlight w:val="none"/>
        </w:rPr>
      </w:pPr>
    </w:p>
    <w:p>
      <w:pPr>
        <w:spacing w:before="120" w:line="22" w:lineRule="atLeast"/>
        <w:ind w:left="960"/>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p>
    <w:p>
      <w:pPr>
        <w:pStyle w:val="34"/>
        <w:spacing w:before="120" w:line="22" w:lineRule="atLeast"/>
        <w:rPr>
          <w:rFonts w:ascii="宋体" w:hAnsi="宋体" w:eastAsia="宋体"/>
          <w:color w:val="auto"/>
          <w:highlight w:val="none"/>
        </w:rPr>
      </w:pPr>
    </w:p>
    <w:p>
      <w:pPr>
        <w:pStyle w:val="34"/>
        <w:spacing w:before="120" w:line="22" w:lineRule="atLeast"/>
        <w:rPr>
          <w:rFonts w:ascii="宋体" w:hAnsi="宋体" w:eastAsia="宋体"/>
          <w:color w:val="auto"/>
          <w:highlight w:val="none"/>
        </w:rPr>
      </w:pPr>
    </w:p>
    <w:p>
      <w:pPr>
        <w:rPr>
          <w:rFonts w:ascii="宋体" w:hAnsi="宋体"/>
          <w:color w:val="auto"/>
          <w:sz w:val="24"/>
          <w:highlight w:val="none"/>
        </w:rPr>
      </w:pPr>
    </w:p>
    <w:p>
      <w:pPr>
        <w:spacing w:before="120" w:line="22" w:lineRule="atLeast"/>
        <w:ind w:left="960"/>
        <w:rPr>
          <w:rFonts w:ascii="宋体" w:hAnsi="宋体"/>
          <w:color w:val="auto"/>
          <w:sz w:val="24"/>
          <w:highlight w:val="none"/>
          <w:u w:val="single"/>
        </w:rPr>
      </w:pPr>
      <w:r>
        <w:rPr>
          <w:rFonts w:hint="eastAsia" w:ascii="宋体" w:hAnsi="宋体"/>
          <w:color w:val="auto"/>
          <w:sz w:val="24"/>
          <w:highlight w:val="none"/>
        </w:rPr>
        <w:t>甲方：</w:t>
      </w:r>
      <w:r>
        <w:rPr>
          <w:rFonts w:hint="eastAsia" w:ascii="宋体" w:hAnsi="宋体"/>
          <w:color w:val="auto"/>
          <w:sz w:val="24"/>
          <w:highlight w:val="none"/>
          <w:u w:val="single"/>
        </w:rPr>
        <w:t xml:space="preserve">                                       </w:t>
      </w:r>
    </w:p>
    <w:p>
      <w:pPr>
        <w:spacing w:before="120" w:line="22" w:lineRule="atLeast"/>
        <w:rPr>
          <w:rFonts w:ascii="宋体" w:hAnsi="宋体"/>
          <w:color w:val="auto"/>
          <w:sz w:val="24"/>
          <w:highlight w:val="none"/>
        </w:rPr>
      </w:pPr>
    </w:p>
    <w:p>
      <w:pPr>
        <w:spacing w:before="120" w:line="22" w:lineRule="atLeast"/>
        <w:ind w:left="960"/>
        <w:rPr>
          <w:rFonts w:ascii="宋体" w:hAnsi="宋体"/>
          <w:color w:val="auto"/>
          <w:sz w:val="24"/>
          <w:highlight w:val="none"/>
          <w:u w:val="single"/>
        </w:rPr>
      </w:pPr>
      <w:r>
        <w:rPr>
          <w:rFonts w:hint="eastAsia" w:ascii="宋体" w:hAnsi="宋体"/>
          <w:color w:val="auto"/>
          <w:sz w:val="24"/>
          <w:highlight w:val="none"/>
        </w:rPr>
        <w:t>乙方：</w:t>
      </w:r>
      <w:r>
        <w:rPr>
          <w:rFonts w:hint="eastAsia" w:ascii="宋体" w:hAnsi="宋体"/>
          <w:color w:val="auto"/>
          <w:sz w:val="24"/>
          <w:highlight w:val="none"/>
          <w:u w:val="single"/>
        </w:rPr>
        <w:t xml:space="preserve">                                       </w:t>
      </w:r>
    </w:p>
    <w:p>
      <w:pPr>
        <w:spacing w:before="120" w:line="22" w:lineRule="atLeast"/>
        <w:rPr>
          <w:rFonts w:ascii="宋体" w:hAnsi="宋体"/>
          <w:color w:val="auto"/>
          <w:sz w:val="24"/>
          <w:highlight w:val="none"/>
        </w:rPr>
      </w:pPr>
    </w:p>
    <w:p>
      <w:pPr>
        <w:spacing w:before="120" w:line="22" w:lineRule="atLeast"/>
        <w:ind w:firstLine="960" w:firstLineChars="400"/>
        <w:rPr>
          <w:rFonts w:ascii="宋体" w:hAnsi="宋体"/>
          <w:color w:val="auto"/>
          <w:sz w:val="24"/>
          <w:highlight w:val="none"/>
          <w:u w:val="single"/>
        </w:rPr>
      </w:pPr>
      <w:r>
        <w:rPr>
          <w:rFonts w:hint="eastAsia" w:ascii="宋体" w:hAnsi="宋体"/>
          <w:color w:val="auto"/>
          <w:sz w:val="24"/>
          <w:highlight w:val="none"/>
        </w:rPr>
        <w:t>签订地：</w:t>
      </w:r>
      <w:r>
        <w:rPr>
          <w:rFonts w:hint="eastAsia" w:ascii="宋体" w:hAnsi="宋体"/>
          <w:color w:val="auto"/>
          <w:sz w:val="24"/>
          <w:highlight w:val="none"/>
          <w:u w:val="single"/>
        </w:rPr>
        <w:t xml:space="preserve">                                     </w:t>
      </w:r>
    </w:p>
    <w:p>
      <w:pPr>
        <w:spacing w:before="120" w:line="22" w:lineRule="atLeast"/>
        <w:rPr>
          <w:rFonts w:ascii="宋体" w:hAnsi="宋体"/>
          <w:color w:val="auto"/>
          <w:sz w:val="24"/>
          <w:highlight w:val="none"/>
        </w:rPr>
      </w:pPr>
    </w:p>
    <w:p>
      <w:pPr>
        <w:spacing w:before="120" w:line="22" w:lineRule="atLeast"/>
        <w:ind w:firstLine="960" w:firstLineChars="400"/>
        <w:rPr>
          <w:rFonts w:ascii="宋体" w:hAnsi="宋体"/>
          <w:color w:val="auto"/>
          <w:sz w:val="24"/>
          <w:highlight w:val="none"/>
          <w:u w:val="single"/>
        </w:rPr>
      </w:pPr>
      <w:r>
        <w:rPr>
          <w:rFonts w:hint="eastAsia" w:ascii="宋体" w:hAnsi="宋体"/>
          <w:color w:val="auto"/>
          <w:sz w:val="24"/>
          <w:highlight w:val="none"/>
        </w:rPr>
        <w:t>签订日期：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widowControl/>
        <w:jc w:val="left"/>
        <w:rPr>
          <w:color w:val="auto"/>
          <w:highlight w:val="none"/>
        </w:rPr>
        <w:sectPr>
          <w:headerReference r:id="rId8" w:type="default"/>
          <w:footerReference r:id="rId9" w:type="default"/>
          <w:pgSz w:w="11907" w:h="16840"/>
          <w:pgMar w:top="1417" w:right="1417" w:bottom="1417" w:left="1417" w:header="851" w:footer="850" w:gutter="0"/>
          <w:cols w:space="0" w:num="1"/>
        </w:sectPr>
      </w:pPr>
    </w:p>
    <w:p>
      <w:pPr>
        <w:spacing w:line="360" w:lineRule="auto"/>
        <w:ind w:firstLine="480" w:firstLineChars="200"/>
        <w:jc w:val="left"/>
        <w:rPr>
          <w:rFonts w:ascii="宋体" w:hAnsi="宋体"/>
          <w:color w:val="auto"/>
          <w:sz w:val="24"/>
          <w:highlight w:val="none"/>
          <w:u w:val="single"/>
        </w:rPr>
      </w:pPr>
    </w:p>
    <w:p>
      <w:pPr>
        <w:spacing w:line="360" w:lineRule="auto"/>
        <w:ind w:firstLine="480" w:firstLineChars="200"/>
        <w:jc w:val="left"/>
        <w:rPr>
          <w:rFonts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u w:val="single"/>
        </w:rPr>
        <w:t xml:space="preserve">   </w:t>
      </w:r>
      <w:r>
        <w:rPr>
          <w:rFonts w:hint="eastAsia" w:ascii="宋体" w:hAnsi="宋体"/>
          <w:color w:val="auto"/>
          <w:sz w:val="24"/>
          <w:highlight w:val="none"/>
          <w:u w:val="single"/>
        </w:rPr>
        <w:t>浙江省杭州第十一中学</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rPr>
        <w:t>德胜教学楼多联机制冷设备改造（项目编号：HSYZ-2025-023）</w:t>
      </w:r>
      <w:r>
        <w:rPr>
          <w:rFonts w:hint="eastAsia" w:ascii="宋体" w:hAnsi="宋体"/>
          <w:color w:val="auto"/>
          <w:sz w:val="24"/>
          <w:highlight w:val="none"/>
        </w:rPr>
        <w:t>进行了采购。经</w:t>
      </w:r>
      <w:r>
        <w:rPr>
          <w:rFonts w:ascii="宋体" w:hAnsi="宋体"/>
          <w:color w:val="auto"/>
          <w:sz w:val="24"/>
          <w:highlight w:val="none"/>
          <w:u w:val="single"/>
        </w:rPr>
        <w:t xml:space="preserve"> </w:t>
      </w:r>
      <w:r>
        <w:rPr>
          <w:rFonts w:hint="eastAsia" w:ascii="宋体" w:hAnsi="宋体"/>
          <w:color w:val="auto"/>
          <w:sz w:val="24"/>
          <w:highlight w:val="none"/>
          <w:u w:val="single"/>
        </w:rPr>
        <w:t>评审委员会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（中标供应商名称） </w:t>
      </w:r>
      <w:r>
        <w:rPr>
          <w:rFonts w:hint="eastAsia" w:ascii="宋体" w:hAnsi="宋体"/>
          <w:color w:val="auto"/>
          <w:sz w:val="24"/>
          <w:highlight w:val="none"/>
        </w:rPr>
        <w:t>为该项目中标供应商。现于中标通知书发出后30日（鼓励有条件的缩短至10个工作日）内，按照采购文件确定的事项签订本合同。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根据《中华人民共和国民法典》</w:t>
      </w:r>
      <w:r>
        <w:rPr>
          <w:rFonts w:hint="eastAsia"/>
          <w:color w:val="auto"/>
          <w:highlight w:val="none"/>
        </w:rPr>
        <w:t>、</w:t>
      </w:r>
      <w:r>
        <w:rPr>
          <w:rFonts w:hint="eastAsia" w:ascii="宋体" w:hAnsi="宋体"/>
          <w:color w:val="auto"/>
          <w:sz w:val="24"/>
          <w:highlight w:val="none"/>
        </w:rPr>
        <w:t>《中华人民共和国政府采购法》等相关法律法规之规定，按照平等、自愿、公平和诚实信用的原则，经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浙江省杭州第十一中学</w:t>
      </w:r>
      <w:r>
        <w:rPr>
          <w:rFonts w:ascii="宋体" w:hAnsi="宋体"/>
          <w:color w:val="auto"/>
          <w:sz w:val="24"/>
          <w:highlight w:val="none"/>
          <w:u w:val="single"/>
        </w:rPr>
        <w:t xml:space="preserve">  </w:t>
      </w:r>
      <w:r>
        <w:rPr>
          <w:rFonts w:ascii="宋体" w:hAnsi="宋体"/>
          <w:color w:val="auto"/>
          <w:sz w:val="24"/>
          <w:highlight w:val="none"/>
        </w:rPr>
        <w:t>(以下简称：甲方)和</w:t>
      </w:r>
      <w:r>
        <w:rPr>
          <w:rFonts w:ascii="宋体" w:hAnsi="宋体"/>
          <w:color w:val="auto"/>
          <w:sz w:val="24"/>
          <w:highlight w:val="none"/>
          <w:u w:val="single"/>
        </w:rPr>
        <w:t xml:space="preserve">   （中标供应商名称）   </w:t>
      </w:r>
      <w:r>
        <w:rPr>
          <w:rFonts w:ascii="宋体" w:hAnsi="宋体"/>
          <w:color w:val="auto"/>
          <w:sz w:val="24"/>
          <w:highlight w:val="none"/>
        </w:rPr>
        <w:t>(以下简称：乙方)协商一致，约定以下合同</w:t>
      </w:r>
      <w:r>
        <w:rPr>
          <w:rFonts w:hint="eastAsia" w:ascii="宋体" w:hAnsi="宋体"/>
          <w:color w:val="auto"/>
          <w:sz w:val="24"/>
          <w:highlight w:val="none"/>
        </w:rPr>
        <w:t>条款，以兹共同遵守、全面履行。</w:t>
      </w:r>
    </w:p>
    <w:p>
      <w:pPr>
        <w:spacing w:line="360" w:lineRule="auto"/>
        <w:ind w:firstLine="482" w:firstLineChars="200"/>
        <w:outlineLvl w:val="0"/>
        <w:rPr>
          <w:rFonts w:ascii="宋体" w:hAnsi="宋体"/>
          <w:color w:val="auto"/>
          <w:sz w:val="24"/>
          <w:highlight w:val="none"/>
        </w:rPr>
      </w:pPr>
      <w:bookmarkStart w:id="392" w:name="_Toc19273"/>
      <w:bookmarkStart w:id="393" w:name="_Toc22967"/>
      <w:bookmarkStart w:id="394" w:name="_Toc20421"/>
      <w:bookmarkStart w:id="395" w:name="_Toc28855"/>
      <w:bookmarkStart w:id="396"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2"/>
      <w:bookmarkEnd w:id="393"/>
      <w:bookmarkEnd w:id="394"/>
      <w:bookmarkEnd w:id="395"/>
      <w:bookmarkEnd w:id="396"/>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中标通知书；</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投标文件（含澄清或者说明文件）；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招标文件（含澄清或者修改文件）；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360" w:lineRule="auto"/>
        <w:ind w:firstLine="482" w:firstLineChars="200"/>
        <w:outlineLvl w:val="0"/>
        <w:rPr>
          <w:rFonts w:ascii="宋体" w:hAnsi="宋体"/>
          <w:b/>
          <w:color w:val="auto"/>
          <w:sz w:val="24"/>
          <w:highlight w:val="none"/>
        </w:rPr>
      </w:pPr>
      <w:bookmarkStart w:id="397" w:name="_Toc6773"/>
      <w:bookmarkStart w:id="398" w:name="_Toc2918"/>
      <w:bookmarkStart w:id="399" w:name="_Toc6311"/>
      <w:bookmarkStart w:id="400" w:name="_Toc22185"/>
      <w:bookmarkStart w:id="401" w:name="_Toc18585"/>
      <w:r>
        <w:rPr>
          <w:rFonts w:ascii="宋体" w:hAnsi="宋体"/>
          <w:b/>
          <w:color w:val="auto"/>
          <w:sz w:val="24"/>
          <w:highlight w:val="none"/>
        </w:rPr>
        <w:t xml:space="preserve">1.2 </w:t>
      </w:r>
      <w:bookmarkEnd w:id="397"/>
      <w:bookmarkEnd w:id="398"/>
      <w:bookmarkEnd w:id="399"/>
      <w:bookmarkEnd w:id="400"/>
      <w:bookmarkEnd w:id="401"/>
      <w:r>
        <w:rPr>
          <w:rFonts w:hint="eastAsia" w:ascii="宋体" w:hAnsi="宋体"/>
          <w:b/>
          <w:color w:val="auto"/>
          <w:sz w:val="24"/>
          <w:highlight w:val="none"/>
        </w:rPr>
        <w:t>货物</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货物</w:t>
      </w:r>
      <w:r>
        <w:rPr>
          <w:rFonts w:ascii="宋体" w:hAnsi="宋体"/>
          <w:color w:val="auto"/>
          <w:sz w:val="24"/>
          <w:highlight w:val="none"/>
        </w:rPr>
        <w:t>名称：</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货物</w:t>
      </w:r>
      <w:r>
        <w:rPr>
          <w:rFonts w:ascii="宋体" w:hAnsi="宋体"/>
          <w:color w:val="auto"/>
          <w:sz w:val="24"/>
          <w:highlight w:val="none"/>
        </w:rPr>
        <w:t>数量：</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1.2.3 </w:t>
      </w:r>
      <w:r>
        <w:rPr>
          <w:rFonts w:hint="eastAsia" w:ascii="宋体" w:hAnsi="宋体"/>
          <w:color w:val="auto"/>
          <w:sz w:val="24"/>
          <w:highlight w:val="none"/>
        </w:rPr>
        <w:t>货物质量：</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2" w:firstLineChars="200"/>
        <w:outlineLvl w:val="0"/>
        <w:rPr>
          <w:rFonts w:ascii="宋体" w:hAnsi="宋体"/>
          <w:b/>
          <w:color w:val="auto"/>
          <w:sz w:val="24"/>
          <w:highlight w:val="none"/>
        </w:rPr>
      </w:pPr>
      <w:bookmarkStart w:id="402" w:name="_Toc21124"/>
      <w:bookmarkStart w:id="403" w:name="_Toc1386"/>
      <w:bookmarkStart w:id="404" w:name="_Toc4929"/>
      <w:bookmarkStart w:id="405" w:name="_Toc13918"/>
      <w:bookmarkStart w:id="406" w:name="_Toc5635"/>
      <w:r>
        <w:rPr>
          <w:rFonts w:ascii="宋体" w:hAnsi="宋体"/>
          <w:b/>
          <w:color w:val="auto"/>
          <w:sz w:val="24"/>
          <w:highlight w:val="none"/>
        </w:rPr>
        <w:t>1.3 价款</w:t>
      </w:r>
      <w:bookmarkEnd w:id="402"/>
      <w:bookmarkEnd w:id="403"/>
      <w:bookmarkEnd w:id="404"/>
      <w:bookmarkEnd w:id="405"/>
      <w:bookmarkEnd w:id="406"/>
    </w:p>
    <w:p>
      <w:pPr>
        <w:spacing w:line="360" w:lineRule="auto"/>
        <w:ind w:firstLine="480" w:firstLineChars="200"/>
        <w:rPr>
          <w:rFonts w:ascii="宋体" w:hAnsi="宋体"/>
          <w:color w:val="auto"/>
          <w:sz w:val="24"/>
          <w:highlight w:val="none"/>
        </w:rPr>
      </w:pPr>
      <w:r>
        <w:rPr>
          <w:rFonts w:ascii="宋体" w:hAnsi="宋体"/>
          <w:color w:val="auto"/>
          <w:sz w:val="24"/>
          <w:highlight w:val="none"/>
        </w:rPr>
        <w:t>本合同总价为</w:t>
      </w:r>
      <w:r>
        <w:rPr>
          <w:rFonts w:hint="eastAsia" w:ascii="宋体" w:hAnsi="宋体"/>
          <w:color w:val="auto"/>
          <w:sz w:val="24"/>
          <w:highlight w:val="none"/>
        </w:rPr>
        <w:t>：</w:t>
      </w:r>
      <w:r>
        <w:rPr>
          <w:rFonts w:ascii="Arial" w:hAnsi="Arial" w:cs="Arial"/>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19"/>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86"/>
        <w:gridCol w:w="1428"/>
        <w:gridCol w:w="1297"/>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jc w:val="center"/>
              <w:rPr>
                <w:rFonts w:hAnsi="宋体"/>
                <w:color w:val="auto"/>
                <w:sz w:val="24"/>
                <w:highlight w:val="none"/>
              </w:rPr>
            </w:pPr>
            <w:r>
              <w:rPr>
                <w:rFonts w:hAnsi="宋体"/>
                <w:color w:val="auto"/>
                <w:sz w:val="24"/>
                <w:highlight w:val="none"/>
              </w:rPr>
              <w:t>序号</w:t>
            </w: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Ansi="宋体"/>
                <w:color w:val="auto"/>
                <w:sz w:val="24"/>
                <w:highlight w:val="none"/>
              </w:rPr>
            </w:pPr>
            <w:r>
              <w:rPr>
                <w:rFonts w:hint="eastAsia" w:hAnsi="宋体"/>
                <w:color w:val="auto"/>
                <w:sz w:val="24"/>
                <w:highlight w:val="none"/>
              </w:rPr>
              <w:t>分项名称</w:t>
            </w: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Ansi="宋体"/>
                <w:color w:val="auto"/>
                <w:sz w:val="24"/>
                <w:highlight w:val="none"/>
              </w:rPr>
            </w:pPr>
            <w:r>
              <w:rPr>
                <w:rFonts w:hint="eastAsia" w:hAnsi="宋体"/>
                <w:color w:val="auto"/>
                <w:sz w:val="24"/>
                <w:highlight w:val="none"/>
              </w:rPr>
              <w:t>单价</w:t>
            </w: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jc w:val="center"/>
              <w:rPr>
                <w:rFonts w:hAnsi="宋体"/>
                <w:color w:val="auto"/>
                <w:sz w:val="24"/>
                <w:highlight w:val="none"/>
              </w:rPr>
            </w:pPr>
            <w:r>
              <w:rPr>
                <w:rFonts w:hint="eastAsia" w:hAnsi="宋体"/>
                <w:color w:val="auto"/>
                <w:sz w:val="24"/>
                <w:highlight w:val="none"/>
              </w:rPr>
              <w:t>数量</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jc w:val="center"/>
              <w:rPr>
                <w:rFonts w:hAnsi="宋体"/>
                <w:color w:val="auto"/>
                <w:sz w:val="24"/>
                <w:highlight w:val="none"/>
              </w:rPr>
            </w:pPr>
            <w:r>
              <w:rPr>
                <w:rFonts w:hAnsi="宋体"/>
                <w:color w:val="auto"/>
                <w:sz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Ansi="宋体"/>
                <w:color w:val="auto"/>
                <w:sz w:val="24"/>
                <w:highlight w:val="none"/>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Ansi="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Ansi="宋体"/>
                <w:color w:val="auto"/>
                <w:sz w:val="24"/>
                <w:highlight w:val="none"/>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Ansi="宋体"/>
                <w:color w:val="auto"/>
                <w:sz w:val="24"/>
                <w:highlight w:val="none"/>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Ansi="宋体"/>
                <w:color w:val="auto"/>
                <w:sz w:val="24"/>
                <w:highlight w:val="none"/>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Ansi="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Ansi="宋体"/>
                <w:color w:val="auto"/>
                <w:sz w:val="24"/>
                <w:highlight w:val="none"/>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Ansi="宋体"/>
                <w:color w:val="auto"/>
                <w:sz w:val="24"/>
                <w:highlight w:val="none"/>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4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left"/>
              <w:rPr>
                <w:rFonts w:hAnsi="宋体"/>
                <w:color w:val="auto"/>
                <w:sz w:val="24"/>
                <w:highlight w:val="none"/>
              </w:rPr>
            </w:pPr>
            <w:r>
              <w:rPr>
                <w:rFonts w:hint="eastAsia" w:hAnsi="宋体"/>
                <w:color w:val="auto"/>
                <w:sz w:val="24"/>
                <w:highlight w:val="none"/>
              </w:rPr>
              <w:t>总价（大写）</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Ansi="宋体"/>
                <w:color w:val="auto"/>
                <w:sz w:val="24"/>
                <w:highlight w:val="none"/>
              </w:rPr>
            </w:pPr>
          </w:p>
        </w:tc>
      </w:tr>
    </w:tbl>
    <w:p>
      <w:pPr>
        <w:spacing w:line="360" w:lineRule="auto"/>
        <w:ind w:firstLine="482" w:firstLineChars="200"/>
        <w:outlineLvl w:val="0"/>
        <w:rPr>
          <w:rFonts w:ascii="宋体" w:hAnsi="宋体"/>
          <w:b/>
          <w:color w:val="auto"/>
          <w:sz w:val="24"/>
          <w:highlight w:val="none"/>
        </w:rPr>
      </w:pPr>
      <w:bookmarkStart w:id="407" w:name="_Toc26916"/>
      <w:bookmarkStart w:id="408" w:name="_Toc30158"/>
      <w:bookmarkStart w:id="409" w:name="_Toc14993"/>
      <w:bookmarkStart w:id="410" w:name="_Toc30506"/>
      <w:bookmarkStart w:id="411" w:name="_Toc3654"/>
    </w:p>
    <w:bookmarkEnd w:id="407"/>
    <w:bookmarkEnd w:id="408"/>
    <w:bookmarkEnd w:id="409"/>
    <w:bookmarkEnd w:id="410"/>
    <w:bookmarkEnd w:id="411"/>
    <w:p>
      <w:pPr>
        <w:pStyle w:val="36"/>
        <w:spacing w:before="0" w:beforeAutospacing="0" w:after="0" w:afterAutospacing="0" w:line="360" w:lineRule="auto"/>
        <w:ind w:firstLine="480"/>
        <w:rPr>
          <w:b/>
          <w:color w:val="auto"/>
          <w:highlight w:val="none"/>
        </w:rPr>
      </w:pPr>
      <w:bookmarkStart w:id="412" w:name="_Toc22618"/>
      <w:bookmarkStart w:id="413" w:name="_Toc10340"/>
      <w:bookmarkStart w:id="414" w:name="_Toc1814"/>
      <w:r>
        <w:rPr>
          <w:rFonts w:hint="eastAsia"/>
          <w:b/>
          <w:color w:val="auto"/>
          <w:highlight w:val="none"/>
        </w:rPr>
        <w:t>1.4履约保证金</w:t>
      </w:r>
    </w:p>
    <w:p>
      <w:pPr>
        <w:pStyle w:val="36"/>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3"/>
        <w:tabs>
          <w:tab w:val="clear" w:pos="432"/>
        </w:tabs>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2"/>
      <w:bookmarkEnd w:id="413"/>
      <w:bookmarkEnd w:id="414"/>
      <w:r>
        <w:rPr>
          <w:rFonts w:hint="eastAsia" w:ascii="宋体" w:hAnsi="宋体" w:cs="宋体"/>
          <w:b/>
          <w:color w:val="auto"/>
          <w:sz w:val="24"/>
          <w:highlight w:val="none"/>
        </w:rPr>
        <w:t>预付款</w:t>
      </w:r>
    </w:p>
    <w:p>
      <w:pPr>
        <w:pStyle w:val="36"/>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36"/>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36"/>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36"/>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36"/>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outlineLvl w:val="0"/>
        <w:rPr>
          <w:rFonts w:ascii="宋体" w:hAnsi="宋体" w:cs="宋体"/>
          <w:b/>
          <w:color w:val="auto"/>
          <w:sz w:val="24"/>
          <w:highlight w:val="none"/>
        </w:rPr>
      </w:pPr>
      <w:bookmarkStart w:id="415" w:name="_Toc19304"/>
      <w:bookmarkStart w:id="416" w:name="_Toc2846"/>
      <w:bookmarkStart w:id="417" w:name="_Toc32071"/>
      <w:r>
        <w:rPr>
          <w:rFonts w:hint="eastAsia" w:ascii="宋体" w:hAnsi="宋体" w:cs="宋体"/>
          <w:b/>
          <w:color w:val="auto"/>
          <w:sz w:val="24"/>
          <w:highlight w:val="none"/>
        </w:rPr>
        <w:t>1.7货物交付期限、地点和方式</w:t>
      </w:r>
      <w:bookmarkEnd w:id="415"/>
      <w:bookmarkEnd w:id="416"/>
      <w:bookmarkEnd w:id="417"/>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outlineLvl w:val="0"/>
        <w:rPr>
          <w:rFonts w:ascii="宋体" w:hAnsi="宋体" w:cs="宋体"/>
          <w:b/>
          <w:color w:val="auto"/>
          <w:sz w:val="24"/>
          <w:highlight w:val="none"/>
        </w:rPr>
      </w:pPr>
      <w:bookmarkStart w:id="418" w:name="_Toc27250"/>
      <w:bookmarkStart w:id="419" w:name="_Toc19554"/>
      <w:bookmarkStart w:id="420" w:name="_Toc21423"/>
      <w:r>
        <w:rPr>
          <w:rFonts w:hint="eastAsia" w:ascii="宋体" w:hAnsi="宋体" w:cs="宋体"/>
          <w:b/>
          <w:color w:val="auto"/>
          <w:sz w:val="24"/>
          <w:highlight w:val="none"/>
        </w:rPr>
        <w:t>1.8违约责任</w:t>
      </w:r>
      <w:bookmarkEnd w:id="418"/>
      <w:bookmarkEnd w:id="419"/>
      <w:bookmarkEnd w:id="420"/>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1.8.5如果出现监督管理部门在处理投诉事项期间，书面通知甲方暂停采购活动的情形，或者询问或质疑事项可能影响中标或者成交结果的，导致甲方中止履行合同的情形，均不视为甲方违约。</w:t>
      </w:r>
    </w:p>
    <w:p>
      <w:pPr>
        <w:spacing w:line="360" w:lineRule="auto"/>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360" w:lineRule="auto"/>
        <w:ind w:firstLine="482" w:firstLineChars="200"/>
        <w:outlineLvl w:val="0"/>
        <w:rPr>
          <w:rFonts w:ascii="宋体" w:hAnsi="宋体" w:cs="宋体"/>
          <w:b/>
          <w:color w:val="auto"/>
          <w:sz w:val="24"/>
          <w:highlight w:val="none"/>
        </w:rPr>
      </w:pPr>
      <w:bookmarkStart w:id="421" w:name="_Toc16021"/>
      <w:bookmarkStart w:id="422" w:name="_Toc15583"/>
      <w:bookmarkStart w:id="423" w:name="_Toc28375"/>
      <w:r>
        <w:rPr>
          <w:rFonts w:hint="eastAsia" w:ascii="宋体" w:hAnsi="宋体" w:cs="宋体"/>
          <w:b/>
          <w:color w:val="auto"/>
          <w:sz w:val="24"/>
          <w:highlight w:val="none"/>
        </w:rPr>
        <w:t>1.9合同争议的解决</w:t>
      </w:r>
      <w:bookmarkEnd w:id="421"/>
      <w:bookmarkEnd w:id="422"/>
      <w:bookmarkEnd w:id="423"/>
    </w:p>
    <w:p>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1.9.1    </w:t>
      </w:r>
      <w:r>
        <w:rPr>
          <w:rFonts w:hint="eastAsia" w:ascii="宋体" w:hAnsi="宋体" w:cs="宋体"/>
          <w:color w:val="auto"/>
          <w:sz w:val="24"/>
          <w:highlight w:val="none"/>
        </w:rPr>
        <w:t>条款规定的方式解决：</w:t>
      </w:r>
    </w:p>
    <w:p>
      <w:pPr>
        <w:spacing w:line="360" w:lineRule="auto"/>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360" w:lineRule="auto"/>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360" w:lineRule="auto"/>
        <w:ind w:firstLine="482" w:firstLineChars="200"/>
        <w:outlineLvl w:val="0"/>
        <w:rPr>
          <w:rFonts w:ascii="宋体" w:hAnsi="宋体" w:cs="宋体"/>
          <w:b/>
          <w:color w:val="auto"/>
          <w:sz w:val="24"/>
          <w:highlight w:val="none"/>
        </w:rPr>
      </w:pPr>
      <w:bookmarkStart w:id="424" w:name="_Toc15322"/>
      <w:bookmarkStart w:id="425" w:name="_Toc11173"/>
      <w:bookmarkStart w:id="426" w:name="_Toc7245"/>
      <w:r>
        <w:rPr>
          <w:rFonts w:hint="eastAsia" w:ascii="宋体" w:hAnsi="宋体" w:cs="宋体"/>
          <w:b/>
          <w:color w:val="auto"/>
          <w:sz w:val="24"/>
          <w:highlight w:val="none"/>
        </w:rPr>
        <w:t>2.0 合同生效</w:t>
      </w:r>
      <w:bookmarkEnd w:id="424"/>
      <w:bookmarkEnd w:id="425"/>
      <w:bookmarkEnd w:id="426"/>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本合同自双方当事人盖章签字时生效。</w:t>
      </w:r>
    </w:p>
    <w:p>
      <w:pPr>
        <w:rPr>
          <w:rFonts w:ascii="宋体" w:hAnsi="宋体"/>
          <w:color w:val="auto"/>
          <w:sz w:val="24"/>
          <w:highlight w:val="none"/>
        </w:rPr>
      </w:pPr>
    </w:p>
    <w:p>
      <w:pPr>
        <w:autoSpaceDE w:val="0"/>
        <w:autoSpaceDN w:val="0"/>
        <w:spacing w:line="360" w:lineRule="auto"/>
        <w:rPr>
          <w:rFonts w:ascii="宋体" w:hAnsi="宋体"/>
          <w:bCs/>
          <w:color w:val="auto"/>
          <w:sz w:val="24"/>
          <w:highlight w:val="none"/>
        </w:rPr>
      </w:pPr>
    </w:p>
    <w:p>
      <w:pPr>
        <w:autoSpaceDE w:val="0"/>
        <w:autoSpaceDN w:val="0"/>
        <w:spacing w:line="360" w:lineRule="auto"/>
        <w:rPr>
          <w:rFonts w:ascii="宋体" w:hAnsi="宋体"/>
          <w:bCs/>
          <w:color w:val="auto"/>
          <w:sz w:val="24"/>
          <w:highlight w:val="none"/>
        </w:rPr>
      </w:pPr>
      <w:r>
        <w:rPr>
          <w:rFonts w:hint="eastAsia" w:ascii="宋体" w:hAnsi="宋体"/>
          <w:bCs/>
          <w:color w:val="auto"/>
          <w:sz w:val="24"/>
          <w:highlight w:val="none"/>
        </w:rPr>
        <w:t>本页为签章页，无正文。</w:t>
      </w:r>
    </w:p>
    <w:p>
      <w:pPr>
        <w:autoSpaceDE w:val="0"/>
        <w:autoSpaceDN w:val="0"/>
        <w:spacing w:line="360" w:lineRule="auto"/>
        <w:rPr>
          <w:rFonts w:ascii="宋体" w:hAnsi="宋体"/>
          <w:b/>
          <w:color w:val="auto"/>
          <w:sz w:val="24"/>
          <w:highlight w:val="none"/>
        </w:rPr>
      </w:pPr>
    </w:p>
    <w:p>
      <w:pPr>
        <w:autoSpaceDE w:val="0"/>
        <w:autoSpaceDN w:val="0"/>
        <w:spacing w:line="360" w:lineRule="auto"/>
        <w:rPr>
          <w:rFonts w:ascii="宋体" w:hAnsi="宋体"/>
          <w:color w:val="auto"/>
          <w:sz w:val="24"/>
          <w:highlight w:val="none"/>
        </w:rPr>
      </w:pPr>
      <w:r>
        <w:rPr>
          <w:rFonts w:hint="eastAsia" w:ascii="宋体" w:hAnsi="宋体"/>
          <w:b/>
          <w:color w:val="auto"/>
          <w:sz w:val="24"/>
          <w:highlight w:val="none"/>
        </w:rPr>
        <w:t>甲方</w:t>
      </w:r>
      <w:r>
        <w:rPr>
          <w:rFonts w:hint="eastAsia" w:ascii="宋体" w:hAnsi="宋体"/>
          <w:color w:val="auto"/>
          <w:sz w:val="24"/>
          <w:highlight w:val="none"/>
        </w:rPr>
        <w:t>：浙江省杭州第十一中学</w:t>
      </w:r>
      <w:r>
        <w:rPr>
          <w:rFonts w:ascii="宋体" w:hAnsi="宋体"/>
          <w:color w:val="auto"/>
          <w:sz w:val="24"/>
          <w:highlight w:val="none"/>
        </w:rPr>
        <w:t xml:space="preserve">                  </w:t>
      </w:r>
      <w:r>
        <w:rPr>
          <w:rFonts w:ascii="宋体" w:hAnsi="宋体"/>
          <w:b/>
          <w:color w:val="auto"/>
          <w:sz w:val="24"/>
          <w:highlight w:val="none"/>
        </w:rPr>
        <w:t>乙方</w:t>
      </w:r>
      <w:r>
        <w:rPr>
          <w:rFonts w:hint="eastAsia" w:ascii="宋体" w:hAnsi="宋体"/>
          <w:color w:val="auto"/>
          <w:sz w:val="24"/>
          <w:highlight w:val="none"/>
        </w:rPr>
        <w:t>：</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统一社会信用代码：</w:t>
      </w:r>
      <w:r>
        <w:rPr>
          <w:rFonts w:ascii="宋体" w:hAnsi="宋体"/>
          <w:color w:val="auto"/>
          <w:sz w:val="24"/>
          <w:highlight w:val="none"/>
        </w:rPr>
        <w:t xml:space="preserve">                        </w:t>
      </w:r>
      <w:r>
        <w:rPr>
          <w:rFonts w:hint="eastAsia" w:ascii="宋体" w:hAnsi="宋体"/>
          <w:color w:val="auto"/>
          <w:sz w:val="24"/>
          <w:highlight w:val="none"/>
        </w:rPr>
        <w:t>统一社会信用代码或身份证号码：</w:t>
      </w:r>
    </w:p>
    <w:p>
      <w:pPr>
        <w:autoSpaceDE w:val="0"/>
        <w:autoSpaceDN w:val="0"/>
        <w:spacing w:line="360" w:lineRule="auto"/>
        <w:rPr>
          <w:rFonts w:ascii="宋体" w:hAnsi="宋体"/>
          <w:color w:val="auto"/>
          <w:sz w:val="24"/>
          <w:highlight w:val="none"/>
        </w:rPr>
      </w:pP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住所：</w:t>
      </w:r>
      <w:r>
        <w:rPr>
          <w:rFonts w:ascii="宋体" w:hAnsi="宋体"/>
          <w:color w:val="auto"/>
          <w:sz w:val="24"/>
          <w:highlight w:val="none"/>
        </w:rPr>
        <w:t xml:space="preserve">                                   </w:t>
      </w:r>
      <w:r>
        <w:rPr>
          <w:rFonts w:hint="eastAsia" w:ascii="宋体" w:hAnsi="宋体"/>
          <w:color w:val="auto"/>
          <w:sz w:val="24"/>
          <w:highlight w:val="none"/>
        </w:rPr>
        <w:t>住所：</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法定代表人或</w:t>
      </w:r>
      <w:r>
        <w:rPr>
          <w:rFonts w:ascii="宋体" w:hAnsi="宋体"/>
          <w:color w:val="auto"/>
          <w:sz w:val="24"/>
          <w:highlight w:val="none"/>
        </w:rPr>
        <w:t xml:space="preserve">                             </w:t>
      </w:r>
      <w:r>
        <w:rPr>
          <w:rFonts w:hint="eastAsia" w:ascii="宋体" w:hAnsi="宋体"/>
          <w:color w:val="auto"/>
          <w:sz w:val="24"/>
          <w:highlight w:val="none"/>
        </w:rPr>
        <w:t>法定代表人或</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授权代表（签字）：</w:t>
      </w:r>
      <w:r>
        <w:rPr>
          <w:rFonts w:ascii="宋体" w:hAnsi="宋体"/>
          <w:color w:val="auto"/>
          <w:sz w:val="24"/>
          <w:highlight w:val="none"/>
        </w:rPr>
        <w:t xml:space="preserve">                       授权代表（签字）</w:t>
      </w:r>
      <w:r>
        <w:rPr>
          <w:rFonts w:hint="eastAsia" w:ascii="宋体" w:hAnsi="宋体"/>
          <w:color w:val="auto"/>
          <w:sz w:val="24"/>
          <w:highlight w:val="none"/>
        </w:rPr>
        <w:t>：</w:t>
      </w:r>
      <w:r>
        <w:rPr>
          <w:rFonts w:ascii="宋体" w:hAnsi="宋体"/>
          <w:color w:val="auto"/>
          <w:sz w:val="24"/>
          <w:highlight w:val="none"/>
        </w:rPr>
        <w:t xml:space="preserve"> </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联系人：</w:t>
      </w:r>
      <w:r>
        <w:rPr>
          <w:rFonts w:ascii="宋体" w:hAnsi="宋体"/>
          <w:color w:val="auto"/>
          <w:sz w:val="24"/>
          <w:highlight w:val="none"/>
        </w:rPr>
        <w:t xml:space="preserve">                                 </w:t>
      </w:r>
      <w:r>
        <w:rPr>
          <w:rFonts w:hint="eastAsia" w:ascii="宋体" w:hAnsi="宋体"/>
          <w:color w:val="auto"/>
          <w:sz w:val="24"/>
          <w:highlight w:val="none"/>
        </w:rPr>
        <w:t>联系人：</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约定送达地址：</w:t>
      </w:r>
      <w:r>
        <w:rPr>
          <w:rFonts w:ascii="宋体" w:hAnsi="宋体"/>
          <w:color w:val="auto"/>
          <w:sz w:val="24"/>
          <w:highlight w:val="none"/>
        </w:rPr>
        <w:t xml:space="preserve">                           </w:t>
      </w:r>
      <w:r>
        <w:rPr>
          <w:rFonts w:hint="eastAsia" w:ascii="宋体" w:hAnsi="宋体"/>
          <w:color w:val="auto"/>
          <w:sz w:val="24"/>
          <w:highlight w:val="none"/>
        </w:rPr>
        <w:t>约定送达地址：</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邮政编码：</w:t>
      </w:r>
      <w:r>
        <w:rPr>
          <w:rFonts w:ascii="宋体" w:hAnsi="宋体"/>
          <w:color w:val="auto"/>
          <w:sz w:val="24"/>
          <w:highlight w:val="none"/>
        </w:rPr>
        <w:t xml:space="preserve">                               </w:t>
      </w:r>
      <w:r>
        <w:rPr>
          <w:rFonts w:hint="eastAsia" w:ascii="宋体" w:hAnsi="宋体"/>
          <w:color w:val="auto"/>
          <w:sz w:val="24"/>
          <w:highlight w:val="none"/>
        </w:rPr>
        <w:t>邮政编码：</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电话：</w:t>
      </w:r>
      <w:r>
        <w:rPr>
          <w:rFonts w:ascii="宋体" w:hAnsi="宋体"/>
          <w:color w:val="auto"/>
          <w:sz w:val="24"/>
          <w:highlight w:val="none"/>
        </w:rPr>
        <w:t xml:space="preserve">                                   电话</w:t>
      </w:r>
      <w:r>
        <w:rPr>
          <w:rFonts w:hint="eastAsia" w:ascii="宋体" w:hAnsi="宋体"/>
          <w:color w:val="auto"/>
          <w:sz w:val="24"/>
          <w:highlight w:val="none"/>
        </w:rPr>
        <w:t>：</w:t>
      </w:r>
      <w:r>
        <w:rPr>
          <w:rFonts w:ascii="宋体" w:hAnsi="宋体"/>
          <w:color w:val="auto"/>
          <w:sz w:val="24"/>
          <w:highlight w:val="none"/>
        </w:rPr>
        <w:t xml:space="preserve"> </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传真：</w:t>
      </w:r>
      <w:r>
        <w:rPr>
          <w:rFonts w:ascii="宋体" w:hAnsi="宋体"/>
          <w:color w:val="auto"/>
          <w:sz w:val="24"/>
          <w:highlight w:val="none"/>
        </w:rPr>
        <w:t xml:space="preserve">                                   </w:t>
      </w:r>
      <w:r>
        <w:rPr>
          <w:rFonts w:hint="eastAsia" w:ascii="宋体" w:hAnsi="宋体"/>
          <w:color w:val="auto"/>
          <w:sz w:val="24"/>
          <w:highlight w:val="none"/>
        </w:rPr>
        <w:t>传真：</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电子邮箱：</w:t>
      </w:r>
      <w:r>
        <w:rPr>
          <w:rFonts w:ascii="宋体" w:hAnsi="宋体"/>
          <w:color w:val="auto"/>
          <w:sz w:val="24"/>
          <w:highlight w:val="none"/>
        </w:rPr>
        <w:t xml:space="preserve">                               </w:t>
      </w:r>
      <w:r>
        <w:rPr>
          <w:rFonts w:hint="eastAsia" w:ascii="宋体" w:hAnsi="宋体"/>
          <w:color w:val="auto"/>
          <w:sz w:val="24"/>
          <w:highlight w:val="none"/>
        </w:rPr>
        <w:t>电子邮箱：</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rPr>
        <w:t xml:space="preserve">                               </w:t>
      </w:r>
      <w:r>
        <w:rPr>
          <w:rFonts w:hint="eastAsia" w:ascii="宋体" w:hAnsi="宋体"/>
          <w:color w:val="auto"/>
          <w:sz w:val="24"/>
          <w:highlight w:val="none"/>
        </w:rPr>
        <w:t>开户账号：</w:t>
      </w:r>
    </w:p>
    <w:p>
      <w:pPr>
        <w:spacing w:line="360" w:lineRule="auto"/>
        <w:rPr>
          <w:rFonts w:ascii="宋体" w:hAnsi="宋体"/>
          <w:color w:val="auto"/>
          <w:sz w:val="24"/>
          <w:highlight w:val="none"/>
        </w:rPr>
      </w:pPr>
    </w:p>
    <w:p>
      <w:pPr>
        <w:pStyle w:val="33"/>
        <w:spacing w:after="0"/>
        <w:ind w:left="0" w:leftChars="0" w:firstLine="0" w:firstLineChars="0"/>
        <w:rPr>
          <w:rFonts w:ascii="宋体" w:hAnsi="宋体"/>
          <w:b/>
          <w:color w:val="auto"/>
          <w:highlight w:val="none"/>
        </w:rPr>
      </w:pPr>
    </w:p>
    <w:p>
      <w:pPr>
        <w:rPr>
          <w:rFonts w:ascii="宋体" w:hAnsi="宋体"/>
          <w:b/>
          <w:color w:val="auto"/>
          <w:highlight w:val="none"/>
        </w:rPr>
      </w:pPr>
      <w:r>
        <w:rPr>
          <w:rFonts w:hint="eastAsia" w:ascii="宋体" w:hAnsi="宋体"/>
          <w:b/>
          <w:color w:val="auto"/>
          <w:highlight w:val="none"/>
        </w:rPr>
        <w:br w:type="page"/>
      </w:r>
    </w:p>
    <w:p>
      <w:pPr>
        <w:pStyle w:val="33"/>
        <w:ind w:left="0" w:leftChars="0" w:firstLine="0" w:firstLineChars="0"/>
        <w:jc w:val="center"/>
        <w:rPr>
          <w:rFonts w:ascii="宋体" w:hAnsi="宋体"/>
          <w:b/>
          <w:color w:val="auto"/>
          <w:highlight w:val="none"/>
        </w:rPr>
      </w:pPr>
      <w:r>
        <w:rPr>
          <w:rFonts w:hint="eastAsia" w:ascii="宋体" w:hAnsi="宋体"/>
          <w:b/>
          <w:color w:val="auto"/>
          <w:highlight w:val="none"/>
        </w:rPr>
        <w:t>第二部分</w:t>
      </w:r>
      <w:r>
        <w:rPr>
          <w:rFonts w:ascii="宋体" w:hAnsi="宋体"/>
          <w:b/>
          <w:color w:val="auto"/>
          <w:highlight w:val="none"/>
        </w:rPr>
        <w:t xml:space="preserve"> </w:t>
      </w:r>
      <w:r>
        <w:rPr>
          <w:rFonts w:hint="eastAsia" w:ascii="宋体" w:hAnsi="宋体"/>
          <w:b/>
          <w:color w:val="auto"/>
          <w:highlight w:val="none"/>
        </w:rPr>
        <w:t>合同一般条款</w:t>
      </w:r>
    </w:p>
    <w:p>
      <w:pPr>
        <w:spacing w:line="360" w:lineRule="auto"/>
        <w:ind w:firstLine="482" w:firstLineChars="200"/>
        <w:outlineLvl w:val="0"/>
        <w:rPr>
          <w:rFonts w:ascii="宋体" w:hAnsi="宋体"/>
          <w:b/>
          <w:color w:val="auto"/>
          <w:sz w:val="24"/>
          <w:highlight w:val="none"/>
        </w:rPr>
      </w:pPr>
      <w:bookmarkStart w:id="427" w:name="_Toc31297"/>
      <w:bookmarkStart w:id="428" w:name="_Toc5228"/>
      <w:bookmarkStart w:id="429" w:name="_Toc25079"/>
      <w:bookmarkStart w:id="430" w:name="_Toc14021"/>
      <w:bookmarkStart w:id="431" w:name="_Toc19680"/>
      <w:r>
        <w:rPr>
          <w:rFonts w:ascii="宋体" w:hAnsi="宋体"/>
          <w:b/>
          <w:color w:val="auto"/>
          <w:sz w:val="24"/>
          <w:highlight w:val="none"/>
        </w:rPr>
        <w:t>2.1 定义</w:t>
      </w:r>
      <w:bookmarkEnd w:id="427"/>
      <w:bookmarkEnd w:id="428"/>
      <w:bookmarkEnd w:id="429"/>
      <w:bookmarkEnd w:id="430"/>
      <w:bookmarkEnd w:id="431"/>
    </w:p>
    <w:p>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“合同”系指采购人和中标供应商签订的载明双方当事人所达成的协议，并包括所有的附件、附录和构成合同的其他文件。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“合同价”系指根据合同约定，中标供应商在完全履行合同义务后</w:t>
      </w:r>
      <w:r>
        <w:rPr>
          <w:rFonts w:hint="eastAsia" w:ascii="宋体" w:hAnsi="宋体"/>
          <w:color w:val="auto"/>
          <w:sz w:val="24"/>
          <w:highlight w:val="none"/>
        </w:rPr>
        <w:t>，</w:t>
      </w:r>
      <w:r>
        <w:rPr>
          <w:rFonts w:ascii="宋体" w:hAnsi="宋体"/>
          <w:color w:val="auto"/>
          <w:sz w:val="24"/>
          <w:highlight w:val="none"/>
        </w:rPr>
        <w:t>采购人应支付给中标供应商的价格。</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2.1.3 </w:t>
      </w:r>
      <w:r>
        <w:rPr>
          <w:rFonts w:hint="eastAsia" w:ascii="宋体" w:hAnsi="宋体"/>
          <w:color w:val="auto"/>
          <w:sz w:val="24"/>
          <w:highlight w:val="none"/>
        </w:rPr>
        <w:t>“货物”系指中标供应商根据合同约定应向采购人交付的一切各种形态和种类的物品，包括原材料、燃料、设备、机械、仪表、备件、计算机软件、产品等，并包括工具、手册等其他相关资料。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olor w:val="auto"/>
          <w:sz w:val="24"/>
          <w:highlight w:val="none"/>
        </w:rPr>
        <w:t>中标供应商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“乙方”系指根据合同约定提供服务的中标供应商</w:t>
      </w:r>
      <w:r>
        <w:rPr>
          <w:rFonts w:hint="eastAsia" w:ascii="宋体" w:hAnsi="宋体"/>
          <w:color w:val="auto"/>
          <w:sz w:val="24"/>
          <w:highlight w:val="none"/>
        </w:rPr>
        <w:t>；两个以上的自然人、法人或者其他组织组成一个联合体，以一个供应商的身份共同参加采购的，联合体各方均应为乙方或者与乙方相同地位的合同当事人，并就合同约定的事项对甲方承担连带责任。</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360" w:lineRule="auto"/>
        <w:ind w:firstLine="482" w:firstLineChars="200"/>
        <w:outlineLvl w:val="0"/>
        <w:rPr>
          <w:rFonts w:ascii="宋体" w:hAnsi="宋体"/>
          <w:b/>
          <w:color w:val="auto"/>
          <w:sz w:val="24"/>
          <w:highlight w:val="none"/>
        </w:rPr>
      </w:pPr>
      <w:bookmarkStart w:id="432" w:name="_Toc19539"/>
      <w:bookmarkStart w:id="433" w:name="_Toc31402"/>
      <w:bookmarkStart w:id="434" w:name="_Toc16752"/>
      <w:bookmarkStart w:id="435" w:name="_Toc23289"/>
      <w:bookmarkStart w:id="436" w:name="_Toc3769"/>
      <w:r>
        <w:rPr>
          <w:rFonts w:ascii="宋体" w:hAnsi="宋体"/>
          <w:b/>
          <w:color w:val="auto"/>
          <w:sz w:val="24"/>
          <w:highlight w:val="none"/>
        </w:rPr>
        <w:t>2.2 技术规范</w:t>
      </w:r>
      <w:bookmarkEnd w:id="432"/>
      <w:bookmarkEnd w:id="433"/>
      <w:bookmarkEnd w:id="434"/>
      <w:bookmarkEnd w:id="435"/>
      <w:bookmarkEnd w:id="436"/>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360" w:lineRule="auto"/>
        <w:ind w:firstLine="482" w:firstLineChars="200"/>
        <w:outlineLvl w:val="0"/>
        <w:rPr>
          <w:rFonts w:ascii="宋体" w:hAnsi="宋体"/>
          <w:b/>
          <w:color w:val="auto"/>
          <w:sz w:val="24"/>
          <w:highlight w:val="none"/>
        </w:rPr>
      </w:pPr>
      <w:bookmarkStart w:id="437" w:name="_Toc13673"/>
      <w:bookmarkStart w:id="438" w:name="_Toc27945"/>
      <w:bookmarkStart w:id="439" w:name="_Toc12412"/>
      <w:bookmarkStart w:id="440" w:name="_Toc4133"/>
      <w:bookmarkStart w:id="441" w:name="_Toc9161"/>
      <w:r>
        <w:rPr>
          <w:rFonts w:ascii="宋体" w:hAnsi="宋体"/>
          <w:b/>
          <w:color w:val="auto"/>
          <w:sz w:val="24"/>
          <w:highlight w:val="none"/>
        </w:rPr>
        <w:t>2.3 知识产权</w:t>
      </w:r>
      <w:bookmarkEnd w:id="437"/>
      <w:bookmarkEnd w:id="438"/>
      <w:bookmarkEnd w:id="439"/>
      <w:bookmarkEnd w:id="440"/>
      <w:bookmarkEnd w:id="441"/>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包装和装运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2.4.1除</w:t>
      </w:r>
      <w:r>
        <w:rPr>
          <w:rFonts w:hint="eastAsia" w:ascii="宋体" w:hAnsi="宋体"/>
          <w:b/>
          <w:i/>
          <w:color w:val="auto"/>
          <w:sz w:val="24"/>
          <w:highlight w:val="none"/>
          <w:u w:val="single"/>
        </w:rPr>
        <w:t>合同专用条款</w:t>
      </w:r>
      <w:r>
        <w:rPr>
          <w:rFonts w:hint="eastAsia" w:ascii="宋体" w:hAnsi="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2.4.3 装运货物的要求和通知，详见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360" w:lineRule="auto"/>
        <w:ind w:firstLine="482" w:firstLineChars="200"/>
        <w:outlineLvl w:val="0"/>
        <w:rPr>
          <w:rFonts w:ascii="宋体" w:hAnsi="宋体"/>
          <w:b/>
          <w:color w:val="auto"/>
          <w:sz w:val="24"/>
          <w:highlight w:val="none"/>
        </w:rPr>
      </w:pPr>
      <w:bookmarkStart w:id="442" w:name="_Toc26555"/>
      <w:bookmarkStart w:id="443" w:name="_Toc32670"/>
      <w:bookmarkStart w:id="444" w:name="_Toc22011"/>
      <w:bookmarkStart w:id="445" w:name="_Toc15447"/>
      <w:bookmarkStart w:id="446" w:name="_Toc31233"/>
      <w:r>
        <w:rPr>
          <w:rFonts w:ascii="宋体" w:hAnsi="宋体"/>
          <w:b/>
          <w:color w:val="auto"/>
          <w:sz w:val="24"/>
          <w:highlight w:val="none"/>
        </w:rPr>
        <w:t xml:space="preserve">2.5 </w:t>
      </w:r>
      <w:bookmarkEnd w:id="442"/>
      <w:bookmarkEnd w:id="443"/>
      <w:bookmarkEnd w:id="444"/>
      <w:bookmarkEnd w:id="445"/>
      <w:bookmarkEnd w:id="446"/>
      <w:r>
        <w:rPr>
          <w:rFonts w:hint="eastAsia" w:ascii="宋体" w:hAnsi="宋体"/>
          <w:b/>
          <w:color w:val="auto"/>
          <w:sz w:val="24"/>
          <w:highlight w:val="none"/>
        </w:rPr>
        <w:t xml:space="preserve"> 履约检查和问题反馈</w:t>
      </w:r>
    </w:p>
    <w:p>
      <w:pPr>
        <w:spacing w:line="360" w:lineRule="auto"/>
        <w:ind w:firstLine="480" w:firstLineChars="200"/>
        <w:rPr>
          <w:rFonts w:ascii="宋体" w:hAnsi="宋体"/>
          <w:color w:val="auto"/>
          <w:sz w:val="24"/>
          <w:highlight w:val="none"/>
        </w:rPr>
      </w:pPr>
      <w:bookmarkStart w:id="447" w:name="_Ref467379657"/>
      <w:r>
        <w:rPr>
          <w:rFonts w:hint="eastAsia" w:ascii="宋体" w:hAnsi="宋体"/>
          <w:color w:val="auto"/>
          <w:sz w:val="24"/>
          <w:highlight w:val="none"/>
        </w:rPr>
        <w:t>2.5.1</w:t>
      </w:r>
      <w:bookmarkEnd w:id="447"/>
      <w:bookmarkStart w:id="448" w:name="_Toc186431854"/>
      <w:r>
        <w:rPr>
          <w:rFonts w:hint="eastAsia" w:ascii="宋体" w:hAnsi="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2.5.2 合同履行期间，甲方有权将履行过程中出现的问题反馈给乙方，双方当事人应以书面形式约定需要完善和改进的内容</w:t>
      </w:r>
      <w:bookmarkEnd w:id="448"/>
      <w:r>
        <w:rPr>
          <w:rFonts w:ascii="宋体" w:hAnsi="宋体"/>
          <w:color w:val="auto"/>
          <w:sz w:val="24"/>
          <w:highlight w:val="none"/>
        </w:rPr>
        <w:t>。</w:t>
      </w:r>
    </w:p>
    <w:p>
      <w:pPr>
        <w:spacing w:line="360" w:lineRule="auto"/>
        <w:ind w:firstLine="482" w:firstLineChars="200"/>
        <w:outlineLvl w:val="0"/>
        <w:rPr>
          <w:rFonts w:ascii="宋体" w:hAnsi="宋体"/>
          <w:b/>
          <w:color w:val="auto"/>
          <w:sz w:val="24"/>
          <w:highlight w:val="none"/>
        </w:rPr>
      </w:pPr>
      <w:bookmarkStart w:id="449" w:name="_Toc16163"/>
      <w:bookmarkStart w:id="450" w:name="_Toc18990"/>
      <w:bookmarkStart w:id="451" w:name="_Toc13154"/>
      <w:bookmarkStart w:id="452" w:name="_Toc30507"/>
      <w:bookmarkStart w:id="453" w:name="_Toc13467"/>
      <w:r>
        <w:rPr>
          <w:rFonts w:ascii="宋体" w:hAnsi="宋体"/>
          <w:b/>
          <w:color w:val="auto"/>
          <w:sz w:val="24"/>
          <w:highlight w:val="none"/>
        </w:rPr>
        <w:t>2.6 技术资料和保密义务</w:t>
      </w:r>
      <w:bookmarkEnd w:id="449"/>
      <w:bookmarkEnd w:id="450"/>
      <w:bookmarkEnd w:id="451"/>
      <w:bookmarkEnd w:id="452"/>
      <w:bookmarkEnd w:id="453"/>
    </w:p>
    <w:p>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b/>
          <w:color w:val="auto"/>
          <w:sz w:val="24"/>
          <w:highlight w:val="none"/>
        </w:rPr>
      </w:pPr>
      <w:bookmarkStart w:id="45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4"/>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宋体" w:hAnsi="宋体"/>
          <w:b/>
          <w:color w:val="auto"/>
          <w:sz w:val="24"/>
          <w:highlight w:val="none"/>
        </w:rPr>
      </w:pPr>
      <w:bookmarkStart w:id="455" w:name="_Toc22267"/>
      <w:r>
        <w:rPr>
          <w:rFonts w:ascii="宋体" w:hAnsi="宋体"/>
          <w:b/>
          <w:color w:val="auto"/>
          <w:sz w:val="24"/>
          <w:highlight w:val="none"/>
        </w:rPr>
        <w:t xml:space="preserve">2.8 </w:t>
      </w:r>
      <w:bookmarkEnd w:id="455"/>
      <w:r>
        <w:rPr>
          <w:rFonts w:hint="eastAsia" w:ascii="宋体" w:hAnsi="宋体"/>
          <w:b/>
          <w:color w:val="auto"/>
          <w:sz w:val="24"/>
          <w:highlight w:val="none"/>
        </w:rPr>
        <w:t>货物的风险负担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货物或者在途货物或者交付给第一承运人后的货物毁损、灭失的风险负担详见</w:t>
      </w:r>
      <w:r>
        <w:rPr>
          <w:rFonts w:hint="eastAsia" w:ascii="宋体" w:hAnsi="宋体"/>
          <w:b/>
          <w:i/>
          <w:color w:val="auto"/>
          <w:sz w:val="24"/>
          <w:highlight w:val="none"/>
          <w:u w:val="single"/>
        </w:rPr>
        <w:t>合同专用条款</w:t>
      </w:r>
      <w:r>
        <w:rPr>
          <w:rFonts w:ascii="宋体" w:hAnsi="宋体"/>
          <w:color w:val="auto"/>
          <w:sz w:val="24"/>
          <w:highlight w:val="none"/>
        </w:rPr>
        <w:t>。</w:t>
      </w:r>
    </w:p>
    <w:p>
      <w:pPr>
        <w:spacing w:line="360" w:lineRule="auto"/>
        <w:ind w:firstLine="482" w:firstLineChars="200"/>
        <w:outlineLvl w:val="0"/>
        <w:rPr>
          <w:rFonts w:ascii="宋体" w:hAnsi="宋体"/>
          <w:b/>
          <w:color w:val="auto"/>
          <w:sz w:val="24"/>
          <w:highlight w:val="none"/>
        </w:rPr>
      </w:pPr>
      <w:bookmarkStart w:id="456" w:name="_Toc10611"/>
      <w:r>
        <w:rPr>
          <w:rFonts w:ascii="宋体" w:hAnsi="宋体"/>
          <w:b/>
          <w:color w:val="auto"/>
          <w:sz w:val="24"/>
          <w:highlight w:val="none"/>
        </w:rPr>
        <w:t xml:space="preserve">2.9 </w:t>
      </w:r>
      <w:bookmarkEnd w:id="456"/>
      <w:r>
        <w:rPr>
          <w:rFonts w:hint="eastAsia" w:ascii="宋体" w:hAnsi="宋体"/>
          <w:b/>
          <w:color w:val="auto"/>
          <w:sz w:val="24"/>
          <w:highlight w:val="none"/>
        </w:rPr>
        <w:t>延迟交货</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宋体" w:hAnsi="宋体"/>
          <w:b/>
          <w:color w:val="auto"/>
          <w:sz w:val="24"/>
          <w:highlight w:val="none"/>
        </w:rPr>
      </w:pPr>
      <w:bookmarkStart w:id="457" w:name="_Toc7502"/>
      <w:bookmarkStart w:id="458" w:name="_Toc279701254"/>
      <w:bookmarkStart w:id="459" w:name="_Toc259093683"/>
      <w:bookmarkStart w:id="460" w:name="_Ref467378121"/>
      <w:bookmarkStart w:id="461" w:name="_Toc487900364"/>
      <w:r>
        <w:rPr>
          <w:rFonts w:hint="eastAsia" w:ascii="宋体" w:hAnsi="宋体"/>
          <w:b/>
          <w:color w:val="auto"/>
          <w:sz w:val="24"/>
          <w:highlight w:val="none"/>
        </w:rPr>
        <w:t>2.10 合同变更</w:t>
      </w:r>
      <w:bookmarkEnd w:id="457"/>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62" w:name="_Toc259093688"/>
      <w:bookmarkStart w:id="463" w:name="_Toc487900369"/>
      <w:bookmarkStart w:id="464" w:name="_Toc279701259"/>
    </w:p>
    <w:p>
      <w:pPr>
        <w:spacing w:line="360" w:lineRule="auto"/>
        <w:ind w:firstLine="482" w:firstLineChars="200"/>
        <w:outlineLvl w:val="0"/>
        <w:rPr>
          <w:rFonts w:ascii="宋体" w:hAnsi="宋体"/>
          <w:b/>
          <w:color w:val="auto"/>
          <w:sz w:val="24"/>
          <w:highlight w:val="none"/>
        </w:rPr>
      </w:pPr>
      <w:bookmarkStart w:id="465" w:name="_Toc15237"/>
      <w:bookmarkStart w:id="466" w:name="_Toc10366"/>
      <w:bookmarkStart w:id="467" w:name="_Toc22955"/>
      <w:r>
        <w:rPr>
          <w:rFonts w:hint="eastAsia" w:ascii="宋体" w:hAnsi="宋体"/>
          <w:b/>
          <w:color w:val="auto"/>
          <w:sz w:val="24"/>
          <w:highlight w:val="none"/>
        </w:rPr>
        <w:t>2.11 合同转让</w:t>
      </w:r>
      <w:bookmarkEnd w:id="462"/>
      <w:bookmarkEnd w:id="463"/>
      <w:bookmarkEnd w:id="464"/>
      <w:r>
        <w:rPr>
          <w:rFonts w:hint="eastAsia" w:ascii="宋体" w:hAnsi="宋体"/>
          <w:b/>
          <w:color w:val="auto"/>
          <w:sz w:val="24"/>
          <w:highlight w:val="none"/>
        </w:rPr>
        <w:t>和分包</w:t>
      </w:r>
      <w:bookmarkEnd w:id="465"/>
      <w:bookmarkEnd w:id="466"/>
      <w:bookmarkEnd w:id="467"/>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2.11.2乙方采取分包方式履行合同的，甲方可直接向分包供应商支付款项。</w:t>
      </w:r>
    </w:p>
    <w:p>
      <w:pPr>
        <w:spacing w:line="360" w:lineRule="auto"/>
        <w:ind w:firstLine="482" w:firstLineChars="200"/>
        <w:outlineLvl w:val="0"/>
        <w:rPr>
          <w:rFonts w:ascii="宋体" w:hAnsi="宋体"/>
          <w:b/>
          <w:color w:val="auto"/>
          <w:sz w:val="24"/>
          <w:highlight w:val="none"/>
        </w:rPr>
      </w:pPr>
      <w:bookmarkStart w:id="468" w:name="_Toc16508"/>
      <w:bookmarkStart w:id="469" w:name="_Toc13566"/>
      <w:bookmarkStart w:id="470" w:name="_Toc14066"/>
      <w:r>
        <w:rPr>
          <w:rFonts w:hint="eastAsia" w:ascii="宋体" w:hAnsi="宋体"/>
          <w:b/>
          <w:color w:val="auto"/>
          <w:sz w:val="24"/>
          <w:highlight w:val="none"/>
        </w:rPr>
        <w:t>2.12 不可抗力</w:t>
      </w:r>
      <w:bookmarkEnd w:id="468"/>
      <w:bookmarkEnd w:id="469"/>
      <w:bookmarkEnd w:id="470"/>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2.12.1如果任何一方遭遇法律规定的不可抗力，致使合同履行受阻时，履行合同的期限应予延长，延长的期限应相当于不可抗力所影响的时间；</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2.12.2 因不可抗力致使不能实现合同目的的，当事人可以解除合同；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2.12.3 因不可抗力致使合同有变更必要的，双方当事人应在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约定时间内以书面形式变更合同；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2.12.4受不可抗力影响的一方在不可抗力发生后，应在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约定时间内以书面形式通知对方当事人，并在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约定时间内，将有关部门出具的证明文件送达对方当事人。</w:t>
      </w:r>
    </w:p>
    <w:p>
      <w:pPr>
        <w:spacing w:line="360" w:lineRule="auto"/>
        <w:ind w:firstLine="482" w:firstLineChars="200"/>
        <w:outlineLvl w:val="0"/>
        <w:rPr>
          <w:rFonts w:ascii="宋体" w:hAnsi="宋体"/>
          <w:b/>
          <w:color w:val="auto"/>
          <w:sz w:val="24"/>
          <w:highlight w:val="none"/>
        </w:rPr>
      </w:pPr>
      <w:bookmarkStart w:id="471" w:name="_Toc259093684"/>
      <w:bookmarkStart w:id="472" w:name="_Toc279701255"/>
      <w:bookmarkStart w:id="473" w:name="_Toc689"/>
      <w:bookmarkStart w:id="474" w:name="_Toc6969"/>
      <w:bookmarkStart w:id="475" w:name="_Toc30676"/>
      <w:bookmarkStart w:id="476" w:name="_Toc487900365"/>
      <w:r>
        <w:rPr>
          <w:rFonts w:hint="eastAsia" w:ascii="宋体" w:hAnsi="宋体"/>
          <w:b/>
          <w:color w:val="auto"/>
          <w:sz w:val="24"/>
          <w:highlight w:val="none"/>
        </w:rPr>
        <w:t>2.13 税费</w:t>
      </w:r>
      <w:bookmarkEnd w:id="471"/>
      <w:bookmarkEnd w:id="472"/>
      <w:bookmarkEnd w:id="473"/>
      <w:bookmarkEnd w:id="474"/>
      <w:bookmarkEnd w:id="475"/>
      <w:bookmarkEnd w:id="476"/>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与合同有关的一切税费，均按照中华人民共和国法律的相关规定。</w:t>
      </w:r>
    </w:p>
    <w:p>
      <w:pPr>
        <w:spacing w:line="360" w:lineRule="auto"/>
        <w:ind w:firstLine="482" w:firstLineChars="200"/>
        <w:outlineLvl w:val="0"/>
        <w:rPr>
          <w:rFonts w:ascii="宋体" w:hAnsi="宋体"/>
          <w:b/>
          <w:color w:val="auto"/>
          <w:sz w:val="24"/>
          <w:highlight w:val="none"/>
        </w:rPr>
      </w:pPr>
      <w:bookmarkStart w:id="477" w:name="_Toc8298"/>
      <w:bookmarkStart w:id="478" w:name="_Toc7102"/>
      <w:bookmarkStart w:id="479" w:name="_Toc487900368"/>
      <w:bookmarkStart w:id="480" w:name="_Toc259093687"/>
      <w:bookmarkStart w:id="481" w:name="_Toc279701258"/>
      <w:bookmarkStart w:id="482" w:name="_Toc16959"/>
      <w:r>
        <w:rPr>
          <w:rFonts w:hint="eastAsia" w:ascii="宋体" w:hAnsi="宋体"/>
          <w:b/>
          <w:color w:val="auto"/>
          <w:sz w:val="24"/>
          <w:highlight w:val="none"/>
        </w:rPr>
        <w:t>2.14乙方破产</w:t>
      </w:r>
      <w:bookmarkEnd w:id="477"/>
      <w:bookmarkEnd w:id="478"/>
      <w:bookmarkEnd w:id="479"/>
      <w:bookmarkEnd w:id="480"/>
      <w:bookmarkEnd w:id="481"/>
      <w:bookmarkEnd w:id="482"/>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b/>
          <w:color w:val="auto"/>
          <w:sz w:val="24"/>
          <w:highlight w:val="none"/>
        </w:rPr>
      </w:pPr>
      <w:bookmarkStart w:id="483" w:name="_Toc6134"/>
      <w:bookmarkStart w:id="484" w:name="_Toc15387"/>
      <w:bookmarkStart w:id="485" w:name="_Toc29333"/>
      <w:r>
        <w:rPr>
          <w:rFonts w:hint="eastAsia" w:ascii="宋体" w:hAnsi="宋体"/>
          <w:b/>
          <w:color w:val="auto"/>
          <w:sz w:val="24"/>
          <w:highlight w:val="none"/>
        </w:rPr>
        <w:t>2.15 合同中止、终止</w:t>
      </w:r>
      <w:bookmarkEnd w:id="483"/>
      <w:bookmarkEnd w:id="484"/>
      <w:bookmarkEnd w:id="485"/>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2.15.1 双方当事人不得擅自中止或者终止合同；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宋体" w:hAnsi="宋体"/>
          <w:b/>
          <w:color w:val="auto"/>
          <w:sz w:val="24"/>
          <w:highlight w:val="none"/>
        </w:rPr>
      </w:pPr>
      <w:bookmarkStart w:id="486" w:name="_Toc1125"/>
      <w:bookmarkStart w:id="487" w:name="_Toc6596"/>
      <w:bookmarkStart w:id="488" w:name="_Toc14563"/>
      <w:r>
        <w:rPr>
          <w:rFonts w:hint="eastAsia" w:ascii="宋体" w:hAnsi="宋体"/>
          <w:b/>
          <w:color w:val="auto"/>
          <w:sz w:val="24"/>
          <w:highlight w:val="none"/>
        </w:rPr>
        <w:t>2.16检验和验收</w:t>
      </w:r>
      <w:bookmarkEnd w:id="486"/>
      <w:bookmarkEnd w:id="487"/>
      <w:bookmarkEnd w:id="488"/>
    </w:p>
    <w:p>
      <w:pPr>
        <w:tabs>
          <w:tab w:val="left" w:pos="360"/>
          <w:tab w:val="left" w:pos="540"/>
          <w:tab w:val="left" w:pos="108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约定时间内组织验收，并可依法邀请相关方参加，验收应出具验收书。</w:t>
      </w:r>
    </w:p>
    <w:p>
      <w:pPr>
        <w:tabs>
          <w:tab w:val="left" w:pos="360"/>
          <w:tab w:val="left" w:pos="540"/>
          <w:tab w:val="left" w:pos="108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2.16.3 检验和验收标准、程序等具体内容以及前述验收书的效力详见</w:t>
      </w:r>
      <w:r>
        <w:rPr>
          <w:rFonts w:hint="eastAsia" w:ascii="宋体" w:hAnsi="宋体"/>
          <w:b/>
          <w:i/>
          <w:color w:val="auto"/>
          <w:sz w:val="24"/>
          <w:highlight w:val="none"/>
          <w:u w:val="single"/>
        </w:rPr>
        <w:t>合同专用条款</w:t>
      </w:r>
      <w:r>
        <w:rPr>
          <w:rFonts w:hint="eastAsia" w:ascii="宋体" w:hAnsi="宋体"/>
          <w:i/>
          <w:color w:val="auto"/>
          <w:sz w:val="24"/>
          <w:highlight w:val="none"/>
        </w:rPr>
        <w:t>。</w:t>
      </w:r>
    </w:p>
    <w:bookmarkEnd w:id="458"/>
    <w:bookmarkEnd w:id="459"/>
    <w:bookmarkEnd w:id="460"/>
    <w:bookmarkEnd w:id="461"/>
    <w:p>
      <w:pPr>
        <w:spacing w:line="360" w:lineRule="auto"/>
        <w:ind w:firstLine="482" w:firstLineChars="200"/>
        <w:outlineLvl w:val="0"/>
        <w:rPr>
          <w:rFonts w:ascii="宋体" w:hAnsi="宋体"/>
          <w:b/>
          <w:color w:val="auto"/>
          <w:sz w:val="24"/>
          <w:highlight w:val="none"/>
        </w:rPr>
      </w:pPr>
      <w:bookmarkStart w:id="489" w:name="_Toc279701261"/>
      <w:bookmarkStart w:id="490" w:name="_Toc259093690"/>
      <w:bookmarkStart w:id="491" w:name="_Toc487900371"/>
      <w:bookmarkStart w:id="492" w:name="_Toc19604"/>
      <w:bookmarkStart w:id="493" w:name="_Toc25182"/>
      <w:bookmarkStart w:id="494" w:name="_Toc11284"/>
      <w:r>
        <w:rPr>
          <w:rFonts w:hint="eastAsia" w:ascii="宋体" w:hAnsi="宋体"/>
          <w:b/>
          <w:color w:val="auto"/>
          <w:sz w:val="24"/>
          <w:highlight w:val="none"/>
        </w:rPr>
        <w:t>2.17 通知</w:t>
      </w:r>
      <w:bookmarkEnd w:id="489"/>
      <w:bookmarkEnd w:id="490"/>
      <w:bookmarkEnd w:id="491"/>
      <w:r>
        <w:rPr>
          <w:rFonts w:hint="eastAsia" w:ascii="宋体" w:hAnsi="宋体"/>
          <w:b/>
          <w:color w:val="auto"/>
          <w:sz w:val="24"/>
          <w:highlight w:val="none"/>
        </w:rPr>
        <w:t>和送达</w:t>
      </w:r>
      <w:bookmarkEnd w:id="492"/>
      <w:bookmarkEnd w:id="493"/>
      <w:bookmarkEnd w:id="494"/>
    </w:p>
    <w:p>
      <w:pPr>
        <w:spacing w:line="360" w:lineRule="auto"/>
        <w:ind w:firstLine="480" w:firstLineChars="200"/>
        <w:rPr>
          <w:rFonts w:ascii="宋体" w:hAnsi="宋体"/>
          <w:color w:val="auto"/>
          <w:sz w:val="24"/>
          <w:highlight w:val="none"/>
        </w:rPr>
      </w:pPr>
      <w:bookmarkStart w:id="495" w:name="_Toc6698"/>
      <w:bookmarkStart w:id="496" w:name="_Toc3135"/>
      <w:bookmarkStart w:id="497" w:name="_Toc487900372"/>
      <w:bookmarkStart w:id="498" w:name="_Toc259093691"/>
      <w:bookmarkStart w:id="499" w:name="_Toc279701262"/>
      <w:r>
        <w:rPr>
          <w:rFonts w:hint="eastAsia" w:ascii="宋体" w:hAnsi="宋体"/>
          <w:color w:val="auto"/>
          <w:sz w:val="24"/>
          <w:highlight w:val="none"/>
        </w:rPr>
        <w:t xml:space="preserve">2.17.1任何一方因履行合同而以合同第一部分尾部所列明的传真或电子邮件 </w:t>
      </w:r>
      <w:r>
        <w:rPr>
          <w:rFonts w:hint="eastAsia"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hint="eastAsia"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bookmarkEnd w:id="495"/>
      <w:bookmarkEnd w:id="496"/>
    </w:p>
    <w:p>
      <w:pPr>
        <w:spacing w:line="360" w:lineRule="auto"/>
        <w:ind w:firstLine="480" w:firstLineChars="200"/>
        <w:rPr>
          <w:rFonts w:ascii="宋体" w:hAnsi="宋体"/>
          <w:color w:val="auto"/>
          <w:sz w:val="24"/>
          <w:highlight w:val="none"/>
        </w:rPr>
      </w:pPr>
      <w:bookmarkStart w:id="500" w:name="_Toc23128"/>
      <w:bookmarkStart w:id="501" w:name="_Toc23294"/>
      <w:r>
        <w:rPr>
          <w:rFonts w:hint="eastAsia"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0"/>
      <w:bookmarkEnd w:id="501"/>
    </w:p>
    <w:p>
      <w:pPr>
        <w:spacing w:line="360" w:lineRule="auto"/>
        <w:ind w:firstLine="482" w:firstLineChars="200"/>
        <w:outlineLvl w:val="0"/>
        <w:rPr>
          <w:rFonts w:ascii="宋体" w:hAnsi="宋体"/>
          <w:b/>
          <w:color w:val="auto"/>
          <w:sz w:val="24"/>
          <w:highlight w:val="none"/>
        </w:rPr>
      </w:pPr>
      <w:bookmarkStart w:id="502" w:name="_Toc18540"/>
      <w:bookmarkStart w:id="503" w:name="_Toc4355"/>
      <w:bookmarkStart w:id="504" w:name="_Toc30599"/>
      <w:r>
        <w:rPr>
          <w:rFonts w:hint="eastAsia" w:ascii="宋体" w:hAnsi="宋体"/>
          <w:b/>
          <w:color w:val="auto"/>
          <w:sz w:val="24"/>
          <w:highlight w:val="none"/>
        </w:rPr>
        <w:t>2.18 计量单位</w:t>
      </w:r>
      <w:bookmarkEnd w:id="497"/>
      <w:bookmarkEnd w:id="498"/>
      <w:bookmarkEnd w:id="499"/>
      <w:bookmarkEnd w:id="502"/>
      <w:bookmarkEnd w:id="503"/>
      <w:bookmarkEnd w:id="504"/>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除技术规范中另有规定外,合同的计量单位均使用国家法定计量单位。</w:t>
      </w:r>
    </w:p>
    <w:p>
      <w:pPr>
        <w:spacing w:line="360" w:lineRule="auto"/>
        <w:ind w:firstLine="482" w:firstLineChars="200"/>
        <w:outlineLvl w:val="0"/>
        <w:rPr>
          <w:rFonts w:ascii="宋体" w:hAnsi="宋体"/>
          <w:b/>
          <w:color w:val="auto"/>
          <w:sz w:val="24"/>
          <w:highlight w:val="none"/>
        </w:rPr>
      </w:pPr>
      <w:bookmarkStart w:id="505" w:name="_Toc487900373"/>
      <w:bookmarkStart w:id="506" w:name="_Toc12773"/>
      <w:bookmarkStart w:id="507" w:name="_Toc18567"/>
      <w:bookmarkStart w:id="508" w:name="_Toc10330"/>
      <w:bookmarkStart w:id="509" w:name="_Toc259093692"/>
      <w:bookmarkStart w:id="510" w:name="_Toc279701263"/>
      <w:r>
        <w:rPr>
          <w:rFonts w:hint="eastAsia" w:ascii="宋体" w:hAnsi="宋体"/>
          <w:b/>
          <w:color w:val="auto"/>
          <w:sz w:val="24"/>
          <w:highlight w:val="none"/>
        </w:rPr>
        <w:t>2.19 合同使用的文字和适用的法律</w:t>
      </w:r>
      <w:bookmarkEnd w:id="505"/>
      <w:bookmarkEnd w:id="506"/>
      <w:bookmarkEnd w:id="507"/>
      <w:bookmarkEnd w:id="508"/>
      <w:bookmarkEnd w:id="509"/>
      <w:bookmarkEnd w:id="510"/>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2.19.1 合同使用汉语书就、变更和解释；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2.19.2 合同适用中华人民共和国法律。</w:t>
      </w:r>
    </w:p>
    <w:p>
      <w:pPr>
        <w:spacing w:line="360" w:lineRule="auto"/>
        <w:ind w:firstLine="482" w:firstLineChars="200"/>
        <w:outlineLvl w:val="0"/>
        <w:rPr>
          <w:rFonts w:ascii="宋体" w:hAnsi="宋体"/>
          <w:b/>
          <w:color w:val="auto"/>
          <w:sz w:val="24"/>
          <w:highlight w:val="none"/>
        </w:rPr>
      </w:pPr>
      <w:bookmarkStart w:id="511" w:name="_Toc279701264"/>
      <w:bookmarkStart w:id="512" w:name="_Toc3148"/>
      <w:bookmarkStart w:id="513" w:name="_Toc16673"/>
      <w:bookmarkStart w:id="514" w:name="_Toc12004"/>
      <w:bookmarkStart w:id="515" w:name="_Toc487900374"/>
      <w:bookmarkStart w:id="516" w:name="_Toc259093693"/>
      <w:r>
        <w:rPr>
          <w:rFonts w:hint="eastAsia" w:ascii="宋体" w:hAnsi="宋体"/>
          <w:b/>
          <w:color w:val="auto"/>
          <w:sz w:val="24"/>
          <w:highlight w:val="none"/>
        </w:rPr>
        <w:t>2.20</w:t>
      </w:r>
      <w:bookmarkEnd w:id="511"/>
      <w:bookmarkEnd w:id="512"/>
      <w:bookmarkEnd w:id="513"/>
      <w:bookmarkEnd w:id="514"/>
      <w:bookmarkEnd w:id="515"/>
      <w:bookmarkEnd w:id="516"/>
      <w:bookmarkStart w:id="517" w:name="_Toc19890"/>
      <w:bookmarkStart w:id="518" w:name="_Toc6885"/>
      <w:bookmarkStart w:id="519" w:name="_Toc14001"/>
      <w:r>
        <w:rPr>
          <w:rFonts w:hint="eastAsia" w:ascii="宋体" w:hAnsi="宋体"/>
          <w:b/>
          <w:color w:val="auto"/>
          <w:sz w:val="24"/>
          <w:highlight w:val="none"/>
        </w:rPr>
        <w:t>合同份数</w:t>
      </w:r>
      <w:bookmarkEnd w:id="517"/>
      <w:bookmarkEnd w:id="518"/>
      <w:bookmarkEnd w:id="519"/>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合同份数按</w:t>
      </w:r>
      <w:r>
        <w:rPr>
          <w:rFonts w:hint="eastAsia" w:ascii="宋体" w:hAnsi="宋体"/>
          <w:b/>
          <w:i/>
          <w:color w:val="auto"/>
          <w:sz w:val="24"/>
          <w:highlight w:val="none"/>
          <w:u w:val="single"/>
        </w:rPr>
        <w:t>合同专用条款</w:t>
      </w:r>
      <w:r>
        <w:rPr>
          <w:rFonts w:hint="eastAsia" w:ascii="宋体" w:hAnsi="宋体"/>
          <w:color w:val="auto"/>
          <w:sz w:val="24"/>
          <w:highlight w:val="none"/>
        </w:rPr>
        <w:t>规定，每份均具有同等法律效力。</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2.2</w:t>
      </w:r>
      <w:r>
        <w:rPr>
          <w:rFonts w:hint="eastAsia" w:ascii="宋体" w:hAnsi="宋体"/>
          <w:b/>
          <w:color w:val="auto"/>
          <w:sz w:val="24"/>
          <w:highlight w:val="none"/>
        </w:rPr>
        <w:t>1甲乙双方的权利和义务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详见</w:t>
      </w:r>
      <w:r>
        <w:rPr>
          <w:rFonts w:ascii="宋体" w:hAnsi="宋体"/>
          <w:b/>
          <w:i/>
          <w:color w:val="auto"/>
          <w:sz w:val="24"/>
          <w:highlight w:val="none"/>
          <w:u w:val="single"/>
        </w:rPr>
        <w:t>合同专用条款</w:t>
      </w:r>
      <w:r>
        <w:rPr>
          <w:rFonts w:hint="eastAsia" w:ascii="宋体" w:hAnsi="宋体"/>
          <w:color w:val="auto"/>
          <w:sz w:val="24"/>
          <w:highlight w:val="none"/>
        </w:rPr>
        <w:t>。</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2.2</w:t>
      </w:r>
      <w:r>
        <w:rPr>
          <w:rFonts w:hint="eastAsia" w:ascii="宋体" w:hAnsi="宋体"/>
          <w:b/>
          <w:color w:val="auto"/>
          <w:sz w:val="24"/>
          <w:highlight w:val="none"/>
        </w:rPr>
        <w:t>2质保及售后条款</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详见</w:t>
      </w:r>
      <w:r>
        <w:rPr>
          <w:rFonts w:hint="eastAsia" w:ascii="宋体" w:hAnsi="宋体"/>
          <w:b/>
          <w:bCs/>
          <w:i/>
          <w:iCs/>
          <w:color w:val="auto"/>
          <w:sz w:val="24"/>
          <w:highlight w:val="none"/>
          <w:u w:val="single"/>
        </w:rPr>
        <w:t>合同专用条款</w:t>
      </w:r>
      <w:r>
        <w:rPr>
          <w:rFonts w:hint="eastAsia" w:ascii="宋体" w:hAnsi="宋体"/>
          <w:color w:val="auto"/>
          <w:sz w:val="24"/>
          <w:highlight w:val="none"/>
        </w:rPr>
        <w:t>。</w:t>
      </w:r>
    </w:p>
    <w:p>
      <w:pPr>
        <w:rPr>
          <w:rFonts w:ascii="宋体" w:hAnsi="宋体"/>
          <w:b/>
          <w:color w:val="auto"/>
          <w:highlight w:val="none"/>
        </w:rPr>
      </w:pPr>
      <w:r>
        <w:rPr>
          <w:rFonts w:hint="eastAsia" w:ascii="宋体" w:hAnsi="宋体"/>
          <w:b/>
          <w:color w:val="auto"/>
          <w:highlight w:val="none"/>
        </w:rPr>
        <w:br w:type="page"/>
      </w:r>
    </w:p>
    <w:p>
      <w:pPr>
        <w:pStyle w:val="33"/>
        <w:spacing w:line="560" w:lineRule="exact"/>
        <w:ind w:left="0" w:leftChars="0" w:firstLine="0" w:firstLineChars="0"/>
        <w:jc w:val="center"/>
        <w:rPr>
          <w:rFonts w:ascii="宋体" w:hAnsi="宋体"/>
          <w:b/>
          <w:color w:val="auto"/>
          <w:highlight w:val="none"/>
        </w:rPr>
      </w:pPr>
      <w:r>
        <w:rPr>
          <w:rFonts w:hint="eastAsia" w:ascii="宋体" w:hAnsi="宋体"/>
          <w:b/>
          <w:color w:val="auto"/>
          <w:highlight w:val="none"/>
        </w:rPr>
        <w:t>第三部分  合同专用条款</w:t>
      </w:r>
    </w:p>
    <w:p>
      <w:pPr>
        <w:spacing w:line="360" w:lineRule="auto"/>
        <w:ind w:left="-420" w:leftChars="-200" w:right="-420" w:rightChars="-200" w:firstLine="480" w:firstLineChars="200"/>
        <w:rPr>
          <w:rFonts w:ascii="宋体" w:hAnsi="宋体"/>
          <w:color w:val="auto"/>
          <w:sz w:val="24"/>
          <w:highlight w:val="none"/>
        </w:rPr>
      </w:pPr>
      <w:r>
        <w:rPr>
          <w:rFonts w:hint="eastAsia" w:ascii="宋体" w:hAnsi="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0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pPr>
              <w:spacing w:line="30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shd w:val="clear" w:color="auto" w:fill="auto"/>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不收取。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shd w:val="clear" w:color="auto" w:fill="auto"/>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合同生效以及具备支付条件后5个工作日内，</w:t>
            </w:r>
            <w:r>
              <w:rPr>
                <w:rFonts w:hint="eastAsia" w:ascii="宋体" w:hAnsi="宋体" w:cs="宋体"/>
                <w:color w:val="auto"/>
                <w:sz w:val="24"/>
                <w:highlight w:val="none"/>
                <w:lang w:val="en-US" w:eastAsia="zh-CN"/>
              </w:rPr>
              <w:t>支付</w:t>
            </w:r>
            <w:r>
              <w:rPr>
                <w:rFonts w:hint="eastAsia" w:ascii="宋体" w:hAnsi="宋体" w:cs="宋体"/>
                <w:color w:val="auto"/>
                <w:sz w:val="24"/>
                <w:highlight w:val="none"/>
              </w:rPr>
              <w:t>合同金额</w:t>
            </w:r>
            <w:r>
              <w:rPr>
                <w:rFonts w:hint="eastAsia" w:ascii="宋体" w:hAnsi="宋体" w:cs="宋体"/>
                <w:color w:val="auto"/>
                <w:sz w:val="24"/>
                <w:highlight w:val="none"/>
                <w:lang w:val="en-US" w:eastAsia="zh-CN"/>
              </w:rPr>
              <w:t>的5</w:t>
            </w:r>
            <w:r>
              <w:rPr>
                <w:rFonts w:hint="eastAsia" w:ascii="宋体" w:hAnsi="宋体" w:cs="宋体"/>
                <w:color w:val="auto"/>
                <w:sz w:val="24"/>
                <w:highlight w:val="none"/>
              </w:rPr>
              <w:t>0％预付款。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shd w:val="clear" w:color="auto" w:fill="auto"/>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不扣回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shd w:val="clear" w:color="auto" w:fill="auto"/>
            <w:vAlign w:val="center"/>
          </w:tcPr>
          <w:p>
            <w:pPr>
              <w:spacing w:line="300" w:lineRule="auto"/>
              <w:rPr>
                <w:rFonts w:ascii="宋体" w:hAnsi="宋体" w:cs="宋体"/>
                <w:color w:val="auto"/>
                <w:sz w:val="24"/>
                <w:highlight w:val="none"/>
              </w:rPr>
            </w:pPr>
            <w:r>
              <w:rPr>
                <w:rFonts w:hint="eastAsia" w:ascii="宋体" w:hAnsi="宋体"/>
                <w:color w:val="auto"/>
                <w:kern w:val="0"/>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shd w:val="clear" w:color="auto" w:fill="auto"/>
            <w:vAlign w:val="center"/>
          </w:tcPr>
          <w:p>
            <w:pPr>
              <w:pStyle w:val="15"/>
              <w:snapToGrid w:val="0"/>
              <w:spacing w:before="0" w:beforeAutospacing="0" w:after="0" w:afterAutospacing="0" w:line="300" w:lineRule="auto"/>
              <w:rPr>
                <w:rFonts w:cs="宋体"/>
                <w:color w:val="auto"/>
                <w:highlight w:val="none"/>
              </w:rPr>
            </w:pPr>
            <w:r>
              <w:rPr>
                <w:rFonts w:hint="eastAsia" w:ascii="宋体" w:hAnsi="宋体" w:cs="宋体"/>
                <w:color w:val="auto"/>
                <w:sz w:val="24"/>
                <w:highlight w:val="none"/>
              </w:rPr>
              <w:t>项目验收合格以及具备支付条件后5个工作日内支付合同余款。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shd w:val="clear" w:color="auto" w:fill="auto"/>
            <w:vAlign w:val="center"/>
          </w:tcPr>
          <w:p>
            <w:pPr>
              <w:pStyle w:val="5"/>
              <w:spacing w:line="240" w:lineRule="auto"/>
              <w:ind w:firstLine="0"/>
              <w:rPr>
                <w:color w:val="auto"/>
                <w:highlight w:val="none"/>
              </w:rPr>
            </w:pPr>
            <w:r>
              <w:rPr>
                <w:rFonts w:hint="eastAsia" w:hAnsi="宋体" w:cs="宋体"/>
                <w:bCs/>
                <w:snapToGrid/>
                <w:color w:val="auto"/>
                <w:kern w:val="2"/>
                <w:sz w:val="24"/>
                <w:szCs w:val="24"/>
                <w:highlight w:val="none"/>
                <w:lang w:val="en-US" w:eastAsia="zh-CN"/>
              </w:rPr>
              <w:t>2025年8月20日前完成</w:t>
            </w:r>
            <w:r>
              <w:rPr>
                <w:rFonts w:hint="eastAsia" w:hAnsi="宋体" w:cs="宋体"/>
                <w:bCs/>
                <w:snapToGrid/>
                <w:color w:val="auto"/>
                <w:kern w:val="2"/>
                <w:sz w:val="24"/>
                <w:szCs w:val="24"/>
                <w:highlight w:val="none"/>
              </w:rPr>
              <w:t>安装调试完毕</w:t>
            </w:r>
            <w:r>
              <w:rPr>
                <w:rFonts w:hint="eastAsia" w:hAnsi="宋体" w:cs="宋体"/>
                <w:bCs/>
                <w:snapToGrid/>
                <w:color w:val="auto"/>
                <w:kern w:val="2"/>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shd w:val="clear" w:color="auto" w:fill="auto"/>
            <w:vAlign w:val="center"/>
          </w:tcPr>
          <w:p>
            <w:pPr>
              <w:adjustRightInd/>
              <w:spacing w:line="300" w:lineRule="auto"/>
              <w:rPr>
                <w:rFonts w:ascii="宋体" w:hAnsi="宋体"/>
                <w:color w:val="auto"/>
                <w:kern w:val="0"/>
                <w:sz w:val="24"/>
                <w:highlight w:val="none"/>
              </w:rPr>
            </w:pPr>
            <w:r>
              <w:rPr>
                <w:rFonts w:hint="eastAsia" w:ascii="宋体" w:hAnsi="宋体"/>
                <w:color w:val="auto"/>
                <w:kern w:val="0"/>
                <w:sz w:val="24"/>
                <w:highlight w:val="none"/>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pPr>
              <w:adjustRightInd/>
              <w:spacing w:line="300" w:lineRule="auto"/>
              <w:rPr>
                <w:rFonts w:ascii="宋体" w:hAnsi="宋体"/>
                <w:color w:val="auto"/>
                <w:kern w:val="0"/>
                <w:sz w:val="24"/>
                <w:highlight w:val="none"/>
              </w:rPr>
            </w:pPr>
            <w:r>
              <w:rPr>
                <w:rFonts w:hint="eastAsia" w:ascii="宋体" w:hAnsi="宋体"/>
                <w:color w:val="auto"/>
                <w:kern w:val="0"/>
                <w:sz w:val="24"/>
                <w:highlight w:val="none"/>
              </w:rPr>
              <w:t>现场交付</w:t>
            </w:r>
          </w:p>
          <w:p>
            <w:pPr>
              <w:spacing w:line="300" w:lineRule="auto"/>
              <w:rPr>
                <w:color w:val="auto"/>
                <w:highlight w:val="none"/>
              </w:rPr>
            </w:pPr>
            <w:r>
              <w:rPr>
                <w:rFonts w:hint="eastAsia" w:ascii="宋体" w:hAnsi="宋体"/>
                <w:color w:val="auto"/>
                <w:kern w:val="0"/>
                <w:sz w:val="24"/>
                <w:highlight w:val="none"/>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其他违约条款（可自行补充）</w:t>
            </w:r>
          </w:p>
          <w:p>
            <w:pPr>
              <w:numPr>
                <w:ilvl w:val="0"/>
                <w:numId w:val="8"/>
              </w:numPr>
              <w:spacing w:line="300" w:lineRule="auto"/>
              <w:ind w:firstLine="240" w:firstLineChars="100"/>
              <w:rPr>
                <w:rFonts w:ascii="宋体" w:hAnsi="宋体" w:cs="宋体"/>
                <w:color w:val="auto"/>
                <w:sz w:val="24"/>
                <w:highlight w:val="none"/>
              </w:rPr>
            </w:pPr>
            <w:r>
              <w:rPr>
                <w:rFonts w:hint="eastAsia" w:ascii="宋体" w:hAnsi="宋体"/>
                <w:color w:val="auto"/>
                <w:sz w:val="24"/>
                <w:highlight w:val="none"/>
              </w:rPr>
              <w:t>甲方有权对质量不合格产品进行拒收，由此产生的损失由乙方承担；</w:t>
            </w:r>
          </w:p>
          <w:p>
            <w:pPr>
              <w:numPr>
                <w:ilvl w:val="0"/>
                <w:numId w:val="8"/>
              </w:numPr>
              <w:spacing w:line="300" w:lineRule="auto"/>
              <w:ind w:firstLine="240" w:firstLineChars="100"/>
              <w:rPr>
                <w:rFonts w:ascii="宋体" w:hAnsi="宋体" w:cs="宋体"/>
                <w:color w:val="auto"/>
                <w:sz w:val="24"/>
                <w:highlight w:val="none"/>
              </w:rPr>
            </w:pPr>
            <w:r>
              <w:rPr>
                <w:rFonts w:ascii="宋体" w:hAnsi="宋体" w:cs="宋体"/>
                <w:color w:val="auto"/>
                <w:sz w:val="24"/>
                <w:highlight w:val="none"/>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pPr>
              <w:numPr>
                <w:ilvl w:val="0"/>
                <w:numId w:val="8"/>
              </w:numPr>
              <w:spacing w:line="300" w:lineRule="auto"/>
              <w:ind w:firstLine="240" w:firstLineChars="100"/>
              <w:rPr>
                <w:rFonts w:ascii="宋体" w:hAnsi="宋体" w:cs="宋体"/>
                <w:color w:val="auto"/>
                <w:sz w:val="24"/>
                <w:highlight w:val="none"/>
              </w:rPr>
            </w:pPr>
            <w:r>
              <w:rPr>
                <w:rFonts w:ascii="宋体" w:hAnsi="宋体" w:cs="宋体"/>
                <w:color w:val="auto"/>
                <w:sz w:val="24"/>
                <w:highlight w:val="none"/>
              </w:rPr>
              <w:t>上述第</w:t>
            </w:r>
            <w:r>
              <w:rPr>
                <w:rFonts w:hint="eastAsia" w:ascii="宋体" w:hAnsi="宋体" w:cs="宋体"/>
                <w:color w:val="auto"/>
                <w:sz w:val="24"/>
                <w:highlight w:val="none"/>
              </w:rPr>
              <w:t>2</w:t>
            </w:r>
            <w:r>
              <w:rPr>
                <w:rFonts w:ascii="宋体" w:hAnsi="宋体" w:cs="宋体"/>
                <w:color w:val="auto"/>
                <w:sz w:val="24"/>
                <w:highlight w:val="none"/>
              </w:rPr>
              <w:t>项应退回或更换的货物，由乙方在验收后一周内运离安装地点，所需费用由乙方承担。如乙方在二周内不处理（搬走）的，视为乙方放弃，甲方有权自行处置（包括废物处理）。</w:t>
            </w:r>
          </w:p>
          <w:p>
            <w:pPr>
              <w:numPr>
                <w:ilvl w:val="0"/>
                <w:numId w:val="8"/>
              </w:numPr>
              <w:spacing w:line="300" w:lineRule="auto"/>
              <w:ind w:firstLine="240" w:firstLineChars="100"/>
              <w:rPr>
                <w:rFonts w:ascii="宋体" w:hAnsi="宋体" w:cs="宋体"/>
                <w:color w:val="auto"/>
                <w:sz w:val="24"/>
                <w:highlight w:val="none"/>
              </w:rPr>
            </w:pPr>
            <w:r>
              <w:rPr>
                <w:rFonts w:ascii="宋体" w:hAnsi="宋体" w:cs="宋体"/>
                <w:color w:val="auto"/>
                <w:sz w:val="24"/>
                <w:highlight w:val="none"/>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pPr>
              <w:numPr>
                <w:ilvl w:val="0"/>
                <w:numId w:val="8"/>
              </w:numPr>
              <w:spacing w:line="30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1.9.1</w:t>
            </w:r>
          </w:p>
        </w:tc>
        <w:tc>
          <w:tcPr>
            <w:tcW w:w="4534" w:type="pct"/>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杭州市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1.9.2</w:t>
            </w:r>
          </w:p>
        </w:tc>
        <w:tc>
          <w:tcPr>
            <w:tcW w:w="4534" w:type="pct"/>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pPr>
              <w:spacing w:line="300" w:lineRule="auto"/>
              <w:ind w:left="-420" w:leftChars="-200" w:right="-420" w:rightChars="-200" w:firstLine="480" w:firstLineChars="200"/>
              <w:rPr>
                <w:rFonts w:ascii="宋体" w:hAnsi="宋体" w:cs="宋体"/>
                <w:color w:val="auto"/>
                <w:sz w:val="24"/>
                <w:highlight w:val="none"/>
              </w:rPr>
            </w:pPr>
            <w:r>
              <w:rPr>
                <w:rFonts w:hint="eastAsia" w:ascii="宋体" w:hAnsi="宋体"/>
                <w:color w:val="auto"/>
                <w:sz w:val="24"/>
                <w:highlight w:val="none"/>
              </w:rPr>
              <w:t>乙方应保证提供服务过程中不会侵犯任何第三方的知识产权。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pPr>
              <w:spacing w:line="30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0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pPr>
              <w:spacing w:line="300" w:lineRule="auto"/>
              <w:rPr>
                <w:rFonts w:ascii="宋体" w:hAnsi="宋体" w:cs="宋体"/>
                <w:color w:val="auto"/>
                <w:sz w:val="24"/>
                <w:highlight w:val="none"/>
              </w:rPr>
            </w:pPr>
            <w:r>
              <w:rPr>
                <w:rFonts w:hint="eastAsia" w:ascii="宋体" w:hAnsi="宋体" w:cs="宋体"/>
                <w:color w:val="auto"/>
                <w:sz w:val="24"/>
                <w:highlight w:val="none"/>
              </w:rPr>
              <w:t>非甲方人为故意损坏情况外，均由乙方承担。货物到达甲方指点地点至安装交付前均由乙方做好防护工作，直至验收合格移交甲方。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pPr>
              <w:spacing w:line="300" w:lineRule="auto"/>
              <w:rPr>
                <w:rFonts w:ascii="宋体" w:hAnsi="宋体" w:cs="宋体"/>
                <w:color w:val="auto"/>
                <w:sz w:val="24"/>
                <w:highlight w:val="none"/>
              </w:rPr>
            </w:pPr>
            <w:r>
              <w:rPr>
                <w:rFonts w:hint="eastAsia" w:ascii="宋体" w:hAnsi="宋体"/>
                <w:color w:val="auto"/>
                <w:sz w:val="24"/>
                <w:highlight w:val="none"/>
              </w:rPr>
              <w:t>不可抗力时间发生后7天内。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pPr>
              <w:spacing w:line="300" w:lineRule="auto"/>
              <w:rPr>
                <w:rFonts w:ascii="宋体" w:hAnsi="宋体" w:cs="宋体"/>
                <w:color w:val="auto"/>
                <w:sz w:val="24"/>
                <w:highlight w:val="none"/>
              </w:rPr>
            </w:pPr>
            <w:r>
              <w:rPr>
                <w:rFonts w:hint="eastAsia" w:ascii="宋体" w:hAnsi="宋体"/>
                <w:color w:val="auto"/>
                <w:sz w:val="24"/>
                <w:highlight w:val="none"/>
              </w:rPr>
              <w:t>不可抗力时间发生后7内天，14天内。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乙方提交验收申请后，甲方组织验收会议。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pPr>
              <w:spacing w:line="300" w:lineRule="auto"/>
              <w:rPr>
                <w:rFonts w:ascii="宋体" w:hAnsi="宋体" w:cs="宋体"/>
                <w:color w:val="auto"/>
                <w:sz w:val="24"/>
                <w:highlight w:val="none"/>
              </w:rPr>
            </w:pPr>
            <w:r>
              <w:rPr>
                <w:rFonts w:hint="eastAsia" w:ascii="宋体" w:hAnsi="宋体"/>
                <w:color w:val="auto"/>
                <w:sz w:val="24"/>
                <w:highlight w:val="none"/>
              </w:rPr>
              <w:t>检验和验收标准，以及前述验收文件的有效性以招标采购需求为准。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0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pPr>
              <w:spacing w:line="300" w:lineRule="auto"/>
              <w:rPr>
                <w:rFonts w:ascii="宋体" w:hAnsi="宋体" w:cs="宋体"/>
                <w:color w:val="auto"/>
                <w:sz w:val="24"/>
                <w:highlight w:val="none"/>
              </w:rPr>
            </w:pPr>
            <w:r>
              <w:rPr>
                <w:rFonts w:hint="eastAsia" w:ascii="宋体" w:hAnsi="宋体"/>
                <w:color w:val="auto"/>
                <w:sz w:val="24"/>
                <w:highlight w:val="none"/>
              </w:rPr>
              <w:t>共</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0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2.21</w:t>
            </w:r>
          </w:p>
        </w:tc>
        <w:tc>
          <w:tcPr>
            <w:tcW w:w="4534" w:type="pct"/>
            <w:vAlign w:val="center"/>
          </w:tcPr>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甲乙双方的权利和义务</w:t>
            </w:r>
          </w:p>
          <w:p>
            <w:pPr>
              <w:tabs>
                <w:tab w:val="left" w:pos="0"/>
              </w:tabs>
              <w:spacing w:line="300" w:lineRule="auto"/>
              <w:ind w:firstLine="240" w:firstLineChars="100"/>
              <w:rPr>
                <w:color w:val="auto"/>
                <w:sz w:val="24"/>
                <w:highlight w:val="none"/>
              </w:rPr>
            </w:pPr>
            <w:r>
              <w:rPr>
                <w:rFonts w:hint="eastAsia"/>
                <w:color w:val="auto"/>
                <w:sz w:val="24"/>
                <w:highlight w:val="none"/>
              </w:rPr>
              <w:t>一、甲方</w:t>
            </w:r>
            <w:r>
              <w:rPr>
                <w:rFonts w:hint="eastAsia" w:ascii="宋体" w:hAnsi="宋体"/>
                <w:color w:val="auto"/>
                <w:sz w:val="24"/>
                <w:highlight w:val="none"/>
              </w:rPr>
              <w:t>权利和义务</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1、为乙方工作提供良好的外部条件，并按照合同约定支付款项；</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2、甲方按双方约定的内容和时间，向乙方提供与项目有关的可以提供的资料；</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3、甲方授权一名熟悉本项目情况的代表，负责与乙方联系，更换代表前将提前通知乙方；</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4、甲方对乙方提供的项目工作方案具有审定权、修改权，并有权要求乙方按甲方的要求修改方案,乙方不得以此为由要求增加任何费用；</w:t>
            </w:r>
          </w:p>
          <w:p>
            <w:pPr>
              <w:tabs>
                <w:tab w:val="left" w:pos="0"/>
              </w:tabs>
              <w:spacing w:line="300" w:lineRule="auto"/>
              <w:ind w:firstLine="240" w:firstLineChars="100"/>
              <w:rPr>
                <w:color w:val="auto"/>
                <w:sz w:val="24"/>
                <w:highlight w:val="none"/>
              </w:rPr>
            </w:pPr>
            <w:r>
              <w:rPr>
                <w:rFonts w:hint="eastAsia" w:ascii="宋体" w:hAnsi="宋体"/>
                <w:color w:val="auto"/>
                <w:sz w:val="24"/>
                <w:highlight w:val="none"/>
              </w:rPr>
              <w:t>5、根据实际情况，甲方有权要求乙方对已经确认的方案进行修改、变通，乙方应当配合执行，以保证项目顺利进行；</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6、甲方有权对质量不合格产品进行拒收，由此。</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二、乙方权利和义务</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1、根据投标文件的承诺，乙方向甲方委派项目组人员，人员应当固定。乙方更换人员必须经甲方书面同意，否则甲方有权解除本合同；</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2、乙方针对该项目出具的工作方案，均须事先经甲方书面确认后方可实施。乙方应当负责本项目的所有外部关系联系与协调；</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3、乙方应指派一名授权项目代表，负责与甲方的联络。代表更换应至少提前两天通知甲方。项目</w:t>
            </w:r>
            <w:r>
              <w:rPr>
                <w:rFonts w:hint="eastAsia"/>
                <w:color w:val="auto"/>
                <w:sz w:val="24"/>
                <w:highlight w:val="none"/>
              </w:rPr>
              <w:t>负责人：</w:t>
            </w:r>
            <w:r>
              <w:rPr>
                <w:rFonts w:hint="eastAsia"/>
                <w:color w:val="auto"/>
                <w:sz w:val="24"/>
                <w:highlight w:val="none"/>
                <w:u w:val="single"/>
              </w:rPr>
              <w:t xml:space="preserve">     </w:t>
            </w:r>
            <w:r>
              <w:rPr>
                <w:rFonts w:hint="eastAsia"/>
                <w:color w:val="auto"/>
                <w:sz w:val="24"/>
                <w:highlight w:val="none"/>
              </w:rPr>
              <w:t>；联系电话：</w:t>
            </w:r>
            <w:r>
              <w:rPr>
                <w:rFonts w:hint="eastAsia"/>
                <w:color w:val="auto"/>
                <w:sz w:val="24"/>
                <w:highlight w:val="none"/>
                <w:u w:val="single"/>
              </w:rPr>
              <w:t xml:space="preserve">     </w:t>
            </w:r>
            <w:r>
              <w:rPr>
                <w:rFonts w:hint="eastAsia"/>
                <w:color w:val="auto"/>
                <w:sz w:val="24"/>
                <w:highlight w:val="none"/>
              </w:rPr>
              <w:t>；邮箱：</w:t>
            </w:r>
            <w:r>
              <w:rPr>
                <w:rFonts w:hint="eastAsia"/>
                <w:color w:val="auto"/>
                <w:sz w:val="24"/>
                <w:highlight w:val="none"/>
                <w:u w:val="single"/>
              </w:rPr>
              <w:t xml:space="preserve">     </w:t>
            </w:r>
            <w:r>
              <w:rPr>
                <w:rFonts w:hint="eastAsia"/>
                <w:color w:val="auto"/>
                <w:sz w:val="24"/>
                <w:highlight w:val="none"/>
              </w:rPr>
              <w:t>。</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4、乙方承诺按照招标文件要求和投标文件承诺提供各项服务；</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5、乙方提供</w:t>
            </w:r>
            <w:r>
              <w:rPr>
                <w:rFonts w:ascii="宋体" w:hAnsi="宋体" w:cs="仿宋_GB2312"/>
                <w:color w:val="auto"/>
                <w:sz w:val="24"/>
                <w:highlight w:val="none"/>
              </w:rPr>
              <w:t>通风场地进行货物存放，且保证货物质量，接到</w:t>
            </w:r>
            <w:r>
              <w:rPr>
                <w:rFonts w:hint="eastAsia" w:ascii="宋体" w:hAnsi="宋体" w:cs="仿宋_GB2312"/>
                <w:color w:val="auto"/>
                <w:sz w:val="24"/>
                <w:highlight w:val="none"/>
              </w:rPr>
              <w:t>甲方</w:t>
            </w:r>
            <w:r>
              <w:rPr>
                <w:rFonts w:ascii="宋体" w:hAnsi="宋体" w:cs="仿宋_GB2312"/>
                <w:color w:val="auto"/>
                <w:sz w:val="24"/>
                <w:highlight w:val="none"/>
              </w:rPr>
              <w:t>发货通知后配合发货及安装</w:t>
            </w:r>
            <w:r>
              <w:rPr>
                <w:rFonts w:hint="eastAsia" w:ascii="宋体" w:hAnsi="宋体" w:cs="仿宋_GB2312"/>
                <w:color w:val="auto"/>
                <w:sz w:val="24"/>
                <w:highlight w:val="none"/>
              </w:rPr>
              <w:t>；</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6、乙方提供的所有产品均应符合质量合格标准；</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7、乙方必须在规定期间内完成招标文件要求和投标文件承诺的服务内容，并通过甲方的验收，否则甲方有权终止合同，并索回全部支付的货款，赔偿延误的损失。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0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2.22</w:t>
            </w:r>
          </w:p>
        </w:tc>
        <w:tc>
          <w:tcPr>
            <w:tcW w:w="4534" w:type="pct"/>
            <w:vAlign w:val="center"/>
          </w:tcPr>
          <w:p>
            <w:pPr>
              <w:spacing w:line="300" w:lineRule="auto"/>
              <w:rPr>
                <w:color w:val="auto"/>
                <w:sz w:val="24"/>
                <w:highlight w:val="none"/>
              </w:rPr>
            </w:pPr>
            <w:r>
              <w:rPr>
                <w:rFonts w:hint="eastAsia"/>
                <w:color w:val="auto"/>
                <w:sz w:val="24"/>
                <w:highlight w:val="none"/>
              </w:rPr>
              <w:t>质保期：</w:t>
            </w:r>
            <w:r>
              <w:rPr>
                <w:color w:val="auto"/>
                <w:sz w:val="24"/>
                <w:highlight w:val="none"/>
              </w:rPr>
              <w:t>质保期为验收合格之日起</w:t>
            </w:r>
            <w:r>
              <w:rPr>
                <w:rFonts w:hint="eastAsia"/>
                <w:color w:val="auto"/>
                <w:sz w:val="24"/>
                <w:highlight w:val="none"/>
                <w:u w:val="single"/>
              </w:rPr>
              <w:t xml:space="preserve">    </w:t>
            </w:r>
            <w:r>
              <w:rPr>
                <w:color w:val="auto"/>
                <w:sz w:val="24"/>
                <w:highlight w:val="none"/>
              </w:rPr>
              <w:t>年。</w:t>
            </w:r>
          </w:p>
          <w:p>
            <w:pPr>
              <w:spacing w:line="300" w:lineRule="auto"/>
              <w:rPr>
                <w:color w:val="auto"/>
                <w:sz w:val="24"/>
                <w:highlight w:val="none"/>
              </w:rPr>
            </w:pPr>
            <w:r>
              <w:rPr>
                <w:rFonts w:hint="eastAsia"/>
                <w:color w:val="auto"/>
                <w:sz w:val="24"/>
                <w:highlight w:val="none"/>
              </w:rPr>
              <w:t>质保范围：</w:t>
            </w:r>
            <w:r>
              <w:rPr>
                <w:rFonts w:hint="eastAsia" w:ascii="宋体" w:hAnsi="宋体"/>
                <w:color w:val="auto"/>
                <w:sz w:val="24"/>
                <w:highlight w:val="none"/>
              </w:rPr>
              <w:t>保修期内产品因设计、质量出现问题，均由乙方即时解决（包括更换配件耗材）。</w:t>
            </w:r>
          </w:p>
          <w:p>
            <w:pPr>
              <w:tabs>
                <w:tab w:val="left" w:pos="0"/>
              </w:tabs>
              <w:spacing w:line="300" w:lineRule="auto"/>
              <w:rPr>
                <w:rFonts w:ascii="宋体" w:hAnsi="宋体"/>
                <w:color w:val="auto"/>
                <w:sz w:val="24"/>
                <w:highlight w:val="none"/>
              </w:rPr>
            </w:pPr>
            <w:r>
              <w:rPr>
                <w:rFonts w:hint="eastAsia"/>
                <w:color w:val="auto"/>
                <w:sz w:val="24"/>
                <w:highlight w:val="none"/>
              </w:rPr>
              <w:t>售后服务内容：（根据投标响应补充）</w:t>
            </w:r>
          </w:p>
        </w:tc>
      </w:tr>
    </w:tbl>
    <w:p>
      <w:pPr>
        <w:spacing w:line="360" w:lineRule="auto"/>
        <w:ind w:left="-420" w:leftChars="-200" w:right="-420" w:rightChars="-200" w:firstLine="420" w:firstLineChars="200"/>
        <w:rPr>
          <w:rFonts w:ascii="宋体" w:hAnsi="宋体"/>
          <w:color w:val="auto"/>
          <w:highlight w:val="none"/>
        </w:rPr>
      </w:pPr>
    </w:p>
    <w:p>
      <w:pPr>
        <w:spacing w:line="360" w:lineRule="auto"/>
        <w:ind w:left="-420" w:leftChars="-200" w:right="-420" w:rightChars="-200" w:firstLine="480" w:firstLineChars="200"/>
        <w:rPr>
          <w:rFonts w:ascii="宋体" w:hAnsi="宋体"/>
          <w:color w:val="auto"/>
          <w:sz w:val="24"/>
          <w:highlight w:val="none"/>
        </w:rPr>
      </w:pPr>
    </w:p>
    <w:p>
      <w:pPr>
        <w:spacing w:line="360" w:lineRule="auto"/>
        <w:ind w:left="-420" w:leftChars="-200" w:right="-420" w:rightChars="-200"/>
        <w:rPr>
          <w:rFonts w:ascii="宋体" w:hAnsi="宋体"/>
          <w:color w:val="auto"/>
          <w:sz w:val="24"/>
          <w:highlight w:val="none"/>
        </w:rPr>
      </w:pPr>
    </w:p>
    <w:p>
      <w:pPr>
        <w:spacing w:line="360" w:lineRule="auto"/>
        <w:rPr>
          <w:rFonts w:ascii="宋体" w:hAnsi="宋体" w:cs="宋体"/>
          <w:color w:val="auto"/>
          <w:sz w:val="24"/>
          <w:highlight w:val="none"/>
        </w:rPr>
      </w:pPr>
    </w:p>
    <w:p>
      <w:pPr>
        <w:rPr>
          <w:color w:val="auto"/>
          <w:highlight w:val="none"/>
        </w:rPr>
      </w:pPr>
    </w:p>
    <w:p>
      <w:pPr>
        <w:rPr>
          <w:color w:val="auto"/>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jc w:val="center"/>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第六部分</w:t>
      </w:r>
      <w:bookmarkEnd w:id="390"/>
      <w:bookmarkEnd w:id="391"/>
      <w:r>
        <w:rPr>
          <w:rFonts w:hint="eastAsia" w:ascii="宋体" w:hAnsi="宋体" w:cs="宋体"/>
          <w:b/>
          <w:color w:val="auto"/>
          <w:sz w:val="36"/>
          <w:szCs w:val="20"/>
          <w:highlight w:val="none"/>
        </w:rPr>
        <w:t xml:space="preserve">  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符合参加采购活动应当具备的一般条件的承诺函……………（页码）</w:t>
      </w:r>
    </w:p>
    <w:p>
      <w:pPr>
        <w:numPr>
          <w:ilvl w:val="0"/>
          <w:numId w:val="9"/>
        </w:num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………………………………………………………………（页码）</w:t>
      </w:r>
    </w:p>
    <w:p>
      <w:pPr>
        <w:numPr>
          <w:ilvl w:val="0"/>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落实采购政策需满足的资格要求………………………………（页码）</w:t>
      </w:r>
    </w:p>
    <w:p>
      <w:pPr>
        <w:numPr>
          <w:ilvl w:val="0"/>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浙江省杭州第十一中学、杭州洲源招标代理有限公司：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我方参与德胜教学楼多联机制冷设备改造【项目编号：HSYZ-2025-023】采购活动，郑重承诺：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pStyle w:val="3"/>
        <w:rPr>
          <w:rFonts w:ascii="宋体" w:hAnsi="宋体" w:cs="宋体"/>
          <w:color w:val="auto"/>
          <w:sz w:val="24"/>
          <w:highlight w:val="none"/>
        </w:rPr>
      </w:pPr>
    </w:p>
    <w:p>
      <w:pPr>
        <w:rPr>
          <w:rFonts w:ascii="宋体" w:hAnsi="宋体" w:cs="宋体"/>
          <w:color w:val="auto"/>
          <w:sz w:val="24"/>
          <w:highlight w:val="none"/>
        </w:rPr>
      </w:pPr>
    </w:p>
    <w:p>
      <w:pPr>
        <w:pStyle w:val="3"/>
        <w:rPr>
          <w:color w:val="auto"/>
          <w:highlight w:val="none"/>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投标人本身提供所有标的均由中小企业承接的，并相应达到了前述比例要求，视同符合了资格条件，无需再与其他中小企业组成联合体参加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投标人本身提供所有标的均由中小企业承接的，并相应达到了前述比例要求，视同符合了资格条件，无需再向中小企业分包，无需提供分包意向协议。</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注：大型企业联合投标或分包需提供对应协议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numPr>
          <w:ilvl w:val="0"/>
          <w:numId w:val="10"/>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投标函………………………………………………………………………（页码）</w:t>
      </w:r>
    </w:p>
    <w:p>
      <w:pPr>
        <w:numPr>
          <w:ilvl w:val="0"/>
          <w:numId w:val="10"/>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授权委托书或法定代表人（单位负责人、自然人本人）身份证明……（页码）</w:t>
      </w:r>
    </w:p>
    <w:p>
      <w:pPr>
        <w:numPr>
          <w:ilvl w:val="0"/>
          <w:numId w:val="10"/>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分包意向协议………………………………………………………………（页码）</w:t>
      </w:r>
    </w:p>
    <w:p>
      <w:pPr>
        <w:numPr>
          <w:ilvl w:val="0"/>
          <w:numId w:val="10"/>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符合性审查资料……………………………………………………………（页码）</w:t>
      </w:r>
    </w:p>
    <w:p>
      <w:pPr>
        <w:numPr>
          <w:ilvl w:val="0"/>
          <w:numId w:val="10"/>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评标标准相应的商务技术资料……………………………………………（页码）</w:t>
      </w:r>
    </w:p>
    <w:p>
      <w:pPr>
        <w:numPr>
          <w:ilvl w:val="0"/>
          <w:numId w:val="10"/>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投标标的清单………………………………………………………………（页码）</w:t>
      </w:r>
    </w:p>
    <w:p>
      <w:pPr>
        <w:numPr>
          <w:ilvl w:val="0"/>
          <w:numId w:val="10"/>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商务技术偏离表……………………………………………………………（页码）</w:t>
      </w:r>
    </w:p>
    <w:p>
      <w:pPr>
        <w:numPr>
          <w:ilvl w:val="0"/>
          <w:numId w:val="10"/>
        </w:num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浙江省杭州第十一中学、杭州洲源招标代理有限公司：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我方参加你方组织的德胜教学楼多联机制冷设备改造【项目编号：HSYZ-2025-023】招标的有关活动，并对此项目进行投标。为此：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20" w:name="_Hlk101257010"/>
      <w:r>
        <w:rPr>
          <w:rFonts w:hint="eastAsia" w:ascii="宋体" w:hAnsi="宋体" w:cs="宋体"/>
          <w:snapToGrid w:val="0"/>
          <w:color w:val="auto"/>
          <w:kern w:val="28"/>
          <w:sz w:val="24"/>
          <w:szCs w:val="20"/>
          <w:highlight w:val="none"/>
        </w:rPr>
        <w:t>（如果有)</w:t>
      </w:r>
      <w:bookmarkEnd w:id="520"/>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2.3.2报价情况说明（如果有）（如供应商报价低于项目预算50%的，应当提交本文档，详细阐述不影响产品质量或者诚信履约的具体原因）；</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对通过乐采云平台开展的质疑、投诉等活动，我方承诺并接受平台以电子送达的方式送达相关文书。我方认可电子送达与邮寄送达具有同等法律效力，以文书到达乐采云平台日期为送达日期，本公司保证乐采云平台账号真实有效。</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color w:val="auto"/>
          <w:sz w:val="24"/>
          <w:highlight w:val="none"/>
        </w:rPr>
      </w:pPr>
      <w:r>
        <w:rPr>
          <w:rFonts w:hint="eastAsia" w:ascii="宋体" w:hAnsi="宋体" w:cs="宋体"/>
          <w:color w:val="auto"/>
          <w:sz w:val="24"/>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w:t>
      </w:r>
      <w:r>
        <w:rPr>
          <w:rFonts w:hint="eastAsia" w:ascii="宋体" w:hAnsi="宋体" w:cs="宋体"/>
          <w:b/>
          <w:color w:val="auto"/>
          <w:kern w:val="0"/>
          <w:sz w:val="28"/>
          <w:szCs w:val="28"/>
          <w:highlight w:val="none"/>
          <w:lang w:val="zh-CN"/>
        </w:rPr>
        <w:t>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528" w:firstLineChars="787"/>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浙江省杭州第十一中学、杭州洲源招标代理有限公司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德胜教学楼多联机制冷设备改造【项目编号：HSYZ-2025-023】</w:t>
      </w:r>
      <w:r>
        <w:rPr>
          <w:rFonts w:hint="eastAsia" w:ascii="宋体" w:hAnsi="宋体" w:cs="宋体"/>
          <w:color w:val="auto"/>
          <w:kern w:val="0"/>
          <w:sz w:val="24"/>
          <w:highlight w:val="none"/>
          <w:lang w:val="zh-CN"/>
        </w:rPr>
        <w:t>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浙江省杭州第十一中学、杭州洲源招标代理有限公司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德胜教学楼多联机制冷设备改造【项目编号：HSYZ-2025-023】</w:t>
      </w:r>
      <w:r>
        <w:rPr>
          <w:rFonts w:hint="eastAsia" w:ascii="宋体" w:hAnsi="宋体" w:cs="宋体"/>
          <w:color w:val="auto"/>
          <w:kern w:val="0"/>
          <w:sz w:val="24"/>
          <w:highlight w:val="none"/>
          <w:lang w:val="zh-CN"/>
        </w:rPr>
        <w:t>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rPr>
          <w:rFonts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注：▲</w:t>
      </w: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val="zh-CN"/>
        </w:rPr>
        <w:t>委派不在本单位缴纳社保的人员作为授权代表（代理人）的，应当在投标（响应）文件中，说明具体原因、授权代表缴纳社保的单位，并附列该授权代表缴纳社保清单。</w:t>
      </w:r>
    </w:p>
    <w:p>
      <w:pP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3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3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19"/>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pPr>
        <w:pStyle w:val="27"/>
        <w:ind w:firstLine="480" w:firstLineChars="200"/>
        <w:rPr>
          <w:color w:val="auto"/>
          <w:highlight w:val="none"/>
        </w:rPr>
      </w:pPr>
      <w:r>
        <w:rPr>
          <w:rFonts w:hint="eastAsia" w:hAnsi="宋体"/>
          <w:color w:val="auto"/>
          <w:highlight w:val="none"/>
        </w:rPr>
        <w:t>2.招标文件中实质性要求必须明确响应。</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3"/>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733"/>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序号</w:t>
            </w:r>
          </w:p>
        </w:tc>
        <w:tc>
          <w:tcPr>
            <w:tcW w:w="5733" w:type="dxa"/>
            <w:tcBorders>
              <w:top w:val="single" w:color="auto" w:sz="4" w:space="0"/>
              <w:left w:val="nil"/>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投标文件中评标标准相应的商务技术资料目录*</w:t>
            </w:r>
          </w:p>
        </w:tc>
        <w:tc>
          <w:tcPr>
            <w:tcW w:w="2778" w:type="dxa"/>
            <w:tcBorders>
              <w:top w:val="single" w:color="auto" w:sz="4" w:space="0"/>
              <w:left w:val="nil"/>
              <w:bottom w:val="single" w:color="auto" w:sz="4" w:space="0"/>
              <w:right w:val="single" w:color="auto" w:sz="4" w:space="0"/>
            </w:tcBorders>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5733" w:type="dxa"/>
            <w:tcBorders>
              <w:top w:val="single" w:color="auto" w:sz="4" w:space="0"/>
              <w:left w:val="nil"/>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XXX（预先填写）</w:t>
            </w:r>
          </w:p>
        </w:tc>
        <w:tc>
          <w:tcPr>
            <w:tcW w:w="2778"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5733" w:type="dxa"/>
            <w:tcBorders>
              <w:top w:val="single" w:color="auto" w:sz="4" w:space="0"/>
              <w:left w:val="nil"/>
              <w:bottom w:val="single" w:color="auto" w:sz="4" w:space="0"/>
              <w:right w:val="single" w:color="auto" w:sz="4" w:space="0"/>
            </w:tcBorders>
          </w:tcPr>
          <w:p>
            <w:pPr>
              <w:snapToGrid w:val="0"/>
              <w:spacing w:line="360" w:lineRule="auto"/>
              <w:jc w:val="center"/>
              <w:rPr>
                <w:rFonts w:ascii="宋体" w:hAnsi="宋体" w:cs="宋体"/>
                <w:color w:val="auto"/>
                <w:sz w:val="24"/>
                <w:highlight w:val="none"/>
                <w:lang w:bidi="ar"/>
              </w:rPr>
            </w:pPr>
            <w:r>
              <w:rPr>
                <w:rFonts w:hint="eastAsia" w:ascii="宋体" w:hAnsi="宋体" w:cs="宋体"/>
                <w:bCs/>
                <w:color w:val="auto"/>
                <w:sz w:val="24"/>
                <w:highlight w:val="none"/>
              </w:rPr>
              <w:t>XXX</w:t>
            </w:r>
          </w:p>
        </w:tc>
        <w:tc>
          <w:tcPr>
            <w:tcW w:w="277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auto"/>
                <w:sz w:val="24"/>
                <w:highlight w:val="none"/>
                <w:u w:val="singl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5733"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cs="宋体"/>
                <w:color w:val="auto"/>
                <w:sz w:val="24"/>
                <w:highlight w:val="none"/>
                <w:lang w:bidi="ar"/>
              </w:rPr>
            </w:pPr>
          </w:p>
        </w:tc>
        <w:tc>
          <w:tcPr>
            <w:tcW w:w="2778"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5733" w:type="dxa"/>
            <w:tcBorders>
              <w:top w:val="single" w:color="auto" w:sz="4" w:space="0"/>
              <w:left w:val="nil"/>
              <w:bottom w:val="single" w:color="auto" w:sz="4" w:space="0"/>
              <w:right w:val="single" w:color="auto" w:sz="4" w:space="0"/>
            </w:tcBorders>
          </w:tcPr>
          <w:p>
            <w:pPr>
              <w:pStyle w:val="41"/>
              <w:widowControl w:val="0"/>
              <w:spacing w:line="360" w:lineRule="auto"/>
              <w:ind w:firstLine="0" w:firstLineChars="0"/>
              <w:jc w:val="both"/>
              <w:rPr>
                <w:rFonts w:ascii="宋体" w:hAnsi="宋体" w:eastAsia="宋体" w:cs="宋体"/>
                <w:bCs/>
                <w:color w:val="auto"/>
                <w:sz w:val="24"/>
                <w:szCs w:val="24"/>
                <w:highlight w:val="none"/>
              </w:rPr>
            </w:pPr>
          </w:p>
        </w:tc>
        <w:tc>
          <w:tcPr>
            <w:tcW w:w="277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5733" w:type="dxa"/>
            <w:tcBorders>
              <w:top w:val="single" w:color="auto" w:sz="4" w:space="0"/>
              <w:left w:val="nil"/>
              <w:bottom w:val="single" w:color="auto" w:sz="4" w:space="0"/>
              <w:right w:val="single" w:color="auto" w:sz="4" w:space="0"/>
            </w:tcBorders>
          </w:tcPr>
          <w:p>
            <w:pPr>
              <w:pStyle w:val="41"/>
              <w:widowControl w:val="0"/>
              <w:spacing w:line="360" w:lineRule="auto"/>
              <w:ind w:firstLine="0" w:firstLineChars="0"/>
              <w:jc w:val="both"/>
              <w:rPr>
                <w:rFonts w:ascii="宋体" w:hAnsi="宋体" w:eastAsia="宋体" w:cs="宋体"/>
                <w:b/>
                <w:bCs/>
                <w:color w:val="auto"/>
                <w:sz w:val="24"/>
                <w:szCs w:val="24"/>
                <w:highlight w:val="none"/>
              </w:rPr>
            </w:pPr>
          </w:p>
        </w:tc>
        <w:tc>
          <w:tcPr>
            <w:tcW w:w="2778"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5733" w:type="dxa"/>
            <w:tcBorders>
              <w:top w:val="single" w:color="auto" w:sz="4" w:space="0"/>
              <w:left w:val="nil"/>
              <w:bottom w:val="single" w:color="auto" w:sz="4" w:space="0"/>
              <w:right w:val="single" w:color="auto" w:sz="4" w:space="0"/>
            </w:tcBorders>
          </w:tcPr>
          <w:p>
            <w:pPr>
              <w:pStyle w:val="41"/>
              <w:widowControl w:val="0"/>
              <w:spacing w:line="360" w:lineRule="auto"/>
              <w:ind w:firstLine="0" w:firstLineChars="0"/>
              <w:jc w:val="both"/>
              <w:rPr>
                <w:rFonts w:ascii="宋体" w:hAnsi="宋体" w:eastAsia="宋体" w:cs="宋体"/>
                <w:b/>
                <w:bCs/>
                <w:color w:val="auto"/>
                <w:sz w:val="24"/>
                <w:szCs w:val="24"/>
                <w:highlight w:val="none"/>
              </w:rPr>
            </w:pPr>
          </w:p>
        </w:tc>
        <w:tc>
          <w:tcPr>
            <w:tcW w:w="277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5733"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left"/>
              <w:rPr>
                <w:rFonts w:ascii="宋体" w:hAnsi="宋体" w:cs="宋体"/>
                <w:b/>
                <w:bCs/>
                <w:color w:val="auto"/>
                <w:sz w:val="24"/>
                <w:highlight w:val="none"/>
              </w:rPr>
            </w:pPr>
          </w:p>
        </w:tc>
        <w:tc>
          <w:tcPr>
            <w:tcW w:w="2778"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5733"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ascii="宋体" w:hAnsi="宋体" w:cs="宋体"/>
                <w:b/>
                <w:bCs/>
                <w:color w:val="auto"/>
                <w:sz w:val="24"/>
                <w:highlight w:val="none"/>
              </w:rPr>
            </w:pPr>
          </w:p>
        </w:tc>
        <w:tc>
          <w:tcPr>
            <w:tcW w:w="277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5733" w:type="dxa"/>
            <w:tcBorders>
              <w:top w:val="single" w:color="auto" w:sz="4" w:space="0"/>
              <w:left w:val="nil"/>
              <w:bottom w:val="single" w:color="auto" w:sz="4" w:space="0"/>
              <w:right w:val="single" w:color="auto" w:sz="4" w:space="0"/>
            </w:tcBorders>
          </w:tcPr>
          <w:p>
            <w:pPr>
              <w:pStyle w:val="41"/>
              <w:widowControl w:val="0"/>
              <w:spacing w:line="360" w:lineRule="auto"/>
              <w:ind w:firstLine="0" w:firstLineChars="0"/>
              <w:jc w:val="both"/>
              <w:rPr>
                <w:rFonts w:ascii="宋体" w:hAnsi="宋体" w:eastAsia="宋体" w:cs="宋体"/>
                <w:b/>
                <w:bCs/>
                <w:color w:val="auto"/>
                <w:sz w:val="24"/>
                <w:szCs w:val="24"/>
                <w:highlight w:val="none"/>
              </w:rPr>
            </w:pPr>
          </w:p>
        </w:tc>
        <w:tc>
          <w:tcPr>
            <w:tcW w:w="2778"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5733" w:type="dxa"/>
            <w:tcBorders>
              <w:top w:val="single" w:color="auto" w:sz="4" w:space="0"/>
              <w:left w:val="nil"/>
              <w:bottom w:val="single" w:color="auto" w:sz="4" w:space="0"/>
              <w:right w:val="single" w:color="auto" w:sz="4" w:space="0"/>
            </w:tcBorders>
          </w:tcPr>
          <w:p>
            <w:pPr>
              <w:snapToGrid w:val="0"/>
              <w:spacing w:line="360" w:lineRule="auto"/>
              <w:ind w:firstLine="480" w:firstLineChars="200"/>
              <w:jc w:val="center"/>
              <w:rPr>
                <w:rFonts w:ascii="宋体" w:hAnsi="宋体" w:cs="宋体"/>
                <w:color w:val="auto"/>
                <w:sz w:val="24"/>
                <w:highlight w:val="none"/>
              </w:rPr>
            </w:pPr>
          </w:p>
        </w:tc>
        <w:tc>
          <w:tcPr>
            <w:tcW w:w="2778"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bl>
    <w:p>
      <w:pPr>
        <w:jc w:val="left"/>
        <w:rPr>
          <w:rFonts w:ascii="宋体" w:hAnsi="宋体" w:cs="仿宋_GB2312"/>
          <w:b/>
          <w:color w:val="auto"/>
          <w:sz w:val="32"/>
          <w:szCs w:val="32"/>
          <w:highlight w:val="none"/>
        </w:rPr>
      </w:pPr>
    </w:p>
    <w:p>
      <w:pPr>
        <w:rPr>
          <w:rFonts w:ascii="宋体" w:hAnsi="宋体" w:cs="仿宋_GB2312"/>
          <w:b/>
          <w:color w:val="auto"/>
          <w:sz w:val="28"/>
          <w:szCs w:val="28"/>
          <w:highlight w:val="none"/>
        </w:rPr>
      </w:pPr>
      <w:r>
        <w:rPr>
          <w:rFonts w:hint="eastAsia" w:ascii="宋体" w:hAnsi="宋体" w:cs="仿宋_GB2312"/>
          <w:b/>
          <w:color w:val="auto"/>
          <w:sz w:val="28"/>
          <w:szCs w:val="28"/>
          <w:highlight w:val="none"/>
        </w:rPr>
        <w:br w:type="page"/>
      </w:r>
    </w:p>
    <w:p>
      <w:pPr>
        <w:jc w:val="left"/>
        <w:rPr>
          <w:rFonts w:ascii="宋体" w:hAnsi="宋体" w:cs="仿宋_GB2312"/>
          <w:b/>
          <w:color w:val="auto"/>
          <w:sz w:val="28"/>
          <w:szCs w:val="28"/>
          <w:highlight w:val="none"/>
        </w:rPr>
      </w:pPr>
      <w:r>
        <w:rPr>
          <w:rFonts w:hint="eastAsia" w:ascii="宋体" w:hAnsi="宋体" w:cs="仿宋_GB2312"/>
          <w:b/>
          <w:color w:val="auto"/>
          <w:sz w:val="28"/>
          <w:szCs w:val="28"/>
          <w:highlight w:val="none"/>
        </w:rPr>
        <w:t>参考格式1</w:t>
      </w:r>
    </w:p>
    <w:p>
      <w:pPr>
        <w:rPr>
          <w:rFonts w:ascii="宋体" w:hAnsi="宋体"/>
          <w:color w:val="auto"/>
          <w:sz w:val="24"/>
          <w:szCs w:val="22"/>
          <w:highlight w:val="none"/>
        </w:rPr>
      </w:pPr>
      <w:r>
        <w:rPr>
          <w:rFonts w:hint="eastAsia" w:ascii="宋体" w:hAnsi="宋体"/>
          <w:color w:val="auto"/>
          <w:sz w:val="24"/>
          <w:szCs w:val="22"/>
          <w:highlight w:val="none"/>
        </w:rPr>
        <w:t>投标人简况表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单位名称</w:t>
            </w:r>
          </w:p>
        </w:tc>
        <w:tc>
          <w:tcPr>
            <w:tcW w:w="5143" w:type="dxa"/>
            <w:gridSpan w:val="4"/>
            <w:vAlign w:val="center"/>
          </w:tcPr>
          <w:p>
            <w:pPr>
              <w:autoSpaceDE w:val="0"/>
              <w:snapToGrid w:val="0"/>
              <w:spacing w:line="360" w:lineRule="auto"/>
              <w:jc w:val="center"/>
              <w:rPr>
                <w:rFonts w:ascii="宋体" w:hAnsi="宋体" w:cs="宋体"/>
                <w:color w:val="auto"/>
                <w:sz w:val="24"/>
                <w:highlight w:val="none"/>
                <w:lang w:val="zh-CN"/>
              </w:rPr>
            </w:pPr>
          </w:p>
        </w:tc>
        <w:tc>
          <w:tcPr>
            <w:tcW w:w="1418"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成立时间</w:t>
            </w:r>
          </w:p>
        </w:tc>
        <w:tc>
          <w:tcPr>
            <w:tcW w:w="1515" w:type="dxa"/>
            <w:vAlign w:val="center"/>
          </w:tcPr>
          <w:p>
            <w:pPr>
              <w:autoSpaceDE w:val="0"/>
              <w:snapToGrid w:val="0"/>
              <w:spacing w:line="360" w:lineRule="auto"/>
              <w:jc w:val="center"/>
              <w:rPr>
                <w:rFonts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资质等级</w:t>
            </w:r>
          </w:p>
        </w:tc>
        <w:tc>
          <w:tcPr>
            <w:tcW w:w="1600" w:type="dxa"/>
            <w:vAlign w:val="center"/>
          </w:tcPr>
          <w:p>
            <w:pPr>
              <w:autoSpaceDE w:val="0"/>
              <w:snapToGrid w:val="0"/>
              <w:spacing w:line="360" w:lineRule="auto"/>
              <w:jc w:val="center"/>
              <w:rPr>
                <w:rFonts w:ascii="宋体" w:hAnsi="宋体" w:cs="宋体"/>
                <w:color w:val="auto"/>
                <w:sz w:val="24"/>
                <w:highlight w:val="none"/>
                <w:lang w:val="zh-CN"/>
              </w:rPr>
            </w:pPr>
          </w:p>
        </w:tc>
        <w:tc>
          <w:tcPr>
            <w:tcW w:w="1134"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经营方式</w:t>
            </w:r>
          </w:p>
        </w:tc>
        <w:tc>
          <w:tcPr>
            <w:tcW w:w="2409" w:type="dxa"/>
            <w:gridSpan w:val="2"/>
            <w:vAlign w:val="center"/>
          </w:tcPr>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□有限责任公司</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□个人独立经营方式</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□合伙经营方式</w:t>
            </w:r>
          </w:p>
          <w:p>
            <w:pPr>
              <w:autoSpaceDE w:val="0"/>
              <w:snapToGrid w:val="0"/>
              <w:jc w:val="left"/>
              <w:rPr>
                <w:rFonts w:ascii="宋体" w:hAnsi="宋体"/>
                <w:color w:val="auto"/>
                <w:highlight w:val="none"/>
                <w:lang w:val="zh-CN"/>
              </w:rPr>
            </w:pPr>
            <w:r>
              <w:rPr>
                <w:rFonts w:hint="eastAsia" w:ascii="宋体" w:hAnsi="宋体" w:cs="宋体"/>
                <w:color w:val="auto"/>
                <w:sz w:val="24"/>
                <w:highlight w:val="none"/>
                <w:lang w:val="zh-CN"/>
              </w:rPr>
              <w:t>□其他</w:t>
            </w:r>
          </w:p>
        </w:tc>
        <w:tc>
          <w:tcPr>
            <w:tcW w:w="1418" w:type="dxa"/>
            <w:vAlign w:val="center"/>
          </w:tcPr>
          <w:p>
            <w:pPr>
              <w:autoSpaceDE w:val="0"/>
              <w:snapToGrid w:val="0"/>
              <w:jc w:val="center"/>
              <w:rPr>
                <w:rFonts w:ascii="宋体" w:hAnsi="宋体"/>
                <w:color w:val="auto"/>
                <w:highlight w:val="none"/>
              </w:rPr>
            </w:pPr>
            <w:r>
              <w:rPr>
                <w:rFonts w:hint="eastAsia" w:ascii="宋体" w:hAnsi="宋体" w:cs="宋体"/>
                <w:color w:val="auto"/>
                <w:sz w:val="24"/>
                <w:highlight w:val="none"/>
                <w:lang w:val="zh-CN"/>
              </w:rPr>
              <w:t>企业性质</w:t>
            </w:r>
          </w:p>
        </w:tc>
        <w:tc>
          <w:tcPr>
            <w:tcW w:w="1515" w:type="dxa"/>
            <w:vAlign w:val="center"/>
          </w:tcPr>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□事业单位</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□国企</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□民营</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□个体经营者</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□自然人</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注册资金</w:t>
            </w:r>
          </w:p>
        </w:tc>
        <w:tc>
          <w:tcPr>
            <w:tcW w:w="1600" w:type="dxa"/>
            <w:vAlign w:val="center"/>
          </w:tcPr>
          <w:p>
            <w:pPr>
              <w:autoSpaceDE w:val="0"/>
              <w:snapToGrid w:val="0"/>
              <w:spacing w:line="360" w:lineRule="auto"/>
              <w:jc w:val="center"/>
              <w:rPr>
                <w:rFonts w:ascii="宋体" w:hAnsi="宋体" w:cs="宋体"/>
                <w:color w:val="auto"/>
                <w:sz w:val="24"/>
                <w:highlight w:val="none"/>
                <w:lang w:val="zh-CN"/>
              </w:rPr>
            </w:pPr>
          </w:p>
        </w:tc>
        <w:tc>
          <w:tcPr>
            <w:tcW w:w="1134"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地    址</w:t>
            </w:r>
          </w:p>
        </w:tc>
        <w:tc>
          <w:tcPr>
            <w:tcW w:w="5342" w:type="dxa"/>
            <w:gridSpan w:val="4"/>
            <w:vAlign w:val="center"/>
          </w:tcPr>
          <w:p>
            <w:pPr>
              <w:autoSpaceDE w:val="0"/>
              <w:snapToGrid w:val="0"/>
              <w:spacing w:line="360" w:lineRule="auto"/>
              <w:jc w:val="center"/>
              <w:rPr>
                <w:rFonts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经营范围</w:t>
            </w:r>
          </w:p>
        </w:tc>
        <w:tc>
          <w:tcPr>
            <w:tcW w:w="8076" w:type="dxa"/>
            <w:gridSpan w:val="6"/>
            <w:vAlign w:val="center"/>
          </w:tcPr>
          <w:p>
            <w:pPr>
              <w:autoSpaceDE w:val="0"/>
              <w:snapToGrid w:val="0"/>
              <w:spacing w:line="360" w:lineRule="auto"/>
              <w:rPr>
                <w:rFonts w:ascii="宋体" w:hAnsi="宋体" w:cs="宋体"/>
                <w:color w:val="auto"/>
                <w:sz w:val="24"/>
                <w:highlight w:val="none"/>
                <w:lang w:val="zh-CN"/>
              </w:rPr>
            </w:pPr>
          </w:p>
          <w:p>
            <w:pPr>
              <w:autoSpaceDE w:val="0"/>
              <w:snapToGrid w:val="0"/>
              <w:spacing w:line="360" w:lineRule="auto"/>
              <w:rPr>
                <w:rFonts w:ascii="宋体" w:hAnsi="宋体" w:cs="宋体"/>
                <w:color w:val="auto"/>
                <w:sz w:val="24"/>
                <w:highlight w:val="none"/>
                <w:lang w:val="zh-CN"/>
              </w:rPr>
            </w:pPr>
          </w:p>
          <w:p>
            <w:pPr>
              <w:autoSpaceDE w:val="0"/>
              <w:snapToGrid w:val="0"/>
              <w:spacing w:line="360" w:lineRule="auto"/>
              <w:rPr>
                <w:rFonts w:ascii="宋体" w:hAnsi="宋体" w:cs="宋体"/>
                <w:color w:val="auto"/>
                <w:sz w:val="24"/>
                <w:highlight w:val="none"/>
                <w:lang w:val="zh-CN"/>
              </w:rPr>
            </w:pPr>
          </w:p>
          <w:p>
            <w:pPr>
              <w:autoSpaceDE w:val="0"/>
              <w:snapToGrid w:val="0"/>
              <w:spacing w:line="360" w:lineRule="auto"/>
              <w:rPr>
                <w:rFonts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单位</w:t>
            </w:r>
          </w:p>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职工</w:t>
            </w:r>
          </w:p>
        </w:tc>
        <w:tc>
          <w:tcPr>
            <w:tcW w:w="4348" w:type="dxa"/>
            <w:gridSpan w:val="3"/>
            <w:vAlign w:val="center"/>
          </w:tcPr>
          <w:p>
            <w:pPr>
              <w:autoSpaceDE w:val="0"/>
              <w:snapToGrid w:val="0"/>
              <w:jc w:val="center"/>
              <w:rPr>
                <w:rFonts w:ascii="宋体" w:hAnsi="宋体"/>
                <w:color w:val="auto"/>
                <w:highlight w:val="none"/>
              </w:rPr>
            </w:pPr>
            <w:r>
              <w:rPr>
                <w:rFonts w:hint="eastAsia" w:ascii="宋体" w:hAnsi="宋体" w:cs="宋体"/>
                <w:color w:val="auto"/>
                <w:sz w:val="24"/>
                <w:highlight w:val="none"/>
                <w:lang w:val="zh-CN"/>
              </w:rPr>
              <w:t>人数</w:t>
            </w:r>
          </w:p>
        </w:tc>
        <w:tc>
          <w:tcPr>
            <w:tcW w:w="3728" w:type="dxa"/>
            <w:gridSpan w:val="3"/>
            <w:vAlign w:val="center"/>
          </w:tcPr>
          <w:p>
            <w:pPr>
              <w:autoSpaceDE w:val="0"/>
              <w:snapToGrid w:val="0"/>
              <w:jc w:val="center"/>
              <w:rPr>
                <w:rFonts w:ascii="宋体" w:hAnsi="宋体"/>
                <w:color w:val="auto"/>
                <w:highlight w:val="none"/>
              </w:rPr>
            </w:pPr>
            <w:r>
              <w:rPr>
                <w:rFonts w:hint="eastAsia" w:ascii="宋体" w:hAnsi="宋体" w:cs="宋体"/>
                <w:color w:val="auto"/>
                <w:sz w:val="24"/>
                <w:highlight w:val="none"/>
                <w:lang w:val="zh-CN"/>
              </w:rPr>
              <w:t>具有执业资格的管理人员人数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pPr>
              <w:autoSpaceDE w:val="0"/>
              <w:snapToGrid w:val="0"/>
              <w:spacing w:line="360" w:lineRule="auto"/>
              <w:jc w:val="center"/>
              <w:rPr>
                <w:rFonts w:ascii="宋体" w:hAnsi="宋体" w:cs="宋体"/>
                <w:color w:val="auto"/>
                <w:sz w:val="24"/>
                <w:highlight w:val="none"/>
                <w:lang w:val="zh-CN"/>
              </w:rPr>
            </w:pPr>
          </w:p>
        </w:tc>
        <w:tc>
          <w:tcPr>
            <w:tcW w:w="4348" w:type="dxa"/>
            <w:gridSpan w:val="3"/>
            <w:vAlign w:val="center"/>
          </w:tcPr>
          <w:p>
            <w:pPr>
              <w:autoSpaceDE w:val="0"/>
              <w:snapToGrid w:val="0"/>
              <w:spacing w:line="360" w:lineRule="auto"/>
              <w:jc w:val="center"/>
              <w:rPr>
                <w:rFonts w:ascii="宋体" w:hAnsi="宋体" w:cs="宋体"/>
                <w:color w:val="auto"/>
                <w:sz w:val="24"/>
                <w:highlight w:val="none"/>
                <w:lang w:val="zh-CN"/>
              </w:rPr>
            </w:pPr>
          </w:p>
        </w:tc>
        <w:tc>
          <w:tcPr>
            <w:tcW w:w="3728" w:type="dxa"/>
            <w:gridSpan w:val="3"/>
            <w:vAlign w:val="center"/>
          </w:tcPr>
          <w:p>
            <w:pPr>
              <w:autoSpaceDE w:val="0"/>
              <w:snapToGrid w:val="0"/>
              <w:spacing w:line="360" w:lineRule="auto"/>
              <w:jc w:val="center"/>
              <w:rPr>
                <w:rFonts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rPr>
              <w:t>获奖情况</w:t>
            </w:r>
          </w:p>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rPr>
              <w:t>(荣誉)</w:t>
            </w:r>
          </w:p>
        </w:tc>
        <w:tc>
          <w:tcPr>
            <w:tcW w:w="8076" w:type="dxa"/>
            <w:gridSpan w:val="6"/>
            <w:vAlign w:val="center"/>
          </w:tcPr>
          <w:p>
            <w:pPr>
              <w:autoSpaceDE w:val="0"/>
              <w:snapToGrid w:val="0"/>
              <w:spacing w:line="360" w:lineRule="auto"/>
              <w:jc w:val="center"/>
              <w:rPr>
                <w:rFonts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单</w:t>
            </w:r>
          </w:p>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位</w:t>
            </w:r>
          </w:p>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简</w:t>
            </w:r>
          </w:p>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历</w:t>
            </w:r>
          </w:p>
        </w:tc>
        <w:tc>
          <w:tcPr>
            <w:tcW w:w="8076" w:type="dxa"/>
            <w:gridSpan w:val="6"/>
          </w:tcPr>
          <w:p>
            <w:pPr>
              <w:autoSpaceDE w:val="0"/>
              <w:snapToGrid w:val="0"/>
              <w:spacing w:line="360" w:lineRule="auto"/>
              <w:jc w:val="center"/>
              <w:rPr>
                <w:rFonts w:ascii="宋体" w:hAnsi="宋体" w:cs="宋体"/>
                <w:color w:val="auto"/>
                <w:sz w:val="24"/>
                <w:highlight w:val="none"/>
                <w:lang w:val="zh-CN"/>
              </w:rPr>
            </w:pPr>
          </w:p>
        </w:tc>
      </w:tr>
    </w:tbl>
    <w:p>
      <w:pPr>
        <w:autoSpaceDE w:val="0"/>
        <w:snapToGrid w:val="0"/>
        <w:spacing w:line="360" w:lineRule="auto"/>
        <w:ind w:firstLine="840"/>
        <w:rPr>
          <w:rFonts w:ascii="宋体" w:hAnsi="宋体"/>
          <w:color w:val="auto"/>
          <w:highlight w:val="none"/>
        </w:rPr>
      </w:pPr>
      <w:r>
        <w:rPr>
          <w:rFonts w:hint="eastAsia" w:ascii="宋体" w:hAnsi="宋体" w:cs="宋体"/>
          <w:color w:val="auto"/>
          <w:sz w:val="24"/>
          <w:highlight w:val="none"/>
          <w:lang w:val="zh-CN"/>
        </w:rPr>
        <w:t>附企业、人员的相关证书复印件。如有其它补充材料，格式自拟。（文本中已提供的资料无需重复提供）</w:t>
      </w:r>
    </w:p>
    <w:p>
      <w:pPr>
        <w:snapToGrid w:val="0"/>
        <w:spacing w:line="360" w:lineRule="auto"/>
        <w:ind w:firstLine="576"/>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w:t>
      </w:r>
      <w:r>
        <w:rPr>
          <w:rFonts w:ascii="宋体" w:hAnsi="宋体" w:cs="仿宋_GB2312"/>
          <w:color w:val="auto"/>
          <w:sz w:val="24"/>
          <w:highlight w:val="none"/>
          <w:lang w:val="zh-CN"/>
        </w:rPr>
        <w:t xml:space="preserve">  </w:t>
      </w:r>
      <w:r>
        <w:rPr>
          <w:rFonts w:hint="eastAsia" w:ascii="宋体" w:hAnsi="宋体" w:cs="仿宋_GB2312"/>
          <w:color w:val="auto"/>
          <w:sz w:val="24"/>
          <w:highlight w:val="none"/>
          <w:lang w:val="zh-CN"/>
        </w:rPr>
        <w:t>投标人</w:t>
      </w:r>
      <w:r>
        <w:rPr>
          <w:rFonts w:ascii="宋体" w:hAnsi="宋体" w:cs="仿宋_GB2312"/>
          <w:color w:val="auto"/>
          <w:sz w:val="24"/>
          <w:highlight w:val="none"/>
          <w:lang w:val="zh-CN"/>
        </w:rPr>
        <w:t xml:space="preserve">名称(电子签名)：                </w:t>
      </w:r>
    </w:p>
    <w:p>
      <w:pPr>
        <w:snapToGrid w:val="0"/>
        <w:spacing w:line="360" w:lineRule="auto"/>
        <w:ind w:firstLine="576"/>
        <w:jc w:val="center"/>
        <w:rPr>
          <w:rFonts w:ascii="宋体" w:hAnsi="宋体" w:cs="仿宋_GB2312"/>
          <w:b/>
          <w:color w:val="auto"/>
          <w:sz w:val="32"/>
          <w:szCs w:val="32"/>
          <w:highlight w:val="none"/>
        </w:rPr>
      </w:pPr>
      <w:r>
        <w:rPr>
          <w:rFonts w:ascii="宋体" w:hAnsi="宋体" w:cs="仿宋_GB2312"/>
          <w:color w:val="auto"/>
          <w:sz w:val="24"/>
          <w:highlight w:val="none"/>
          <w:lang w:val="zh-CN"/>
        </w:rPr>
        <w:t xml:space="preserve">                   日期：  年  月  日</w:t>
      </w:r>
    </w:p>
    <w:p>
      <w:pPr>
        <w:rPr>
          <w:rFonts w:ascii="宋体" w:hAnsi="宋体" w:cs="仿宋_GB2312"/>
          <w:b/>
          <w:color w:val="auto"/>
          <w:sz w:val="28"/>
          <w:szCs w:val="28"/>
          <w:highlight w:val="none"/>
        </w:rPr>
      </w:pPr>
      <w:r>
        <w:rPr>
          <w:rFonts w:hint="eastAsia" w:ascii="宋体" w:hAnsi="宋体" w:cs="仿宋_GB2312"/>
          <w:b/>
          <w:color w:val="auto"/>
          <w:sz w:val="28"/>
          <w:szCs w:val="28"/>
          <w:highlight w:val="none"/>
        </w:rPr>
        <w:br w:type="page"/>
      </w:r>
    </w:p>
    <w:p>
      <w:pPr>
        <w:jc w:val="left"/>
        <w:rPr>
          <w:rFonts w:ascii="宋体" w:hAnsi="宋体" w:cs="仿宋_GB2312"/>
          <w:b/>
          <w:color w:val="auto"/>
          <w:sz w:val="28"/>
          <w:szCs w:val="28"/>
          <w:highlight w:val="none"/>
        </w:rPr>
      </w:pPr>
      <w:r>
        <w:rPr>
          <w:rFonts w:hint="eastAsia" w:ascii="宋体" w:hAnsi="宋体" w:cs="仿宋_GB2312"/>
          <w:b/>
          <w:color w:val="auto"/>
          <w:sz w:val="28"/>
          <w:szCs w:val="28"/>
          <w:highlight w:val="none"/>
        </w:rPr>
        <w:t>参考格式2</w:t>
      </w:r>
    </w:p>
    <w:p>
      <w:pPr>
        <w:rPr>
          <w:rFonts w:ascii="宋体" w:hAnsi="宋体"/>
          <w:color w:val="auto"/>
          <w:highlight w:val="none"/>
        </w:rPr>
      </w:pPr>
    </w:p>
    <w:p>
      <w:pPr>
        <w:autoSpaceDE w:val="0"/>
        <w:spacing w:line="360" w:lineRule="auto"/>
        <w:ind w:firstLine="120"/>
        <w:jc w:val="center"/>
        <w:rPr>
          <w:rFonts w:ascii="宋体" w:hAnsi="宋体"/>
          <w:color w:val="auto"/>
          <w:highlight w:val="none"/>
        </w:rPr>
      </w:pPr>
      <w:r>
        <w:rPr>
          <w:rFonts w:hint="eastAsia" w:ascii="宋体" w:hAnsi="宋体" w:cs="宋体"/>
          <w:b/>
          <w:color w:val="auto"/>
          <w:sz w:val="30"/>
          <w:szCs w:val="30"/>
          <w:highlight w:val="none"/>
        </w:rPr>
        <w:t>20  年  月  日以</w:t>
      </w:r>
      <w:r>
        <w:rPr>
          <w:rFonts w:hint="eastAsia" w:ascii="宋体" w:hAnsi="宋体" w:cs="宋体"/>
          <w:b/>
          <w:color w:val="auto"/>
          <w:sz w:val="30"/>
          <w:szCs w:val="30"/>
          <w:highlight w:val="none"/>
          <w:lang w:val="zh-CN"/>
        </w:rPr>
        <w:t>来主要业绩证明</w:t>
      </w:r>
    </w:p>
    <w:p>
      <w:pPr>
        <w:autoSpaceDE w:val="0"/>
        <w:spacing w:line="360" w:lineRule="auto"/>
        <w:ind w:firstLine="120"/>
        <w:rPr>
          <w:rFonts w:ascii="宋体" w:hAnsi="宋体"/>
          <w:color w:val="auto"/>
          <w:sz w:val="24"/>
          <w:szCs w:val="22"/>
          <w:highlight w:val="none"/>
        </w:rPr>
      </w:pPr>
      <w:r>
        <w:rPr>
          <w:rFonts w:ascii="宋体" w:hAnsi="宋体"/>
          <w:color w:val="auto"/>
          <w:sz w:val="24"/>
          <w:szCs w:val="22"/>
          <w:highlight w:val="none"/>
        </w:rPr>
        <w:t>附表</w:t>
      </w:r>
      <w:r>
        <w:rPr>
          <w:rFonts w:hint="eastAsia" w:ascii="宋体" w:hAnsi="宋体"/>
          <w:color w:val="auto"/>
          <w:sz w:val="24"/>
          <w:szCs w:val="22"/>
          <w:highlight w:val="none"/>
        </w:rPr>
        <w:t>：</w:t>
      </w:r>
      <w:r>
        <w:rPr>
          <w:rFonts w:ascii="宋体" w:hAnsi="宋体"/>
          <w:color w:val="auto"/>
          <w:sz w:val="24"/>
          <w:szCs w:val="22"/>
          <w:highlight w:val="none"/>
        </w:rPr>
        <w:t>相关项目业绩一览表</w:t>
      </w:r>
    </w:p>
    <w:tbl>
      <w:tblPr>
        <w:tblStyle w:val="19"/>
        <w:tblW w:w="4998" w:type="pct"/>
        <w:tblInd w:w="0" w:type="dxa"/>
        <w:tblLayout w:type="autofit"/>
        <w:tblCellMar>
          <w:top w:w="0" w:type="dxa"/>
          <w:left w:w="108" w:type="dxa"/>
          <w:bottom w:w="0" w:type="dxa"/>
          <w:right w:w="108" w:type="dxa"/>
        </w:tblCellMar>
      </w:tblPr>
      <w:tblGrid>
        <w:gridCol w:w="1770"/>
        <w:gridCol w:w="934"/>
        <w:gridCol w:w="1336"/>
        <w:gridCol w:w="1404"/>
        <w:gridCol w:w="1137"/>
        <w:gridCol w:w="1492"/>
        <w:gridCol w:w="1209"/>
      </w:tblGrid>
      <w:tr>
        <w:tblPrEx>
          <w:tblCellMar>
            <w:top w:w="0" w:type="dxa"/>
            <w:left w:w="108" w:type="dxa"/>
            <w:bottom w:w="0" w:type="dxa"/>
            <w:right w:w="108" w:type="dxa"/>
          </w:tblCellMar>
        </w:tblPrEx>
        <w:trPr>
          <w:trHeight w:val="1177" w:hRule="atLeast"/>
        </w:trPr>
        <w:tc>
          <w:tcPr>
            <w:tcW w:w="953"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项目名称</w:t>
            </w:r>
          </w:p>
        </w:tc>
        <w:tc>
          <w:tcPr>
            <w:tcW w:w="503"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项目</w:t>
            </w:r>
          </w:p>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类型</w:t>
            </w:r>
          </w:p>
        </w:tc>
        <w:tc>
          <w:tcPr>
            <w:tcW w:w="719"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简要描述</w:t>
            </w:r>
          </w:p>
        </w:tc>
        <w:tc>
          <w:tcPr>
            <w:tcW w:w="756"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s="宋体"/>
                <w:color w:val="auto"/>
                <w:sz w:val="24"/>
                <w:highlight w:val="none"/>
              </w:rPr>
            </w:pPr>
            <w:r>
              <w:rPr>
                <w:rFonts w:hint="eastAsia" w:ascii="宋体" w:hAnsi="宋体" w:cs="宋体"/>
                <w:color w:val="auto"/>
                <w:sz w:val="24"/>
                <w:highlight w:val="none"/>
              </w:rPr>
              <w:t>合同金额</w:t>
            </w:r>
          </w:p>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（万元）</w:t>
            </w:r>
          </w:p>
        </w:tc>
        <w:tc>
          <w:tcPr>
            <w:tcW w:w="612"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合同签订日期</w:t>
            </w:r>
          </w:p>
        </w:tc>
        <w:tc>
          <w:tcPr>
            <w:tcW w:w="803"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项目地址与采购单位联系电话</w:t>
            </w:r>
          </w:p>
        </w:tc>
        <w:tc>
          <w:tcPr>
            <w:tcW w:w="651"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所在页码</w:t>
            </w:r>
          </w:p>
        </w:tc>
      </w:tr>
      <w:tr>
        <w:tblPrEx>
          <w:tblCellMar>
            <w:top w:w="0" w:type="dxa"/>
            <w:left w:w="108" w:type="dxa"/>
            <w:bottom w:w="0" w:type="dxa"/>
            <w:right w:w="108" w:type="dxa"/>
          </w:tblCellMar>
        </w:tblPrEx>
        <w:trPr>
          <w:trHeight w:val="894" w:hRule="atLeast"/>
        </w:trPr>
        <w:tc>
          <w:tcPr>
            <w:tcW w:w="95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r>
    </w:tbl>
    <w:p>
      <w:pPr>
        <w:autoSpaceDE w:val="0"/>
        <w:spacing w:line="360" w:lineRule="auto"/>
        <w:rPr>
          <w:rFonts w:ascii="宋体" w:hAnsi="宋体"/>
          <w:color w:val="auto"/>
          <w:highlight w:val="none"/>
        </w:rPr>
      </w:pPr>
      <w:r>
        <w:rPr>
          <w:rFonts w:hint="eastAsia" w:ascii="宋体" w:hAnsi="宋体" w:cs="宋体"/>
          <w:b/>
          <w:color w:val="auto"/>
          <w:sz w:val="24"/>
          <w:highlight w:val="none"/>
        </w:rPr>
        <w:t xml:space="preserve">  注：投标人可按上述的格式自行编制，须随表提交相应的业绩证明材料（详见评分要求）并注明所在投标商务文件页码。</w:t>
      </w:r>
    </w:p>
    <w:p>
      <w:pPr>
        <w:snapToGrid w:val="0"/>
        <w:spacing w:line="360" w:lineRule="auto"/>
        <w:ind w:firstLine="576"/>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投标人</w:t>
      </w:r>
      <w:r>
        <w:rPr>
          <w:rFonts w:ascii="宋体" w:hAnsi="宋体" w:cs="仿宋_GB2312"/>
          <w:color w:val="auto"/>
          <w:sz w:val="24"/>
          <w:highlight w:val="none"/>
          <w:lang w:val="zh-CN"/>
        </w:rPr>
        <w:t xml:space="preserve">名称(电子签名)：                </w:t>
      </w:r>
    </w:p>
    <w:p>
      <w:pPr>
        <w:snapToGrid w:val="0"/>
        <w:spacing w:line="360" w:lineRule="auto"/>
        <w:ind w:firstLine="576"/>
        <w:jc w:val="center"/>
        <w:rPr>
          <w:rFonts w:ascii="宋体" w:hAnsi="宋体"/>
          <w:color w:val="auto"/>
          <w:highlight w:val="none"/>
        </w:rPr>
      </w:pPr>
      <w:r>
        <w:rPr>
          <w:rFonts w:ascii="宋体" w:hAnsi="宋体" w:cs="仿宋_GB2312"/>
          <w:color w:val="auto"/>
          <w:sz w:val="24"/>
          <w:highlight w:val="none"/>
          <w:lang w:val="zh-CN"/>
        </w:rPr>
        <w:t xml:space="preserve">                   日期：  年  月  日</w:t>
      </w:r>
    </w:p>
    <w:p>
      <w:pPr>
        <w:jc w:val="center"/>
        <w:rPr>
          <w:rFonts w:ascii="宋体" w:hAnsi="宋体" w:cs="宋体"/>
          <w:b/>
          <w:color w:val="auto"/>
          <w:kern w:val="0"/>
          <w:sz w:val="32"/>
          <w:szCs w:val="32"/>
          <w:highlight w:val="none"/>
        </w:rPr>
      </w:pPr>
    </w:p>
    <w:p>
      <w:pPr>
        <w:rPr>
          <w:rFonts w:ascii="宋体" w:hAnsi="宋体"/>
          <w:b/>
          <w:color w:val="auto"/>
          <w:kern w:val="0"/>
          <w:sz w:val="32"/>
          <w:highlight w:val="none"/>
        </w:rPr>
      </w:pPr>
      <w:r>
        <w:rPr>
          <w:rFonts w:hint="eastAsia" w:ascii="宋体" w:hAnsi="宋体"/>
          <w:b/>
          <w:color w:val="auto"/>
          <w:kern w:val="0"/>
          <w:sz w:val="32"/>
          <w:highlight w:val="none"/>
        </w:rPr>
        <w:t>参考格式3</w:t>
      </w:r>
    </w:p>
    <w:p>
      <w:pPr>
        <w:jc w:val="center"/>
        <w:rPr>
          <w:rFonts w:ascii="宋体" w:hAnsi="宋体"/>
          <w:b/>
          <w:color w:val="auto"/>
          <w:kern w:val="0"/>
          <w:sz w:val="32"/>
          <w:highlight w:val="none"/>
        </w:rPr>
      </w:pPr>
      <w:r>
        <w:rPr>
          <w:rFonts w:hint="eastAsia" w:ascii="宋体" w:hAnsi="宋体"/>
          <w:b/>
          <w:color w:val="auto"/>
          <w:kern w:val="0"/>
          <w:sz w:val="32"/>
          <w:highlight w:val="none"/>
        </w:rPr>
        <w:t>拟投入项目成员情况表</w:t>
      </w:r>
    </w:p>
    <w:tbl>
      <w:tblPr>
        <w:tblStyle w:val="19"/>
        <w:tblW w:w="4996" w:type="pct"/>
        <w:jc w:val="center"/>
        <w:tblLayout w:type="autofit"/>
        <w:tblCellMar>
          <w:top w:w="0" w:type="dxa"/>
          <w:left w:w="108" w:type="dxa"/>
          <w:bottom w:w="0" w:type="dxa"/>
          <w:right w:w="108" w:type="dxa"/>
        </w:tblCellMar>
      </w:tblPr>
      <w:tblGrid>
        <w:gridCol w:w="929"/>
        <w:gridCol w:w="929"/>
        <w:gridCol w:w="490"/>
        <w:gridCol w:w="693"/>
        <w:gridCol w:w="1258"/>
        <w:gridCol w:w="1090"/>
        <w:gridCol w:w="951"/>
        <w:gridCol w:w="1098"/>
        <w:gridCol w:w="700"/>
        <w:gridCol w:w="1141"/>
      </w:tblGrid>
      <w:tr>
        <w:tblPrEx>
          <w:tblCellMar>
            <w:top w:w="0" w:type="dxa"/>
            <w:left w:w="108" w:type="dxa"/>
            <w:bottom w:w="0" w:type="dxa"/>
            <w:right w:w="108" w:type="dxa"/>
          </w:tblCellMar>
        </w:tblPrEx>
        <w:trPr>
          <w:trHeight w:val="544"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olor w:val="auto"/>
                <w:sz w:val="24"/>
                <w:highlight w:val="none"/>
              </w:rPr>
            </w:pPr>
            <w:r>
              <w:rPr>
                <w:rFonts w:hint="eastAsia" w:ascii="宋体" w:hAnsi="宋体"/>
                <w:color w:val="auto"/>
                <w:sz w:val="24"/>
                <w:highlight w:val="none"/>
              </w:rPr>
              <w:t>团队</w:t>
            </w:r>
          </w:p>
          <w:p>
            <w:pPr>
              <w:autoSpaceDE w:val="0"/>
              <w:snapToGrid w:val="0"/>
              <w:jc w:val="center"/>
              <w:rPr>
                <w:rFonts w:ascii="宋体" w:hAnsi="宋体"/>
                <w:color w:val="auto"/>
                <w:sz w:val="24"/>
                <w:highlight w:val="none"/>
              </w:rPr>
            </w:pPr>
            <w:r>
              <w:rPr>
                <w:rFonts w:hint="eastAsia" w:ascii="宋体" w:hAnsi="宋体"/>
                <w:color w:val="auto"/>
                <w:sz w:val="24"/>
                <w:highlight w:val="none"/>
              </w:rPr>
              <w:t>职务</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olor w:val="auto"/>
                <w:sz w:val="24"/>
                <w:highlight w:val="none"/>
              </w:rPr>
            </w:pPr>
            <w:r>
              <w:rPr>
                <w:rFonts w:hint="eastAsia" w:ascii="宋体" w:hAnsi="宋体"/>
                <w:color w:val="auto"/>
                <w:sz w:val="24"/>
                <w:highlight w:val="none"/>
              </w:rPr>
              <w:t>姓名</w:t>
            </w: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olor w:val="auto"/>
                <w:sz w:val="24"/>
                <w:highlight w:val="none"/>
              </w:rPr>
            </w:pPr>
            <w:r>
              <w:rPr>
                <w:rFonts w:hint="eastAsia" w:ascii="宋体" w:hAnsi="宋体"/>
                <w:color w:val="auto"/>
                <w:sz w:val="24"/>
                <w:highlight w:val="none"/>
              </w:rPr>
              <w:t>性别</w:t>
            </w: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olor w:val="auto"/>
                <w:sz w:val="24"/>
                <w:highlight w:val="none"/>
              </w:rPr>
            </w:pPr>
            <w:r>
              <w:rPr>
                <w:rFonts w:hint="eastAsia" w:ascii="宋体" w:hAnsi="宋体"/>
                <w:color w:val="auto"/>
                <w:sz w:val="24"/>
                <w:highlight w:val="none"/>
              </w:rPr>
              <w:t>年龄</w:t>
            </w: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olor w:val="auto"/>
                <w:sz w:val="24"/>
                <w:highlight w:val="none"/>
              </w:rPr>
            </w:pPr>
            <w:r>
              <w:rPr>
                <w:rFonts w:hint="eastAsia" w:ascii="宋体" w:hAnsi="宋体"/>
                <w:color w:val="auto"/>
                <w:sz w:val="24"/>
                <w:highlight w:val="none"/>
              </w:rPr>
              <w:t>身份证号码</w:t>
            </w: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olor w:val="auto"/>
                <w:sz w:val="24"/>
                <w:highlight w:val="none"/>
              </w:rPr>
            </w:pPr>
            <w:r>
              <w:rPr>
                <w:rFonts w:hint="eastAsia" w:ascii="宋体" w:hAnsi="宋体"/>
                <w:color w:val="auto"/>
                <w:sz w:val="24"/>
                <w:highlight w:val="none"/>
              </w:rPr>
              <w:t>学历/专业</w:t>
            </w: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olor w:val="auto"/>
                <w:sz w:val="24"/>
                <w:highlight w:val="none"/>
              </w:rPr>
            </w:pPr>
            <w:r>
              <w:rPr>
                <w:rFonts w:hint="eastAsia" w:ascii="宋体" w:hAnsi="宋体"/>
                <w:color w:val="auto"/>
                <w:sz w:val="24"/>
                <w:highlight w:val="none"/>
              </w:rPr>
              <w:t>职称/执业资格</w:t>
            </w: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olor w:val="auto"/>
                <w:sz w:val="24"/>
                <w:highlight w:val="none"/>
              </w:rPr>
            </w:pPr>
            <w:r>
              <w:rPr>
                <w:rFonts w:hint="eastAsia" w:ascii="宋体" w:hAnsi="宋体"/>
                <w:color w:val="auto"/>
                <w:sz w:val="24"/>
                <w:highlight w:val="none"/>
              </w:rPr>
              <w:t>证书号码</w:t>
            </w: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olor w:val="auto"/>
                <w:sz w:val="24"/>
                <w:highlight w:val="none"/>
              </w:rPr>
            </w:pPr>
            <w:r>
              <w:rPr>
                <w:rFonts w:hint="eastAsia" w:ascii="宋体" w:hAnsi="宋体"/>
                <w:color w:val="auto"/>
                <w:sz w:val="24"/>
                <w:highlight w:val="none"/>
              </w:rPr>
              <w:t>对应页码</w:t>
            </w: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olor w:val="auto"/>
                <w:sz w:val="24"/>
                <w:highlight w:val="none"/>
              </w:rPr>
            </w:pPr>
            <w:r>
              <w:rPr>
                <w:rFonts w:hint="eastAsia" w:ascii="宋体" w:hAnsi="宋体"/>
                <w:color w:val="auto"/>
                <w:sz w:val="24"/>
                <w:highlight w:val="none"/>
              </w:rPr>
              <w:t>……</w:t>
            </w:r>
          </w:p>
          <w:p>
            <w:pPr>
              <w:autoSpaceDE w:val="0"/>
              <w:snapToGrid w:val="0"/>
              <w:jc w:val="center"/>
              <w:rPr>
                <w:rFonts w:ascii="宋体" w:hAnsi="宋体"/>
                <w:color w:val="auto"/>
                <w:sz w:val="24"/>
                <w:highlight w:val="none"/>
              </w:rPr>
            </w:pPr>
            <w:r>
              <w:rPr>
                <w:rFonts w:hint="eastAsia" w:ascii="宋体" w:hAnsi="宋体"/>
                <w:color w:val="auto"/>
                <w:sz w:val="24"/>
                <w:highlight w:val="none"/>
              </w:rPr>
              <w:t>自行补充</w:t>
            </w:r>
          </w:p>
        </w:tc>
      </w:tr>
      <w:tr>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r>
              <w:rPr>
                <w:rFonts w:hint="eastAsia" w:ascii="宋体" w:hAnsi="宋体"/>
                <w:color w:val="auto"/>
                <w:sz w:val="24"/>
                <w:highlight w:val="none"/>
              </w:rPr>
              <w:t>项目负责人</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r>
      <w:tr>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r>
      <w:tr>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r>
      <w:tr>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r>
      <w:tr>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r>
      <w:tr>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r>
    </w:tbl>
    <w:p>
      <w:pPr>
        <w:rPr>
          <w:rFonts w:ascii="宋体" w:hAnsi="宋体"/>
          <w:b/>
          <w:color w:val="auto"/>
          <w:kern w:val="0"/>
          <w:sz w:val="32"/>
          <w:highlight w:val="none"/>
        </w:rPr>
      </w:pPr>
    </w:p>
    <w:p>
      <w:pPr>
        <w:rPr>
          <w:rFonts w:ascii="宋体" w:hAnsi="宋体"/>
          <w:b/>
          <w:color w:val="auto"/>
          <w:kern w:val="0"/>
          <w:sz w:val="32"/>
          <w:highlight w:val="none"/>
        </w:rPr>
      </w:pPr>
      <w:r>
        <w:rPr>
          <w:rFonts w:hint="eastAsia" w:ascii="宋体" w:hAnsi="宋体"/>
          <w:b/>
          <w:color w:val="auto"/>
          <w:kern w:val="0"/>
          <w:sz w:val="32"/>
          <w:highlight w:val="none"/>
        </w:rPr>
        <w:t>参考格式4</w:t>
      </w:r>
    </w:p>
    <w:p>
      <w:pPr>
        <w:widowControl/>
        <w:jc w:val="center"/>
        <w:rPr>
          <w:rFonts w:ascii="宋体" w:hAnsi="宋体"/>
          <w:b/>
          <w:color w:val="auto"/>
          <w:kern w:val="0"/>
          <w:sz w:val="30"/>
          <w:highlight w:val="none"/>
        </w:rPr>
      </w:pPr>
      <w:r>
        <w:rPr>
          <w:rFonts w:hint="eastAsia" w:ascii="宋体" w:hAnsi="宋体"/>
          <w:b/>
          <w:color w:val="auto"/>
          <w:kern w:val="0"/>
          <w:sz w:val="30"/>
          <w:highlight w:val="none"/>
        </w:rPr>
        <w:t>拟投入本项目的主要团队成员情况表</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94"/>
        <w:gridCol w:w="1098"/>
        <w:gridCol w:w="747"/>
        <w:gridCol w:w="674"/>
        <w:gridCol w:w="1106"/>
        <w:gridCol w:w="314"/>
        <w:gridCol w:w="1439"/>
        <w:gridCol w:w="1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r>
              <w:rPr>
                <w:rFonts w:hint="eastAsia" w:ascii="宋体" w:hAnsi="宋体"/>
                <w:color w:val="auto"/>
                <w:sz w:val="24"/>
                <w:highlight w:val="none"/>
              </w:rPr>
              <w:t>姓</w:t>
            </w:r>
            <w:r>
              <w:rPr>
                <w:rFonts w:hint="eastAsia" w:ascii="宋体" w:hAnsi="宋体"/>
                <w:color w:val="auto"/>
                <w:sz w:val="24"/>
                <w:highlight w:val="none"/>
              </w:rPr>
              <w:tab/>
            </w:r>
            <w:r>
              <w:rPr>
                <w:rFonts w:hint="eastAsia" w:ascii="宋体" w:hAnsi="宋体"/>
                <w:color w:val="auto"/>
                <w:sz w:val="24"/>
                <w:highlight w:val="none"/>
              </w:rPr>
              <w:t>名</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r>
              <w:rPr>
                <w:rFonts w:hint="eastAsia" w:ascii="宋体" w:hAnsi="宋体"/>
                <w:color w:val="auto"/>
                <w:sz w:val="24"/>
                <w:highlight w:val="none"/>
              </w:rPr>
              <w:t>性</w:t>
            </w:r>
            <w:r>
              <w:rPr>
                <w:rFonts w:hint="eastAsia" w:ascii="宋体" w:hAnsi="宋体"/>
                <w:color w:val="auto"/>
                <w:sz w:val="24"/>
                <w:highlight w:val="none"/>
              </w:rPr>
              <w:tab/>
            </w:r>
            <w:r>
              <w:rPr>
                <w:rFonts w:hint="eastAsia" w:ascii="宋体" w:hAnsi="宋体"/>
                <w:color w:val="auto"/>
                <w:sz w:val="24"/>
                <w:highlight w:val="none"/>
              </w:rPr>
              <w:t>别</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rPr>
              <w:tab/>
            </w:r>
            <w:r>
              <w:rPr>
                <w:rFonts w:hint="eastAsia" w:ascii="宋体" w:hAnsi="宋体"/>
                <w:color w:val="auto"/>
                <w:sz w:val="24"/>
                <w:highlight w:val="none"/>
              </w:rPr>
              <w:t>龄</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r>
              <w:rPr>
                <w:rFonts w:hint="eastAsia" w:ascii="宋体" w:hAnsi="宋体"/>
                <w:color w:val="auto"/>
                <w:sz w:val="24"/>
                <w:highlight w:val="none"/>
              </w:rPr>
              <w:t>身份证号码</w:t>
            </w:r>
          </w:p>
        </w:tc>
        <w:tc>
          <w:tcPr>
            <w:tcW w:w="4233"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r>
              <w:rPr>
                <w:rFonts w:hint="eastAsia" w:ascii="宋体" w:hAnsi="宋体"/>
                <w:color w:val="auto"/>
                <w:sz w:val="24"/>
                <w:highlight w:val="none"/>
              </w:rPr>
              <w:t>学</w:t>
            </w:r>
            <w:r>
              <w:rPr>
                <w:rFonts w:hint="eastAsia" w:ascii="宋体" w:hAnsi="宋体"/>
                <w:color w:val="auto"/>
                <w:sz w:val="24"/>
                <w:highlight w:val="none"/>
              </w:rPr>
              <w:tab/>
            </w:r>
            <w:r>
              <w:rPr>
                <w:rFonts w:hint="eastAsia" w:ascii="宋体" w:hAnsi="宋体"/>
                <w:color w:val="auto"/>
                <w:sz w:val="24"/>
                <w:highlight w:val="none"/>
              </w:rPr>
              <w:t>历</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r>
              <w:rPr>
                <w:rFonts w:hint="eastAsia" w:ascii="宋体" w:hAnsi="宋体"/>
                <w:color w:val="auto"/>
                <w:sz w:val="24"/>
                <w:highlight w:val="none"/>
              </w:rPr>
              <w:t>拟任职务</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r>
              <w:rPr>
                <w:rFonts w:hint="eastAsia" w:ascii="宋体" w:hAnsi="宋体"/>
                <w:color w:val="auto"/>
                <w:sz w:val="24"/>
                <w:highlight w:val="none"/>
              </w:rPr>
              <w:t>职</w:t>
            </w:r>
            <w:r>
              <w:rPr>
                <w:rFonts w:hint="eastAsia" w:ascii="宋体" w:hAnsi="宋体"/>
                <w:color w:val="auto"/>
                <w:sz w:val="24"/>
                <w:highlight w:val="none"/>
              </w:rPr>
              <w:tab/>
            </w:r>
            <w:r>
              <w:rPr>
                <w:rFonts w:hint="eastAsia" w:ascii="宋体" w:hAnsi="宋体"/>
                <w:color w:val="auto"/>
                <w:sz w:val="24"/>
                <w:highlight w:val="none"/>
              </w:rPr>
              <w:t>称</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r>
              <w:rPr>
                <w:rFonts w:hint="eastAsia" w:ascii="宋体" w:hAnsi="宋体"/>
                <w:color w:val="auto"/>
                <w:sz w:val="24"/>
                <w:highlight w:val="none"/>
              </w:rPr>
              <w:t>证书编号</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r>
              <w:rPr>
                <w:rFonts w:hint="eastAsia" w:ascii="宋体" w:hAnsi="宋体"/>
                <w:color w:val="auto"/>
                <w:sz w:val="24"/>
                <w:highlight w:val="none"/>
              </w:rPr>
              <w:t>执业证书</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r>
              <w:rPr>
                <w:rFonts w:hint="eastAsia" w:ascii="宋体" w:hAnsi="宋体"/>
                <w:color w:val="auto"/>
                <w:sz w:val="24"/>
                <w:highlight w:val="none"/>
              </w:rPr>
              <w:t>证书编号</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r>
              <w:rPr>
                <w:rFonts w:hint="eastAsia" w:ascii="宋体" w:hAnsi="宋体"/>
                <w:color w:val="auto"/>
                <w:sz w:val="24"/>
                <w:highlight w:val="none"/>
              </w:rPr>
              <w:t>参加工作时间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r>
              <w:rPr>
                <w:rFonts w:hint="eastAsia" w:ascii="宋体" w:hAnsi="宋体"/>
                <w:color w:val="auto"/>
                <w:sz w:val="24"/>
                <w:highlight w:val="none"/>
              </w:rPr>
              <w:t>起止时间</w:t>
            </w: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r>
              <w:rPr>
                <w:rFonts w:hint="eastAsia" w:ascii="宋体" w:hAnsi="宋体"/>
                <w:color w:val="auto"/>
                <w:sz w:val="24"/>
                <w:highlight w:val="none"/>
              </w:rPr>
              <w:t>任职单位</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r>
              <w:rPr>
                <w:rFonts w:hint="eastAsia" w:ascii="宋体" w:hAnsi="宋体"/>
                <w:color w:val="auto"/>
                <w:sz w:val="24"/>
                <w:highlight w:val="none"/>
              </w:rPr>
              <w:t>职务</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lang w:eastAsia="zh-CN"/>
              </w:rPr>
            </w:pPr>
            <w:r>
              <w:rPr>
                <w:rFonts w:hint="eastAsia" w:ascii="宋体" w:hAnsi="宋体"/>
                <w:color w:val="auto"/>
                <w:sz w:val="24"/>
                <w:highlight w:val="none"/>
                <w:lang w:eastAsia="zh-CN"/>
              </w:rPr>
              <w:t>已成功实施的类似项目情况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r>
              <w:rPr>
                <w:rFonts w:hint="eastAsia" w:ascii="宋体" w:hAnsi="宋体"/>
                <w:color w:val="auto"/>
                <w:sz w:val="24"/>
                <w:highlight w:val="none"/>
              </w:rPr>
              <w:t>项目名称</w:t>
            </w: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r>
              <w:rPr>
                <w:rFonts w:hint="eastAsia" w:ascii="宋体" w:hAnsi="宋体"/>
                <w:color w:val="auto"/>
                <w:sz w:val="24"/>
                <w:highlight w:val="none"/>
              </w:rPr>
              <w:t>采购人</w:t>
            </w: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r>
              <w:rPr>
                <w:rFonts w:hint="eastAsia" w:ascii="宋体" w:hAnsi="宋体"/>
                <w:color w:val="auto"/>
                <w:sz w:val="24"/>
                <w:highlight w:val="none"/>
              </w:rPr>
              <w:t>起止年月</w:t>
            </w: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r>
              <w:rPr>
                <w:rFonts w:hint="eastAsia" w:ascii="宋体" w:hAnsi="宋体"/>
                <w:color w:val="auto"/>
                <w:sz w:val="24"/>
                <w:highlight w:val="none"/>
              </w:rPr>
              <w:t>该项目中任职</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r>
              <w:rPr>
                <w:rFonts w:hint="eastAsia" w:ascii="宋体" w:hAnsi="宋体"/>
                <w:color w:val="auto"/>
                <w:sz w:val="24"/>
                <w:highlight w:val="none"/>
              </w:rPr>
              <w:t>项目类型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ascii="宋体" w:hAnsi="宋体"/>
                <w:color w:val="auto"/>
                <w:sz w:val="24"/>
                <w:highlight w:val="none"/>
              </w:rPr>
            </w:pPr>
          </w:p>
        </w:tc>
      </w:tr>
    </w:tbl>
    <w:p>
      <w:pPr>
        <w:autoSpaceDE w:val="0"/>
        <w:autoSpaceDN w:val="0"/>
        <w:snapToGrid w:val="0"/>
        <w:spacing w:line="360" w:lineRule="auto"/>
        <w:rPr>
          <w:rFonts w:ascii="宋体" w:hAnsi="宋体"/>
          <w:b/>
          <w:color w:val="auto"/>
          <w:sz w:val="24"/>
          <w:highlight w:val="none"/>
        </w:rPr>
      </w:pPr>
      <w:r>
        <w:rPr>
          <w:rFonts w:hint="eastAsia" w:ascii="宋体" w:hAnsi="宋体"/>
          <w:b/>
          <w:color w:val="auto"/>
          <w:sz w:val="24"/>
          <w:highlight w:val="none"/>
        </w:rPr>
        <w:t>参考格式，可酌情调整补充</w:t>
      </w:r>
    </w:p>
    <w:p>
      <w:pPr>
        <w:rPr>
          <w:rFonts w:ascii="宋体" w:hAnsi="宋体"/>
          <w:b/>
          <w:color w:val="auto"/>
          <w:kern w:val="0"/>
          <w:sz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19"/>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1150"/>
        <w:gridCol w:w="1301"/>
        <w:gridCol w:w="2865"/>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货物名称</w:t>
            </w:r>
          </w:p>
        </w:tc>
        <w:tc>
          <w:tcPr>
            <w:tcW w:w="11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ind w:right="420"/>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2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364"/>
        <w:gridCol w:w="872"/>
        <w:gridCol w:w="3225"/>
        <w:gridCol w:w="313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4097" w:type="dxa"/>
            <w:gridSpan w:val="2"/>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pPr>
              <w:jc w:val="center"/>
              <w:rPr>
                <w:rFonts w:ascii="宋体" w:hAnsi="宋体" w:cs="宋体"/>
                <w:b/>
                <w:bCs/>
                <w:color w:val="auto"/>
                <w:sz w:val="24"/>
                <w:highlight w:val="none"/>
              </w:rPr>
            </w:pPr>
            <w:r>
              <w:rPr>
                <w:rFonts w:hint="eastAsia" w:ascii="宋体" w:hAnsi="宋体" w:cs="宋体"/>
                <w:b/>
                <w:bCs/>
                <w:color w:val="auto"/>
                <w:sz w:val="24"/>
                <w:highlight w:val="none"/>
              </w:rPr>
              <w:t>商务偏离表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4097" w:type="dxa"/>
            <w:gridSpan w:val="2"/>
          </w:tcPr>
          <w:p>
            <w:pPr>
              <w:jc w:val="center"/>
              <w:rPr>
                <w:rFonts w:ascii="宋体" w:hAnsi="宋体" w:cs="宋体"/>
                <w:b/>
                <w:color w:val="auto"/>
                <w:kern w:val="0"/>
                <w:sz w:val="32"/>
                <w:szCs w:val="32"/>
                <w:highlight w:val="none"/>
              </w:rPr>
            </w:pPr>
          </w:p>
        </w:tc>
        <w:tc>
          <w:tcPr>
            <w:tcW w:w="3132"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4097" w:type="dxa"/>
            <w:gridSpan w:val="2"/>
          </w:tcPr>
          <w:p>
            <w:pPr>
              <w:jc w:val="center"/>
              <w:rPr>
                <w:rFonts w:ascii="宋体" w:hAnsi="宋体" w:cs="宋体"/>
                <w:b/>
                <w:color w:val="auto"/>
                <w:kern w:val="0"/>
                <w:sz w:val="32"/>
                <w:szCs w:val="32"/>
                <w:highlight w:val="none"/>
              </w:rPr>
            </w:pPr>
          </w:p>
        </w:tc>
        <w:tc>
          <w:tcPr>
            <w:tcW w:w="3132"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4097" w:type="dxa"/>
            <w:gridSpan w:val="2"/>
          </w:tcPr>
          <w:p>
            <w:pPr>
              <w:jc w:val="center"/>
              <w:rPr>
                <w:rFonts w:ascii="宋体" w:hAnsi="宋体" w:cs="宋体"/>
                <w:b/>
                <w:color w:val="auto"/>
                <w:kern w:val="0"/>
                <w:sz w:val="32"/>
                <w:szCs w:val="32"/>
                <w:highlight w:val="none"/>
              </w:rPr>
            </w:pPr>
          </w:p>
        </w:tc>
        <w:tc>
          <w:tcPr>
            <w:tcW w:w="3132"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pPr>
              <w:jc w:val="center"/>
              <w:rPr>
                <w:rFonts w:ascii="宋体" w:hAnsi="宋体" w:cs="宋体"/>
                <w:b/>
                <w:color w:val="auto"/>
                <w:kern w:val="0"/>
                <w:sz w:val="32"/>
                <w:szCs w:val="32"/>
                <w:highlight w:val="none"/>
              </w:rPr>
            </w:pPr>
            <w:r>
              <w:rPr>
                <w:rFonts w:hint="eastAsia" w:ascii="宋体" w:hAnsi="宋体" w:cs="宋体"/>
                <w:b/>
                <w:bCs/>
                <w:color w:val="auto"/>
                <w:sz w:val="24"/>
                <w:highlight w:val="none"/>
              </w:rPr>
              <w:t>技术偏离表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36" w:type="dxa"/>
            <w:gridSpan w:val="2"/>
          </w:tcPr>
          <w:p>
            <w:pPr>
              <w:jc w:val="center"/>
              <w:rPr>
                <w:rFonts w:ascii="宋体" w:hAnsi="宋体" w:cs="宋体"/>
                <w:b/>
                <w:bCs/>
                <w:color w:val="auto"/>
                <w:sz w:val="24"/>
                <w:highlight w:val="none"/>
              </w:rPr>
            </w:pPr>
            <w:r>
              <w:rPr>
                <w:rFonts w:hint="eastAsia" w:ascii="宋体" w:hAnsi="宋体" w:cs="宋体"/>
                <w:b/>
                <w:bCs/>
                <w:color w:val="auto"/>
                <w:sz w:val="24"/>
                <w:highlight w:val="none"/>
              </w:rPr>
              <w:t>货物名称/型号</w:t>
            </w:r>
          </w:p>
        </w:tc>
        <w:tc>
          <w:tcPr>
            <w:tcW w:w="3225"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236" w:type="dxa"/>
            <w:gridSpan w:val="2"/>
          </w:tcPr>
          <w:p>
            <w:pPr>
              <w:jc w:val="center"/>
              <w:rPr>
                <w:rFonts w:ascii="宋体" w:hAnsi="宋体" w:cs="宋体"/>
                <w:b/>
                <w:color w:val="auto"/>
                <w:kern w:val="0"/>
                <w:sz w:val="32"/>
                <w:szCs w:val="32"/>
                <w:highlight w:val="none"/>
              </w:rPr>
            </w:pPr>
          </w:p>
        </w:tc>
        <w:tc>
          <w:tcPr>
            <w:tcW w:w="3225" w:type="dxa"/>
          </w:tcPr>
          <w:p>
            <w:pPr>
              <w:jc w:val="center"/>
              <w:rPr>
                <w:rFonts w:ascii="宋体" w:hAnsi="宋体" w:cs="宋体"/>
                <w:b/>
                <w:color w:val="auto"/>
                <w:kern w:val="0"/>
                <w:sz w:val="32"/>
                <w:szCs w:val="32"/>
                <w:highlight w:val="none"/>
              </w:rPr>
            </w:pPr>
          </w:p>
        </w:tc>
        <w:tc>
          <w:tcPr>
            <w:tcW w:w="3132"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236" w:type="dxa"/>
            <w:gridSpan w:val="2"/>
          </w:tcPr>
          <w:p>
            <w:pPr>
              <w:jc w:val="center"/>
              <w:rPr>
                <w:rFonts w:ascii="宋体" w:hAnsi="宋体" w:cs="宋体"/>
                <w:b/>
                <w:color w:val="auto"/>
                <w:kern w:val="0"/>
                <w:sz w:val="32"/>
                <w:szCs w:val="32"/>
                <w:highlight w:val="none"/>
              </w:rPr>
            </w:pPr>
          </w:p>
        </w:tc>
        <w:tc>
          <w:tcPr>
            <w:tcW w:w="3225" w:type="dxa"/>
          </w:tcPr>
          <w:p>
            <w:pPr>
              <w:jc w:val="center"/>
              <w:rPr>
                <w:rFonts w:ascii="宋体" w:hAnsi="宋体" w:cs="宋体"/>
                <w:b/>
                <w:color w:val="auto"/>
                <w:kern w:val="0"/>
                <w:sz w:val="32"/>
                <w:szCs w:val="32"/>
                <w:highlight w:val="none"/>
              </w:rPr>
            </w:pPr>
          </w:p>
        </w:tc>
        <w:tc>
          <w:tcPr>
            <w:tcW w:w="3132"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236" w:type="dxa"/>
            <w:gridSpan w:val="2"/>
          </w:tcPr>
          <w:p>
            <w:pPr>
              <w:jc w:val="center"/>
              <w:rPr>
                <w:rFonts w:ascii="宋体" w:hAnsi="宋体" w:cs="宋体"/>
                <w:b/>
                <w:color w:val="auto"/>
                <w:kern w:val="0"/>
                <w:sz w:val="32"/>
                <w:szCs w:val="32"/>
                <w:highlight w:val="none"/>
              </w:rPr>
            </w:pPr>
          </w:p>
        </w:tc>
        <w:tc>
          <w:tcPr>
            <w:tcW w:w="3225" w:type="dxa"/>
          </w:tcPr>
          <w:p>
            <w:pPr>
              <w:jc w:val="center"/>
              <w:rPr>
                <w:rFonts w:ascii="宋体" w:hAnsi="宋体" w:cs="宋体"/>
                <w:b/>
                <w:color w:val="auto"/>
                <w:kern w:val="0"/>
                <w:sz w:val="32"/>
                <w:szCs w:val="32"/>
                <w:highlight w:val="none"/>
              </w:rPr>
            </w:pPr>
          </w:p>
        </w:tc>
        <w:tc>
          <w:tcPr>
            <w:tcW w:w="3132"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投标人保证：除商务技术偏离表列出的偏离外，投标人响应招标文件的全部要求。有佐证材料的请标明佐证材料页码。</w:t>
      </w:r>
    </w:p>
    <w:p>
      <w:pPr>
        <w:spacing w:line="360" w:lineRule="auto"/>
        <w:jc w:val="center"/>
        <w:rPr>
          <w:rFonts w:ascii="宋体" w:hAnsi="宋体" w:cs="宋体"/>
          <w:b/>
          <w:color w:val="auto"/>
          <w:kern w:val="0"/>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pPr>
        <w:spacing w:line="360" w:lineRule="auto"/>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pPr>
        <w:adjustRightInd/>
        <w:snapToGrid w:val="0"/>
        <w:spacing w:line="360" w:lineRule="auto"/>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浙江省杭州第十一中学、杭州洲源招标代理有限公司：</w:t>
      </w:r>
    </w:p>
    <w:p>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我单位响应你单位项目招标要求参加投标。在这次投标过程中和中标后，我们将严格遵守国家法律法规要求，并郑重承诺：</w:t>
      </w:r>
    </w:p>
    <w:p>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一、不向项目有关人员及部门赠送礼金礼物、有价证券、回扣以及中介费、介绍费、咨询费等好处费； </w:t>
      </w:r>
    </w:p>
    <w:p>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二、不为项目有关人员及部门报销应由你方单位或个人支付的费用； </w:t>
      </w:r>
    </w:p>
    <w:p>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三、不向项目有关人员及部门提供有可能影响公正的宴请和健身娱乐等活动； </w:t>
      </w:r>
    </w:p>
    <w:p>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四、不为项目有关人员及部门出国（境）、旅游等提供方便；</w:t>
      </w:r>
    </w:p>
    <w:p>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五、不为项目有关人员个人装修住房、婚丧嫁娶、配偶子女工作安排等提供</w:t>
      </w:r>
    </w:p>
    <w:p>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好处；</w:t>
      </w:r>
    </w:p>
    <w:p>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六、严格遵守《中华人民共和国政府采购法》、《中华人民共和国招标投标法》、《中华人民共和国民法典》等法律法规，诚实守信，合法经营，坚决抵制各种违法违纪行为。 </w:t>
      </w:r>
    </w:p>
    <w:p>
      <w:pPr>
        <w:adjustRightInd/>
        <w:snapToGrid w:val="0"/>
        <w:spacing w:line="360" w:lineRule="auto"/>
        <w:ind w:firstLine="424" w:firstLineChars="177"/>
        <w:rPr>
          <w:rFonts w:ascii="宋体" w:hAnsi="宋体" w:cs="宋体"/>
          <w:color w:val="auto"/>
          <w:kern w:val="0"/>
          <w:sz w:val="24"/>
          <w:highlight w:val="none"/>
          <w:lang w:val="zh-CN"/>
        </w:rPr>
      </w:pPr>
      <w:r>
        <w:rPr>
          <w:rFonts w:hint="eastAsia" w:ascii="宋体" w:hAnsi="宋体" w:cs="仿宋_GB2312"/>
          <w:snapToGrid w:val="0"/>
          <w:color w:val="auto"/>
          <w:kern w:val="0"/>
          <w:sz w:val="24"/>
          <w:szCs w:val="20"/>
          <w:highlight w:val="none"/>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djustRightInd/>
        <w:snapToGrid w:val="0"/>
        <w:spacing w:line="336" w:lineRule="auto"/>
        <w:ind w:firstLine="4915" w:firstLineChars="2048"/>
        <w:rPr>
          <w:rFonts w:ascii="宋体" w:hAnsi="宋体" w:cs="宋体"/>
          <w:color w:val="auto"/>
          <w:kern w:val="0"/>
          <w:sz w:val="24"/>
          <w:highlight w:val="none"/>
          <w:lang w:val="zh-CN"/>
        </w:rPr>
      </w:pPr>
    </w:p>
    <w:p>
      <w:pPr>
        <w:adjustRightInd/>
        <w:snapToGrid w:val="0"/>
        <w:spacing w:line="336" w:lineRule="auto"/>
        <w:ind w:firstLine="4915" w:firstLineChars="2048"/>
        <w:rPr>
          <w:rFonts w:ascii="宋体" w:hAnsi="宋体" w:cs="宋体"/>
          <w:color w:val="auto"/>
          <w:kern w:val="0"/>
          <w:sz w:val="24"/>
          <w:highlight w:val="none"/>
          <w:lang w:val="zh-CN"/>
        </w:rPr>
      </w:pPr>
    </w:p>
    <w:p>
      <w:pPr>
        <w:adjustRightInd/>
        <w:snapToGrid w:val="0"/>
        <w:spacing w:line="336" w:lineRule="auto"/>
        <w:ind w:firstLine="4915" w:firstLineChars="2048"/>
        <w:rPr>
          <w:rFonts w:ascii="宋体" w:hAnsi="宋体" w:cs="仿宋_GB2312"/>
          <w:snapToGrid w:val="0"/>
          <w:color w:val="auto"/>
          <w:kern w:val="0"/>
          <w:sz w:val="24"/>
          <w:szCs w:val="20"/>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11"/>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pPr>
        <w:numPr>
          <w:ilvl w:val="0"/>
          <w:numId w:val="11"/>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4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4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浙江省杭州第十一中学、杭州洲源招标代理有限公司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德胜教学楼多联机制冷设备改造</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rPr>
        <w:t>HSYZ-2025-023】的实施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19"/>
        <w:tblW w:w="14796"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17"/>
        <w:gridCol w:w="1842"/>
        <w:gridCol w:w="3117"/>
        <w:gridCol w:w="993"/>
        <w:gridCol w:w="1558"/>
        <w:gridCol w:w="1988"/>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2" w:type="dxa"/>
          </w:tcPr>
          <w:p>
            <w:pPr>
              <w:spacing w:line="360" w:lineRule="auto"/>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6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2" w:type="dxa"/>
            <w:vAlign w:val="center"/>
          </w:tcPr>
          <w:p>
            <w:pPr>
              <w:snapToGrid w:val="0"/>
              <w:spacing w:line="360" w:lineRule="auto"/>
              <w:jc w:val="center"/>
              <w:rPr>
                <w:rFonts w:ascii="宋体" w:hAnsi="宋体" w:cs="宋体"/>
                <w:color w:val="auto"/>
                <w:sz w:val="24"/>
                <w:highlight w:val="none"/>
              </w:rPr>
            </w:pPr>
          </w:p>
        </w:tc>
        <w:tc>
          <w:tcPr>
            <w:tcW w:w="3117"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8" w:type="dxa"/>
            <w:vAlign w:val="center"/>
          </w:tcPr>
          <w:p>
            <w:pPr>
              <w:spacing w:line="360" w:lineRule="auto"/>
              <w:jc w:val="center"/>
              <w:rPr>
                <w:rFonts w:ascii="宋体" w:hAnsi="宋体" w:cs="宋体"/>
                <w:color w:val="auto"/>
                <w:sz w:val="24"/>
                <w:highlight w:val="none"/>
              </w:rPr>
            </w:pPr>
          </w:p>
        </w:tc>
        <w:tc>
          <w:tcPr>
            <w:tcW w:w="1988" w:type="dxa"/>
            <w:vAlign w:val="center"/>
          </w:tcPr>
          <w:p>
            <w:pPr>
              <w:spacing w:line="360" w:lineRule="auto"/>
              <w:jc w:val="center"/>
              <w:rPr>
                <w:rFonts w:ascii="宋体" w:hAnsi="宋体" w:cs="宋体"/>
                <w:color w:val="auto"/>
                <w:sz w:val="24"/>
                <w:highlight w:val="none"/>
              </w:rPr>
            </w:pPr>
          </w:p>
        </w:tc>
        <w:tc>
          <w:tcPr>
            <w:tcW w:w="3118"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2" w:type="dxa"/>
            <w:vAlign w:val="center"/>
          </w:tcPr>
          <w:p>
            <w:pPr>
              <w:snapToGrid w:val="0"/>
              <w:spacing w:line="360" w:lineRule="auto"/>
              <w:jc w:val="center"/>
              <w:rPr>
                <w:rFonts w:ascii="宋体" w:hAnsi="宋体" w:cs="宋体"/>
                <w:color w:val="auto"/>
                <w:sz w:val="24"/>
                <w:highlight w:val="none"/>
              </w:rPr>
            </w:pPr>
          </w:p>
        </w:tc>
        <w:tc>
          <w:tcPr>
            <w:tcW w:w="3117"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8" w:type="dxa"/>
            <w:vAlign w:val="center"/>
          </w:tcPr>
          <w:p>
            <w:pPr>
              <w:spacing w:line="360" w:lineRule="auto"/>
              <w:jc w:val="center"/>
              <w:rPr>
                <w:rFonts w:ascii="宋体" w:hAnsi="宋体" w:cs="宋体"/>
                <w:color w:val="auto"/>
                <w:sz w:val="24"/>
                <w:highlight w:val="none"/>
              </w:rPr>
            </w:pPr>
          </w:p>
        </w:tc>
        <w:tc>
          <w:tcPr>
            <w:tcW w:w="1988" w:type="dxa"/>
            <w:vAlign w:val="center"/>
          </w:tcPr>
          <w:p>
            <w:pPr>
              <w:spacing w:line="360" w:lineRule="auto"/>
              <w:jc w:val="center"/>
              <w:rPr>
                <w:rFonts w:ascii="宋体" w:hAnsi="宋体" w:cs="宋体"/>
                <w:color w:val="auto"/>
                <w:sz w:val="24"/>
                <w:highlight w:val="none"/>
              </w:rPr>
            </w:pPr>
          </w:p>
        </w:tc>
        <w:tc>
          <w:tcPr>
            <w:tcW w:w="3118"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2" w:type="dxa"/>
            <w:vAlign w:val="center"/>
          </w:tcPr>
          <w:p>
            <w:pPr>
              <w:snapToGrid w:val="0"/>
              <w:spacing w:line="360" w:lineRule="auto"/>
              <w:jc w:val="center"/>
              <w:rPr>
                <w:rFonts w:ascii="宋体" w:hAnsi="宋体" w:cs="宋体"/>
                <w:color w:val="auto"/>
                <w:sz w:val="24"/>
                <w:highlight w:val="none"/>
              </w:rPr>
            </w:pPr>
          </w:p>
        </w:tc>
        <w:tc>
          <w:tcPr>
            <w:tcW w:w="3117"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8" w:type="dxa"/>
            <w:vAlign w:val="center"/>
          </w:tcPr>
          <w:p>
            <w:pPr>
              <w:spacing w:line="360" w:lineRule="auto"/>
              <w:jc w:val="center"/>
              <w:rPr>
                <w:rFonts w:ascii="宋体" w:hAnsi="宋体" w:cs="宋体"/>
                <w:color w:val="auto"/>
                <w:sz w:val="24"/>
                <w:highlight w:val="none"/>
              </w:rPr>
            </w:pPr>
          </w:p>
        </w:tc>
        <w:tc>
          <w:tcPr>
            <w:tcW w:w="1988" w:type="dxa"/>
            <w:vAlign w:val="center"/>
          </w:tcPr>
          <w:p>
            <w:pPr>
              <w:spacing w:line="360" w:lineRule="auto"/>
              <w:jc w:val="center"/>
              <w:rPr>
                <w:rFonts w:ascii="宋体" w:hAnsi="宋体" w:cs="宋体"/>
                <w:color w:val="auto"/>
                <w:sz w:val="24"/>
                <w:highlight w:val="none"/>
              </w:rPr>
            </w:pPr>
          </w:p>
        </w:tc>
        <w:tc>
          <w:tcPr>
            <w:tcW w:w="311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2" w:type="dxa"/>
            <w:vAlign w:val="center"/>
          </w:tcPr>
          <w:p>
            <w:pPr>
              <w:snapToGrid w:val="0"/>
              <w:spacing w:line="360" w:lineRule="auto"/>
              <w:jc w:val="center"/>
              <w:rPr>
                <w:rFonts w:ascii="宋体" w:hAnsi="宋体" w:cs="宋体"/>
                <w:color w:val="auto"/>
                <w:sz w:val="24"/>
                <w:highlight w:val="none"/>
              </w:rPr>
            </w:pPr>
          </w:p>
        </w:tc>
        <w:tc>
          <w:tcPr>
            <w:tcW w:w="3117"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8" w:type="dxa"/>
            <w:vAlign w:val="center"/>
          </w:tcPr>
          <w:p>
            <w:pPr>
              <w:spacing w:line="360" w:lineRule="auto"/>
              <w:jc w:val="center"/>
              <w:rPr>
                <w:rFonts w:ascii="宋体" w:hAnsi="宋体" w:cs="宋体"/>
                <w:color w:val="auto"/>
                <w:sz w:val="24"/>
                <w:highlight w:val="none"/>
              </w:rPr>
            </w:pPr>
          </w:p>
        </w:tc>
        <w:tc>
          <w:tcPr>
            <w:tcW w:w="1988" w:type="dxa"/>
            <w:vAlign w:val="center"/>
          </w:tcPr>
          <w:p>
            <w:pPr>
              <w:spacing w:line="360" w:lineRule="auto"/>
              <w:jc w:val="center"/>
              <w:rPr>
                <w:rFonts w:ascii="宋体" w:hAnsi="宋体" w:cs="宋体"/>
                <w:color w:val="auto"/>
                <w:sz w:val="24"/>
                <w:highlight w:val="none"/>
              </w:rPr>
            </w:pPr>
          </w:p>
        </w:tc>
        <w:tc>
          <w:tcPr>
            <w:tcW w:w="3118"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2" w:type="dxa"/>
            <w:vAlign w:val="center"/>
          </w:tcPr>
          <w:p>
            <w:pPr>
              <w:snapToGrid w:val="0"/>
              <w:spacing w:line="360" w:lineRule="auto"/>
              <w:jc w:val="center"/>
              <w:rPr>
                <w:rFonts w:ascii="宋体" w:hAnsi="宋体" w:cs="宋体"/>
                <w:color w:val="auto"/>
                <w:sz w:val="24"/>
                <w:highlight w:val="none"/>
              </w:rPr>
            </w:pPr>
          </w:p>
        </w:tc>
        <w:tc>
          <w:tcPr>
            <w:tcW w:w="3117"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8" w:type="dxa"/>
            <w:vAlign w:val="center"/>
          </w:tcPr>
          <w:p>
            <w:pPr>
              <w:spacing w:line="360" w:lineRule="auto"/>
              <w:jc w:val="center"/>
              <w:rPr>
                <w:rFonts w:ascii="宋体" w:hAnsi="宋体" w:cs="宋体"/>
                <w:color w:val="auto"/>
                <w:sz w:val="24"/>
                <w:highlight w:val="none"/>
              </w:rPr>
            </w:pPr>
          </w:p>
        </w:tc>
        <w:tc>
          <w:tcPr>
            <w:tcW w:w="1988" w:type="dxa"/>
            <w:vAlign w:val="center"/>
          </w:tcPr>
          <w:p>
            <w:pPr>
              <w:spacing w:line="360" w:lineRule="auto"/>
              <w:jc w:val="center"/>
              <w:rPr>
                <w:rFonts w:ascii="宋体" w:hAnsi="宋体" w:cs="宋体"/>
                <w:color w:val="auto"/>
                <w:sz w:val="24"/>
                <w:highlight w:val="none"/>
              </w:rPr>
            </w:pPr>
          </w:p>
        </w:tc>
        <w:tc>
          <w:tcPr>
            <w:tcW w:w="3118"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022"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6" w:type="dxa"/>
            <w:gridSpan w:val="4"/>
            <w:vAlign w:val="center"/>
          </w:tcPr>
          <w:p>
            <w:pPr>
              <w:spacing w:line="360" w:lineRule="auto"/>
              <w:jc w:val="center"/>
              <w:rPr>
                <w:rFonts w:ascii="宋体" w:hAnsi="宋体" w:cs="宋体"/>
                <w:color w:val="auto"/>
                <w:sz w:val="24"/>
                <w:highlight w:val="none"/>
              </w:rPr>
            </w:pPr>
          </w:p>
        </w:tc>
        <w:tc>
          <w:tcPr>
            <w:tcW w:w="311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实施期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022"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6" w:type="dxa"/>
            <w:gridSpan w:val="4"/>
            <w:vAlign w:val="center"/>
          </w:tcPr>
          <w:p>
            <w:pPr>
              <w:spacing w:line="360" w:lineRule="auto"/>
              <w:jc w:val="center"/>
              <w:rPr>
                <w:rFonts w:ascii="宋体" w:hAnsi="宋体" w:cs="宋体"/>
                <w:color w:val="auto"/>
                <w:sz w:val="24"/>
                <w:highlight w:val="none"/>
              </w:rPr>
            </w:pPr>
          </w:p>
        </w:tc>
        <w:tc>
          <w:tcPr>
            <w:tcW w:w="3118" w:type="dxa"/>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若上述表格不足以说明报价情况，可附报价明细表做进一步补充说明</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bCs/>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5、项目负责人应与商务技术文件中一致</w:t>
      </w:r>
      <w:r>
        <w:rPr>
          <w:rFonts w:hint="eastAsia" w:ascii="宋体" w:hAnsi="宋体" w:cs="宋体"/>
          <w:color w:val="auto"/>
          <w:kern w:val="0"/>
          <w:sz w:val="24"/>
          <w:highlight w:val="none"/>
          <w:lang w:val="zh-CN"/>
        </w:rPr>
        <w:t>。</w:t>
      </w:r>
    </w:p>
    <w:p>
      <w:pPr>
        <w:pStyle w:val="2"/>
        <w:rPr>
          <w:color w:val="auto"/>
          <w:highlight w:val="none"/>
          <w:lang w:val="zh-CN"/>
        </w:rPr>
      </w:pPr>
    </w:p>
    <w:p>
      <w:pPr>
        <w:spacing w:line="360" w:lineRule="auto"/>
        <w:ind w:firstLine="482" w:firstLineChars="200"/>
        <w:rPr>
          <w:rFonts w:ascii="宋体" w:hAnsi="宋体" w:cs="宋体"/>
          <w:b/>
          <w:color w:val="auto"/>
          <w:kern w:val="0"/>
          <w:sz w:val="24"/>
          <w:highlight w:val="none"/>
        </w:rPr>
      </w:pPr>
    </w:p>
    <w:p>
      <w:pPr>
        <w:pStyle w:val="4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4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40"/>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pPr>
        <w:pStyle w:val="40"/>
        <w:keepNext w:val="0"/>
        <w:pageBreakBefore w:val="0"/>
        <w:tabs>
          <w:tab w:val="clear" w:pos="720"/>
        </w:tabs>
        <w:snapToGrid w:val="0"/>
        <w:spacing w:before="120" w:after="120"/>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21" w:name="_Toc465665161"/>
      <w:r>
        <w:rPr>
          <w:rFonts w:hint="eastAsia" w:ascii="宋体" w:hAnsi="宋体" w:cs="宋体"/>
          <w:color w:val="auto"/>
          <w:highlight w:val="none"/>
        </w:rPr>
        <w:t>附件</w:t>
      </w:r>
      <w:bookmarkEnd w:id="521"/>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22" w:name="OLE_LINK14"/>
      <w:bookmarkStart w:id="523" w:name="OLE_LINK13"/>
      <w:r>
        <w:rPr>
          <w:rFonts w:hint="eastAsia" w:ascii="宋体" w:hAnsi="宋体" w:cs="宋体"/>
          <w:b/>
          <w:color w:val="auto"/>
          <w:spacing w:val="6"/>
          <w:sz w:val="32"/>
          <w:szCs w:val="32"/>
          <w:highlight w:val="none"/>
        </w:rPr>
        <w:t>残疾人福利性单位声明函</w:t>
      </w:r>
    </w:p>
    <w:bookmarkEnd w:id="522"/>
    <w:bookmarkEnd w:id="523"/>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3600" w:firstLineChars="150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rPr>
          <w:rFonts w:ascii="宋体" w:hAnsi="宋体" w:cs="宋体"/>
          <w:b/>
          <w:color w:val="auto"/>
          <w:sz w:val="24"/>
          <w:highlight w:val="none"/>
        </w:rPr>
      </w:pPr>
      <w:r>
        <w:rPr>
          <w:rFonts w:hint="eastAsia" w:ascii="宋体" w:hAnsi="宋体" w:cs="宋体"/>
          <w:b/>
          <w:color w:val="auto"/>
          <w:sz w:val="24"/>
          <w:highlight w:val="none"/>
        </w:rPr>
        <w:br w:type="page"/>
      </w: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采购人/代理机构于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浙江省杭州第十一中学、杭州洲源招标代理有限公司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你方组织的德胜教学楼多联机制冷设备改造【项目编号：HSYZ-2025-023】</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b/>
          <w:bCs/>
          <w:color w:val="auto"/>
          <w:sz w:val="24"/>
          <w:highlight w:val="none"/>
        </w:rPr>
      </w:pPr>
    </w:p>
    <w:p>
      <w:pPr>
        <w:rPr>
          <w:rFonts w:ascii="宋体" w:hAnsi="宋体" w:cs="宋体"/>
          <w:b/>
          <w:bCs/>
          <w:color w:val="auto"/>
          <w:sz w:val="24"/>
          <w:highlight w:val="none"/>
        </w:rPr>
      </w:pP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6438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45"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209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&#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HP+MHYAAAACgEAAA8AAAAAAAAAAQAgAAAAIgAAAGRy&#10;cy9kb3ducmV2LnhtbFBLAQIUABQAAAAIAIdO4kCNv3ZSzAEAAMYDAAAOAAAAAAAAAAEAIAAAACcB&#10;AABkcnMvZTJvRG9jLnhtbFBLBQYAAAAABgAGAFkBAABlBQ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6540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46"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107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&#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mEwR3c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pStyle w:val="5"/>
        <w:rPr>
          <w:color w:val="auto"/>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0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德胜教学楼多联机制冷设备改造【项目编号：HSYZ-2025-023】</w:t>
      </w:r>
      <w:r>
        <w:rPr>
          <w:rFonts w:hint="eastAsia" w:ascii="宋体" w:hAnsi="宋体" w:cs="宋体"/>
          <w:color w:val="auto"/>
          <w:kern w:val="0"/>
          <w:sz w:val="24"/>
          <w:highlight w:val="none"/>
          <w:lang w:val="zh-CN"/>
        </w:rPr>
        <w:t xml:space="preserve">投标。 </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0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2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2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25"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w:t>
      </w:r>
      <w:r>
        <w:rPr>
          <w:rFonts w:hint="eastAsia" w:ascii="宋体" w:hAnsi="宋体" w:cs="宋体"/>
          <w:b/>
          <w:color w:val="auto"/>
          <w:kern w:val="0"/>
          <w:sz w:val="24"/>
          <w:highlight w:val="none"/>
        </w:rPr>
        <w:t>前附表</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bookmarkEnd w:id="525"/>
      <w:r>
        <w:rPr>
          <w:rFonts w:hint="eastAsia" w:ascii="宋体" w:hAnsi="宋体" w:cs="宋体"/>
          <w:b/>
          <w:color w:val="auto"/>
          <w:kern w:val="0"/>
          <w:sz w:val="24"/>
          <w:highlight w:val="none"/>
          <w:lang w:val="zh-CN"/>
        </w:rPr>
        <w:t>）</w:t>
      </w:r>
    </w:p>
    <w:p>
      <w:pPr>
        <w:spacing w:line="30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6"/>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0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0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00" w:lineRule="auto"/>
        <w:ind w:right="420"/>
        <w:rPr>
          <w:rFonts w:ascii="宋体" w:hAnsi="宋体" w:cs="宋体"/>
          <w:b/>
          <w:color w:val="auto"/>
          <w:spacing w:val="6"/>
          <w:sz w:val="32"/>
          <w:szCs w:val="32"/>
          <w:highlight w:val="none"/>
        </w:rPr>
      </w:pPr>
      <w:r>
        <w:rPr>
          <w:rFonts w:hint="eastAsia" w:ascii="宋体" w:hAnsi="宋体" w:cs="宋体"/>
          <w:color w:val="auto"/>
          <w:sz w:val="24"/>
          <w:highlight w:val="none"/>
        </w:rPr>
        <w:t>注：按本格式和要求提供。</w:t>
      </w: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0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德胜教学楼多联机制冷设备改造【项目编号：HSYZ-2025-023】</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spacing w:line="30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pacing w:line="30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0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w:t>
      </w:r>
      <w:r>
        <w:rPr>
          <w:rFonts w:hint="eastAsia" w:ascii="宋体" w:hAnsi="宋体" w:cs="宋体"/>
          <w:b/>
          <w:color w:val="auto"/>
          <w:kern w:val="0"/>
          <w:sz w:val="24"/>
          <w:highlight w:val="none"/>
        </w:rPr>
        <w:t>前附表</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0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0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0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0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00" w:lineRule="auto"/>
        <w:ind w:left="5758" w:leftChars="342" w:hanging="5040" w:hangingChars="2100"/>
        <w:jc w:val="left"/>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pPr>
        <w:snapToGrid w:val="0"/>
        <w:spacing w:line="300" w:lineRule="auto"/>
        <w:ind w:left="5758" w:leftChars="342" w:hanging="5040" w:hangingChars="2100"/>
        <w:jc w:val="center"/>
        <w:rPr>
          <w:rFonts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投标人名称(电子签名)：</w:t>
      </w:r>
    </w:p>
    <w:p>
      <w:pPr>
        <w:snapToGrid w:val="0"/>
        <w:spacing w:line="30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00" w:lineRule="auto"/>
        <w:jc w:val="center"/>
        <w:rPr>
          <w:rFonts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w:t>
      </w:r>
    </w:p>
    <w:p>
      <w:pPr>
        <w:spacing w:line="300" w:lineRule="auto"/>
        <w:jc w:val="center"/>
        <w:rPr>
          <w:rFonts w:ascii="宋体" w:hAnsi="宋体" w:cs="宋体"/>
          <w:b/>
          <w:color w:val="auto"/>
          <w:spacing w:val="6"/>
          <w:sz w:val="32"/>
          <w:szCs w:val="32"/>
          <w:highlight w:val="none"/>
        </w:rPr>
        <w:sectPr>
          <w:headerReference r:id="rId23" w:type="first"/>
          <w:footerReference r:id="rId25" w:type="first"/>
          <w:headerReference r:id="rId22" w:type="default"/>
          <w:footerReference r:id="rId24" w:type="default"/>
          <w:pgSz w:w="11906" w:h="16838"/>
          <w:pgMar w:top="1276" w:right="1417" w:bottom="1247" w:left="1417" w:header="851" w:footer="992" w:gutter="0"/>
          <w:cols w:space="0" w:num="1"/>
          <w:titlePg/>
          <w:docGrid w:linePitch="312" w:charSpace="0"/>
        </w:sect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b/>
          <w:color w:val="auto"/>
          <w:sz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b/>
          <w:color w:val="auto"/>
          <w:sz w:val="32"/>
          <w:highlight w:val="none"/>
        </w:rPr>
        <w:t>中小企业声明函（货物）</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本公司（联合体）郑重声明，根据《政府采购促进中小企业发展管理办法》（财库﹝2020﹞46 号）的规定，本公司（联合体）参加 </w:t>
      </w:r>
      <w:r>
        <w:rPr>
          <w:rFonts w:hint="eastAsia" w:ascii="宋体" w:hAnsi="宋体"/>
          <w:color w:val="auto"/>
          <w:sz w:val="24"/>
          <w:highlight w:val="none"/>
          <w:u w:val="single"/>
        </w:rPr>
        <w:t>浙江省杭州第十一中学</w:t>
      </w:r>
      <w:r>
        <w:rPr>
          <w:rFonts w:hint="eastAsia" w:ascii="宋体" w:hAnsi="宋体"/>
          <w:color w:val="auto"/>
          <w:sz w:val="24"/>
          <w:highlight w:val="none"/>
        </w:rPr>
        <w:t xml:space="preserve">的 </w:t>
      </w:r>
      <w:r>
        <w:rPr>
          <w:rFonts w:hint="eastAsia" w:ascii="宋体" w:hAnsi="宋体"/>
          <w:color w:val="auto"/>
          <w:sz w:val="24"/>
          <w:highlight w:val="none"/>
          <w:u w:val="single"/>
        </w:rPr>
        <w:t>德胜教学楼多联机制冷设备改造</w:t>
      </w:r>
      <w:r>
        <w:rPr>
          <w:rFonts w:hint="eastAsia" w:ascii="宋体" w:hAnsi="宋体"/>
          <w:color w:val="auto"/>
          <w:sz w:val="24"/>
          <w:highlight w:val="none"/>
        </w:rPr>
        <w:t xml:space="preserve"> 采购活动，提供的货物全部由符合政策要求的中小企业制造。相关企业（含联合体中的中小企业、签订分包意向协议的中小企业）的具体情况如下：</w:t>
      </w:r>
    </w:p>
    <w:tbl>
      <w:tblPr>
        <w:tblStyle w:val="19"/>
        <w:tblW w:w="14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452"/>
        <w:gridCol w:w="907"/>
        <w:gridCol w:w="3536"/>
        <w:gridCol w:w="1389"/>
        <w:gridCol w:w="1312"/>
        <w:gridCol w:w="1409"/>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pPr>
              <w:widowControl/>
              <w:snapToGrid w:val="0"/>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序号</w:t>
            </w:r>
          </w:p>
        </w:tc>
        <w:tc>
          <w:tcPr>
            <w:tcW w:w="2452" w:type="dxa"/>
            <w:vAlign w:val="center"/>
          </w:tcPr>
          <w:p>
            <w:pPr>
              <w:widowControl/>
              <w:snapToGrid w:val="0"/>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标的（货物）名称</w:t>
            </w:r>
          </w:p>
        </w:tc>
        <w:tc>
          <w:tcPr>
            <w:tcW w:w="907" w:type="dxa"/>
            <w:vAlign w:val="center"/>
          </w:tcPr>
          <w:p>
            <w:pPr>
              <w:widowControl/>
              <w:snapToGrid w:val="0"/>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属于行业</w:t>
            </w:r>
          </w:p>
        </w:tc>
        <w:tc>
          <w:tcPr>
            <w:tcW w:w="3536" w:type="dxa"/>
            <w:vAlign w:val="center"/>
          </w:tcPr>
          <w:p>
            <w:pPr>
              <w:widowControl/>
              <w:snapToGrid w:val="0"/>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制造商名称</w:t>
            </w:r>
          </w:p>
        </w:tc>
        <w:tc>
          <w:tcPr>
            <w:tcW w:w="1389" w:type="dxa"/>
            <w:vAlign w:val="center"/>
          </w:tcPr>
          <w:p>
            <w:pPr>
              <w:widowControl/>
              <w:snapToGrid w:val="0"/>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从业人员（人数）</w:t>
            </w:r>
          </w:p>
        </w:tc>
        <w:tc>
          <w:tcPr>
            <w:tcW w:w="1312" w:type="dxa"/>
            <w:vAlign w:val="center"/>
          </w:tcPr>
          <w:p>
            <w:pPr>
              <w:widowControl/>
              <w:snapToGrid w:val="0"/>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营业收入（万元）</w:t>
            </w:r>
          </w:p>
        </w:tc>
        <w:tc>
          <w:tcPr>
            <w:tcW w:w="1409" w:type="dxa"/>
            <w:vAlign w:val="center"/>
          </w:tcPr>
          <w:p>
            <w:pPr>
              <w:widowControl/>
              <w:snapToGrid w:val="0"/>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资产总额（万元）</w:t>
            </w:r>
          </w:p>
        </w:tc>
        <w:tc>
          <w:tcPr>
            <w:tcW w:w="2451" w:type="dxa"/>
            <w:vAlign w:val="center"/>
          </w:tcPr>
          <w:p>
            <w:pPr>
              <w:widowControl/>
              <w:snapToGrid w:val="0"/>
              <w:jc w:val="center"/>
              <w:textAlignment w:val="center"/>
              <w:rPr>
                <w:rFonts w:ascii="宋体" w:hAnsi="宋体" w:cs="宋体"/>
                <w:b/>
                <w:bCs/>
                <w:color w:val="auto"/>
                <w:kern w:val="0"/>
                <w:sz w:val="24"/>
                <w:highlight w:val="none"/>
              </w:rPr>
            </w:pPr>
            <w:r>
              <w:rPr>
                <w:rFonts w:hint="eastAsia" w:ascii="宋体" w:hAnsi="宋体" w:cs="宋体"/>
                <w:b/>
                <w:bCs/>
                <w:color w:val="auto"/>
                <w:sz w:val="24"/>
                <w:highlight w:val="none"/>
              </w:rPr>
              <w:t>属于</w:t>
            </w:r>
            <w:r>
              <w:rPr>
                <w:rFonts w:hint="eastAsia" w:ascii="宋体" w:hAnsi="宋体" w:cs="宋体"/>
                <w:b/>
                <w:bCs/>
                <w:color w:val="auto"/>
                <w:sz w:val="24"/>
                <w:highlight w:val="none"/>
                <w:u w:val="single"/>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pPr>
              <w:widowControl/>
              <w:snapToGrid w:val="0"/>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2452" w:type="dxa"/>
            <w:vAlign w:val="center"/>
          </w:tcPr>
          <w:p>
            <w:pPr>
              <w:widowControl/>
              <w:snapToGrid w:val="0"/>
              <w:jc w:val="center"/>
              <w:textAlignment w:val="center"/>
              <w:rPr>
                <w:rFonts w:ascii="宋体" w:hAnsi="宋体" w:cs="宋体"/>
                <w:color w:val="auto"/>
                <w:sz w:val="24"/>
                <w:highlight w:val="none"/>
              </w:rPr>
            </w:pPr>
            <w:r>
              <w:rPr>
                <w:rFonts w:ascii="宋体" w:hAnsi="宋体" w:cs="宋体"/>
                <w:color w:val="auto"/>
                <w:sz w:val="24"/>
                <w:highlight w:val="none"/>
              </w:rPr>
              <w:t>多联式室外机</w:t>
            </w:r>
          </w:p>
        </w:tc>
        <w:tc>
          <w:tcPr>
            <w:tcW w:w="907" w:type="dxa"/>
            <w:vAlign w:val="center"/>
          </w:tcPr>
          <w:p>
            <w:pPr>
              <w:widowControl/>
              <w:snapToGrid w:val="0"/>
              <w:jc w:val="center"/>
              <w:textAlignment w:val="center"/>
              <w:rPr>
                <w:rFonts w:ascii="宋体" w:hAnsi="宋体" w:cs="宋体"/>
                <w:color w:val="auto"/>
                <w:sz w:val="24"/>
                <w:highlight w:val="none"/>
              </w:rPr>
            </w:pPr>
            <w:r>
              <w:rPr>
                <w:rFonts w:hint="eastAsia" w:ascii="宋体" w:hAnsi="宋体" w:cs="宋体"/>
                <w:color w:val="auto"/>
                <w:sz w:val="24"/>
                <w:highlight w:val="none"/>
              </w:rPr>
              <w:t>工业</w:t>
            </w:r>
          </w:p>
        </w:tc>
        <w:tc>
          <w:tcPr>
            <w:tcW w:w="3536" w:type="dxa"/>
            <w:vAlign w:val="center"/>
          </w:tcPr>
          <w:p>
            <w:pPr>
              <w:widowControl/>
              <w:snapToGrid w:val="0"/>
              <w:jc w:val="center"/>
              <w:textAlignment w:val="center"/>
              <w:rPr>
                <w:rFonts w:ascii="宋体" w:hAnsi="宋体" w:cs="宋体"/>
                <w:color w:val="auto"/>
                <w:sz w:val="24"/>
                <w:highlight w:val="none"/>
              </w:rPr>
            </w:pPr>
          </w:p>
        </w:tc>
        <w:tc>
          <w:tcPr>
            <w:tcW w:w="1389" w:type="dxa"/>
            <w:vAlign w:val="center"/>
          </w:tcPr>
          <w:p>
            <w:pPr>
              <w:widowControl/>
              <w:snapToGrid w:val="0"/>
              <w:jc w:val="center"/>
              <w:textAlignment w:val="center"/>
              <w:rPr>
                <w:rFonts w:ascii="宋体" w:hAnsi="宋体" w:cs="宋体"/>
                <w:color w:val="auto"/>
                <w:sz w:val="24"/>
                <w:highlight w:val="none"/>
              </w:rPr>
            </w:pPr>
          </w:p>
        </w:tc>
        <w:tc>
          <w:tcPr>
            <w:tcW w:w="1312" w:type="dxa"/>
            <w:vAlign w:val="center"/>
          </w:tcPr>
          <w:p>
            <w:pPr>
              <w:snapToGrid w:val="0"/>
              <w:jc w:val="center"/>
              <w:rPr>
                <w:rFonts w:ascii="宋体" w:hAnsi="宋体" w:cs="宋体"/>
                <w:color w:val="auto"/>
                <w:sz w:val="24"/>
                <w:highlight w:val="none"/>
              </w:rPr>
            </w:pPr>
          </w:p>
        </w:tc>
        <w:tc>
          <w:tcPr>
            <w:tcW w:w="1409" w:type="dxa"/>
            <w:vAlign w:val="center"/>
          </w:tcPr>
          <w:p>
            <w:pPr>
              <w:snapToGrid w:val="0"/>
              <w:jc w:val="center"/>
              <w:rPr>
                <w:rFonts w:ascii="宋体" w:hAnsi="宋体" w:cs="宋体"/>
                <w:color w:val="auto"/>
                <w:sz w:val="24"/>
                <w:highlight w:val="none"/>
              </w:rPr>
            </w:pPr>
          </w:p>
        </w:tc>
        <w:tc>
          <w:tcPr>
            <w:tcW w:w="2451" w:type="dxa"/>
            <w:vAlign w:val="center"/>
          </w:tcPr>
          <w:p>
            <w:pPr>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pPr>
              <w:widowControl/>
              <w:snapToGrid w:val="0"/>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2452" w:type="dxa"/>
            <w:vAlign w:val="center"/>
          </w:tcPr>
          <w:p>
            <w:pPr>
              <w:widowControl/>
              <w:snapToGrid w:val="0"/>
              <w:jc w:val="center"/>
              <w:textAlignment w:val="center"/>
              <w:rPr>
                <w:rFonts w:ascii="宋体" w:hAnsi="宋体" w:cs="宋体"/>
                <w:color w:val="auto"/>
                <w:sz w:val="24"/>
                <w:highlight w:val="none"/>
              </w:rPr>
            </w:pPr>
            <w:r>
              <w:rPr>
                <w:rFonts w:ascii="宋体" w:hAnsi="宋体" w:cs="宋体"/>
                <w:color w:val="auto"/>
                <w:sz w:val="24"/>
                <w:highlight w:val="none"/>
              </w:rPr>
              <w:t>环形嵌入式室内机</w:t>
            </w:r>
          </w:p>
        </w:tc>
        <w:tc>
          <w:tcPr>
            <w:tcW w:w="907" w:type="dxa"/>
            <w:vAlign w:val="center"/>
          </w:tcPr>
          <w:p>
            <w:pPr>
              <w:widowControl/>
              <w:snapToGrid w:val="0"/>
              <w:jc w:val="center"/>
              <w:textAlignment w:val="center"/>
              <w:rPr>
                <w:rFonts w:ascii="宋体" w:hAnsi="宋体" w:cs="宋体"/>
                <w:color w:val="auto"/>
                <w:sz w:val="24"/>
                <w:highlight w:val="none"/>
              </w:rPr>
            </w:pPr>
            <w:r>
              <w:rPr>
                <w:rFonts w:hint="eastAsia" w:ascii="宋体" w:hAnsi="宋体" w:cs="宋体"/>
                <w:color w:val="auto"/>
                <w:sz w:val="24"/>
                <w:highlight w:val="none"/>
              </w:rPr>
              <w:t>工业</w:t>
            </w:r>
          </w:p>
        </w:tc>
        <w:tc>
          <w:tcPr>
            <w:tcW w:w="3536" w:type="dxa"/>
            <w:vAlign w:val="center"/>
          </w:tcPr>
          <w:p>
            <w:pPr>
              <w:widowControl/>
              <w:snapToGrid w:val="0"/>
              <w:jc w:val="center"/>
              <w:textAlignment w:val="center"/>
              <w:rPr>
                <w:rFonts w:ascii="宋体" w:hAnsi="宋体" w:cs="宋体"/>
                <w:color w:val="auto"/>
                <w:sz w:val="24"/>
                <w:highlight w:val="none"/>
              </w:rPr>
            </w:pPr>
          </w:p>
        </w:tc>
        <w:tc>
          <w:tcPr>
            <w:tcW w:w="1389" w:type="dxa"/>
            <w:vAlign w:val="center"/>
          </w:tcPr>
          <w:p>
            <w:pPr>
              <w:widowControl/>
              <w:snapToGrid w:val="0"/>
              <w:jc w:val="center"/>
              <w:textAlignment w:val="center"/>
              <w:rPr>
                <w:rFonts w:ascii="宋体" w:hAnsi="宋体" w:cs="宋体"/>
                <w:color w:val="auto"/>
                <w:sz w:val="24"/>
                <w:highlight w:val="none"/>
              </w:rPr>
            </w:pPr>
          </w:p>
        </w:tc>
        <w:tc>
          <w:tcPr>
            <w:tcW w:w="1312" w:type="dxa"/>
            <w:vAlign w:val="center"/>
          </w:tcPr>
          <w:p>
            <w:pPr>
              <w:snapToGrid w:val="0"/>
              <w:jc w:val="center"/>
              <w:rPr>
                <w:rFonts w:ascii="宋体" w:hAnsi="宋体" w:cs="宋体"/>
                <w:color w:val="auto"/>
                <w:sz w:val="24"/>
                <w:highlight w:val="none"/>
              </w:rPr>
            </w:pPr>
          </w:p>
        </w:tc>
        <w:tc>
          <w:tcPr>
            <w:tcW w:w="1409" w:type="dxa"/>
            <w:vAlign w:val="center"/>
          </w:tcPr>
          <w:p>
            <w:pPr>
              <w:snapToGrid w:val="0"/>
              <w:jc w:val="center"/>
              <w:rPr>
                <w:rFonts w:ascii="宋体" w:hAnsi="宋体" w:cs="宋体"/>
                <w:color w:val="auto"/>
                <w:sz w:val="24"/>
                <w:highlight w:val="none"/>
              </w:rPr>
            </w:pPr>
          </w:p>
        </w:tc>
        <w:tc>
          <w:tcPr>
            <w:tcW w:w="2451" w:type="dxa"/>
            <w:vAlign w:val="center"/>
          </w:tcPr>
          <w:p>
            <w:pPr>
              <w:snapToGrid w:val="0"/>
              <w:jc w:val="center"/>
              <w:rPr>
                <w:rFonts w:ascii="宋体" w:hAnsi="宋体" w:cs="宋体"/>
                <w:color w:val="auto"/>
                <w:sz w:val="24"/>
                <w:highlight w:val="none"/>
              </w:rPr>
            </w:pPr>
          </w:p>
        </w:tc>
      </w:tr>
    </w:tbl>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投标人名称(电子签名)：</w:t>
      </w:r>
    </w:p>
    <w:p>
      <w:pPr>
        <w:snapToGrid w:val="0"/>
        <w:spacing w:line="360" w:lineRule="auto"/>
        <w:jc w:val="right"/>
        <w:rPr>
          <w:rFonts w:ascii="宋体" w:hAnsi="宋体"/>
          <w:color w:val="auto"/>
          <w:kern w:val="0"/>
          <w:sz w:val="24"/>
          <w:highlight w:val="none"/>
        </w:rPr>
      </w:pPr>
      <w:r>
        <w:rPr>
          <w:rFonts w:hint="eastAsia" w:ascii="宋体" w:hAnsi="宋体"/>
          <w:color w:val="auto"/>
          <w:kern w:val="0"/>
          <w:sz w:val="24"/>
          <w:highlight w:val="none"/>
        </w:rPr>
        <w:t>日期：  年  月   日</w:t>
      </w:r>
    </w:p>
    <w:p>
      <w:pPr>
        <w:spacing w:line="360" w:lineRule="auto"/>
        <w:ind w:firstLine="482" w:firstLineChars="200"/>
        <w:jc w:val="left"/>
        <w:rPr>
          <w:rFonts w:ascii="宋体" w:hAnsi="宋体"/>
          <w:b/>
          <w:bCs/>
          <w:color w:val="auto"/>
          <w:sz w:val="24"/>
          <w:szCs w:val="28"/>
          <w:highlight w:val="none"/>
        </w:rPr>
      </w:pPr>
      <w:r>
        <w:rPr>
          <w:rFonts w:hint="eastAsia" w:ascii="宋体" w:hAnsi="宋体"/>
          <w:b/>
          <w:bCs/>
          <w:color w:val="auto"/>
          <w:sz w:val="24"/>
          <w:szCs w:val="28"/>
          <w:highlight w:val="none"/>
        </w:rPr>
        <w:t>从业人员、营业收入、资产总额填报上一年度数据，无上一年度数据的新成立企业可不填报。</w:t>
      </w:r>
    </w:p>
    <w:p>
      <w:pPr>
        <w:spacing w:line="360" w:lineRule="auto"/>
        <w:ind w:right="420" w:firstLine="480" w:firstLineChars="200"/>
        <w:rPr>
          <w:color w:val="auto"/>
          <w:highlight w:val="none"/>
        </w:rPr>
      </w:pPr>
      <w:r>
        <w:rPr>
          <w:rFonts w:hint="eastAsia" w:ascii="宋体" w:hAnsi="宋体"/>
          <w:color w:val="auto"/>
          <w:sz w:val="24"/>
          <w:highlight w:val="none"/>
        </w:rPr>
        <w:t>注：</w:t>
      </w:r>
      <w:r>
        <w:rPr>
          <w:rFonts w:hint="eastAsia" w:ascii="宋体" w:hAnsi="宋体" w:cs="宋体"/>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pPr>
        <w:rPr>
          <w:color w:val="auto"/>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23</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23</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65</w:t>
                          </w:r>
                          <w:r>
                            <w:fldChar w:fldCharType="end"/>
                          </w:r>
                          <w:r>
                            <w:t xml:space="preserve"> / </w:t>
                          </w:r>
                          <w:r>
                            <w:fldChar w:fldCharType="begin"/>
                          </w:r>
                          <w:r>
                            <w:instrText xml:space="preserve"> NUMPAGES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65</w:t>
                    </w:r>
                    <w:r>
                      <w:fldChar w:fldCharType="end"/>
                    </w:r>
                    <w:r>
                      <w:t xml:space="preserve"> / </w:t>
                    </w:r>
                    <w:r>
                      <w:fldChar w:fldCharType="begin"/>
                    </w:r>
                    <w:r>
                      <w:instrText xml:space="preserve"> NUMPAGES  \* MERGEFORMAT </w:instrText>
                    </w:r>
                    <w:r>
                      <w:fldChar w:fldCharType="separate"/>
                    </w:r>
                    <w:r>
                      <w:t>65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szCs w:val="24"/>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76</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76</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2"/>
      </w:rPr>
    </w:pPr>
    <w:r>
      <w:fldChar w:fldCharType="begin"/>
    </w:r>
    <w:r>
      <w:rPr>
        <w:rStyle w:val="22"/>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33</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33</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56</w:t>
                          </w:r>
                          <w:r>
                            <w:fldChar w:fldCharType="end"/>
                          </w:r>
                          <w:r>
                            <w:t xml:space="preserve"> / </w:t>
                          </w:r>
                          <w:r>
                            <w:fldChar w:fldCharType="begin"/>
                          </w:r>
                          <w:r>
                            <w:instrText xml:space="preserve"> NUMPAGES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56</w:t>
                    </w:r>
                    <w:r>
                      <w:fldChar w:fldCharType="end"/>
                    </w:r>
                    <w:r>
                      <w:t xml:space="preserve"> / </w:t>
                    </w:r>
                    <w:r>
                      <w:fldChar w:fldCharType="begin"/>
                    </w:r>
                    <w:r>
                      <w:instrText xml:space="preserve"> NUMPAGES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63</w:t>
                          </w:r>
                          <w:r>
                            <w:fldChar w:fldCharType="end"/>
                          </w:r>
                          <w:r>
                            <w:t xml:space="preserve"> / </w:t>
                          </w:r>
                          <w:r>
                            <w:fldChar w:fldCharType="begin"/>
                          </w:r>
                          <w:r>
                            <w:instrText xml:space="preserve"> NUMPAGES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63</w:t>
                    </w:r>
                    <w:r>
                      <w:fldChar w:fldCharType="end"/>
                    </w:r>
                    <w:r>
                      <w:t xml:space="preserve"> / </w:t>
                    </w:r>
                    <w:r>
                      <w:fldChar w:fldCharType="begin"/>
                    </w:r>
                    <w:r>
                      <w:instrText xml:space="preserve"> NUMPAGES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57</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57</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66</w:t>
                          </w:r>
                          <w:r>
                            <w:fldChar w:fldCharType="end"/>
                          </w:r>
                          <w:r>
                            <w:t xml:space="preserve"> / </w:t>
                          </w:r>
                          <w:r>
                            <w:fldChar w:fldCharType="begin"/>
                          </w:r>
                          <w:r>
                            <w:instrText xml:space="preserve"> NUMPAGES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66</w:t>
                    </w:r>
                    <w:r>
                      <w:fldChar w:fldCharType="end"/>
                    </w:r>
                    <w:r>
                      <w:t xml:space="preserve"> / </w:t>
                    </w:r>
                    <w:r>
                      <w:fldChar w:fldCharType="begin"/>
                    </w:r>
                    <w:r>
                      <w:instrText xml:space="preserve"> NUMPAGES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4"/>
      </w:pBdr>
      <w:jc w:val="right"/>
    </w:pPr>
    <w:r>
      <w:t></w:t>
    </w:r>
    <w:r>
      <w:rPr>
        <w:rFonts w:hint="eastAsia"/>
      </w:rPr>
      <w:t xml:space="preserve">             公开招标文件</w:t>
    </w:r>
  </w:p>
  <w:p>
    <w:pPr>
      <w:pStyle w:val="16"/>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仿宋_GB2312"/>
        <w:b/>
        <w:i/>
        <w:iCs/>
        <w:u w:val="single"/>
      </w:rPr>
    </w:pPr>
    <w:r>
      <w:t></w:t>
    </w:r>
    <w:r>
      <w:rPr>
        <w:rFonts w:hint="eastAsia"/>
      </w:rPr>
      <w:t>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t></w:t>
    </w:r>
    <w:r>
      <w:rPr>
        <w:rFonts w:hint="eastAsia"/>
      </w:rPr>
      <w:t xml:space="preserve">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b/>
        <w:i/>
        <w:u w:val="single"/>
      </w:rPr>
    </w:pPr>
    <w:r>
      <w:t></w:t>
    </w:r>
    <w:r>
      <w:rPr>
        <w:rFonts w:hint="eastAsia"/>
      </w:rPr>
      <w:t xml:space="preserve">                                                  </w:t>
    </w:r>
    <w:r>
      <w:t xml:space="preserve">                  </w:t>
    </w:r>
    <w:r>
      <w:rPr>
        <w:rFonts w:hint="eastAsia"/>
      </w:rPr>
      <w:t>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t></w:t>
    </w:r>
    <w:r>
      <w:rPr>
        <w:rFonts w:hint="eastAsia"/>
      </w:rPr>
      <w:t xml:space="preserve">         </w:t>
    </w:r>
  </w:p>
  <w:p>
    <w:pPr>
      <w:pStyle w:val="14"/>
    </w:pPr>
    <w:r>
      <w:rPr>
        <w:rFonts w:hint="eastAsia"/>
      </w:rPr>
      <w:t xml:space="preserve">                                                                  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b/>
        <w:i/>
        <w:u w:val="single"/>
      </w:rPr>
    </w:pPr>
    <w:r>
      <w:t></w:t>
    </w:r>
    <w:r>
      <w:rPr>
        <w:rFonts w:hint="eastAsia"/>
      </w:rPr>
      <w:t xml:space="preserve">                                                  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t></w:t>
    </w:r>
    <w:r>
      <w:rPr>
        <w:rFonts w:hint="eastAsia"/>
      </w:rPr>
      <w:t xml:space="preserve">                 </w:t>
    </w:r>
    <w:r>
      <w:t xml:space="preserve">                                </w:t>
    </w:r>
    <w:r>
      <w:rPr>
        <w:rFonts w:hint="eastAsia"/>
      </w:rPr>
      <w:t xml:space="preserve">         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仿宋_GB2312"/>
        <w:b/>
        <w:i/>
        <w:u w:val="single"/>
      </w:rPr>
    </w:pPr>
    <w:r>
      <w:rPr>
        <w:rFonts w:hint="eastAsia"/>
      </w:rPr>
      <w:t xml:space="preserve">                                  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0654"/>
    <w:multiLevelType w:val="singleLevel"/>
    <w:tmpl w:val="D6390654"/>
    <w:lvl w:ilvl="0" w:tentative="0">
      <w:start w:val="3"/>
      <w:numFmt w:val="decimal"/>
      <w:lvlText w:val="%1."/>
      <w:lvlJc w:val="left"/>
      <w:pPr>
        <w:tabs>
          <w:tab w:val="left" w:pos="312"/>
        </w:tabs>
      </w:pPr>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02207344"/>
    <w:multiLevelType w:val="singleLevel"/>
    <w:tmpl w:val="02207344"/>
    <w:lvl w:ilvl="0" w:tentative="0">
      <w:start w:val="1"/>
      <w:numFmt w:val="decimal"/>
      <w:suff w:val="nothing"/>
      <w:lvlText w:val="1.%1"/>
      <w:lvlJc w:val="left"/>
      <w:pPr>
        <w:ind w:left="0" w:firstLine="403"/>
      </w:pPr>
      <w:rPr>
        <w:rFonts w:hint="default"/>
        <w:b w:val="0"/>
        <w:bCs w:val="0"/>
      </w:rPr>
    </w:lvl>
  </w:abstractNum>
  <w:abstractNum w:abstractNumId="3">
    <w:nsid w:val="1E85981C"/>
    <w:multiLevelType w:val="singleLevel"/>
    <w:tmpl w:val="1E85981C"/>
    <w:lvl w:ilvl="0" w:tentative="0">
      <w:start w:val="1"/>
      <w:numFmt w:val="chineseCounting"/>
      <w:suff w:val="nothing"/>
      <w:lvlText w:val="%1、"/>
      <w:lvlJc w:val="left"/>
      <w:pPr>
        <w:ind w:left="0" w:firstLine="420"/>
      </w:pPr>
      <w:rPr>
        <w:rFonts w:hint="eastAsia"/>
      </w:rPr>
    </w:lvl>
  </w:abstractNum>
  <w:abstractNum w:abstractNumId="4">
    <w:nsid w:val="258B52E5"/>
    <w:multiLevelType w:val="singleLevel"/>
    <w:tmpl w:val="258B52E5"/>
    <w:lvl w:ilvl="0" w:tentative="0">
      <w:start w:val="2"/>
      <w:numFmt w:val="chineseCounting"/>
      <w:suff w:val="nothing"/>
      <w:lvlText w:val="%1、"/>
      <w:lvlJc w:val="left"/>
      <w:rPr>
        <w:rFonts w:hint="eastAsia"/>
      </w:rPr>
    </w:lvl>
  </w:abstractNum>
  <w:abstractNum w:abstractNumId="5">
    <w:nsid w:val="264C2A15"/>
    <w:multiLevelType w:val="singleLevel"/>
    <w:tmpl w:val="264C2A15"/>
    <w:lvl w:ilvl="0" w:tentative="0">
      <w:start w:val="1"/>
      <w:numFmt w:val="chineseCounting"/>
      <w:suff w:val="nothing"/>
      <w:lvlText w:val="%1、"/>
      <w:lvlJc w:val="left"/>
      <w:pPr>
        <w:ind w:left="0" w:firstLine="420"/>
      </w:pPr>
      <w:rPr>
        <w:rFonts w:hint="eastAsia"/>
      </w:rPr>
    </w:lvl>
  </w:abstractNum>
  <w:abstractNum w:abstractNumId="6">
    <w:nsid w:val="2BA043B9"/>
    <w:multiLevelType w:val="singleLevel"/>
    <w:tmpl w:val="2BA043B9"/>
    <w:lvl w:ilvl="0" w:tentative="0">
      <w:start w:val="1"/>
      <w:numFmt w:val="chineseCounting"/>
      <w:suff w:val="nothing"/>
      <w:lvlText w:val="%1、"/>
      <w:lvlJc w:val="left"/>
      <w:pPr>
        <w:ind w:left="0" w:firstLine="420"/>
      </w:pPr>
      <w:rPr>
        <w:rFonts w:hint="eastAsia"/>
      </w:rPr>
    </w:lvl>
  </w:abstractNum>
  <w:abstractNum w:abstractNumId="7">
    <w:nsid w:val="31DE9B29"/>
    <w:multiLevelType w:val="singleLevel"/>
    <w:tmpl w:val="31DE9B29"/>
    <w:lvl w:ilvl="0" w:tentative="0">
      <w:start w:val="1"/>
      <w:numFmt w:val="decimal"/>
      <w:lvlText w:val="%1"/>
      <w:lvlJc w:val="center"/>
      <w:pPr>
        <w:tabs>
          <w:tab w:val="left" w:pos="204"/>
        </w:tabs>
        <w:ind w:left="0" w:firstLine="203"/>
      </w:pPr>
      <w:rPr>
        <w:rFonts w:hint="default"/>
      </w:rPr>
    </w:lvl>
  </w:abstractNum>
  <w:abstractNum w:abstractNumId="8">
    <w:nsid w:val="44CB6C70"/>
    <w:multiLevelType w:val="singleLevel"/>
    <w:tmpl w:val="44CB6C70"/>
    <w:lvl w:ilvl="0" w:tentative="0">
      <w:start w:val="3"/>
      <w:numFmt w:val="decimal"/>
      <w:lvlText w:val="%1."/>
      <w:lvlJc w:val="left"/>
      <w:pPr>
        <w:tabs>
          <w:tab w:val="left" w:pos="312"/>
        </w:tabs>
      </w:pPr>
    </w:lvl>
  </w:abstractNum>
  <w:abstractNum w:abstractNumId="9">
    <w:nsid w:val="57448600"/>
    <w:multiLevelType w:val="singleLevel"/>
    <w:tmpl w:val="57448600"/>
    <w:lvl w:ilvl="0" w:tentative="0">
      <w:start w:val="1"/>
      <w:numFmt w:val="decimal"/>
      <w:suff w:val="nothing"/>
      <w:lvlText w:val="（%1）"/>
      <w:lvlJc w:val="left"/>
    </w:lvl>
  </w:abstractNum>
  <w:abstractNum w:abstractNumId="10">
    <w:nsid w:val="73821221"/>
    <w:multiLevelType w:val="singleLevel"/>
    <w:tmpl w:val="73821221"/>
    <w:lvl w:ilvl="0" w:tentative="0">
      <w:start w:val="1"/>
      <w:numFmt w:val="decimal"/>
      <w:lvlText w:val="2.%1"/>
      <w:lvlJc w:val="left"/>
      <w:pPr>
        <w:tabs>
          <w:tab w:val="left" w:pos="420"/>
        </w:tabs>
        <w:ind w:left="425" w:hanging="425"/>
      </w:pPr>
      <w:rPr>
        <w:rFonts w:hint="default" w:ascii="宋体" w:hAnsi="宋体" w:eastAsia="宋体" w:cs="宋体"/>
      </w:rPr>
    </w:lvl>
  </w:abstractNum>
  <w:num w:numId="1">
    <w:abstractNumId w:val="8"/>
  </w:num>
  <w:num w:numId="2">
    <w:abstractNumId w:val="0"/>
  </w:num>
  <w:num w:numId="3">
    <w:abstractNumId w:val="7"/>
  </w:num>
  <w:num w:numId="4">
    <w:abstractNumId w:val="9"/>
  </w:num>
  <w:num w:numId="5">
    <w:abstractNumId w:val="4"/>
  </w:num>
  <w:num w:numId="6">
    <w:abstractNumId w:val="2"/>
  </w:num>
  <w:num w:numId="7">
    <w:abstractNumId w:val="10"/>
  </w:num>
  <w:num w:numId="8">
    <w:abstractNumId w:val="1"/>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0YzJlNTRlZmEzZDk4NWFkM2I3YWM3NGE4ODU3NjIifQ=="/>
  </w:docVars>
  <w:rsids>
    <w:rsidRoot w:val="6F0B5468"/>
    <w:rsid w:val="000150B4"/>
    <w:rsid w:val="00030ADD"/>
    <w:rsid w:val="00045E31"/>
    <w:rsid w:val="000E18B6"/>
    <w:rsid w:val="000E5040"/>
    <w:rsid w:val="00113833"/>
    <w:rsid w:val="00134844"/>
    <w:rsid w:val="00150665"/>
    <w:rsid w:val="001574E6"/>
    <w:rsid w:val="00190D4E"/>
    <w:rsid w:val="00193D61"/>
    <w:rsid w:val="001A0A68"/>
    <w:rsid w:val="001F613F"/>
    <w:rsid w:val="00201A37"/>
    <w:rsid w:val="00235A05"/>
    <w:rsid w:val="00241870"/>
    <w:rsid w:val="00256A86"/>
    <w:rsid w:val="002920CE"/>
    <w:rsid w:val="002E53B7"/>
    <w:rsid w:val="0030605F"/>
    <w:rsid w:val="003617D7"/>
    <w:rsid w:val="00370DEC"/>
    <w:rsid w:val="00382C38"/>
    <w:rsid w:val="0039338C"/>
    <w:rsid w:val="003D2DF2"/>
    <w:rsid w:val="003F0136"/>
    <w:rsid w:val="004441F7"/>
    <w:rsid w:val="0044606B"/>
    <w:rsid w:val="00472FBF"/>
    <w:rsid w:val="004E15CC"/>
    <w:rsid w:val="004E708F"/>
    <w:rsid w:val="004F056A"/>
    <w:rsid w:val="0056224C"/>
    <w:rsid w:val="005859FF"/>
    <w:rsid w:val="005A6BA5"/>
    <w:rsid w:val="005A7318"/>
    <w:rsid w:val="00643D81"/>
    <w:rsid w:val="0066687F"/>
    <w:rsid w:val="006954BF"/>
    <w:rsid w:val="006C133C"/>
    <w:rsid w:val="00710CA5"/>
    <w:rsid w:val="00763CC4"/>
    <w:rsid w:val="007E35CB"/>
    <w:rsid w:val="0082249A"/>
    <w:rsid w:val="008F7F4C"/>
    <w:rsid w:val="00914494"/>
    <w:rsid w:val="00945AD6"/>
    <w:rsid w:val="009955E0"/>
    <w:rsid w:val="00A56562"/>
    <w:rsid w:val="00A74CEE"/>
    <w:rsid w:val="00B4383E"/>
    <w:rsid w:val="00B45118"/>
    <w:rsid w:val="00B46232"/>
    <w:rsid w:val="00B80CC6"/>
    <w:rsid w:val="00B879C4"/>
    <w:rsid w:val="00BA31AA"/>
    <w:rsid w:val="00BD5EE1"/>
    <w:rsid w:val="00C303F8"/>
    <w:rsid w:val="00C46B04"/>
    <w:rsid w:val="00C574C2"/>
    <w:rsid w:val="00C9278D"/>
    <w:rsid w:val="00CB000E"/>
    <w:rsid w:val="00D93347"/>
    <w:rsid w:val="00E0714A"/>
    <w:rsid w:val="00E148C0"/>
    <w:rsid w:val="00E409AD"/>
    <w:rsid w:val="00E86715"/>
    <w:rsid w:val="00EA2A32"/>
    <w:rsid w:val="00F708AC"/>
    <w:rsid w:val="00F75808"/>
    <w:rsid w:val="00FA6C7B"/>
    <w:rsid w:val="00FD0E69"/>
    <w:rsid w:val="00FD1D85"/>
    <w:rsid w:val="00FD585E"/>
    <w:rsid w:val="011B0745"/>
    <w:rsid w:val="01500520"/>
    <w:rsid w:val="01550A4C"/>
    <w:rsid w:val="01A7022B"/>
    <w:rsid w:val="01BB1A8C"/>
    <w:rsid w:val="01CC5EE4"/>
    <w:rsid w:val="023B13D2"/>
    <w:rsid w:val="023C4482"/>
    <w:rsid w:val="024119BF"/>
    <w:rsid w:val="025F7AF4"/>
    <w:rsid w:val="029C54DF"/>
    <w:rsid w:val="02DA6FE9"/>
    <w:rsid w:val="0308713A"/>
    <w:rsid w:val="03675EC4"/>
    <w:rsid w:val="045331DC"/>
    <w:rsid w:val="047C7C9D"/>
    <w:rsid w:val="04D25727"/>
    <w:rsid w:val="04E86B91"/>
    <w:rsid w:val="052A0696"/>
    <w:rsid w:val="05582DA3"/>
    <w:rsid w:val="05586526"/>
    <w:rsid w:val="056A42EC"/>
    <w:rsid w:val="05993309"/>
    <w:rsid w:val="059E5F21"/>
    <w:rsid w:val="05E468D0"/>
    <w:rsid w:val="05F72770"/>
    <w:rsid w:val="05FF04F0"/>
    <w:rsid w:val="061E22CB"/>
    <w:rsid w:val="064E1F37"/>
    <w:rsid w:val="06F7130D"/>
    <w:rsid w:val="071115D9"/>
    <w:rsid w:val="07976836"/>
    <w:rsid w:val="07B629DA"/>
    <w:rsid w:val="0879548F"/>
    <w:rsid w:val="08802820"/>
    <w:rsid w:val="08860018"/>
    <w:rsid w:val="08B40DD4"/>
    <w:rsid w:val="09363F42"/>
    <w:rsid w:val="09CC2C6C"/>
    <w:rsid w:val="09E663FF"/>
    <w:rsid w:val="09EB5A31"/>
    <w:rsid w:val="0A3D472E"/>
    <w:rsid w:val="0A73070F"/>
    <w:rsid w:val="0A762860"/>
    <w:rsid w:val="0A946387"/>
    <w:rsid w:val="0B1D5D60"/>
    <w:rsid w:val="0B420A63"/>
    <w:rsid w:val="0B445062"/>
    <w:rsid w:val="0BC65A62"/>
    <w:rsid w:val="0C070375"/>
    <w:rsid w:val="0C14456A"/>
    <w:rsid w:val="0C1E0C7D"/>
    <w:rsid w:val="0C3A6017"/>
    <w:rsid w:val="0C647F7C"/>
    <w:rsid w:val="0CB2148D"/>
    <w:rsid w:val="0CD04679"/>
    <w:rsid w:val="0CD075A6"/>
    <w:rsid w:val="0D2E7A52"/>
    <w:rsid w:val="0D4542A8"/>
    <w:rsid w:val="0D533015"/>
    <w:rsid w:val="0DBE2B84"/>
    <w:rsid w:val="0DD96299"/>
    <w:rsid w:val="0DF9431B"/>
    <w:rsid w:val="0E0C5EFC"/>
    <w:rsid w:val="0E3D0227"/>
    <w:rsid w:val="0E906705"/>
    <w:rsid w:val="0EE409F0"/>
    <w:rsid w:val="0F3E7FEF"/>
    <w:rsid w:val="0FA518C7"/>
    <w:rsid w:val="0FE73891"/>
    <w:rsid w:val="100F1591"/>
    <w:rsid w:val="10764ADB"/>
    <w:rsid w:val="1077526D"/>
    <w:rsid w:val="109828BB"/>
    <w:rsid w:val="10B704EB"/>
    <w:rsid w:val="10C303F0"/>
    <w:rsid w:val="10C377C2"/>
    <w:rsid w:val="11305B15"/>
    <w:rsid w:val="117162D7"/>
    <w:rsid w:val="12057DA5"/>
    <w:rsid w:val="12932477"/>
    <w:rsid w:val="12AD766B"/>
    <w:rsid w:val="12B8155D"/>
    <w:rsid w:val="13897C90"/>
    <w:rsid w:val="1393060F"/>
    <w:rsid w:val="13A85431"/>
    <w:rsid w:val="13D937D5"/>
    <w:rsid w:val="1410454B"/>
    <w:rsid w:val="141D3B70"/>
    <w:rsid w:val="14372491"/>
    <w:rsid w:val="144E2788"/>
    <w:rsid w:val="14962269"/>
    <w:rsid w:val="15150099"/>
    <w:rsid w:val="152446DB"/>
    <w:rsid w:val="1564469E"/>
    <w:rsid w:val="15BF370C"/>
    <w:rsid w:val="15C375BB"/>
    <w:rsid w:val="15E46A1F"/>
    <w:rsid w:val="16581113"/>
    <w:rsid w:val="16776464"/>
    <w:rsid w:val="174A5489"/>
    <w:rsid w:val="186143F9"/>
    <w:rsid w:val="18D04EED"/>
    <w:rsid w:val="18FE2A1B"/>
    <w:rsid w:val="19197809"/>
    <w:rsid w:val="193C34F7"/>
    <w:rsid w:val="194D1938"/>
    <w:rsid w:val="19503C3D"/>
    <w:rsid w:val="19956E5A"/>
    <w:rsid w:val="1A575468"/>
    <w:rsid w:val="1A59109B"/>
    <w:rsid w:val="1AA45716"/>
    <w:rsid w:val="1AEA2B8A"/>
    <w:rsid w:val="1B7B0307"/>
    <w:rsid w:val="1B876BD4"/>
    <w:rsid w:val="1B985E6F"/>
    <w:rsid w:val="1C0B1DD9"/>
    <w:rsid w:val="1C0B465B"/>
    <w:rsid w:val="1C545906"/>
    <w:rsid w:val="1C625190"/>
    <w:rsid w:val="1D014845"/>
    <w:rsid w:val="1D2A6B7B"/>
    <w:rsid w:val="1D8334A3"/>
    <w:rsid w:val="1DC77C40"/>
    <w:rsid w:val="1DD9240E"/>
    <w:rsid w:val="1E5052A0"/>
    <w:rsid w:val="1E576CB3"/>
    <w:rsid w:val="1E880DDE"/>
    <w:rsid w:val="1F0E0638"/>
    <w:rsid w:val="1F163669"/>
    <w:rsid w:val="1F4D604A"/>
    <w:rsid w:val="1F8009E4"/>
    <w:rsid w:val="1F914041"/>
    <w:rsid w:val="20243872"/>
    <w:rsid w:val="20410D99"/>
    <w:rsid w:val="20841B24"/>
    <w:rsid w:val="209E27C3"/>
    <w:rsid w:val="20AB5A82"/>
    <w:rsid w:val="20B971DB"/>
    <w:rsid w:val="211D59BC"/>
    <w:rsid w:val="213C58F5"/>
    <w:rsid w:val="21843C8D"/>
    <w:rsid w:val="21A612CF"/>
    <w:rsid w:val="22366666"/>
    <w:rsid w:val="22584D94"/>
    <w:rsid w:val="228D1E28"/>
    <w:rsid w:val="228D6F97"/>
    <w:rsid w:val="2291483C"/>
    <w:rsid w:val="23066A9B"/>
    <w:rsid w:val="230B3947"/>
    <w:rsid w:val="230E2BCA"/>
    <w:rsid w:val="23955CDE"/>
    <w:rsid w:val="23C3584E"/>
    <w:rsid w:val="23C8145D"/>
    <w:rsid w:val="23F14C78"/>
    <w:rsid w:val="241432D7"/>
    <w:rsid w:val="24942439"/>
    <w:rsid w:val="24E7562E"/>
    <w:rsid w:val="24FB6014"/>
    <w:rsid w:val="255F6945"/>
    <w:rsid w:val="25702511"/>
    <w:rsid w:val="2684198C"/>
    <w:rsid w:val="26D33BB6"/>
    <w:rsid w:val="26FA69AC"/>
    <w:rsid w:val="2775116C"/>
    <w:rsid w:val="27E0108D"/>
    <w:rsid w:val="28050AF4"/>
    <w:rsid w:val="284667AC"/>
    <w:rsid w:val="28717060"/>
    <w:rsid w:val="28C44619"/>
    <w:rsid w:val="28DC615D"/>
    <w:rsid w:val="2932368C"/>
    <w:rsid w:val="2965602A"/>
    <w:rsid w:val="2992393F"/>
    <w:rsid w:val="2A362444"/>
    <w:rsid w:val="2AB34544"/>
    <w:rsid w:val="2AD65CC5"/>
    <w:rsid w:val="2B113F4B"/>
    <w:rsid w:val="2B492246"/>
    <w:rsid w:val="2B521788"/>
    <w:rsid w:val="2B7868A3"/>
    <w:rsid w:val="2C3167C0"/>
    <w:rsid w:val="2CC10504"/>
    <w:rsid w:val="2D3975EC"/>
    <w:rsid w:val="2D884752"/>
    <w:rsid w:val="2D946D08"/>
    <w:rsid w:val="2DD3386E"/>
    <w:rsid w:val="2E853A7D"/>
    <w:rsid w:val="2E934ECC"/>
    <w:rsid w:val="2E9C399B"/>
    <w:rsid w:val="2EA72782"/>
    <w:rsid w:val="2EE7237C"/>
    <w:rsid w:val="2F166361"/>
    <w:rsid w:val="2FD90A44"/>
    <w:rsid w:val="302C307F"/>
    <w:rsid w:val="30D9771F"/>
    <w:rsid w:val="30FD57B2"/>
    <w:rsid w:val="311F2586"/>
    <w:rsid w:val="312A0AEF"/>
    <w:rsid w:val="315C6736"/>
    <w:rsid w:val="317E4255"/>
    <w:rsid w:val="31817CB4"/>
    <w:rsid w:val="3185007C"/>
    <w:rsid w:val="31A80C42"/>
    <w:rsid w:val="32145E29"/>
    <w:rsid w:val="327A76B3"/>
    <w:rsid w:val="331035D3"/>
    <w:rsid w:val="332A0C75"/>
    <w:rsid w:val="33517DFB"/>
    <w:rsid w:val="33687B72"/>
    <w:rsid w:val="337A5D65"/>
    <w:rsid w:val="3398282D"/>
    <w:rsid w:val="33B44C72"/>
    <w:rsid w:val="33C55150"/>
    <w:rsid w:val="33DE41EA"/>
    <w:rsid w:val="3538471B"/>
    <w:rsid w:val="355F614C"/>
    <w:rsid w:val="356E5906"/>
    <w:rsid w:val="35787085"/>
    <w:rsid w:val="35A05EAF"/>
    <w:rsid w:val="35A434F0"/>
    <w:rsid w:val="35A91436"/>
    <w:rsid w:val="35B22E0B"/>
    <w:rsid w:val="363B2715"/>
    <w:rsid w:val="36707A9F"/>
    <w:rsid w:val="36A101AE"/>
    <w:rsid w:val="36A4650C"/>
    <w:rsid w:val="371A7F91"/>
    <w:rsid w:val="37DB76D8"/>
    <w:rsid w:val="381673B4"/>
    <w:rsid w:val="3845755F"/>
    <w:rsid w:val="38987938"/>
    <w:rsid w:val="38CE09C2"/>
    <w:rsid w:val="38D67AE9"/>
    <w:rsid w:val="39774D2B"/>
    <w:rsid w:val="39E95978"/>
    <w:rsid w:val="39F35FBD"/>
    <w:rsid w:val="3A053765"/>
    <w:rsid w:val="3A1A4D37"/>
    <w:rsid w:val="3A3E5737"/>
    <w:rsid w:val="3A415021"/>
    <w:rsid w:val="3A852A06"/>
    <w:rsid w:val="3B190B4B"/>
    <w:rsid w:val="3B3A1B15"/>
    <w:rsid w:val="3B460CD5"/>
    <w:rsid w:val="3B49152E"/>
    <w:rsid w:val="3B507392"/>
    <w:rsid w:val="3B851508"/>
    <w:rsid w:val="3BDC18D0"/>
    <w:rsid w:val="3BFF41E4"/>
    <w:rsid w:val="3C066E1C"/>
    <w:rsid w:val="3C5C5D08"/>
    <w:rsid w:val="3C65673D"/>
    <w:rsid w:val="3C88242C"/>
    <w:rsid w:val="3CD218F9"/>
    <w:rsid w:val="3D046221"/>
    <w:rsid w:val="3D1860F4"/>
    <w:rsid w:val="3DAB5EF3"/>
    <w:rsid w:val="3DBD4546"/>
    <w:rsid w:val="3DDE0313"/>
    <w:rsid w:val="3E485474"/>
    <w:rsid w:val="3E770C94"/>
    <w:rsid w:val="3EFC7798"/>
    <w:rsid w:val="3F400D9C"/>
    <w:rsid w:val="3FAB39E6"/>
    <w:rsid w:val="405B2F04"/>
    <w:rsid w:val="40834247"/>
    <w:rsid w:val="40A46F0C"/>
    <w:rsid w:val="410D173F"/>
    <w:rsid w:val="413E5E04"/>
    <w:rsid w:val="414B5F37"/>
    <w:rsid w:val="41557B5B"/>
    <w:rsid w:val="41BB74B3"/>
    <w:rsid w:val="428C0CF8"/>
    <w:rsid w:val="42DD4FD8"/>
    <w:rsid w:val="42F64942"/>
    <w:rsid w:val="42FC0F50"/>
    <w:rsid w:val="430F25FF"/>
    <w:rsid w:val="43254E12"/>
    <w:rsid w:val="43276201"/>
    <w:rsid w:val="4365358A"/>
    <w:rsid w:val="43685813"/>
    <w:rsid w:val="43A1625D"/>
    <w:rsid w:val="440940D0"/>
    <w:rsid w:val="4449126C"/>
    <w:rsid w:val="447659E0"/>
    <w:rsid w:val="46486168"/>
    <w:rsid w:val="46646FFD"/>
    <w:rsid w:val="46A5572C"/>
    <w:rsid w:val="46B51653"/>
    <w:rsid w:val="46B53A67"/>
    <w:rsid w:val="46E666CD"/>
    <w:rsid w:val="47024B89"/>
    <w:rsid w:val="475A5281"/>
    <w:rsid w:val="47AC3472"/>
    <w:rsid w:val="48396CD0"/>
    <w:rsid w:val="48953663"/>
    <w:rsid w:val="48A227C4"/>
    <w:rsid w:val="48D56167"/>
    <w:rsid w:val="48F976D8"/>
    <w:rsid w:val="4905669E"/>
    <w:rsid w:val="4924150C"/>
    <w:rsid w:val="49291190"/>
    <w:rsid w:val="4948669A"/>
    <w:rsid w:val="496B7088"/>
    <w:rsid w:val="4A0838D4"/>
    <w:rsid w:val="4A2C4445"/>
    <w:rsid w:val="4A496B89"/>
    <w:rsid w:val="4ABF6405"/>
    <w:rsid w:val="4AC922B5"/>
    <w:rsid w:val="4B427C4A"/>
    <w:rsid w:val="4BA8577B"/>
    <w:rsid w:val="4BC407DF"/>
    <w:rsid w:val="4C26756B"/>
    <w:rsid w:val="4C9A392D"/>
    <w:rsid w:val="4CD86AB8"/>
    <w:rsid w:val="4CE95658"/>
    <w:rsid w:val="4D6D754D"/>
    <w:rsid w:val="4D7560E1"/>
    <w:rsid w:val="4DF161CE"/>
    <w:rsid w:val="4E2F2707"/>
    <w:rsid w:val="4EB22173"/>
    <w:rsid w:val="4EC633F6"/>
    <w:rsid w:val="4ECA5048"/>
    <w:rsid w:val="4F2F3E51"/>
    <w:rsid w:val="4F98252E"/>
    <w:rsid w:val="4FCF2738"/>
    <w:rsid w:val="4FDB028D"/>
    <w:rsid w:val="50070165"/>
    <w:rsid w:val="503B52D9"/>
    <w:rsid w:val="507119C8"/>
    <w:rsid w:val="507408A5"/>
    <w:rsid w:val="507C20E1"/>
    <w:rsid w:val="50947199"/>
    <w:rsid w:val="50DC208A"/>
    <w:rsid w:val="51835D03"/>
    <w:rsid w:val="51AB3D3B"/>
    <w:rsid w:val="5200004C"/>
    <w:rsid w:val="52207E0C"/>
    <w:rsid w:val="522A0567"/>
    <w:rsid w:val="5239498B"/>
    <w:rsid w:val="52661815"/>
    <w:rsid w:val="52765354"/>
    <w:rsid w:val="53021B56"/>
    <w:rsid w:val="5345331B"/>
    <w:rsid w:val="53724057"/>
    <w:rsid w:val="53770D76"/>
    <w:rsid w:val="540A1CEF"/>
    <w:rsid w:val="54192E5F"/>
    <w:rsid w:val="541B4EA6"/>
    <w:rsid w:val="54277215"/>
    <w:rsid w:val="546E44B5"/>
    <w:rsid w:val="54853A7E"/>
    <w:rsid w:val="54F37E42"/>
    <w:rsid w:val="54F5099E"/>
    <w:rsid w:val="55440CC4"/>
    <w:rsid w:val="55652DB0"/>
    <w:rsid w:val="557650C0"/>
    <w:rsid w:val="55DD6205"/>
    <w:rsid w:val="56017B2C"/>
    <w:rsid w:val="563F126D"/>
    <w:rsid w:val="5697490A"/>
    <w:rsid w:val="56E8305B"/>
    <w:rsid w:val="575925A3"/>
    <w:rsid w:val="57DA3FF6"/>
    <w:rsid w:val="57DE4C7D"/>
    <w:rsid w:val="5854456A"/>
    <w:rsid w:val="586A6F1E"/>
    <w:rsid w:val="59004C43"/>
    <w:rsid w:val="592D2D99"/>
    <w:rsid w:val="593B388B"/>
    <w:rsid w:val="595016D7"/>
    <w:rsid w:val="59617E35"/>
    <w:rsid w:val="59D76F69"/>
    <w:rsid w:val="59E2532D"/>
    <w:rsid w:val="59EB2B4D"/>
    <w:rsid w:val="5A203AE8"/>
    <w:rsid w:val="5A462108"/>
    <w:rsid w:val="5A516754"/>
    <w:rsid w:val="5AF300F9"/>
    <w:rsid w:val="5AF81503"/>
    <w:rsid w:val="5AF979AA"/>
    <w:rsid w:val="5B372D50"/>
    <w:rsid w:val="5B986898"/>
    <w:rsid w:val="5BE841C4"/>
    <w:rsid w:val="5C1967A5"/>
    <w:rsid w:val="5C2524E9"/>
    <w:rsid w:val="5C841E70"/>
    <w:rsid w:val="5CA2679A"/>
    <w:rsid w:val="5D6E72BD"/>
    <w:rsid w:val="5DE35E5B"/>
    <w:rsid w:val="5E1B35DD"/>
    <w:rsid w:val="5EC901D4"/>
    <w:rsid w:val="5EE36BFD"/>
    <w:rsid w:val="5F420A26"/>
    <w:rsid w:val="5FBF2E48"/>
    <w:rsid w:val="5FE55FC5"/>
    <w:rsid w:val="5FF732A1"/>
    <w:rsid w:val="603B4E0E"/>
    <w:rsid w:val="604861A1"/>
    <w:rsid w:val="60611489"/>
    <w:rsid w:val="611B3B25"/>
    <w:rsid w:val="61282D71"/>
    <w:rsid w:val="627921C2"/>
    <w:rsid w:val="62CE6D5B"/>
    <w:rsid w:val="63027431"/>
    <w:rsid w:val="630B0298"/>
    <w:rsid w:val="6391070E"/>
    <w:rsid w:val="63D57354"/>
    <w:rsid w:val="6497295D"/>
    <w:rsid w:val="650E44B2"/>
    <w:rsid w:val="65256627"/>
    <w:rsid w:val="652C1351"/>
    <w:rsid w:val="65393A14"/>
    <w:rsid w:val="662B08C5"/>
    <w:rsid w:val="663E0BF4"/>
    <w:rsid w:val="66AC7448"/>
    <w:rsid w:val="66E3632D"/>
    <w:rsid w:val="674C61F2"/>
    <w:rsid w:val="679E624B"/>
    <w:rsid w:val="67B70F91"/>
    <w:rsid w:val="680256B8"/>
    <w:rsid w:val="684E1A03"/>
    <w:rsid w:val="6852376A"/>
    <w:rsid w:val="691D346F"/>
    <w:rsid w:val="6A572F4E"/>
    <w:rsid w:val="6A702199"/>
    <w:rsid w:val="6AB852EF"/>
    <w:rsid w:val="6B5415A7"/>
    <w:rsid w:val="6B6A4927"/>
    <w:rsid w:val="6B6D4F70"/>
    <w:rsid w:val="6B7D28AC"/>
    <w:rsid w:val="6B8312D6"/>
    <w:rsid w:val="6B8A6D77"/>
    <w:rsid w:val="6D63226D"/>
    <w:rsid w:val="6D6661E1"/>
    <w:rsid w:val="6D693580"/>
    <w:rsid w:val="6DA42705"/>
    <w:rsid w:val="6DB66489"/>
    <w:rsid w:val="6E146DCC"/>
    <w:rsid w:val="6E62359E"/>
    <w:rsid w:val="6E861244"/>
    <w:rsid w:val="6EA60EBE"/>
    <w:rsid w:val="6F0B4673"/>
    <w:rsid w:val="6F0B5468"/>
    <w:rsid w:val="6F443CCF"/>
    <w:rsid w:val="6F4D3791"/>
    <w:rsid w:val="6F53759C"/>
    <w:rsid w:val="6F6E7F67"/>
    <w:rsid w:val="6FD33957"/>
    <w:rsid w:val="6FE729EA"/>
    <w:rsid w:val="70394B9C"/>
    <w:rsid w:val="70B6462C"/>
    <w:rsid w:val="70DD533F"/>
    <w:rsid w:val="713F0604"/>
    <w:rsid w:val="714D0F73"/>
    <w:rsid w:val="71567590"/>
    <w:rsid w:val="716D017F"/>
    <w:rsid w:val="716D6F1F"/>
    <w:rsid w:val="717F39D8"/>
    <w:rsid w:val="725F6D15"/>
    <w:rsid w:val="72691A36"/>
    <w:rsid w:val="726F27D5"/>
    <w:rsid w:val="73BB6668"/>
    <w:rsid w:val="74445FBF"/>
    <w:rsid w:val="744D4DE6"/>
    <w:rsid w:val="746135EA"/>
    <w:rsid w:val="747054F6"/>
    <w:rsid w:val="74A139FC"/>
    <w:rsid w:val="752F70A3"/>
    <w:rsid w:val="75BA273E"/>
    <w:rsid w:val="75F4786B"/>
    <w:rsid w:val="75FA2CB7"/>
    <w:rsid w:val="760F2DD5"/>
    <w:rsid w:val="76873458"/>
    <w:rsid w:val="76E9529A"/>
    <w:rsid w:val="77013AD6"/>
    <w:rsid w:val="776D29A4"/>
    <w:rsid w:val="777D28C3"/>
    <w:rsid w:val="77A85155"/>
    <w:rsid w:val="77D13586"/>
    <w:rsid w:val="7867437A"/>
    <w:rsid w:val="787F513D"/>
    <w:rsid w:val="78CB53B3"/>
    <w:rsid w:val="79294D66"/>
    <w:rsid w:val="79512C69"/>
    <w:rsid w:val="796B4D55"/>
    <w:rsid w:val="79900B91"/>
    <w:rsid w:val="79925FCD"/>
    <w:rsid w:val="79EF64B4"/>
    <w:rsid w:val="79F0261A"/>
    <w:rsid w:val="79F2235B"/>
    <w:rsid w:val="79FD1A07"/>
    <w:rsid w:val="7A0F4B04"/>
    <w:rsid w:val="7A140880"/>
    <w:rsid w:val="7A3A3803"/>
    <w:rsid w:val="7AA827B0"/>
    <w:rsid w:val="7AED6609"/>
    <w:rsid w:val="7B2F10F2"/>
    <w:rsid w:val="7BE81FC4"/>
    <w:rsid w:val="7C054956"/>
    <w:rsid w:val="7C0A3932"/>
    <w:rsid w:val="7C381DD5"/>
    <w:rsid w:val="7CFC65EB"/>
    <w:rsid w:val="7D3903CE"/>
    <w:rsid w:val="7D5316BF"/>
    <w:rsid w:val="7DC7089B"/>
    <w:rsid w:val="7DCF322F"/>
    <w:rsid w:val="7E2801EC"/>
    <w:rsid w:val="7E4516D8"/>
    <w:rsid w:val="7EA46247"/>
    <w:rsid w:val="7EC91B47"/>
    <w:rsid w:val="7F1D2A1C"/>
    <w:rsid w:val="7F4D74FB"/>
    <w:rsid w:val="7FE1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53"/>
    <w:qFormat/>
    <w:uiPriority w:val="99"/>
    <w:pPr>
      <w:jc w:val="left"/>
    </w:pPr>
  </w:style>
  <w:style w:type="paragraph" w:styleId="7">
    <w:name w:val="Body Text"/>
    <w:basedOn w:val="1"/>
    <w:next w:val="8"/>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next w:val="9"/>
    <w:qFormat/>
    <w:uiPriority w:val="0"/>
    <w:pPr>
      <w:ind w:firstLine="420"/>
    </w:pPr>
    <w:rPr>
      <w:rFonts w:hAnsi="Calibri"/>
      <w:szCs w:val="20"/>
    </w:rPr>
  </w:style>
  <w:style w:type="paragraph" w:styleId="9">
    <w:name w:val="toc 6"/>
    <w:basedOn w:val="1"/>
    <w:next w:val="1"/>
    <w:qFormat/>
    <w:uiPriority w:val="0"/>
    <w:pPr>
      <w:ind w:left="2100" w:leftChars="1000"/>
    </w:pPr>
  </w:style>
  <w:style w:type="paragraph" w:styleId="10">
    <w:name w:val="Body Text Indent"/>
    <w:basedOn w:val="1"/>
    <w:next w:val="1"/>
    <w:qFormat/>
    <w:uiPriority w:val="0"/>
    <w:pPr>
      <w:spacing w:line="480" w:lineRule="exact"/>
      <w:ind w:firstLine="480" w:firstLineChars="200"/>
    </w:pPr>
    <w:rPr>
      <w:rFonts w:ascii="宋体" w:hAnsi="宋体"/>
      <w:sz w:val="24"/>
    </w:rPr>
  </w:style>
  <w:style w:type="paragraph" w:styleId="11">
    <w:name w:val="Plain Text"/>
    <w:basedOn w:val="1"/>
    <w:qFormat/>
    <w:uiPriority w:val="0"/>
    <w:rPr>
      <w:rFonts w:ascii="宋体" w:hAnsi="Courier New" w:cs="Arial"/>
      <w:snapToGrid w:val="0"/>
      <w:szCs w:val="21"/>
    </w:rPr>
  </w:style>
  <w:style w:type="paragraph" w:styleId="12">
    <w:name w:val="Balloon Text"/>
    <w:basedOn w:val="1"/>
    <w:link w:val="59"/>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7">
    <w:name w:val="annotation subject"/>
    <w:basedOn w:val="6"/>
    <w:next w:val="6"/>
    <w:link w:val="54"/>
    <w:qFormat/>
    <w:uiPriority w:val="0"/>
    <w:rPr>
      <w:b/>
      <w:bCs/>
    </w:rPr>
  </w:style>
  <w:style w:type="paragraph" w:styleId="18">
    <w:name w:val="Body Text First Indent 2"/>
    <w:basedOn w:val="10"/>
    <w:next w:val="1"/>
    <w:qFormat/>
    <w:uiPriority w:val="0"/>
    <w:pPr>
      <w:adjustRightInd/>
      <w:spacing w:after="120" w:line="240" w:lineRule="auto"/>
      <w:ind w:left="420" w:leftChars="200" w:firstLine="210"/>
    </w:pPr>
    <w:rPr>
      <w:sz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rPr>
      <w:rFonts w:ascii="Arial" w:hAnsi="Arial" w:eastAsia="黑体" w:cs="Arial"/>
      <w:snapToGrid w:val="0"/>
      <w:kern w:val="0"/>
      <w:szCs w:val="21"/>
    </w:rPr>
  </w:style>
  <w:style w:type="character" w:styleId="23">
    <w:name w:val="Hyperlink"/>
    <w:qFormat/>
    <w:uiPriority w:val="99"/>
    <w:rPr>
      <w:rFonts w:ascii="Arial" w:hAnsi="Arial" w:eastAsia="黑体" w:cs="Arial"/>
      <w:snapToGrid w:val="0"/>
      <w:color w:val="000000"/>
      <w:kern w:val="0"/>
      <w:sz w:val="18"/>
      <w:szCs w:val="18"/>
      <w:u w:val="none"/>
    </w:rPr>
  </w:style>
  <w:style w:type="character" w:styleId="24">
    <w:name w:val="annotation reference"/>
    <w:qFormat/>
    <w:uiPriority w:val="99"/>
    <w:rPr>
      <w:sz w:val="21"/>
      <w:szCs w:val="21"/>
    </w:rPr>
  </w:style>
  <w:style w:type="paragraph" w:customStyle="1" w:styleId="25">
    <w:name w:val="正文空2字"/>
    <w:basedOn w:val="2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6">
    <w:name w:val="左对齐正文"/>
    <w:qFormat/>
    <w:uiPriority w:val="99"/>
    <w:rPr>
      <w:rFonts w:ascii="Calibri" w:hAnsi="Calibri" w:eastAsia="仿宋_GB2312" w:cs="Calibri"/>
      <w:kern w:val="2"/>
      <w:sz w:val="32"/>
      <w:szCs w:val="32"/>
      <w:lang w:val="en-US" w:eastAsia="zh-CN" w:bidi="ar-SA"/>
    </w:rPr>
  </w:style>
  <w:style w:type="paragraph" w:customStyle="1" w:styleId="27">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29">
    <w:name w:val="正文2"/>
    <w:basedOn w:val="1"/>
    <w:qFormat/>
    <w:uiPriority w:val="0"/>
    <w:pPr>
      <w:spacing w:before="156" w:line="360" w:lineRule="auto"/>
      <w:ind w:firstLine="510" w:firstLineChars="200"/>
    </w:pPr>
    <w:rPr>
      <w:sz w:val="24"/>
      <w:szCs w:val="20"/>
    </w:rPr>
  </w:style>
  <w:style w:type="paragraph" w:customStyle="1" w:styleId="3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table" w:customStyle="1" w:styleId="31">
    <w:name w:val="网格型7"/>
    <w:basedOn w:val="19"/>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2">
    <w:name w:val="List Paragraph"/>
    <w:basedOn w:val="1"/>
    <w:qFormat/>
    <w:uiPriority w:val="34"/>
    <w:pPr>
      <w:spacing w:line="360" w:lineRule="auto"/>
      <w:ind w:firstLine="200" w:firstLineChars="200"/>
    </w:pPr>
    <w:rPr>
      <w:rFonts w:eastAsia="楷体_GB2312" w:cs="Lucida Sans"/>
      <w:sz w:val="24"/>
    </w:rPr>
  </w:style>
  <w:style w:type="paragraph" w:customStyle="1" w:styleId="33">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4">
    <w:name w:val="索引 11"/>
    <w:basedOn w:val="1"/>
    <w:next w:val="1"/>
    <w:qFormat/>
    <w:uiPriority w:val="99"/>
    <w:pPr>
      <w:adjustRightInd/>
      <w:spacing w:line="360" w:lineRule="auto"/>
    </w:pPr>
    <w:rPr>
      <w:rFonts w:ascii="仿宋_GB2312" w:eastAsia="仿宋_GB2312"/>
      <w:sz w:val="24"/>
      <w:szCs w:val="20"/>
    </w:rPr>
  </w:style>
  <w:style w:type="paragraph" w:customStyle="1" w:styleId="35">
    <w:name w:val="纯文本1"/>
    <w:basedOn w:val="1"/>
    <w:qFormat/>
    <w:uiPriority w:val="0"/>
    <w:pPr>
      <w:adjustRightInd/>
    </w:pPr>
    <w:rPr>
      <w:rFonts w:ascii="宋体" w:hAnsi="Courier New"/>
      <w:kern w:val="0"/>
      <w:sz w:val="20"/>
      <w:szCs w:val="20"/>
    </w:rPr>
  </w:style>
  <w:style w:type="paragraph" w:customStyle="1" w:styleId="36">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7">
    <w:name w:val="纯文本_0_0"/>
    <w:basedOn w:val="38"/>
    <w:qFormat/>
    <w:uiPriority w:val="0"/>
    <w:rPr>
      <w:rFonts w:ascii="宋体" w:hAnsi="Courier New"/>
      <w:szCs w:val="21"/>
    </w:rPr>
  </w:style>
  <w:style w:type="paragraph" w:customStyle="1" w:styleId="3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Table Paragraph"/>
    <w:basedOn w:val="1"/>
    <w:qFormat/>
    <w:uiPriority w:val="0"/>
    <w:pPr>
      <w:adjustRightInd/>
      <w:jc w:val="left"/>
    </w:pPr>
    <w:rPr>
      <w:rFonts w:ascii="Calibri" w:hAnsi="Calibri"/>
      <w:kern w:val="0"/>
      <w:sz w:val="22"/>
      <w:szCs w:val="22"/>
      <w:lang w:eastAsia="en-US"/>
    </w:rPr>
  </w:style>
  <w:style w:type="paragraph" w:customStyle="1" w:styleId="4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2">
    <w:name w:val="font71"/>
    <w:basedOn w:val="21"/>
    <w:qFormat/>
    <w:uiPriority w:val="0"/>
    <w:rPr>
      <w:rFonts w:hint="eastAsia" w:ascii="宋体" w:hAnsi="宋体" w:eastAsia="宋体" w:cs="宋体"/>
      <w:color w:val="000000"/>
      <w:sz w:val="22"/>
      <w:szCs w:val="22"/>
      <w:u w:val="none"/>
    </w:rPr>
  </w:style>
  <w:style w:type="character" w:customStyle="1" w:styleId="43">
    <w:name w:val="font151"/>
    <w:basedOn w:val="21"/>
    <w:qFormat/>
    <w:uiPriority w:val="0"/>
    <w:rPr>
      <w:rFonts w:hint="eastAsia" w:ascii="宋体" w:hAnsi="宋体" w:eastAsia="宋体" w:cs="宋体"/>
      <w:color w:val="000000"/>
      <w:sz w:val="20"/>
      <w:szCs w:val="20"/>
      <w:u w:val="none"/>
    </w:rPr>
  </w:style>
  <w:style w:type="paragraph" w:customStyle="1" w:styleId="44">
    <w:name w:val="正文说明"/>
    <w:basedOn w:val="1"/>
    <w:qFormat/>
    <w:uiPriority w:val="0"/>
    <w:pPr>
      <w:adjustRightInd/>
      <w:spacing w:line="360" w:lineRule="auto"/>
    </w:pPr>
    <w:rPr>
      <w:kern w:val="0"/>
      <w:sz w:val="24"/>
    </w:rPr>
  </w:style>
  <w:style w:type="paragraph" w:customStyle="1" w:styleId="45">
    <w:name w:val="一级标题"/>
    <w:basedOn w:val="1"/>
    <w:next w:val="1"/>
    <w:qFormat/>
    <w:uiPriority w:val="0"/>
    <w:pPr>
      <w:spacing w:line="360" w:lineRule="auto"/>
      <w:outlineLvl w:val="0"/>
    </w:pPr>
    <w:rPr>
      <w:rFonts w:ascii="仿宋" w:hAnsi="仿宋" w:eastAsia="仿宋" w:cs="仿宋_GB2312"/>
      <w:b/>
      <w:sz w:val="32"/>
    </w:rPr>
  </w:style>
  <w:style w:type="character" w:customStyle="1" w:styleId="46">
    <w:name w:val="font61"/>
    <w:basedOn w:val="21"/>
    <w:qFormat/>
    <w:uiPriority w:val="0"/>
    <w:rPr>
      <w:rFonts w:hint="eastAsia" w:ascii="宋体" w:hAnsi="宋体" w:eastAsia="宋体" w:cs="宋体"/>
      <w:color w:val="000000"/>
      <w:sz w:val="18"/>
      <w:szCs w:val="18"/>
      <w:u w:val="none"/>
    </w:rPr>
  </w:style>
  <w:style w:type="paragraph" w:customStyle="1" w:styleId="47">
    <w:name w:val="_正文段落"/>
    <w:basedOn w:val="1"/>
    <w:qFormat/>
    <w:uiPriority w:val="0"/>
    <w:pPr>
      <w:adjustRightInd/>
      <w:ind w:firstLine="560"/>
    </w:pPr>
    <w:rPr>
      <w:rFonts w:ascii="仿宋_GB2312" w:hAnsi="仿宋" w:eastAsia="仿宋_GB2312"/>
      <w:kern w:val="0"/>
      <w:sz w:val="28"/>
      <w:szCs w:val="28"/>
    </w:rPr>
  </w:style>
  <w:style w:type="character" w:customStyle="1" w:styleId="48">
    <w:name w:val="font91"/>
    <w:basedOn w:val="21"/>
    <w:qFormat/>
    <w:uiPriority w:val="0"/>
    <w:rPr>
      <w:rFonts w:hint="eastAsia" w:ascii="宋体" w:hAnsi="宋体" w:eastAsia="宋体" w:cs="宋体"/>
      <w:color w:val="FF0000"/>
      <w:sz w:val="28"/>
      <w:szCs w:val="28"/>
      <w:u w:val="none"/>
    </w:rPr>
  </w:style>
  <w:style w:type="table" w:customStyle="1" w:styleId="49">
    <w:name w:val="Table Normal"/>
    <w:semiHidden/>
    <w:unhideWhenUsed/>
    <w:qFormat/>
    <w:uiPriority w:val="0"/>
    <w:tblPr>
      <w:tblCellMar>
        <w:top w:w="0" w:type="dxa"/>
        <w:left w:w="0" w:type="dxa"/>
        <w:bottom w:w="0" w:type="dxa"/>
        <w:right w:w="0" w:type="dxa"/>
      </w:tblCellMar>
    </w:tblPr>
  </w:style>
  <w:style w:type="paragraph" w:customStyle="1" w:styleId="50">
    <w:name w:val="正文首行缩进 21"/>
    <w:basedOn w:val="1"/>
    <w:qFormat/>
    <w:uiPriority w:val="0"/>
    <w:pPr>
      <w:adjustRightInd/>
      <w:spacing w:after="120"/>
      <w:ind w:left="420" w:leftChars="200" w:firstLine="420"/>
    </w:pPr>
    <w:rPr>
      <w:rFonts w:ascii="Calibri" w:hAnsi="Calibri" w:cs="宋体"/>
      <w:color w:val="000000"/>
      <w:szCs w:val="21"/>
    </w:rPr>
  </w:style>
  <w:style w:type="paragraph" w:customStyle="1" w:styleId="5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52">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53">
    <w:name w:val="批注文字 字符"/>
    <w:basedOn w:val="21"/>
    <w:link w:val="6"/>
    <w:qFormat/>
    <w:uiPriority w:val="99"/>
    <w:rPr>
      <w:kern w:val="2"/>
      <w:sz w:val="21"/>
      <w:szCs w:val="24"/>
    </w:rPr>
  </w:style>
  <w:style w:type="character" w:customStyle="1" w:styleId="54">
    <w:name w:val="批注主题 字符"/>
    <w:basedOn w:val="53"/>
    <w:link w:val="17"/>
    <w:qFormat/>
    <w:uiPriority w:val="0"/>
    <w:rPr>
      <w:b/>
      <w:bCs/>
      <w:kern w:val="2"/>
      <w:sz w:val="21"/>
      <w:szCs w:val="24"/>
    </w:rPr>
  </w:style>
  <w:style w:type="paragraph" w:customStyle="1" w:styleId="55">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56">
    <w:name w:val="font11"/>
    <w:basedOn w:val="21"/>
    <w:qFormat/>
    <w:uiPriority w:val="0"/>
    <w:rPr>
      <w:rFonts w:hint="default" w:ascii="仿宋" w:hAnsi="仿宋" w:eastAsia="仿宋" w:cs="仿宋"/>
      <w:color w:val="000000"/>
      <w:sz w:val="20"/>
      <w:szCs w:val="20"/>
      <w:u w:val="none"/>
    </w:rPr>
  </w:style>
  <w:style w:type="paragraph" w:customStyle="1" w:styleId="57">
    <w:name w:val="正文文字"/>
    <w:basedOn w:val="1"/>
    <w:qFormat/>
    <w:uiPriority w:val="0"/>
    <w:pPr>
      <w:widowControl/>
      <w:spacing w:line="952" w:lineRule="atLeast"/>
      <w:ind w:firstLine="419"/>
      <w:textAlignment w:val="baseline"/>
    </w:pPr>
    <w:rPr>
      <w:b/>
      <w:color w:val="000000"/>
      <w:sz w:val="44"/>
    </w:rPr>
  </w:style>
  <w:style w:type="character" w:customStyle="1" w:styleId="58">
    <w:name w:val="NormalCharacter"/>
    <w:semiHidden/>
    <w:qFormat/>
    <w:uiPriority w:val="0"/>
  </w:style>
  <w:style w:type="character" w:customStyle="1" w:styleId="59">
    <w:name w:val="批注框文本 字符"/>
    <w:basedOn w:val="21"/>
    <w:link w:val="1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F1F5C-B56E-4801-99FA-7BCEC23938BB}">
  <ds:schemaRefs/>
</ds:datastoreItem>
</file>

<file path=docProps/app.xml><?xml version="1.0" encoding="utf-8"?>
<Properties xmlns="http://schemas.openxmlformats.org/officeDocument/2006/extended-properties" xmlns:vt="http://schemas.openxmlformats.org/officeDocument/2006/docPropsVTypes">
  <Template>Normal</Template>
  <Pages>75</Pages>
  <Words>38226</Words>
  <Characters>40559</Characters>
  <Lines>342</Lines>
  <Paragraphs>96</Paragraphs>
  <TotalTime>10</TotalTime>
  <ScaleCrop>false</ScaleCrop>
  <LinksUpToDate>false</LinksUpToDate>
  <CharactersWithSpaces>46155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2025-05-29T08:12:00Z</dcterms:created>
  <dc:creator>C</dc:creator>
  <cp:lastModifiedBy>成三少</cp:lastModifiedBy>
  <dcterms:modified xsi:type="dcterms:W3CDTF">2025-06-25T11:05:58Z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83740085CA79480B816E0B3B8E7F3EDF_13</vt:lpwstr>
  </property>
  <property fmtid="{D5CDD505-2E9C-101B-9397-08002B2CF9AE}" pid="4" name="KSOTemplateDocerSaveRecord">
    <vt:lpwstr>eyJoZGlkIjoiZjk4ODA0NjMwNjFhYWEyZThjZjg2N2YxN2FlZGJmODIiLCJ1c2VySWQiOiI0NDg3MDg0OTkifQ==</vt:lpwstr>
  </property>
</Properties>
</file>