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5419">
      <w:pPr>
        <w:spacing w:line="360" w:lineRule="auto"/>
        <w:rPr>
          <w:rFonts w:ascii="宋体" w:hAnsi="宋体" w:cs="宋体"/>
          <w:b/>
          <w:color w:val="auto"/>
          <w:sz w:val="48"/>
          <w:szCs w:val="48"/>
          <w:highlight w:val="none"/>
        </w:rPr>
      </w:pPr>
    </w:p>
    <w:p w14:paraId="07E901D4">
      <w:pPr>
        <w:spacing w:line="360" w:lineRule="auto"/>
        <w:jc w:val="center"/>
        <w:rPr>
          <w:rFonts w:ascii="宋体" w:hAnsi="宋体" w:cs="宋体"/>
          <w:b/>
          <w:color w:val="auto"/>
          <w:sz w:val="48"/>
          <w:szCs w:val="48"/>
          <w:highlight w:val="none"/>
        </w:rPr>
      </w:pPr>
    </w:p>
    <w:p w14:paraId="333B9B8A">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杭州市财经职业学校动漫课程资源建设与课程专项提升服务项目</w:t>
      </w:r>
    </w:p>
    <w:p w14:paraId="79BB6F52">
      <w:pPr>
        <w:adjustRightInd/>
        <w:spacing w:line="360" w:lineRule="auto"/>
        <w:jc w:val="center"/>
        <w:rPr>
          <w:rFonts w:ascii="宋体" w:hAnsi="宋体" w:cs="宋体"/>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D35053E">
      <w:pPr>
        <w:snapToGrid w:val="0"/>
        <w:spacing w:line="360" w:lineRule="auto"/>
        <w:jc w:val="center"/>
        <w:rPr>
          <w:rFonts w:ascii="宋体" w:hAnsi="宋体" w:cs="宋体"/>
          <w:color w:val="auto"/>
          <w:sz w:val="30"/>
          <w:szCs w:val="30"/>
          <w:highlight w:val="none"/>
        </w:rPr>
      </w:pP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HZCJ-2025-012</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5F8712C9">
      <w:pPr>
        <w:spacing w:line="360" w:lineRule="auto"/>
        <w:jc w:val="center"/>
        <w:rPr>
          <w:rFonts w:ascii="国标宋体" w:hAnsi="国标宋体" w:eastAsia="国标宋体" w:cs="国标宋体"/>
          <w:color w:val="auto"/>
          <w:sz w:val="32"/>
          <w:szCs w:val="32"/>
          <w:highlight w:val="none"/>
        </w:rPr>
      </w:pPr>
      <w:r>
        <w:rPr>
          <w:rFonts w:hint="eastAsia" w:ascii="国标宋体" w:hAnsi="国标宋体" w:eastAsia="国标宋体" w:cs="国标宋体"/>
          <w:color w:val="auto"/>
          <w:sz w:val="32"/>
          <w:szCs w:val="32"/>
          <w:highlight w:val="none"/>
        </w:rPr>
        <w:t>杭州市财经职业学校</w:t>
      </w:r>
    </w:p>
    <w:p w14:paraId="71B2EA4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浙江西建工程管理有限公司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3026EBEC">
      <w:pPr>
        <w:spacing w:line="360" w:lineRule="auto"/>
        <w:rPr>
          <w:rFonts w:ascii="宋体" w:hAnsi="宋体" w:cs="宋体"/>
          <w:b/>
          <w:color w:val="auto"/>
          <w:sz w:val="48"/>
          <w:szCs w:val="48"/>
          <w:highlight w:val="none"/>
        </w:rPr>
      </w:pPr>
    </w:p>
    <w:p w14:paraId="0A40726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ABE3E3">
      <w:pPr>
        <w:spacing w:line="360" w:lineRule="auto"/>
        <w:rPr>
          <w:rFonts w:ascii="宋体" w:hAnsi="宋体" w:cs="宋体"/>
          <w:color w:val="auto"/>
          <w:sz w:val="32"/>
          <w:szCs w:val="32"/>
          <w:highlight w:val="none"/>
        </w:rPr>
      </w:pPr>
    </w:p>
    <w:p w14:paraId="22093213">
      <w:pPr>
        <w:spacing w:line="360" w:lineRule="auto"/>
        <w:rPr>
          <w:rFonts w:ascii="宋体" w:hAnsi="宋体" w:cs="宋体"/>
          <w:color w:val="auto"/>
          <w:sz w:val="32"/>
          <w:szCs w:val="32"/>
          <w:highlight w:val="none"/>
        </w:rPr>
      </w:pPr>
    </w:p>
    <w:p w14:paraId="2F74384E">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第一章      交易公告</w:t>
      </w:r>
    </w:p>
    <w:p w14:paraId="559B6AF2">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第二章      供应商须知</w:t>
      </w:r>
    </w:p>
    <w:p w14:paraId="71B69B1B">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采购需求</w:t>
      </w:r>
    </w:p>
    <w:p w14:paraId="1E2419B8">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第四章      评审办法</w:t>
      </w:r>
    </w:p>
    <w:p w14:paraId="1A0AF36A">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第五章      拟签订的合同文本</w:t>
      </w:r>
    </w:p>
    <w:p w14:paraId="37298075">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第六章      应提交的有关格式范例</w:t>
      </w:r>
    </w:p>
    <w:p w14:paraId="4B137A6C">
      <w:pPr>
        <w:pStyle w:val="24"/>
        <w:spacing w:line="480" w:lineRule="auto"/>
        <w:rPr>
          <w:color w:val="auto"/>
          <w:highlight w:val="none"/>
          <w:lang w:val="en-US"/>
        </w:rPr>
      </w:pPr>
      <w:r>
        <w:rPr>
          <w:rFonts w:hint="eastAsia"/>
          <w:color w:val="auto"/>
          <w:highlight w:val="none"/>
          <w:lang w:val="en-US"/>
        </w:rPr>
        <w:t xml:space="preserve">    </w:t>
      </w:r>
      <w:r>
        <w:rPr>
          <w:rFonts w:hint="eastAsia" w:ascii="宋体" w:hAnsi="宋体" w:eastAsia="宋体" w:cs="宋体"/>
          <w:color w:val="auto"/>
          <w:highlight w:val="none"/>
          <w:lang w:val="en-US"/>
        </w:rPr>
        <w:t>第七章      附件</w:t>
      </w:r>
    </w:p>
    <w:p w14:paraId="7D437DB4">
      <w:pPr>
        <w:pStyle w:val="24"/>
        <w:spacing w:line="480" w:lineRule="auto"/>
        <w:ind w:firstLine="0" w:firstLineChars="0"/>
        <w:rPr>
          <w:color w:val="auto"/>
          <w:highlight w:val="none"/>
          <w:lang w:val="en-US"/>
        </w:rPr>
      </w:pPr>
    </w:p>
    <w:p w14:paraId="078CF6A9">
      <w:pPr>
        <w:spacing w:line="360" w:lineRule="auto"/>
        <w:rPr>
          <w:rFonts w:ascii="宋体" w:hAnsi="宋体" w:cs="宋体"/>
          <w:color w:val="auto"/>
          <w:sz w:val="32"/>
          <w:szCs w:val="32"/>
          <w:highlight w:val="none"/>
        </w:rPr>
      </w:pPr>
    </w:p>
    <w:p w14:paraId="5088CBF1">
      <w:pPr>
        <w:rPr>
          <w:color w:val="auto"/>
          <w:highlight w:val="none"/>
        </w:rPr>
      </w:pPr>
    </w:p>
    <w:p w14:paraId="0158B0A6">
      <w:pPr>
        <w:rPr>
          <w:color w:val="auto"/>
          <w:highlight w:val="none"/>
        </w:rPr>
      </w:pPr>
    </w:p>
    <w:p w14:paraId="2B06A660">
      <w:pPr>
        <w:pStyle w:val="24"/>
        <w:rPr>
          <w:color w:val="auto"/>
          <w:highlight w:val="none"/>
        </w:rPr>
      </w:pPr>
    </w:p>
    <w:p w14:paraId="6A97A859">
      <w:pPr>
        <w:pStyle w:val="24"/>
        <w:rPr>
          <w:color w:val="auto"/>
          <w:highlight w:val="none"/>
        </w:rPr>
      </w:pPr>
    </w:p>
    <w:p w14:paraId="4BCCFCC6">
      <w:pPr>
        <w:adjustRightInd/>
        <w:spacing w:line="360" w:lineRule="auto"/>
        <w:outlineLvl w:val="0"/>
        <w:rPr>
          <w:rFonts w:ascii="宋体" w:hAnsi="宋体" w:cs="宋体"/>
          <w:b/>
          <w:color w:val="auto"/>
          <w:sz w:val="36"/>
          <w:szCs w:val="20"/>
          <w:highlight w:val="none"/>
        </w:rPr>
      </w:pPr>
    </w:p>
    <w:p w14:paraId="73B6374A">
      <w:pPr>
        <w:adjustRightInd/>
        <w:spacing w:line="360" w:lineRule="auto"/>
        <w:ind w:firstLine="3614" w:firstLineChars="1000"/>
        <w:outlineLvl w:val="0"/>
        <w:rPr>
          <w:rFonts w:ascii="宋体" w:hAnsi="宋体" w:cs="宋体"/>
          <w:b/>
          <w:color w:val="auto"/>
          <w:sz w:val="36"/>
          <w:szCs w:val="20"/>
          <w:highlight w:val="none"/>
        </w:rPr>
      </w:pPr>
    </w:p>
    <w:p w14:paraId="402AD8FD">
      <w:pPr>
        <w:adjustRightInd/>
        <w:spacing w:line="360" w:lineRule="auto"/>
        <w:ind w:firstLine="3614" w:firstLineChars="1000"/>
        <w:outlineLvl w:val="0"/>
        <w:rPr>
          <w:rFonts w:ascii="宋体" w:hAnsi="宋体" w:cs="宋体"/>
          <w:b/>
          <w:color w:val="auto"/>
          <w:sz w:val="36"/>
          <w:szCs w:val="20"/>
          <w:highlight w:val="none"/>
        </w:rPr>
      </w:pPr>
    </w:p>
    <w:p w14:paraId="615DC728">
      <w:pPr>
        <w:adjustRightInd/>
        <w:spacing w:line="360" w:lineRule="auto"/>
        <w:ind w:firstLine="3614" w:firstLineChars="1000"/>
        <w:outlineLvl w:val="0"/>
        <w:rPr>
          <w:rFonts w:ascii="宋体" w:hAnsi="宋体" w:cs="宋体"/>
          <w:b/>
          <w:color w:val="auto"/>
          <w:sz w:val="36"/>
          <w:szCs w:val="20"/>
          <w:highlight w:val="none"/>
        </w:rPr>
      </w:pPr>
    </w:p>
    <w:p w14:paraId="7BA0A31C">
      <w:pPr>
        <w:adjustRightInd/>
        <w:spacing w:line="360" w:lineRule="auto"/>
        <w:ind w:firstLine="3614" w:firstLineChars="10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第一章 交易公告</w:t>
      </w:r>
    </w:p>
    <w:p w14:paraId="24B824D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8C388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none"/>
          <w:lang w:eastAsia="zh-CN"/>
        </w:rPr>
        <w:t>杭州市财经职业学校动漫课程资源建设与课程专项提升服务项目</w:t>
      </w:r>
      <w:r>
        <w:rPr>
          <w:rFonts w:hint="eastAsia" w:asciiTheme="minorEastAsia" w:hAnsiTheme="minorEastAsia" w:eastAsiaTheme="minorEastAsia"/>
          <w:color w:val="auto"/>
          <w:sz w:val="24"/>
          <w:highlight w:val="none"/>
          <w:u w:val="none"/>
        </w:rPr>
        <w:t>采购项目的潜在供应商应在杭州市教育局非依法招标（小额）获取（下载）招标文件，并于2025年0</w:t>
      </w:r>
      <w:r>
        <w:rPr>
          <w:rFonts w:hint="eastAsia" w:asciiTheme="minorEastAsia" w:hAnsiTheme="minorEastAsia" w:eastAsiaTheme="minorEastAsia"/>
          <w:color w:val="auto"/>
          <w:sz w:val="24"/>
          <w:highlight w:val="none"/>
          <w:u w:val="none"/>
          <w:lang w:val="en-US" w:eastAsia="zh-CN"/>
        </w:rPr>
        <w:t>8</w:t>
      </w:r>
      <w:r>
        <w:rPr>
          <w:rFonts w:hint="eastAsia" w:asciiTheme="minorEastAsia" w:hAnsiTheme="minorEastAsia" w:eastAsiaTheme="minorEastAsia"/>
          <w:color w:val="auto"/>
          <w:sz w:val="24"/>
          <w:highlight w:val="none"/>
          <w:u w:val="none"/>
        </w:rPr>
        <w:t>月</w:t>
      </w:r>
      <w:r>
        <w:rPr>
          <w:rFonts w:hint="eastAsia" w:asciiTheme="minorEastAsia" w:hAnsiTheme="minorEastAsia" w:eastAsiaTheme="minorEastAsia"/>
          <w:color w:val="auto"/>
          <w:sz w:val="24"/>
          <w:highlight w:val="none"/>
          <w:u w:val="none"/>
          <w:lang w:val="en-US" w:eastAsia="zh-CN"/>
        </w:rPr>
        <w:t>06</w:t>
      </w:r>
      <w:r>
        <w:rPr>
          <w:rFonts w:hint="eastAsia" w:asciiTheme="minorEastAsia" w:hAnsiTheme="minorEastAsia" w:eastAsiaTheme="minorEastAsia"/>
          <w:color w:val="auto"/>
          <w:sz w:val="24"/>
          <w:highlight w:val="none"/>
          <w:u w:val="none"/>
        </w:rPr>
        <w:t>日1</w:t>
      </w:r>
      <w:r>
        <w:rPr>
          <w:rFonts w:hint="eastAsia" w:asciiTheme="minorEastAsia" w:hAnsiTheme="minorEastAsia" w:eastAsiaTheme="minorEastAsia"/>
          <w:color w:val="auto"/>
          <w:sz w:val="24"/>
          <w:highlight w:val="none"/>
          <w:u w:val="none"/>
          <w:lang w:val="en-US" w:eastAsia="zh-CN"/>
        </w:rPr>
        <w:t>3</w:t>
      </w:r>
      <w:r>
        <w:rPr>
          <w:rFonts w:hint="eastAsia" w:asciiTheme="minorEastAsia" w:hAnsiTheme="minorEastAsia" w:eastAsiaTheme="minorEastAsia"/>
          <w:color w:val="auto"/>
          <w:sz w:val="24"/>
          <w:highlight w:val="none"/>
          <w:u w:val="none"/>
        </w:rPr>
        <w:t>点</w:t>
      </w:r>
      <w:r>
        <w:rPr>
          <w:rFonts w:hint="eastAsia" w:asciiTheme="minorEastAsia" w:hAnsiTheme="minorEastAsia" w:eastAsiaTheme="minorEastAsia"/>
          <w:color w:val="auto"/>
          <w:sz w:val="24"/>
          <w:highlight w:val="none"/>
          <w:u w:val="none"/>
          <w:lang w:val="en-US" w:eastAsia="zh-CN"/>
        </w:rPr>
        <w:t>3</w:t>
      </w:r>
      <w:r>
        <w:rPr>
          <w:rFonts w:hint="eastAsia" w:asciiTheme="minorEastAsia" w:hAnsiTheme="minorEastAsia" w:eastAsiaTheme="minorEastAsia"/>
          <w:color w:val="auto"/>
          <w:sz w:val="24"/>
          <w:highlight w:val="none"/>
          <w:u w:val="none"/>
        </w:rPr>
        <w:t>0分00秒（北京时间）前递交（上传）投标文件</w:t>
      </w:r>
      <w:r>
        <w:rPr>
          <w:rFonts w:hint="eastAsia" w:asciiTheme="minorEastAsia" w:hAnsiTheme="minorEastAsia" w:eastAsiaTheme="minorEastAsia"/>
          <w:color w:val="auto"/>
          <w:sz w:val="24"/>
          <w:highlight w:val="none"/>
        </w:rPr>
        <w:t>。</w:t>
      </w:r>
    </w:p>
    <w:p w14:paraId="6D2772C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225E51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微软雅黑" w:hAnsi="微软雅黑" w:eastAsia="微软雅黑" w:cs="微软雅黑"/>
          <w:b w:val="0"/>
          <w:bCs w:val="0"/>
          <w:color w:val="auto"/>
          <w:sz w:val="20"/>
          <w:szCs w:val="20"/>
          <w:highlight w:val="none"/>
          <w:lang w:eastAsia="zh-CN"/>
        </w:rPr>
        <w:t>HZCJ-2025-012</w:t>
      </w:r>
    </w:p>
    <w:p w14:paraId="3A73F2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杭州市财经职业学校动漫课程资源建设与课程专项提升服务项目</w:t>
      </w:r>
      <w:r>
        <w:rPr>
          <w:rFonts w:hint="eastAsia" w:ascii="宋体" w:hAnsi="宋体" w:cs="宋体"/>
          <w:color w:val="auto"/>
          <w:sz w:val="24"/>
          <w:highlight w:val="none"/>
        </w:rPr>
        <w:t>采购项目</w:t>
      </w:r>
    </w:p>
    <w:p w14:paraId="240993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预算金额（元）：33</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000</w:t>
      </w:r>
    </w:p>
    <w:p w14:paraId="3C3AA0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最高限价（元）：33</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000</w:t>
      </w:r>
    </w:p>
    <w:p w14:paraId="493C1B07">
      <w:pPr>
        <w:pStyle w:val="8"/>
        <w:spacing w:line="360" w:lineRule="auto"/>
        <w:ind w:firstLine="480"/>
        <w:rPr>
          <w:rFonts w:hAnsi="宋体" w:cs="宋体"/>
          <w:bCs/>
          <w:snapToGrid/>
          <w:color w:val="auto"/>
          <w:kern w:val="2"/>
          <w:sz w:val="24"/>
          <w:szCs w:val="24"/>
          <w:highlight w:val="none"/>
        </w:rPr>
      </w:pPr>
      <w:r>
        <w:rPr>
          <w:rFonts w:hint="eastAsia" w:cs="Arial" w:asciiTheme="minorEastAsia" w:hAnsiTheme="minorEastAsia" w:eastAsiaTheme="minorEastAsia"/>
          <w:b/>
          <w:bCs/>
          <w:color w:val="auto"/>
          <w:sz w:val="24"/>
          <w:highlight w:val="none"/>
        </w:rPr>
        <w:t>采购需求：</w:t>
      </w:r>
      <w:r>
        <w:rPr>
          <w:rFonts w:hint="eastAsia" w:cs="Arial" w:asciiTheme="minorEastAsia" w:hAnsiTheme="minorEastAsia" w:eastAsiaTheme="minorEastAsia"/>
          <w:color w:val="auto"/>
          <w:sz w:val="24"/>
          <w:highlight w:val="none"/>
          <w:lang w:eastAsia="zh-CN"/>
        </w:rPr>
        <w:t>杭州市财经职业学校动漫课程资源建设与课程专项提升服务项目</w:t>
      </w:r>
      <w:r>
        <w:rPr>
          <w:rFonts w:hint="eastAsia" w:cs="Arial" w:asciiTheme="minorEastAsia" w:hAnsiTheme="minorEastAsia" w:eastAsiaTheme="minorEastAsia"/>
          <w:color w:val="auto"/>
          <w:sz w:val="24"/>
          <w:highlight w:val="none"/>
        </w:rPr>
        <w:t>采购项目主要内容：</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3C496B4C">
      <w:pPr>
        <w:pStyle w:val="26"/>
        <w:spacing w:before="0"/>
        <w:ind w:firstLine="489"/>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仿宋"/>
          <w:color w:val="auto"/>
          <w:szCs w:val="24"/>
          <w:highlight w:val="none"/>
        </w:rPr>
        <w:t>在合同签订接校方开工通知后</w:t>
      </w:r>
      <w:r>
        <w:rPr>
          <w:rFonts w:ascii="宋体" w:hAnsi="宋体" w:cs="仿宋"/>
          <w:color w:val="auto"/>
          <w:szCs w:val="24"/>
          <w:highlight w:val="none"/>
        </w:rPr>
        <w:t>60个工作日内开发完成</w:t>
      </w:r>
      <w:r>
        <w:rPr>
          <w:rFonts w:hint="eastAsia" w:ascii="宋体" w:hAnsi="宋体" w:cs="仿宋"/>
          <w:color w:val="auto"/>
          <w:szCs w:val="24"/>
          <w:highlight w:val="none"/>
        </w:rPr>
        <w:t>。试运行后完成验收</w:t>
      </w:r>
      <w:r>
        <w:rPr>
          <w:rFonts w:hint="eastAsia" w:ascii="宋体" w:hAnsi="宋体" w:cs="宋体"/>
          <w:b/>
          <w:color w:val="auto"/>
          <w:highlight w:val="none"/>
        </w:rPr>
        <w:t>。</w:t>
      </w:r>
    </w:p>
    <w:p w14:paraId="05718733">
      <w:pPr>
        <w:pStyle w:val="8"/>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本项目接受联合体响应：</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DA0458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10274F9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2FD4197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服务全部由符合政策要求的小微企业承接，提供中小企业声明函；</w:t>
      </w: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66178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9A613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日始至2025年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日止，每天上午00:00至12:00 ，下午12:00至23:59（北京时间，线上获取法定节假日均可）</w:t>
      </w:r>
    </w:p>
    <w:p w14:paraId="5B86261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地点（网址）：杭州市教育局非依法招标（小额）项目采购平台（https://hzjyg.lecaiyun.com/）</w:t>
      </w:r>
    </w:p>
    <w:p w14:paraId="2166A1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供应商登录杭州市教育局非依法招标（小额）项目采购平台（https://hzjyg.lecaiyun.com/）在线申请获取采购文件（进入“项目采购”应用，在获取采购文件菜单中选择项目，申请获取采购文件）。 </w:t>
      </w:r>
    </w:p>
    <w:p w14:paraId="0727EC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EEC35C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四、提交响应文件截止时间、开标时间和地点</w:t>
      </w:r>
    </w:p>
    <w:p w14:paraId="73DC08D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BFDCAD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提交响应文件地点（网址）：</w:t>
      </w:r>
      <w:r>
        <w:rPr>
          <w:rFonts w:hint="eastAsia" w:ascii="宋体" w:hAnsi="宋体" w:cs="宋体"/>
          <w:b/>
          <w:bCs/>
          <w:color w:val="auto"/>
          <w:sz w:val="24"/>
          <w:highlight w:val="none"/>
        </w:rPr>
        <w:t>杭州市教育局非依法招标（小额）项目采购平台（https://hzjyg.lecaiyun.com/）</w:t>
      </w:r>
    </w:p>
    <w:p w14:paraId="6D8D993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2025年 </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（北京时间）</w:t>
      </w:r>
    </w:p>
    <w:p w14:paraId="3870004B">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杭州市教育局非依法招标（小额）项目采购平台（https://hzjyg.lecaiyun.com/）</w:t>
      </w:r>
    </w:p>
    <w:p w14:paraId="36C27774">
      <w:pPr>
        <w:spacing w:line="360" w:lineRule="auto"/>
        <w:rPr>
          <w:rFonts w:ascii="宋体" w:hAnsi="宋体" w:cs="宋体"/>
          <w:color w:val="auto"/>
          <w:kern w:val="0"/>
          <w:szCs w:val="21"/>
          <w:highlight w:val="none"/>
        </w:rPr>
      </w:pPr>
      <w:r>
        <w:rPr>
          <w:rFonts w:hint="eastAsia" w:ascii="宋体" w:hAnsi="宋体" w:cs="宋体"/>
          <w:b/>
          <w:color w:val="auto"/>
          <w:sz w:val="24"/>
          <w:highlight w:val="none"/>
        </w:rPr>
        <w:t>五、公告期限：</w:t>
      </w:r>
      <w:r>
        <w:rPr>
          <w:rFonts w:hint="eastAsia" w:hAnsi="宋体" w:cs="宋体"/>
          <w:bCs/>
          <w:color w:val="auto"/>
          <w:sz w:val="24"/>
          <w:highlight w:val="none"/>
        </w:rPr>
        <w:t>自本公告发布之日起3个工作日。</w:t>
      </w:r>
    </w:p>
    <w:p w14:paraId="4B97BEF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六、其他事项：</w:t>
      </w:r>
    </w:p>
    <w:p w14:paraId="5CF7C0D8">
      <w:pPr>
        <w:spacing w:line="360" w:lineRule="auto"/>
        <w:rPr>
          <w:rFonts w:hAnsi="宋体" w:cs="宋体"/>
          <w:bCs/>
          <w:color w:val="auto"/>
          <w:sz w:val="24"/>
          <w:highlight w:val="none"/>
        </w:rPr>
      </w:pPr>
      <w:r>
        <w:rPr>
          <w:rFonts w:hint="eastAsia" w:hAnsi="宋体" w:cs="宋体"/>
          <w:bCs/>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杭州市教育局非依法招标（小额）项目采购平台下载专区下载。</w:t>
      </w:r>
    </w:p>
    <w:p w14:paraId="3768651E">
      <w:pPr>
        <w:spacing w:line="360" w:lineRule="auto"/>
        <w:rPr>
          <w:rFonts w:hAnsi="宋体" w:cs="宋体"/>
          <w:bCs/>
          <w:color w:val="auto"/>
          <w:sz w:val="24"/>
          <w:highlight w:val="none"/>
        </w:rPr>
      </w:pPr>
      <w:r>
        <w:rPr>
          <w:rFonts w:hint="eastAsia" w:hAnsi="宋体" w:cs="宋体"/>
          <w:bCs/>
          <w:color w:val="auto"/>
          <w:sz w:val="24"/>
          <w:highlight w:val="none"/>
        </w:rPr>
        <w:t>2.其他事项：</w:t>
      </w:r>
    </w:p>
    <w:p w14:paraId="2C86774D">
      <w:pPr>
        <w:spacing w:line="360" w:lineRule="auto"/>
        <w:rPr>
          <w:rFonts w:hAnsi="宋体" w:cs="宋体"/>
          <w:bCs/>
          <w:color w:val="auto"/>
          <w:sz w:val="24"/>
          <w:highlight w:val="none"/>
        </w:rPr>
      </w:pPr>
      <w:r>
        <w:rPr>
          <w:rFonts w:hint="eastAsia" w:hAnsi="宋体" w:cs="宋体"/>
          <w:bCs/>
          <w:color w:val="auto"/>
          <w:sz w:val="24"/>
          <w:highlight w:val="none"/>
        </w:rPr>
        <w:t>（1）需要落实的采购政策：包括节约资源、保护环境、支持创新、促进中小企业发展等。详见招标文件的第二部分总则。</w:t>
      </w:r>
    </w:p>
    <w:p w14:paraId="1B2D61C4">
      <w:pPr>
        <w:spacing w:line="360" w:lineRule="auto"/>
        <w:rPr>
          <w:rFonts w:hAnsi="宋体" w:cs="宋体"/>
          <w:bCs/>
          <w:color w:val="auto"/>
          <w:sz w:val="24"/>
          <w:highlight w:val="none"/>
        </w:rPr>
      </w:pPr>
      <w:r>
        <w:rPr>
          <w:rFonts w:hint="eastAsia" w:hAnsi="宋体" w:cs="宋体"/>
          <w:bCs/>
          <w:color w:val="auto"/>
          <w:sz w:val="24"/>
          <w:highlight w:val="none"/>
        </w:rPr>
        <w:t>（2）电子招投标的说明：①电子招投标：本项目以数据电文形式，依托“杭州市教育局非依法招标（小额）项目采购平台（https://hzjyg.lecaiyun.com）”进行招投标活动，不接受纸质投标文件；②投标准备：注册账号--点击“商家入驻”，进行供应商资料填写；申领CA数字证书---申领流程详见“杭州市教育局非依法招标（小额）项目采购平台-下载专区-电子交易客户端-CA驱动和申领流程”；安装“电子交易客户端”----前往“杭州市教育局非依法招标（小额）项目采购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电子交易客户端”中完成“填写基本信息”、“导入投标文件”、“标书关联”、“标书检查”、“电子签名”、“生成电子标书”等操作；⑤采购人、采购代理机构将依托杭州市教育局非依法招标（小额）项目采购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杭州市教育局非依法招标（小额）项目采购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杭州市教育局非依法招标（小额）项目采购平台”上传递交的投标文件无法按时解密，投标供应商递交了备份投标文件的，以备份投标文件为依据，否则视为投标文件撤回。通过“杭州市教育局非依法招标（小额）项目采购平台”上传递交的投标文件已按时解密的，备份投标文件自动失效。投标人仅提交备份投标文件，未在电子交易平台传输递交投标文件的，投标无效；⑩具体操作指南：详见杭州市教育局非依法招标（小额）项目采购平台“服务中心-帮助文档-项目采购-操作流程-电子招投标-项目电子交易管理操作指南-供应商”。</w:t>
      </w:r>
    </w:p>
    <w:p w14:paraId="20943839">
      <w:pPr>
        <w:spacing w:line="360" w:lineRule="auto"/>
        <w:rPr>
          <w:rFonts w:hAnsi="宋体" w:cs="宋体"/>
          <w:bCs/>
          <w:color w:val="auto"/>
          <w:sz w:val="24"/>
          <w:highlight w:val="none"/>
        </w:rPr>
      </w:pPr>
      <w:r>
        <w:rPr>
          <w:rFonts w:hint="eastAsia" w:hAnsi="宋体" w:cs="宋体"/>
          <w:bCs/>
          <w:color w:val="auto"/>
          <w:sz w:val="24"/>
          <w:highlight w:val="none"/>
        </w:rPr>
        <w:t>（3）招标文件公告期限与招标公告的公告期限一致。</w:t>
      </w:r>
    </w:p>
    <w:p w14:paraId="7EA1A1C4">
      <w:pPr>
        <w:snapToGrid w:val="0"/>
        <w:spacing w:line="360" w:lineRule="auto"/>
        <w:rPr>
          <w:rFonts w:ascii="宋体" w:hAnsi="宋体" w:cs="宋体"/>
          <w:color w:val="auto"/>
          <w:sz w:val="24"/>
          <w:highlight w:val="none"/>
        </w:rPr>
      </w:pPr>
    </w:p>
    <w:p w14:paraId="6BED090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七、联系方式：</w:t>
      </w:r>
    </w:p>
    <w:p w14:paraId="0F6A9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1、名    称：杭州市财经职业学校</w:t>
      </w:r>
    </w:p>
    <w:p w14:paraId="533F12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址：杭州市滨江区滨文路225号</w:t>
      </w:r>
    </w:p>
    <w:p w14:paraId="07BF90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7A6980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倪老师</w:t>
      </w:r>
      <w:r>
        <w:rPr>
          <w:rFonts w:hint="eastAsia" w:ascii="宋体" w:hAnsi="宋体" w:cs="宋体"/>
          <w:color w:val="auto"/>
          <w:sz w:val="24"/>
          <w:highlight w:val="none"/>
        </w:rPr>
        <w:t xml:space="preserve">    </w:t>
      </w:r>
    </w:p>
    <w:p w14:paraId="4493D7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0571-86084803</w:t>
      </w:r>
      <w:r>
        <w:rPr>
          <w:rFonts w:hint="eastAsia" w:ascii="宋体" w:hAnsi="宋体" w:cs="宋体"/>
          <w:color w:val="auto"/>
          <w:sz w:val="24"/>
          <w:highlight w:val="none"/>
        </w:rPr>
        <w:t xml:space="preserve">  </w:t>
      </w:r>
    </w:p>
    <w:p w14:paraId="39E636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质疑联系人：李老师        </w:t>
      </w:r>
    </w:p>
    <w:p w14:paraId="30278B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0571-86084803</w:t>
      </w:r>
      <w:r>
        <w:rPr>
          <w:rFonts w:hint="eastAsia" w:ascii="宋体" w:hAnsi="宋体" w:cs="宋体"/>
          <w:color w:val="auto"/>
          <w:sz w:val="24"/>
          <w:highlight w:val="none"/>
        </w:rPr>
        <w:t xml:space="preserve"> </w:t>
      </w:r>
    </w:p>
    <w:p w14:paraId="7388CA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2、采购代理机构：浙江西建工程管理有限公司</w:t>
      </w:r>
    </w:p>
    <w:p w14:paraId="6C218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公司地址：杭州市西湖区教工路199号保亭综合楼308室 </w:t>
      </w:r>
    </w:p>
    <w:p w14:paraId="7A459D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联系人：宦工  </w:t>
      </w:r>
    </w:p>
    <w:p w14:paraId="68AB49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联系电话：18626895360</w:t>
      </w:r>
    </w:p>
    <w:p w14:paraId="0BC6DF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  </w:t>
      </w:r>
    </w:p>
    <w:p w14:paraId="606EA9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质疑联系人：徐工</w:t>
      </w:r>
    </w:p>
    <w:p w14:paraId="732078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联系电话：15724999487  </w:t>
      </w:r>
    </w:p>
    <w:p w14:paraId="4BA3976D">
      <w:pPr>
        <w:snapToGrid w:val="0"/>
        <w:spacing w:line="360" w:lineRule="auto"/>
        <w:ind w:firstLine="480" w:firstLineChars="200"/>
        <w:rPr>
          <w:rFonts w:ascii="宋体" w:hAnsi="宋体" w:cs="宋体"/>
          <w:color w:val="auto"/>
          <w:sz w:val="24"/>
          <w:highlight w:val="none"/>
        </w:rPr>
      </w:pPr>
      <w:bookmarkStart w:id="1" w:name="_Toc28359010"/>
      <w:bookmarkStart w:id="2" w:name="_Toc28359087"/>
      <w:r>
        <w:rPr>
          <w:rFonts w:hint="eastAsia" w:ascii="宋体" w:hAnsi="宋体" w:cs="宋体"/>
          <w:color w:val="auto"/>
          <w:sz w:val="24"/>
          <w:highlight w:val="none"/>
        </w:rPr>
        <w:t>3</w:t>
      </w:r>
      <w:bookmarkEnd w:id="1"/>
      <w:bookmarkEnd w:id="2"/>
      <w:r>
        <w:rPr>
          <w:rFonts w:hint="eastAsia" w:ascii="宋体" w:hAnsi="宋体" w:cs="宋体"/>
          <w:color w:val="auto"/>
          <w:sz w:val="24"/>
          <w:highlight w:val="none"/>
        </w:rPr>
        <w:t>、监督管理部门信息</w:t>
      </w:r>
    </w:p>
    <w:p w14:paraId="276886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称：杭州市财经职业学校</w:t>
      </w:r>
    </w:p>
    <w:p w14:paraId="4C91A5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址：杭州市滨江区滨文路225号</w:t>
      </w:r>
    </w:p>
    <w:p w14:paraId="79C579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真：0571-86084938</w:t>
      </w:r>
    </w:p>
    <w:p w14:paraId="384D32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联系人：王老师        </w:t>
      </w:r>
    </w:p>
    <w:p w14:paraId="55A45F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监督投诉电话：0571-87078136</w:t>
      </w:r>
    </w:p>
    <w:p w14:paraId="0F174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杭州市教育局非依法招标（小额）项目采购平台（https://hzjyg.lecaiyun.com/），点击右侧咨询小采，获取采小蜜智能服务管家帮助，或拨打乐采云有限公司服务热线95763获取热线服务帮助。</w:t>
      </w:r>
    </w:p>
    <w:p w14:paraId="51F9E0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07ACC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383DDD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7B4617A">
      <w:pPr>
        <w:pStyle w:val="11"/>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color w:val="auto"/>
          <w:highlight w:val="none"/>
        </w:rPr>
        <w:br w:type="page"/>
      </w:r>
    </w:p>
    <w:p w14:paraId="55CE9F74">
      <w:pPr>
        <w:adjustRightInd/>
        <w:spacing w:line="360" w:lineRule="auto"/>
        <w:jc w:val="center"/>
        <w:outlineLvl w:val="0"/>
        <w:rPr>
          <w:rFonts w:ascii="宋体" w:hAnsi="宋体" w:cs="宋体"/>
          <w:b/>
          <w:color w:val="auto"/>
          <w:sz w:val="36"/>
          <w:szCs w:val="20"/>
          <w:highlight w:val="none"/>
        </w:rPr>
      </w:pPr>
      <w:bookmarkStart w:id="3" w:name="_Toc273624872"/>
      <w:bookmarkStart w:id="4" w:name="_Toc1460"/>
      <w:bookmarkStart w:id="5" w:name="_Toc20025"/>
      <w:r>
        <w:rPr>
          <w:rFonts w:hint="eastAsia" w:ascii="宋体" w:hAnsi="宋体" w:cs="宋体"/>
          <w:b/>
          <w:color w:val="auto"/>
          <w:sz w:val="36"/>
          <w:szCs w:val="20"/>
          <w:highlight w:val="none"/>
        </w:rPr>
        <w:t xml:space="preserve">第二章  </w:t>
      </w:r>
      <w:bookmarkEnd w:id="3"/>
      <w:r>
        <w:rPr>
          <w:rFonts w:hint="eastAsia" w:ascii="宋体" w:hAnsi="宋体" w:cs="宋体"/>
          <w:b/>
          <w:color w:val="auto"/>
          <w:sz w:val="36"/>
          <w:szCs w:val="20"/>
          <w:highlight w:val="none"/>
        </w:rPr>
        <w:t>供应商须知</w:t>
      </w:r>
    </w:p>
    <w:p w14:paraId="57341D9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前附表</w:t>
      </w:r>
      <w:bookmarkEnd w:id="4"/>
      <w:bookmarkEnd w:id="5"/>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47"/>
        <w:gridCol w:w="7252"/>
      </w:tblGrid>
      <w:tr w14:paraId="22D56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85" w:type="dxa"/>
            <w:tcBorders>
              <w:tl2br w:val="nil"/>
              <w:tr2bl w:val="nil"/>
            </w:tcBorders>
          </w:tcPr>
          <w:p w14:paraId="7C76CAC0">
            <w:pPr>
              <w:pStyle w:val="37"/>
              <w:widowControl w:val="0"/>
              <w:spacing w:line="460" w:lineRule="exact"/>
              <w:jc w:val="center"/>
              <w:rPr>
                <w:rFonts w:ascii="宋体" w:hAnsi="宋体" w:cs="宋体"/>
                <w:b/>
                <w:bCs/>
                <w:color w:val="auto"/>
                <w:highlight w:val="none"/>
              </w:rPr>
            </w:pPr>
            <w:bookmarkStart w:id="6" w:name="_Toc82338238"/>
            <w:bookmarkStart w:id="7" w:name="_Toc211745567"/>
            <w:bookmarkStart w:id="8" w:name="_Toc82873321"/>
            <w:bookmarkStart w:id="9" w:name="_Toc204"/>
            <w:bookmarkStart w:id="10" w:name="_Toc10541"/>
            <w:r>
              <w:rPr>
                <w:rFonts w:hint="eastAsia" w:ascii="宋体" w:hAnsi="宋体" w:cs="宋体"/>
                <w:b/>
                <w:bCs/>
                <w:color w:val="auto"/>
                <w:highlight w:val="none"/>
              </w:rPr>
              <w:t>序号</w:t>
            </w:r>
          </w:p>
        </w:tc>
        <w:tc>
          <w:tcPr>
            <w:tcW w:w="1747" w:type="dxa"/>
            <w:tcBorders>
              <w:tl2br w:val="nil"/>
              <w:tr2bl w:val="nil"/>
            </w:tcBorders>
          </w:tcPr>
          <w:p w14:paraId="4188E241">
            <w:pPr>
              <w:pStyle w:val="37"/>
              <w:widowControl w:val="0"/>
              <w:spacing w:line="460" w:lineRule="exact"/>
              <w:jc w:val="center"/>
              <w:rPr>
                <w:rFonts w:ascii="宋体" w:hAnsi="宋体" w:cs="宋体"/>
                <w:b/>
                <w:bCs/>
                <w:color w:val="auto"/>
                <w:highlight w:val="none"/>
                <w:lang w:val="zh-TW"/>
              </w:rPr>
            </w:pPr>
            <w:r>
              <w:rPr>
                <w:rFonts w:hint="eastAsia" w:ascii="宋体" w:hAnsi="宋体" w:cs="宋体"/>
                <w:b/>
                <w:bCs/>
                <w:color w:val="auto"/>
                <w:highlight w:val="none"/>
              </w:rPr>
              <w:t>事项</w:t>
            </w:r>
          </w:p>
        </w:tc>
        <w:tc>
          <w:tcPr>
            <w:tcW w:w="7252" w:type="dxa"/>
            <w:tcBorders>
              <w:tl2br w:val="nil"/>
              <w:tr2bl w:val="nil"/>
            </w:tcBorders>
          </w:tcPr>
          <w:p w14:paraId="51A6456E">
            <w:pPr>
              <w:pStyle w:val="37"/>
              <w:widowControl w:val="0"/>
              <w:spacing w:line="460" w:lineRule="exact"/>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6106F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44D4944">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1747" w:type="dxa"/>
            <w:tcBorders>
              <w:tl2br w:val="nil"/>
              <w:tr2bl w:val="nil"/>
            </w:tcBorders>
            <w:vAlign w:val="center"/>
          </w:tcPr>
          <w:p w14:paraId="4D7A2F65">
            <w:pPr>
              <w:pStyle w:val="37"/>
              <w:widowControl w:val="0"/>
              <w:spacing w:line="460" w:lineRule="exact"/>
              <w:jc w:val="center"/>
              <w:rPr>
                <w:rFonts w:ascii="宋体" w:hAnsi="宋体" w:cs="宋体"/>
                <w:b/>
                <w:bCs/>
                <w:color w:val="auto"/>
                <w:kern w:val="2"/>
                <w:highlight w:val="none"/>
              </w:rPr>
            </w:pPr>
            <w:r>
              <w:rPr>
                <w:rFonts w:hint="eastAsia" w:ascii="宋体" w:hAnsi="宋体" w:cs="宋体"/>
                <w:b/>
                <w:bCs/>
                <w:color w:val="auto"/>
                <w:highlight w:val="none"/>
                <w:lang w:val="zh-TW"/>
              </w:rPr>
              <w:t>项目属性与核心产品</w:t>
            </w:r>
          </w:p>
        </w:tc>
        <w:tc>
          <w:tcPr>
            <w:tcW w:w="7252" w:type="dxa"/>
            <w:tcBorders>
              <w:tl2br w:val="nil"/>
              <w:tr2bl w:val="nil"/>
            </w:tcBorders>
            <w:vAlign w:val="center"/>
          </w:tcPr>
          <w:p w14:paraId="07551670">
            <w:pPr>
              <w:pStyle w:val="37"/>
              <w:widowControl w:val="0"/>
              <w:spacing w:line="460" w:lineRule="exact"/>
              <w:rPr>
                <w:rFonts w:ascii="宋体" w:hAnsi="宋体" w:cs="宋体"/>
                <w:color w:val="auto"/>
                <w:kern w:val="2"/>
                <w:highlight w:val="none"/>
                <w:lang w:val="zh-TW" w:eastAsia="zh-TW"/>
              </w:rPr>
            </w:pPr>
            <w:r>
              <w:rPr>
                <w:rFonts w:hint="eastAsia" w:ascii="宋体" w:hAnsi="宋体" w:cs="宋体"/>
                <w:color w:val="auto"/>
                <w:highlight w:val="none"/>
              </w:rPr>
              <w:t>服务</w:t>
            </w:r>
            <w:r>
              <w:rPr>
                <w:rFonts w:hint="eastAsia" w:ascii="宋体" w:hAnsi="宋体" w:cs="宋体"/>
                <w:color w:val="auto"/>
                <w:highlight w:val="none"/>
                <w:lang w:val="zh-TW"/>
              </w:rPr>
              <w:t>类。</w:t>
            </w:r>
          </w:p>
        </w:tc>
      </w:tr>
      <w:tr w14:paraId="33141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1B2FEF0A">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1747" w:type="dxa"/>
            <w:tcBorders>
              <w:tl2br w:val="nil"/>
              <w:tr2bl w:val="nil"/>
            </w:tcBorders>
            <w:vAlign w:val="center"/>
          </w:tcPr>
          <w:p w14:paraId="3399F362">
            <w:pPr>
              <w:pStyle w:val="37"/>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采购标的对应的中小企业划分标准所属行业</w:t>
            </w:r>
          </w:p>
        </w:tc>
        <w:tc>
          <w:tcPr>
            <w:tcW w:w="7252" w:type="dxa"/>
            <w:tcBorders>
              <w:tl2br w:val="nil"/>
              <w:tr2bl w:val="nil"/>
            </w:tcBorders>
            <w:vAlign w:val="center"/>
          </w:tcPr>
          <w:p w14:paraId="29380E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杭州市财经职业学校动漫课程资源建设与课程专项提升服务项目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软件和信息技术服务业  </w:t>
            </w:r>
            <w:r>
              <w:rPr>
                <w:rFonts w:hint="eastAsia" w:ascii="宋体" w:hAnsi="宋体" w:cs="宋体"/>
                <w:color w:val="auto"/>
                <w:kern w:val="0"/>
                <w:sz w:val="24"/>
                <w:highlight w:val="none"/>
              </w:rPr>
              <w:t>行业；</w:t>
            </w:r>
          </w:p>
          <w:p w14:paraId="164D077B">
            <w:pPr>
              <w:pStyle w:val="37"/>
              <w:widowControl w:val="0"/>
              <w:spacing w:line="460" w:lineRule="exact"/>
              <w:rPr>
                <w:rFonts w:ascii="宋体" w:hAnsi="宋体" w:cs="宋体"/>
                <w:color w:val="auto"/>
                <w:kern w:val="2"/>
                <w:highlight w:val="none"/>
              </w:rPr>
            </w:pPr>
            <w:r>
              <w:rPr>
                <w:rFonts w:hint="eastAsia" w:ascii="宋体" w:hAnsi="宋体" w:cs="宋体"/>
                <w:color w:val="auto"/>
                <w:sz w:val="24"/>
                <w:szCs w:val="24"/>
                <w:highlight w:val="none"/>
              </w:rPr>
              <w:t>根据《关于印发中小企业划型标准规定的通知》（工信部联企业〔2011〕300号）第四条规定：</w:t>
            </w:r>
            <w:r>
              <w:rPr>
                <w:rFonts w:hint="eastAsia" w:ascii="宋体" w:hAnsi="宋体" w:cs="宋体"/>
                <w:color w:val="auto"/>
                <w:sz w:val="24"/>
                <w:highlight w:val="none"/>
              </w:rPr>
              <w:t>软件和信息技术服务业</w:t>
            </w:r>
            <w:r>
              <w:rPr>
                <w:rFonts w:hint="eastAsia" w:ascii="宋体" w:hAnsi="宋体" w:cs="宋体"/>
                <w:color w:val="auto"/>
                <w:sz w:val="24"/>
                <w:szCs w:val="24"/>
                <w:highlight w:val="none"/>
              </w:rPr>
              <w:t>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FFE0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7161191A">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1747" w:type="dxa"/>
            <w:tcBorders>
              <w:tl2br w:val="nil"/>
              <w:tr2bl w:val="nil"/>
            </w:tcBorders>
            <w:vAlign w:val="center"/>
          </w:tcPr>
          <w:p w14:paraId="0F3CF70B">
            <w:pPr>
              <w:pStyle w:val="37"/>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是否允许采购进口产品</w:t>
            </w:r>
          </w:p>
        </w:tc>
        <w:tc>
          <w:tcPr>
            <w:tcW w:w="7252" w:type="dxa"/>
            <w:tcBorders>
              <w:tl2br w:val="nil"/>
              <w:tr2bl w:val="nil"/>
            </w:tcBorders>
            <w:vAlign w:val="center"/>
          </w:tcPr>
          <w:p w14:paraId="0D8B1C79">
            <w:pPr>
              <w:pStyle w:val="37"/>
              <w:widowControl w:val="0"/>
              <w:spacing w:line="460" w:lineRule="exact"/>
              <w:rPr>
                <w:rFonts w:ascii="宋体" w:hAnsi="宋体" w:cs="宋体"/>
                <w:color w:val="auto"/>
                <w:kern w:val="2"/>
                <w:highlight w:val="none"/>
                <w:lang w:val="zh-TW"/>
              </w:rPr>
            </w:pPr>
            <w:r>
              <w:rPr>
                <w:rFonts w:hint="eastAsia" w:ascii="宋体" w:hAnsi="宋体" w:cs="宋体"/>
                <w:b/>
                <w:bCs/>
                <w:color w:val="auto"/>
                <w:highlight w:val="none"/>
              </w:rPr>
              <w:sym w:font="Wingdings 2" w:char="0052"/>
            </w:r>
            <w:r>
              <w:rPr>
                <w:rFonts w:hint="eastAsia" w:ascii="宋体" w:hAnsi="宋体" w:cs="宋体"/>
                <w:color w:val="auto"/>
                <w:highlight w:val="none"/>
              </w:rPr>
              <w:t xml:space="preserve"> </w:t>
            </w:r>
            <w:r>
              <w:rPr>
                <w:rFonts w:hint="eastAsia" w:ascii="宋体" w:hAnsi="宋体" w:cs="宋体"/>
                <w:color w:val="auto"/>
                <w:highlight w:val="none"/>
                <w:lang w:val="zh-TW"/>
              </w:rPr>
              <w:t>本项目不允许采购进口产品。</w:t>
            </w:r>
          </w:p>
        </w:tc>
      </w:tr>
      <w:tr w14:paraId="387E9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1957A259">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1747" w:type="dxa"/>
            <w:tcBorders>
              <w:tl2br w:val="nil"/>
              <w:tr2bl w:val="nil"/>
            </w:tcBorders>
            <w:vAlign w:val="center"/>
          </w:tcPr>
          <w:p w14:paraId="798A02F1">
            <w:pPr>
              <w:pStyle w:val="37"/>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分包</w:t>
            </w:r>
          </w:p>
        </w:tc>
        <w:tc>
          <w:tcPr>
            <w:tcW w:w="7252" w:type="dxa"/>
            <w:tcBorders>
              <w:tl2br w:val="nil"/>
              <w:tr2bl w:val="nil"/>
            </w:tcBorders>
            <w:vAlign w:val="center"/>
          </w:tcPr>
          <w:p w14:paraId="06131B13">
            <w:pPr>
              <w:spacing w:line="360" w:lineRule="auto"/>
              <w:rPr>
                <w:rFonts w:ascii="宋体" w:hAnsi="宋体" w:cs="宋体"/>
                <w:color w:val="auto"/>
                <w:kern w:val="0"/>
                <w:szCs w:val="21"/>
                <w:highlight w:val="none"/>
                <w:lang w:val="zh-TW"/>
              </w:rPr>
            </w:pPr>
            <w:sdt>
              <w:sdtPr>
                <w:rPr>
                  <w:rFonts w:hint="eastAsia" w:ascii="宋体" w:hAnsi="宋体" w:cs="宋体"/>
                  <w:color w:val="auto"/>
                  <w:kern w:val="0"/>
                  <w:szCs w:val="21"/>
                  <w:highlight w:val="none"/>
                  <w:lang w:val="zh-TW"/>
                </w:rPr>
                <w:id w:val="546541237"/>
                <w14:checkbox>
                  <w14:checked w14:val="0"/>
                  <w14:checkedState w14:val="00FE" w14:font="Wingdings"/>
                  <w14:uncheckedState w14:val="2610" w14:font="MS Gothic"/>
                </w14:checkbox>
              </w:sdtPr>
              <w:sdtEndPr>
                <w:rPr>
                  <w:rFonts w:hint="eastAsia" w:ascii="宋体" w:hAnsi="宋体" w:cs="宋体"/>
                  <w:color w:val="auto"/>
                  <w:kern w:val="0"/>
                  <w:szCs w:val="21"/>
                  <w:highlight w:val="none"/>
                  <w:lang w:val="zh-TW"/>
                </w:rPr>
              </w:sdtEndPr>
              <w:sdtContent>
                <w:r>
                  <w:rPr>
                    <w:rFonts w:hint="eastAsia" w:ascii="MS Gothic" w:hAnsi="MS Gothic" w:cs="宋体"/>
                    <w:color w:val="auto"/>
                    <w:kern w:val="0"/>
                    <w:szCs w:val="21"/>
                    <w:highlight w:val="none"/>
                    <w:lang w:val="zh-TW"/>
                  </w:rPr>
                  <w:t>☐</w:t>
                </w:r>
              </w:sdtContent>
            </w:sdt>
            <w:r>
              <w:rPr>
                <w:rFonts w:hint="eastAsia" w:ascii="宋体" w:hAnsi="宋体" w:cs="宋体"/>
                <w:color w:val="auto"/>
                <w:kern w:val="0"/>
                <w:szCs w:val="21"/>
                <w:highlight w:val="none"/>
                <w:lang w:val="zh-TW"/>
              </w:rPr>
              <w:t xml:space="preserve"> A同意将非主体、非关键性的</w:t>
            </w:r>
            <w:r>
              <w:rPr>
                <w:rFonts w:hint="eastAsia" w:ascii="宋体" w:hAnsi="宋体" w:cs="宋体"/>
                <w:color w:val="auto"/>
                <w:kern w:val="0"/>
                <w:szCs w:val="21"/>
                <w:highlight w:val="none"/>
                <w:u w:val="single"/>
                <w:lang w:val="zh-TW"/>
              </w:rPr>
              <w:t xml:space="preserve">            </w:t>
            </w:r>
            <w:r>
              <w:rPr>
                <w:rFonts w:hint="eastAsia" w:ascii="宋体" w:hAnsi="宋体" w:cs="宋体"/>
                <w:color w:val="auto"/>
                <w:kern w:val="0"/>
                <w:szCs w:val="21"/>
                <w:highlight w:val="none"/>
                <w:lang w:val="zh-TW"/>
              </w:rPr>
              <w:t xml:space="preserve"> 工作分包。</w:t>
            </w:r>
          </w:p>
          <w:p w14:paraId="2FE069BD">
            <w:pPr>
              <w:spacing w:line="360" w:lineRule="auto"/>
              <w:rPr>
                <w:rFonts w:ascii="宋体" w:hAnsi="宋体" w:cs="宋体"/>
                <w:color w:val="auto"/>
                <w:kern w:val="0"/>
                <w:szCs w:val="21"/>
                <w:highlight w:val="none"/>
                <w:lang w:val="zh-TW"/>
              </w:rPr>
            </w:pPr>
            <w:sdt>
              <w:sdtPr>
                <w:rPr>
                  <w:rFonts w:hint="eastAsia" w:ascii="宋体" w:hAnsi="宋体" w:cs="宋体"/>
                  <w:color w:val="auto"/>
                  <w:kern w:val="0"/>
                  <w:szCs w:val="21"/>
                  <w:highlight w:val="none"/>
                  <w:lang w:val="zh-TW"/>
                </w:rPr>
                <w:id w:val="681655650"/>
                <w14:checkbox>
                  <w14:checked w14:val="1"/>
                  <w14:checkedState w14:val="00FE" w14:font="Wingdings"/>
                  <w14:uncheckedState w14:val="2610" w14:font="MS Gothic"/>
                </w14:checkbox>
              </w:sdtPr>
              <w:sdtEndPr>
                <w:rPr>
                  <w:rFonts w:hint="eastAsia" w:ascii="宋体" w:hAnsi="宋体" w:cs="宋体"/>
                  <w:color w:val="auto"/>
                  <w:kern w:val="0"/>
                  <w:szCs w:val="21"/>
                  <w:highlight w:val="none"/>
                  <w:lang w:val="zh-TW"/>
                </w:rPr>
              </w:sdtEndPr>
              <w:sdtContent>
                <w:r>
                  <w:rPr>
                    <w:rFonts w:hint="eastAsia" w:ascii="Wingdings" w:hAnsi="Wingdings" w:cs="宋体"/>
                    <w:color w:val="auto"/>
                    <w:kern w:val="0"/>
                    <w:szCs w:val="21"/>
                    <w:highlight w:val="none"/>
                    <w:lang w:val="zh-TW"/>
                  </w:rPr>
                  <w:t>þ</w:t>
                </w:r>
              </w:sdtContent>
            </w:sdt>
            <w:r>
              <w:rPr>
                <w:rFonts w:hint="eastAsia" w:ascii="宋体" w:hAnsi="宋体" w:cs="宋体"/>
                <w:color w:val="auto"/>
                <w:kern w:val="0"/>
                <w:szCs w:val="21"/>
                <w:highlight w:val="none"/>
                <w:lang w:val="zh-TW"/>
              </w:rPr>
              <w:t xml:space="preserve"> B不同意分包。</w:t>
            </w:r>
          </w:p>
          <w:p w14:paraId="62B8BF00">
            <w:pPr>
              <w:pStyle w:val="37"/>
              <w:widowControl w:val="0"/>
              <w:spacing w:line="460" w:lineRule="exact"/>
              <w:rPr>
                <w:rFonts w:ascii="宋体" w:hAnsi="宋体" w:cs="宋体"/>
                <w:color w:val="auto"/>
                <w:kern w:val="2"/>
                <w:highlight w:val="none"/>
              </w:rPr>
            </w:pPr>
            <w:r>
              <w:rPr>
                <w:rFonts w:hint="eastAsia" w:ascii="宋体" w:hAnsi="宋体" w:cs="宋体"/>
                <w:color w:val="auto"/>
                <w:highlight w:val="none"/>
                <w:lang w:val="zh-TW"/>
              </w:rPr>
              <w:t>注：不得限制大中型企业向小微企业合理分包</w:t>
            </w:r>
          </w:p>
        </w:tc>
      </w:tr>
      <w:tr w14:paraId="5CD94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264B3F3D">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1747" w:type="dxa"/>
            <w:tcBorders>
              <w:tl2br w:val="nil"/>
              <w:tr2bl w:val="nil"/>
            </w:tcBorders>
            <w:vAlign w:val="center"/>
          </w:tcPr>
          <w:p w14:paraId="683BC3B8">
            <w:pPr>
              <w:pStyle w:val="37"/>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开标前答疑会或现场考察</w:t>
            </w:r>
          </w:p>
        </w:tc>
        <w:tc>
          <w:tcPr>
            <w:tcW w:w="7252" w:type="dxa"/>
            <w:tcBorders>
              <w:tl2br w:val="nil"/>
              <w:tr2bl w:val="nil"/>
            </w:tcBorders>
            <w:vAlign w:val="center"/>
          </w:tcPr>
          <w:p w14:paraId="181A041D">
            <w:pPr>
              <w:pStyle w:val="37"/>
              <w:widowControl w:val="0"/>
              <w:spacing w:line="460" w:lineRule="exact"/>
              <w:rPr>
                <w:rFonts w:ascii="宋体" w:hAnsi="宋体" w:cs="宋体"/>
                <w:color w:val="auto"/>
                <w:kern w:val="2"/>
                <w:highlight w:val="none"/>
                <w:lang w:val="zh-TW"/>
              </w:rPr>
            </w:pPr>
            <w:r>
              <w:rPr>
                <w:rFonts w:hint="eastAsia" w:ascii="宋体" w:hAnsi="宋体" w:cs="宋体"/>
                <w:b/>
                <w:bCs/>
                <w:color w:val="auto"/>
                <w:highlight w:val="none"/>
              </w:rPr>
              <w:sym w:font="Wingdings 2" w:char="0052"/>
            </w:r>
            <w:r>
              <w:rPr>
                <w:rFonts w:hint="eastAsia" w:ascii="宋体" w:hAnsi="宋体" w:cs="宋体"/>
                <w:color w:val="auto"/>
                <w:highlight w:val="none"/>
              </w:rPr>
              <w:t xml:space="preserve"> </w:t>
            </w:r>
            <w:r>
              <w:rPr>
                <w:rFonts w:hint="eastAsia" w:ascii="宋体" w:hAnsi="宋体" w:cs="宋体"/>
                <w:color w:val="auto"/>
                <w:highlight w:val="none"/>
                <w:lang w:val="zh-TW"/>
              </w:rPr>
              <w:t>A不组织。</w:t>
            </w:r>
            <w:r>
              <w:rPr>
                <w:rFonts w:hint="eastAsia" w:ascii="宋体" w:hAnsi="宋体" w:cs="宋体"/>
                <w:color w:val="auto"/>
                <w:highlight w:val="none"/>
              </w:rPr>
              <w:t>如需，可自行前往</w:t>
            </w:r>
            <w:r>
              <w:rPr>
                <w:rFonts w:hint="eastAsia" w:ascii="宋体" w:hAnsi="宋体" w:cs="宋体"/>
                <w:color w:val="auto"/>
                <w:highlight w:val="none"/>
                <w:lang w:val="zh-TW"/>
              </w:rPr>
              <w:t>。</w:t>
            </w:r>
          </w:p>
        </w:tc>
      </w:tr>
      <w:tr w14:paraId="5AE3F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79DB7EB1">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1747" w:type="dxa"/>
            <w:tcBorders>
              <w:tl2br w:val="nil"/>
              <w:tr2bl w:val="nil"/>
            </w:tcBorders>
            <w:vAlign w:val="center"/>
          </w:tcPr>
          <w:p w14:paraId="75CDA2A4">
            <w:pPr>
              <w:pStyle w:val="37"/>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样品提供</w:t>
            </w:r>
          </w:p>
        </w:tc>
        <w:tc>
          <w:tcPr>
            <w:tcW w:w="7252" w:type="dxa"/>
            <w:tcBorders>
              <w:tl2br w:val="nil"/>
              <w:tr2bl w:val="nil"/>
            </w:tcBorders>
            <w:vAlign w:val="center"/>
          </w:tcPr>
          <w:p w14:paraId="2BE875EB">
            <w:pPr>
              <w:pStyle w:val="37"/>
              <w:widowControl w:val="0"/>
              <w:spacing w:line="460" w:lineRule="exact"/>
              <w:rPr>
                <w:rFonts w:ascii="宋体" w:hAnsi="宋体" w:cs="宋体"/>
                <w:color w:val="auto"/>
                <w:kern w:val="2"/>
                <w:highlight w:val="none"/>
              </w:rPr>
            </w:pPr>
            <w:r>
              <w:rPr>
                <w:rFonts w:hint="eastAsia" w:ascii="宋体" w:hAnsi="宋体" w:cs="宋体"/>
                <w:b/>
                <w:bCs/>
                <w:color w:val="auto"/>
                <w:highlight w:val="none"/>
              </w:rPr>
              <w:sym w:font="Wingdings 2" w:char="0052"/>
            </w:r>
            <w:r>
              <w:rPr>
                <w:rFonts w:hint="eastAsia" w:ascii="宋体" w:hAnsi="宋体" w:cs="宋体"/>
                <w:color w:val="auto"/>
                <w:highlight w:val="none"/>
              </w:rPr>
              <w:t xml:space="preserve"> </w:t>
            </w:r>
            <w:r>
              <w:rPr>
                <w:rFonts w:hint="eastAsia" w:ascii="宋体" w:hAnsi="宋体" w:cs="宋体"/>
                <w:color w:val="auto"/>
                <w:highlight w:val="none"/>
                <w:lang w:val="zh-TW"/>
              </w:rPr>
              <w:t>A不要求提供。</w:t>
            </w:r>
          </w:p>
        </w:tc>
      </w:tr>
      <w:tr w14:paraId="20741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A700851">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1747" w:type="dxa"/>
            <w:tcBorders>
              <w:tl2br w:val="nil"/>
              <w:tr2bl w:val="nil"/>
            </w:tcBorders>
            <w:vAlign w:val="center"/>
          </w:tcPr>
          <w:p w14:paraId="21FCC98A">
            <w:pPr>
              <w:pStyle w:val="37"/>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方案讲解演示</w:t>
            </w:r>
          </w:p>
        </w:tc>
        <w:tc>
          <w:tcPr>
            <w:tcW w:w="7252" w:type="dxa"/>
            <w:tcBorders>
              <w:tl2br w:val="nil"/>
              <w:tr2bl w:val="nil"/>
            </w:tcBorders>
            <w:vAlign w:val="center"/>
          </w:tcPr>
          <w:p w14:paraId="1DA96BFD">
            <w:pPr>
              <w:pStyle w:val="37"/>
              <w:widowControl w:val="0"/>
              <w:spacing w:line="460" w:lineRule="exact"/>
              <w:rPr>
                <w:rFonts w:ascii="宋体" w:hAnsi="宋体" w:cs="宋体"/>
                <w:color w:val="auto"/>
                <w:highlight w:val="none"/>
                <w:lang w:val="zh-TW"/>
              </w:rPr>
            </w:pPr>
            <w:r>
              <w:rPr>
                <w:rFonts w:hint="eastAsia" w:ascii="宋体" w:hAnsi="宋体" w:cs="宋体"/>
                <w:b/>
                <w:bCs/>
                <w:color w:val="auto"/>
                <w:highlight w:val="none"/>
              </w:rPr>
              <w:sym w:font="Wingdings 2" w:char="0052"/>
            </w:r>
            <w:r>
              <w:rPr>
                <w:rFonts w:hint="eastAsia" w:ascii="宋体" w:hAnsi="宋体" w:cs="宋体"/>
                <w:color w:val="auto"/>
                <w:highlight w:val="none"/>
              </w:rPr>
              <w:t xml:space="preserve"> </w:t>
            </w:r>
            <w:r>
              <w:rPr>
                <w:rFonts w:hint="eastAsia" w:ascii="宋体" w:hAnsi="宋体" w:cs="宋体"/>
                <w:color w:val="auto"/>
                <w:highlight w:val="none"/>
                <w:lang w:val="zh-TW"/>
              </w:rPr>
              <w:t>B组织。</w:t>
            </w:r>
          </w:p>
          <w:p w14:paraId="39BA862D">
            <w:pPr>
              <w:pStyle w:val="37"/>
              <w:widowControl w:val="0"/>
              <w:spacing w:line="460" w:lineRule="exact"/>
              <w:rPr>
                <w:rFonts w:ascii="宋体" w:hAnsi="宋体" w:cs="宋体"/>
                <w:color w:val="auto"/>
                <w:highlight w:val="none"/>
                <w:lang w:val="zh-TW"/>
              </w:rPr>
            </w:pPr>
            <w:r>
              <w:rPr>
                <w:rFonts w:hint="eastAsia" w:ascii="宋体" w:hAnsi="宋体" w:cs="宋体"/>
                <w:color w:val="auto"/>
                <w:highlight w:val="none"/>
                <w:lang w:val="zh-TW"/>
              </w:rPr>
              <w:t>方案讲解演示以下方式：</w:t>
            </w:r>
            <w:r>
              <w:rPr>
                <w:rFonts w:hint="eastAsia" w:ascii="宋体" w:hAnsi="宋体" w:cs="宋体"/>
                <w:b/>
                <w:bCs/>
                <w:color w:val="auto"/>
                <w:highlight w:val="none"/>
                <w:lang w:val="zh-CN"/>
              </w:rPr>
              <w:t>演示视频须制作成U盘，</w:t>
            </w:r>
            <w:r>
              <w:rPr>
                <w:rFonts w:hint="eastAsia" w:ascii="宋体" w:hAnsi="宋体" w:cs="宋体"/>
                <w:b/>
                <w:bCs/>
                <w:color w:val="auto"/>
                <w:highlight w:val="none"/>
              </w:rPr>
              <w:t>视频格式需为MP4、rmvb、avi等常规格式，若因格式问题导致视频无法正常演示，后果自负</w:t>
            </w:r>
            <w:r>
              <w:rPr>
                <w:rFonts w:hint="eastAsia" w:ascii="宋体" w:hAnsi="宋体" w:cs="宋体"/>
                <w:color w:val="auto"/>
                <w:highlight w:val="none"/>
                <w:lang w:val="zh-TW"/>
              </w:rPr>
              <w:t>。</w:t>
            </w:r>
            <w:r>
              <w:rPr>
                <w:rFonts w:hint="eastAsia" w:ascii="宋体" w:hAnsi="宋体" w:cs="宋体"/>
                <w:b/>
                <w:bCs/>
                <w:color w:val="auto"/>
                <w:highlight w:val="none"/>
              </w:rPr>
              <w:t>递交截止时间：同投标截止时间，</w:t>
            </w:r>
            <w:r>
              <w:rPr>
                <w:rFonts w:hint="eastAsia" w:ascii="宋体" w:hAnsi="宋体" w:cs="宋体"/>
                <w:color w:val="auto"/>
                <w:highlight w:val="none"/>
                <w:lang w:val="zh-TW"/>
              </w:rPr>
              <w:t>地点为</w:t>
            </w:r>
            <w:r>
              <w:rPr>
                <w:rFonts w:hint="eastAsia" w:ascii="宋体" w:hAnsi="宋体" w:cs="宋体"/>
                <w:color w:val="auto"/>
                <w:highlight w:val="none"/>
                <w:u w:val="single"/>
              </w:rPr>
              <w:t>杭州市西湖区教工路199号保亭综合楼6楼评标室</w:t>
            </w:r>
            <w:r>
              <w:rPr>
                <w:rFonts w:hint="eastAsia" w:ascii="宋体" w:hAnsi="宋体" w:cs="宋体"/>
                <w:color w:val="auto"/>
                <w:highlight w:val="none"/>
                <w:lang w:val="zh-TW"/>
              </w:rPr>
              <w:t>，</w:t>
            </w:r>
            <w:r>
              <w:rPr>
                <w:rFonts w:hint="eastAsia" w:ascii="宋体" w:hAnsi="宋体" w:cs="宋体"/>
                <w:b/>
                <w:bCs/>
                <w:color w:val="auto"/>
                <w:highlight w:val="none"/>
              </w:rPr>
              <w:t>U盘需单独密封或与备份文件密封在一起，若因密封问题导致视频泄露，后果自负</w:t>
            </w:r>
            <w:r>
              <w:rPr>
                <w:rFonts w:hint="eastAsia" w:ascii="宋体" w:hAnsi="宋体" w:cs="宋体"/>
                <w:b/>
                <w:bCs/>
                <w:color w:val="auto"/>
                <w:highlight w:val="none"/>
                <w:lang w:val="zh-TW"/>
              </w:rPr>
              <w:t>。</w:t>
            </w:r>
          </w:p>
          <w:p w14:paraId="20F9CFA6">
            <w:pPr>
              <w:pStyle w:val="37"/>
              <w:widowControl w:val="0"/>
              <w:spacing w:line="460" w:lineRule="exact"/>
              <w:rPr>
                <w:rFonts w:ascii="宋体" w:hAnsi="宋体" w:cs="宋体"/>
                <w:b/>
                <w:bCs/>
                <w:color w:val="auto"/>
                <w:highlight w:val="none"/>
                <w:lang w:val="zh-TW"/>
              </w:rPr>
            </w:pPr>
            <w:r>
              <w:rPr>
                <w:rFonts w:hint="eastAsia" w:ascii="宋体" w:hAnsi="宋体" w:cs="宋体"/>
                <w:b/>
                <w:bCs/>
                <w:color w:val="auto"/>
                <w:highlight w:val="none"/>
                <w:lang w:val="zh-TW"/>
              </w:rPr>
              <w:t>注：</w:t>
            </w:r>
          </w:p>
          <w:p w14:paraId="4023EC53">
            <w:pPr>
              <w:pStyle w:val="37"/>
              <w:widowControl w:val="0"/>
              <w:spacing w:line="460" w:lineRule="exact"/>
              <w:rPr>
                <w:rFonts w:ascii="宋体" w:hAnsi="宋体" w:cs="宋体"/>
                <w:b/>
                <w:bCs/>
                <w:color w:val="auto"/>
                <w:highlight w:val="none"/>
                <w:lang w:val="zh-TW"/>
              </w:rPr>
            </w:pPr>
            <w:r>
              <w:rPr>
                <w:rFonts w:hint="eastAsia" w:ascii="宋体" w:hAnsi="宋体" w:cs="宋体"/>
                <w:b/>
                <w:bCs/>
                <w:color w:val="auto"/>
                <w:highlight w:val="none"/>
              </w:rPr>
              <w:t>1、</w:t>
            </w:r>
            <w:r>
              <w:rPr>
                <w:rFonts w:hint="eastAsia" w:ascii="宋体" w:hAnsi="宋体" w:cs="宋体"/>
                <w:b/>
                <w:bCs/>
                <w:color w:val="auto"/>
                <w:highlight w:val="none"/>
                <w:lang w:val="zh-TW"/>
              </w:rPr>
              <w:t>因投标人自身原因导致无法演示或者演示效果不理想的，责任自负。因平台原因导致本项目方案讲解演示环节无法顺利开展，按照《浙江省政府采购项目电子交易管理暂行办法》相关规定执行。</w:t>
            </w:r>
          </w:p>
          <w:p w14:paraId="1A63ACFE">
            <w:pPr>
              <w:pStyle w:val="37"/>
              <w:widowControl w:val="0"/>
              <w:spacing w:line="460" w:lineRule="exact"/>
              <w:rPr>
                <w:rFonts w:ascii="宋体" w:hAnsi="宋体" w:cs="宋体"/>
                <w:color w:val="auto"/>
                <w:kern w:val="2"/>
                <w:highlight w:val="none"/>
              </w:rPr>
            </w:pPr>
            <w:r>
              <w:rPr>
                <w:rFonts w:hint="eastAsia" w:ascii="宋体" w:hAnsi="宋体" w:cs="宋体"/>
                <w:b/>
                <w:bCs/>
                <w:color w:val="auto"/>
                <w:highlight w:val="none"/>
              </w:rPr>
              <w:t>2、投标人需根据评分细则逐条演示，不得演示评分要求以外的内容。</w:t>
            </w:r>
          </w:p>
        </w:tc>
      </w:tr>
      <w:tr w14:paraId="3B8C5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l2br w:val="nil"/>
              <w:tr2bl w:val="nil"/>
            </w:tcBorders>
            <w:vAlign w:val="center"/>
          </w:tcPr>
          <w:p w14:paraId="44AE50ED">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8</w:t>
            </w:r>
          </w:p>
        </w:tc>
        <w:tc>
          <w:tcPr>
            <w:tcW w:w="1747" w:type="dxa"/>
            <w:vMerge w:val="restart"/>
            <w:tcBorders>
              <w:tl2br w:val="nil"/>
              <w:tr2bl w:val="nil"/>
            </w:tcBorders>
            <w:vAlign w:val="center"/>
          </w:tcPr>
          <w:p w14:paraId="6A649DDD">
            <w:pPr>
              <w:pStyle w:val="37"/>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rPr>
              <w:t>投标人应当提供的资格、资信证明文件</w:t>
            </w:r>
          </w:p>
        </w:tc>
        <w:tc>
          <w:tcPr>
            <w:tcW w:w="7252" w:type="dxa"/>
            <w:tcBorders>
              <w:tl2br w:val="nil"/>
              <w:tr2bl w:val="nil"/>
            </w:tcBorders>
            <w:vAlign w:val="center"/>
          </w:tcPr>
          <w:p w14:paraId="6F1AD398">
            <w:pPr>
              <w:pStyle w:val="37"/>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（1）资格证明文件：见招标文件第二部分11.1。</w:t>
            </w:r>
          </w:p>
          <w:p w14:paraId="304E6127">
            <w:pPr>
              <w:pStyle w:val="37"/>
              <w:widowControl w:val="0"/>
              <w:spacing w:line="460" w:lineRule="exact"/>
              <w:rPr>
                <w:rFonts w:ascii="宋体" w:hAnsi="宋体" w:cs="宋体"/>
                <w:color w:val="auto"/>
                <w:kern w:val="2"/>
                <w:highlight w:val="none"/>
              </w:rPr>
            </w:pPr>
            <w:r>
              <w:rPr>
                <w:rFonts w:hint="eastAsia" w:ascii="宋体" w:hAnsi="宋体" w:cs="宋体"/>
                <w:b/>
                <w:bCs/>
                <w:color w:val="auto"/>
                <w:kern w:val="2"/>
                <w:highlight w:val="none"/>
              </w:rPr>
              <w:t>投标人未提供有效的资格证明文件的，视为投标人不具备招标文件中规定的资格要求，投标无效。</w:t>
            </w:r>
          </w:p>
        </w:tc>
      </w:tr>
      <w:tr w14:paraId="4225C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717877D4">
            <w:pPr>
              <w:pStyle w:val="37"/>
              <w:widowControl w:val="0"/>
              <w:spacing w:line="460" w:lineRule="exact"/>
              <w:jc w:val="center"/>
              <w:rPr>
                <w:rFonts w:ascii="宋体" w:hAnsi="宋体" w:cs="宋体"/>
                <w:color w:val="auto"/>
                <w:kern w:val="2"/>
                <w:highlight w:val="none"/>
              </w:rPr>
            </w:pPr>
          </w:p>
        </w:tc>
        <w:tc>
          <w:tcPr>
            <w:tcW w:w="1747" w:type="dxa"/>
            <w:vMerge w:val="continue"/>
            <w:tcBorders>
              <w:tl2br w:val="nil"/>
              <w:tr2bl w:val="nil"/>
            </w:tcBorders>
            <w:vAlign w:val="center"/>
          </w:tcPr>
          <w:p w14:paraId="0304D377">
            <w:pPr>
              <w:pStyle w:val="37"/>
              <w:widowControl w:val="0"/>
              <w:spacing w:line="460" w:lineRule="exact"/>
              <w:jc w:val="center"/>
              <w:rPr>
                <w:rFonts w:ascii="宋体" w:hAnsi="宋体" w:cs="宋体"/>
                <w:b/>
                <w:bCs/>
                <w:color w:val="auto"/>
                <w:highlight w:val="none"/>
                <w:lang w:val="zh-TW"/>
              </w:rPr>
            </w:pPr>
          </w:p>
        </w:tc>
        <w:tc>
          <w:tcPr>
            <w:tcW w:w="7252" w:type="dxa"/>
            <w:tcBorders>
              <w:tl2br w:val="nil"/>
              <w:tr2bl w:val="nil"/>
            </w:tcBorders>
            <w:vAlign w:val="center"/>
          </w:tcPr>
          <w:p w14:paraId="2F2FC91D">
            <w:pPr>
              <w:pStyle w:val="37"/>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（2）资信证明文件：根据招标文件第四部分评标标准提供。</w:t>
            </w:r>
          </w:p>
        </w:tc>
      </w:tr>
      <w:tr w14:paraId="737AA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6DF16F9B">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9</w:t>
            </w:r>
          </w:p>
        </w:tc>
        <w:tc>
          <w:tcPr>
            <w:tcW w:w="1747" w:type="dxa"/>
            <w:tcBorders>
              <w:tl2br w:val="nil"/>
              <w:tr2bl w:val="nil"/>
            </w:tcBorders>
            <w:vAlign w:val="center"/>
          </w:tcPr>
          <w:p w14:paraId="23A1CC85">
            <w:pPr>
              <w:pStyle w:val="37"/>
              <w:widowControl w:val="0"/>
              <w:spacing w:line="460" w:lineRule="exact"/>
              <w:jc w:val="center"/>
              <w:rPr>
                <w:rFonts w:ascii="宋体" w:hAnsi="宋体" w:cs="宋体"/>
                <w:b/>
                <w:bCs/>
                <w:color w:val="auto"/>
                <w:kern w:val="2"/>
                <w:highlight w:val="none"/>
                <w:lang w:val="zh-TW"/>
              </w:rPr>
            </w:pPr>
            <w:r>
              <w:rPr>
                <w:rFonts w:hint="eastAsia" w:ascii="宋体" w:hAnsi="宋体" w:cs="宋体"/>
                <w:b/>
                <w:bCs/>
                <w:color w:val="auto"/>
                <w:highlight w:val="none"/>
                <w:lang w:val="zh-TW"/>
              </w:rPr>
              <w:t>节能产品、环境标志产品</w:t>
            </w:r>
          </w:p>
        </w:tc>
        <w:tc>
          <w:tcPr>
            <w:tcW w:w="7252" w:type="dxa"/>
            <w:tcBorders>
              <w:tl2br w:val="nil"/>
              <w:tr2bl w:val="nil"/>
            </w:tcBorders>
            <w:vAlign w:val="center"/>
          </w:tcPr>
          <w:p w14:paraId="0FFBB9BD">
            <w:pPr>
              <w:pStyle w:val="37"/>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85E585B">
            <w:pPr>
              <w:pStyle w:val="37"/>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 xml:space="preserve">□强制采购节能产品。产品：    </w:t>
            </w:r>
          </w:p>
          <w:p w14:paraId="035F091C">
            <w:pPr>
              <w:pStyle w:val="37"/>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 xml:space="preserve">□优先采购节能产品。产品：   </w:t>
            </w:r>
          </w:p>
          <w:p w14:paraId="36B0360E">
            <w:pPr>
              <w:pStyle w:val="37"/>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 xml:space="preserve">□优先采购环保产品。产品：    </w:t>
            </w:r>
          </w:p>
          <w:p w14:paraId="06CFF1C4">
            <w:pPr>
              <w:pStyle w:val="37"/>
              <w:widowControl w:val="0"/>
              <w:spacing w:line="460" w:lineRule="exact"/>
              <w:rPr>
                <w:rFonts w:ascii="宋体" w:hAnsi="宋体" w:cs="宋体"/>
                <w:color w:val="auto"/>
                <w:kern w:val="2"/>
                <w:highlight w:val="none"/>
              </w:rPr>
            </w:pPr>
            <w:r>
              <w:rPr>
                <w:rFonts w:hint="eastAsia" w:ascii="宋体" w:hAnsi="宋体" w:cs="宋体"/>
                <w:color w:val="auto"/>
                <w:kern w:val="2"/>
                <w:highlight w:val="none"/>
              </w:rPr>
              <w:t>☑无</w:t>
            </w:r>
          </w:p>
        </w:tc>
      </w:tr>
      <w:tr w14:paraId="18B56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587AEE80">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10</w:t>
            </w:r>
          </w:p>
        </w:tc>
        <w:tc>
          <w:tcPr>
            <w:tcW w:w="1747" w:type="dxa"/>
            <w:tcBorders>
              <w:tl2br w:val="nil"/>
              <w:tr2bl w:val="nil"/>
            </w:tcBorders>
            <w:vAlign w:val="center"/>
          </w:tcPr>
          <w:p w14:paraId="70C1E158">
            <w:pPr>
              <w:pStyle w:val="37"/>
              <w:widowControl w:val="0"/>
              <w:spacing w:line="460" w:lineRule="exact"/>
              <w:jc w:val="center"/>
              <w:rPr>
                <w:rFonts w:ascii="宋体" w:hAnsi="宋体" w:cs="宋体"/>
                <w:b/>
                <w:bCs/>
                <w:color w:val="auto"/>
                <w:kern w:val="2"/>
                <w:highlight w:val="none"/>
              </w:rPr>
            </w:pPr>
            <w:r>
              <w:rPr>
                <w:rFonts w:hint="eastAsia" w:ascii="宋体" w:hAnsi="宋体" w:cs="宋体"/>
                <w:b/>
                <w:bCs/>
                <w:color w:val="auto"/>
                <w:kern w:val="2"/>
                <w:highlight w:val="none"/>
              </w:rPr>
              <w:t>报价要求</w:t>
            </w:r>
          </w:p>
        </w:tc>
        <w:tc>
          <w:tcPr>
            <w:tcW w:w="7252" w:type="dxa"/>
            <w:tcBorders>
              <w:tl2br w:val="nil"/>
              <w:tr2bl w:val="nil"/>
            </w:tcBorders>
            <w:vAlign w:val="center"/>
          </w:tcPr>
          <w:p w14:paraId="1E0CD665">
            <w:pPr>
              <w:pStyle w:val="37"/>
              <w:widowControl w:val="0"/>
              <w:spacing w:line="460" w:lineRule="exact"/>
              <w:rPr>
                <w:rFonts w:ascii="宋体" w:hAnsi="宋体" w:cs="宋体"/>
                <w:b/>
                <w:bCs/>
                <w:color w:val="auto"/>
                <w:kern w:val="2"/>
                <w:highlight w:val="none"/>
                <w:lang w:val="zh-TW" w:eastAsia="zh-TW"/>
              </w:rPr>
            </w:pPr>
            <w:r>
              <w:rPr>
                <w:rFonts w:hint="eastAsia" w:ascii="宋体" w:hAnsi="宋体" w:cs="宋体"/>
                <w:color w:val="auto"/>
                <w:kern w:val="2"/>
                <w:highlight w:val="none"/>
                <w:lang w:val="zh-TW" w:eastAsia="zh-TW"/>
              </w:rPr>
              <w:t>有关本项目实施所需的所有费用（含税费）均计入报价。</w:t>
            </w:r>
            <w:r>
              <w:rPr>
                <w:rFonts w:hint="eastAsia" w:ascii="宋体" w:hAnsi="宋体" w:cs="宋体"/>
                <w:b/>
                <w:bCs/>
                <w:color w:val="auto"/>
                <w:kern w:val="2"/>
                <w:highlight w:val="none"/>
                <w:lang w:val="zh-TW" w:eastAsia="zh-TW"/>
              </w:rPr>
              <w:t>投标文件开标一览表（报价表）是报价的唯一载体，如投标人在</w:t>
            </w:r>
            <w:r>
              <w:rPr>
                <w:rFonts w:hint="eastAsia" w:ascii="宋体" w:hAnsi="宋体" w:cs="宋体"/>
                <w:b/>
                <w:bCs/>
                <w:color w:val="auto"/>
                <w:kern w:val="2"/>
                <w:highlight w:val="none"/>
                <w:lang w:val="zh-TW"/>
              </w:rPr>
              <w:t>杭州市教育局非依法招标（小额）项目采购平台</w:t>
            </w:r>
            <w:r>
              <w:rPr>
                <w:rFonts w:hint="eastAsia" w:ascii="宋体" w:hAnsi="宋体" w:cs="宋体"/>
                <w:b/>
                <w:bCs/>
                <w:color w:val="auto"/>
                <w:kern w:val="2"/>
                <w:highlight w:val="none"/>
                <w:lang w:val="zh-TW" w:eastAsia="zh-TW"/>
              </w:rPr>
              <w:t>填写的投标报价与投标文件报价文件中开标一览表（报价表）不一致的，以报价文件中开标一览表（报价表）为准。</w:t>
            </w:r>
            <w:r>
              <w:rPr>
                <w:rFonts w:hint="eastAsia" w:ascii="宋体" w:hAnsi="宋体" w:cs="宋体"/>
                <w:color w:val="auto"/>
                <w:kern w:val="2"/>
                <w:highlight w:val="none"/>
                <w:lang w:val="zh-TW" w:eastAsia="zh-TW"/>
              </w:rPr>
              <w:t>投标文件中价格全部采用人民币报价。招标文件未列明，而投标人认为必需的费用也需列入报价。</w:t>
            </w:r>
            <w:r>
              <w:rPr>
                <w:rFonts w:hint="eastAsia" w:ascii="宋体" w:hAnsi="宋体" w:cs="宋体"/>
                <w:b/>
                <w:bCs/>
                <w:color w:val="auto"/>
                <w:kern w:val="2"/>
                <w:highlight w:val="none"/>
                <w:lang w:val="zh-TW" w:eastAsia="zh-TW"/>
              </w:rPr>
              <w:t>提醒：验收时检测费用由采购人承担，不包含在投标总价中。</w:t>
            </w:r>
          </w:p>
          <w:p w14:paraId="66370083">
            <w:pPr>
              <w:pStyle w:val="37"/>
              <w:widowControl w:val="0"/>
              <w:spacing w:line="460" w:lineRule="exact"/>
              <w:rPr>
                <w:rFonts w:ascii="宋体" w:hAnsi="宋体" w:cs="宋体"/>
                <w:b/>
                <w:bCs/>
                <w:color w:val="auto"/>
                <w:kern w:val="2"/>
                <w:highlight w:val="none"/>
                <w:lang w:val="zh-TW" w:eastAsia="zh-TW"/>
              </w:rPr>
            </w:pPr>
            <w:r>
              <w:rPr>
                <w:rFonts w:hint="eastAsia" w:ascii="宋体" w:hAnsi="宋体" w:cs="宋体"/>
                <w:b/>
                <w:bCs/>
                <w:color w:val="auto"/>
                <w:kern w:val="2"/>
                <w:highlight w:val="none"/>
                <w:lang w:val="zh-TW" w:eastAsia="zh-TW"/>
              </w:rPr>
              <w:t>投标报价出现下列情形的，投标无效：</w:t>
            </w:r>
          </w:p>
          <w:p w14:paraId="18775580">
            <w:pPr>
              <w:pStyle w:val="37"/>
              <w:widowControl w:val="0"/>
              <w:spacing w:line="460" w:lineRule="exact"/>
              <w:ind w:firstLine="422" w:firstLineChars="200"/>
              <w:rPr>
                <w:rFonts w:ascii="宋体" w:hAnsi="宋体" w:cs="宋体"/>
                <w:b/>
                <w:bCs/>
                <w:color w:val="auto"/>
                <w:kern w:val="2"/>
                <w:highlight w:val="none"/>
                <w:lang w:val="zh-TW" w:eastAsia="zh-TW"/>
              </w:rPr>
            </w:pPr>
            <w:r>
              <w:rPr>
                <w:rFonts w:hint="eastAsia" w:ascii="宋体" w:hAnsi="宋体" w:cs="宋体"/>
                <w:b/>
                <w:bCs/>
                <w:color w:val="auto"/>
                <w:kern w:val="2"/>
                <w:highlight w:val="none"/>
                <w:lang w:val="zh-TW" w:eastAsia="zh-TW"/>
              </w:rPr>
              <w:t>投标文件出现不是唯一的、有选择性投标报价的；</w:t>
            </w:r>
          </w:p>
          <w:p w14:paraId="657A84B1">
            <w:pPr>
              <w:pStyle w:val="37"/>
              <w:widowControl w:val="0"/>
              <w:spacing w:line="460" w:lineRule="exact"/>
              <w:ind w:firstLine="422" w:firstLineChars="200"/>
              <w:rPr>
                <w:rFonts w:ascii="宋体" w:hAnsi="宋体" w:cs="宋体"/>
                <w:b/>
                <w:bCs/>
                <w:color w:val="auto"/>
                <w:kern w:val="2"/>
                <w:highlight w:val="none"/>
                <w:lang w:val="zh-TW" w:eastAsia="zh-TW"/>
              </w:rPr>
            </w:pPr>
            <w:r>
              <w:rPr>
                <w:rFonts w:hint="eastAsia" w:ascii="宋体" w:hAnsi="宋体" w:cs="宋体"/>
                <w:b/>
                <w:bCs/>
                <w:color w:val="auto"/>
                <w:kern w:val="2"/>
                <w:highlight w:val="none"/>
                <w:lang w:val="zh-TW" w:eastAsia="zh-TW"/>
              </w:rPr>
              <w:t>投标报价超过招标文件中规定的预算金额或者最高限价的;</w:t>
            </w:r>
          </w:p>
          <w:p w14:paraId="48265822">
            <w:pPr>
              <w:pStyle w:val="37"/>
              <w:widowControl w:val="0"/>
              <w:spacing w:line="460" w:lineRule="exact"/>
              <w:ind w:firstLine="422" w:firstLineChars="200"/>
              <w:rPr>
                <w:rFonts w:ascii="宋体" w:hAnsi="宋体" w:cs="宋体"/>
                <w:b/>
                <w:bCs/>
                <w:color w:val="auto"/>
                <w:kern w:val="2"/>
                <w:highlight w:val="none"/>
                <w:lang w:val="zh-TW" w:eastAsia="zh-TW"/>
              </w:rPr>
            </w:pPr>
            <w:r>
              <w:rPr>
                <w:rFonts w:hint="eastAsia" w:ascii="宋体" w:hAnsi="宋体" w:cs="宋体"/>
                <w:b/>
                <w:bCs/>
                <w:color w:val="auto"/>
                <w:kern w:val="2"/>
                <w:highlight w:val="none"/>
                <w:lang w:val="zh-TW" w:eastAsia="zh-TW"/>
              </w:rPr>
              <w:t>报价明显低于其他通过符合性审查投标人的报价，有可能影响产品质量或者不能诚信履约的，未能按要求提供书面说明或者提交相关证明材料证明其报价合理性的;</w:t>
            </w:r>
          </w:p>
          <w:p w14:paraId="68A970BD">
            <w:pPr>
              <w:pStyle w:val="37"/>
              <w:widowControl w:val="0"/>
              <w:spacing w:line="460" w:lineRule="exact"/>
              <w:ind w:firstLine="422" w:firstLineChars="200"/>
              <w:rPr>
                <w:rFonts w:ascii="宋体" w:hAnsi="宋体" w:cs="宋体"/>
                <w:color w:val="auto"/>
                <w:highlight w:val="none"/>
                <w:lang w:val="zh-TW" w:eastAsia="zh-TW"/>
              </w:rPr>
            </w:pPr>
            <w:r>
              <w:rPr>
                <w:rFonts w:hint="eastAsia" w:ascii="宋体" w:hAnsi="宋体" w:cs="宋体"/>
                <w:b/>
                <w:bCs/>
                <w:color w:val="auto"/>
                <w:kern w:val="2"/>
                <w:highlight w:val="none"/>
                <w:lang w:val="zh-TW" w:eastAsia="zh-TW"/>
              </w:rPr>
              <w:t>投标人对根据修正原则修正后的报价不确认的。</w:t>
            </w:r>
          </w:p>
        </w:tc>
      </w:tr>
      <w:tr w14:paraId="1750B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004E96A">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11</w:t>
            </w:r>
          </w:p>
        </w:tc>
        <w:tc>
          <w:tcPr>
            <w:tcW w:w="1747" w:type="dxa"/>
            <w:tcBorders>
              <w:tl2br w:val="nil"/>
              <w:tr2bl w:val="nil"/>
            </w:tcBorders>
            <w:vAlign w:val="center"/>
          </w:tcPr>
          <w:p w14:paraId="76BBEBFD">
            <w:pPr>
              <w:pStyle w:val="37"/>
              <w:widowControl w:val="0"/>
              <w:spacing w:line="460" w:lineRule="exact"/>
              <w:jc w:val="center"/>
              <w:rPr>
                <w:rFonts w:ascii="宋体" w:hAnsi="宋体" w:cs="宋体"/>
                <w:b/>
                <w:bCs/>
                <w:color w:val="auto"/>
                <w:kern w:val="2"/>
                <w:highlight w:val="none"/>
              </w:rPr>
            </w:pPr>
            <w:r>
              <w:rPr>
                <w:rFonts w:hint="eastAsia" w:ascii="宋体" w:hAnsi="宋体" w:cs="宋体"/>
                <w:b/>
                <w:bCs/>
                <w:color w:val="auto"/>
                <w:highlight w:val="none"/>
                <w:lang w:val="zh-TW"/>
              </w:rPr>
              <w:t>中小企业信用融资</w:t>
            </w:r>
          </w:p>
        </w:tc>
        <w:tc>
          <w:tcPr>
            <w:tcW w:w="7252" w:type="dxa"/>
            <w:tcBorders>
              <w:tl2br w:val="nil"/>
              <w:tr2bl w:val="nil"/>
            </w:tcBorders>
            <w:vAlign w:val="center"/>
          </w:tcPr>
          <w:p w14:paraId="6621DE55">
            <w:pPr>
              <w:pStyle w:val="37"/>
              <w:widowControl w:val="0"/>
              <w:spacing w:line="460" w:lineRule="exact"/>
              <w:rPr>
                <w:rFonts w:ascii="宋体" w:hAnsi="宋体" w:cs="宋体"/>
                <w:color w:val="auto"/>
                <w:kern w:val="2"/>
                <w:highlight w:val="none"/>
                <w:lang w:val="zh-TW" w:eastAsia="zh-TW"/>
              </w:rPr>
            </w:pPr>
            <w:r>
              <w:rPr>
                <w:rFonts w:hint="eastAsia" w:ascii="宋体" w:hAnsi="宋体" w:cs="宋体"/>
                <w:color w:val="auto"/>
                <w:kern w:val="2"/>
                <w:highlight w:val="none"/>
                <w:lang w:val="zh-TW" w:eastAsia="zh-TW"/>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C754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7DA2955C">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12</w:t>
            </w:r>
          </w:p>
        </w:tc>
        <w:tc>
          <w:tcPr>
            <w:tcW w:w="1747" w:type="dxa"/>
            <w:tcBorders>
              <w:tl2br w:val="nil"/>
              <w:tr2bl w:val="nil"/>
            </w:tcBorders>
            <w:vAlign w:val="center"/>
          </w:tcPr>
          <w:p w14:paraId="62CBB0E6">
            <w:pPr>
              <w:pStyle w:val="37"/>
              <w:widowControl w:val="0"/>
              <w:spacing w:line="460" w:lineRule="exact"/>
              <w:jc w:val="center"/>
              <w:rPr>
                <w:rFonts w:ascii="宋体" w:hAnsi="宋体" w:cs="宋体"/>
                <w:b/>
                <w:bCs/>
                <w:color w:val="auto"/>
                <w:kern w:val="2"/>
                <w:highlight w:val="none"/>
              </w:rPr>
            </w:pPr>
            <w:r>
              <w:rPr>
                <w:rFonts w:hint="eastAsia" w:ascii="宋体" w:hAnsi="宋体" w:cs="宋体"/>
                <w:b/>
                <w:bCs/>
                <w:color w:val="auto"/>
                <w:highlight w:val="none"/>
                <w:lang w:val="zh-TW"/>
              </w:rPr>
              <w:t>备份投标文件送达地点和签收人员</w:t>
            </w:r>
          </w:p>
        </w:tc>
        <w:tc>
          <w:tcPr>
            <w:tcW w:w="7252" w:type="dxa"/>
            <w:tcBorders>
              <w:tl2br w:val="nil"/>
              <w:tr2bl w:val="nil"/>
            </w:tcBorders>
            <w:vAlign w:val="center"/>
          </w:tcPr>
          <w:p w14:paraId="5B23D87F">
            <w:pPr>
              <w:pStyle w:val="37"/>
              <w:widowControl w:val="0"/>
              <w:spacing w:line="460" w:lineRule="exact"/>
              <w:rPr>
                <w:rFonts w:ascii="宋体" w:hAnsi="宋体" w:cs="宋体"/>
                <w:color w:val="auto"/>
                <w:highlight w:val="none"/>
              </w:rPr>
            </w:pPr>
            <w:r>
              <w:rPr>
                <w:rFonts w:hint="eastAsia" w:ascii="宋体" w:hAnsi="宋体" w:cs="宋体"/>
                <w:color w:val="auto"/>
                <w:highlight w:val="none"/>
              </w:rPr>
              <w:t>备份投标文件送达地点：</w:t>
            </w:r>
            <w:r>
              <w:rPr>
                <w:rFonts w:hint="eastAsia" w:ascii="宋体" w:hAnsi="宋体" w:cs="宋体"/>
                <w:color w:val="auto"/>
                <w:highlight w:val="none"/>
                <w:u w:val="single"/>
              </w:rPr>
              <w:t>杭州市西湖区教工路199号保亭综合楼3楼308室</w:t>
            </w:r>
            <w:r>
              <w:rPr>
                <w:rFonts w:hint="eastAsia" w:ascii="宋体" w:hAnsi="宋体" w:cs="宋体"/>
                <w:color w:val="auto"/>
                <w:highlight w:val="none"/>
              </w:rPr>
              <w:t>；</w:t>
            </w:r>
          </w:p>
          <w:p w14:paraId="10C904D8">
            <w:pPr>
              <w:pStyle w:val="37"/>
              <w:widowControl w:val="0"/>
              <w:spacing w:line="460" w:lineRule="exact"/>
              <w:rPr>
                <w:rFonts w:ascii="宋体" w:hAnsi="宋体" w:cs="宋体"/>
                <w:color w:val="auto"/>
                <w:highlight w:val="none"/>
              </w:rPr>
            </w:pPr>
            <w:r>
              <w:rPr>
                <w:rFonts w:hint="eastAsia" w:ascii="宋体" w:hAnsi="宋体" w:cs="宋体"/>
                <w:color w:val="auto"/>
                <w:highlight w:val="none"/>
              </w:rPr>
              <w:t>备份投标文件签收人员联系电话：</w:t>
            </w:r>
            <w:r>
              <w:rPr>
                <w:rFonts w:hint="eastAsia" w:ascii="宋体" w:hAnsi="宋体" w:cs="宋体"/>
                <w:color w:val="auto"/>
                <w:highlight w:val="none"/>
                <w:u w:val="single"/>
              </w:rPr>
              <w:t xml:space="preserve">宦工、18626895360 </w:t>
            </w:r>
            <w:r>
              <w:rPr>
                <w:rFonts w:hint="eastAsia" w:ascii="宋体" w:hAnsi="宋体" w:cs="宋体"/>
                <w:color w:val="auto"/>
                <w:highlight w:val="none"/>
              </w:rPr>
              <w:t>。</w:t>
            </w:r>
          </w:p>
          <w:p w14:paraId="35524FBF">
            <w:pPr>
              <w:pStyle w:val="37"/>
              <w:widowControl w:val="0"/>
              <w:spacing w:line="460" w:lineRule="exact"/>
              <w:rPr>
                <w:rFonts w:ascii="宋体" w:hAnsi="宋体" w:cs="宋体"/>
                <w:color w:val="auto"/>
                <w:highlight w:val="none"/>
              </w:rPr>
            </w:pPr>
            <w:r>
              <w:rPr>
                <w:rFonts w:hint="eastAsia" w:ascii="宋体" w:hAnsi="宋体" w:cs="宋体"/>
                <w:color w:val="auto"/>
                <w:highlight w:val="none"/>
              </w:rPr>
              <w:t>备份投标文件送达截止时间：</w:t>
            </w:r>
            <w:r>
              <w:rPr>
                <w:rFonts w:hint="eastAsia" w:ascii="宋体" w:hAnsi="宋体" w:cs="宋体"/>
                <w:color w:val="auto"/>
                <w:highlight w:val="none"/>
                <w:u w:val="single"/>
              </w:rPr>
              <w:t>同开标截止时间</w:t>
            </w:r>
          </w:p>
          <w:p w14:paraId="2A68B9A7">
            <w:pPr>
              <w:pStyle w:val="37"/>
              <w:widowControl w:val="0"/>
              <w:spacing w:line="460" w:lineRule="exact"/>
              <w:rPr>
                <w:rFonts w:ascii="宋体" w:hAnsi="宋体" w:cs="宋体"/>
                <w:color w:val="auto"/>
                <w:highlight w:val="none"/>
              </w:rPr>
            </w:pPr>
            <w:r>
              <w:rPr>
                <w:rFonts w:hint="eastAsia" w:ascii="宋体" w:hAnsi="宋体" w:cs="宋体"/>
                <w:color w:val="auto"/>
                <w:highlight w:val="none"/>
              </w:rPr>
              <w:t>备份投标文件的递交：</w:t>
            </w:r>
            <w:r>
              <w:rPr>
                <w:rFonts w:hint="eastAsia" w:ascii="宋体" w:hAnsi="宋体" w:cs="宋体"/>
                <w:color w:val="auto"/>
                <w:highlight w:val="none"/>
                <w:u w:val="single"/>
              </w:rPr>
              <w:t>投标人如需要递交备份投标文件的，请将u盘形式的备份投标文件密封包装后以递交。</w:t>
            </w:r>
          </w:p>
          <w:p w14:paraId="02639E84">
            <w:pPr>
              <w:pStyle w:val="37"/>
              <w:widowControl w:val="0"/>
              <w:spacing w:line="460" w:lineRule="exact"/>
              <w:rPr>
                <w:rFonts w:ascii="宋体" w:hAnsi="宋体" w:cs="宋体"/>
                <w:color w:val="auto"/>
                <w:kern w:val="2"/>
                <w:highlight w:val="none"/>
                <w:lang w:val="zh-TW" w:eastAsia="zh-TW"/>
              </w:rPr>
            </w:pPr>
            <w:r>
              <w:rPr>
                <w:rFonts w:hint="eastAsia" w:ascii="宋体" w:hAnsi="宋体" w:cs="宋体"/>
                <w:b/>
                <w:bCs/>
                <w:color w:val="auto"/>
                <w:highlight w:val="none"/>
              </w:rPr>
              <w:t>采购人、采购代理机构不强制或变相强制投标人提交备份投标文件。</w:t>
            </w:r>
          </w:p>
        </w:tc>
      </w:tr>
      <w:tr w14:paraId="09422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14:paraId="4A48FC82">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13</w:t>
            </w:r>
          </w:p>
        </w:tc>
        <w:tc>
          <w:tcPr>
            <w:tcW w:w="1747" w:type="dxa"/>
            <w:tcBorders>
              <w:tl2br w:val="nil"/>
              <w:tr2bl w:val="nil"/>
            </w:tcBorders>
            <w:vAlign w:val="center"/>
          </w:tcPr>
          <w:p w14:paraId="6313567B">
            <w:pPr>
              <w:pStyle w:val="37"/>
              <w:widowControl w:val="0"/>
              <w:spacing w:line="460" w:lineRule="exact"/>
              <w:jc w:val="center"/>
              <w:rPr>
                <w:rFonts w:ascii="宋体" w:hAnsi="宋体" w:cs="宋体"/>
                <w:b/>
                <w:bCs/>
                <w:color w:val="auto"/>
                <w:highlight w:val="none"/>
                <w:lang w:val="zh-TW"/>
              </w:rPr>
            </w:pPr>
            <w:r>
              <w:rPr>
                <w:rFonts w:hint="eastAsia" w:ascii="宋体" w:hAnsi="宋体" w:cs="宋体"/>
                <w:b/>
                <w:bCs/>
                <w:color w:val="auto"/>
                <w:kern w:val="2"/>
                <w:highlight w:val="none"/>
              </w:rPr>
              <w:t>中标候选人数量</w:t>
            </w:r>
          </w:p>
        </w:tc>
        <w:tc>
          <w:tcPr>
            <w:tcW w:w="7252" w:type="dxa"/>
            <w:tcBorders>
              <w:tl2br w:val="nil"/>
              <w:tr2bl w:val="nil"/>
            </w:tcBorders>
            <w:vAlign w:val="center"/>
          </w:tcPr>
          <w:p w14:paraId="5D9B4A78">
            <w:pPr>
              <w:pStyle w:val="37"/>
              <w:widowControl w:val="0"/>
              <w:spacing w:line="460" w:lineRule="exact"/>
              <w:rPr>
                <w:rFonts w:ascii="宋体" w:hAnsi="宋体" w:cs="宋体"/>
                <w:b/>
                <w:bCs/>
                <w:color w:val="auto"/>
                <w:kern w:val="2"/>
                <w:highlight w:val="none"/>
              </w:rPr>
            </w:pPr>
            <w:r>
              <w:rPr>
                <w:rFonts w:hint="eastAsia" w:ascii="宋体" w:hAnsi="宋体" w:cs="宋体"/>
                <w:b/>
                <w:bCs/>
                <w:color w:val="auto"/>
                <w:kern w:val="2"/>
                <w:highlight w:val="none"/>
              </w:rPr>
              <w:t>本项目推荐的中标候选人数量：</w:t>
            </w:r>
            <w:r>
              <w:rPr>
                <w:rFonts w:hint="eastAsia" w:ascii="宋体" w:hAnsi="宋体" w:cs="宋体"/>
                <w:b/>
                <w:bCs/>
                <w:color w:val="auto"/>
                <w:kern w:val="2"/>
                <w:highlight w:val="none"/>
                <w:u w:val="single"/>
              </w:rPr>
              <w:t>1</w:t>
            </w:r>
            <w:r>
              <w:rPr>
                <w:rFonts w:hint="eastAsia" w:ascii="宋体" w:hAnsi="宋体" w:cs="宋体"/>
                <w:b/>
                <w:bCs/>
                <w:color w:val="auto"/>
                <w:kern w:val="2"/>
                <w:highlight w:val="none"/>
              </w:rPr>
              <w:t>。</w:t>
            </w:r>
          </w:p>
        </w:tc>
      </w:tr>
      <w:tr w14:paraId="278A4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l2br w:val="nil"/>
              <w:tr2bl w:val="nil"/>
            </w:tcBorders>
            <w:vAlign w:val="center"/>
          </w:tcPr>
          <w:p w14:paraId="489A5679">
            <w:pPr>
              <w:pStyle w:val="37"/>
              <w:widowControl w:val="0"/>
              <w:spacing w:line="460" w:lineRule="exact"/>
              <w:jc w:val="center"/>
              <w:rPr>
                <w:rFonts w:ascii="宋体" w:hAnsi="宋体" w:cs="宋体"/>
                <w:color w:val="auto"/>
                <w:kern w:val="2"/>
                <w:highlight w:val="none"/>
              </w:rPr>
            </w:pPr>
            <w:r>
              <w:rPr>
                <w:rFonts w:hint="eastAsia" w:ascii="宋体" w:hAnsi="宋体" w:cs="宋体"/>
                <w:color w:val="auto"/>
                <w:kern w:val="2"/>
                <w:highlight w:val="none"/>
              </w:rPr>
              <w:t>14</w:t>
            </w:r>
          </w:p>
        </w:tc>
        <w:tc>
          <w:tcPr>
            <w:tcW w:w="1747" w:type="dxa"/>
            <w:vMerge w:val="restart"/>
            <w:tcBorders>
              <w:tl2br w:val="nil"/>
              <w:tr2bl w:val="nil"/>
            </w:tcBorders>
            <w:vAlign w:val="center"/>
          </w:tcPr>
          <w:p w14:paraId="62A163DC">
            <w:pPr>
              <w:pStyle w:val="37"/>
              <w:widowControl w:val="0"/>
              <w:spacing w:line="460" w:lineRule="exact"/>
              <w:jc w:val="center"/>
              <w:rPr>
                <w:rFonts w:ascii="宋体" w:hAnsi="宋体" w:cs="宋体"/>
                <w:b/>
                <w:bCs/>
                <w:color w:val="auto"/>
                <w:highlight w:val="none"/>
                <w:lang w:val="zh-TW"/>
              </w:rPr>
            </w:pPr>
            <w:r>
              <w:rPr>
                <w:rFonts w:hint="eastAsia" w:ascii="宋体" w:hAnsi="宋体" w:cs="宋体"/>
                <w:b/>
                <w:bCs/>
                <w:color w:val="auto"/>
                <w:highlight w:val="none"/>
                <w:lang w:val="zh-TW"/>
              </w:rPr>
              <w:t>特别说明</w:t>
            </w:r>
          </w:p>
        </w:tc>
        <w:tc>
          <w:tcPr>
            <w:tcW w:w="7252" w:type="dxa"/>
            <w:tcBorders>
              <w:tl2br w:val="nil"/>
              <w:tr2bl w:val="nil"/>
            </w:tcBorders>
            <w:vAlign w:val="center"/>
          </w:tcPr>
          <w:p w14:paraId="20177737">
            <w:pPr>
              <w:pStyle w:val="37"/>
              <w:widowControl w:val="0"/>
              <w:spacing w:line="460" w:lineRule="exact"/>
              <w:rPr>
                <w:rFonts w:ascii="宋体" w:hAnsi="宋体" w:cs="宋体"/>
                <w:bCs/>
                <w:color w:val="auto"/>
                <w:highlight w:val="none"/>
              </w:rPr>
            </w:pPr>
            <w:r>
              <w:rPr>
                <w:rFonts w:hint="eastAsia" w:ascii="宋体" w:hAnsi="宋体" w:cs="宋体"/>
                <w:bCs/>
                <w:color w:val="auto"/>
                <w:highlight w:val="none"/>
              </w:rPr>
              <w:t>联合体投标的，联合体各方分别提供与联合体协议中规定的分工内容相应的业绩证明材料，业绩数量以提供材料较少的一方为准。</w:t>
            </w:r>
          </w:p>
        </w:tc>
      </w:tr>
      <w:tr w14:paraId="74FC4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79D4379A">
            <w:pPr>
              <w:pStyle w:val="37"/>
              <w:widowControl w:val="0"/>
              <w:spacing w:line="460" w:lineRule="exact"/>
              <w:jc w:val="center"/>
              <w:rPr>
                <w:rFonts w:ascii="宋体" w:hAnsi="宋体" w:cs="宋体"/>
                <w:color w:val="auto"/>
                <w:kern w:val="2"/>
                <w:highlight w:val="none"/>
              </w:rPr>
            </w:pPr>
          </w:p>
        </w:tc>
        <w:tc>
          <w:tcPr>
            <w:tcW w:w="1747" w:type="dxa"/>
            <w:vMerge w:val="continue"/>
            <w:tcBorders>
              <w:tl2br w:val="nil"/>
              <w:tr2bl w:val="nil"/>
            </w:tcBorders>
            <w:vAlign w:val="center"/>
          </w:tcPr>
          <w:p w14:paraId="74552851">
            <w:pPr>
              <w:pStyle w:val="37"/>
              <w:widowControl w:val="0"/>
              <w:spacing w:line="460" w:lineRule="exact"/>
              <w:jc w:val="center"/>
              <w:rPr>
                <w:rFonts w:ascii="宋体" w:hAnsi="宋体" w:cs="宋体"/>
                <w:b/>
                <w:bCs/>
                <w:color w:val="auto"/>
                <w:highlight w:val="none"/>
                <w:lang w:val="zh-TW"/>
              </w:rPr>
            </w:pPr>
          </w:p>
        </w:tc>
        <w:tc>
          <w:tcPr>
            <w:tcW w:w="7252" w:type="dxa"/>
            <w:tcBorders>
              <w:tl2br w:val="nil"/>
              <w:tr2bl w:val="nil"/>
            </w:tcBorders>
            <w:vAlign w:val="center"/>
          </w:tcPr>
          <w:p w14:paraId="2F8A322A">
            <w:pPr>
              <w:pStyle w:val="37"/>
              <w:widowControl w:val="0"/>
              <w:spacing w:line="460" w:lineRule="exact"/>
              <w:rPr>
                <w:rFonts w:ascii="宋体" w:hAnsi="宋体" w:cs="宋体"/>
                <w:bCs/>
                <w:color w:val="auto"/>
                <w:highlight w:val="none"/>
              </w:rPr>
            </w:pPr>
            <w:r>
              <w:rPr>
                <w:rFonts w:hint="eastAsia" w:ascii="宋体" w:hAnsi="宋体" w:cs="宋体"/>
                <w:b/>
                <w:bCs/>
                <w:color w:val="auto"/>
                <w:highlight w:val="none"/>
              </w:rPr>
              <w:sym w:font="Wingdings 2" w:char="00A3"/>
            </w:r>
            <w:r>
              <w:rPr>
                <w:rFonts w:hint="eastAsia" w:ascii="宋体" w:hAnsi="宋体" w:cs="宋体"/>
                <w:bCs/>
                <w:color w:val="auto"/>
                <w:highlight w:val="none"/>
              </w:rPr>
              <w:t>联合体投标的，联合体各方均需按招标文件第四部分评标标准要求提供资信证明文件，否则视为不符合相关要求。</w:t>
            </w:r>
          </w:p>
          <w:p w14:paraId="5187DADA">
            <w:pPr>
              <w:pStyle w:val="37"/>
              <w:widowControl w:val="0"/>
              <w:spacing w:line="460" w:lineRule="exact"/>
              <w:rPr>
                <w:rFonts w:ascii="宋体" w:hAnsi="宋体" w:cs="宋体"/>
                <w:bCs/>
                <w:color w:val="auto"/>
                <w:highlight w:val="none"/>
              </w:rPr>
            </w:pPr>
            <w:r>
              <w:rPr>
                <w:rFonts w:hint="eastAsia" w:ascii="宋体" w:hAnsi="宋体" w:cs="宋体"/>
                <w:b/>
                <w:bCs/>
                <w:color w:val="auto"/>
                <w:highlight w:val="none"/>
              </w:rPr>
              <w:sym w:font="Wingdings 2" w:char="0052"/>
            </w:r>
            <w:r>
              <w:rPr>
                <w:rFonts w:hint="eastAsia" w:ascii="宋体" w:hAnsi="宋体" w:cs="宋体"/>
                <w:bCs/>
                <w:color w:val="auto"/>
                <w:highlight w:val="none"/>
              </w:rPr>
              <w:t>联合体投标的，联合体中有一方或者联合体成员根据分工按招标文件第四部分评标标准要求提供资信证明文件的，视为符合了相关要求。</w:t>
            </w:r>
          </w:p>
        </w:tc>
      </w:tr>
      <w:tr w14:paraId="24B55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3E50871E">
            <w:pPr>
              <w:pStyle w:val="37"/>
              <w:widowControl w:val="0"/>
              <w:spacing w:line="460" w:lineRule="exact"/>
              <w:jc w:val="center"/>
              <w:rPr>
                <w:rFonts w:ascii="宋体" w:hAnsi="宋体" w:cs="宋体"/>
                <w:color w:val="auto"/>
                <w:kern w:val="2"/>
                <w:highlight w:val="none"/>
              </w:rPr>
            </w:pPr>
          </w:p>
        </w:tc>
        <w:tc>
          <w:tcPr>
            <w:tcW w:w="1747" w:type="dxa"/>
            <w:vMerge w:val="continue"/>
            <w:tcBorders>
              <w:tl2br w:val="nil"/>
              <w:tr2bl w:val="nil"/>
            </w:tcBorders>
            <w:vAlign w:val="center"/>
          </w:tcPr>
          <w:p w14:paraId="350EA477">
            <w:pPr>
              <w:pStyle w:val="37"/>
              <w:widowControl w:val="0"/>
              <w:spacing w:line="460" w:lineRule="exact"/>
              <w:jc w:val="center"/>
              <w:rPr>
                <w:rFonts w:ascii="宋体" w:hAnsi="宋体" w:cs="宋体"/>
                <w:b/>
                <w:bCs/>
                <w:color w:val="auto"/>
                <w:highlight w:val="none"/>
                <w:lang w:val="zh-TW"/>
              </w:rPr>
            </w:pPr>
          </w:p>
        </w:tc>
        <w:tc>
          <w:tcPr>
            <w:tcW w:w="7252" w:type="dxa"/>
            <w:tcBorders>
              <w:tl2br w:val="nil"/>
              <w:tr2bl w:val="nil"/>
            </w:tcBorders>
            <w:vAlign w:val="center"/>
          </w:tcPr>
          <w:p w14:paraId="5A0FB04A">
            <w:pPr>
              <w:pStyle w:val="37"/>
              <w:widowControl w:val="0"/>
              <w:spacing w:line="460" w:lineRule="exact"/>
              <w:rPr>
                <w:rFonts w:ascii="宋体" w:hAnsi="宋体" w:cs="宋体"/>
                <w:color w:val="auto"/>
                <w:highlight w:val="none"/>
              </w:rPr>
            </w:pPr>
            <w:r>
              <w:rPr>
                <w:rFonts w:hint="eastAsia" w:ascii="宋体" w:hAnsi="宋体" w:cs="宋体"/>
                <w:b/>
                <w:color w:val="auto"/>
                <w:highlight w:val="none"/>
              </w:rPr>
              <w:t>收取标准：</w:t>
            </w:r>
            <w:r>
              <w:rPr>
                <w:rFonts w:hint="eastAsia" w:ascii="宋体" w:hAnsi="宋体" w:cs="宋体"/>
                <w:bCs/>
                <w:color w:val="auto"/>
                <w:highlight w:val="none"/>
              </w:rPr>
              <w:t>以中标金额为计费基准，按《计价格［2002］1980号》及《发改办价格［2003］857号》规定的80%收费标准计取，不足人民币肆仟元按肆仟元计取。</w:t>
            </w:r>
          </w:p>
          <w:p w14:paraId="653CB010">
            <w:pPr>
              <w:pStyle w:val="37"/>
              <w:widowControl w:val="0"/>
              <w:spacing w:line="460" w:lineRule="exact"/>
              <w:rPr>
                <w:rFonts w:ascii="宋体" w:hAnsi="宋体" w:cs="宋体"/>
                <w:bCs/>
                <w:color w:val="auto"/>
                <w:highlight w:val="none"/>
              </w:rPr>
            </w:pPr>
            <w:r>
              <w:rPr>
                <w:rFonts w:hint="eastAsia" w:ascii="宋体" w:hAnsi="宋体" w:cs="宋体"/>
                <w:b/>
                <w:color w:val="auto"/>
                <w:highlight w:val="none"/>
              </w:rPr>
              <w:t>收取方式：</w:t>
            </w:r>
            <w:r>
              <w:rPr>
                <w:rFonts w:hint="eastAsia" w:ascii="宋体" w:hAnsi="宋体" w:cs="宋体"/>
                <w:bCs/>
                <w:color w:val="auto"/>
                <w:highlight w:val="none"/>
              </w:rPr>
              <w:t>本项目的代理费由中标人支付。在中标结果公告发出后15个工作日内由中标人一次性向采购代理机构付清。账户信息如下：</w:t>
            </w:r>
          </w:p>
          <w:p w14:paraId="5B40A1EA">
            <w:pPr>
              <w:pStyle w:val="37"/>
              <w:widowControl w:val="0"/>
              <w:spacing w:line="460" w:lineRule="exact"/>
              <w:ind w:left="420" w:leftChars="200"/>
              <w:rPr>
                <w:rFonts w:ascii="宋体" w:hAnsi="宋体" w:cs="宋体"/>
                <w:b/>
                <w:color w:val="auto"/>
                <w:highlight w:val="none"/>
              </w:rPr>
            </w:pPr>
            <w:r>
              <w:rPr>
                <w:rFonts w:hint="eastAsia" w:ascii="宋体" w:hAnsi="宋体" w:cs="宋体"/>
                <w:b/>
                <w:color w:val="auto"/>
                <w:highlight w:val="none"/>
              </w:rPr>
              <w:t>账户名称：浙江西建工程管理有限公司</w:t>
            </w:r>
          </w:p>
          <w:p w14:paraId="0CE0A3B7">
            <w:pPr>
              <w:pStyle w:val="37"/>
              <w:widowControl w:val="0"/>
              <w:spacing w:line="460" w:lineRule="exact"/>
              <w:ind w:left="420" w:leftChars="200"/>
              <w:rPr>
                <w:rFonts w:ascii="宋体" w:hAnsi="宋体" w:cs="宋体"/>
                <w:b/>
                <w:color w:val="auto"/>
                <w:highlight w:val="none"/>
              </w:rPr>
            </w:pPr>
            <w:r>
              <w:rPr>
                <w:rFonts w:hint="eastAsia" w:ascii="宋体" w:hAnsi="宋体" w:cs="宋体"/>
                <w:b/>
                <w:color w:val="auto"/>
                <w:highlight w:val="none"/>
              </w:rPr>
              <w:t>开户银行：</w:t>
            </w:r>
            <w:r>
              <w:rPr>
                <w:rFonts w:hint="eastAsia" w:ascii="宋体" w:hAnsi="宋体" w:cs="宋体"/>
                <w:b/>
                <w:color w:val="auto"/>
                <w:highlight w:val="none"/>
                <w:lang w:val="zh-CN"/>
              </w:rPr>
              <w:t>工行杭州保俶支行</w:t>
            </w:r>
            <w:r>
              <w:rPr>
                <w:rFonts w:hint="eastAsia" w:ascii="宋体" w:hAnsi="宋体" w:cs="宋体"/>
                <w:b/>
                <w:color w:val="auto"/>
                <w:highlight w:val="none"/>
              </w:rPr>
              <w:t>；</w:t>
            </w:r>
          </w:p>
          <w:p w14:paraId="48623B36">
            <w:pPr>
              <w:pStyle w:val="37"/>
              <w:widowControl w:val="0"/>
              <w:spacing w:line="460" w:lineRule="exact"/>
              <w:ind w:left="420" w:leftChars="200"/>
              <w:rPr>
                <w:rFonts w:ascii="宋体" w:hAnsi="宋体" w:cs="宋体"/>
                <w:b/>
                <w:color w:val="auto"/>
                <w:highlight w:val="none"/>
              </w:rPr>
            </w:pPr>
            <w:r>
              <w:rPr>
                <w:rFonts w:hint="eastAsia" w:ascii="宋体" w:hAnsi="宋体" w:cs="宋体"/>
                <w:b/>
                <w:color w:val="auto"/>
                <w:highlight w:val="none"/>
              </w:rPr>
              <w:t>银行账号：</w:t>
            </w:r>
            <w:r>
              <w:rPr>
                <w:rFonts w:hint="eastAsia" w:ascii="宋体" w:hAnsi="宋体" w:cs="宋体"/>
                <w:b/>
                <w:color w:val="auto"/>
                <w:highlight w:val="none"/>
                <w:lang w:val="zh-CN"/>
              </w:rPr>
              <w:t>1202022709900088607</w:t>
            </w:r>
          </w:p>
        </w:tc>
      </w:tr>
      <w:tr w14:paraId="10E8C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vAlign w:val="center"/>
          </w:tcPr>
          <w:p w14:paraId="4BB673FB">
            <w:pPr>
              <w:pStyle w:val="37"/>
              <w:widowControl w:val="0"/>
              <w:spacing w:line="460" w:lineRule="exact"/>
              <w:jc w:val="center"/>
              <w:rPr>
                <w:rFonts w:ascii="宋体" w:hAnsi="宋体" w:cs="宋体"/>
                <w:color w:val="auto"/>
                <w:kern w:val="2"/>
                <w:highlight w:val="none"/>
              </w:rPr>
            </w:pPr>
          </w:p>
        </w:tc>
        <w:tc>
          <w:tcPr>
            <w:tcW w:w="1747" w:type="dxa"/>
            <w:vMerge w:val="continue"/>
            <w:tcBorders>
              <w:tl2br w:val="nil"/>
              <w:tr2bl w:val="nil"/>
            </w:tcBorders>
            <w:vAlign w:val="center"/>
          </w:tcPr>
          <w:p w14:paraId="262C1ABD">
            <w:pPr>
              <w:pStyle w:val="37"/>
              <w:widowControl w:val="0"/>
              <w:spacing w:line="460" w:lineRule="exact"/>
              <w:jc w:val="center"/>
              <w:rPr>
                <w:rFonts w:ascii="宋体" w:hAnsi="宋体" w:cs="宋体"/>
                <w:b/>
                <w:bCs/>
                <w:color w:val="auto"/>
                <w:highlight w:val="none"/>
                <w:lang w:val="zh-TW"/>
              </w:rPr>
            </w:pPr>
          </w:p>
        </w:tc>
        <w:tc>
          <w:tcPr>
            <w:tcW w:w="7252" w:type="dxa"/>
            <w:tcBorders>
              <w:tl2br w:val="nil"/>
              <w:tr2bl w:val="nil"/>
            </w:tcBorders>
            <w:vAlign w:val="center"/>
          </w:tcPr>
          <w:p w14:paraId="0C8A41D3">
            <w:pPr>
              <w:pStyle w:val="37"/>
              <w:widowControl w:val="0"/>
              <w:spacing w:line="460" w:lineRule="exact"/>
              <w:rPr>
                <w:rFonts w:ascii="宋体" w:hAnsi="宋体" w:cs="宋体"/>
                <w:color w:val="auto"/>
                <w:highlight w:val="none"/>
                <w:lang w:eastAsia="zh-TW"/>
              </w:rPr>
            </w:pPr>
            <w:r>
              <w:rPr>
                <w:rFonts w:hint="eastAsia" w:ascii="宋体" w:hAnsi="宋体" w:cs="宋体"/>
                <w:color w:val="auto"/>
                <w:highlight w:val="none"/>
                <w:lang w:eastAsia="zh-TW"/>
              </w:rPr>
              <w:t>其他：供应商线下提出质疑的，除纸质文件外，请将质疑函电子版以电邮形式发送至：</w:t>
            </w:r>
            <w:r>
              <w:rPr>
                <w:color w:val="auto"/>
                <w:highlight w:val="none"/>
              </w:rPr>
              <w:fldChar w:fldCharType="begin"/>
            </w:r>
            <w:r>
              <w:rPr>
                <w:color w:val="auto"/>
                <w:highlight w:val="none"/>
                <w:lang w:eastAsia="zh-TW"/>
              </w:rPr>
              <w:instrText xml:space="preserve">HYPERLINK "mailto:hzthzb@126.com。"</w:instrText>
            </w:r>
            <w:r>
              <w:rPr>
                <w:color w:val="auto"/>
                <w:highlight w:val="none"/>
              </w:rPr>
              <w:fldChar w:fldCharType="separate"/>
            </w:r>
            <w:r>
              <w:rPr>
                <w:rStyle w:val="21"/>
                <w:rFonts w:hint="eastAsia" w:ascii="宋体" w:hAnsi="宋体" w:cs="宋体"/>
                <w:color w:val="auto"/>
                <w:sz w:val="21"/>
                <w:szCs w:val="21"/>
                <w:highlight w:val="none"/>
                <w:lang w:eastAsia="zh-TW"/>
              </w:rPr>
              <w:t>34086246@qq.com</w:t>
            </w:r>
            <w:r>
              <w:rPr>
                <w:rStyle w:val="21"/>
                <w:rFonts w:hint="eastAsia" w:ascii="宋体" w:hAnsi="宋体" w:eastAsia="宋体" w:cs="宋体"/>
                <w:color w:val="auto"/>
                <w:sz w:val="21"/>
                <w:szCs w:val="21"/>
                <w:highlight w:val="none"/>
                <w:lang w:eastAsia="zh-TW"/>
              </w:rPr>
              <w:t>。</w:t>
            </w:r>
            <w:r>
              <w:rPr>
                <w:color w:val="auto"/>
                <w:highlight w:val="none"/>
              </w:rPr>
              <w:fldChar w:fldCharType="end"/>
            </w:r>
          </w:p>
        </w:tc>
      </w:tr>
    </w:tbl>
    <w:p w14:paraId="48856610">
      <w:pPr>
        <w:adjustRightInd/>
        <w:spacing w:line="360" w:lineRule="auto"/>
        <w:ind w:firstLine="3845" w:firstLineChars="1197"/>
        <w:outlineLvl w:val="0"/>
        <w:rPr>
          <w:rFonts w:ascii="宋体" w:hAnsi="宋体" w:cs="宋体"/>
          <w:b/>
          <w:color w:val="auto"/>
          <w:sz w:val="32"/>
          <w:szCs w:val="20"/>
          <w:highlight w:val="none"/>
          <w:lang w:eastAsia="zh-TW"/>
        </w:rPr>
      </w:pPr>
    </w:p>
    <w:p w14:paraId="1B0ED5BB">
      <w:pPr>
        <w:adjustRightInd/>
        <w:spacing w:line="360" w:lineRule="auto"/>
        <w:ind w:firstLine="3845" w:firstLineChars="1197"/>
        <w:outlineLvl w:val="0"/>
        <w:rPr>
          <w:rFonts w:ascii="宋体" w:hAnsi="宋体" w:cs="宋体"/>
          <w:b/>
          <w:color w:val="auto"/>
          <w:sz w:val="32"/>
          <w:szCs w:val="20"/>
          <w:highlight w:val="none"/>
          <w:lang w:eastAsia="zh-TW"/>
        </w:rPr>
      </w:pPr>
    </w:p>
    <w:p w14:paraId="3C900819">
      <w:pPr>
        <w:adjustRightInd/>
        <w:spacing w:line="360" w:lineRule="auto"/>
        <w:ind w:firstLine="3845" w:firstLineChars="1197"/>
        <w:outlineLvl w:val="0"/>
        <w:rPr>
          <w:rFonts w:ascii="宋体" w:hAnsi="宋体" w:cs="宋体"/>
          <w:b/>
          <w:color w:val="auto"/>
          <w:sz w:val="32"/>
          <w:szCs w:val="20"/>
          <w:highlight w:val="none"/>
          <w:lang w:eastAsia="zh-TW"/>
        </w:rPr>
      </w:pPr>
    </w:p>
    <w:p w14:paraId="7CD8A53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F5C604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1.定义</w:t>
      </w:r>
    </w:p>
    <w:p w14:paraId="6152C1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“采购人”系指交易公告中载明的本项目的采购人。</w:t>
      </w:r>
    </w:p>
    <w:p w14:paraId="485B1A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“采购代理机构”系指交易公告中载明的本项目的采购代理机构。</w:t>
      </w:r>
    </w:p>
    <w:p w14:paraId="45E3E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“供应商”系指是指响应采购、参加响应竞争的法人、其他组织。</w:t>
      </w:r>
    </w:p>
    <w:p w14:paraId="372EB9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“负责人”系指法人企业的法定负责人，或其他组织为法律、行政法规规定代表单位行使职权的主要负责人。</w:t>
      </w:r>
    </w:p>
    <w:p w14:paraId="6B17C9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4FE7D4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1.6“电子交易平台”系指本项目采购活动所依托的杭州市教育局非依法招标（小额）项目采购平台（https://hzjyg.lecaiyun.com/）。</w:t>
      </w:r>
    </w:p>
    <w:p w14:paraId="56B8B0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569507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 询问、质疑、投诉</w:t>
      </w:r>
    </w:p>
    <w:p w14:paraId="6A29FA7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460A669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.2供应商询问</w:t>
      </w:r>
    </w:p>
    <w:p w14:paraId="4E6E40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13DCF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.3供应商质疑</w:t>
      </w:r>
    </w:p>
    <w:p w14:paraId="2992933E">
      <w:pPr>
        <w:pStyle w:val="11"/>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6D019ADF">
      <w:pPr>
        <w:pStyle w:val="11"/>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4AC3510">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58EA349B">
      <w:pPr>
        <w:pStyle w:val="11"/>
        <w:spacing w:line="360" w:lineRule="auto"/>
        <w:ind w:left="479" w:leftChars="228"/>
        <w:rPr>
          <w:rFonts w:hAnsi="宋体" w:cs="宋体"/>
          <w:color w:val="auto"/>
          <w:sz w:val="24"/>
          <w:highlight w:val="none"/>
        </w:rPr>
      </w:pPr>
      <w:r>
        <w:rPr>
          <w:rFonts w:hint="eastAsia" w:hAnsi="宋体" w:cs="宋体"/>
          <w:color w:val="auto"/>
          <w:sz w:val="24"/>
          <w:highlight w:val="none"/>
        </w:rPr>
        <w:t>2.3.2.2对采购过程提出质疑的，质疑期限为各采购程序环节结束之日起计算。</w:t>
      </w:r>
    </w:p>
    <w:p w14:paraId="50932E2F">
      <w:pPr>
        <w:pStyle w:val="11"/>
        <w:spacing w:line="360" w:lineRule="auto"/>
        <w:ind w:left="479" w:leftChars="228"/>
        <w:rPr>
          <w:rFonts w:hAnsi="宋体" w:cs="宋体"/>
          <w:color w:val="auto"/>
          <w:sz w:val="24"/>
          <w:highlight w:val="none"/>
        </w:rPr>
      </w:pPr>
      <w:r>
        <w:rPr>
          <w:rFonts w:hint="eastAsia" w:hAnsi="宋体" w:cs="宋体"/>
          <w:color w:val="auto"/>
          <w:sz w:val="24"/>
          <w:highlight w:val="none"/>
        </w:rPr>
        <w:t>2.3.2.3对采购结果提出质疑的，质疑期限自采购结果公告期限届满之日起计算。</w:t>
      </w:r>
    </w:p>
    <w:p w14:paraId="6CBA72C6">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03233E5D">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.3.3.1供应商的姓名或者名称、地址、邮编、联系人及联系电话；</w:t>
      </w:r>
    </w:p>
    <w:p w14:paraId="3915F417">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.3.3.2质疑项目的名称、编号；</w:t>
      </w:r>
    </w:p>
    <w:p w14:paraId="54B6C675">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.3.3.3具体、明确的质疑事项和与质疑事项相关的请求；</w:t>
      </w:r>
    </w:p>
    <w:p w14:paraId="40A29A17">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.3.3.4事实依据；</w:t>
      </w:r>
    </w:p>
    <w:p w14:paraId="57EE0E83">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.3.3.5必要的法律依据；</w:t>
      </w:r>
    </w:p>
    <w:p w14:paraId="115BCBC9">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.3.3.6提出质疑的日期。</w:t>
      </w:r>
    </w:p>
    <w:p w14:paraId="07C5F72A">
      <w:pPr>
        <w:pStyle w:val="2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供应商提交的质疑函需一式叁份。供应商为法人或者其他组织的，应当由法定代表人、主要负责人，或者其授权代表签字或者盖章，并加盖公章。</w:t>
      </w:r>
    </w:p>
    <w:p w14:paraId="45108196">
      <w:pPr>
        <w:pStyle w:val="2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质疑函范本及制作说明详见附件1。</w:t>
      </w:r>
    </w:p>
    <w:p w14:paraId="4873B25C">
      <w:pPr>
        <w:pStyle w:val="2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2.3.4对同一采购程序环节的质疑，供应商须在质疑期内一次性提出。</w:t>
      </w:r>
    </w:p>
    <w:p w14:paraId="2DFE2CB7">
      <w:pPr>
        <w:pStyle w:val="27"/>
        <w:shd w:val="clear" w:color="auto" w:fill="FFFFFF"/>
        <w:snapToGrid w:val="0"/>
        <w:spacing w:after="240" w:afterAutospacing="0" w:line="360" w:lineRule="auto"/>
        <w:ind w:firstLine="480" w:firstLineChars="200"/>
        <w:contextualSpacing/>
        <w:rPr>
          <w:strike/>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7E5FC921">
      <w:pPr>
        <w:pStyle w:val="2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2BCE3C28">
      <w:pPr>
        <w:pStyle w:val="2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2</w:t>
      </w:r>
      <w:r>
        <w:rPr>
          <w:rFonts w:hint="eastAsia"/>
          <w:color w:val="auto"/>
          <w:highlight w:val="none"/>
          <w:lang w:val="zh-CN"/>
        </w:rPr>
        <w:t>.4供应商投诉</w:t>
      </w:r>
    </w:p>
    <w:p w14:paraId="73825438">
      <w:pPr>
        <w:pStyle w:val="2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2.4.1质疑供应商对采购人、采购代理机构的答复不满意或者采购人、采购代理机构未在规定的时间内作出答复的，可以在答复期满后十五个工作日内向采购人监督管理部门提出投诉。</w:t>
      </w:r>
    </w:p>
    <w:p w14:paraId="7A73AB0E">
      <w:pPr>
        <w:pStyle w:val="2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FC738D6">
      <w:pPr>
        <w:pStyle w:val="2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2.4.3供应商投诉应当有明确的请求和必要的证明材料。</w:t>
      </w:r>
    </w:p>
    <w:p w14:paraId="5669A23E">
      <w:pPr>
        <w:pStyle w:val="27"/>
        <w:shd w:val="clear" w:color="auto" w:fill="FFFFFF"/>
        <w:snapToGrid w:val="0"/>
        <w:spacing w:after="240"/>
        <w:ind w:firstLine="480" w:firstLineChars="200"/>
        <w:contextualSpacing/>
        <w:rPr>
          <w:color w:val="auto"/>
          <w:highlight w:val="none"/>
        </w:rPr>
      </w:pPr>
      <w:r>
        <w:rPr>
          <w:rFonts w:hint="eastAsia"/>
          <w:color w:val="auto"/>
          <w:highlight w:val="none"/>
        </w:rPr>
        <w:t>投诉书范本及制作说明详见附件2。</w:t>
      </w:r>
    </w:p>
    <w:p w14:paraId="7F5D522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二、采购文件的构成、澄清、修改</w:t>
      </w:r>
    </w:p>
    <w:p w14:paraId="44A75264">
      <w:pPr>
        <w:pStyle w:val="11"/>
        <w:spacing w:line="360" w:lineRule="auto"/>
        <w:rPr>
          <w:rFonts w:hAnsi="宋体" w:cs="宋体"/>
          <w:b/>
          <w:color w:val="auto"/>
          <w:sz w:val="24"/>
          <w:szCs w:val="24"/>
          <w:highlight w:val="none"/>
        </w:rPr>
      </w:pPr>
      <w:r>
        <w:rPr>
          <w:rFonts w:hint="eastAsia" w:hAnsi="宋体" w:cs="宋体"/>
          <w:b/>
          <w:color w:val="auto"/>
          <w:sz w:val="24"/>
          <w:szCs w:val="24"/>
          <w:highlight w:val="none"/>
        </w:rPr>
        <w:t>3．采购文件的构成</w:t>
      </w:r>
    </w:p>
    <w:p w14:paraId="6E35A057">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采购文件包括下列文件及附件：</w:t>
      </w:r>
    </w:p>
    <w:p w14:paraId="1BCC67F6">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3.1.1交易公告；</w:t>
      </w:r>
    </w:p>
    <w:p w14:paraId="5877AD75">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3.1.2供应商须知；</w:t>
      </w:r>
    </w:p>
    <w:p w14:paraId="3E85CE30">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3.1.3采购需求；</w:t>
      </w:r>
    </w:p>
    <w:p w14:paraId="4FA1C2A6">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3.1.4评审办法；</w:t>
      </w:r>
    </w:p>
    <w:p w14:paraId="6D224350">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3.1.5拟签订的合同文本；</w:t>
      </w:r>
    </w:p>
    <w:p w14:paraId="342E3DAB">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3.1.6</w:t>
      </w:r>
      <w:r>
        <w:rPr>
          <w:rFonts w:hint="eastAsia" w:hAnsi="宋体" w:cs="宋体"/>
          <w:color w:val="auto"/>
          <w:sz w:val="24"/>
          <w:szCs w:val="24"/>
          <w:highlight w:val="none"/>
        </w:rPr>
        <w:t>应提交的有关格式范例。</w:t>
      </w:r>
    </w:p>
    <w:p w14:paraId="7DB232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4315C112">
      <w:pPr>
        <w:pStyle w:val="11"/>
        <w:spacing w:line="360" w:lineRule="auto"/>
        <w:rPr>
          <w:rFonts w:hAnsi="宋体" w:cs="宋体"/>
          <w:b/>
          <w:color w:val="auto"/>
          <w:sz w:val="24"/>
          <w:szCs w:val="24"/>
          <w:highlight w:val="none"/>
        </w:rPr>
      </w:pPr>
      <w:r>
        <w:rPr>
          <w:rFonts w:hint="eastAsia" w:hAnsi="宋体" w:cs="宋体"/>
          <w:b/>
          <w:color w:val="auto"/>
          <w:sz w:val="24"/>
          <w:szCs w:val="24"/>
          <w:highlight w:val="none"/>
        </w:rPr>
        <w:t>4. 采购文件的澄清、修改</w:t>
      </w:r>
    </w:p>
    <w:p w14:paraId="144924AF">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4.1已获取采购文件的潜在供应商，若有问题需要澄清，应于响应截止时间前，以书面形式向采购代理机构提出。</w:t>
      </w:r>
    </w:p>
    <w:p w14:paraId="63C868FF">
      <w:pPr>
        <w:pStyle w:val="26"/>
        <w:snapToGrid w:val="0"/>
        <w:spacing w:before="0"/>
        <w:ind w:firstLine="480"/>
        <w:rPr>
          <w:rFonts w:hAnsi="宋体" w:cs="宋体"/>
          <w:color w:val="auto"/>
          <w:sz w:val="18"/>
          <w:szCs w:val="18"/>
          <w:highlight w:val="none"/>
        </w:rPr>
      </w:pPr>
      <w:r>
        <w:rPr>
          <w:rFonts w:hint="eastAsia" w:ascii="宋体" w:hAnsi="宋体" w:cs="宋体"/>
          <w:color w:val="auto"/>
          <w:highlight w:val="none"/>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7CEA7D8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三、投标响应</w:t>
      </w:r>
    </w:p>
    <w:p w14:paraId="01A0078D">
      <w:pPr>
        <w:pStyle w:val="11"/>
        <w:spacing w:line="360" w:lineRule="auto"/>
        <w:rPr>
          <w:rFonts w:hAnsi="宋体" w:cs="宋体"/>
          <w:b/>
          <w:color w:val="auto"/>
          <w:sz w:val="24"/>
          <w:szCs w:val="24"/>
          <w:highlight w:val="none"/>
        </w:rPr>
      </w:pPr>
      <w:r>
        <w:rPr>
          <w:rFonts w:hint="eastAsia" w:hAnsi="宋体" w:cs="宋体"/>
          <w:b/>
          <w:color w:val="auto"/>
          <w:sz w:val="24"/>
          <w:szCs w:val="24"/>
          <w:highlight w:val="none"/>
        </w:rPr>
        <w:t>5. 采购文件的获取</w:t>
      </w:r>
    </w:p>
    <w:p w14:paraId="16B47EC7">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详见采购公告中获取采购文件的时间期限、地点、方式。</w:t>
      </w:r>
    </w:p>
    <w:p w14:paraId="45E5440C">
      <w:pPr>
        <w:pStyle w:val="11"/>
        <w:spacing w:line="360" w:lineRule="auto"/>
        <w:rPr>
          <w:rFonts w:hAnsi="宋体" w:cs="宋体"/>
          <w:b/>
          <w:color w:val="auto"/>
          <w:sz w:val="24"/>
          <w:szCs w:val="24"/>
          <w:highlight w:val="none"/>
        </w:rPr>
      </w:pPr>
      <w:r>
        <w:rPr>
          <w:rFonts w:hint="eastAsia" w:hAnsi="宋体" w:cs="宋体"/>
          <w:b/>
          <w:color w:val="auto"/>
          <w:sz w:val="24"/>
          <w:szCs w:val="24"/>
          <w:highlight w:val="none"/>
        </w:rPr>
        <w:t>6.开标前答疑会或现场考察</w:t>
      </w:r>
    </w:p>
    <w:p w14:paraId="7332AB24">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747DFD80">
      <w:pPr>
        <w:pStyle w:val="11"/>
        <w:spacing w:line="360" w:lineRule="auto"/>
        <w:rPr>
          <w:rFonts w:hAnsi="宋体" w:cs="宋体"/>
          <w:b/>
          <w:color w:val="auto"/>
          <w:szCs w:val="24"/>
          <w:highlight w:val="none"/>
        </w:rPr>
      </w:pPr>
      <w:r>
        <w:rPr>
          <w:rFonts w:hint="eastAsia" w:hAnsi="宋体" w:cs="宋体"/>
          <w:b/>
          <w:color w:val="auto"/>
          <w:kern w:val="28"/>
          <w:sz w:val="24"/>
          <w:szCs w:val="24"/>
          <w:highlight w:val="none"/>
        </w:rPr>
        <w:t>7.响应保证金</w:t>
      </w:r>
    </w:p>
    <w:p w14:paraId="62B1B264">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本项目不需缴纳响应保证金。</w:t>
      </w:r>
    </w:p>
    <w:p w14:paraId="6EB08096">
      <w:pPr>
        <w:pStyle w:val="11"/>
        <w:spacing w:line="360" w:lineRule="auto"/>
        <w:rPr>
          <w:rFonts w:hAnsi="宋体" w:cs="宋体"/>
          <w:b/>
          <w:color w:val="auto"/>
          <w:sz w:val="24"/>
          <w:szCs w:val="24"/>
          <w:highlight w:val="none"/>
        </w:rPr>
      </w:pPr>
      <w:r>
        <w:rPr>
          <w:rFonts w:hint="eastAsia" w:hAnsi="宋体" w:cs="宋体"/>
          <w:b/>
          <w:color w:val="auto"/>
          <w:sz w:val="24"/>
          <w:szCs w:val="24"/>
          <w:highlight w:val="none"/>
        </w:rPr>
        <w:t>8. 响应文件的语言</w:t>
      </w:r>
    </w:p>
    <w:p w14:paraId="3619DB5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4B6BBFD">
      <w:pPr>
        <w:pStyle w:val="11"/>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响应文件的组成</w:t>
      </w:r>
    </w:p>
    <w:p w14:paraId="2AD748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46E6F5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9.1.1符合参加采购活动应当具备的一般条件的承诺函；</w:t>
      </w:r>
    </w:p>
    <w:p w14:paraId="5E2ABD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3DFADD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8B99E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2C4BC3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9.2.1响应函；</w:t>
      </w:r>
      <w:r>
        <w:rPr>
          <w:rFonts w:hint="eastAsia" w:ascii="宋体" w:hAnsi="宋体" w:cs="宋体"/>
          <w:color w:val="auto"/>
          <w:sz w:val="24"/>
          <w:highlight w:val="none"/>
          <w:lang w:val="zh-CN"/>
        </w:rPr>
        <w:t xml:space="preserve"> </w:t>
      </w:r>
    </w:p>
    <w:p w14:paraId="06ED5E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9.2.2授权委托书或法定代表人（单位负责人）身份证明；</w:t>
      </w:r>
    </w:p>
    <w:p w14:paraId="22FD3A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434DCC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501BFA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5</w:t>
      </w:r>
      <w:r>
        <w:rPr>
          <w:rFonts w:hint="eastAsia" w:ascii="宋体" w:hAnsi="宋体" w:cs="宋体"/>
          <w:color w:val="auto"/>
          <w:sz w:val="24"/>
          <w:highlight w:val="none"/>
        </w:rPr>
        <w:t>响应标的清单；</w:t>
      </w:r>
    </w:p>
    <w:p w14:paraId="5C6A58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3716D9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4614A06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8075E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9.3.1开标一览表（报价表）；</w:t>
      </w:r>
    </w:p>
    <w:p w14:paraId="147B19BA">
      <w:pPr>
        <w:pStyle w:val="24"/>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9.3.2 报价情况说明（如供应商报价低于最高限价）50%的，应当提交本文档，详细阐述不影响产品质量或者诚信履约的具体原因）；</w:t>
      </w:r>
    </w:p>
    <w:p w14:paraId="356CB17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响应文件含有采购人不能接受的附加条件的，响应无效；</w:t>
      </w:r>
    </w:p>
    <w:p w14:paraId="37D95EE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供应商提供虚假材料响应的，响应无效。</w:t>
      </w:r>
    </w:p>
    <w:p w14:paraId="5DA3A9F6">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14:paraId="51143EDF">
      <w:pPr>
        <w:pStyle w:val="2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81462D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1231549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1116E36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10.3</w:t>
      </w:r>
      <w:r>
        <w:rPr>
          <w:rFonts w:hint="eastAsia" w:ascii="宋体" w:hAnsi="宋体" w:cs="宋体"/>
          <w:color w:val="auto"/>
          <w:kern w:val="0"/>
          <w:sz w:val="24"/>
          <w:highlight w:val="none"/>
        </w:rPr>
        <w:t>使用“电子交易客户端”需要提前申领CA数字证书，申领流程请自行前往“杭州市教育局非依法招标（小额）项目采购平台-下载专区-电子交易客户端-CA驱动和申领流程”进行查阅</w:t>
      </w:r>
      <w:r>
        <w:rPr>
          <w:rFonts w:hint="eastAsia" w:ascii="宋体" w:hAnsi="宋体" w:cs="宋体"/>
          <w:color w:val="auto"/>
          <w:kern w:val="0"/>
          <w:sz w:val="24"/>
          <w:highlight w:val="none"/>
          <w:lang w:val="zh-CN"/>
        </w:rPr>
        <w:t>。</w:t>
      </w:r>
    </w:p>
    <w:p w14:paraId="5D14A910">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11.响应文件的签署、盖章</w:t>
      </w:r>
    </w:p>
    <w:p w14:paraId="5B5EDFC2">
      <w:pPr>
        <w:pStyle w:val="26"/>
        <w:snapToGrid w:val="0"/>
        <w:spacing w:before="0"/>
        <w:ind w:firstLine="480"/>
        <w:rPr>
          <w:rFonts w:ascii="宋体" w:hAnsi="宋体" w:cs="宋体"/>
          <w:b/>
          <w:color w:val="auto"/>
          <w:highlight w:val="none"/>
        </w:rPr>
      </w:pPr>
      <w:r>
        <w:rPr>
          <w:rFonts w:hint="eastAsia" w:ascii="宋体" w:hAnsi="宋体" w:cs="宋体"/>
          <w:color w:val="auto"/>
          <w:szCs w:val="24"/>
          <w:highlight w:val="none"/>
        </w:rPr>
        <w:t>11.1响应文件按照采购文件第六部分格式要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▲供应商的响应文件未按照采购文件要求签署、盖章的，其响应无效</w:t>
      </w:r>
      <w:r>
        <w:rPr>
          <w:rFonts w:hint="eastAsia" w:ascii="宋体" w:hAnsi="宋体" w:cs="宋体"/>
          <w:color w:val="auto"/>
          <w:szCs w:val="24"/>
          <w:highlight w:val="none"/>
        </w:rPr>
        <w:t>。</w:t>
      </w:r>
    </w:p>
    <w:p w14:paraId="0A4875E1">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11.2为确保网上操作合法、有效和安全，供应商应当在响应截止时间前完成在“乐采云平台”完成电子CA绑定，确保在电子响应过程中能够对相关数据电文进行加密和使用电子签名。</w:t>
      </w:r>
    </w:p>
    <w:p w14:paraId="3DAAB8A9">
      <w:pPr>
        <w:pStyle w:val="26"/>
        <w:snapToGrid w:val="0"/>
        <w:spacing w:before="0"/>
        <w:ind w:firstLine="480"/>
        <w:rPr>
          <w:rFonts w:ascii="宋体" w:hAnsi="宋体" w:cs="宋体"/>
          <w:color w:val="auto"/>
          <w:szCs w:val="24"/>
          <w:highlight w:val="none"/>
        </w:rPr>
      </w:pPr>
      <w:r>
        <w:rPr>
          <w:rFonts w:hint="eastAsia" w:ascii="宋体" w:hAnsi="宋体" w:cs="宋体"/>
          <w:color w:val="auto"/>
          <w:highlight w:val="none"/>
        </w:rPr>
        <w:t>11.3采购文件对响应文件签署、盖章的要求适用于电子签名。</w:t>
      </w:r>
    </w:p>
    <w:p w14:paraId="52936EF7">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 响应文件的提交、补充、修改、撤回</w:t>
      </w:r>
    </w:p>
    <w:p w14:paraId="6589551F">
      <w:pPr>
        <w:pStyle w:val="26"/>
        <w:ind w:firstLine="480"/>
        <w:rPr>
          <w:rFonts w:ascii="宋体" w:hAnsi="宋体" w:cs="宋体"/>
          <w:color w:val="auto"/>
          <w:szCs w:val="24"/>
          <w:highlight w:val="none"/>
        </w:rPr>
      </w:pPr>
      <w:r>
        <w:rPr>
          <w:rFonts w:hint="eastAsia" w:ascii="宋体" w:hAnsi="宋体" w:cs="宋体"/>
          <w:color w:val="auto"/>
          <w:szCs w:val="24"/>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D630BE1">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12.2电子交易平台收到响应文件，将妥善保存并即时向供应商发出确认回执通知。在响应截止时间前，除供应商补充、修改或者撤回响应文件外，任何单位和个人不得解密或提取响应文件。</w:t>
      </w:r>
    </w:p>
    <w:p w14:paraId="41318B23">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12.3采购人、采购代理机构可以视情况延长响应文件提交的截止时间。在上述情况下，采购代理机构与供应商以前在响应截止期方面的全部权利、责任和义务，将适用于延长至新的响应截止期。</w:t>
      </w:r>
    </w:p>
    <w:p w14:paraId="58C946C5">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13.备份响应文件</w:t>
      </w:r>
    </w:p>
    <w:p w14:paraId="66EE131D">
      <w:pPr>
        <w:pStyle w:val="11"/>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39E74F1E">
      <w:pPr>
        <w:pStyle w:val="11"/>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13.2备份响应文件须在“电子交易客户端”制作生成，并储存在DVD光盘等存储介质中。备份响应文件应当密封包装并在包装上加盖公章并注明响应</w:t>
      </w:r>
      <w:r>
        <w:rPr>
          <w:rFonts w:hint="eastAsia" w:hAnsi="宋体" w:cs="宋体"/>
          <w:color w:val="auto"/>
          <w:sz w:val="24"/>
          <w:szCs w:val="24"/>
          <w:highlight w:val="none"/>
          <w:lang w:eastAsia="zh-CN"/>
        </w:rPr>
        <w:t>杭州市财经职业学校动漫课程资源建设与课程专项提升服务项目</w:t>
      </w:r>
      <w:r>
        <w:rPr>
          <w:rFonts w:hint="eastAsia" w:hAnsi="宋体" w:cs="宋体"/>
          <w:color w:val="auto"/>
          <w:sz w:val="24"/>
          <w:szCs w:val="24"/>
          <w:highlight w:val="none"/>
        </w:rPr>
        <w:t>采购项目，供应商名称。不符合上述制作、存储、密封规定的备份响应文件将被视为无效或者被拒绝接收。</w:t>
      </w:r>
    </w:p>
    <w:p w14:paraId="4C7B6B24">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13.3直接提交备份响应文件的，供应商应于响应截止时间前在交易公告中载明的开标地点将备份响应文件提交给采购代理机构，采购代理机构将拒绝接受逾期送达的备份响应文件。</w:t>
      </w:r>
    </w:p>
    <w:p w14:paraId="3859514B">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highlight w:val="none"/>
        </w:rPr>
        <w:t>采购文件第二章供应商须知前附表规定的备份响应文件送达地点；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0B53CED">
      <w:pPr>
        <w:pStyle w:val="11"/>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13.5供应商仅提交备份响应文件，未在电子交易平台传输递交响应文件的，响应无效。</w:t>
      </w:r>
    </w:p>
    <w:p w14:paraId="4C9C5A91">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14.响应文件的无效处理</w:t>
      </w:r>
    </w:p>
    <w:p w14:paraId="374E880F">
      <w:pPr>
        <w:pStyle w:val="10"/>
        <w:spacing w:line="360" w:lineRule="auto"/>
        <w:ind w:firstLine="360" w:firstLineChars="150"/>
        <w:rPr>
          <w:rFonts w:cs="宋体"/>
          <w:color w:val="auto"/>
          <w:szCs w:val="21"/>
          <w:highlight w:val="none"/>
        </w:rPr>
      </w:pPr>
      <w:r>
        <w:rPr>
          <w:rFonts w:hint="eastAsia" w:cs="宋体"/>
          <w:color w:val="auto"/>
          <w:szCs w:val="21"/>
          <w:highlight w:val="none"/>
        </w:rPr>
        <w:t>有采购文件第四章</w:t>
      </w:r>
      <w:r>
        <w:rPr>
          <w:rFonts w:cs="宋体"/>
          <w:color w:val="auto"/>
          <w:szCs w:val="21"/>
          <w:highlight w:val="none"/>
        </w:rPr>
        <w:t>4.2规定</w:t>
      </w:r>
      <w:r>
        <w:rPr>
          <w:rFonts w:hint="eastAsia" w:cs="宋体"/>
          <w:color w:val="auto"/>
          <w:szCs w:val="21"/>
          <w:highlight w:val="none"/>
        </w:rPr>
        <w:t>的情形之一的，响应无效：</w:t>
      </w:r>
    </w:p>
    <w:p w14:paraId="3B951659">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15.响应有效期</w:t>
      </w:r>
    </w:p>
    <w:p w14:paraId="5700674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15.1响应有效期为从提交响应文件的截止之日起90天。▲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诺的响应有效期少于采购文件中载明的响应有效期的，响应无效。</w:t>
      </w:r>
    </w:p>
    <w:p w14:paraId="4CB29544">
      <w:pPr>
        <w:pStyle w:val="26"/>
        <w:spacing w:before="0"/>
        <w:ind w:firstLine="480"/>
        <w:rPr>
          <w:rFonts w:ascii="宋体" w:hAnsi="宋体" w:cs="宋体"/>
          <w:color w:val="auto"/>
          <w:highlight w:val="none"/>
        </w:rPr>
      </w:pPr>
      <w:r>
        <w:rPr>
          <w:rFonts w:hint="eastAsia" w:ascii="宋体" w:hAnsi="宋体" w:cs="宋体"/>
          <w:color w:val="auto"/>
          <w:highlight w:val="none"/>
        </w:rPr>
        <w:t>15.2响应文件合格投递后，自响应截止日期起，在响应有效期内有效。</w:t>
      </w:r>
    </w:p>
    <w:p w14:paraId="67374681">
      <w:pPr>
        <w:pStyle w:val="26"/>
        <w:spacing w:before="0"/>
        <w:ind w:firstLine="480"/>
        <w:rPr>
          <w:rFonts w:ascii="宋体" w:hAnsi="宋体" w:cs="宋体"/>
          <w:b/>
          <w:color w:val="auto"/>
          <w:sz w:val="32"/>
          <w:highlight w:val="none"/>
        </w:rPr>
      </w:pPr>
      <w:r>
        <w:rPr>
          <w:rFonts w:hint="eastAsia" w:ascii="宋体" w:hAnsi="宋体" w:cs="宋体"/>
          <w:color w:val="auto"/>
          <w:highlight w:val="none"/>
        </w:rPr>
        <w:t>15.3在原定响应有效期满之前，如果出现特殊情况，采购代理机构可以以书面形式通知供应商延长响应有效期。供应商同意延长的，不得要求或被允许修改其响应文件，供应商拒绝延长的，其响应无效。</w:t>
      </w:r>
    </w:p>
    <w:p w14:paraId="2DCAF169">
      <w:pPr>
        <w:pStyle w:val="26"/>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940FA29">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16.开标 </w:t>
      </w:r>
    </w:p>
    <w:p w14:paraId="10E1853C">
      <w:pPr>
        <w:pStyle w:val="2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16.1采购代理机构按照采购文件规定的时间通过电子交易平台组织开标，所有供应商均应当准时在线参加。供应商不足3家的，不得开标。</w:t>
      </w:r>
    </w:p>
    <w:p w14:paraId="7FB23A7E">
      <w:pPr>
        <w:pStyle w:val="2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16.2开标时，电子交易平台按开标时间自动提取所有响应文件。采购代理机构依托电子交易平台发起开始解密指令，供应商按照平台提示和采购文件的规定在半小时内完成在线解密。</w:t>
      </w:r>
    </w:p>
    <w:p w14:paraId="7BDD5E1C">
      <w:pPr>
        <w:pStyle w:val="2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16.3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2B8EFF43">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17.资格审查</w:t>
      </w:r>
    </w:p>
    <w:p w14:paraId="1A61F0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17.1</w:t>
      </w:r>
      <w:r>
        <w:rPr>
          <w:rFonts w:hint="eastAsia" w:ascii="宋体" w:hAnsi="宋体" w:cs="宋体"/>
          <w:color w:val="auto"/>
          <w:sz w:val="24"/>
          <w:highlight w:val="none"/>
        </w:rPr>
        <w:t>评审小组依据法律法规和采购文件的规定，对供应商的资格进行审查。</w:t>
      </w:r>
    </w:p>
    <w:p w14:paraId="6C9472D1">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17.2供应商未按照采购文件要求提供与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供应商不具备采购文件中规定的资格要求，其响应无效。</w:t>
      </w:r>
    </w:p>
    <w:p w14:paraId="5EB23806">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17.</w:t>
      </w:r>
      <w:r>
        <w:rPr>
          <w:rFonts w:hint="eastAsia" w:ascii="宋体" w:hAnsi="宋体" w:cs="宋体"/>
          <w:color w:val="auto"/>
          <w:highlight w:val="none"/>
        </w:rPr>
        <w:t>3对未通过资格审查的供应商，否决前需进行质询确认。</w:t>
      </w:r>
    </w:p>
    <w:p w14:paraId="6D3AFD15">
      <w:pPr>
        <w:pStyle w:val="26"/>
        <w:spacing w:before="0"/>
        <w:ind w:firstLine="480"/>
        <w:rPr>
          <w:rFonts w:ascii="宋体" w:hAnsi="宋体" w:cs="宋体"/>
          <w:color w:val="auto"/>
          <w:highlight w:val="none"/>
        </w:rPr>
      </w:pPr>
      <w:r>
        <w:rPr>
          <w:rFonts w:hint="eastAsia" w:ascii="宋体" w:hAnsi="宋体" w:cs="宋体"/>
          <w:color w:val="auto"/>
          <w:highlight w:val="none"/>
        </w:rPr>
        <w:t>17.4合格供应商不足三家时，评审小组认为响应仍然具有竞争性，可以继续进行评审，否则，需重新组织采购。</w:t>
      </w:r>
    </w:p>
    <w:p w14:paraId="7AD68ADC">
      <w:pPr>
        <w:pStyle w:val="26"/>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2C599ACD">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18.信用信息查询</w:t>
      </w:r>
    </w:p>
    <w:p w14:paraId="714683A9">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4D14FD5B">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18.2信用信息查询记录和证据留存的具体方式：现场查询的供应商的信用记录、查询结果经确认后将与采购文件一起存档。</w:t>
      </w:r>
    </w:p>
    <w:p w14:paraId="1AA2EDDE">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18.3信用信息的使用规则：经查询列入失信被执行人名单、重大税收违法案件当事人名单、政府采购严重违法失信行为记录名单的供应商将被拒绝参与本次采购活动。</w:t>
      </w:r>
    </w:p>
    <w:p w14:paraId="6EF29D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5AA0742F">
      <w:pPr>
        <w:spacing w:line="360" w:lineRule="auto"/>
        <w:rPr>
          <w:rFonts w:ascii="宋体" w:hAnsi="宋体" w:cs="宋体"/>
          <w:b/>
          <w:color w:val="auto"/>
          <w:sz w:val="24"/>
          <w:highlight w:val="none"/>
        </w:rPr>
      </w:pPr>
      <w:r>
        <w:rPr>
          <w:rFonts w:hint="eastAsia" w:ascii="宋体" w:hAnsi="宋体" w:cs="宋体"/>
          <w:b/>
          <w:color w:val="auto"/>
          <w:sz w:val="24"/>
          <w:highlight w:val="none"/>
        </w:rPr>
        <w:t>19.</w:t>
      </w:r>
      <w:r>
        <w:rPr>
          <w:rFonts w:hint="eastAsia" w:ascii="宋体" w:hAnsi="宋体" w:cs="宋体"/>
          <w:color w:val="auto"/>
          <w:highlight w:val="none"/>
        </w:rPr>
        <w:t xml:space="preserve"> </w:t>
      </w:r>
      <w:r>
        <w:rPr>
          <w:rFonts w:hint="eastAsia" w:ascii="宋体" w:hAnsi="宋体" w:cs="宋体"/>
          <w:color w:val="auto"/>
          <w:sz w:val="24"/>
          <w:highlight w:val="none"/>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highlight w:val="none"/>
        </w:rPr>
        <w:t>详见采购文件第四章评审办法。</w:t>
      </w:r>
    </w:p>
    <w:p w14:paraId="30DB37F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C31E86">
      <w:pPr>
        <w:pStyle w:val="10"/>
        <w:spacing w:line="360" w:lineRule="auto"/>
        <w:ind w:left="487" w:hanging="479" w:hangingChars="199"/>
        <w:rPr>
          <w:rFonts w:cs="宋体"/>
          <w:b/>
          <w:color w:val="auto"/>
          <w:highlight w:val="none"/>
        </w:rPr>
      </w:pPr>
      <w:r>
        <w:rPr>
          <w:rFonts w:hint="eastAsia" w:cs="宋体"/>
          <w:b/>
          <w:color w:val="auto"/>
          <w:highlight w:val="none"/>
        </w:rPr>
        <w:t>20. 确定成交供应商</w:t>
      </w:r>
    </w:p>
    <w:p w14:paraId="72D4F22C">
      <w:pPr>
        <w:pStyle w:val="26"/>
        <w:snapToGrid w:val="0"/>
        <w:spacing w:before="0"/>
        <w:ind w:firstLine="480"/>
        <w:rPr>
          <w:rFonts w:ascii="宋体" w:hAnsi="宋体" w:cs="宋体"/>
          <w:b/>
          <w:strike/>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7940F31A">
      <w:pPr>
        <w:pStyle w:val="26"/>
        <w:widowControl/>
        <w:shd w:val="clear" w:color="auto" w:fill="FFFFFF"/>
        <w:snapToGrid w:val="0"/>
        <w:ind w:firstLine="0" w:firstLineChars="0"/>
        <w:jc w:val="left"/>
        <w:rPr>
          <w:rFonts w:ascii="宋体" w:hAnsi="宋体" w:cs="宋体"/>
          <w:color w:val="auto"/>
          <w:highlight w:val="none"/>
        </w:rPr>
      </w:pPr>
      <w:r>
        <w:rPr>
          <w:rFonts w:hint="eastAsia" w:ascii="宋体" w:hAnsi="宋体" w:cs="宋体"/>
          <w:b/>
          <w:color w:val="auto"/>
          <w:szCs w:val="24"/>
          <w:highlight w:val="none"/>
        </w:rPr>
        <w:t>21. 成交公示与成交确认书</w:t>
      </w:r>
    </w:p>
    <w:p w14:paraId="3B6DC8C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29C6017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 公示期满后采购代理机构通过电子交易平台，向成交供应商发出成交确认书，同时采购代理机构也可以以纸质形式进行成交确认书。</w:t>
      </w:r>
    </w:p>
    <w:p w14:paraId="06A450F9">
      <w:pPr>
        <w:snapToGrid w:val="0"/>
        <w:spacing w:line="360" w:lineRule="auto"/>
        <w:ind w:left="1"/>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26C1A9A">
      <w:pPr>
        <w:pStyle w:val="10"/>
        <w:spacing w:line="360" w:lineRule="auto"/>
        <w:ind w:left="487" w:hanging="479" w:hangingChars="199"/>
        <w:rPr>
          <w:rFonts w:cs="宋体"/>
          <w:b/>
          <w:color w:val="auto"/>
          <w:highlight w:val="none"/>
        </w:rPr>
      </w:pPr>
      <w:r>
        <w:rPr>
          <w:rFonts w:hint="eastAsia" w:cs="宋体"/>
          <w:b/>
          <w:color w:val="auto"/>
          <w:highlight w:val="none"/>
        </w:rPr>
        <w:t>22. 合同主要条款详见第五部分拟签订的合同文本。</w:t>
      </w:r>
    </w:p>
    <w:p w14:paraId="5F27B7DD">
      <w:pPr>
        <w:pStyle w:val="10"/>
        <w:spacing w:line="360" w:lineRule="auto"/>
        <w:ind w:left="487" w:hanging="479" w:hangingChars="199"/>
        <w:rPr>
          <w:rFonts w:cs="宋体"/>
          <w:b/>
          <w:color w:val="auto"/>
          <w:highlight w:val="none"/>
        </w:rPr>
      </w:pPr>
      <w:r>
        <w:rPr>
          <w:rFonts w:hint="eastAsia" w:cs="宋体"/>
          <w:b/>
          <w:color w:val="auto"/>
          <w:highlight w:val="none"/>
        </w:rPr>
        <w:t>23. 合同的签订</w:t>
      </w:r>
    </w:p>
    <w:p w14:paraId="724A51F0">
      <w:pPr>
        <w:widowControl/>
        <w:shd w:val="clear" w:color="auto" w:fill="FFFFFF"/>
        <w:spacing w:line="360" w:lineRule="auto"/>
        <w:ind w:firstLine="480"/>
        <w:jc w:val="left"/>
        <w:rPr>
          <w:rFonts w:ascii="宋体" w:hAnsi="宋体" w:cs="宋体"/>
          <w:strike/>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采购人与成交供应商应当通过电子交易平台成交确认书发出之日起三十日内，按照采购文件确定的事项签订采购合同。</w:t>
      </w:r>
    </w:p>
    <w:p w14:paraId="52C18326">
      <w:pPr>
        <w:pStyle w:val="2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kern w:val="0"/>
          <w:highlight w:val="none"/>
        </w:rPr>
        <w:t>成交供应商</w:t>
      </w:r>
      <w:r>
        <w:rPr>
          <w:rFonts w:hint="eastAsia" w:ascii="宋体" w:hAnsi="宋体" w:cs="宋体"/>
          <w:color w:val="auto"/>
          <w:kern w:val="0"/>
          <w:highlight w:val="none"/>
          <w:lang w:val="zh-CN"/>
        </w:rPr>
        <w:t>按规定的日期、时间、地点，由法定代表人或其授权代表与采购人代表签订合同。</w:t>
      </w:r>
    </w:p>
    <w:p w14:paraId="678552A8">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14:paraId="29276463">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23.4成交供应商拒绝与采购人签订合同的，采购人可以按照评审报告推荐成交候选人名单排序，确定下一候选人为成交供应商，也可以重新开展采购活动。</w:t>
      </w:r>
    </w:p>
    <w:p w14:paraId="6462E314">
      <w:pPr>
        <w:pStyle w:val="26"/>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23.5采购合同由采购人与成交供应商根据采购文件、响应文件等内容通过采购电子交易平台在线签订，自动备案。</w:t>
      </w:r>
    </w:p>
    <w:p w14:paraId="36D5E333">
      <w:pPr>
        <w:pStyle w:val="10"/>
        <w:spacing w:line="360" w:lineRule="auto"/>
        <w:ind w:left="487" w:hanging="479" w:hangingChars="199"/>
        <w:rPr>
          <w:rFonts w:cs="宋体"/>
          <w:b/>
          <w:color w:val="auto"/>
          <w:highlight w:val="none"/>
        </w:rPr>
      </w:pPr>
      <w:r>
        <w:rPr>
          <w:rFonts w:hint="eastAsia" w:cs="宋体"/>
          <w:b/>
          <w:color w:val="auto"/>
          <w:highlight w:val="none"/>
        </w:rPr>
        <w:t>24. 履约保证金</w:t>
      </w:r>
    </w:p>
    <w:p w14:paraId="55135AF4">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6E2D4F4">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2E77156">
      <w:pPr>
        <w:pStyle w:val="26"/>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213AEAE">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0D57C472">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6C3FBD3D">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3E69DCCF">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0A404AE4">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49619D01">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6DB71B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67C4345D">
      <w:pPr>
        <w:pStyle w:val="10"/>
        <w:spacing w:line="360" w:lineRule="auto"/>
        <w:ind w:firstLine="0" w:firstLineChars="0"/>
        <w:rPr>
          <w:rFonts w:cs="宋体"/>
          <w:b/>
          <w:color w:val="auto"/>
          <w:highlight w:val="none"/>
        </w:rPr>
      </w:pPr>
      <w:r>
        <w:rPr>
          <w:rFonts w:hint="eastAsia" w:cs="宋体"/>
          <w:b/>
          <w:color w:val="auto"/>
          <w:highlight w:val="none"/>
        </w:rPr>
        <w:t>26.验收</w:t>
      </w:r>
    </w:p>
    <w:p w14:paraId="20A35A5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B925A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26.2采购人可以邀请参加本项目的其他供应商或者第三方机构参与验收。参与验收的供应商或者第三方机构的意见作为验收书的参考资料一并存档。</w:t>
      </w:r>
    </w:p>
    <w:p w14:paraId="068118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1499E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31C94E16">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6"/>
    <w:bookmarkEnd w:id="7"/>
    <w:bookmarkEnd w:id="8"/>
    <w:bookmarkEnd w:id="9"/>
    <w:bookmarkEnd w:id="10"/>
    <w:p w14:paraId="3A574A25">
      <w:pPr>
        <w:pStyle w:val="5"/>
        <w:numPr>
          <w:ilvl w:val="0"/>
          <w:numId w:val="1"/>
        </w:numPr>
        <w:rPr>
          <w:rFonts w:ascii="宋体" w:hAnsi="宋体" w:cs="仿宋"/>
          <w:b w:val="0"/>
          <w:color w:val="auto"/>
          <w:sz w:val="24"/>
          <w:highlight w:val="none"/>
        </w:rPr>
      </w:pPr>
      <w:bookmarkStart w:id="11" w:name="_Toc294012141"/>
      <w:bookmarkStart w:id="12" w:name="_Toc298767927"/>
      <w:bookmarkStart w:id="13" w:name="_Toc29944"/>
      <w:bookmarkStart w:id="14" w:name="_Toc13642"/>
      <w:r>
        <w:rPr>
          <w:rFonts w:hint="eastAsia" w:ascii="宋体" w:hAnsi="宋体" w:cs="宋体"/>
          <w:color w:val="auto"/>
          <w:highlight w:val="none"/>
        </w:rPr>
        <w:t xml:space="preserve"> </w:t>
      </w:r>
      <w:bookmarkEnd w:id="11"/>
      <w:bookmarkEnd w:id="12"/>
      <w:r>
        <w:rPr>
          <w:rFonts w:hint="eastAsia" w:ascii="宋体" w:hAnsi="宋体" w:cs="宋体"/>
          <w:color w:val="auto"/>
          <w:highlight w:val="none"/>
        </w:rPr>
        <w:t>采购</w:t>
      </w:r>
      <w:bookmarkEnd w:id="13"/>
      <w:bookmarkEnd w:id="14"/>
      <w:r>
        <w:rPr>
          <w:rFonts w:hint="eastAsia" w:ascii="宋体" w:hAnsi="宋体" w:cs="宋体"/>
          <w:color w:val="auto"/>
          <w:highlight w:val="none"/>
        </w:rPr>
        <w:t>需求</w:t>
      </w:r>
    </w:p>
    <w:p w14:paraId="20BAC595">
      <w:pPr>
        <w:pStyle w:val="5"/>
        <w:jc w:val="both"/>
        <w:rPr>
          <w:rFonts w:ascii="宋体" w:hAnsi="宋体" w:cs="仿宋"/>
          <w:b w:val="0"/>
          <w:color w:val="auto"/>
          <w:sz w:val="24"/>
          <w:highlight w:val="none"/>
        </w:rPr>
      </w:pPr>
      <w:r>
        <w:rPr>
          <w:rFonts w:hint="eastAsia" w:ascii="宋体" w:hAnsi="宋体" w:cs="仿宋"/>
          <w:b w:val="0"/>
          <w:color w:val="auto"/>
          <w:sz w:val="24"/>
          <w:highlight w:val="none"/>
        </w:rPr>
        <w:t>一、项目概况</w:t>
      </w:r>
    </w:p>
    <w:p w14:paraId="154000C4">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杭州市财经职业学校是杭州市教育局直属省级重点中等职业学校，是浙江省中职财经类办学规模较大的专门化学校、浙江省中职高水平专业（群）建设学校。现开设金融事务、会计事务、国际货运代理、物流服务与管理、动漫与游戏制作5个专业。学校创建于1956年，初名为杭州市第七初级中学，1958年更名为杭州市江滨中学，1984年开始创办职业教育，后改名为杭州市江滨职业学校。2015年，学校整体搬迁至滨江高新开发区，并更名为杭州市财经职业学校。办学至今，学校人才辈出，为杭州经济发展培养了数万名金融、会计、物流、动漫等行业的高素质应用型人才。</w:t>
      </w:r>
    </w:p>
    <w:p w14:paraId="06F108EE">
      <w:pPr>
        <w:keepNext w:val="0"/>
        <w:keepLines w:val="0"/>
        <w:pageBreakBefore w:val="0"/>
        <w:widowControl/>
        <w:suppressLineNumbers w:val="0"/>
        <w:kinsoku/>
        <w:wordWrap/>
        <w:overflowPunct/>
        <w:topLinePunct w:val="0"/>
        <w:autoSpaceDE/>
        <w:autoSpaceDN/>
        <w:bidi w:val="0"/>
        <w:adjustRightInd/>
        <w:snapToGrid/>
        <w:spacing w:line="332"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仿宋"/>
          <w:color w:val="auto"/>
          <w:sz w:val="24"/>
          <w:highlight w:val="none"/>
        </w:rPr>
        <w:t>本次针对我校动漫课程资源建设与课程专项提升服务项目为目标</w:t>
      </w:r>
      <w:r>
        <w:rPr>
          <w:rFonts w:hint="eastAsia" w:ascii="宋体" w:hAnsi="宋体" w:cs="仿宋"/>
          <w:color w:val="auto"/>
          <w:sz w:val="24"/>
          <w:highlight w:val="none"/>
          <w:lang w:eastAsia="zh-CN"/>
        </w:rPr>
        <w:t>，</w:t>
      </w:r>
      <w:r>
        <w:rPr>
          <w:rFonts w:hint="eastAsia" w:ascii="宋体" w:hAnsi="宋体" w:eastAsia="宋体" w:cs="宋体"/>
          <w:kern w:val="0"/>
          <w:sz w:val="24"/>
          <w:szCs w:val="24"/>
          <w:highlight w:val="none"/>
          <w:lang w:val="en-US" w:eastAsia="zh-CN"/>
        </w:rPr>
        <w:t>聚焦学校精品课程建设的关键需求，通过系统性的资源整合与优化，全面提升课程建设质量。项目将开展课程建设服务定制及培训服务等专项行动，打造技术先进、内容精良的视频课程资源库。以优质的教育内容和创新的教学模式，让更多学子突破时空限制，畅享前沿教育资源，助力学院在数字化教育领域实现跨越式发展，为培育新时代高素质人才筑牢坚实基础。</w:t>
      </w:r>
    </w:p>
    <w:p w14:paraId="68677380">
      <w:pPr>
        <w:spacing w:line="360" w:lineRule="auto"/>
        <w:ind w:firstLine="480" w:firstLineChars="200"/>
        <w:jc w:val="left"/>
        <w:rPr>
          <w:rFonts w:ascii="宋体" w:hAnsi="宋体" w:cs="仿宋"/>
          <w:color w:val="auto"/>
          <w:sz w:val="24"/>
          <w:highlight w:val="none"/>
        </w:rPr>
      </w:pPr>
    </w:p>
    <w:p w14:paraId="2816467A">
      <w:pPr>
        <w:numPr>
          <w:ilvl w:val="255"/>
          <w:numId w:val="0"/>
        </w:numPr>
        <w:spacing w:line="360" w:lineRule="auto"/>
        <w:ind w:firstLine="0" w:firstLineChars="0"/>
        <w:jc w:val="left"/>
        <w:outlineLvl w:val="0"/>
        <w:rPr>
          <w:rFonts w:ascii="宋体" w:hAnsi="宋体" w:cs="仿宋"/>
          <w:color w:val="auto"/>
          <w:sz w:val="24"/>
          <w:highlight w:val="none"/>
        </w:rPr>
      </w:pPr>
      <w:r>
        <w:rPr>
          <w:rFonts w:hint="eastAsia" w:ascii="宋体" w:hAnsi="宋体" w:cs="仿宋"/>
          <w:color w:val="auto"/>
          <w:sz w:val="24"/>
          <w:highlight w:val="none"/>
        </w:rPr>
        <w:t>二、建设要求</w:t>
      </w:r>
    </w:p>
    <w:p w14:paraId="0A52B5C8">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1、项目进度要求</w:t>
      </w:r>
    </w:p>
    <w:p w14:paraId="22147261">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建设总体进度：本项目要求在合同签订接校方开工通知后</w:t>
      </w:r>
      <w:r>
        <w:rPr>
          <w:rFonts w:ascii="宋体" w:hAnsi="宋体" w:cs="仿宋"/>
          <w:color w:val="auto"/>
          <w:sz w:val="24"/>
          <w:highlight w:val="none"/>
        </w:rPr>
        <w:t>60个工作日内开发完成</w:t>
      </w:r>
      <w:r>
        <w:rPr>
          <w:rFonts w:hint="eastAsia" w:ascii="宋体" w:hAnsi="宋体" w:cs="仿宋"/>
          <w:color w:val="auto"/>
          <w:sz w:val="24"/>
          <w:highlight w:val="none"/>
        </w:rPr>
        <w:t>。试运行后完成验收。</w:t>
      </w:r>
    </w:p>
    <w:p w14:paraId="0574C57A">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2、项目人员要求</w:t>
      </w:r>
    </w:p>
    <w:p w14:paraId="6BC88710">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在本项目的执行过程中，保证整个项目团队的人员相对稳定。按照项目实施的要求，必须配置相应的项目管理、系统设计、开发、测试、集成、培训、质量保证等人员，在项目组织中应明确各岗位的职责，确保工程顺利实施。本项目要求项目团队人员实地调研。</w:t>
      </w:r>
    </w:p>
    <w:p w14:paraId="06F259AE">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参与此项目的核心技术人员必须具有承担过相关软件开发和相关项目建设经验，能够与用户进行良好的沟通，具备相关产品集成、应用和开发的能力。参与此项目的技术人员必须具有强烈的服务意识和高度的责任感。</w:t>
      </w:r>
    </w:p>
    <w:p w14:paraId="1A671073">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3、交付成果、测试与验收要求</w:t>
      </w:r>
    </w:p>
    <w:p w14:paraId="7EEED401">
      <w:pPr>
        <w:spacing w:line="360" w:lineRule="auto"/>
        <w:ind w:left="420" w:firstLine="420" w:firstLineChars="175"/>
        <w:rPr>
          <w:rFonts w:ascii="宋体" w:hAnsi="宋体" w:cs="仿宋"/>
          <w:color w:val="auto"/>
          <w:sz w:val="24"/>
          <w:highlight w:val="none"/>
        </w:rPr>
      </w:pPr>
      <w:r>
        <w:rPr>
          <w:rFonts w:hint="eastAsia" w:ascii="宋体" w:hAnsi="宋体" w:cs="仿宋"/>
          <w:color w:val="auto"/>
          <w:sz w:val="24"/>
          <w:highlight w:val="none"/>
        </w:rPr>
        <w:t>3.1交付成果要求</w:t>
      </w:r>
    </w:p>
    <w:p w14:paraId="2B482E77">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项目的工作内容及成果文档的提交应覆盖以下内容，电子文档是成果不可分割的部分。</w:t>
      </w:r>
    </w:p>
    <w:p w14:paraId="0B2B47B3">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可安装文件的形式提供；</w:t>
      </w:r>
    </w:p>
    <w:p w14:paraId="166A67E9">
      <w:pPr>
        <w:spacing w:line="360" w:lineRule="auto"/>
        <w:ind w:left="420" w:firstLine="420" w:firstLineChars="175"/>
        <w:rPr>
          <w:rFonts w:ascii="宋体" w:hAnsi="宋体" w:cs="仿宋"/>
          <w:color w:val="auto"/>
          <w:sz w:val="24"/>
          <w:highlight w:val="none"/>
        </w:rPr>
      </w:pPr>
      <w:r>
        <w:rPr>
          <w:rFonts w:hint="eastAsia" w:ascii="宋体" w:hAnsi="宋体" w:cs="仿宋"/>
          <w:color w:val="auto"/>
          <w:sz w:val="24"/>
          <w:highlight w:val="none"/>
        </w:rPr>
        <w:t>3.2</w:t>
      </w:r>
      <w:r>
        <w:rPr>
          <w:rFonts w:ascii="宋体" w:hAnsi="宋体" w:cs="仿宋"/>
          <w:color w:val="auto"/>
          <w:sz w:val="24"/>
          <w:highlight w:val="none"/>
        </w:rPr>
        <w:t>系统实施方案；</w:t>
      </w:r>
    </w:p>
    <w:p w14:paraId="0B210CDF">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系统工程安装部署手册、系统维护操作手册、培训手册等；</w:t>
      </w:r>
    </w:p>
    <w:p w14:paraId="0DF77578">
      <w:pPr>
        <w:spacing w:line="360" w:lineRule="auto"/>
        <w:ind w:left="420" w:firstLine="420" w:firstLineChars="175"/>
        <w:rPr>
          <w:rFonts w:ascii="宋体" w:hAnsi="宋体" w:cs="仿宋"/>
          <w:color w:val="auto"/>
          <w:sz w:val="24"/>
          <w:highlight w:val="none"/>
        </w:rPr>
      </w:pPr>
      <w:r>
        <w:rPr>
          <w:rFonts w:hint="eastAsia" w:ascii="宋体" w:hAnsi="宋体" w:cs="仿宋"/>
          <w:color w:val="auto"/>
          <w:sz w:val="24"/>
          <w:highlight w:val="none"/>
        </w:rPr>
        <w:t>3.3</w:t>
      </w:r>
      <w:r>
        <w:rPr>
          <w:rFonts w:ascii="宋体" w:hAnsi="宋体" w:cs="仿宋"/>
          <w:color w:val="auto"/>
          <w:sz w:val="24"/>
          <w:highlight w:val="none"/>
        </w:rPr>
        <w:t>各类过程性文档；</w:t>
      </w:r>
    </w:p>
    <w:p w14:paraId="696247BF">
      <w:pPr>
        <w:spacing w:line="360" w:lineRule="auto"/>
        <w:ind w:left="420" w:firstLine="420" w:firstLineChars="175"/>
        <w:rPr>
          <w:rFonts w:ascii="宋体" w:hAnsi="宋体" w:cs="仿宋"/>
          <w:color w:val="auto"/>
          <w:sz w:val="24"/>
          <w:highlight w:val="none"/>
        </w:rPr>
      </w:pPr>
      <w:r>
        <w:rPr>
          <w:rFonts w:hint="eastAsia" w:ascii="宋体" w:hAnsi="宋体" w:cs="仿宋"/>
          <w:color w:val="auto"/>
          <w:sz w:val="24"/>
          <w:highlight w:val="none"/>
        </w:rPr>
        <w:t>3.4测试要求</w:t>
      </w:r>
    </w:p>
    <w:p w14:paraId="7A674B57">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在实施过程中必须制定系统的整体测试方案，撰写测试用例以保证各子模块联接正确，数据传送正常。测试方案要明确测试关键点，分单元测试、整体测试等。整个系统测试内容必须包括功能要求、可靠性、安全性、可扩充性、可维护性等。</w:t>
      </w:r>
    </w:p>
    <w:p w14:paraId="67C24A74">
      <w:pPr>
        <w:spacing w:line="360" w:lineRule="auto"/>
        <w:ind w:left="420" w:firstLine="420" w:firstLineChars="175"/>
        <w:rPr>
          <w:rFonts w:ascii="宋体" w:hAnsi="宋体" w:cs="仿宋"/>
          <w:color w:val="auto"/>
          <w:sz w:val="24"/>
          <w:highlight w:val="none"/>
        </w:rPr>
      </w:pPr>
      <w:r>
        <w:rPr>
          <w:rFonts w:hint="eastAsia" w:ascii="宋体" w:hAnsi="宋体" w:cs="仿宋"/>
          <w:color w:val="auto"/>
          <w:sz w:val="24"/>
          <w:highlight w:val="none"/>
        </w:rPr>
        <w:t>3.5验收要求</w:t>
      </w:r>
    </w:p>
    <w:p w14:paraId="23AF3C1A">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系统在试运行期内稳定运行，达到了全部功能和非功能性要求，在试运行结束后由中标方向采购方提出系统竣工验收申请，采购方组织进行验收评审。</w:t>
      </w:r>
    </w:p>
    <w:p w14:paraId="14A183DF">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4、项目管理要求</w:t>
      </w:r>
    </w:p>
    <w:p w14:paraId="134CADFF">
      <w:pPr>
        <w:spacing w:line="360" w:lineRule="auto"/>
        <w:ind w:left="420" w:firstLine="420" w:firstLineChars="175"/>
        <w:rPr>
          <w:rFonts w:ascii="宋体" w:hAnsi="宋体" w:cs="仿宋"/>
          <w:color w:val="auto"/>
          <w:sz w:val="24"/>
          <w:highlight w:val="none"/>
        </w:rPr>
      </w:pPr>
      <w:r>
        <w:rPr>
          <w:rFonts w:hint="eastAsia" w:ascii="宋体" w:hAnsi="宋体" w:cs="仿宋"/>
          <w:color w:val="auto"/>
          <w:sz w:val="24"/>
          <w:highlight w:val="none"/>
        </w:rPr>
        <w:t>4.1项目管理</w:t>
      </w:r>
    </w:p>
    <w:p w14:paraId="7FBBDB03">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实施准备阶段，依据实施方案搭建实施团队、深化总体设计、细化实施方案、制定实施管理的相关制度与管理规范。</w:t>
      </w:r>
    </w:p>
    <w:p w14:paraId="64CDF7F3">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实施过程中，负责对工程实施范围、进度、质量、资源、沟通、风险以及阶段成果评审与验收的组织工作。</w:t>
      </w:r>
    </w:p>
    <w:p w14:paraId="4CAE1AD7">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实施最后阶段，依据工程规划完成分项集成与总集成，协助采购人完成验收。</w:t>
      </w:r>
    </w:p>
    <w:p w14:paraId="4E4883B8">
      <w:pPr>
        <w:spacing w:line="360" w:lineRule="auto"/>
        <w:ind w:left="420" w:firstLine="420" w:firstLineChars="175"/>
        <w:rPr>
          <w:rFonts w:ascii="宋体" w:hAnsi="宋体" w:cs="仿宋"/>
          <w:color w:val="auto"/>
          <w:sz w:val="24"/>
          <w:highlight w:val="none"/>
        </w:rPr>
      </w:pPr>
      <w:r>
        <w:rPr>
          <w:rFonts w:hint="eastAsia" w:ascii="宋体" w:hAnsi="宋体" w:cs="仿宋"/>
          <w:color w:val="auto"/>
          <w:sz w:val="24"/>
          <w:highlight w:val="none"/>
        </w:rPr>
        <w:t>4.2软件集成</w:t>
      </w:r>
    </w:p>
    <w:p w14:paraId="4EF20CF9">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完成应用软件系统运行所需的软件基础平台集成工作，并在维护过程中进行系统基础架构的局部调整和优化工作。</w:t>
      </w:r>
    </w:p>
    <w:p w14:paraId="36E89236">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5、培训要求</w:t>
      </w:r>
    </w:p>
    <w:p w14:paraId="133DEEB9">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供应商负责对采购人相关部门及指定的用户进行培训。供应商须根据项目实施的进度及时安排培训和授课。培训的主要内容应侧重于对系统的使用及系统的基本维护、常见问题及解决办法等方面，并提供实践性的操作，使受训者熟悉系统设计的思路，掌握系统的操作和维护等。</w:t>
      </w:r>
    </w:p>
    <w:p w14:paraId="49FBDF29">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投标人须制定详细的培训计划，明确培训目标、参训人员、课程内容、时间、场地、考核等相关安排。</w:t>
      </w:r>
    </w:p>
    <w:p w14:paraId="5EAD0B53">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6、质量保证</w:t>
      </w:r>
    </w:p>
    <w:p w14:paraId="2F984A6B">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投标人须保证所提供产品</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服务</w:t>
      </w:r>
      <w:r>
        <w:rPr>
          <w:rFonts w:hint="eastAsia" w:ascii="宋体" w:hAnsi="宋体" w:cs="仿宋"/>
          <w:color w:val="auto"/>
          <w:sz w:val="24"/>
          <w:highlight w:val="none"/>
          <w:lang w:eastAsia="zh-CN"/>
        </w:rPr>
        <w:t>）</w:t>
      </w:r>
      <w:r>
        <w:rPr>
          <w:rFonts w:ascii="宋体" w:hAnsi="宋体" w:cs="仿宋"/>
          <w:color w:val="auto"/>
          <w:sz w:val="24"/>
          <w:highlight w:val="none"/>
        </w:rPr>
        <w:t>符合国家有关规定。投标人须保证所提供产品具有合法的版权或使用权，本项目采购的产品，如在本项目范围内使用过程中出现版权或使用权纠纷，应由投标人负责，采购人不承担责任。</w:t>
      </w:r>
    </w:p>
    <w:p w14:paraId="006BA77E">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投标人必须保证解决项目所涉及的技术问题，如因技术原因无法满足采购人需求，由此产生的风险由投标人承担。</w:t>
      </w:r>
    </w:p>
    <w:p w14:paraId="3D053E3A">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投标人在质保期内，如遇软件产品升级、改版，应免费提供更新、升级服务。</w:t>
      </w:r>
    </w:p>
    <w:p w14:paraId="0D310C6B">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安全与保密问题</w:t>
      </w:r>
    </w:p>
    <w:p w14:paraId="2DB61F8B">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中标方需对可能出现的安全问题需提出详细的解决方案和具体的措施，不允许通过设置“后门”实现服务。</w:t>
      </w:r>
    </w:p>
    <w:p w14:paraId="3EE4D397">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中标方应无条件接受项目业主方单位的保密约定，包括在合同期结束后承诺保密义务。</w:t>
      </w:r>
    </w:p>
    <w:p w14:paraId="6B961541">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中标方对项目所涉及的各类数据没有任何的处置权和使用权。</w:t>
      </w:r>
    </w:p>
    <w:p w14:paraId="77BA50CD">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7、售后服务要求</w:t>
      </w:r>
    </w:p>
    <w:p w14:paraId="41BAC1C8">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自终验通过之日起，进入系统免费维护期。在免费维护期内，中标单位需要向采购方提供系统维护服务。</w:t>
      </w:r>
    </w:p>
    <w:p w14:paraId="34A8F27E">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项目免费维护期：自验收通过之日起算，提供一年免费质保维护。</w:t>
      </w:r>
    </w:p>
    <w:p w14:paraId="506BA7A3">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免费维护期内，中标单位应配备专门的技术服务部门负责对用户的全方位的技术支持和服务，通过电话服务、远程服务和现场服务向采购方提供快速、高效的维护服务，进行相关功能的完善性开发，保障各应用平台正常运行。</w:t>
      </w:r>
    </w:p>
    <w:p w14:paraId="4D0AE637">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免费维护期间，中标单位应向采购方提供</w:t>
      </w:r>
      <w:r>
        <w:rPr>
          <w:rFonts w:hint="eastAsia" w:ascii="宋体" w:hAnsi="宋体" w:cs="仿宋"/>
          <w:color w:val="auto"/>
          <w:sz w:val="24"/>
          <w:highlight w:val="none"/>
        </w:rPr>
        <w:t>5*12小时</w:t>
      </w:r>
      <w:r>
        <w:rPr>
          <w:rFonts w:ascii="宋体" w:hAnsi="宋体" w:cs="仿宋"/>
          <w:color w:val="auto"/>
          <w:sz w:val="24"/>
          <w:highlight w:val="none"/>
        </w:rPr>
        <w:t>服务热线，一般故障响应、排除时间不超过4小时，重大故障响应、排除时间不超过8小时。</w:t>
      </w:r>
    </w:p>
    <w:p w14:paraId="362EA931">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在用户使用主流品牌的硬件、软件产品出现兼容性问题时，配合有关硬件、软件厂商和最终用户分析问题原因、协助其寻求解决方案。</w:t>
      </w:r>
    </w:p>
    <w:p w14:paraId="371D9524">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 xml:space="preserve">日常应设立 24 </w:t>
      </w:r>
      <w:r>
        <w:rPr>
          <w:rFonts w:hint="eastAsia" w:ascii="宋体" w:hAnsi="宋体" w:cs="仿宋"/>
          <w:color w:val="auto"/>
          <w:sz w:val="24"/>
          <w:highlight w:val="none"/>
        </w:rPr>
        <w:t>小时服务热线和技术专家组，提供电话服务或技术支持。提供5*12小时的专属客服电话技术支持，针对应急问题实时处理。</w:t>
      </w:r>
    </w:p>
    <w:p w14:paraId="04EF65D7">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提供在线咨询，提供7</w:t>
      </w:r>
      <w:r>
        <w:rPr>
          <w:rFonts w:hint="eastAsia" w:ascii="宋体" w:hAnsi="宋体" w:cs="仿宋"/>
          <w:color w:val="auto"/>
          <w:sz w:val="24"/>
          <w:highlight w:val="none"/>
        </w:rPr>
        <w:t>*</w:t>
      </w:r>
      <w:r>
        <w:rPr>
          <w:rFonts w:ascii="宋体" w:hAnsi="宋体" w:cs="仿宋"/>
          <w:color w:val="auto"/>
          <w:sz w:val="24"/>
          <w:highlight w:val="none"/>
        </w:rPr>
        <w:t>8</w:t>
      </w:r>
      <w:r>
        <w:rPr>
          <w:rFonts w:hint="eastAsia" w:ascii="宋体" w:hAnsi="宋体" w:cs="仿宋"/>
          <w:color w:val="auto"/>
          <w:sz w:val="24"/>
          <w:highlight w:val="none"/>
        </w:rPr>
        <w:t>小时的在线服务，提交的问题解决时限同运维服务要求。</w:t>
      </w:r>
    </w:p>
    <w:p w14:paraId="6F22A1D3">
      <w:pPr>
        <w:spacing w:line="360" w:lineRule="auto"/>
        <w:ind w:firstLine="415" w:firstLineChars="173"/>
        <w:rPr>
          <w:rFonts w:ascii="宋体" w:hAnsi="宋体" w:cs="仿宋"/>
          <w:color w:val="auto"/>
          <w:sz w:val="24"/>
          <w:highlight w:val="none"/>
        </w:rPr>
      </w:pPr>
      <w:r>
        <w:rPr>
          <w:rFonts w:ascii="宋体" w:hAnsi="宋体" w:cs="仿宋"/>
          <w:color w:val="auto"/>
          <w:sz w:val="24"/>
          <w:highlight w:val="none"/>
        </w:rPr>
        <w:t>特殊时间应提供用户现场服务。现场服务时间满足用户方工作进程和运维保障需要。</w:t>
      </w:r>
    </w:p>
    <w:p w14:paraId="1EA708C0">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8、保密要求</w:t>
      </w:r>
    </w:p>
    <w:p w14:paraId="780E2462">
      <w:pPr>
        <w:spacing w:line="360" w:lineRule="auto"/>
        <w:ind w:firstLine="415" w:firstLineChars="173"/>
        <w:rPr>
          <w:rFonts w:ascii="宋体" w:hAnsi="宋体" w:cs="仿宋"/>
          <w:color w:val="auto"/>
          <w:sz w:val="24"/>
          <w:highlight w:val="none"/>
        </w:rPr>
      </w:pPr>
      <w:r>
        <w:rPr>
          <w:rFonts w:hint="eastAsia" w:ascii="宋体" w:hAnsi="宋体" w:cs="仿宋"/>
          <w:color w:val="auto"/>
          <w:sz w:val="24"/>
          <w:highlight w:val="none"/>
        </w:rPr>
        <w:t>承诺严格遵守国家关于私隐、商业秘密、国家机密、用户数据采集保存应用等方面的所有法律法规，对用户方的工作敏感数据和文件等承担保密职责。</w:t>
      </w:r>
    </w:p>
    <w:p w14:paraId="1659B70C">
      <w:pPr>
        <w:numPr>
          <w:ilvl w:val="0"/>
          <w:numId w:val="2"/>
        </w:numPr>
        <w:spacing w:line="360" w:lineRule="auto"/>
        <w:ind w:firstLine="0" w:firstLineChars="0"/>
        <w:jc w:val="left"/>
        <w:outlineLvl w:val="0"/>
        <w:rPr>
          <w:rFonts w:hint="eastAsia" w:ascii="宋体" w:hAnsi="宋体" w:cs="仿宋"/>
          <w:color w:val="auto"/>
          <w:sz w:val="24"/>
          <w:highlight w:val="none"/>
        </w:rPr>
      </w:pPr>
      <w:r>
        <w:rPr>
          <w:rFonts w:hint="eastAsia" w:ascii="宋体" w:hAnsi="宋体" w:cs="仿宋"/>
          <w:color w:val="auto"/>
          <w:sz w:val="24"/>
          <w:highlight w:val="none"/>
        </w:rPr>
        <w:t>项目清单与技术要求</w:t>
      </w:r>
    </w:p>
    <w:p w14:paraId="07A2F17E">
      <w:pPr>
        <w:pStyle w:val="2"/>
        <w:rPr>
          <w:rFonts w:hint="default" w:eastAsia="宋体"/>
          <w:highlight w:val="none"/>
          <w:lang w:val="en-US" w:eastAsia="zh-CN"/>
        </w:rPr>
      </w:pPr>
      <w:r>
        <w:rPr>
          <w:rFonts w:hint="eastAsia" w:ascii="宋体" w:hAnsi="宋体" w:cs="仿宋"/>
          <w:color w:val="auto"/>
          <w:sz w:val="24"/>
          <w:highlight w:val="none"/>
          <w:lang w:val="en-US" w:eastAsia="zh-CN"/>
        </w:rPr>
        <w:t>1、采购清单</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4"/>
        <w:gridCol w:w="1889"/>
        <w:gridCol w:w="3097"/>
        <w:gridCol w:w="1760"/>
        <w:gridCol w:w="942"/>
      </w:tblGrid>
      <w:tr w14:paraId="4F53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473" w:type="pct"/>
            <w:shd w:val="clear" w:color="auto" w:fill="auto"/>
            <w:noWrap/>
            <w:vAlign w:val="center"/>
          </w:tcPr>
          <w:p w14:paraId="35BE192A">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序号</w:t>
            </w:r>
          </w:p>
        </w:tc>
        <w:tc>
          <w:tcPr>
            <w:tcW w:w="2935" w:type="pct"/>
            <w:gridSpan w:val="2"/>
            <w:shd w:val="clear" w:color="auto" w:fill="auto"/>
            <w:vAlign w:val="center"/>
          </w:tcPr>
          <w:p w14:paraId="3D9ADD17">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产品名称</w:t>
            </w:r>
          </w:p>
        </w:tc>
        <w:tc>
          <w:tcPr>
            <w:tcW w:w="1036" w:type="pct"/>
            <w:shd w:val="clear" w:color="auto" w:fill="auto"/>
            <w:noWrap/>
            <w:vAlign w:val="center"/>
          </w:tcPr>
          <w:p w14:paraId="45988354">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数量</w:t>
            </w:r>
          </w:p>
        </w:tc>
        <w:tc>
          <w:tcPr>
            <w:tcW w:w="554" w:type="pct"/>
            <w:shd w:val="clear" w:color="auto" w:fill="auto"/>
            <w:noWrap/>
            <w:vAlign w:val="center"/>
          </w:tcPr>
          <w:p w14:paraId="7D3D45A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单位</w:t>
            </w:r>
          </w:p>
        </w:tc>
      </w:tr>
      <w:tr w14:paraId="1E20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4" w:hRule="atLeast"/>
        </w:trPr>
        <w:tc>
          <w:tcPr>
            <w:tcW w:w="473" w:type="pct"/>
            <w:shd w:val="clear" w:color="auto" w:fill="auto"/>
            <w:noWrap/>
            <w:vAlign w:val="center"/>
          </w:tcPr>
          <w:p w14:paraId="0C079478">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1</w:t>
            </w:r>
          </w:p>
        </w:tc>
        <w:tc>
          <w:tcPr>
            <w:tcW w:w="1112" w:type="pct"/>
            <w:vMerge w:val="restart"/>
            <w:shd w:val="clear" w:color="auto" w:fill="auto"/>
            <w:vAlign w:val="center"/>
          </w:tcPr>
          <w:p w14:paraId="1C560C48">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动漫专业教学能力提升服务</w:t>
            </w:r>
          </w:p>
        </w:tc>
        <w:tc>
          <w:tcPr>
            <w:tcW w:w="1822" w:type="pct"/>
            <w:shd w:val="clear" w:color="auto" w:fill="auto"/>
            <w:noWrap/>
            <w:vAlign w:val="center"/>
          </w:tcPr>
          <w:p w14:paraId="6DC3F6D1">
            <w:pPr>
              <w:keepNext w:val="0"/>
              <w:keepLines w:val="0"/>
              <w:pageBreakBefore w:val="0"/>
              <w:widowControl/>
              <w:numPr>
                <w:ilvl w:val="0"/>
                <w:numId w:val="0"/>
              </w:numPr>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文本审核与提升</w:t>
            </w:r>
          </w:p>
        </w:tc>
        <w:tc>
          <w:tcPr>
            <w:tcW w:w="1036" w:type="pct"/>
            <w:shd w:val="clear" w:color="auto" w:fill="auto"/>
            <w:noWrap/>
            <w:vAlign w:val="center"/>
          </w:tcPr>
          <w:p w14:paraId="47BAC875">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5A300C54">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7FC2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056FBBFB">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2</w:t>
            </w:r>
          </w:p>
        </w:tc>
        <w:tc>
          <w:tcPr>
            <w:tcW w:w="1112" w:type="pct"/>
            <w:vMerge w:val="continue"/>
            <w:shd w:val="clear" w:color="auto" w:fill="auto"/>
            <w:vAlign w:val="center"/>
          </w:tcPr>
          <w:p w14:paraId="0E5C2C9B">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1822" w:type="pct"/>
            <w:shd w:val="clear" w:color="auto" w:fill="auto"/>
            <w:noWrap/>
            <w:vAlign w:val="center"/>
          </w:tcPr>
          <w:p w14:paraId="2BA5DF1A">
            <w:pPr>
              <w:keepNext w:val="0"/>
              <w:keepLines w:val="0"/>
              <w:pageBreakBefore w:val="0"/>
              <w:widowControl/>
              <w:numPr>
                <w:ilvl w:val="0"/>
                <w:numId w:val="0"/>
              </w:numPr>
              <w:suppressLineNumbers w:val="0"/>
              <w:kinsoku/>
              <w:wordWrap/>
              <w:overflowPunct/>
              <w:topLinePunct w:val="0"/>
              <w:autoSpaceDE/>
              <w:autoSpaceDN/>
              <w:bidi w:val="0"/>
              <w:spacing w:line="332" w:lineRule="auto"/>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视频审核与提升</w:t>
            </w:r>
          </w:p>
        </w:tc>
        <w:tc>
          <w:tcPr>
            <w:tcW w:w="1036" w:type="pct"/>
            <w:shd w:val="clear" w:color="auto" w:fill="auto"/>
            <w:noWrap/>
            <w:vAlign w:val="center"/>
          </w:tcPr>
          <w:p w14:paraId="157C5B8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4EF624BF">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7981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6F9F2710">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3</w:t>
            </w:r>
          </w:p>
        </w:tc>
        <w:tc>
          <w:tcPr>
            <w:tcW w:w="1112" w:type="pct"/>
            <w:vMerge w:val="continue"/>
            <w:shd w:val="clear" w:color="auto" w:fill="auto"/>
            <w:vAlign w:val="center"/>
          </w:tcPr>
          <w:p w14:paraId="29394704">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1822" w:type="pct"/>
            <w:shd w:val="clear" w:color="auto" w:fill="auto"/>
            <w:noWrap/>
            <w:vAlign w:val="center"/>
          </w:tcPr>
          <w:p w14:paraId="0DB15CC4">
            <w:pPr>
              <w:keepNext w:val="0"/>
              <w:keepLines w:val="0"/>
              <w:pageBreakBefore w:val="0"/>
              <w:widowControl/>
              <w:numPr>
                <w:ilvl w:val="0"/>
                <w:numId w:val="0"/>
              </w:numPr>
              <w:suppressLineNumbers w:val="0"/>
              <w:kinsoku/>
              <w:wordWrap/>
              <w:overflowPunct/>
              <w:topLinePunct w:val="0"/>
              <w:autoSpaceDE/>
              <w:autoSpaceDN/>
              <w:bidi w:val="0"/>
              <w:spacing w:line="332" w:lineRule="auto"/>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视频拍摄与提升</w:t>
            </w:r>
          </w:p>
        </w:tc>
        <w:tc>
          <w:tcPr>
            <w:tcW w:w="1036" w:type="pct"/>
            <w:shd w:val="clear" w:color="auto" w:fill="auto"/>
            <w:noWrap/>
            <w:vAlign w:val="center"/>
          </w:tcPr>
          <w:p w14:paraId="2B982A08">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45B2FE05">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4980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7486437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4</w:t>
            </w:r>
          </w:p>
        </w:tc>
        <w:tc>
          <w:tcPr>
            <w:tcW w:w="1112" w:type="pct"/>
            <w:vMerge w:val="continue"/>
            <w:shd w:val="clear" w:color="auto" w:fill="auto"/>
            <w:vAlign w:val="center"/>
          </w:tcPr>
          <w:p w14:paraId="1D4BCB40">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1822" w:type="pct"/>
            <w:shd w:val="clear" w:color="auto" w:fill="auto"/>
            <w:noWrap/>
            <w:vAlign w:val="center"/>
          </w:tcPr>
          <w:p w14:paraId="09E6AC1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配套拓展资源</w:t>
            </w:r>
          </w:p>
        </w:tc>
        <w:tc>
          <w:tcPr>
            <w:tcW w:w="1036" w:type="pct"/>
            <w:shd w:val="clear" w:color="auto" w:fill="auto"/>
            <w:noWrap/>
            <w:vAlign w:val="center"/>
          </w:tcPr>
          <w:p w14:paraId="47A7AFDA">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2E6A2057">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5543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2AE3EC67">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5</w:t>
            </w:r>
          </w:p>
        </w:tc>
        <w:tc>
          <w:tcPr>
            <w:tcW w:w="1112" w:type="pct"/>
            <w:vMerge w:val="continue"/>
            <w:shd w:val="clear" w:color="auto" w:fill="auto"/>
            <w:vAlign w:val="center"/>
          </w:tcPr>
          <w:p w14:paraId="79553F31">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1822" w:type="pct"/>
            <w:shd w:val="clear" w:color="auto" w:fill="auto"/>
            <w:noWrap/>
            <w:vAlign w:val="center"/>
          </w:tcPr>
          <w:p w14:paraId="7B61B145">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参赛文本排版</w:t>
            </w:r>
          </w:p>
        </w:tc>
        <w:tc>
          <w:tcPr>
            <w:tcW w:w="1036" w:type="pct"/>
            <w:shd w:val="clear" w:color="auto" w:fill="auto"/>
            <w:noWrap/>
            <w:vAlign w:val="center"/>
          </w:tcPr>
          <w:p w14:paraId="49C4452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570E48D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0254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2A27ECA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6</w:t>
            </w:r>
          </w:p>
        </w:tc>
        <w:tc>
          <w:tcPr>
            <w:tcW w:w="1112" w:type="pct"/>
            <w:vMerge w:val="continue"/>
            <w:shd w:val="clear" w:color="auto" w:fill="auto"/>
            <w:vAlign w:val="center"/>
          </w:tcPr>
          <w:p w14:paraId="40FD4D88">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1822" w:type="pct"/>
            <w:shd w:val="clear" w:color="auto" w:fill="auto"/>
            <w:noWrap/>
            <w:vAlign w:val="center"/>
          </w:tcPr>
          <w:p w14:paraId="6B3A5500">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课件美化</w:t>
            </w:r>
          </w:p>
        </w:tc>
        <w:tc>
          <w:tcPr>
            <w:tcW w:w="1036" w:type="pct"/>
            <w:shd w:val="clear" w:color="auto" w:fill="auto"/>
            <w:noWrap/>
            <w:vAlign w:val="center"/>
          </w:tcPr>
          <w:p w14:paraId="5AF348F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1B40A6D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427B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5F3684EA">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7</w:t>
            </w:r>
          </w:p>
        </w:tc>
        <w:tc>
          <w:tcPr>
            <w:tcW w:w="1112" w:type="pct"/>
            <w:vMerge w:val="continue"/>
            <w:shd w:val="clear" w:color="auto" w:fill="auto"/>
            <w:vAlign w:val="center"/>
          </w:tcPr>
          <w:p w14:paraId="19328D1E">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1822" w:type="pct"/>
            <w:shd w:val="clear" w:color="auto" w:fill="auto"/>
            <w:noWrap/>
            <w:vAlign w:val="center"/>
          </w:tcPr>
          <w:p w14:paraId="33329EB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在线学习平台</w:t>
            </w:r>
          </w:p>
        </w:tc>
        <w:tc>
          <w:tcPr>
            <w:tcW w:w="1036" w:type="pct"/>
            <w:shd w:val="clear" w:color="auto" w:fill="auto"/>
            <w:noWrap/>
            <w:vAlign w:val="center"/>
          </w:tcPr>
          <w:p w14:paraId="7BB4DC3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4891170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588A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3EC419E5">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8</w:t>
            </w:r>
          </w:p>
        </w:tc>
        <w:tc>
          <w:tcPr>
            <w:tcW w:w="1112" w:type="pct"/>
            <w:vMerge w:val="continue"/>
            <w:shd w:val="clear" w:color="auto" w:fill="auto"/>
            <w:vAlign w:val="center"/>
          </w:tcPr>
          <w:p w14:paraId="46786282">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1822" w:type="pct"/>
            <w:shd w:val="clear" w:color="auto" w:fill="auto"/>
            <w:noWrap/>
            <w:vAlign w:val="center"/>
          </w:tcPr>
          <w:p w14:paraId="53D29EA8">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模型评价系统</w:t>
            </w:r>
          </w:p>
        </w:tc>
        <w:tc>
          <w:tcPr>
            <w:tcW w:w="1036" w:type="pct"/>
            <w:shd w:val="clear" w:color="auto" w:fill="auto"/>
            <w:noWrap/>
            <w:vAlign w:val="center"/>
          </w:tcPr>
          <w:p w14:paraId="6B7B325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58B0592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77A7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1E4F5B5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9</w:t>
            </w:r>
          </w:p>
        </w:tc>
        <w:tc>
          <w:tcPr>
            <w:tcW w:w="1112" w:type="pct"/>
            <w:vMerge w:val="restart"/>
            <w:shd w:val="clear" w:color="auto" w:fill="auto"/>
            <w:vAlign w:val="center"/>
          </w:tcPr>
          <w:p w14:paraId="508F09B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精品课制作服务</w:t>
            </w:r>
          </w:p>
        </w:tc>
        <w:tc>
          <w:tcPr>
            <w:tcW w:w="1822" w:type="pct"/>
            <w:shd w:val="clear" w:color="auto" w:fill="auto"/>
            <w:noWrap/>
            <w:vAlign w:val="center"/>
          </w:tcPr>
          <w:p w14:paraId="29DE9F4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PPT模板设计</w:t>
            </w:r>
          </w:p>
        </w:tc>
        <w:tc>
          <w:tcPr>
            <w:tcW w:w="1036" w:type="pct"/>
            <w:shd w:val="clear" w:color="auto" w:fill="auto"/>
            <w:noWrap/>
            <w:vAlign w:val="center"/>
          </w:tcPr>
          <w:p w14:paraId="267C524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554" w:type="pct"/>
            <w:shd w:val="clear" w:color="auto" w:fill="auto"/>
            <w:noWrap/>
            <w:vAlign w:val="center"/>
          </w:tcPr>
          <w:p w14:paraId="31CB44E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套</w:t>
            </w:r>
          </w:p>
        </w:tc>
      </w:tr>
      <w:tr w14:paraId="0773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3501ABF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rPr>
              <w:t>10</w:t>
            </w:r>
          </w:p>
        </w:tc>
        <w:tc>
          <w:tcPr>
            <w:tcW w:w="1112" w:type="pct"/>
            <w:vMerge w:val="continue"/>
            <w:shd w:val="clear" w:color="auto" w:fill="auto"/>
            <w:vAlign w:val="center"/>
          </w:tcPr>
          <w:p w14:paraId="0EA055C3">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1822" w:type="pct"/>
            <w:shd w:val="clear" w:color="auto" w:fill="auto"/>
            <w:noWrap/>
            <w:vAlign w:val="center"/>
          </w:tcPr>
          <w:p w14:paraId="406E6654">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PPT制作</w:t>
            </w:r>
          </w:p>
        </w:tc>
        <w:tc>
          <w:tcPr>
            <w:tcW w:w="1036" w:type="pct"/>
            <w:shd w:val="clear" w:color="auto" w:fill="auto"/>
            <w:noWrap/>
            <w:vAlign w:val="center"/>
          </w:tcPr>
          <w:p w14:paraId="55A33824">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5</w:t>
            </w:r>
          </w:p>
        </w:tc>
        <w:tc>
          <w:tcPr>
            <w:tcW w:w="554" w:type="pct"/>
            <w:shd w:val="clear" w:color="auto" w:fill="auto"/>
            <w:noWrap/>
            <w:vAlign w:val="center"/>
          </w:tcPr>
          <w:p w14:paraId="6D90C177">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套</w:t>
            </w:r>
          </w:p>
        </w:tc>
      </w:tr>
      <w:tr w14:paraId="0791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7ACCE81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rPr>
              <w:t>11</w:t>
            </w:r>
          </w:p>
        </w:tc>
        <w:tc>
          <w:tcPr>
            <w:tcW w:w="1112" w:type="pct"/>
            <w:vMerge w:val="continue"/>
            <w:shd w:val="clear" w:color="auto" w:fill="auto"/>
            <w:vAlign w:val="center"/>
          </w:tcPr>
          <w:p w14:paraId="538119ED">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1822" w:type="pct"/>
            <w:shd w:val="clear" w:color="auto" w:fill="auto"/>
            <w:noWrap/>
            <w:vAlign w:val="center"/>
          </w:tcPr>
          <w:p w14:paraId="0B9E4290">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课程拍摄（精品课程）</w:t>
            </w:r>
          </w:p>
        </w:tc>
        <w:tc>
          <w:tcPr>
            <w:tcW w:w="1036" w:type="pct"/>
            <w:shd w:val="clear" w:color="auto" w:fill="auto"/>
            <w:noWrap/>
            <w:vAlign w:val="center"/>
          </w:tcPr>
          <w:p w14:paraId="3B7F377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5</w:t>
            </w:r>
          </w:p>
        </w:tc>
        <w:tc>
          <w:tcPr>
            <w:tcW w:w="554" w:type="pct"/>
            <w:shd w:val="clear" w:color="auto" w:fill="auto"/>
            <w:noWrap/>
            <w:vAlign w:val="center"/>
          </w:tcPr>
          <w:p w14:paraId="36ABA798">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节</w:t>
            </w:r>
          </w:p>
        </w:tc>
      </w:tr>
      <w:tr w14:paraId="0D1B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38BEBDD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rPr>
              <w:t>12</w:t>
            </w:r>
          </w:p>
        </w:tc>
        <w:tc>
          <w:tcPr>
            <w:tcW w:w="1112" w:type="pct"/>
            <w:vMerge w:val="continue"/>
            <w:shd w:val="clear" w:color="auto" w:fill="auto"/>
            <w:vAlign w:val="center"/>
          </w:tcPr>
          <w:p w14:paraId="7986D4D2">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1822" w:type="pct"/>
            <w:shd w:val="clear" w:color="auto" w:fill="auto"/>
            <w:noWrap/>
            <w:vAlign w:val="center"/>
          </w:tcPr>
          <w:p w14:paraId="4F691853">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后期剪辑（精品课程）</w:t>
            </w:r>
          </w:p>
        </w:tc>
        <w:tc>
          <w:tcPr>
            <w:tcW w:w="1036" w:type="pct"/>
            <w:shd w:val="clear" w:color="auto" w:fill="auto"/>
            <w:noWrap/>
            <w:vAlign w:val="center"/>
          </w:tcPr>
          <w:p w14:paraId="632C500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5</w:t>
            </w:r>
          </w:p>
        </w:tc>
        <w:tc>
          <w:tcPr>
            <w:tcW w:w="554" w:type="pct"/>
            <w:shd w:val="clear" w:color="auto" w:fill="auto"/>
            <w:noWrap/>
            <w:vAlign w:val="center"/>
          </w:tcPr>
          <w:p w14:paraId="78B2E92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套</w:t>
            </w:r>
          </w:p>
        </w:tc>
      </w:tr>
      <w:tr w14:paraId="33F1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02965D8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13</w:t>
            </w:r>
          </w:p>
        </w:tc>
        <w:tc>
          <w:tcPr>
            <w:tcW w:w="1112" w:type="pct"/>
            <w:vMerge w:val="continue"/>
            <w:shd w:val="clear" w:color="auto" w:fill="auto"/>
            <w:vAlign w:val="center"/>
          </w:tcPr>
          <w:p w14:paraId="7C092256">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1822" w:type="pct"/>
            <w:shd w:val="clear" w:color="auto" w:fill="auto"/>
            <w:noWrap/>
            <w:vAlign w:val="center"/>
          </w:tcPr>
          <w:p w14:paraId="57681257">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课程拍摄（试卷真题讲解）</w:t>
            </w:r>
          </w:p>
        </w:tc>
        <w:tc>
          <w:tcPr>
            <w:tcW w:w="1036" w:type="pct"/>
            <w:shd w:val="clear" w:color="auto" w:fill="auto"/>
            <w:noWrap/>
            <w:vAlign w:val="center"/>
          </w:tcPr>
          <w:p w14:paraId="60E74710">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5</w:t>
            </w:r>
          </w:p>
        </w:tc>
        <w:tc>
          <w:tcPr>
            <w:tcW w:w="554" w:type="pct"/>
            <w:shd w:val="clear" w:color="auto" w:fill="auto"/>
            <w:noWrap/>
            <w:vAlign w:val="center"/>
          </w:tcPr>
          <w:p w14:paraId="26389B3D">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4BB2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79063F4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14</w:t>
            </w:r>
          </w:p>
        </w:tc>
        <w:tc>
          <w:tcPr>
            <w:tcW w:w="1112" w:type="pct"/>
            <w:vMerge w:val="continue"/>
            <w:shd w:val="clear" w:color="auto" w:fill="auto"/>
            <w:vAlign w:val="center"/>
          </w:tcPr>
          <w:p w14:paraId="45ED931E">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1822" w:type="pct"/>
            <w:shd w:val="clear" w:color="auto" w:fill="auto"/>
            <w:noWrap/>
            <w:vAlign w:val="center"/>
          </w:tcPr>
          <w:p w14:paraId="73662C1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后期剪辑（试卷真题讲解）</w:t>
            </w:r>
          </w:p>
        </w:tc>
        <w:tc>
          <w:tcPr>
            <w:tcW w:w="1036" w:type="pct"/>
            <w:shd w:val="clear" w:color="auto" w:fill="auto"/>
            <w:noWrap/>
            <w:vAlign w:val="center"/>
          </w:tcPr>
          <w:p w14:paraId="65D57B1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5</w:t>
            </w:r>
          </w:p>
        </w:tc>
        <w:tc>
          <w:tcPr>
            <w:tcW w:w="554" w:type="pct"/>
            <w:shd w:val="clear" w:color="auto" w:fill="auto"/>
            <w:noWrap/>
            <w:vAlign w:val="center"/>
          </w:tcPr>
          <w:p w14:paraId="6A012A3B">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1CA2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441B037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15</w:t>
            </w:r>
          </w:p>
        </w:tc>
        <w:tc>
          <w:tcPr>
            <w:tcW w:w="1112" w:type="pct"/>
            <w:vMerge w:val="continue"/>
            <w:shd w:val="clear" w:color="auto" w:fill="auto"/>
            <w:vAlign w:val="center"/>
          </w:tcPr>
          <w:p w14:paraId="623055A1">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1822" w:type="pct"/>
            <w:shd w:val="clear" w:color="auto" w:fill="auto"/>
            <w:noWrap/>
            <w:vAlign w:val="center"/>
          </w:tcPr>
          <w:p w14:paraId="40CF8AA4">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精品课程录播设备</w:t>
            </w:r>
          </w:p>
        </w:tc>
        <w:tc>
          <w:tcPr>
            <w:tcW w:w="1036" w:type="pct"/>
            <w:shd w:val="clear" w:color="auto" w:fill="auto"/>
            <w:noWrap/>
            <w:vAlign w:val="center"/>
          </w:tcPr>
          <w:p w14:paraId="579173D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28CE2C9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7FED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7227768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16</w:t>
            </w:r>
          </w:p>
        </w:tc>
        <w:tc>
          <w:tcPr>
            <w:tcW w:w="1112" w:type="pct"/>
            <w:shd w:val="clear" w:color="auto" w:fill="auto"/>
            <w:vAlign w:val="center"/>
          </w:tcPr>
          <w:p w14:paraId="734EB990">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教学能力大赛环境布置</w:t>
            </w:r>
          </w:p>
        </w:tc>
        <w:tc>
          <w:tcPr>
            <w:tcW w:w="1822" w:type="pct"/>
            <w:shd w:val="clear" w:color="auto" w:fill="auto"/>
            <w:noWrap/>
            <w:vAlign w:val="center"/>
          </w:tcPr>
          <w:p w14:paraId="03C5EB6F">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环境布置</w:t>
            </w:r>
          </w:p>
        </w:tc>
        <w:tc>
          <w:tcPr>
            <w:tcW w:w="1036" w:type="pct"/>
            <w:shd w:val="clear" w:color="auto" w:fill="auto"/>
            <w:noWrap/>
            <w:vAlign w:val="center"/>
          </w:tcPr>
          <w:p w14:paraId="2F865B4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121EEE6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项</w:t>
            </w:r>
          </w:p>
        </w:tc>
      </w:tr>
      <w:tr w14:paraId="78FC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73" w:type="pct"/>
            <w:shd w:val="clear" w:color="auto" w:fill="auto"/>
            <w:noWrap/>
            <w:vAlign w:val="center"/>
          </w:tcPr>
          <w:p w14:paraId="44EB9543">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1</w:t>
            </w:r>
            <w:r>
              <w:rPr>
                <w:rFonts w:hint="eastAsia" w:ascii="宋体" w:hAnsi="宋体" w:cs="宋体"/>
                <w:b/>
                <w:bCs/>
                <w:i w:val="0"/>
                <w:iCs w:val="0"/>
                <w:color w:val="000000"/>
                <w:sz w:val="24"/>
                <w:szCs w:val="24"/>
                <w:highlight w:val="none"/>
                <w:u w:val="none"/>
                <w:lang w:val="en-US" w:eastAsia="zh-CN"/>
              </w:rPr>
              <w:t>7</w:t>
            </w:r>
          </w:p>
        </w:tc>
        <w:tc>
          <w:tcPr>
            <w:tcW w:w="1112" w:type="pct"/>
            <w:shd w:val="clear" w:color="auto" w:fill="auto"/>
            <w:vAlign w:val="center"/>
          </w:tcPr>
          <w:p w14:paraId="2C7490F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sz w:val="24"/>
                <w:szCs w:val="24"/>
                <w:highlight w:val="none"/>
                <w:lang w:val="en-US" w:eastAsia="zh-CN"/>
              </w:rPr>
              <w:t>教</w:t>
            </w:r>
            <w:r>
              <w:rPr>
                <w:rFonts w:hint="eastAsia" w:ascii="宋体" w:hAnsi="宋体" w:eastAsia="宋体" w:cs="宋体"/>
                <w:sz w:val="24"/>
                <w:szCs w:val="24"/>
                <w:highlight w:val="none"/>
                <w:lang w:val="en-US" w:eastAsia="zh-CN"/>
              </w:rPr>
              <w:t>师数字素养提升服务</w:t>
            </w:r>
          </w:p>
        </w:tc>
        <w:tc>
          <w:tcPr>
            <w:tcW w:w="1822" w:type="pct"/>
            <w:shd w:val="clear" w:color="auto" w:fill="auto"/>
            <w:noWrap/>
            <w:vAlign w:val="center"/>
          </w:tcPr>
          <w:p w14:paraId="2DE958CB">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专家指导</w:t>
            </w:r>
          </w:p>
        </w:tc>
        <w:tc>
          <w:tcPr>
            <w:tcW w:w="1036" w:type="pct"/>
            <w:shd w:val="clear" w:color="auto" w:fill="auto"/>
            <w:noWrap/>
            <w:vAlign w:val="center"/>
          </w:tcPr>
          <w:p w14:paraId="589998F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w:t>
            </w:r>
          </w:p>
        </w:tc>
        <w:tc>
          <w:tcPr>
            <w:tcW w:w="554" w:type="pct"/>
            <w:shd w:val="clear" w:color="auto" w:fill="auto"/>
            <w:noWrap/>
            <w:vAlign w:val="center"/>
          </w:tcPr>
          <w:p w14:paraId="639CBC5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项</w:t>
            </w:r>
          </w:p>
        </w:tc>
      </w:tr>
    </w:tbl>
    <w:p w14:paraId="0563C0D6">
      <w:pPr>
        <w:pStyle w:val="2"/>
        <w:numPr>
          <w:ilvl w:val="0"/>
          <w:numId w:val="0"/>
        </w:numPr>
        <w:rPr>
          <w:highlight w:val="none"/>
        </w:rPr>
      </w:pPr>
    </w:p>
    <w:p w14:paraId="027DED0E">
      <w:pPr>
        <w:pStyle w:val="5"/>
        <w:pageBreakBefore w:val="0"/>
        <w:numPr>
          <w:ilvl w:val="0"/>
          <w:numId w:val="3"/>
        </w:numPr>
        <w:kinsoku/>
        <w:wordWrap/>
        <w:overflowPunct/>
        <w:topLinePunct w:val="0"/>
        <w:autoSpaceDE/>
        <w:autoSpaceDN/>
        <w:bidi w:val="0"/>
        <w:spacing w:line="332"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项目要求及技术需求</w:t>
      </w:r>
    </w:p>
    <w:p w14:paraId="357E9340">
      <w:pPr>
        <w:pStyle w:val="6"/>
        <w:pageBreakBefore w:val="0"/>
        <w:kinsoku/>
        <w:wordWrap/>
        <w:overflowPunct/>
        <w:topLinePunct w:val="0"/>
        <w:autoSpaceDE/>
        <w:autoSpaceDN/>
        <w:bidi w:val="0"/>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2.1动漫专业教学能力提升服务</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8"/>
        <w:gridCol w:w="894"/>
        <w:gridCol w:w="1037"/>
        <w:gridCol w:w="4804"/>
        <w:gridCol w:w="554"/>
        <w:gridCol w:w="495"/>
      </w:tblGrid>
      <w:tr w14:paraId="7CA9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17" w:type="pct"/>
            <w:shd w:val="clear" w:color="auto" w:fill="auto"/>
            <w:noWrap/>
            <w:vAlign w:val="center"/>
          </w:tcPr>
          <w:p w14:paraId="7D50569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1</w:t>
            </w:r>
          </w:p>
        </w:tc>
        <w:tc>
          <w:tcPr>
            <w:tcW w:w="526" w:type="pct"/>
            <w:vMerge w:val="restart"/>
            <w:shd w:val="clear" w:color="auto" w:fill="auto"/>
            <w:vAlign w:val="center"/>
          </w:tcPr>
          <w:p w14:paraId="6F597019">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sz w:val="24"/>
                <w:szCs w:val="24"/>
                <w:highlight w:val="none"/>
                <w:lang w:val="en-US" w:eastAsia="zh-CN"/>
              </w:rPr>
              <w:t>动漫专业</w:t>
            </w:r>
            <w:r>
              <w:rPr>
                <w:rFonts w:hint="eastAsia" w:ascii="宋体" w:hAnsi="宋体" w:eastAsia="宋体" w:cs="宋体"/>
                <w:i w:val="0"/>
                <w:iCs w:val="0"/>
                <w:color w:val="000000"/>
                <w:sz w:val="24"/>
                <w:szCs w:val="24"/>
                <w:highlight w:val="none"/>
                <w:u w:val="none"/>
                <w:lang w:val="en-US" w:eastAsia="zh-CN"/>
              </w:rPr>
              <w:t>教学能力提升服务</w:t>
            </w:r>
          </w:p>
        </w:tc>
        <w:tc>
          <w:tcPr>
            <w:tcW w:w="610" w:type="pct"/>
            <w:shd w:val="clear" w:color="auto" w:fill="auto"/>
            <w:vAlign w:val="center"/>
          </w:tcPr>
          <w:p w14:paraId="7EA4DDB8">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文本审核与提升</w:t>
            </w:r>
          </w:p>
        </w:tc>
        <w:tc>
          <w:tcPr>
            <w:tcW w:w="2827" w:type="pct"/>
            <w:shd w:val="clear" w:color="auto" w:fill="auto"/>
            <w:vAlign w:val="center"/>
          </w:tcPr>
          <w:p w14:paraId="2A39F411">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对作品提供的专业人才培养方案、课程标准、教案、教学实施报告、教材选用说明与2025年市赛赛项方案内容逐项对比。针对赛项中的新内容、新要求，为课程参赛团队开展不低于4次的专项解读，对文件内容合规性、文件内容完整性、文件图表准确性、文件整体逻辑性等内容，根据赛项要求，说明问题描述并给出明确的修改建议。</w:t>
            </w:r>
          </w:p>
          <w:p w14:paraId="6E4BD40B">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2.文本审核与提升不少于4轮次，审核过程建议通过光盘、U盘或网盘链接的方式将修改建议（word文件）提交采购人。</w:t>
            </w:r>
          </w:p>
        </w:tc>
        <w:tc>
          <w:tcPr>
            <w:tcW w:w="326" w:type="pct"/>
            <w:shd w:val="clear" w:color="auto" w:fill="auto"/>
            <w:noWrap/>
            <w:vAlign w:val="center"/>
          </w:tcPr>
          <w:p w14:paraId="05EF285B">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291" w:type="pct"/>
            <w:shd w:val="clear" w:color="auto" w:fill="auto"/>
            <w:noWrap/>
            <w:vAlign w:val="center"/>
          </w:tcPr>
          <w:p w14:paraId="253A3723">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367A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02F8A0BD">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2</w:t>
            </w:r>
          </w:p>
        </w:tc>
        <w:tc>
          <w:tcPr>
            <w:tcW w:w="526" w:type="pct"/>
            <w:vMerge w:val="continue"/>
            <w:shd w:val="clear" w:color="auto" w:fill="auto"/>
            <w:vAlign w:val="center"/>
          </w:tcPr>
          <w:p w14:paraId="6D63B13F">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610" w:type="pct"/>
            <w:shd w:val="clear" w:color="auto" w:fill="auto"/>
            <w:vAlign w:val="center"/>
          </w:tcPr>
          <w:p w14:paraId="0559FE83">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视频审核与提升</w:t>
            </w:r>
          </w:p>
        </w:tc>
        <w:tc>
          <w:tcPr>
            <w:tcW w:w="2827" w:type="pct"/>
            <w:shd w:val="clear" w:color="auto" w:fill="auto"/>
            <w:vAlign w:val="center"/>
          </w:tcPr>
          <w:p w14:paraId="7EB7E0F9">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通过线上线下组织对参赛团队课堂视频脚本进行审核及更改，不少于3次，对接比赛方案中对课堂视频的拍摄要求，充分考虑参赛团队所属专业特色、课程内容，详细分析参赛团队的脚本内容、拍摄场地、教学设计、教学设备，为参赛团队提供建议。</w:t>
            </w:r>
          </w:p>
          <w:p w14:paraId="54E2EB5B">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2.课堂视频审核与提升服务中，应着重审核指导课堂视频中展现的教学策略、课堂设计、教学活动设计、课堂互动频率、学生课堂参与度、信息化手段应用等方面。</w:t>
            </w:r>
          </w:p>
          <w:p w14:paraId="42A15A72">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3.依据比赛方案中对课堂教学实录、课堂教学片段的要求，对参赛团队提供的视频脚本或视频小样进行逐项对比分析，提出明确的改进建议。</w:t>
            </w:r>
          </w:p>
        </w:tc>
        <w:tc>
          <w:tcPr>
            <w:tcW w:w="326" w:type="pct"/>
            <w:shd w:val="clear" w:color="auto" w:fill="auto"/>
            <w:noWrap/>
            <w:vAlign w:val="center"/>
          </w:tcPr>
          <w:p w14:paraId="137C3C3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291" w:type="pct"/>
            <w:shd w:val="clear" w:color="auto" w:fill="auto"/>
            <w:noWrap/>
            <w:vAlign w:val="center"/>
          </w:tcPr>
          <w:p w14:paraId="27F5862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4A1C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5E9471CB">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3</w:t>
            </w:r>
          </w:p>
        </w:tc>
        <w:tc>
          <w:tcPr>
            <w:tcW w:w="526" w:type="pct"/>
            <w:vMerge w:val="continue"/>
            <w:shd w:val="clear" w:color="auto" w:fill="auto"/>
            <w:vAlign w:val="center"/>
          </w:tcPr>
          <w:p w14:paraId="352F9392">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610" w:type="pct"/>
            <w:shd w:val="clear" w:color="auto" w:fill="auto"/>
            <w:vAlign w:val="center"/>
          </w:tcPr>
          <w:p w14:paraId="03D4A2CF">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视频拍摄与提升</w:t>
            </w:r>
          </w:p>
        </w:tc>
        <w:tc>
          <w:tcPr>
            <w:tcW w:w="2827" w:type="pct"/>
            <w:shd w:val="clear" w:color="auto" w:fill="auto"/>
            <w:vAlign w:val="center"/>
          </w:tcPr>
          <w:p w14:paraId="56C0EA7A">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与教师沟通、根据教师的教学设计商谈参赛课程拍摄细节、明确拍摄内容制作分镜头脚本：</w:t>
            </w:r>
          </w:p>
          <w:p w14:paraId="48A1B86E">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1.拍摄准备</w:t>
            </w:r>
          </w:p>
          <w:p w14:paraId="67AA18E5">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（1）拍摄前由摄像师入场勘察拍摄场地，对接比赛文件、教师拍摄需求，在采购人指定的拍摄地点帮助教师优化、完善拍摄环境，使拍摄场地环境符合比赛文件要求。</w:t>
            </w:r>
          </w:p>
          <w:p w14:paraId="500F2D2D">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（2）摄像师与教学团队充分沟通，帮助教师团队从拍摄角度进行设计，包括场地规划、环境布置、机器设备、人员着装等。</w:t>
            </w:r>
          </w:p>
          <w:p w14:paraId="18E70BCF">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（3）摄像师与教学团队充分沟通帮助教师从技术实现角度进行设计，包括视频时长、教学情境、教学环节设置、教学辅助设备的使用。</w:t>
            </w:r>
          </w:p>
          <w:p w14:paraId="26B8211F">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（4）外景联系：如有外景拍摄，根据视频录制需要，协助团队进行校外场馆的视频拍摄协调，外景拍摄期间协调车辆租赁等。</w:t>
            </w:r>
          </w:p>
          <w:p w14:paraId="210E0F08">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2.视频拍摄</w:t>
            </w:r>
          </w:p>
          <w:p w14:paraId="4FBE4096">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由1名主摄像师、1名副摄像师、1名场记、1名项目经理、1名化妆师组成拍摄团队入场进行拍摄。摄像师负责视频拍摄工作，场记负责记录视频素材、拍摄时间等信息，项目经理负责居中协调并应对可能的突发事件；化妆师负责仪表形象指导和参赛教师视频拍摄前的化妆。</w:t>
            </w:r>
          </w:p>
          <w:p w14:paraId="524A69E8">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（2）提供3台高清摄像机、1台高清彩监、不少于5个无线麦克风对教师课堂教学进行拍摄，保证视频、音频素材质量。根据作品拍摄需要，当平板电脑、话筒等设备数量不足时，进行设备租用。</w:t>
            </w:r>
          </w:p>
          <w:p w14:paraId="248CD651">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（3）拍摄过程中由摄像师、场记对课堂流畅度、声音、对话及时长等全面把控，实现拍摄前的设计效果。技术参数符合省赛要求。</w:t>
            </w:r>
          </w:p>
          <w:p w14:paraId="6DBD9B55">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（4）参赛作品材料包括实际使用的教案、课堂实录视频</w:t>
            </w:r>
            <w:r>
              <w:rPr>
                <w:rFonts w:hint="eastAsia" w:ascii="宋体" w:hAnsi="宋体" w:eastAsia="宋体" w:cs="宋体"/>
                <w:sz w:val="24"/>
                <w:highlight w:val="none"/>
                <w:lang w:val="en-US" w:eastAsia="zh-CN"/>
              </w:rPr>
              <w:t>4</w:t>
            </w:r>
            <w:r>
              <w:rPr>
                <w:rFonts w:hint="eastAsia" w:ascii="宋体" w:hAnsi="宋体" w:eastAsia="宋体" w:cs="宋体"/>
                <w:i w:val="0"/>
                <w:iCs w:val="0"/>
                <w:color w:val="000000"/>
                <w:kern w:val="0"/>
                <w:sz w:val="24"/>
                <w:szCs w:val="24"/>
                <w:highlight w:val="none"/>
                <w:u w:val="none"/>
                <w:lang w:val="en-US" w:eastAsia="zh-CN"/>
              </w:rPr>
              <w:t>段(时间要求符合2025年省赛赛项方案，团队负责人录制1学时（40-50分钟），其他老师录制片段（8-15分钟）)教学实施报告展示视频(须附上6分钟的讲解展示,视频头尾要出现人物)、参赛作品所依据的实际使用的专业人才培养方案和课程标准等。视频录制采用 H.264/AVC 编码格式压缩，动态比特率（码流）不低于 1024Kbps，分辨率设定为1280*720，采用逐行扫描，帧速率为 25 帧/秒。音频采用 AAC 格式压缩，采样率 48KHz，20比特率（码流）128Kbps(恒定)。</w:t>
            </w:r>
          </w:p>
          <w:p w14:paraId="6FFFC1CD">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（5）为保证质量，每段视频应经过路演、彩排的指导，进行3-5次（为期7-10天）拍摄，由主讲教师和拍摄团队人员共同确认成品后拍摄结束。</w:t>
            </w:r>
          </w:p>
          <w:p w14:paraId="0BEA6F62">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（6）具体的拍摄场地要求、视频技术参数要求，需可根据具体的比赛要求文件进行调整。</w:t>
            </w:r>
          </w:p>
          <w:p w14:paraId="57BDDEF4">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3.全部视频文件按照校方要求完成制作。</w:t>
            </w:r>
          </w:p>
        </w:tc>
        <w:tc>
          <w:tcPr>
            <w:tcW w:w="326" w:type="pct"/>
            <w:shd w:val="clear" w:color="auto" w:fill="auto"/>
            <w:noWrap/>
            <w:vAlign w:val="center"/>
          </w:tcPr>
          <w:p w14:paraId="7423DCC0">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291" w:type="pct"/>
            <w:shd w:val="clear" w:color="auto" w:fill="auto"/>
            <w:noWrap/>
            <w:vAlign w:val="center"/>
          </w:tcPr>
          <w:p w14:paraId="30162C4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1CF7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10330B0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4</w:t>
            </w:r>
          </w:p>
        </w:tc>
        <w:tc>
          <w:tcPr>
            <w:tcW w:w="526" w:type="pct"/>
            <w:vMerge w:val="continue"/>
            <w:shd w:val="clear" w:color="auto" w:fill="auto"/>
            <w:vAlign w:val="center"/>
          </w:tcPr>
          <w:p w14:paraId="40FBC94D">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610" w:type="pct"/>
            <w:shd w:val="clear" w:color="auto" w:fill="auto"/>
            <w:vAlign w:val="center"/>
          </w:tcPr>
          <w:p w14:paraId="4BE592FF">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配套拓展资源</w:t>
            </w:r>
          </w:p>
        </w:tc>
        <w:tc>
          <w:tcPr>
            <w:tcW w:w="2827" w:type="pct"/>
            <w:shd w:val="clear" w:color="auto" w:fill="auto"/>
            <w:vAlign w:val="center"/>
          </w:tcPr>
          <w:p w14:paraId="516A54A8">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1.为参赛团队提供切合比赛要求和课程特色的文本模板、与课程相关的参考资源等资源或服务。</w:t>
            </w:r>
          </w:p>
          <w:p w14:paraId="2758D42C">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2.为参赛团队制作切合比赛要求和课程特色的二维动画不少于一个，并根据参赛作品需要进行增加。</w:t>
            </w:r>
          </w:p>
          <w:p w14:paraId="31B671CF">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（1）与教师沟通，根据教师的教学设计商谈动画细节，突出教学重点，突破教学难点，提出专业意见，制定动画脚本方案、场景、角色造型、道具设计，主导整个动画的情节、风格和趋势；</w:t>
            </w:r>
          </w:p>
          <w:p w14:paraId="374F7DDD">
            <w:pPr>
              <w:pStyle w:val="8"/>
              <w:pageBreakBefore w:val="0"/>
              <w:kinsoku/>
              <w:wordWrap/>
              <w:overflowPunct/>
              <w:topLinePunct w:val="0"/>
              <w:autoSpaceDE/>
              <w:autoSpaceDN/>
              <w:bidi w:val="0"/>
              <w:spacing w:line="332" w:lineRule="auto"/>
              <w:ind w:left="0" w:leftChars="0" w:firstLine="0" w:firstLineChars="0"/>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color w:val="auto"/>
                <w:sz w:val="24"/>
                <w:highlight w:val="none"/>
              </w:rPr>
              <w:t>◆</w:t>
            </w:r>
            <w:r>
              <w:rPr>
                <w:rFonts w:hint="eastAsia" w:ascii="宋体" w:hAnsi="宋体" w:eastAsia="宋体" w:cs="宋体"/>
                <w:i w:val="0"/>
                <w:iCs w:val="0"/>
                <w:color w:val="000000"/>
                <w:kern w:val="0"/>
                <w:sz w:val="24"/>
                <w:szCs w:val="24"/>
                <w:highlight w:val="none"/>
                <w:u w:val="none"/>
                <w:lang w:val="en-US" w:eastAsia="zh-CN"/>
              </w:rPr>
              <w:t>（2）提供动画设计工具：基于B/S架构使用，在同一工具内完成脚本创作、分镜创作、分镜提示词、分镜配图、影视项目、预览故事板等动画设计全流程，最终输出动画设计方案。</w:t>
            </w:r>
          </w:p>
          <w:p w14:paraId="071730AC">
            <w:pPr>
              <w:pStyle w:val="8"/>
              <w:pageBreakBefore w:val="0"/>
              <w:kinsoku/>
              <w:wordWrap/>
              <w:overflowPunct/>
              <w:topLinePunct w:val="0"/>
              <w:autoSpaceDE/>
              <w:autoSpaceDN/>
              <w:bidi w:val="0"/>
              <w:spacing w:line="332" w:lineRule="auto"/>
              <w:ind w:left="0" w:leftChars="0" w:firstLine="0" w:firstLineChars="0"/>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1）脚本创作：输入故事关键词，自动生成对应的文字版动画脚本，包括标题页、场景标题、角色列表、动作描述、对话、旁白、镜头指示、音效和配乐指示、过渡效果、特殊效果、注释等；</w:t>
            </w:r>
          </w:p>
          <w:p w14:paraId="616FA1CA">
            <w:pPr>
              <w:pStyle w:val="8"/>
              <w:pageBreakBefore w:val="0"/>
              <w:kinsoku/>
              <w:wordWrap/>
              <w:overflowPunct/>
              <w:topLinePunct w:val="0"/>
              <w:autoSpaceDE/>
              <w:autoSpaceDN/>
              <w:bidi w:val="0"/>
              <w:spacing w:line="332" w:lineRule="auto"/>
              <w:ind w:left="0" w:leftChars="0" w:firstLine="0" w:firstLineChars="0"/>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2）分镜创作：根据动画脚本，自动生成分镜头脚本，分镜头脚本的字段包括场号、镜号、画面、景别、时长、内容、备注、场景、声音、摄像机角度、运镜、摄像机装备等；</w:t>
            </w:r>
          </w:p>
          <w:p w14:paraId="2BD03B81">
            <w:pPr>
              <w:pStyle w:val="8"/>
              <w:pageBreakBefore w:val="0"/>
              <w:kinsoku/>
              <w:wordWrap/>
              <w:overflowPunct/>
              <w:topLinePunct w:val="0"/>
              <w:autoSpaceDE/>
              <w:autoSpaceDN/>
              <w:bidi w:val="0"/>
              <w:spacing w:line="332" w:lineRule="auto"/>
              <w:ind w:left="0" w:leftChars="0" w:firstLine="0" w:firstLineChars="0"/>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3）分镜提示词：根据输入的主题内容自动生成对应的提示词，提示词包含风格、色彩、构图、情感、细节、环境、视角、特殊效果、参考艺术家和需要避免的元素等内容；</w:t>
            </w:r>
          </w:p>
          <w:p w14:paraId="481CD713">
            <w:pPr>
              <w:pStyle w:val="8"/>
              <w:pageBreakBefore w:val="0"/>
              <w:kinsoku/>
              <w:wordWrap/>
              <w:overflowPunct/>
              <w:topLinePunct w:val="0"/>
              <w:autoSpaceDE/>
              <w:autoSpaceDN/>
              <w:bidi w:val="0"/>
              <w:spacing w:line="332" w:lineRule="auto"/>
              <w:ind w:left="0" w:leftChars="0" w:firstLine="0" w:firstLineChars="0"/>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4）分镜配图：输入分镜脚本关键词，自动生成分镜配图，可以预览动画效果；</w:t>
            </w:r>
          </w:p>
          <w:p w14:paraId="205A2AF0">
            <w:pPr>
              <w:pStyle w:val="8"/>
              <w:pageBreakBefore w:val="0"/>
              <w:kinsoku/>
              <w:wordWrap/>
              <w:overflowPunct/>
              <w:topLinePunct w:val="0"/>
              <w:autoSpaceDE/>
              <w:autoSpaceDN/>
              <w:bidi w:val="0"/>
              <w:spacing w:line="332" w:lineRule="auto"/>
              <w:ind w:left="0" w:leftChars="0" w:firstLine="0" w:firstLineChars="0"/>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5）提供完整的分镜模板，包括场号、镜号、景别、时长、内容、备注、场景、声音、摄影机角度、运镜、摄影机装备等，整合上述脚本、图片等资源，生成完整的动画设计方案，提升动画制作效率与效果匹配度。</w:t>
            </w:r>
          </w:p>
          <w:p w14:paraId="3D1E188E">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为参赛团队制作切合比赛要求和课程特色的数字资源三维仿真不少于一个，并根据参赛作品需要进行增加。三维仿真模型可在UE4里搭建博物馆场景，可出现介绍并360°旋转观看，可通过VR眼镜进行交互，可支持AR扫图的方式在手机平板上进行观看。</w:t>
            </w:r>
          </w:p>
          <w:p w14:paraId="769A50EF">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4.根据参赛团队需求制作及美化完成图表不少于12张。</w:t>
            </w:r>
          </w:p>
          <w:p w14:paraId="0EA3BF69">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5.所有配套拓展资源通过光盘、U盘或网盘提交采购人。</w:t>
            </w:r>
          </w:p>
        </w:tc>
        <w:tc>
          <w:tcPr>
            <w:tcW w:w="326" w:type="pct"/>
            <w:shd w:val="clear" w:color="auto" w:fill="auto"/>
            <w:noWrap/>
            <w:vAlign w:val="center"/>
          </w:tcPr>
          <w:p w14:paraId="211AADB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291" w:type="pct"/>
            <w:shd w:val="clear" w:color="auto" w:fill="auto"/>
            <w:noWrap/>
            <w:vAlign w:val="center"/>
          </w:tcPr>
          <w:p w14:paraId="46AF65B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06AB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73E0BF50">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5</w:t>
            </w:r>
          </w:p>
        </w:tc>
        <w:tc>
          <w:tcPr>
            <w:tcW w:w="526" w:type="pct"/>
            <w:vMerge w:val="continue"/>
            <w:shd w:val="clear" w:color="auto" w:fill="auto"/>
            <w:vAlign w:val="center"/>
          </w:tcPr>
          <w:p w14:paraId="60FCB0C0">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610" w:type="pct"/>
            <w:shd w:val="clear" w:color="auto" w:fill="auto"/>
            <w:vAlign w:val="center"/>
          </w:tcPr>
          <w:p w14:paraId="45D4CB84">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参赛文本排版</w:t>
            </w:r>
          </w:p>
        </w:tc>
        <w:tc>
          <w:tcPr>
            <w:tcW w:w="2827" w:type="pct"/>
            <w:shd w:val="clear" w:color="auto" w:fill="auto"/>
            <w:vAlign w:val="center"/>
          </w:tcPr>
          <w:p w14:paraId="654E73EF">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1.基于教师提供的文档内容，为参赛团队的《专业人才培养方案》《教案》《课程标准》《教学实施报告》《教材选用程序》5份文档提供排版、美化服务。所有材料均要求比赛方案的要求。</w:t>
            </w:r>
          </w:p>
          <w:p w14:paraId="3D35E716">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五份材料内容由教师提供，技术人员根据教师需求、内容进行美化设计和排版。课件美化时，素材选用通用子库，图像、图形应清晰，图形要符合国家相关绘制标准；文中所用计量符号应符合国家相关标准。每个课件设计整齐统一，多个页面均有的相同元素，如背景、按钮、标题、页码等，可以使用幻灯片母版来实现。使用Windows系统默认字体，不使用仿宋、细圆等过细字体；文字要醒目，避免使用与背景色相近的字体颜色；如有特殊字体，应转化为图形文件。恰当使用组合：某些插图中位置相对固定的文本框、数学公式以及图片等应采用组合方式，避免产生相对位移。</w:t>
            </w:r>
          </w:p>
        </w:tc>
        <w:tc>
          <w:tcPr>
            <w:tcW w:w="326" w:type="pct"/>
            <w:shd w:val="clear" w:color="auto" w:fill="auto"/>
            <w:noWrap/>
            <w:vAlign w:val="center"/>
          </w:tcPr>
          <w:p w14:paraId="0D82C6F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291" w:type="pct"/>
            <w:shd w:val="clear" w:color="auto" w:fill="auto"/>
            <w:noWrap/>
            <w:vAlign w:val="center"/>
          </w:tcPr>
          <w:p w14:paraId="412D569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1143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7ED059AB">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6</w:t>
            </w:r>
          </w:p>
        </w:tc>
        <w:tc>
          <w:tcPr>
            <w:tcW w:w="526" w:type="pct"/>
            <w:vMerge w:val="continue"/>
            <w:shd w:val="clear" w:color="auto" w:fill="auto"/>
            <w:vAlign w:val="center"/>
          </w:tcPr>
          <w:p w14:paraId="795BFDF2">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610" w:type="pct"/>
            <w:shd w:val="clear" w:color="auto" w:fill="auto"/>
            <w:vAlign w:val="center"/>
          </w:tcPr>
          <w:p w14:paraId="095F095D">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课件美化</w:t>
            </w:r>
          </w:p>
        </w:tc>
        <w:tc>
          <w:tcPr>
            <w:tcW w:w="2827" w:type="pct"/>
            <w:shd w:val="clear" w:color="auto" w:fill="auto"/>
            <w:vAlign w:val="center"/>
          </w:tcPr>
          <w:p w14:paraId="2E8414C8">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（1）PPT模板不少于1套：依据专业特点，配合教学环节，设计PPT模板视觉效果，包括首页、内页设计；要求版式设计独特、新颖、颜色统一，具有专业特色；</w:t>
            </w:r>
          </w:p>
          <w:p w14:paraId="3D238338">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（2）教学实施报告PPT文件1个；</w:t>
            </w:r>
          </w:p>
          <w:p w14:paraId="723E8986">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（3）现场模拟PPT文件不少于10个，配套教学环节展示，便于老师填充教学内容。固定设计师完成对老师比赛作品的定制设计，大赛期间全程支持。</w:t>
            </w:r>
          </w:p>
          <w:p w14:paraId="5CDEE50D">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1）根据大赛要求，结合专业特点，配合课程环节，完成PPT每页的版式设计，内容制作。</w:t>
            </w:r>
          </w:p>
          <w:p w14:paraId="04028486">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2）每个ppt页数10-20页，内容包括：动画、视频、音频插入，ppt子页面美化调整、动画处理、插图美化处理、小元件的美化处理等。</w:t>
            </w:r>
          </w:p>
          <w:p w14:paraId="417C5CA5">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3）支持PPT内容调整无限次修改。</w:t>
            </w:r>
          </w:p>
          <w:p w14:paraId="079C7505">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3.文本及课件内容应符合我国法律法规，尊重各民族的风俗习惯，不存在意识形态问题，版权不存在争议。</w:t>
            </w:r>
          </w:p>
          <w:p w14:paraId="131956CA">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4.文本和课件需经参赛团队认可。</w:t>
            </w:r>
          </w:p>
        </w:tc>
        <w:tc>
          <w:tcPr>
            <w:tcW w:w="326" w:type="pct"/>
            <w:shd w:val="clear" w:color="auto" w:fill="auto"/>
            <w:noWrap/>
            <w:vAlign w:val="center"/>
          </w:tcPr>
          <w:p w14:paraId="1C8D1E1D">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291" w:type="pct"/>
            <w:shd w:val="clear" w:color="auto" w:fill="auto"/>
            <w:noWrap/>
            <w:vAlign w:val="center"/>
          </w:tcPr>
          <w:p w14:paraId="5502CEC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54A8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12498A1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7</w:t>
            </w:r>
          </w:p>
        </w:tc>
        <w:tc>
          <w:tcPr>
            <w:tcW w:w="526" w:type="pct"/>
            <w:vMerge w:val="continue"/>
            <w:shd w:val="clear" w:color="auto" w:fill="auto"/>
            <w:vAlign w:val="center"/>
          </w:tcPr>
          <w:p w14:paraId="36FDFEDD">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610" w:type="pct"/>
            <w:shd w:val="clear" w:color="auto" w:fill="auto"/>
            <w:vAlign w:val="center"/>
          </w:tcPr>
          <w:p w14:paraId="73EEE654">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在线学习平台</w:t>
            </w:r>
          </w:p>
        </w:tc>
        <w:tc>
          <w:tcPr>
            <w:tcW w:w="2827" w:type="pct"/>
            <w:shd w:val="clear" w:color="auto" w:fill="auto"/>
            <w:vAlign w:val="center"/>
          </w:tcPr>
          <w:p w14:paraId="2A2DF8DD">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 xml:space="preserve">依据大赛要求，结合专业特点，设计符合专业特色的平台界面效果。 </w:t>
            </w:r>
          </w:p>
          <w:p w14:paraId="31F1B2D2">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 xml:space="preserve">1.内容要求：功能模块完善，色彩美观，重点模块突出，友好的用户体验界面设计包括平台登陆页、首页、二级页面2-3个。      </w:t>
            </w:r>
          </w:p>
          <w:p w14:paraId="20DBA8E3">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2.程序实现HTML5静态页面功能，满足大赛需要页面程序功能。</w:t>
            </w:r>
          </w:p>
          <w:p w14:paraId="119F2AFC">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rPr>
              <w:t>3.支持</w:t>
            </w:r>
            <w:r>
              <w:rPr>
                <w:rFonts w:hint="eastAsia" w:ascii="宋体" w:hAnsi="宋体" w:eastAsia="宋体" w:cs="宋体"/>
                <w:sz w:val="24"/>
                <w:szCs w:val="24"/>
                <w:highlight w:val="none"/>
                <w:lang w:val="en-US" w:eastAsia="zh-CN"/>
              </w:rPr>
              <w:t>AI智能老师，可进行问答互动。</w:t>
            </w:r>
          </w:p>
          <w:p w14:paraId="2C7A384C">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color w:val="auto"/>
                <w:sz w:val="24"/>
                <w:highlight w:val="none"/>
              </w:rPr>
              <w:t>◆</w:t>
            </w:r>
            <w:r>
              <w:rPr>
                <w:rFonts w:hint="eastAsia" w:ascii="宋体" w:hAnsi="宋体" w:eastAsia="宋体" w:cs="宋体"/>
                <w:i w:val="0"/>
                <w:iCs w:val="0"/>
                <w:color w:val="000000"/>
                <w:kern w:val="0"/>
                <w:sz w:val="24"/>
                <w:szCs w:val="24"/>
                <w:highlight w:val="none"/>
                <w:u w:val="none"/>
                <w:lang w:val="en-US" w:eastAsia="zh-CN"/>
              </w:rPr>
              <w:t>4.因项目涉及老师作品材料著作权，需要提供数据保护服务：</w:t>
            </w:r>
          </w:p>
          <w:p w14:paraId="7AC1B1A3">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1）能够构建立体化、全方位信息安全防护平台，禁止一切USB存储设备连接电脑拷贝资料，还能够灵活管控光驱、红外、蓝牙、随身wifi、聊天软件、网盘、邮箱、注册表，应用程序等不少于50项管理项目；</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2）支持通过快捷键快速唤出软件；</w:t>
            </w:r>
          </w:p>
          <w:p w14:paraId="0E79AC8E">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3）系统支持网络泄密行为管理；</w:t>
            </w:r>
          </w:p>
          <w:p w14:paraId="2CD2D5FF">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① 支持聊天软件泄密管理。可以禁止聊天软件功能，至少包含QQ、TIM、微信、RTX、钉钉、Skype、企业微信等；</w:t>
            </w:r>
          </w:p>
          <w:p w14:paraId="0F489F12">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② 支持邮箱外传文件管理。可以设置禁止登录一切邮箱、允许登录特定邮箱、只允许收邮件禁止发送邮件等；</w:t>
            </w:r>
          </w:p>
          <w:p w14:paraId="19E0507B">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③ 支持网盘向外传文件管理。可以设置禁止使用一切网盘、云盘，也可以设置使用特定网盘、云盘等；</w:t>
            </w:r>
          </w:p>
          <w:p w14:paraId="455D4C60">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④ 支持程序黑白名单管理。可以设置禁止运行的程序列表，或者设置只允许运行的程序列表；支持网页黑白名单管理，可以设置禁止打开的网址名单，或者设置只允许打开的网址名单</w:t>
            </w:r>
          </w:p>
          <w:p w14:paraId="2E862188">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⑤ 支持设置禁止使用FTP上传文件、禁止手机和电脑通过网络互传文件等；</w:t>
            </w:r>
          </w:p>
          <w:p w14:paraId="2F532108">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⑥支持禁用共享传送文件管理，支持禁止访问网页。</w:t>
            </w:r>
          </w:p>
          <w:p w14:paraId="2CE78149">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4）支持智能设备控制，可以设置禁用手机、PAD等便携设备，手机助手，有限网卡，无线网卡，随身WiFi。</w:t>
            </w:r>
          </w:p>
          <w:p w14:paraId="29FEF711">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5）支持端口控制，支持控制包括禁用蓝牙、禁用红外、禁用串口/并口、禁用1394端口、禁用PCMCIA在内的6种端口。</w:t>
            </w:r>
          </w:p>
          <w:p w14:paraId="49FDEBC5">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rPr>
              <w:t>6）支持操作系统控制，支持包括禁用注册表、禁用设备管理器、屏蔽Ctrl+Alt+A键等在内的24种模块。</w:t>
            </w:r>
          </w:p>
        </w:tc>
        <w:tc>
          <w:tcPr>
            <w:tcW w:w="326" w:type="pct"/>
            <w:shd w:val="clear" w:color="auto" w:fill="auto"/>
            <w:noWrap/>
            <w:vAlign w:val="center"/>
          </w:tcPr>
          <w:p w14:paraId="2F065F2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291" w:type="pct"/>
            <w:shd w:val="clear" w:color="auto" w:fill="auto"/>
            <w:noWrap/>
            <w:vAlign w:val="center"/>
          </w:tcPr>
          <w:p w14:paraId="5EFD416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r w14:paraId="2581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45B10B84">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kern w:val="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rPr>
              <w:t>8</w:t>
            </w:r>
          </w:p>
        </w:tc>
        <w:tc>
          <w:tcPr>
            <w:tcW w:w="526" w:type="pct"/>
            <w:vMerge w:val="continue"/>
            <w:shd w:val="clear" w:color="auto" w:fill="auto"/>
            <w:vAlign w:val="center"/>
          </w:tcPr>
          <w:p w14:paraId="61841933">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eastAsia="zh-CN"/>
              </w:rPr>
            </w:pPr>
          </w:p>
        </w:tc>
        <w:tc>
          <w:tcPr>
            <w:tcW w:w="610" w:type="pct"/>
            <w:shd w:val="clear" w:color="auto" w:fill="auto"/>
            <w:vAlign w:val="center"/>
          </w:tcPr>
          <w:p w14:paraId="31D548BE">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模型评价系统</w:t>
            </w:r>
          </w:p>
        </w:tc>
        <w:tc>
          <w:tcPr>
            <w:tcW w:w="2827" w:type="pct"/>
            <w:shd w:val="clear" w:color="auto" w:fill="auto"/>
            <w:vAlign w:val="center"/>
          </w:tcPr>
          <w:p w14:paraId="14740745">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支持模型导入后，自动找出模型中比例问题、布线问题、UV拉伸问题、贴图问题，量化后给予评分。</w:t>
            </w:r>
          </w:p>
        </w:tc>
        <w:tc>
          <w:tcPr>
            <w:tcW w:w="326" w:type="pct"/>
            <w:shd w:val="clear" w:color="auto" w:fill="auto"/>
            <w:noWrap/>
            <w:vAlign w:val="center"/>
          </w:tcPr>
          <w:p w14:paraId="38AE2217">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291" w:type="pct"/>
            <w:shd w:val="clear" w:color="auto" w:fill="auto"/>
            <w:noWrap/>
            <w:vAlign w:val="center"/>
          </w:tcPr>
          <w:p w14:paraId="2EA36CA7">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bl>
    <w:p w14:paraId="54012367">
      <w:pPr>
        <w:numPr>
          <w:ilvl w:val="0"/>
          <w:numId w:val="0"/>
        </w:numPr>
        <w:rPr>
          <w:rFonts w:hint="default"/>
          <w:highlight w:val="none"/>
          <w:lang w:val="en-US" w:eastAsia="zh-CN"/>
        </w:rPr>
      </w:pPr>
    </w:p>
    <w:p w14:paraId="7382636D">
      <w:pPr>
        <w:pStyle w:val="6"/>
        <w:pageBreakBefore w:val="0"/>
        <w:kinsoku/>
        <w:wordWrap/>
        <w:overflowPunct/>
        <w:topLinePunct w:val="0"/>
        <w:autoSpaceDE/>
        <w:autoSpaceDN/>
        <w:bidi w:val="0"/>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 精品课制作服务</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8"/>
        <w:gridCol w:w="892"/>
        <w:gridCol w:w="1035"/>
        <w:gridCol w:w="4805"/>
        <w:gridCol w:w="556"/>
        <w:gridCol w:w="496"/>
      </w:tblGrid>
      <w:tr w14:paraId="38D3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4BFDC6E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1</w:t>
            </w:r>
          </w:p>
        </w:tc>
        <w:tc>
          <w:tcPr>
            <w:tcW w:w="525" w:type="pct"/>
            <w:vMerge w:val="restart"/>
            <w:shd w:val="clear" w:color="auto" w:fill="auto"/>
            <w:vAlign w:val="center"/>
          </w:tcPr>
          <w:p w14:paraId="12B849B1">
            <w:pPr>
              <w:pageBreakBefore w:val="0"/>
              <w:widowControl/>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数学专业精品课制作服务</w:t>
            </w:r>
          </w:p>
        </w:tc>
        <w:tc>
          <w:tcPr>
            <w:tcW w:w="609" w:type="pct"/>
            <w:shd w:val="clear" w:color="auto" w:fill="auto"/>
            <w:vAlign w:val="center"/>
          </w:tcPr>
          <w:p w14:paraId="395DFC33">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PPT模板设计</w:t>
            </w:r>
          </w:p>
        </w:tc>
        <w:tc>
          <w:tcPr>
            <w:tcW w:w="2828" w:type="pct"/>
            <w:shd w:val="clear" w:color="auto" w:fill="auto"/>
            <w:vAlign w:val="center"/>
          </w:tcPr>
          <w:p w14:paraId="2F367889">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设计 ppt 模板视觉效果，要求版式设计独特、新颖、颜色统一。</w:t>
            </w:r>
          </w:p>
        </w:tc>
        <w:tc>
          <w:tcPr>
            <w:tcW w:w="327" w:type="pct"/>
            <w:shd w:val="clear" w:color="auto" w:fill="auto"/>
            <w:noWrap/>
            <w:vAlign w:val="center"/>
          </w:tcPr>
          <w:p w14:paraId="1259EADD">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292" w:type="pct"/>
            <w:shd w:val="clear" w:color="auto" w:fill="auto"/>
            <w:noWrap/>
            <w:vAlign w:val="center"/>
          </w:tcPr>
          <w:p w14:paraId="52DA1DA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套</w:t>
            </w:r>
          </w:p>
        </w:tc>
      </w:tr>
      <w:tr w14:paraId="3FD3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14D5C4A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2</w:t>
            </w:r>
          </w:p>
        </w:tc>
        <w:tc>
          <w:tcPr>
            <w:tcW w:w="525" w:type="pct"/>
            <w:vMerge w:val="continue"/>
            <w:shd w:val="clear" w:color="auto" w:fill="auto"/>
            <w:vAlign w:val="center"/>
          </w:tcPr>
          <w:p w14:paraId="06E9ED7B">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609" w:type="pct"/>
            <w:shd w:val="clear" w:color="auto" w:fill="auto"/>
            <w:vAlign w:val="center"/>
          </w:tcPr>
          <w:p w14:paraId="2EFFEEF5">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PPT制作</w:t>
            </w:r>
          </w:p>
        </w:tc>
        <w:tc>
          <w:tcPr>
            <w:tcW w:w="2828" w:type="pct"/>
            <w:shd w:val="clear" w:color="auto" w:fill="auto"/>
            <w:vAlign w:val="center"/>
          </w:tcPr>
          <w:p w14:paraId="301368D9">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包括：动画、视频、音频插入，ppt 子页面美化调整、动画处理、插图美化处理、小元件的美化处理。</w:t>
            </w:r>
          </w:p>
        </w:tc>
        <w:tc>
          <w:tcPr>
            <w:tcW w:w="327" w:type="pct"/>
            <w:shd w:val="clear" w:color="auto" w:fill="auto"/>
            <w:noWrap/>
            <w:vAlign w:val="center"/>
          </w:tcPr>
          <w:p w14:paraId="1383F64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5</w:t>
            </w:r>
          </w:p>
        </w:tc>
        <w:tc>
          <w:tcPr>
            <w:tcW w:w="292" w:type="pct"/>
            <w:shd w:val="clear" w:color="auto" w:fill="auto"/>
            <w:noWrap/>
            <w:vAlign w:val="center"/>
          </w:tcPr>
          <w:p w14:paraId="490E676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套</w:t>
            </w:r>
          </w:p>
        </w:tc>
      </w:tr>
      <w:tr w14:paraId="14E0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46AFC23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3</w:t>
            </w:r>
          </w:p>
        </w:tc>
        <w:tc>
          <w:tcPr>
            <w:tcW w:w="525" w:type="pct"/>
            <w:vMerge w:val="continue"/>
            <w:shd w:val="clear" w:color="auto" w:fill="auto"/>
            <w:vAlign w:val="center"/>
          </w:tcPr>
          <w:p w14:paraId="5299CC91">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609" w:type="pct"/>
            <w:shd w:val="clear" w:color="auto" w:fill="auto"/>
            <w:vAlign w:val="center"/>
          </w:tcPr>
          <w:p w14:paraId="057634B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课程拍摄（精品课程）</w:t>
            </w:r>
          </w:p>
        </w:tc>
        <w:tc>
          <w:tcPr>
            <w:tcW w:w="2828" w:type="pct"/>
            <w:shd w:val="clear" w:color="auto" w:fill="auto"/>
            <w:vAlign w:val="center"/>
          </w:tcPr>
          <w:p w14:paraId="3D3B47FB">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1.与教师沟通、根据教师的教学设计商谈精品课拍摄细节、明确拍摄内容，包括场地规划、环境布置、机器设备、人员着装等。</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2.提供脚本设计，根据策划案由专业编剧制作课程分镜头脚本。</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3.双机位专业摄像师拍摄视频（服务商需免费提供相关设备）。</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4.拍摄过程中由摄像师、场记对课堂流畅度、声音、对话及时长等全面把控，实现拍摄前的设计效果。每个课程 5-10 分钟。</w:t>
            </w:r>
          </w:p>
        </w:tc>
        <w:tc>
          <w:tcPr>
            <w:tcW w:w="327" w:type="pct"/>
            <w:shd w:val="clear" w:color="auto" w:fill="auto"/>
            <w:noWrap/>
            <w:vAlign w:val="center"/>
          </w:tcPr>
          <w:p w14:paraId="4251C1F3">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292" w:type="pct"/>
            <w:shd w:val="clear" w:color="auto" w:fill="auto"/>
            <w:noWrap/>
            <w:vAlign w:val="center"/>
          </w:tcPr>
          <w:p w14:paraId="5F18B138">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rPr>
              <w:t>节</w:t>
            </w:r>
          </w:p>
        </w:tc>
      </w:tr>
      <w:tr w14:paraId="709C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736EA4A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4</w:t>
            </w:r>
          </w:p>
        </w:tc>
        <w:tc>
          <w:tcPr>
            <w:tcW w:w="525" w:type="pct"/>
            <w:vMerge w:val="continue"/>
            <w:shd w:val="clear" w:color="auto" w:fill="auto"/>
            <w:vAlign w:val="center"/>
          </w:tcPr>
          <w:p w14:paraId="7CA676DC">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609" w:type="pct"/>
            <w:shd w:val="clear" w:color="auto" w:fill="auto"/>
            <w:vAlign w:val="center"/>
          </w:tcPr>
          <w:p w14:paraId="2175FA27">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后期剪辑（精品课程）</w:t>
            </w:r>
          </w:p>
        </w:tc>
        <w:tc>
          <w:tcPr>
            <w:tcW w:w="2828" w:type="pct"/>
            <w:shd w:val="clear" w:color="auto" w:fill="auto"/>
            <w:vAlign w:val="center"/>
          </w:tcPr>
          <w:p w14:paraId="4989287C">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1.精品课片头的栏目包装设计与制作。</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2.完成与教师沟通、确认课程呈现内容及剪辑需求，以及最终视频的制式，码率等，剪辑过程要注意节奏感（并不仅仅是音乐节奏，还有整个片子的视觉节奏），镜头切换方式是否合适，色彩亮度是否统一或达到想要的效果，字幕字体与大小是否符合需求等进行完整沟通，最终完成剪辑/配乐等。</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3.把拍摄视频、动画、教学课件等处理后进行合成，并处理优化软件结构使其可以在平台播放。</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4.服务人员：至少包含影视编辑设计师（具备资质证书）、高级影视后期处理工程师（具备资质证书）。</w:t>
            </w:r>
          </w:p>
        </w:tc>
        <w:tc>
          <w:tcPr>
            <w:tcW w:w="327" w:type="pct"/>
            <w:shd w:val="clear" w:color="auto" w:fill="auto"/>
            <w:noWrap/>
            <w:vAlign w:val="center"/>
          </w:tcPr>
          <w:p w14:paraId="719832A0">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5</w:t>
            </w:r>
          </w:p>
        </w:tc>
        <w:tc>
          <w:tcPr>
            <w:tcW w:w="292" w:type="pct"/>
            <w:shd w:val="clear" w:color="auto" w:fill="auto"/>
            <w:noWrap/>
            <w:vAlign w:val="center"/>
          </w:tcPr>
          <w:p w14:paraId="43CFC67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套</w:t>
            </w:r>
          </w:p>
        </w:tc>
      </w:tr>
      <w:tr w14:paraId="015B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168768A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5</w:t>
            </w:r>
          </w:p>
        </w:tc>
        <w:tc>
          <w:tcPr>
            <w:tcW w:w="525" w:type="pct"/>
            <w:vMerge w:val="continue"/>
            <w:shd w:val="clear" w:color="auto" w:fill="auto"/>
            <w:vAlign w:val="center"/>
          </w:tcPr>
          <w:p w14:paraId="7656B477">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609" w:type="pct"/>
            <w:shd w:val="clear" w:color="auto" w:fill="auto"/>
            <w:vAlign w:val="center"/>
          </w:tcPr>
          <w:p w14:paraId="2213453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课程拍摄（试卷真题讲解）</w:t>
            </w:r>
          </w:p>
        </w:tc>
        <w:tc>
          <w:tcPr>
            <w:tcW w:w="2828" w:type="pct"/>
            <w:shd w:val="clear" w:color="auto" w:fill="auto"/>
            <w:vAlign w:val="center"/>
          </w:tcPr>
          <w:p w14:paraId="3B7A3517">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拍摄5套试卷真题讲解视频，视频采用H.264/AVC编码格式压缩；动态码流的码率不低于1024Kbps；分辨率设定为1280×720；帧速率为25帧/秒。音频采用AAC格式压缩；采样率48KHz；比特率（码流）128Kbps。拍摄过程中由摄像师、场记对课堂流畅度、声音、对话及时长等全面把控，实现拍摄前的设计效果。</w:t>
            </w:r>
          </w:p>
        </w:tc>
        <w:tc>
          <w:tcPr>
            <w:tcW w:w="327" w:type="pct"/>
            <w:shd w:val="clear" w:color="auto" w:fill="auto"/>
            <w:noWrap/>
            <w:vAlign w:val="center"/>
          </w:tcPr>
          <w:p w14:paraId="18E4A33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292" w:type="pct"/>
            <w:shd w:val="clear" w:color="auto" w:fill="auto"/>
            <w:noWrap/>
            <w:vAlign w:val="center"/>
          </w:tcPr>
          <w:p w14:paraId="6917B5F0">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套</w:t>
            </w:r>
          </w:p>
        </w:tc>
      </w:tr>
      <w:tr w14:paraId="014D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58CAA94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6</w:t>
            </w:r>
          </w:p>
        </w:tc>
        <w:tc>
          <w:tcPr>
            <w:tcW w:w="525" w:type="pct"/>
            <w:vMerge w:val="continue"/>
            <w:shd w:val="clear" w:color="auto" w:fill="auto"/>
            <w:vAlign w:val="center"/>
          </w:tcPr>
          <w:p w14:paraId="23DCCBAF">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rPr>
            </w:pPr>
          </w:p>
        </w:tc>
        <w:tc>
          <w:tcPr>
            <w:tcW w:w="609" w:type="pct"/>
            <w:shd w:val="clear" w:color="auto" w:fill="auto"/>
            <w:vAlign w:val="center"/>
          </w:tcPr>
          <w:p w14:paraId="15AD6E5F">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后期剪辑（试卷真题讲解）</w:t>
            </w:r>
          </w:p>
        </w:tc>
        <w:tc>
          <w:tcPr>
            <w:tcW w:w="2828" w:type="pct"/>
            <w:shd w:val="clear" w:color="auto" w:fill="auto"/>
            <w:vAlign w:val="center"/>
          </w:tcPr>
          <w:p w14:paraId="3C2D5D1B">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完成与教师沟通、确认试卷真题讲解视频拍摄呈现内容及剪辑需求，以及最终视频的制式等，剪辑过程要注意节奏感，镜头切换方式是否合适，色彩亮度是否统一或达到想要的效果，字幕字体与大小是否符合需求等进行完整沟通，最终完成剪辑/配乐等。</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2.把拍摄视频进行后期处理，并处理优化软件结构使其可以在平台播放。</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3.服务人员：至少包含影视编辑设计师（具备资质证书）、高级影视后期处理工程师（具备资质证书）。</w:t>
            </w:r>
          </w:p>
        </w:tc>
        <w:tc>
          <w:tcPr>
            <w:tcW w:w="327" w:type="pct"/>
            <w:shd w:val="clear" w:color="auto" w:fill="auto"/>
            <w:noWrap/>
            <w:vAlign w:val="center"/>
          </w:tcPr>
          <w:p w14:paraId="3B9BA51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292" w:type="pct"/>
            <w:shd w:val="clear" w:color="auto" w:fill="auto"/>
            <w:noWrap/>
            <w:vAlign w:val="center"/>
          </w:tcPr>
          <w:p w14:paraId="171A60A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套</w:t>
            </w:r>
          </w:p>
        </w:tc>
      </w:tr>
      <w:tr w14:paraId="4656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17" w:type="pct"/>
            <w:shd w:val="clear" w:color="auto" w:fill="auto"/>
            <w:noWrap/>
            <w:vAlign w:val="center"/>
          </w:tcPr>
          <w:p w14:paraId="0E431DDF">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7</w:t>
            </w:r>
          </w:p>
        </w:tc>
        <w:tc>
          <w:tcPr>
            <w:tcW w:w="525" w:type="pct"/>
            <w:vMerge w:val="continue"/>
            <w:shd w:val="clear" w:color="auto" w:fill="auto"/>
            <w:vAlign w:val="center"/>
          </w:tcPr>
          <w:p w14:paraId="6EABC53D">
            <w:pPr>
              <w:pageBreakBefore w:val="0"/>
              <w:kinsoku/>
              <w:wordWrap/>
              <w:overflowPunct/>
              <w:topLinePunct w:val="0"/>
              <w:autoSpaceDE/>
              <w:autoSpaceDN/>
              <w:bidi w:val="0"/>
              <w:spacing w:line="332" w:lineRule="auto"/>
              <w:jc w:val="center"/>
              <w:rPr>
                <w:rFonts w:hint="eastAsia" w:ascii="宋体" w:hAnsi="宋体" w:eastAsia="宋体" w:cs="宋体"/>
                <w:i w:val="0"/>
                <w:iCs w:val="0"/>
                <w:color w:val="000000"/>
                <w:sz w:val="24"/>
                <w:szCs w:val="24"/>
                <w:highlight w:val="none"/>
                <w:u w:val="none"/>
                <w:lang w:val="en-US"/>
              </w:rPr>
            </w:pPr>
          </w:p>
        </w:tc>
        <w:tc>
          <w:tcPr>
            <w:tcW w:w="609" w:type="pct"/>
            <w:shd w:val="clear" w:color="auto" w:fill="auto"/>
            <w:vAlign w:val="center"/>
          </w:tcPr>
          <w:p w14:paraId="1E84601C">
            <w:pPr>
              <w:pStyle w:val="2"/>
              <w:spacing w:line="332" w:lineRule="auto"/>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精品课录播设备</w:t>
            </w:r>
          </w:p>
        </w:tc>
        <w:tc>
          <w:tcPr>
            <w:tcW w:w="2828" w:type="pct"/>
            <w:shd w:val="clear" w:color="auto" w:fill="auto"/>
            <w:vAlign w:val="center"/>
          </w:tcPr>
          <w:p w14:paraId="380B46C4">
            <w:pPr>
              <w:pageBreakBefore w:val="0"/>
              <w:numPr>
                <w:ilvl w:val="0"/>
                <w:numId w:val="4"/>
              </w:numPr>
              <w:kinsoku/>
              <w:wordWrap/>
              <w:overflowPunct/>
              <w:topLinePunct w:val="0"/>
              <w:autoSpaceDE/>
              <w:autoSpaceDN/>
              <w:bidi w:val="0"/>
              <w:spacing w:line="332" w:lineRule="auto"/>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便携录播一体机</w:t>
            </w:r>
          </w:p>
          <w:p w14:paraId="3B1591D4">
            <w:pPr>
              <w:pageBreakBefore w:val="0"/>
              <w:numPr>
                <w:ilvl w:val="-1"/>
                <w:numId w:val="0"/>
              </w:numPr>
              <w:kinsoku/>
              <w:wordWrap/>
              <w:overflowPunct/>
              <w:topLinePunct w:val="0"/>
              <w:autoSpaceDE/>
              <w:autoSpaceDN/>
              <w:bidi w:val="0"/>
              <w:spacing w:line="332" w:lineRule="auto"/>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1.采用便携式机箱，内嵌高清监视器。</w:t>
            </w:r>
          </w:p>
          <w:p w14:paraId="7573C24F">
            <w:pPr>
              <w:pageBreakBefore w:val="0"/>
              <w:numPr>
                <w:ilvl w:val="-1"/>
                <w:numId w:val="0"/>
              </w:numPr>
              <w:kinsoku/>
              <w:wordWrap/>
              <w:overflowPunct/>
              <w:topLinePunct w:val="0"/>
              <w:autoSpaceDE/>
              <w:autoSpaceDN/>
              <w:bidi w:val="0"/>
              <w:spacing w:line="332" w:lineRule="auto"/>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2.支持多个摄像机、视频支持所有流行格式，包括AVI、MP4、H264、MPEG-2、WMV、MOV和MXF、图片、NDI源、视频流。</w:t>
            </w:r>
          </w:p>
          <w:p w14:paraId="4EE526C5">
            <w:pPr>
              <w:pageBreakBefore w:val="0"/>
              <w:numPr>
                <w:ilvl w:val="-1"/>
                <w:numId w:val="0"/>
              </w:numPr>
              <w:kinsoku/>
              <w:wordWrap/>
              <w:overflowPunct/>
              <w:topLinePunct w:val="0"/>
              <w:autoSpaceDE/>
              <w:autoSpaceDN/>
              <w:bidi w:val="0"/>
              <w:spacing w:line="332" w:lineRule="auto"/>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3.支持4路字幕叠加效果,可对接外部实时字幕数据同步支持Json、Excel、Google Sheets、Rss、TXT、XML格式。</w:t>
            </w:r>
          </w:p>
          <w:p w14:paraId="0C465502">
            <w:pPr>
              <w:pageBreakBefore w:val="0"/>
              <w:numPr>
                <w:ilvl w:val="-1"/>
                <w:numId w:val="0"/>
              </w:numPr>
              <w:kinsoku/>
              <w:wordWrap/>
              <w:overflowPunct/>
              <w:topLinePunct w:val="0"/>
              <w:autoSpaceDE/>
              <w:autoSpaceDN/>
              <w:bidi w:val="0"/>
              <w:spacing w:line="332" w:lineRule="auto"/>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4.支持网络浏览器输入 原生支持浏览器音频和HTML 5 视频播放</w:t>
            </w:r>
          </w:p>
          <w:p w14:paraId="382A933E">
            <w:pPr>
              <w:pStyle w:val="2"/>
              <w:numPr>
                <w:ilvl w:val="0"/>
                <w:numId w:val="4"/>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便携导播系统</w:t>
            </w:r>
          </w:p>
          <w:p w14:paraId="49B7593A">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1.系统内嵌于录播一体机，集有线、无线音视频信号采集、编码录制、直播、点播、互动、导播、存储等功能与一体。</w:t>
            </w:r>
          </w:p>
          <w:p w14:paraId="1BDC6179">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2.内置音频，混音器可让您轻松跟踪所有音频源，并包括静音、跟随（自动混音）和延迟任何源的能力。</w:t>
            </w:r>
          </w:p>
          <w:p w14:paraId="7BB768E0">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3.峰值显示还包括一个VU 表，以确保每个输入电平都可以广播。</w:t>
            </w:r>
          </w:p>
          <w:p w14:paraId="030C215B">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4.使用内置均衡器、压缩器和噪声门效果微调每个音频源。</w:t>
            </w:r>
          </w:p>
          <w:p w14:paraId="1EE7B107">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5.实时颜色校正、去隔行、锐化、缩放、旋转、平移和裁剪任何输入。</w:t>
            </w:r>
          </w:p>
          <w:p w14:paraId="0353B357">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6.使用 NDI 在本地网络中传输您的输出、摄像机、音频和图形。</w:t>
            </w:r>
          </w:p>
          <w:p w14:paraId="1A0E2DC3">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10.使用Surface、iPad、iPhone、Android 或其他使用内置 Web 界面的触摸屏设备上的vMix Web 控制器远程控制。</w:t>
            </w:r>
          </w:p>
          <w:p w14:paraId="7126C044">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7.每个输入的专业色彩校正，提升/伽玛/增益调/饱和度控制，带有行业标准色轮和色条，导入/导出色彩校正预设以在其他作品中使用，预览和输入设置窗口中的新波形和矢量示波器监视器，选择，RGB 图标以从各种显示选项中进行选择，从 Waveform RGB、Waveform Y、Parade RGB、Vectorscope 和拆分（并排）布局选项中进行选择。</w:t>
            </w:r>
          </w:p>
          <w:p w14:paraId="0BC62900">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8.支持不少于4 路的信号叠加，可叠加外部输入信号和内置媒体信号；叠加的信号可进行位移、旋转、缩放等独立设置，可实现直接叠加，二维转场叠加和三维动态转场叠加效果；</w:t>
            </w:r>
          </w:p>
          <w:p w14:paraId="338D3138">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13.内置音频混合处理功能，可对输入的外部音频进行延时处理，保证与视频同步；音频处理带有EQ 音质补偿和压/限调节功能；</w:t>
            </w:r>
          </w:p>
          <w:p w14:paraId="64773455">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9.支持系统全局的宏命令功能，可自行创建宏命令，自定义指定宏命令执行的快捷键，实现一键操作触发，支持第三方外设等多种触发方式</w:t>
            </w:r>
          </w:p>
          <w:p w14:paraId="193FAC7E">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10.内置音频路由功能，可设置跟随任意视频信号，并且可根据输出节目的需要进行分组定义输出，实现同一节目的多音频制作输出；</w:t>
            </w:r>
          </w:p>
          <w:p w14:paraId="4183B07C">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11.内置彩色波形和矢量技监监看，监看通道内容可以灵活自定义选择调用；</w:t>
            </w:r>
          </w:p>
          <w:p w14:paraId="3EDDC220">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12.内置多画面分割显示功能，能进行多画面的扩展显示，显示布局、信号内容，可根据制作需要灵活设置调整；</w:t>
            </w:r>
          </w:p>
          <w:p w14:paraId="674A002F">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支持虚拟演播室制作，内置虚拟场景，同一场景带有多虚拟机位和角度以及画面效果，并且具有影像实时反射，镜面高光等逼真的场景效果；支持虚拟摄像机实时推拉摇移功能，每个虚拟摄像机机位的拍摄取景可设置保存，方便节目制作中的快速调用。</w:t>
            </w:r>
          </w:p>
          <w:p w14:paraId="4D769AA8">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14.支持MIDI 协议的设备连接，可连接诸如 iPad、iPhone 或其它 MIDI 控制设备，并且在这些设备上实现对系统的操作和控制。</w:t>
            </w:r>
          </w:p>
          <w:p w14:paraId="73E48834">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15.支持虚拟、切换、键信号叠加的分组预设功能，可以将不同应用方式、设置、效果进行多个分组并保存为预设，使用时直接调取该预设进行快速的使用模式和画面效果转换。</w:t>
            </w:r>
          </w:p>
          <w:p w14:paraId="429B5CA0">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16.支持Web 页面的虚拟控制面板功能。</w:t>
            </w:r>
          </w:p>
          <w:p w14:paraId="14A92037">
            <w:pPr>
              <w:pStyle w:val="2"/>
              <w:numPr>
                <w:ilvl w:val="0"/>
                <w:numId w:val="4"/>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无线云台摄像机</w:t>
            </w:r>
          </w:p>
          <w:p w14:paraId="421DED1B">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1.摄像机采用1/2.8英寸CMOS图像传感器，207万像素。</w:t>
            </w:r>
          </w:p>
          <w:p w14:paraId="24BC91F2">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2.支持有线和无线两种视频信号传输方式，支持H.264/H.265编码，1080P视频输出。</w:t>
            </w:r>
          </w:p>
          <w:p w14:paraId="1CD4178E">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3.镜头：10倍光学变焦，</w:t>
            </w:r>
          </w:p>
          <w:p w14:paraId="341DCD55">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4.聚集系统：支持自动/手动，焦距：f=4.7mm(广角端)～47.0mm(远端)，F1.6～F3.0，水平视角：60.5°(广角端) ～6.43°(远端)。</w:t>
            </w:r>
          </w:p>
          <w:p w14:paraId="4C55F54A">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5.快门速度：1/25～1/10000S</w:t>
            </w:r>
          </w:p>
          <w:p w14:paraId="07FA80A1">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6.信噪比≥60dB。</w:t>
            </w:r>
          </w:p>
          <w:p w14:paraId="601BA6FC">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7.水平摇移±170°</w:t>
            </w:r>
          </w:p>
          <w:p w14:paraId="1A669CAB">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8.采用2.4G/5.8G双频WiFi，内置高增益智能天线。</w:t>
            </w:r>
          </w:p>
          <w:p w14:paraId="29E42E74">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9.接口：1路RJ45网口，1路3.5mm AUDIO接口，1路DC接口（12V直流供电）。</w:t>
            </w:r>
          </w:p>
          <w:p w14:paraId="7C10A388">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10.为便于外出携带，摄像机内置电池，电池容量6400mAh，具备电量状态灯，便于用户掌握剩余电量。</w:t>
            </w:r>
          </w:p>
          <w:p w14:paraId="56086247">
            <w:pPr>
              <w:pStyle w:val="2"/>
              <w:numPr>
                <w:ilvl w:val="0"/>
                <w:numId w:val="4"/>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独脚架套装</w:t>
            </w:r>
          </w:p>
          <w:p w14:paraId="26A12F98">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1.材质：阳极氧化耐高温铝合金材质</w:t>
            </w:r>
          </w:p>
          <w:p w14:paraId="18200674">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2.颜色：黑色铝合金管，金色管锁</w:t>
            </w:r>
          </w:p>
          <w:p w14:paraId="4FCDC16D">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3.用途：可用于小型云台摄像机、微单、卡片机、数码单反相机</w:t>
            </w:r>
          </w:p>
          <w:p w14:paraId="0168DCDD">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4.规格</w:t>
            </w:r>
          </w:p>
          <w:p w14:paraId="226249D7">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脚管节数：4节</w:t>
            </w:r>
          </w:p>
          <w:p w14:paraId="300FCFF0">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脚管锁类型：旋钮式</w:t>
            </w:r>
          </w:p>
          <w:p w14:paraId="729B4618">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脚架组成：独角杆、3脚底架、三维云台</w:t>
            </w:r>
          </w:p>
          <w:p w14:paraId="1D0C67C6">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云台类型：三维云台</w:t>
            </w:r>
          </w:p>
          <w:p w14:paraId="238F7446">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脚架最高高度：1740mm</w:t>
            </w:r>
          </w:p>
          <w:p w14:paraId="554AAA3D">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脚架收缩高度：620mm</w:t>
            </w:r>
          </w:p>
          <w:p w14:paraId="4C625C02">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承重：5KG-8KG</w:t>
            </w:r>
          </w:p>
          <w:p w14:paraId="684DF7E8">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自重:0.97KG</w:t>
            </w:r>
          </w:p>
          <w:p w14:paraId="6B4F530E">
            <w:pPr>
              <w:pStyle w:val="2"/>
              <w:numPr>
                <w:ilvl w:val="0"/>
                <w:numId w:val="4"/>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无线全向话筒</w:t>
            </w:r>
          </w:p>
          <w:p w14:paraId="42474EB4">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1.麦克风类型： 全向麦克风</w:t>
            </w:r>
          </w:p>
          <w:p w14:paraId="22B21C24">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2.适用面积20-40m²</w:t>
            </w:r>
          </w:p>
          <w:p w14:paraId="5E00B002">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3.拾音半径：4米</w:t>
            </w:r>
          </w:p>
          <w:p w14:paraId="02201ABC">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4.频响范围：100Hz-20KHz</w:t>
            </w:r>
          </w:p>
          <w:p w14:paraId="3CFC3D29">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5.拾音距离 ：全向最大拾音距离≥5米</w:t>
            </w:r>
          </w:p>
          <w:p w14:paraId="402110EE">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6.声源定位： 具备实时声源定位功能</w:t>
            </w:r>
          </w:p>
          <w:p w14:paraId="36759438">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7.噪声抑制量：≥20dB</w:t>
            </w:r>
          </w:p>
          <w:p w14:paraId="09997499">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8.采样率： 48kHz</w:t>
            </w:r>
          </w:p>
          <w:p w14:paraId="4B92B14A">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9.音频输入： WIFI</w:t>
            </w:r>
          </w:p>
          <w:p w14:paraId="5BD39376">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10.音频输出： WIFI,3.5mm耳机口*1</w:t>
            </w:r>
          </w:p>
          <w:p w14:paraId="18C3FB8A">
            <w:pPr>
              <w:pStyle w:val="2"/>
              <w:numPr>
                <w:ilvl w:val="-1"/>
                <w:numId w:val="0"/>
              </w:numPr>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11.操作按键：音量+、音量-</w:t>
            </w:r>
          </w:p>
          <w:p w14:paraId="0C877B37">
            <w:pPr>
              <w:pStyle w:val="2"/>
              <w:numPr>
                <w:ilvl w:val="-1"/>
                <w:numId w:val="0"/>
              </w:numPr>
              <w:spacing w:line="332"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12.电源：Type-C供电</w:t>
            </w:r>
          </w:p>
          <w:p w14:paraId="559D492C">
            <w:pPr>
              <w:pStyle w:val="3"/>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六、移动拉箱</w:t>
            </w:r>
          </w:p>
          <w:p w14:paraId="7747A115">
            <w:pPr>
              <w:pStyle w:val="4"/>
              <w:spacing w:line="332" w:lineRule="auto"/>
              <w:ind w:left="0" w:left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1.外尺寸：570*365*290mm。</w:t>
            </w:r>
          </w:p>
          <w:p w14:paraId="47C995F5">
            <w:pPr>
              <w:pStyle w:val="4"/>
              <w:spacing w:line="332" w:lineRule="auto"/>
              <w:ind w:left="0" w:left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2.材质：铝合金</w:t>
            </w:r>
          </w:p>
          <w:p w14:paraId="3DA9CABB">
            <w:pPr>
              <w:pStyle w:val="4"/>
              <w:spacing w:line="332" w:lineRule="auto"/>
              <w:ind w:left="0" w:left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3.轮子类型：万向轮</w:t>
            </w:r>
          </w:p>
          <w:p w14:paraId="240D47DB">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color w:val="auto"/>
                <w:sz w:val="24"/>
                <w:highlight w:val="none"/>
              </w:rPr>
              <w:t>◆</w:t>
            </w:r>
            <w:r>
              <w:rPr>
                <w:rFonts w:hint="eastAsia" w:ascii="宋体" w:hAnsi="宋体" w:eastAsia="宋体" w:cs="宋体"/>
                <w:kern w:val="0"/>
                <w:sz w:val="24"/>
                <w:szCs w:val="24"/>
                <w:highlight w:val="none"/>
                <w:lang w:val="en-US" w:eastAsia="zh-CN"/>
              </w:rPr>
              <w:t>七、</w:t>
            </w:r>
            <w:r>
              <w:rPr>
                <w:rFonts w:hint="eastAsia" w:ascii="宋体" w:hAnsi="宋体" w:eastAsia="宋体" w:cs="宋体"/>
                <w:i w:val="0"/>
                <w:iCs w:val="0"/>
                <w:color w:val="000000"/>
                <w:kern w:val="0"/>
                <w:sz w:val="24"/>
                <w:szCs w:val="24"/>
                <w:highlight w:val="none"/>
                <w:u w:val="none"/>
                <w:lang w:val="en-US" w:eastAsia="zh-CN"/>
              </w:rPr>
              <w:t>因项目涉及老师作品材料著作权，需要提供数据保护服务：</w:t>
            </w:r>
          </w:p>
          <w:p w14:paraId="651557EE">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1）能够构建立体化、全方位信息安全防护平台，禁止一切USB存储设备连接电脑拷贝资料，还能够灵活管控光驱、红外、蓝牙、随身wifi、聊天软件、网盘、邮箱、注册表，应用程序等不少于50项管理项目；</w:t>
            </w:r>
            <w:r>
              <w:rPr>
                <w:rFonts w:hint="eastAsia" w:ascii="宋体" w:hAnsi="宋体" w:eastAsia="宋体" w:cs="宋体"/>
                <w:i w:val="0"/>
                <w:iCs w:val="0"/>
                <w:color w:val="000000"/>
                <w:kern w:val="0"/>
                <w:sz w:val="24"/>
                <w:szCs w:val="24"/>
                <w:highlight w:val="none"/>
                <w:u w:val="none"/>
                <w:lang w:val="en-US" w:eastAsia="zh-CN"/>
              </w:rPr>
              <w:br w:type="textWrapping"/>
            </w:r>
            <w:r>
              <w:rPr>
                <w:rFonts w:hint="eastAsia" w:ascii="宋体" w:hAnsi="宋体" w:eastAsia="宋体" w:cs="宋体"/>
                <w:i w:val="0"/>
                <w:iCs w:val="0"/>
                <w:color w:val="000000"/>
                <w:kern w:val="0"/>
                <w:sz w:val="24"/>
                <w:szCs w:val="24"/>
                <w:highlight w:val="none"/>
                <w:u w:val="none"/>
                <w:lang w:val="en-US" w:eastAsia="zh-CN"/>
              </w:rPr>
              <w:t>2）支持通过快捷键快速唤出软件；</w:t>
            </w:r>
          </w:p>
          <w:p w14:paraId="515D8CBA">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3）系统支持网络泄密行为管理；</w:t>
            </w:r>
          </w:p>
          <w:p w14:paraId="1F509C1A">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① 支持聊天软件泄密管理。可以禁止聊天软件功能，至少包含QQ、TIM、微信、RTX、钉钉、Skype、企业微信等；</w:t>
            </w:r>
          </w:p>
          <w:p w14:paraId="7693DBA6">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② 支持邮箱外传文件管理。可以设置禁止登录一切邮箱、允许登录特定邮箱、只允许收邮件禁止发送邮件等；</w:t>
            </w:r>
          </w:p>
          <w:p w14:paraId="7A3646D0">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③ 支持网盘向外传文件管理。可以设置禁止使用一切网盘、云盘，也可以设置使用特定网盘、云盘等；</w:t>
            </w:r>
          </w:p>
          <w:p w14:paraId="4DE7588B">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④ 支持程序黑白名单管理。可以设置禁止运行的程序列表，或者设置只允许运行的程序列表；支持网页黑白名单管理，可以设置禁止打开的网址名单，或者设置只允许打开的网址名单</w:t>
            </w:r>
          </w:p>
          <w:p w14:paraId="3F5D4CE0">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⑤ 支持设置禁止使用FTP上传文件、禁止手机和电脑通过网络互传文件等；</w:t>
            </w:r>
          </w:p>
          <w:p w14:paraId="6F1DE5F6">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⑥支持禁用共享传送文件管理，支持禁止访问网页。</w:t>
            </w:r>
          </w:p>
          <w:p w14:paraId="6318AA02">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4）支持智能设备控制，可以设置禁用手机、PAD等便携设备，手机助手，有限网卡，无线网卡，随身WiFi。</w:t>
            </w:r>
          </w:p>
          <w:p w14:paraId="7E4F66D2">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5）支持端口控制，支持控制包括禁用蓝牙、禁用红外、禁用串口/并口、禁用1394端口、禁用PCMCIA在内的6种端口。</w:t>
            </w:r>
          </w:p>
          <w:p w14:paraId="5EC6C4B0">
            <w:pPr>
              <w:pStyle w:val="4"/>
              <w:spacing w:line="332" w:lineRule="auto"/>
              <w:ind w:left="0" w:leftChars="0"/>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rPr>
              <w:t>6）支持操作系统控制，支持包括禁用注册表、禁用设备管理器、屏蔽Ctrl+Alt+A键等在内的24种模块。</w:t>
            </w:r>
          </w:p>
        </w:tc>
        <w:tc>
          <w:tcPr>
            <w:tcW w:w="327" w:type="pct"/>
            <w:shd w:val="clear" w:color="auto" w:fill="auto"/>
            <w:noWrap/>
            <w:vAlign w:val="center"/>
          </w:tcPr>
          <w:p w14:paraId="2C5F8685">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w:t>
            </w:r>
          </w:p>
        </w:tc>
        <w:tc>
          <w:tcPr>
            <w:tcW w:w="292" w:type="pct"/>
            <w:shd w:val="clear" w:color="auto" w:fill="auto"/>
            <w:noWrap/>
            <w:vAlign w:val="center"/>
          </w:tcPr>
          <w:p w14:paraId="4177594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套</w:t>
            </w:r>
          </w:p>
        </w:tc>
      </w:tr>
    </w:tbl>
    <w:p w14:paraId="0B708959">
      <w:pPr>
        <w:pStyle w:val="2"/>
        <w:rPr>
          <w:rFonts w:hint="default"/>
          <w:highlight w:val="none"/>
          <w:lang w:val="en-US" w:eastAsia="zh-CN"/>
        </w:rPr>
      </w:pPr>
    </w:p>
    <w:p w14:paraId="3C359BEC">
      <w:pPr>
        <w:pStyle w:val="6"/>
        <w:pageBreakBefore w:val="0"/>
        <w:kinsoku/>
        <w:wordWrap/>
        <w:overflowPunct/>
        <w:topLinePunct w:val="0"/>
        <w:autoSpaceDE/>
        <w:autoSpaceDN/>
        <w:bidi w:val="0"/>
        <w:spacing w:line="332" w:lineRule="auto"/>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sz w:val="24"/>
          <w:szCs w:val="24"/>
          <w:highlight w:val="none"/>
          <w:lang w:val="en-US" w:eastAsia="zh-CN"/>
        </w:rPr>
        <w:t>2.3 教学能力大赛</w:t>
      </w:r>
      <w:r>
        <w:rPr>
          <w:rFonts w:hint="eastAsia" w:ascii="宋体" w:hAnsi="宋体" w:eastAsia="宋体" w:cs="宋体"/>
          <w:i w:val="0"/>
          <w:iCs w:val="0"/>
          <w:color w:val="000000"/>
          <w:kern w:val="0"/>
          <w:sz w:val="24"/>
          <w:szCs w:val="24"/>
          <w:highlight w:val="none"/>
          <w:u w:val="none"/>
          <w:lang w:val="en-US" w:eastAsia="zh-CN"/>
        </w:rPr>
        <w:t>环境布置</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8"/>
        <w:gridCol w:w="726"/>
        <w:gridCol w:w="5672"/>
        <w:gridCol w:w="698"/>
        <w:gridCol w:w="698"/>
      </w:tblGrid>
      <w:tr w14:paraId="5A21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399" w:type="pct"/>
            <w:shd w:val="clear" w:color="auto" w:fill="auto"/>
            <w:noWrap/>
            <w:vAlign w:val="center"/>
          </w:tcPr>
          <w:p w14:paraId="6C3BC78F">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序号</w:t>
            </w:r>
          </w:p>
        </w:tc>
        <w:tc>
          <w:tcPr>
            <w:tcW w:w="505" w:type="pct"/>
            <w:shd w:val="clear" w:color="auto" w:fill="auto"/>
            <w:vAlign w:val="center"/>
          </w:tcPr>
          <w:p w14:paraId="18B650DF">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产品名称</w:t>
            </w:r>
          </w:p>
        </w:tc>
        <w:tc>
          <w:tcPr>
            <w:tcW w:w="3416" w:type="pct"/>
            <w:shd w:val="clear" w:color="auto" w:fill="auto"/>
            <w:vAlign w:val="center"/>
          </w:tcPr>
          <w:p w14:paraId="162675E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产品参数</w:t>
            </w:r>
          </w:p>
        </w:tc>
        <w:tc>
          <w:tcPr>
            <w:tcW w:w="339" w:type="pct"/>
            <w:shd w:val="clear" w:color="auto" w:fill="auto"/>
            <w:noWrap/>
            <w:vAlign w:val="center"/>
          </w:tcPr>
          <w:p w14:paraId="0A062A71">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数量</w:t>
            </w:r>
          </w:p>
        </w:tc>
        <w:tc>
          <w:tcPr>
            <w:tcW w:w="339" w:type="pct"/>
            <w:shd w:val="clear" w:color="auto" w:fill="auto"/>
            <w:noWrap/>
            <w:vAlign w:val="center"/>
          </w:tcPr>
          <w:p w14:paraId="49CA5645">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单位</w:t>
            </w:r>
          </w:p>
        </w:tc>
      </w:tr>
      <w:tr w14:paraId="7405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99" w:type="pct"/>
            <w:shd w:val="clear" w:color="auto" w:fill="auto"/>
            <w:noWrap/>
            <w:vAlign w:val="center"/>
          </w:tcPr>
          <w:p w14:paraId="0A94E2F6">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1</w:t>
            </w:r>
          </w:p>
        </w:tc>
        <w:tc>
          <w:tcPr>
            <w:tcW w:w="505" w:type="pct"/>
            <w:shd w:val="clear" w:color="auto" w:fill="auto"/>
            <w:vAlign w:val="center"/>
          </w:tcPr>
          <w:p w14:paraId="1D6A959A">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教学能力大赛环境布置</w:t>
            </w:r>
          </w:p>
        </w:tc>
        <w:tc>
          <w:tcPr>
            <w:tcW w:w="3416" w:type="pct"/>
            <w:shd w:val="clear" w:color="auto" w:fill="auto"/>
            <w:vAlign w:val="center"/>
          </w:tcPr>
          <w:p w14:paraId="3AE7201B">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1.教学现场氛围建设要求：布置符合课程主体的录制现场环境，主要包括背景视觉、氛围点缀、展板等提升教学展示效果。</w:t>
            </w:r>
          </w:p>
          <w:p w14:paraId="2CCBCC2D">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2.制作符合课程内容的亚克力字或pvc展板KT板不少于4个。</w:t>
            </w:r>
          </w:p>
          <w:p w14:paraId="2F2F58A7">
            <w:pPr>
              <w:widowControl/>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3.制作符合课程内容的条幅不少于2个。</w:t>
            </w:r>
          </w:p>
          <w:p w14:paraId="75147A70">
            <w:pPr>
              <w:pStyle w:val="2"/>
              <w:spacing w:line="332" w:lineRule="auto"/>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4.制作背景墙，采用模块化拼接设计，符合学科课程主题风格。表面覆以哑光质感材料，避免反光影响录制效果。</w:t>
            </w:r>
          </w:p>
          <w:p w14:paraId="78F6E6FA">
            <w:pPr>
              <w:pStyle w:val="3"/>
              <w:spacing w:line="332" w:lineRule="auto"/>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5.根据参赛课程类型，在讲台、课桌等区域摆放对应学科特色物品。</w:t>
            </w:r>
          </w:p>
          <w:p w14:paraId="3FBD1777">
            <w:pPr>
              <w:keepNext w:val="0"/>
              <w:keepLines w:val="0"/>
              <w:pageBreakBefore w:val="0"/>
              <w:widowControl/>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6.</w:t>
            </w:r>
            <w:r>
              <w:rPr>
                <w:rFonts w:hint="eastAsia" w:ascii="宋体" w:hAnsi="宋体" w:eastAsia="宋体" w:cs="宋体"/>
                <w:sz w:val="24"/>
                <w:szCs w:val="24"/>
                <w:highlight w:val="none"/>
              </w:rPr>
              <w:t>现场为参赛教师进行化妆</w:t>
            </w:r>
            <w:r>
              <w:rPr>
                <w:rFonts w:hint="eastAsia" w:ascii="宋体" w:hAnsi="宋体" w:eastAsia="宋体" w:cs="宋体"/>
                <w:sz w:val="24"/>
                <w:szCs w:val="24"/>
                <w:highlight w:val="none"/>
                <w:lang w:eastAsia="zh-CN"/>
              </w:rPr>
              <w:t>。</w:t>
            </w:r>
          </w:p>
        </w:tc>
        <w:tc>
          <w:tcPr>
            <w:tcW w:w="339" w:type="pct"/>
            <w:shd w:val="clear" w:color="auto" w:fill="auto"/>
            <w:noWrap/>
            <w:vAlign w:val="center"/>
          </w:tcPr>
          <w:p w14:paraId="1BFD9EE4">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w:t>
            </w:r>
          </w:p>
        </w:tc>
        <w:tc>
          <w:tcPr>
            <w:tcW w:w="339" w:type="pct"/>
            <w:shd w:val="clear" w:color="auto" w:fill="auto"/>
            <w:noWrap/>
            <w:vAlign w:val="center"/>
          </w:tcPr>
          <w:p w14:paraId="6A301EE5">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项</w:t>
            </w:r>
          </w:p>
        </w:tc>
      </w:tr>
    </w:tbl>
    <w:p w14:paraId="437960AA">
      <w:pPr>
        <w:rPr>
          <w:rFonts w:hint="eastAsia"/>
          <w:highlight w:val="none"/>
          <w:lang w:val="en-US" w:eastAsia="zh-CN"/>
        </w:rPr>
      </w:pPr>
    </w:p>
    <w:p w14:paraId="03D08801">
      <w:pPr>
        <w:pStyle w:val="6"/>
        <w:pageBreakBefore w:val="0"/>
        <w:kinsoku/>
        <w:wordWrap/>
        <w:overflowPunct/>
        <w:topLinePunct w:val="0"/>
        <w:autoSpaceDE/>
        <w:autoSpaceDN/>
        <w:bidi w:val="0"/>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 教师数字素养提升服务</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5"/>
        <w:gridCol w:w="894"/>
        <w:gridCol w:w="5834"/>
        <w:gridCol w:w="554"/>
        <w:gridCol w:w="495"/>
      </w:tblGrid>
      <w:tr w14:paraId="79B0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21" w:type="pct"/>
            <w:shd w:val="clear" w:color="auto" w:fill="auto"/>
            <w:noWrap/>
            <w:vAlign w:val="center"/>
          </w:tcPr>
          <w:p w14:paraId="71B7ABB2">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1</w:t>
            </w:r>
          </w:p>
        </w:tc>
        <w:tc>
          <w:tcPr>
            <w:tcW w:w="526" w:type="pct"/>
            <w:shd w:val="clear" w:color="auto" w:fill="auto"/>
            <w:vAlign w:val="center"/>
          </w:tcPr>
          <w:p w14:paraId="4CB0EBE9">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color w:val="000000"/>
                <w:kern w:val="0"/>
                <w:sz w:val="24"/>
                <w:highlight w:val="none"/>
                <w:u w:val="none"/>
              </w:rPr>
              <w:t>教师数字素养提升服务</w:t>
            </w:r>
          </w:p>
        </w:tc>
        <w:tc>
          <w:tcPr>
            <w:tcW w:w="3434" w:type="pct"/>
            <w:shd w:val="clear" w:color="auto" w:fill="auto"/>
            <w:vAlign w:val="center"/>
          </w:tcPr>
          <w:p w14:paraId="436E48C3">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1.邀请行业知名专家进行线上线下结合的形式进行培训指导不低于5次。包括教学能力指导、教学成果指导、赛项分析讲解等。</w:t>
            </w:r>
          </w:p>
          <w:p w14:paraId="5D7738C2">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2.专家团队成员至少有一名成员具有信息化教指委“优秀培训师”资质。</w:t>
            </w:r>
          </w:p>
          <w:p w14:paraId="7DB6769A">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3.专家团队成员至少有一名成员获得过职业教育相关国家级专业建设或全国技术能手等与专业技术有关的国家级荣誉奖项。</w:t>
            </w:r>
          </w:p>
          <w:p w14:paraId="567DD0EA">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4.专家团队成员至少有两名全国教学能力大赛获奖选手、全国职业院校教师教学能力大赛资深评委或具有培养国赛获奖经历者组成。</w:t>
            </w:r>
          </w:p>
          <w:p w14:paraId="4043535D">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5.专家团队负责指导修改参赛团队撰写参赛教案、教学实施报告、参赛视频摄录内容，并对存在问题提出针对性修改意见；</w:t>
            </w:r>
          </w:p>
          <w:p w14:paraId="274506CE">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6.专家团队负责指导参赛团队参赛讲课形式、教学方法等；</w:t>
            </w:r>
          </w:p>
          <w:p w14:paraId="66908159">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7.专家团队负责讲解比赛现场答辩的环节、内容与注意事项等，协助参赛团队准备现场答辩；</w:t>
            </w:r>
          </w:p>
          <w:p w14:paraId="720A3206">
            <w:pPr>
              <w:keepNext w:val="0"/>
              <w:keepLines w:val="0"/>
              <w:pageBreakBefore w:val="0"/>
              <w:widowControl/>
              <w:numPr>
                <w:ilvl w:val="0"/>
                <w:numId w:val="0"/>
              </w:numPr>
              <w:suppressLineNumbers w:val="0"/>
              <w:kinsoku/>
              <w:wordWrap/>
              <w:overflowPunct/>
              <w:topLinePunct w:val="0"/>
              <w:autoSpaceDE/>
              <w:autoSpaceDN/>
              <w:bidi w:val="0"/>
              <w:spacing w:line="332" w:lineRule="auto"/>
              <w:jc w:val="left"/>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8.专家团队负责解答参赛团队关心的比赛相关问题；</w:t>
            </w:r>
          </w:p>
        </w:tc>
        <w:tc>
          <w:tcPr>
            <w:tcW w:w="326" w:type="pct"/>
            <w:shd w:val="clear" w:color="auto" w:fill="auto"/>
            <w:noWrap/>
            <w:vAlign w:val="center"/>
          </w:tcPr>
          <w:p w14:paraId="5FFA521C">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w:t>
            </w:r>
          </w:p>
        </w:tc>
        <w:tc>
          <w:tcPr>
            <w:tcW w:w="291" w:type="pct"/>
            <w:shd w:val="clear" w:color="auto" w:fill="auto"/>
            <w:noWrap/>
            <w:vAlign w:val="center"/>
          </w:tcPr>
          <w:p w14:paraId="2937F7BE">
            <w:pPr>
              <w:keepNext w:val="0"/>
              <w:keepLines w:val="0"/>
              <w:pageBreakBefore w:val="0"/>
              <w:widowControl/>
              <w:suppressLineNumbers w:val="0"/>
              <w:kinsoku/>
              <w:wordWrap/>
              <w:overflowPunct/>
              <w:topLinePunct w:val="0"/>
              <w:autoSpaceDE/>
              <w:autoSpaceDN/>
              <w:bidi w:val="0"/>
              <w:spacing w:line="332"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套</w:t>
            </w:r>
          </w:p>
        </w:tc>
      </w:tr>
    </w:tbl>
    <w:p w14:paraId="2AA60D1A">
      <w:pPr>
        <w:rPr>
          <w:rFonts w:hint="eastAsia"/>
          <w:highlight w:val="none"/>
          <w:lang w:val="en-US" w:eastAsia="zh-CN"/>
        </w:rPr>
      </w:pPr>
    </w:p>
    <w:p w14:paraId="5A665651">
      <w:pPr>
        <w:pStyle w:val="6"/>
        <w:pageBreakBefore w:val="0"/>
        <w:kinsoku/>
        <w:wordWrap/>
        <w:overflowPunct/>
        <w:topLinePunct w:val="0"/>
        <w:autoSpaceDE/>
        <w:autoSpaceDN/>
        <w:bidi w:val="0"/>
        <w:spacing w:line="33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 其他要求</w:t>
      </w:r>
    </w:p>
    <w:p w14:paraId="65CEE0D1">
      <w:pPr>
        <w:pStyle w:val="8"/>
        <w:pageBreakBefore w:val="0"/>
        <w:kinsoku/>
        <w:wordWrap/>
        <w:overflowPunct/>
        <w:topLinePunct w:val="0"/>
        <w:autoSpaceDE/>
        <w:autoSpaceDN/>
        <w:bidi w:val="0"/>
        <w:spacing w:line="332" w:lineRule="auto"/>
        <w:contextualSpacing/>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1.教师教学能力指导专家要求</w:t>
      </w:r>
    </w:p>
    <w:p w14:paraId="16AE923D">
      <w:pPr>
        <w:pStyle w:val="8"/>
        <w:pageBreakBefore w:val="0"/>
        <w:kinsoku/>
        <w:wordWrap/>
        <w:overflowPunct/>
        <w:topLinePunct w:val="0"/>
        <w:autoSpaceDE/>
        <w:autoSpaceDN/>
        <w:bidi w:val="0"/>
        <w:spacing w:line="332" w:lineRule="auto"/>
        <w:contextualSpacing/>
        <w:rPr>
          <w:rFonts w:hint="eastAsia" w:ascii="宋体" w:hAnsi="宋体" w:eastAsia="宋体" w:cs="宋体"/>
          <w:bCs/>
          <w:sz w:val="24"/>
          <w:szCs w:val="24"/>
          <w:highlight w:val="none"/>
        </w:rPr>
      </w:pPr>
      <w:r>
        <w:rPr>
          <w:rFonts w:hint="eastAsia" w:ascii="宋体" w:hAnsi="宋体" w:eastAsia="宋体" w:cs="宋体"/>
          <w:bCs/>
          <w:sz w:val="24"/>
          <w:szCs w:val="24"/>
          <w:highlight w:val="none"/>
        </w:rPr>
        <w:t>依据省赛标准，聘请省赛或国赛专家对整个课程框架进行审核与指导，全程一对一（包括网评阶段和现场决赛阶段）对课程、教学、场景拍摄、拍摄脚本等课程设计与制作过程进行指导并模拟现场决赛进行实施报告讲解、无学生教学展示、答辩等演练，根据作品需要，每个作品不低于4次指导。</w:t>
      </w:r>
    </w:p>
    <w:p w14:paraId="7CA08400">
      <w:pPr>
        <w:pStyle w:val="8"/>
        <w:pageBreakBefore w:val="0"/>
        <w:kinsoku/>
        <w:wordWrap/>
        <w:overflowPunct/>
        <w:topLinePunct w:val="0"/>
        <w:autoSpaceDE/>
        <w:autoSpaceDN/>
        <w:bidi w:val="0"/>
        <w:spacing w:line="332" w:lineRule="auto"/>
        <w:contextualSpacing/>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2.精品课程</w:t>
      </w:r>
      <w:r>
        <w:rPr>
          <w:rFonts w:hint="eastAsia" w:ascii="宋体" w:hAnsi="宋体" w:eastAsia="宋体" w:cs="宋体"/>
          <w:spacing w:val="-4"/>
          <w:sz w:val="24"/>
          <w:szCs w:val="24"/>
          <w:highlight w:val="none"/>
        </w:rPr>
        <w:t>开发指导专家要求</w:t>
      </w:r>
    </w:p>
    <w:p w14:paraId="1A32B84A">
      <w:pPr>
        <w:pStyle w:val="2"/>
        <w:pageBreakBefore w:val="0"/>
        <w:kinsoku/>
        <w:wordWrap/>
        <w:overflowPunct/>
        <w:topLinePunct w:val="0"/>
        <w:autoSpaceDE/>
        <w:autoSpaceDN/>
        <w:bidi w:val="0"/>
        <w:spacing w:before="34" w:line="332" w:lineRule="auto"/>
        <w:ind w:left="43" w:right="253" w:firstLine="480"/>
        <w:rPr>
          <w:rFonts w:hint="eastAsia" w:ascii="宋体" w:hAnsi="宋体" w:eastAsia="宋体" w:cs="宋体"/>
          <w:bCs/>
          <w:sz w:val="24"/>
          <w:szCs w:val="24"/>
          <w:highlight w:val="none"/>
          <w:lang w:val="en-US" w:eastAsia="zh-CN"/>
        </w:rPr>
      </w:pPr>
      <w:r>
        <w:rPr>
          <w:rFonts w:hint="eastAsia" w:ascii="宋体" w:hAnsi="宋体" w:eastAsia="宋体" w:cs="宋体"/>
          <w:spacing w:val="-4"/>
          <w:sz w:val="24"/>
          <w:szCs w:val="24"/>
          <w:highlight w:val="none"/>
        </w:rPr>
        <w:t>安排不少于</w:t>
      </w:r>
      <w:r>
        <w:rPr>
          <w:rFonts w:hint="eastAsia" w:ascii="宋体" w:hAnsi="宋体" w:eastAsia="宋体" w:cs="宋体"/>
          <w:spacing w:val="-4"/>
          <w:sz w:val="24"/>
          <w:szCs w:val="24"/>
          <w:highlight w:val="none"/>
          <w:lang w:val="en-US" w:eastAsia="zh-CN"/>
        </w:rPr>
        <w:t>1</w:t>
      </w:r>
      <w:r>
        <w:rPr>
          <w:rFonts w:hint="eastAsia" w:ascii="宋体" w:hAnsi="宋体" w:eastAsia="宋体" w:cs="宋体"/>
          <w:spacing w:val="-4"/>
          <w:sz w:val="24"/>
          <w:szCs w:val="24"/>
          <w:highlight w:val="none"/>
        </w:rPr>
        <w:t>名自</w:t>
      </w:r>
      <w:r>
        <w:rPr>
          <w:rFonts w:hint="eastAsia" w:ascii="宋体" w:hAnsi="宋体" w:eastAsia="宋体" w:cs="宋体"/>
          <w:spacing w:val="-4"/>
          <w:sz w:val="24"/>
          <w:szCs w:val="24"/>
          <w:highlight w:val="none"/>
          <w:lang w:val="en-US" w:eastAsia="zh-CN"/>
        </w:rPr>
        <w:t>2021</w:t>
      </w:r>
      <w:r>
        <w:rPr>
          <w:rFonts w:hint="eastAsia" w:ascii="宋体" w:hAnsi="宋体" w:eastAsia="宋体" w:cs="宋体"/>
          <w:spacing w:val="-4"/>
          <w:sz w:val="24"/>
          <w:szCs w:val="24"/>
          <w:highlight w:val="none"/>
        </w:rPr>
        <w:t>年</w:t>
      </w:r>
      <w:r>
        <w:rPr>
          <w:rFonts w:hint="eastAsia" w:ascii="宋体" w:hAnsi="宋体" w:eastAsia="宋体" w:cs="宋体"/>
          <w:spacing w:val="-5"/>
          <w:sz w:val="24"/>
          <w:szCs w:val="24"/>
          <w:highlight w:val="none"/>
        </w:rPr>
        <w:t>以来获得职业教</w:t>
      </w:r>
      <w:r>
        <w:rPr>
          <w:rFonts w:hint="eastAsia" w:ascii="宋体" w:hAnsi="宋体" w:eastAsia="宋体" w:cs="宋体"/>
          <w:sz w:val="24"/>
          <w:szCs w:val="24"/>
          <w:highlight w:val="none"/>
        </w:rPr>
        <w:t>育相关国家级专业建设或全国技术能手等与</w:t>
      </w:r>
      <w:r>
        <w:rPr>
          <w:rFonts w:hint="eastAsia" w:ascii="宋体" w:hAnsi="宋体" w:eastAsia="宋体" w:cs="宋体"/>
          <w:spacing w:val="-1"/>
          <w:sz w:val="24"/>
          <w:szCs w:val="24"/>
          <w:highlight w:val="none"/>
        </w:rPr>
        <w:t>专业技术有关方面的国家级荣誉奖项的专家到校或线上指导在线精品课制作。</w:t>
      </w:r>
    </w:p>
    <w:p w14:paraId="37ECD5B7">
      <w:pPr>
        <w:pStyle w:val="8"/>
        <w:pageBreakBefore w:val="0"/>
        <w:kinsoku/>
        <w:wordWrap/>
        <w:overflowPunct/>
        <w:topLinePunct w:val="0"/>
        <w:autoSpaceDE/>
        <w:autoSpaceDN/>
        <w:bidi w:val="0"/>
        <w:spacing w:line="332" w:lineRule="auto"/>
        <w:contextualSpacing/>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3.项目服务团队要求</w:t>
      </w:r>
    </w:p>
    <w:p w14:paraId="16741646">
      <w:pPr>
        <w:pageBreakBefore w:val="0"/>
        <w:kinsoku/>
        <w:wordWrap/>
        <w:overflowPunct/>
        <w:topLinePunct w:val="0"/>
        <w:autoSpaceDE/>
        <w:autoSpaceDN/>
        <w:bidi w:val="0"/>
        <w:spacing w:line="332" w:lineRule="auto"/>
        <w:ind w:firstLine="480" w:firstLineChars="200"/>
        <w:rPr>
          <w:rFonts w:hint="eastAsia" w:eastAsia="宋体"/>
          <w:highlight w:val="none"/>
          <w:lang w:val="en-US" w:eastAsia="zh-CN"/>
        </w:rPr>
      </w:pPr>
      <w:r>
        <w:rPr>
          <w:rFonts w:hint="eastAsia" w:ascii="宋体" w:hAnsi="宋体" w:eastAsia="宋体" w:cs="宋体"/>
          <w:bCs/>
          <w:sz w:val="24"/>
          <w:szCs w:val="24"/>
          <w:highlight w:val="none"/>
        </w:rPr>
        <w:t>须具备全国院校教学能力比赛制作经验。团队需要能够提供完善的拍摄设备、技术团队、售后服务团队和机制，确保在项目周期内完成制作。</w:t>
      </w:r>
    </w:p>
    <w:p w14:paraId="2A5AA7DB">
      <w:pPr>
        <w:spacing w:line="360" w:lineRule="auto"/>
        <w:jc w:val="left"/>
        <w:outlineLvl w:val="0"/>
        <w:rPr>
          <w:rFonts w:ascii="宋体" w:hAnsi="宋体" w:cs="仿宋"/>
          <w:color w:val="auto"/>
          <w:sz w:val="24"/>
          <w:highlight w:val="none"/>
        </w:rPr>
      </w:pPr>
      <w:r>
        <w:rPr>
          <w:rFonts w:hint="eastAsia" w:ascii="宋体" w:hAnsi="宋体" w:cs="仿宋"/>
          <w:color w:val="auto"/>
          <w:sz w:val="24"/>
          <w:highlight w:val="none"/>
        </w:rPr>
        <w:t>（标有“</w:t>
      </w:r>
      <w:r>
        <w:rPr>
          <w:rFonts w:hint="eastAsia" w:ascii="宋体" w:hAnsi="宋体" w:cs="仿宋"/>
          <w:color w:val="auto"/>
          <w:kern w:val="0"/>
          <w:sz w:val="24"/>
          <w:highlight w:val="none"/>
          <w:lang w:bidi="ar"/>
        </w:rPr>
        <w:t>★</w:t>
      </w:r>
      <w:r>
        <w:rPr>
          <w:rFonts w:hint="eastAsia" w:ascii="宋体" w:hAnsi="宋体" w:cs="仿宋"/>
          <w:color w:val="auto"/>
          <w:sz w:val="24"/>
          <w:highlight w:val="none"/>
        </w:rPr>
        <w:t>”系产品采购项目中单一产品或核心产品，“▲”系指实质性要求条款，“◆”系指重要指标要求条款）</w:t>
      </w:r>
    </w:p>
    <w:p w14:paraId="56E203A3">
      <w:pPr>
        <w:spacing w:line="360" w:lineRule="auto"/>
        <w:rPr>
          <w:rFonts w:ascii="宋体" w:hAnsi="宋体"/>
          <w:b/>
          <w:bCs/>
          <w:color w:val="auto"/>
          <w:sz w:val="24"/>
          <w:highlight w:val="none"/>
        </w:rPr>
      </w:pPr>
    </w:p>
    <w:p w14:paraId="28C6FF4D">
      <w:pPr>
        <w:snapToGrid w:val="0"/>
        <w:spacing w:line="360" w:lineRule="auto"/>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四</w:t>
      </w:r>
      <w:r>
        <w:rPr>
          <w:rFonts w:hint="eastAsia"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支付方式</w:t>
      </w:r>
    </w:p>
    <w:p w14:paraId="38EBD3D7">
      <w:pPr>
        <w:spacing w:line="360" w:lineRule="auto"/>
        <w:jc w:val="left"/>
        <w:outlineLvl w:val="0"/>
        <w:rPr>
          <w:rFonts w:hint="default" w:ascii="宋体" w:hAnsi="宋体" w:cs="仿宋"/>
          <w:color w:val="auto"/>
          <w:sz w:val="24"/>
          <w:highlight w:val="none"/>
          <w:lang w:val="en-US" w:eastAsia="zh-CN"/>
        </w:rPr>
      </w:pPr>
      <w:r>
        <w:rPr>
          <w:rFonts w:hint="eastAsia" w:ascii="宋体" w:hAnsi="宋体" w:cs="仿宋"/>
          <w:color w:val="auto"/>
          <w:sz w:val="24"/>
          <w:highlight w:val="none"/>
          <w:lang w:val="en-US" w:eastAsia="zh-CN"/>
        </w:rPr>
        <w:t>分期支付。</w:t>
      </w:r>
    </w:p>
    <w:p w14:paraId="4BF908F9">
      <w:pPr>
        <w:spacing w:line="360" w:lineRule="auto"/>
        <w:jc w:val="left"/>
        <w:outlineLvl w:val="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（1）合同签订且具备实施条件后5个工作日内，采购人向中标人支付合同金额的60%。</w:t>
      </w:r>
    </w:p>
    <w:p w14:paraId="21DC99CA">
      <w:pPr>
        <w:spacing w:line="360" w:lineRule="auto"/>
        <w:jc w:val="left"/>
        <w:outlineLvl w:val="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（2）项目实施完成并经采购人验收合格后5个工作日内，支付合同金额的40%。</w:t>
      </w:r>
    </w:p>
    <w:p w14:paraId="0E8CA8EA">
      <w:pPr>
        <w:spacing w:line="360" w:lineRule="auto"/>
        <w:jc w:val="left"/>
        <w:outlineLvl w:val="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（3）采购人付款前，中标人应向采购人开具等额有效的增值税发票，采购人未收到发票的，有权不予支付相应款项直至中标人提供合格发票，并不承担延迟付款责任。发票认证通过是付款的必要前提之一。</w:t>
      </w:r>
    </w:p>
    <w:p w14:paraId="3BF44881">
      <w:pPr>
        <w:snapToGrid w:val="0"/>
        <w:spacing w:line="360" w:lineRule="auto"/>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五、履约保证金</w:t>
      </w:r>
    </w:p>
    <w:p w14:paraId="149568BB">
      <w:pPr>
        <w:spacing w:line="360" w:lineRule="auto"/>
        <w:jc w:val="left"/>
        <w:outlineLvl w:val="0"/>
        <w:rPr>
          <w:color w:val="auto"/>
          <w:highlight w:val="none"/>
        </w:rPr>
      </w:pPr>
      <w:r>
        <w:rPr>
          <w:rFonts w:hint="eastAsia" w:ascii="宋体" w:hAnsi="宋体" w:cs="仿宋"/>
          <w:color w:val="auto"/>
          <w:sz w:val="24"/>
          <w:highlight w:val="none"/>
          <w:lang w:val="en-US" w:eastAsia="zh-CN"/>
        </w:rPr>
        <w:t>合同签订后5个工作日内，中标人需提交合同金额1%的履约保证金。</w:t>
      </w:r>
    </w:p>
    <w:p w14:paraId="5325D3C9">
      <w:pPr>
        <w:snapToGrid/>
        <w:spacing w:line="240" w:lineRule="auto"/>
        <w:ind w:firstLine="2891" w:firstLineChars="900"/>
        <w:jc w:val="left"/>
        <w:rPr>
          <w:rFonts w:hint="eastAsia" w:ascii="宋体" w:hAnsi="宋体" w:cs="宋体"/>
          <w:b/>
          <w:color w:val="auto"/>
          <w:sz w:val="32"/>
          <w:szCs w:val="20"/>
          <w:highlight w:val="none"/>
        </w:rPr>
      </w:pPr>
    </w:p>
    <w:p w14:paraId="3A08DAB3">
      <w:pPr>
        <w:snapToGrid/>
        <w:spacing w:line="240" w:lineRule="auto"/>
        <w:ind w:firstLine="2891" w:firstLineChars="900"/>
        <w:jc w:val="left"/>
        <w:rPr>
          <w:rFonts w:hint="eastAsia" w:ascii="宋体" w:hAnsi="宋体" w:cs="宋体"/>
          <w:b/>
          <w:color w:val="auto"/>
          <w:sz w:val="32"/>
          <w:szCs w:val="20"/>
          <w:highlight w:val="none"/>
        </w:rPr>
      </w:pPr>
    </w:p>
    <w:p w14:paraId="1599186F">
      <w:pPr>
        <w:snapToGrid/>
        <w:spacing w:line="240" w:lineRule="auto"/>
        <w:ind w:firstLine="2891" w:firstLineChars="900"/>
        <w:jc w:val="left"/>
        <w:rPr>
          <w:rFonts w:hint="eastAsia" w:ascii="宋体" w:hAnsi="宋体" w:cs="宋体"/>
          <w:b/>
          <w:color w:val="auto"/>
          <w:sz w:val="32"/>
          <w:szCs w:val="20"/>
          <w:highlight w:val="none"/>
        </w:rPr>
      </w:pPr>
    </w:p>
    <w:p w14:paraId="76C60EF4">
      <w:pPr>
        <w:snapToGrid/>
        <w:spacing w:line="240" w:lineRule="auto"/>
        <w:ind w:firstLine="2891" w:firstLineChars="900"/>
        <w:jc w:val="left"/>
        <w:rPr>
          <w:rFonts w:hint="eastAsia" w:ascii="宋体" w:hAnsi="宋体" w:cs="宋体"/>
          <w:b/>
          <w:color w:val="auto"/>
          <w:sz w:val="32"/>
          <w:szCs w:val="20"/>
          <w:highlight w:val="none"/>
        </w:rPr>
      </w:pPr>
    </w:p>
    <w:p w14:paraId="7EDF00AB">
      <w:pPr>
        <w:snapToGrid/>
        <w:spacing w:line="360" w:lineRule="auto"/>
        <w:ind w:firstLine="2891" w:firstLineChars="900"/>
        <w:jc w:val="left"/>
        <w:rPr>
          <w:rFonts w:hint="eastAsia" w:ascii="宋体" w:hAnsi="宋体" w:cs="宋体"/>
          <w:b/>
          <w:color w:val="auto"/>
          <w:sz w:val="32"/>
          <w:szCs w:val="20"/>
          <w:highlight w:val="none"/>
        </w:rPr>
      </w:pPr>
      <w:r>
        <w:rPr>
          <w:rFonts w:hint="eastAsia" w:ascii="宋体" w:hAnsi="宋体" w:cs="宋体"/>
          <w:b/>
          <w:color w:val="auto"/>
          <w:sz w:val="32"/>
          <w:szCs w:val="20"/>
          <w:highlight w:val="none"/>
        </w:rPr>
        <w:t>第四章  评审办法</w:t>
      </w:r>
    </w:p>
    <w:p w14:paraId="631D21E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17"/>
        <w:tblpPr w:leftFromText="180" w:rightFromText="180" w:vertAnchor="text" w:horzAnchor="page" w:tblpX="910" w:tblpY="62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3328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0CE73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39B03C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3F28F5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07492B1A">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331C4703">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2A91C20F">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36A7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E3C1C7E">
            <w:pPr>
              <w:spacing w:line="360" w:lineRule="auto"/>
              <w:rPr>
                <w:color w:val="auto"/>
                <w:szCs w:val="21"/>
                <w:highlight w:val="none"/>
              </w:rPr>
            </w:pPr>
            <w:r>
              <w:rPr>
                <w:rFonts w:hint="eastAsia"/>
                <w:color w:val="auto"/>
                <w:szCs w:val="21"/>
                <w:highlight w:val="none"/>
              </w:rPr>
              <w:t>1</w:t>
            </w:r>
          </w:p>
        </w:tc>
        <w:tc>
          <w:tcPr>
            <w:tcW w:w="6216" w:type="dxa"/>
            <w:vAlign w:val="center"/>
          </w:tcPr>
          <w:p w14:paraId="1E059DFF">
            <w:pPr>
              <w:pStyle w:val="54"/>
              <w:pageBreakBefore w:val="0"/>
              <w:widowControl w:val="0"/>
              <w:kinsoku/>
              <w:wordWrap/>
              <w:overflowPunct/>
              <w:topLinePunct w:val="0"/>
              <w:autoSpaceDE/>
              <w:autoSpaceDN/>
              <w:bidi w:val="0"/>
              <w:spacing w:line="332"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供应商实力评价</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供应商具备：质量管理体系认证证书；环境管理体系认证证书；职业健康安全管理体系认证证书；</w:t>
            </w:r>
          </w:p>
          <w:p w14:paraId="7A2F8419">
            <w:pPr>
              <w:spacing w:line="360" w:lineRule="auto"/>
              <w:rPr>
                <w:color w:val="auto"/>
                <w:szCs w:val="21"/>
                <w:highlight w:val="none"/>
              </w:rPr>
            </w:pPr>
            <w:r>
              <w:rPr>
                <w:rFonts w:hint="eastAsia" w:ascii="宋体" w:hAnsi="宋体" w:eastAsia="宋体" w:cs="宋体"/>
                <w:bCs/>
                <w:color w:val="auto"/>
                <w:sz w:val="21"/>
                <w:szCs w:val="21"/>
                <w:highlight w:val="none"/>
              </w:rPr>
              <w:t>注：提供以上有效期内证书复印件</w:t>
            </w:r>
            <w:r>
              <w:rPr>
                <w:rFonts w:hint="eastAsia" w:ascii="宋体" w:hAnsi="宋体" w:eastAsia="宋体" w:cs="宋体"/>
                <w:bCs/>
                <w:color w:val="auto"/>
                <w:sz w:val="21"/>
                <w:szCs w:val="21"/>
                <w:highlight w:val="none"/>
                <w:lang w:val="en-US" w:eastAsia="zh-CN"/>
              </w:rPr>
              <w:t>并加盖供应商公章</w:t>
            </w:r>
            <w:r>
              <w:rPr>
                <w:rFonts w:hint="eastAsia" w:ascii="宋体" w:hAnsi="宋体" w:eastAsia="宋体" w:cs="宋体"/>
                <w:bCs/>
                <w:color w:val="auto"/>
                <w:sz w:val="21"/>
                <w:szCs w:val="21"/>
                <w:highlight w:val="none"/>
              </w:rPr>
              <w:t>，具备1份证书得1分，最多得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分，以上证书应覆盖教学资源开发</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rPr>
              <w:t>服务</w:t>
            </w:r>
            <w:r>
              <w:rPr>
                <w:rFonts w:hint="eastAsia" w:ascii="宋体" w:hAnsi="宋体" w:eastAsia="宋体" w:cs="宋体"/>
                <w:bCs/>
                <w:color w:val="auto"/>
                <w:sz w:val="21"/>
                <w:szCs w:val="21"/>
                <w:highlight w:val="none"/>
                <w:lang w:val="en-US" w:eastAsia="zh-CN"/>
              </w:rPr>
              <w:t>内容</w:t>
            </w:r>
            <w:r>
              <w:rPr>
                <w:rFonts w:hint="eastAsia" w:ascii="宋体" w:hAnsi="宋体" w:eastAsia="宋体" w:cs="宋体"/>
                <w:bCs/>
                <w:color w:val="auto"/>
                <w:sz w:val="21"/>
                <w:szCs w:val="21"/>
                <w:highlight w:val="none"/>
              </w:rPr>
              <w:t>范围，未提供或证书覆盖范围不包括教学资源开发</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rPr>
              <w:t>服务</w:t>
            </w:r>
            <w:r>
              <w:rPr>
                <w:rFonts w:hint="eastAsia" w:ascii="宋体" w:hAnsi="宋体" w:eastAsia="宋体" w:cs="宋体"/>
                <w:bCs/>
                <w:color w:val="auto"/>
                <w:sz w:val="21"/>
                <w:szCs w:val="21"/>
                <w:highlight w:val="none"/>
                <w:lang w:val="en-US" w:eastAsia="zh-CN"/>
              </w:rPr>
              <w:t>内容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本项不得分。</w:t>
            </w:r>
          </w:p>
        </w:tc>
        <w:tc>
          <w:tcPr>
            <w:tcW w:w="784" w:type="dxa"/>
            <w:shd w:val="clear" w:color="auto" w:fill="auto"/>
            <w:vAlign w:val="center"/>
          </w:tcPr>
          <w:p w14:paraId="0F12F32D">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959" w:type="dxa"/>
            <w:shd w:val="clear" w:color="auto" w:fill="auto"/>
            <w:vAlign w:val="center"/>
          </w:tcPr>
          <w:p w14:paraId="45432D02">
            <w:pPr>
              <w:spacing w:line="360" w:lineRule="auto"/>
              <w:jc w:val="center"/>
              <w:rPr>
                <w:color w:val="auto"/>
                <w:szCs w:val="21"/>
                <w:highlight w:val="none"/>
              </w:rPr>
            </w:pPr>
            <w:r>
              <w:rPr>
                <w:rFonts w:hint="eastAsia"/>
                <w:color w:val="auto"/>
                <w:szCs w:val="21"/>
                <w:highlight w:val="none"/>
              </w:rPr>
              <w:t>客观分</w:t>
            </w:r>
          </w:p>
        </w:tc>
        <w:tc>
          <w:tcPr>
            <w:tcW w:w="1376" w:type="dxa"/>
            <w:vAlign w:val="center"/>
          </w:tcPr>
          <w:p w14:paraId="67F48DF5">
            <w:pPr>
              <w:spacing w:line="360" w:lineRule="auto"/>
              <w:rPr>
                <w:color w:val="auto"/>
                <w:szCs w:val="21"/>
                <w:highlight w:val="none"/>
              </w:rPr>
            </w:pPr>
          </w:p>
        </w:tc>
      </w:tr>
      <w:tr w14:paraId="14A1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5E01ED7">
            <w:pPr>
              <w:spacing w:line="360" w:lineRule="auto"/>
              <w:rPr>
                <w:color w:val="auto"/>
                <w:szCs w:val="21"/>
                <w:highlight w:val="none"/>
              </w:rPr>
            </w:pPr>
            <w:r>
              <w:rPr>
                <w:rFonts w:hint="eastAsia"/>
                <w:color w:val="auto"/>
                <w:szCs w:val="21"/>
                <w:highlight w:val="none"/>
              </w:rPr>
              <w:t>2</w:t>
            </w:r>
          </w:p>
        </w:tc>
        <w:tc>
          <w:tcPr>
            <w:tcW w:w="6216" w:type="dxa"/>
            <w:shd w:val="clear" w:color="auto" w:fill="auto"/>
            <w:vAlign w:val="top"/>
          </w:tcPr>
          <w:p w14:paraId="52F62A5D">
            <w:pPr>
              <w:pStyle w:val="54"/>
              <w:pageBreakBefore w:val="0"/>
              <w:widowControl w:val="0"/>
              <w:kinsoku/>
              <w:wordWrap/>
              <w:overflowPunct/>
              <w:topLinePunct w:val="0"/>
              <w:autoSpaceDE/>
              <w:autoSpaceDN/>
              <w:bidi w:val="0"/>
              <w:spacing w:line="332"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自202</w:t>
            </w: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年1月1日以来至投标截止时间止（日期以合同或合同协议书签订日期为准）与本项目同类</w:t>
            </w:r>
            <w:r>
              <w:rPr>
                <w:rFonts w:hint="eastAsia" w:ascii="宋体" w:hAnsi="宋体" w:eastAsia="宋体" w:cs="宋体"/>
                <w:bCs/>
                <w:color w:val="auto"/>
                <w:sz w:val="21"/>
                <w:szCs w:val="21"/>
                <w:highlight w:val="none"/>
                <w:lang w:val="en-US" w:eastAsia="zh-CN"/>
              </w:rPr>
              <w:t>项目经验</w:t>
            </w:r>
            <w:r>
              <w:rPr>
                <w:rFonts w:hint="eastAsia" w:ascii="宋体" w:hAnsi="宋体" w:eastAsia="宋体" w:cs="宋体"/>
                <w:bCs/>
                <w:color w:val="auto"/>
                <w:sz w:val="21"/>
                <w:szCs w:val="21"/>
                <w:highlight w:val="none"/>
              </w:rPr>
              <w:t>，每提供1 份</w:t>
            </w:r>
            <w:r>
              <w:rPr>
                <w:rFonts w:hint="eastAsia" w:ascii="宋体" w:hAnsi="宋体" w:eastAsia="宋体" w:cs="宋体"/>
                <w:bCs/>
                <w:color w:val="auto"/>
                <w:sz w:val="21"/>
                <w:szCs w:val="21"/>
                <w:highlight w:val="none"/>
                <w:lang w:val="en-US" w:eastAsia="zh-CN"/>
              </w:rPr>
              <w:t>完整</w:t>
            </w:r>
            <w:r>
              <w:rPr>
                <w:rFonts w:hint="eastAsia" w:ascii="宋体" w:hAnsi="宋体" w:eastAsia="宋体" w:cs="宋体"/>
                <w:bCs/>
                <w:color w:val="auto"/>
                <w:sz w:val="21"/>
                <w:szCs w:val="21"/>
                <w:highlight w:val="none"/>
              </w:rPr>
              <w:t>证明材料的得</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满分2</w:t>
            </w:r>
            <w:r>
              <w:rPr>
                <w:rFonts w:hint="eastAsia" w:ascii="宋体" w:hAnsi="宋体" w:eastAsia="宋体" w:cs="宋体"/>
                <w:bCs/>
                <w:color w:val="auto"/>
                <w:sz w:val="21"/>
                <w:szCs w:val="21"/>
                <w:highlight w:val="none"/>
              </w:rPr>
              <w:t>分。</w:t>
            </w:r>
          </w:p>
          <w:p w14:paraId="71CCACE5">
            <w:pPr>
              <w:pStyle w:val="54"/>
              <w:pageBreakBefore w:val="0"/>
              <w:widowControl w:val="0"/>
              <w:kinsoku/>
              <w:wordWrap/>
              <w:overflowPunct/>
              <w:topLinePunct w:val="0"/>
              <w:autoSpaceDE/>
              <w:autoSpaceDN/>
              <w:bidi w:val="0"/>
              <w:spacing w:line="332"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【注：投标</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须提供该项目采购合同文本复印件，所有材料缺一不可，否则不得分。原件备查。】</w:t>
            </w:r>
          </w:p>
        </w:tc>
        <w:tc>
          <w:tcPr>
            <w:tcW w:w="784" w:type="dxa"/>
            <w:shd w:val="clear" w:color="auto" w:fill="auto"/>
            <w:vAlign w:val="center"/>
          </w:tcPr>
          <w:p w14:paraId="03ABD983">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959" w:type="dxa"/>
            <w:shd w:val="clear" w:color="auto" w:fill="auto"/>
            <w:vAlign w:val="center"/>
          </w:tcPr>
          <w:p w14:paraId="6B81C78F">
            <w:pPr>
              <w:spacing w:line="360" w:lineRule="auto"/>
              <w:jc w:val="center"/>
              <w:rPr>
                <w:color w:val="auto"/>
                <w:szCs w:val="21"/>
                <w:highlight w:val="none"/>
              </w:rPr>
            </w:pPr>
            <w:r>
              <w:rPr>
                <w:rFonts w:hint="eastAsia"/>
                <w:color w:val="auto"/>
                <w:szCs w:val="21"/>
                <w:highlight w:val="none"/>
              </w:rPr>
              <w:t>客观分</w:t>
            </w:r>
          </w:p>
        </w:tc>
        <w:tc>
          <w:tcPr>
            <w:tcW w:w="1376" w:type="dxa"/>
            <w:vAlign w:val="center"/>
          </w:tcPr>
          <w:p w14:paraId="3E727FF6">
            <w:pPr>
              <w:spacing w:line="360" w:lineRule="auto"/>
              <w:rPr>
                <w:color w:val="auto"/>
                <w:szCs w:val="21"/>
                <w:highlight w:val="none"/>
              </w:rPr>
            </w:pPr>
          </w:p>
        </w:tc>
      </w:tr>
      <w:tr w14:paraId="2565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37E209">
            <w:pPr>
              <w:spacing w:line="360" w:lineRule="auto"/>
              <w:rPr>
                <w:color w:val="auto"/>
                <w:szCs w:val="21"/>
                <w:highlight w:val="none"/>
              </w:rPr>
            </w:pPr>
            <w:r>
              <w:rPr>
                <w:rFonts w:hint="eastAsia"/>
                <w:color w:val="auto"/>
                <w:szCs w:val="21"/>
                <w:highlight w:val="none"/>
              </w:rPr>
              <w:t>3</w:t>
            </w:r>
          </w:p>
        </w:tc>
        <w:tc>
          <w:tcPr>
            <w:tcW w:w="6216" w:type="dxa"/>
            <w:shd w:val="clear" w:color="auto" w:fill="auto"/>
            <w:vAlign w:val="center"/>
          </w:tcPr>
          <w:p w14:paraId="2D67264A">
            <w:pPr>
              <w:pStyle w:val="54"/>
              <w:pageBreakBefore w:val="0"/>
              <w:widowControl w:val="0"/>
              <w:kinsoku/>
              <w:wordWrap/>
              <w:overflowPunct/>
              <w:topLinePunct w:val="0"/>
              <w:autoSpaceDE/>
              <w:autoSpaceDN/>
              <w:bidi w:val="0"/>
              <w:spacing w:line="332"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技术要求响应情况</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根据供应商提供的《技术参数偏离表》进行评分，满足全部要求的得</w:t>
            </w: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val="en-US" w:eastAsia="zh-CN"/>
              </w:rPr>
              <w:t>分，其中①带“</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”为重要技术参数，每负偏离一项扣2分；②其他未标注“</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”符号的技术参数每负偏离一项扣1分，扣完为止，正偏离不加分。</w:t>
            </w:r>
          </w:p>
          <w:p w14:paraId="05381A45">
            <w:pPr>
              <w:spacing w:line="360" w:lineRule="auto"/>
              <w:rPr>
                <w:color w:val="auto"/>
                <w:szCs w:val="21"/>
                <w:highlight w:val="none"/>
              </w:rPr>
            </w:pPr>
            <w:r>
              <w:rPr>
                <w:rFonts w:hint="eastAsia" w:ascii="宋体" w:hAnsi="宋体" w:eastAsia="宋体" w:cs="宋体"/>
                <w:bCs/>
                <w:color w:val="auto"/>
                <w:sz w:val="21"/>
                <w:szCs w:val="21"/>
                <w:highlight w:val="none"/>
                <w:lang w:val="en-US" w:eastAsia="zh-CN"/>
              </w:rPr>
              <w:t>注：投标文件采购需求技术参数，均需在响应偏离表中逐条应答，带“</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”技术参数需提供作证材料（功能截图），未响应及未按要求进行响应的，按负偏离处理。</w:t>
            </w:r>
          </w:p>
        </w:tc>
        <w:tc>
          <w:tcPr>
            <w:tcW w:w="784" w:type="dxa"/>
            <w:shd w:val="clear" w:color="auto" w:fill="auto"/>
            <w:vAlign w:val="center"/>
          </w:tcPr>
          <w:p w14:paraId="43E5430E">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20</w:t>
            </w:r>
          </w:p>
        </w:tc>
        <w:tc>
          <w:tcPr>
            <w:tcW w:w="959" w:type="dxa"/>
            <w:shd w:val="clear" w:color="auto" w:fill="auto"/>
            <w:vAlign w:val="center"/>
          </w:tcPr>
          <w:p w14:paraId="4DFD692F">
            <w:pPr>
              <w:spacing w:line="360" w:lineRule="auto"/>
              <w:jc w:val="center"/>
              <w:rPr>
                <w:color w:val="auto"/>
                <w:szCs w:val="21"/>
                <w:highlight w:val="none"/>
              </w:rPr>
            </w:pPr>
            <w:r>
              <w:rPr>
                <w:rFonts w:hint="eastAsia"/>
                <w:color w:val="auto"/>
                <w:szCs w:val="21"/>
                <w:highlight w:val="none"/>
                <w:lang w:val="en-US" w:eastAsia="zh-CN"/>
              </w:rPr>
              <w:t>客</w:t>
            </w:r>
            <w:r>
              <w:rPr>
                <w:rFonts w:hint="eastAsia"/>
                <w:color w:val="auto"/>
                <w:szCs w:val="21"/>
                <w:highlight w:val="none"/>
              </w:rPr>
              <w:t>观分</w:t>
            </w:r>
          </w:p>
        </w:tc>
        <w:tc>
          <w:tcPr>
            <w:tcW w:w="1376" w:type="dxa"/>
            <w:vAlign w:val="center"/>
          </w:tcPr>
          <w:p w14:paraId="412F056A">
            <w:pPr>
              <w:spacing w:line="360" w:lineRule="auto"/>
              <w:rPr>
                <w:color w:val="auto"/>
                <w:szCs w:val="21"/>
                <w:highlight w:val="none"/>
              </w:rPr>
            </w:pPr>
          </w:p>
        </w:tc>
      </w:tr>
      <w:tr w14:paraId="2789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F1DF183">
            <w:pPr>
              <w:spacing w:line="360" w:lineRule="auto"/>
              <w:rPr>
                <w:color w:val="auto"/>
                <w:szCs w:val="21"/>
                <w:highlight w:val="none"/>
              </w:rPr>
            </w:pPr>
            <w:r>
              <w:rPr>
                <w:rFonts w:hint="eastAsia"/>
                <w:color w:val="auto"/>
                <w:szCs w:val="21"/>
                <w:highlight w:val="none"/>
              </w:rPr>
              <w:t>4</w:t>
            </w:r>
          </w:p>
        </w:tc>
        <w:tc>
          <w:tcPr>
            <w:tcW w:w="6216" w:type="dxa"/>
            <w:shd w:val="clear" w:color="auto" w:fill="auto"/>
            <w:vAlign w:val="center"/>
          </w:tcPr>
          <w:p w14:paraId="5E1539FA">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bCs/>
                <w:color w:val="auto"/>
                <w:sz w:val="21"/>
                <w:szCs w:val="21"/>
                <w:highlight w:val="none"/>
                <w:lang w:val="en-US" w:eastAsia="zh-CN"/>
              </w:rPr>
              <w:t>素材及设备配备方案</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提供的</w:t>
            </w:r>
            <w:r>
              <w:rPr>
                <w:rFonts w:hint="eastAsia" w:ascii="宋体" w:hAnsi="宋体" w:eastAsia="宋体" w:cs="宋体"/>
                <w:kern w:val="0"/>
                <w:sz w:val="21"/>
                <w:szCs w:val="21"/>
                <w:highlight w:val="none"/>
              </w:rPr>
              <w:t>针对本项目拍摄的素材资源及设备配备进行综合评</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rPr>
              <w:t>：</w:t>
            </w:r>
          </w:p>
          <w:p w14:paraId="00BA6C9D">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视频类素材资源丰富，拍摄器材及制作设备配备完整，配备清单及方案针对性强，对本项目课程制作保障性强的得</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w:t>
            </w:r>
          </w:p>
          <w:p w14:paraId="09C71DED">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视频类素材资源较为丰富，拍摄器材及制作设备配备基本完整，配备清单及方案针对性一般，对本项目课程制作保障性较强的得</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w:t>
            </w:r>
          </w:p>
          <w:p w14:paraId="7B63C07E">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视频类素材资源不够丰富，拍摄器材及制作设备配备不完整，配备清单及方案及针对性不强，对课程制作保障性不足的得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w:t>
            </w:r>
          </w:p>
          <w:p w14:paraId="516B5477">
            <w:pPr>
              <w:spacing w:line="360" w:lineRule="auto"/>
              <w:rPr>
                <w:color w:val="auto"/>
                <w:szCs w:val="21"/>
                <w:highlight w:val="none"/>
              </w:rPr>
            </w:pPr>
            <w:r>
              <w:rPr>
                <w:rFonts w:hint="eastAsia" w:ascii="宋体" w:hAnsi="宋体" w:eastAsia="宋体" w:cs="宋体"/>
                <w:kern w:val="0"/>
                <w:sz w:val="21"/>
                <w:szCs w:val="21"/>
                <w:highlight w:val="none"/>
              </w:rPr>
              <w:t>未提供素材及设备配备方案或方案</w:t>
            </w:r>
            <w:r>
              <w:rPr>
                <w:rFonts w:hint="eastAsia" w:ascii="宋体" w:hAnsi="宋体" w:eastAsia="宋体" w:cs="宋体"/>
                <w:kern w:val="0"/>
                <w:sz w:val="21"/>
                <w:szCs w:val="21"/>
                <w:highlight w:val="none"/>
                <w:lang w:val="en-US" w:eastAsia="zh-CN"/>
              </w:rPr>
              <w:t>不可行</w:t>
            </w:r>
            <w:r>
              <w:rPr>
                <w:rFonts w:hint="eastAsia" w:ascii="宋体" w:hAnsi="宋体" w:eastAsia="宋体" w:cs="宋体"/>
                <w:kern w:val="0"/>
                <w:sz w:val="21"/>
                <w:szCs w:val="21"/>
                <w:highlight w:val="none"/>
              </w:rPr>
              <w:t>的不得分。</w:t>
            </w:r>
          </w:p>
        </w:tc>
        <w:tc>
          <w:tcPr>
            <w:tcW w:w="784" w:type="dxa"/>
            <w:shd w:val="clear" w:color="auto" w:fill="auto"/>
            <w:vAlign w:val="center"/>
          </w:tcPr>
          <w:p w14:paraId="3A829AC2">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8</w:t>
            </w:r>
          </w:p>
        </w:tc>
        <w:tc>
          <w:tcPr>
            <w:tcW w:w="959" w:type="dxa"/>
            <w:shd w:val="clear" w:color="auto" w:fill="auto"/>
            <w:vAlign w:val="center"/>
          </w:tcPr>
          <w:p w14:paraId="773FE03F">
            <w:pPr>
              <w:spacing w:line="360" w:lineRule="auto"/>
              <w:jc w:val="center"/>
              <w:rPr>
                <w:color w:val="auto"/>
                <w:szCs w:val="21"/>
                <w:highlight w:val="none"/>
              </w:rPr>
            </w:pPr>
            <w:r>
              <w:rPr>
                <w:rFonts w:hint="eastAsia"/>
                <w:color w:val="auto"/>
                <w:szCs w:val="21"/>
                <w:highlight w:val="none"/>
              </w:rPr>
              <w:t>主观分</w:t>
            </w:r>
          </w:p>
        </w:tc>
        <w:tc>
          <w:tcPr>
            <w:tcW w:w="1376" w:type="dxa"/>
          </w:tcPr>
          <w:p w14:paraId="7742C0AF">
            <w:pPr>
              <w:spacing w:line="360" w:lineRule="auto"/>
              <w:rPr>
                <w:color w:val="auto"/>
                <w:szCs w:val="21"/>
                <w:highlight w:val="none"/>
              </w:rPr>
            </w:pPr>
          </w:p>
        </w:tc>
      </w:tr>
      <w:tr w14:paraId="3734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561563A">
            <w:pPr>
              <w:spacing w:line="360" w:lineRule="auto"/>
              <w:rPr>
                <w:color w:val="auto"/>
                <w:szCs w:val="21"/>
                <w:highlight w:val="none"/>
              </w:rPr>
            </w:pPr>
            <w:r>
              <w:rPr>
                <w:rFonts w:hint="eastAsia"/>
                <w:color w:val="auto"/>
                <w:szCs w:val="21"/>
                <w:highlight w:val="none"/>
              </w:rPr>
              <w:t>5</w:t>
            </w:r>
          </w:p>
        </w:tc>
        <w:tc>
          <w:tcPr>
            <w:tcW w:w="6216" w:type="dxa"/>
            <w:shd w:val="clear" w:color="auto" w:fill="auto"/>
            <w:vAlign w:val="center"/>
          </w:tcPr>
          <w:p w14:paraId="5EA5F837">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人员配备及安排</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供应商提供的</w:t>
            </w:r>
            <w:r>
              <w:rPr>
                <w:rFonts w:hint="eastAsia" w:ascii="宋体" w:hAnsi="宋体" w:eastAsia="宋体" w:cs="宋体"/>
                <w:sz w:val="21"/>
                <w:szCs w:val="21"/>
                <w:highlight w:val="none"/>
              </w:rPr>
              <w:t>针对本项目的人员配备安排进行综合评</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p w14:paraId="68A6D66F">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人员安排充足，专业完整，岗位设定及分工合理，结构图清晰完善，能够有效保障课程制作的得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326FC219">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人员安排较为合理，专业基本完整，岗位分工明确，结构图较为清晰完善，基本符合采购文件要求，对课程制作保障性较强的得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536CF417">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人员安排基本合理，专业有所欠缺，但分工明确，各岗有人，结构图不够清晰完善，整体有所欠缺，对课程制作保障性一般的得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4226C29C">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人员安排合理性一般，未能提供人员组织结构图，整体保障性较差的得1分；</w:t>
            </w:r>
          </w:p>
          <w:p w14:paraId="3057D559">
            <w:pPr>
              <w:spacing w:line="360" w:lineRule="auto"/>
              <w:rPr>
                <w:rFonts w:hint="eastAsia" w:eastAsia="宋体"/>
                <w:color w:val="auto"/>
                <w:szCs w:val="21"/>
                <w:highlight w:val="none"/>
                <w:lang w:eastAsia="zh-CN"/>
              </w:rPr>
            </w:pPr>
            <w:r>
              <w:rPr>
                <w:rFonts w:hint="eastAsia" w:ascii="宋体" w:hAnsi="宋体" w:eastAsia="宋体" w:cs="宋体"/>
                <w:sz w:val="21"/>
                <w:szCs w:val="21"/>
                <w:highlight w:val="none"/>
              </w:rPr>
              <w:t>未提供人员配备安排的不得分。</w:t>
            </w:r>
          </w:p>
        </w:tc>
        <w:tc>
          <w:tcPr>
            <w:tcW w:w="784" w:type="dxa"/>
            <w:shd w:val="clear" w:color="auto" w:fill="auto"/>
            <w:vAlign w:val="center"/>
          </w:tcPr>
          <w:p w14:paraId="69643132">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6</w:t>
            </w:r>
          </w:p>
        </w:tc>
        <w:tc>
          <w:tcPr>
            <w:tcW w:w="959" w:type="dxa"/>
            <w:shd w:val="clear" w:color="auto" w:fill="auto"/>
            <w:vAlign w:val="center"/>
          </w:tcPr>
          <w:p w14:paraId="3DE08DE7">
            <w:pPr>
              <w:spacing w:line="360" w:lineRule="auto"/>
              <w:jc w:val="center"/>
              <w:rPr>
                <w:color w:val="auto"/>
                <w:szCs w:val="21"/>
                <w:highlight w:val="none"/>
              </w:rPr>
            </w:pPr>
            <w:r>
              <w:rPr>
                <w:rFonts w:hint="eastAsia"/>
                <w:color w:val="auto"/>
                <w:szCs w:val="21"/>
                <w:highlight w:val="none"/>
              </w:rPr>
              <w:t>主观分</w:t>
            </w:r>
          </w:p>
        </w:tc>
        <w:tc>
          <w:tcPr>
            <w:tcW w:w="1376" w:type="dxa"/>
          </w:tcPr>
          <w:p w14:paraId="4E816918">
            <w:pPr>
              <w:spacing w:line="360" w:lineRule="auto"/>
              <w:rPr>
                <w:color w:val="auto"/>
                <w:szCs w:val="21"/>
                <w:highlight w:val="none"/>
              </w:rPr>
            </w:pPr>
          </w:p>
        </w:tc>
      </w:tr>
      <w:tr w14:paraId="5AEC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ACB4757">
            <w:pPr>
              <w:spacing w:line="360" w:lineRule="auto"/>
              <w:rPr>
                <w:color w:val="auto"/>
                <w:szCs w:val="21"/>
                <w:highlight w:val="none"/>
              </w:rPr>
            </w:pPr>
            <w:r>
              <w:rPr>
                <w:rFonts w:hint="eastAsia"/>
                <w:color w:val="auto"/>
                <w:szCs w:val="21"/>
                <w:highlight w:val="none"/>
              </w:rPr>
              <w:t>6</w:t>
            </w:r>
          </w:p>
        </w:tc>
        <w:tc>
          <w:tcPr>
            <w:tcW w:w="6216" w:type="dxa"/>
            <w:shd w:val="clear" w:color="auto" w:fill="auto"/>
            <w:vAlign w:val="center"/>
          </w:tcPr>
          <w:p w14:paraId="6467BEB9">
            <w:pPr>
              <w:spacing w:line="360" w:lineRule="auto"/>
              <w:rPr>
                <w:color w:val="auto"/>
                <w:szCs w:val="21"/>
                <w:highlight w:val="none"/>
              </w:rPr>
            </w:pPr>
            <w:r>
              <w:rPr>
                <w:rFonts w:hint="eastAsia" w:ascii="宋体" w:hAnsi="宋体" w:eastAsia="宋体" w:cs="宋体"/>
                <w:bCs/>
                <w:color w:val="auto"/>
                <w:sz w:val="21"/>
                <w:szCs w:val="21"/>
                <w:highlight w:val="none"/>
                <w:lang w:val="en-US" w:eastAsia="zh-CN"/>
              </w:rPr>
              <w:t>团队人员</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color w:val="auto"/>
                <w:sz w:val="21"/>
                <w:szCs w:val="21"/>
                <w:highlight w:val="none"/>
              </w:rPr>
              <w:t>针对本项目拟派的人员</w:t>
            </w:r>
            <w:r>
              <w:rPr>
                <w:rFonts w:hint="eastAsia" w:ascii="宋体" w:hAnsi="宋体" w:eastAsia="宋体" w:cs="宋体"/>
                <w:color w:val="auto"/>
                <w:sz w:val="21"/>
                <w:szCs w:val="21"/>
                <w:highlight w:val="none"/>
                <w:lang w:val="en-US" w:eastAsia="zh-CN"/>
              </w:rPr>
              <w:t>具有职业教育相关国家级专业建设或全国技术能手等与专业技术有关方面的国家级荣誉奖项，提供政府部门颁发的有效的证书复印件、对应人员身份证复印件得2分，满分2分。</w:t>
            </w:r>
          </w:p>
        </w:tc>
        <w:tc>
          <w:tcPr>
            <w:tcW w:w="784" w:type="dxa"/>
            <w:shd w:val="clear" w:color="auto" w:fill="auto"/>
            <w:vAlign w:val="center"/>
          </w:tcPr>
          <w:p w14:paraId="724763E7">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959" w:type="dxa"/>
            <w:shd w:val="clear" w:color="auto" w:fill="auto"/>
            <w:vAlign w:val="center"/>
          </w:tcPr>
          <w:p w14:paraId="6B2C25A0">
            <w:pPr>
              <w:spacing w:line="360" w:lineRule="auto"/>
              <w:jc w:val="center"/>
              <w:rPr>
                <w:color w:val="auto"/>
                <w:szCs w:val="21"/>
                <w:highlight w:val="none"/>
              </w:rPr>
            </w:pPr>
            <w:r>
              <w:rPr>
                <w:rFonts w:hint="eastAsia"/>
                <w:color w:val="auto"/>
                <w:szCs w:val="21"/>
                <w:highlight w:val="none"/>
                <w:lang w:val="en-US" w:eastAsia="zh-CN"/>
              </w:rPr>
              <w:t>客</w:t>
            </w:r>
            <w:r>
              <w:rPr>
                <w:rFonts w:hint="eastAsia"/>
                <w:color w:val="auto"/>
                <w:szCs w:val="21"/>
                <w:highlight w:val="none"/>
              </w:rPr>
              <w:t>观分</w:t>
            </w:r>
          </w:p>
          <w:p w14:paraId="6C74E721">
            <w:pPr>
              <w:rPr>
                <w:highlight w:val="none"/>
              </w:rPr>
            </w:pPr>
          </w:p>
        </w:tc>
        <w:tc>
          <w:tcPr>
            <w:tcW w:w="1376" w:type="dxa"/>
          </w:tcPr>
          <w:p w14:paraId="18AE61C7">
            <w:pPr>
              <w:spacing w:line="360" w:lineRule="auto"/>
              <w:rPr>
                <w:color w:val="auto"/>
                <w:szCs w:val="21"/>
                <w:highlight w:val="none"/>
              </w:rPr>
            </w:pPr>
          </w:p>
        </w:tc>
      </w:tr>
      <w:tr w14:paraId="613F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26DED83">
            <w:pPr>
              <w:spacing w:line="360" w:lineRule="auto"/>
              <w:rPr>
                <w:color w:val="auto"/>
                <w:szCs w:val="21"/>
                <w:highlight w:val="none"/>
              </w:rPr>
            </w:pPr>
            <w:r>
              <w:rPr>
                <w:rFonts w:hint="eastAsia"/>
                <w:color w:val="auto"/>
                <w:szCs w:val="21"/>
                <w:highlight w:val="none"/>
              </w:rPr>
              <w:t>7</w:t>
            </w:r>
          </w:p>
        </w:tc>
        <w:tc>
          <w:tcPr>
            <w:tcW w:w="6216" w:type="dxa"/>
            <w:shd w:val="clear" w:color="auto" w:fill="auto"/>
            <w:vAlign w:val="center"/>
          </w:tcPr>
          <w:p w14:paraId="58777C59">
            <w:pPr>
              <w:pStyle w:val="54"/>
              <w:pageBreakBefore w:val="0"/>
              <w:widowControl w:val="0"/>
              <w:kinsoku/>
              <w:wordWrap/>
              <w:overflowPunct/>
              <w:topLinePunct w:val="0"/>
              <w:autoSpaceDE/>
              <w:autoSpaceDN/>
              <w:bidi w:val="0"/>
              <w:spacing w:line="332" w:lineRule="auto"/>
              <w:jc w:val="both"/>
              <w:rPr>
                <w:rFonts w:hint="eastAsia" w:ascii="宋体" w:hAnsi="宋体" w:eastAsia="宋体" w:cs="宋体"/>
                <w:kern w:val="0"/>
                <w:sz w:val="21"/>
                <w:szCs w:val="21"/>
                <w:highlight w:val="none"/>
                <w:lang w:val="en-US" w:eastAsia="zh-CN"/>
              </w:rPr>
            </w:pPr>
            <w:r>
              <w:rPr>
                <w:rFonts w:hint="eastAsia" w:ascii="宋体" w:hAnsi="宋体" w:eastAsia="宋体" w:cs="宋体"/>
                <w:bCs/>
                <w:color w:val="auto"/>
                <w:sz w:val="21"/>
                <w:szCs w:val="21"/>
                <w:highlight w:val="none"/>
                <w:lang w:val="en-US" w:eastAsia="zh-CN"/>
              </w:rPr>
              <w:t>服务方案</w:t>
            </w:r>
            <w:r>
              <w:rPr>
                <w:rFonts w:hint="eastAsia" w:ascii="宋体" w:hAnsi="宋体" w:cs="宋体"/>
                <w:bCs/>
                <w:color w:val="auto"/>
                <w:sz w:val="21"/>
                <w:szCs w:val="21"/>
                <w:highlight w:val="none"/>
                <w:lang w:val="en-US" w:eastAsia="zh-CN"/>
              </w:rPr>
              <w:t>：</w:t>
            </w:r>
            <w:r>
              <w:rPr>
                <w:rFonts w:hint="eastAsia" w:ascii="宋体" w:hAnsi="宋体" w:eastAsia="宋体" w:cs="宋体"/>
                <w:kern w:val="0"/>
                <w:sz w:val="21"/>
                <w:szCs w:val="21"/>
                <w:highlight w:val="none"/>
                <w:lang w:val="en-US" w:eastAsia="zh-CN"/>
              </w:rPr>
              <w:t>根据供应商提供的针对本项目的服务方案进行综合评分。整体服务方案</w:t>
            </w:r>
            <w:r>
              <w:rPr>
                <w:rFonts w:hint="eastAsia" w:ascii="宋体" w:hAnsi="宋体" w:eastAsia="宋体" w:cs="宋体"/>
                <w:kern w:val="0"/>
                <w:sz w:val="21"/>
                <w:szCs w:val="21"/>
                <w:highlight w:val="none"/>
              </w:rPr>
              <w:t>内容全面具体、合理可行，安排细致有针对性，</w:t>
            </w:r>
            <w:r>
              <w:rPr>
                <w:rFonts w:hint="eastAsia" w:ascii="宋体" w:hAnsi="宋体" w:eastAsia="宋体" w:cs="宋体"/>
                <w:kern w:val="0"/>
                <w:sz w:val="21"/>
                <w:szCs w:val="21"/>
                <w:highlight w:val="none"/>
                <w:lang w:val="en-US" w:eastAsia="zh-CN"/>
              </w:rPr>
              <w:t>能够有效保障服务预期效果得8分；</w:t>
            </w:r>
          </w:p>
          <w:p w14:paraId="4D87DE53">
            <w:pPr>
              <w:pStyle w:val="54"/>
              <w:pageBreakBefore w:val="0"/>
              <w:widowControl w:val="0"/>
              <w:kinsoku/>
              <w:wordWrap/>
              <w:overflowPunct/>
              <w:topLinePunct w:val="0"/>
              <w:autoSpaceDE/>
              <w:autoSpaceDN/>
              <w:bidi w:val="0"/>
              <w:spacing w:line="332" w:lineRule="auto"/>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服务方案</w:t>
            </w:r>
            <w:r>
              <w:rPr>
                <w:rFonts w:hint="eastAsia" w:ascii="宋体" w:hAnsi="宋体" w:eastAsia="宋体" w:cs="宋体"/>
                <w:kern w:val="0"/>
                <w:sz w:val="21"/>
                <w:szCs w:val="21"/>
                <w:highlight w:val="none"/>
              </w:rPr>
              <w:t>内容较全面具体、较合理可行，较为有针对性，对培训效果有一定保障的得</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w:t>
            </w:r>
          </w:p>
          <w:p w14:paraId="78743DB9">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方案内容一般，有一定针对性和可行性，培训效果保障一般的得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 xml:space="preserve">分； </w:t>
            </w:r>
          </w:p>
          <w:p w14:paraId="515B743B">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整体</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方案内容不全面，合理可行性和针对性较差，对培训效果保障性差的得1分；</w:t>
            </w:r>
          </w:p>
          <w:p w14:paraId="7DF97830">
            <w:pPr>
              <w:spacing w:line="360" w:lineRule="auto"/>
              <w:rPr>
                <w:color w:val="auto"/>
                <w:szCs w:val="21"/>
                <w:highlight w:val="none"/>
              </w:rPr>
            </w:pPr>
            <w:r>
              <w:rPr>
                <w:rFonts w:hint="eastAsia" w:ascii="宋体" w:hAnsi="宋体" w:eastAsia="宋体" w:cs="宋体"/>
                <w:kern w:val="0"/>
                <w:sz w:val="21"/>
                <w:szCs w:val="21"/>
                <w:highlight w:val="none"/>
              </w:rPr>
              <w:t>未提供</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方案的不得分。</w:t>
            </w:r>
          </w:p>
        </w:tc>
        <w:tc>
          <w:tcPr>
            <w:tcW w:w="784" w:type="dxa"/>
            <w:shd w:val="clear" w:color="auto" w:fill="auto"/>
            <w:vAlign w:val="center"/>
          </w:tcPr>
          <w:p w14:paraId="29FF56A7">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8</w:t>
            </w:r>
          </w:p>
        </w:tc>
        <w:tc>
          <w:tcPr>
            <w:tcW w:w="959" w:type="dxa"/>
            <w:shd w:val="clear" w:color="auto" w:fill="auto"/>
            <w:vAlign w:val="center"/>
          </w:tcPr>
          <w:p w14:paraId="7249D8CD">
            <w:pPr>
              <w:spacing w:line="360" w:lineRule="auto"/>
              <w:jc w:val="center"/>
              <w:rPr>
                <w:color w:val="auto"/>
                <w:szCs w:val="21"/>
                <w:highlight w:val="none"/>
              </w:rPr>
            </w:pPr>
            <w:r>
              <w:rPr>
                <w:rFonts w:hint="eastAsia"/>
                <w:color w:val="auto"/>
                <w:szCs w:val="21"/>
                <w:highlight w:val="none"/>
              </w:rPr>
              <w:t>主观分</w:t>
            </w:r>
          </w:p>
        </w:tc>
        <w:tc>
          <w:tcPr>
            <w:tcW w:w="1376" w:type="dxa"/>
          </w:tcPr>
          <w:p w14:paraId="49FDDF2C">
            <w:pPr>
              <w:spacing w:line="360" w:lineRule="auto"/>
              <w:rPr>
                <w:color w:val="auto"/>
                <w:szCs w:val="21"/>
                <w:highlight w:val="none"/>
              </w:rPr>
            </w:pPr>
          </w:p>
        </w:tc>
      </w:tr>
      <w:tr w14:paraId="78FA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839A081">
            <w:pPr>
              <w:spacing w:line="360" w:lineRule="auto"/>
              <w:rPr>
                <w:color w:val="auto"/>
                <w:szCs w:val="21"/>
                <w:highlight w:val="none"/>
              </w:rPr>
            </w:pPr>
            <w:r>
              <w:rPr>
                <w:rFonts w:hint="eastAsia"/>
                <w:color w:val="auto"/>
                <w:szCs w:val="21"/>
                <w:highlight w:val="none"/>
              </w:rPr>
              <w:t>8</w:t>
            </w:r>
          </w:p>
        </w:tc>
        <w:tc>
          <w:tcPr>
            <w:tcW w:w="6216" w:type="dxa"/>
            <w:shd w:val="clear" w:color="auto" w:fill="auto"/>
            <w:vAlign w:val="center"/>
          </w:tcPr>
          <w:p w14:paraId="1E377E8D">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培训方案</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供应商</w:t>
            </w:r>
            <w:r>
              <w:rPr>
                <w:rFonts w:hint="eastAsia" w:ascii="宋体" w:hAnsi="宋体" w:eastAsia="宋体" w:cs="宋体"/>
                <w:kern w:val="0"/>
                <w:sz w:val="21"/>
                <w:szCs w:val="21"/>
                <w:highlight w:val="none"/>
              </w:rPr>
              <w:t>提供的针对本项目的培训方案进行综合评</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rPr>
              <w:t>。</w:t>
            </w:r>
          </w:p>
          <w:p w14:paraId="1354E2F3">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整体培训方案内容全面具体、合理可行，安排细致有针对性，能够有效保障培训预期效果得</w:t>
            </w: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分；</w:t>
            </w:r>
          </w:p>
          <w:p w14:paraId="77E83123">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整体培训方案内容较全面具体、较合理可行，较为有针对性，对培训效果有一定保障的得</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分；</w:t>
            </w:r>
          </w:p>
          <w:p w14:paraId="3024FA7F">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培训方案内容一般，有一定针对性和可行性，培训效果保障一般的得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 xml:space="preserve">分； </w:t>
            </w:r>
          </w:p>
          <w:p w14:paraId="6B0636E7">
            <w:pPr>
              <w:pageBreakBefore w:val="0"/>
              <w:kinsoku/>
              <w:wordWrap/>
              <w:overflowPunct/>
              <w:topLinePunct w:val="0"/>
              <w:autoSpaceDE/>
              <w:autoSpaceDN/>
              <w:bidi w:val="0"/>
              <w:adjustRightInd w:val="0"/>
              <w:snapToGrid w:val="0"/>
              <w:spacing w:line="332"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整体培训方案内容不全面，合理可行性和针对性较差，对培训效果保障性差的得1分；</w:t>
            </w:r>
          </w:p>
          <w:p w14:paraId="2FC67209">
            <w:pPr>
              <w:spacing w:line="360" w:lineRule="auto"/>
              <w:rPr>
                <w:rFonts w:hint="eastAsia" w:eastAsia="宋体"/>
                <w:color w:val="auto"/>
                <w:szCs w:val="21"/>
                <w:highlight w:val="none"/>
                <w:lang w:eastAsia="zh-CN"/>
              </w:rPr>
            </w:pPr>
            <w:r>
              <w:rPr>
                <w:rFonts w:hint="eastAsia" w:ascii="宋体" w:hAnsi="宋体" w:eastAsia="宋体" w:cs="宋体"/>
                <w:kern w:val="0"/>
                <w:sz w:val="21"/>
                <w:szCs w:val="21"/>
                <w:highlight w:val="none"/>
              </w:rPr>
              <w:t>未提供培训方案的不得分。</w:t>
            </w:r>
          </w:p>
        </w:tc>
        <w:tc>
          <w:tcPr>
            <w:tcW w:w="784" w:type="dxa"/>
            <w:shd w:val="clear" w:color="auto" w:fill="auto"/>
            <w:vAlign w:val="center"/>
          </w:tcPr>
          <w:p w14:paraId="18A84E4B">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8</w:t>
            </w:r>
          </w:p>
        </w:tc>
        <w:tc>
          <w:tcPr>
            <w:tcW w:w="959" w:type="dxa"/>
            <w:shd w:val="clear" w:color="auto" w:fill="auto"/>
            <w:vAlign w:val="center"/>
          </w:tcPr>
          <w:p w14:paraId="5947696E">
            <w:pPr>
              <w:spacing w:line="360" w:lineRule="auto"/>
              <w:jc w:val="center"/>
              <w:rPr>
                <w:color w:val="auto"/>
                <w:szCs w:val="21"/>
                <w:highlight w:val="none"/>
              </w:rPr>
            </w:pPr>
            <w:r>
              <w:rPr>
                <w:rFonts w:hint="eastAsia"/>
                <w:color w:val="auto"/>
                <w:szCs w:val="21"/>
                <w:highlight w:val="none"/>
              </w:rPr>
              <w:t>主观分</w:t>
            </w:r>
          </w:p>
        </w:tc>
        <w:tc>
          <w:tcPr>
            <w:tcW w:w="1376" w:type="dxa"/>
          </w:tcPr>
          <w:p w14:paraId="4583A080">
            <w:pPr>
              <w:spacing w:line="360" w:lineRule="auto"/>
              <w:rPr>
                <w:color w:val="auto"/>
                <w:szCs w:val="21"/>
                <w:highlight w:val="none"/>
              </w:rPr>
            </w:pPr>
          </w:p>
        </w:tc>
      </w:tr>
      <w:tr w14:paraId="64DD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92C820C">
            <w:pPr>
              <w:spacing w:line="360" w:lineRule="auto"/>
              <w:rPr>
                <w:rFonts w:hint="eastAsia" w:eastAsia="宋体"/>
                <w:color w:val="auto"/>
                <w:szCs w:val="21"/>
                <w:highlight w:val="none"/>
                <w:lang w:val="en-US" w:eastAsia="zh-CN"/>
              </w:rPr>
            </w:pPr>
            <w:r>
              <w:rPr>
                <w:rFonts w:hint="eastAsia"/>
                <w:color w:val="auto"/>
                <w:szCs w:val="21"/>
                <w:highlight w:val="none"/>
                <w:lang w:val="en-US" w:eastAsia="zh-CN"/>
              </w:rPr>
              <w:t>9</w:t>
            </w:r>
          </w:p>
        </w:tc>
        <w:tc>
          <w:tcPr>
            <w:tcW w:w="6216" w:type="dxa"/>
            <w:shd w:val="clear" w:color="auto" w:fill="auto"/>
            <w:vAlign w:val="center"/>
          </w:tcPr>
          <w:p w14:paraId="7073634E">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售后方案及承诺</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供应商</w:t>
            </w:r>
            <w:r>
              <w:rPr>
                <w:rFonts w:hint="eastAsia" w:ascii="宋体" w:hAnsi="宋体" w:eastAsia="宋体" w:cs="宋体"/>
                <w:kern w:val="0"/>
                <w:sz w:val="21"/>
                <w:szCs w:val="21"/>
                <w:highlight w:val="none"/>
              </w:rPr>
              <w:t>提供</w:t>
            </w:r>
            <w:r>
              <w:rPr>
                <w:rFonts w:hint="eastAsia" w:ascii="宋体" w:hAnsi="宋体" w:eastAsia="宋体" w:cs="宋体"/>
                <w:sz w:val="21"/>
                <w:szCs w:val="21"/>
                <w:highlight w:val="none"/>
              </w:rPr>
              <w:t>售后服务方案进行综合评</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p w14:paraId="147CA279">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售后服务方案完善、合理、可行、周全，技术支持及时，能够迅速有效的解决问题，整体服务保障性强得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14:paraId="53CBBEDD">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售后</w:t>
            </w:r>
            <w:r>
              <w:rPr>
                <w:rFonts w:hint="eastAsia" w:ascii="宋体" w:hAnsi="宋体" w:eastAsia="宋体" w:cs="宋体"/>
                <w:sz w:val="21"/>
                <w:szCs w:val="21"/>
                <w:highlight w:val="none"/>
              </w:rPr>
              <w:t>服务方案较为完善可行，考虑较为周全，技术支持较为迅速，能较为及时解决问题，保障性较强的得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45A92787">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售后</w:t>
            </w:r>
            <w:r>
              <w:rPr>
                <w:rFonts w:hint="eastAsia" w:ascii="宋体" w:hAnsi="宋体" w:eastAsia="宋体" w:cs="宋体"/>
                <w:sz w:val="21"/>
                <w:szCs w:val="21"/>
                <w:highlight w:val="none"/>
              </w:rPr>
              <w:t>服务方案基本完善，有一定可行性，问题解决及服务较为迟缓，保障性一般的得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2335147E">
            <w:pPr>
              <w:pageBreakBefore w:val="0"/>
              <w:kinsoku/>
              <w:wordWrap/>
              <w:overflowPunct/>
              <w:topLinePunct w:val="0"/>
              <w:autoSpaceDE/>
              <w:autoSpaceDN/>
              <w:bidi w:val="0"/>
              <w:adjustRightInd w:val="0"/>
              <w:snapToGrid w:val="0"/>
              <w:spacing w:line="33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售后服务方案简单，问题解决及服务不够及时，保障性有所欠缺的得1分；</w:t>
            </w:r>
          </w:p>
          <w:p w14:paraId="0BB354FC">
            <w:pPr>
              <w:pageBreakBefore w:val="0"/>
              <w:kinsoku/>
              <w:wordWrap/>
              <w:overflowPunct/>
              <w:topLinePunct w:val="0"/>
              <w:autoSpaceDE/>
              <w:autoSpaceDN/>
              <w:bidi w:val="0"/>
              <w:spacing w:line="332" w:lineRule="auto"/>
              <w:jc w:val="both"/>
              <w:rPr>
                <w:color w:val="auto"/>
                <w:szCs w:val="21"/>
                <w:highlight w:val="none"/>
              </w:rPr>
            </w:pPr>
            <w:r>
              <w:rPr>
                <w:rFonts w:hint="eastAsia" w:ascii="宋体" w:hAnsi="宋体" w:eastAsia="宋体" w:cs="宋体"/>
                <w:kern w:val="0"/>
                <w:sz w:val="21"/>
                <w:szCs w:val="21"/>
                <w:highlight w:val="none"/>
              </w:rPr>
              <w:t>未提供培训方案的不得分。</w:t>
            </w:r>
          </w:p>
        </w:tc>
        <w:tc>
          <w:tcPr>
            <w:tcW w:w="784" w:type="dxa"/>
            <w:shd w:val="clear" w:color="auto" w:fill="auto"/>
            <w:vAlign w:val="center"/>
          </w:tcPr>
          <w:p w14:paraId="2EDA0E4E">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8</w:t>
            </w:r>
          </w:p>
        </w:tc>
        <w:tc>
          <w:tcPr>
            <w:tcW w:w="959" w:type="dxa"/>
            <w:shd w:val="clear" w:color="auto" w:fill="auto"/>
            <w:vAlign w:val="center"/>
          </w:tcPr>
          <w:p w14:paraId="586CE42F">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主观分</w:t>
            </w:r>
          </w:p>
        </w:tc>
        <w:tc>
          <w:tcPr>
            <w:tcW w:w="1376" w:type="dxa"/>
          </w:tcPr>
          <w:p w14:paraId="04D627DB">
            <w:pPr>
              <w:spacing w:line="360" w:lineRule="auto"/>
              <w:rPr>
                <w:color w:val="auto"/>
                <w:szCs w:val="21"/>
                <w:highlight w:val="none"/>
              </w:rPr>
            </w:pPr>
          </w:p>
        </w:tc>
      </w:tr>
      <w:tr w14:paraId="729E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C635914">
            <w:pPr>
              <w:spacing w:line="360" w:lineRule="auto"/>
              <w:rPr>
                <w:rFonts w:hint="default" w:eastAsia="宋体"/>
                <w:color w:val="auto"/>
                <w:szCs w:val="21"/>
                <w:highlight w:val="none"/>
                <w:lang w:val="en-US" w:eastAsia="zh-CN"/>
              </w:rPr>
            </w:pPr>
            <w:r>
              <w:rPr>
                <w:rFonts w:hint="eastAsia"/>
                <w:color w:val="auto"/>
                <w:szCs w:val="21"/>
                <w:highlight w:val="none"/>
                <w:lang w:val="en-US" w:eastAsia="zh-CN"/>
              </w:rPr>
              <w:t>10</w:t>
            </w:r>
          </w:p>
        </w:tc>
        <w:tc>
          <w:tcPr>
            <w:tcW w:w="6216" w:type="dxa"/>
            <w:shd w:val="clear" w:color="auto" w:fill="auto"/>
            <w:vAlign w:val="center"/>
          </w:tcPr>
          <w:p w14:paraId="3F34CB94">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现场演示</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供应商须提供真实系统进行现场演示佐证以下内容，不接受demo账号、非原始视频的视频讲解、PPT等演示，演示所需设备由供应商自行准备，现场仅供电源，演示时间不超过15分钟，未演示或演示与要求不一致不得分：</w:t>
            </w:r>
          </w:p>
          <w:p w14:paraId="6572A9BA">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（1）投标人演示提供近三年（2022-2024）类似项目比赛获奖作品的课堂实录视频片段、课堂实录脚本、实施报告、人才培养方案、课程标准、教案等参赛材料，并提供获奖证明。演示1个完整作品得1分，最</w:t>
            </w:r>
            <w:bookmarkStart w:id="136" w:name="_GoBack"/>
            <w:r>
              <w:rPr>
                <w:rFonts w:hint="eastAsia" w:ascii="宋体" w:hAnsi="宋体" w:eastAsia="宋体" w:cs="宋体"/>
                <w:bCs/>
                <w:color w:val="auto"/>
                <w:kern w:val="0"/>
                <w:sz w:val="21"/>
                <w:szCs w:val="21"/>
                <w:highlight w:val="none"/>
                <w:lang w:val="en-US" w:eastAsia="zh-CN"/>
              </w:rPr>
              <w:t>多</w:t>
            </w:r>
            <w:r>
              <w:rPr>
                <w:rFonts w:hint="eastAsia" w:ascii="宋体" w:hAnsi="宋体" w:eastAsia="宋体" w:cs="宋体"/>
                <w:bCs/>
                <w:color w:val="0000FF"/>
                <w:kern w:val="0"/>
                <w:sz w:val="21"/>
                <w:szCs w:val="21"/>
                <w:highlight w:val="none"/>
                <w:lang w:val="en-US" w:eastAsia="zh-CN"/>
              </w:rPr>
              <w:t>得4分;</w:t>
            </w:r>
          </w:p>
          <w:p w14:paraId="3D544D7E">
            <w:pPr>
              <w:pageBreakBefore w:val="0"/>
              <w:widowControl/>
              <w:kinsoku/>
              <w:wordWrap/>
              <w:overflowPunct/>
              <w:topLinePunct w:val="0"/>
              <w:autoSpaceDE/>
              <w:autoSpaceDN/>
              <w:bidi w:val="0"/>
              <w:spacing w:line="332" w:lineRule="auto"/>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bCs/>
                <w:color w:val="auto"/>
                <w:kern w:val="0"/>
                <w:sz w:val="21"/>
                <w:szCs w:val="21"/>
                <w:highlight w:val="none"/>
                <w:lang w:val="en-US" w:eastAsia="zh-CN"/>
              </w:rPr>
              <w:t>（2）作品数据安全防护演示，每演示一项得1分，演示全部功能得</w:t>
            </w:r>
            <w:r>
              <w:rPr>
                <w:rFonts w:hint="eastAsia" w:ascii="宋体" w:hAnsi="宋体" w:eastAsia="宋体" w:cs="宋体"/>
                <w:bCs/>
                <w:color w:val="0000FF"/>
                <w:kern w:val="0"/>
                <w:sz w:val="21"/>
                <w:szCs w:val="21"/>
                <w:highlight w:val="none"/>
                <w:lang w:val="en-US" w:eastAsia="zh-CN"/>
              </w:rPr>
              <w:t>6分</w:t>
            </w:r>
            <w:r>
              <w:rPr>
                <w:rFonts w:hint="eastAsia" w:ascii="宋体" w:hAnsi="宋体" w:eastAsia="宋体" w:cs="宋体"/>
                <w:bCs/>
                <w:color w:val="auto"/>
                <w:kern w:val="0"/>
                <w:sz w:val="21"/>
                <w:szCs w:val="21"/>
                <w:highlight w:val="none"/>
                <w:lang w:val="en-US" w:eastAsia="zh-CN"/>
              </w:rPr>
              <w:t>，不演示</w:t>
            </w:r>
            <w:bookmarkEnd w:id="136"/>
            <w:r>
              <w:rPr>
                <w:rFonts w:hint="eastAsia" w:ascii="宋体" w:hAnsi="宋体" w:eastAsia="宋体" w:cs="宋体"/>
                <w:bCs/>
                <w:color w:val="auto"/>
                <w:kern w:val="0"/>
                <w:sz w:val="21"/>
                <w:szCs w:val="21"/>
                <w:highlight w:val="none"/>
                <w:lang w:val="en-US" w:eastAsia="zh-CN"/>
              </w:rPr>
              <w:t>不得分：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1）能够构建立体化、全方位信息安全防护平台，禁止一切USB存储设备连接电脑拷贝资料，还能够灵活管控光驱、红外、蓝牙、随身wifi、聊天软件、网盘、邮箱、注册表，应用程序等不少于50项管理项目；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2）支持通过快捷键快速唤出软件。</w:t>
            </w:r>
          </w:p>
          <w:p w14:paraId="2EFCF42C">
            <w:pPr>
              <w:pageBreakBefore w:val="0"/>
              <w:widowControl/>
              <w:kinsoku/>
              <w:wordWrap/>
              <w:overflowPunct/>
              <w:topLinePunct w:val="0"/>
              <w:autoSpaceDE/>
              <w:autoSpaceDN/>
              <w:bidi w:val="0"/>
              <w:spacing w:line="332" w:lineRule="auto"/>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3）</w:t>
            </w:r>
            <w:r>
              <w:rPr>
                <w:rFonts w:hint="eastAsia" w:ascii="宋体" w:hAnsi="宋体" w:eastAsia="宋体" w:cs="宋体"/>
                <w:bCs/>
                <w:color w:val="auto"/>
                <w:kern w:val="0"/>
                <w:sz w:val="21"/>
                <w:szCs w:val="21"/>
                <w:highlight w:val="none"/>
                <w:lang w:val="en-US" w:eastAsia="zh-CN"/>
              </w:rPr>
              <w:t>系统支持网络泄密行为管理</w:t>
            </w:r>
            <w:r>
              <w:rPr>
                <w:rFonts w:hint="eastAsia" w:ascii="宋体" w:hAnsi="宋体" w:eastAsia="宋体" w:cs="宋体"/>
                <w:i w:val="0"/>
                <w:iCs w:val="0"/>
                <w:color w:val="000000"/>
                <w:kern w:val="0"/>
                <w:sz w:val="21"/>
                <w:szCs w:val="21"/>
                <w:highlight w:val="none"/>
                <w:u w:val="none"/>
                <w:lang w:val="en-US" w:eastAsia="zh-CN"/>
              </w:rPr>
              <w:t>；</w:t>
            </w:r>
          </w:p>
          <w:p w14:paraId="67BF9CA0">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① 支持聊天软件泄密管理。可以禁止聊天软件功能，至少包含QQ、TIM、微信、RTX、钉钉、Skype、企业微信等；</w:t>
            </w:r>
          </w:p>
          <w:p w14:paraId="70D1044C">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② 支持邮箱外传文件管理。可以设置禁止登录一切邮箱、允许登录特定邮箱、只允许收邮件禁止发送邮件等；</w:t>
            </w:r>
          </w:p>
          <w:p w14:paraId="21DD3D66">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③ 支持网盘向外传文件管理。可以设置禁止使用一切网盘、云盘，也可以设置使用特定网盘、云盘等；</w:t>
            </w:r>
          </w:p>
          <w:p w14:paraId="660FFF9D">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④ 支持程序黑白名单管理。可以设置禁止运行的程序列表，或者设置只允许运行的程序列表；支持网页黑白名单管理，可以设置禁止打开的网址名单，或者设置只允许打开的网址名单</w:t>
            </w:r>
          </w:p>
          <w:p w14:paraId="4D626BFB">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 ⑤ 支持设置禁止使用FTP上传文件、禁止手机和电脑通过网络互传文件等；</w:t>
            </w:r>
          </w:p>
          <w:p w14:paraId="73EB0EA9">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⑥支持禁用共享传送文件管理，支持禁止访问网页。</w:t>
            </w:r>
          </w:p>
          <w:p w14:paraId="203D0034">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4）支持智能设备控制，可以设置禁用手机、PAD等便携设备，手机助手，有限网卡，无线网卡，随身WiFi。</w:t>
            </w:r>
          </w:p>
          <w:p w14:paraId="1841B4CB">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5）支持端口控制，支持控制包括禁用蓝牙、禁用红外、禁用串口/并口、禁用1394端口、禁用PCMCIA在内的6种端口。</w:t>
            </w:r>
          </w:p>
          <w:p w14:paraId="236B52A6">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6）支持操作系统控制，支持包括禁用注册表、禁用设备管理器、屏蔽Ctrl+Alt+A键等在内的24种模块</w:t>
            </w:r>
          </w:p>
          <w:p w14:paraId="6EC2168D">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动画设计工具：基于B/S架构使用，在同一工具内完成脚本创作、分镜创作、分镜提示词、分镜配图、影视项目、预览故事板等动画设计全流程，最终输出动画设计方案（分镜），每演示一项得1分，演示全部功</w:t>
            </w:r>
            <w:r>
              <w:rPr>
                <w:rFonts w:hint="eastAsia" w:ascii="宋体" w:hAnsi="宋体" w:eastAsia="宋体" w:cs="宋体"/>
                <w:bCs/>
                <w:color w:val="0000FF"/>
                <w:kern w:val="0"/>
                <w:sz w:val="21"/>
                <w:szCs w:val="21"/>
                <w:highlight w:val="none"/>
                <w:lang w:val="en-US" w:eastAsia="zh-CN"/>
              </w:rPr>
              <w:t>能得5</w:t>
            </w:r>
            <w:r>
              <w:rPr>
                <w:rFonts w:hint="eastAsia" w:ascii="宋体" w:hAnsi="宋体" w:eastAsia="宋体" w:cs="宋体"/>
                <w:bCs/>
                <w:color w:val="auto"/>
                <w:kern w:val="0"/>
                <w:sz w:val="21"/>
                <w:szCs w:val="21"/>
                <w:highlight w:val="none"/>
                <w:lang w:val="en-US" w:eastAsia="zh-CN"/>
              </w:rPr>
              <w:t>分，不演示不得分：</w:t>
            </w:r>
          </w:p>
          <w:p w14:paraId="43384A39">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1）脚本创作：输入故事关键词，自动生成对应的文字版动画脚本，包括标题页、场景标题、角色列表、动作描述、对话、旁白、镜头指示、音效和配乐指示、过渡效果、特殊效果、注释等；</w:t>
            </w:r>
          </w:p>
          <w:p w14:paraId="3D7F6352">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2）分镜创作：根据动画脚本，自动生成分镜头脚本，分镜头脚本的字段包括场号、镜号、画面、景别、时长、内容、备注、场景、声音、摄像机角度、运镜、摄像机装备等；</w:t>
            </w:r>
          </w:p>
          <w:p w14:paraId="78207747">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3）分镜提示词：根据输入的主题内容自动生成对应的提示词，提示词包含风格、色彩、构图、情感、细节、环境、视角、特殊效果、参考艺术家和需要避免的元素等内容；</w:t>
            </w:r>
          </w:p>
          <w:p w14:paraId="03BCBD17">
            <w:pPr>
              <w:pageBreakBefore w:val="0"/>
              <w:widowControl/>
              <w:kinsoku/>
              <w:wordWrap/>
              <w:overflowPunct/>
              <w:topLinePunct w:val="0"/>
              <w:autoSpaceDE/>
              <w:autoSpaceDN/>
              <w:bidi w:val="0"/>
              <w:spacing w:line="332"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4）分镜配图：输入分镜脚本关键词，自动生成分镜配图，可以预览动画效果；</w:t>
            </w:r>
          </w:p>
          <w:p w14:paraId="7F66064A">
            <w:pPr>
              <w:spacing w:line="360" w:lineRule="auto"/>
              <w:rPr>
                <w:color w:val="auto"/>
                <w:szCs w:val="21"/>
                <w:highlight w:val="none"/>
              </w:rPr>
            </w:pPr>
            <w:r>
              <w:rPr>
                <w:rFonts w:hint="eastAsia" w:ascii="宋体" w:hAnsi="宋体" w:eastAsia="宋体" w:cs="宋体"/>
                <w:bCs/>
                <w:color w:val="auto"/>
                <w:kern w:val="0"/>
                <w:sz w:val="21"/>
                <w:szCs w:val="21"/>
                <w:highlight w:val="none"/>
                <w:lang w:val="en-US" w:eastAsia="zh-CN"/>
              </w:rPr>
              <w:t>5）提供完整的分镜模板，包括场号、镜号、景别、时长、内容、备注、场景、声音、摄影机角度、运镜、摄影机装备等，整合上述脚本、图片等资源，生成完整的动画设计方案，提升动画制作效率与效果匹配度。</w:t>
            </w:r>
          </w:p>
        </w:tc>
        <w:tc>
          <w:tcPr>
            <w:tcW w:w="784" w:type="dxa"/>
            <w:shd w:val="clear" w:color="auto" w:fill="auto"/>
            <w:vAlign w:val="center"/>
          </w:tcPr>
          <w:p w14:paraId="74997CCD">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959" w:type="dxa"/>
            <w:shd w:val="clear" w:color="auto" w:fill="auto"/>
            <w:vAlign w:val="center"/>
          </w:tcPr>
          <w:p w14:paraId="0AB013D1">
            <w:pPr>
              <w:spacing w:line="360" w:lineRule="auto"/>
              <w:jc w:val="center"/>
              <w:rPr>
                <w:rFonts w:hint="eastAsia"/>
                <w:color w:val="auto"/>
                <w:szCs w:val="21"/>
                <w:highlight w:val="none"/>
              </w:rPr>
            </w:pPr>
            <w:r>
              <w:rPr>
                <w:rFonts w:hint="eastAsia"/>
                <w:color w:val="auto"/>
                <w:szCs w:val="21"/>
                <w:highlight w:val="none"/>
              </w:rPr>
              <w:t>主观分</w:t>
            </w:r>
          </w:p>
        </w:tc>
        <w:tc>
          <w:tcPr>
            <w:tcW w:w="1376" w:type="dxa"/>
          </w:tcPr>
          <w:p w14:paraId="75B986F3">
            <w:pPr>
              <w:spacing w:line="360" w:lineRule="auto"/>
              <w:rPr>
                <w:color w:val="auto"/>
                <w:szCs w:val="21"/>
                <w:highlight w:val="none"/>
              </w:rPr>
            </w:pPr>
          </w:p>
        </w:tc>
      </w:tr>
      <w:tr w14:paraId="7022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0DE3F66">
            <w:pPr>
              <w:spacing w:line="360" w:lineRule="auto"/>
              <w:rPr>
                <w:rFonts w:hint="default" w:eastAsia="宋体"/>
                <w:color w:val="auto"/>
                <w:szCs w:val="21"/>
                <w:highlight w:val="none"/>
                <w:lang w:val="en-US" w:eastAsia="zh-CN"/>
              </w:rPr>
            </w:pPr>
            <w:r>
              <w:rPr>
                <w:rFonts w:hint="eastAsia"/>
                <w:color w:val="auto"/>
                <w:szCs w:val="21"/>
                <w:highlight w:val="none"/>
                <w:lang w:val="en-US" w:eastAsia="zh-CN"/>
              </w:rPr>
              <w:t>11</w:t>
            </w:r>
          </w:p>
        </w:tc>
        <w:tc>
          <w:tcPr>
            <w:tcW w:w="6216" w:type="dxa"/>
          </w:tcPr>
          <w:p w14:paraId="02CD7A00">
            <w:pPr>
              <w:spacing w:line="360" w:lineRule="auto"/>
              <w:rPr>
                <w:color w:val="auto"/>
                <w:szCs w:val="21"/>
                <w:highlight w:val="none"/>
              </w:rPr>
            </w:pPr>
            <w:r>
              <w:rPr>
                <w:rFonts w:hint="eastAsia"/>
                <w:color w:val="auto"/>
                <w:szCs w:val="21"/>
                <w:highlight w:val="none"/>
              </w:rPr>
              <w:t>有效响应报价的最低价作为评审基准价，其最低报价为满分；按［响应报价得分=（评审基准价/响应报价）*权重］的计算公式计算。</w:t>
            </w:r>
          </w:p>
          <w:p w14:paraId="724DF652">
            <w:pPr>
              <w:spacing w:line="360" w:lineRule="auto"/>
              <w:rPr>
                <w:color w:val="auto"/>
                <w:szCs w:val="21"/>
                <w:highlight w:val="none"/>
              </w:rPr>
            </w:pPr>
            <w:r>
              <w:rPr>
                <w:rFonts w:hint="eastAsia"/>
                <w:color w:val="auto"/>
                <w:szCs w:val="21"/>
                <w:highlight w:val="none"/>
              </w:rPr>
              <w:t>评审过程中，不得去掉报价中的最高报价和最低报价。</w:t>
            </w:r>
          </w:p>
        </w:tc>
        <w:tc>
          <w:tcPr>
            <w:tcW w:w="784" w:type="dxa"/>
            <w:vAlign w:val="center"/>
          </w:tcPr>
          <w:p w14:paraId="195D8F68">
            <w:pPr>
              <w:spacing w:line="360" w:lineRule="auto"/>
              <w:jc w:val="center"/>
              <w:rPr>
                <w:color w:val="auto"/>
                <w:szCs w:val="21"/>
                <w:highlight w:val="none"/>
              </w:rPr>
            </w:pPr>
            <w:r>
              <w:rPr>
                <w:rFonts w:hint="eastAsia"/>
                <w:color w:val="auto"/>
                <w:szCs w:val="21"/>
                <w:highlight w:val="none"/>
                <w:lang w:val="en-US" w:eastAsia="zh-CN"/>
              </w:rPr>
              <w:t>2</w:t>
            </w:r>
            <w:r>
              <w:rPr>
                <w:rFonts w:hint="eastAsia"/>
                <w:color w:val="auto"/>
                <w:szCs w:val="21"/>
                <w:highlight w:val="none"/>
              </w:rPr>
              <w:t>0</w:t>
            </w:r>
          </w:p>
        </w:tc>
        <w:tc>
          <w:tcPr>
            <w:tcW w:w="959" w:type="dxa"/>
            <w:vAlign w:val="center"/>
          </w:tcPr>
          <w:p w14:paraId="0B8FC647">
            <w:pPr>
              <w:spacing w:line="360" w:lineRule="auto"/>
              <w:jc w:val="center"/>
              <w:rPr>
                <w:color w:val="auto"/>
                <w:szCs w:val="21"/>
                <w:highlight w:val="none"/>
              </w:rPr>
            </w:pPr>
            <w:r>
              <w:rPr>
                <w:rFonts w:hint="eastAsia"/>
                <w:color w:val="auto"/>
                <w:szCs w:val="21"/>
                <w:highlight w:val="none"/>
              </w:rPr>
              <w:t>/</w:t>
            </w:r>
          </w:p>
        </w:tc>
        <w:tc>
          <w:tcPr>
            <w:tcW w:w="1376" w:type="dxa"/>
          </w:tcPr>
          <w:p w14:paraId="0855AEA7">
            <w:pPr>
              <w:spacing w:line="360" w:lineRule="auto"/>
              <w:rPr>
                <w:color w:val="auto"/>
                <w:szCs w:val="21"/>
                <w:highlight w:val="none"/>
              </w:rPr>
            </w:pPr>
          </w:p>
        </w:tc>
      </w:tr>
    </w:tbl>
    <w:p w14:paraId="50187052">
      <w:pPr>
        <w:spacing w:line="360" w:lineRule="auto"/>
        <w:rPr>
          <w:rFonts w:ascii="宋体" w:hAnsi="宋体" w:cs="宋体"/>
          <w:b/>
          <w:color w:val="auto"/>
          <w:sz w:val="24"/>
          <w:highlight w:val="none"/>
        </w:rPr>
      </w:pPr>
      <w:r>
        <w:rPr>
          <w:rFonts w:hint="eastAsia" w:ascii="宋体" w:hAnsi="宋体" w:cs="宋体"/>
          <w:color w:val="auto"/>
          <w:sz w:val="24"/>
          <w:highlight w:val="none"/>
        </w:rPr>
        <w:t>*备注：供应商编制响应文件（商务技术文件部分）时，建议按此目录（序号和内容）提供评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sz w:val="24"/>
          <w:highlight w:val="none"/>
        </w:rPr>
        <w:t>标准相应的商务技术资料。 </w:t>
      </w:r>
    </w:p>
    <w:p w14:paraId="32283F9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1CC7A8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w:t>
      </w:r>
    </w:p>
    <w:p w14:paraId="33C20A0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二、评审标准</w:t>
      </w:r>
    </w:p>
    <w:p w14:paraId="337D2A1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办法前附表。</w:t>
      </w:r>
    </w:p>
    <w:p w14:paraId="6738BE4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32A17EC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评审小组应当对符合资格的供应商的响应文件进行符合性审查，以确定其是否满足采购文件的实质性要求。不满足采购文件的实质性要求的，响应无效。</w:t>
      </w:r>
    </w:p>
    <w:p w14:paraId="00DACB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评审小组应当按照采购文件中规定的评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方法和标准，对符合性审查合格的响应文件进行商务和技术评估，综合比较与评价。</w:t>
      </w:r>
    </w:p>
    <w:p w14:paraId="058843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评审小组各成员应当独立对每个供应商的商务和技术文件进行评价，并汇总商务技术得分情况。</w:t>
      </w:r>
    </w:p>
    <w:p w14:paraId="4657857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B496740">
      <w:pPr>
        <w:pStyle w:val="2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42C9C2DC">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3.4.1.1响应文件中开标一览表(报价表)内容与响应文件中相应内容不一致的，以开标一览表(报价表)为准;</w:t>
      </w:r>
    </w:p>
    <w:p w14:paraId="4928272F">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FAA748C">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3.4.1.3单价金额小数点或者百分比有明显错位的，以开标一览表（报价表）的总价为准，并修改单价;</w:t>
      </w:r>
    </w:p>
    <w:p w14:paraId="7240B68F">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00AB596">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3.4.1.5同时出现两种以上不一致的，按照3.4.1规定的顺序修正。修正后的报价经供应商确认后产生约束力。</w:t>
      </w:r>
    </w:p>
    <w:p w14:paraId="0244CB3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3.4.2响应文件出现不是唯一的、有选择性响应报价的，响应无效。</w:t>
      </w:r>
    </w:p>
    <w:p w14:paraId="526A6FC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3.4.3响应报价超过采购文件中规定的预算金额或者最高限价的，响应无效。</w:t>
      </w:r>
    </w:p>
    <w:p w14:paraId="1DCB2CBB">
      <w:pPr>
        <w:pStyle w:val="26"/>
        <w:spacing w:before="0"/>
        <w:ind w:firstLine="480"/>
        <w:rPr>
          <w:rFonts w:ascii="宋体" w:hAnsi="宋体" w:cs="宋体"/>
          <w:strike/>
          <w:color w:val="auto"/>
          <w:kern w:val="0"/>
          <w:szCs w:val="24"/>
          <w:highlight w:val="none"/>
        </w:rPr>
      </w:pPr>
      <w:r>
        <w:rPr>
          <w:rFonts w:hint="eastAsia" w:ascii="宋体" w:hAnsi="宋体" w:cs="宋体"/>
          <w:color w:val="auto"/>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67EC8F3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4E9CE6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33A756F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370F352">
      <w:pPr>
        <w:pStyle w:val="2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FBBD152">
      <w:pPr>
        <w:pStyle w:val="10"/>
        <w:spacing w:line="360" w:lineRule="auto"/>
        <w:ind w:left="954" w:leftChars="226" w:hanging="479" w:firstLineChars="0"/>
        <w:rPr>
          <w:rFonts w:cs="宋体"/>
          <w:color w:val="auto"/>
          <w:szCs w:val="21"/>
          <w:highlight w:val="none"/>
        </w:rPr>
      </w:pPr>
      <w:r>
        <w:rPr>
          <w:rFonts w:hint="eastAsia" w:cs="宋体"/>
          <w:b/>
          <w:color w:val="auto"/>
          <w:kern w:val="0"/>
          <w:highlight w:val="none"/>
        </w:rPr>
        <w:t>4.2响应无效。</w:t>
      </w:r>
      <w:r>
        <w:rPr>
          <w:rFonts w:hint="eastAsia" w:cs="宋体"/>
          <w:color w:val="auto"/>
          <w:szCs w:val="21"/>
          <w:highlight w:val="none"/>
        </w:rPr>
        <w:t>有下列情形之一的，响应无效：</w:t>
      </w:r>
    </w:p>
    <w:p w14:paraId="333F71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3136F4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66FB3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19AEE4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4.2.4响应文件中承诺的响应有效期少于采购文件中载明的响应有效期的；</w:t>
      </w:r>
    </w:p>
    <w:p w14:paraId="0134274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4.2.5响应文件出现不是唯一的、有选择性响应报价的；</w:t>
      </w:r>
    </w:p>
    <w:p w14:paraId="6C065E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4.2.6响应报价超过采购文件中规定的预算金额或者最高限价的；</w:t>
      </w:r>
    </w:p>
    <w:p w14:paraId="4B83FE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7042E1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0B2657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4ABD86A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4.2.10供应商有恶意串通、妨碍其他供应商的竞争行为、损害采购人或者其他供应商的合法权益情形的；</w:t>
      </w:r>
    </w:p>
    <w:p w14:paraId="4A5280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4.2.11供应商仅提交备份响应文件，未在电子交易平台传输递交响应文件的，响应无效；</w:t>
      </w:r>
    </w:p>
    <w:p w14:paraId="6D8E8920">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4.2.12 响应文件不满足采购文件的其它实质性要求的；</w:t>
      </w:r>
    </w:p>
    <w:p w14:paraId="48708F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6D4EFC4D">
      <w:pPr>
        <w:pStyle w:val="10"/>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2AA76886">
      <w:pPr>
        <w:pStyle w:val="10"/>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5.1符合专业条件的供应商或者对采购文件作实质响应的供应商不足3家的，且评审小组认为响应不具有竞争性的；</w:t>
      </w:r>
    </w:p>
    <w:p w14:paraId="22E96757">
      <w:pPr>
        <w:pStyle w:val="10"/>
        <w:snapToGrid w:val="0"/>
        <w:spacing w:line="360" w:lineRule="auto"/>
        <w:rPr>
          <w:rFonts w:cs="宋体"/>
          <w:color w:val="auto"/>
          <w:highlight w:val="none"/>
        </w:rPr>
      </w:pPr>
      <w:r>
        <w:rPr>
          <w:rFonts w:hint="eastAsia" w:cs="宋体"/>
          <w:color w:val="auto"/>
          <w:highlight w:val="none"/>
        </w:rPr>
        <w:t>5.2出现影响采购公正的违法、违规行为的；</w:t>
      </w:r>
    </w:p>
    <w:p w14:paraId="7E615954">
      <w:pPr>
        <w:pStyle w:val="10"/>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129C1FB6">
      <w:pPr>
        <w:pStyle w:val="10"/>
        <w:snapToGrid w:val="0"/>
        <w:spacing w:line="360" w:lineRule="auto"/>
        <w:rPr>
          <w:rFonts w:cs="宋体"/>
          <w:color w:val="auto"/>
          <w:highlight w:val="none"/>
        </w:rPr>
      </w:pPr>
      <w:r>
        <w:rPr>
          <w:rFonts w:hint="eastAsia" w:cs="宋体"/>
          <w:color w:val="auto"/>
          <w:highlight w:val="none"/>
        </w:rPr>
        <w:t>5.4因重大变故，采购任务取消的。</w:t>
      </w:r>
    </w:p>
    <w:p w14:paraId="1D7B7F80">
      <w:pPr>
        <w:pStyle w:val="10"/>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12EAB35C">
      <w:pPr>
        <w:pStyle w:val="10"/>
        <w:snapToGrid w:val="0"/>
        <w:spacing w:line="360" w:lineRule="auto"/>
        <w:ind w:firstLine="489"/>
        <w:rPr>
          <w:rFonts w:cs="宋体"/>
          <w:color w:val="auto"/>
          <w:highlight w:val="none"/>
        </w:rPr>
      </w:pPr>
      <w:r>
        <w:rPr>
          <w:rFonts w:hint="eastAsia" w:cs="宋体"/>
          <w:b/>
          <w:color w:val="auto"/>
          <w:highlight w:val="none"/>
        </w:rPr>
        <w:t>6.修改采购文件，重新组织采购活动。</w:t>
      </w:r>
      <w:r>
        <w:rPr>
          <w:rFonts w:hint="eastAsia" w:cs="宋体"/>
          <w:color w:val="auto"/>
          <w:highlight w:val="none"/>
        </w:rPr>
        <w:t>评审小组发现采购文件存在歧义、重大缺陷导致评</w:t>
      </w:r>
      <w:r>
        <w:rPr>
          <w:rFonts w:hint="eastAsia" w:cs="宋体"/>
          <w:color w:val="auto"/>
          <w:kern w:val="0"/>
          <w:highlight w:val="none"/>
        </w:rPr>
        <w:t>审</w:t>
      </w:r>
      <w:r>
        <w:rPr>
          <w:rFonts w:hint="eastAsia" w:cs="宋体"/>
          <w:color w:val="auto"/>
          <w:highlight w:val="none"/>
        </w:rPr>
        <w:t>工作无法进行，或者采购文件内容违反国家有关强制性规定的，将停止评</w:t>
      </w:r>
      <w:r>
        <w:rPr>
          <w:rFonts w:hint="eastAsia" w:cs="宋体"/>
          <w:color w:val="auto"/>
          <w:kern w:val="0"/>
          <w:highlight w:val="none"/>
        </w:rPr>
        <w:t>审</w:t>
      </w:r>
      <w:r>
        <w:rPr>
          <w:rFonts w:hint="eastAsia" w:cs="宋体"/>
          <w:color w:val="auto"/>
          <w:highlight w:val="none"/>
        </w:rPr>
        <w:t>工作，并与采购人、采购代理机构沟通并作书面记录。采购人、采购代理机构确认后，将修改采购文件，重新组织采购活动。</w:t>
      </w:r>
    </w:p>
    <w:p w14:paraId="2B18BE6F">
      <w:pPr>
        <w:pStyle w:val="10"/>
        <w:snapToGrid w:val="0"/>
        <w:spacing w:line="360" w:lineRule="auto"/>
        <w:ind w:firstLine="489"/>
        <w:rPr>
          <w:rFonts w:cs="宋体"/>
          <w:color w:val="auto"/>
          <w:highlight w:val="none"/>
        </w:rPr>
      </w:pPr>
      <w:r>
        <w:rPr>
          <w:rFonts w:hint="eastAsia" w:cs="宋体"/>
          <w:b/>
          <w:color w:val="auto"/>
          <w:kern w:val="0"/>
          <w:highlight w:val="none"/>
        </w:rPr>
        <w:t>7.其他。</w:t>
      </w:r>
      <w:r>
        <w:rPr>
          <w:rFonts w:hint="eastAsia" w:cs="宋体"/>
          <w:color w:val="auto"/>
          <w:highlight w:val="none"/>
        </w:rPr>
        <w:t>其他影响或者可能影响成交结果的，依照下列规定处理：</w:t>
      </w:r>
    </w:p>
    <w:p w14:paraId="00D67424">
      <w:pPr>
        <w:pStyle w:val="10"/>
        <w:snapToGrid w:val="0"/>
        <w:spacing w:line="360" w:lineRule="auto"/>
        <w:rPr>
          <w:rFonts w:cs="宋体"/>
          <w:color w:val="auto"/>
          <w:highlight w:val="none"/>
        </w:rPr>
      </w:pPr>
      <w:r>
        <w:rPr>
          <w:rFonts w:hint="eastAsia" w:cs="宋体"/>
          <w:color w:val="auto"/>
          <w:highlight w:val="none"/>
        </w:rPr>
        <w:t>7.1未确定成交供应商的，终止本次采购活动，重新开展采购活动。</w:t>
      </w:r>
    </w:p>
    <w:p w14:paraId="1525F8CD">
      <w:pPr>
        <w:pStyle w:val="10"/>
        <w:snapToGrid w:val="0"/>
        <w:spacing w:line="360" w:lineRule="auto"/>
        <w:rPr>
          <w:rFonts w:cs="宋体"/>
          <w:color w:val="auto"/>
          <w:highlight w:val="none"/>
        </w:rPr>
      </w:pPr>
      <w:r>
        <w:rPr>
          <w:rFonts w:hint="eastAsia" w:cs="宋体"/>
          <w:color w:val="auto"/>
          <w:highlight w:val="none"/>
        </w:rPr>
        <w:t>7.2已确定成交供应商但尚未签订采购合同的，成交结果无效，从合格的成交候选人中另行确定成交供应商；没有合格的成交候选人的，重新开展采购活动。</w:t>
      </w:r>
    </w:p>
    <w:p w14:paraId="09240118">
      <w:pPr>
        <w:pStyle w:val="10"/>
        <w:snapToGrid w:val="0"/>
        <w:spacing w:line="360" w:lineRule="auto"/>
        <w:rPr>
          <w:rFonts w:cs="宋体"/>
          <w:color w:val="auto"/>
          <w:highlight w:val="none"/>
        </w:rPr>
      </w:pPr>
      <w:r>
        <w:rPr>
          <w:rFonts w:hint="eastAsia" w:cs="宋体"/>
          <w:color w:val="auto"/>
          <w:highlight w:val="none"/>
        </w:rPr>
        <w:t>7.3采购合同已签订但尚未履行的，撤销合同，从合格的成交候选人中另行确定成交供应商；没有合格的成交候选人的，重新开展采购活动。</w:t>
      </w:r>
    </w:p>
    <w:p w14:paraId="6FF8E2EC">
      <w:pPr>
        <w:pStyle w:val="10"/>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1A961906">
      <w:pPr>
        <w:pStyle w:val="2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br w:type="page"/>
      </w:r>
    </w:p>
    <w:p w14:paraId="1531B25E">
      <w:pPr>
        <w:pStyle w:val="5"/>
        <w:rPr>
          <w:rFonts w:ascii="宋体" w:hAnsi="宋体" w:cs="宋体"/>
          <w:color w:val="auto"/>
          <w:highlight w:val="none"/>
        </w:rPr>
      </w:pPr>
      <w:bookmarkStart w:id="15" w:name="_Toc24926"/>
      <w:r>
        <w:rPr>
          <w:rFonts w:hint="eastAsia" w:ascii="宋体" w:hAnsi="宋体" w:cs="宋体"/>
          <w:bCs/>
          <w:color w:val="auto"/>
          <w:highlight w:val="none"/>
        </w:rPr>
        <w:t xml:space="preserve">第五章  </w:t>
      </w:r>
      <w:bookmarkEnd w:id="15"/>
      <w:r>
        <w:rPr>
          <w:rFonts w:hint="eastAsia" w:ascii="宋体" w:hAnsi="宋体" w:cs="宋体"/>
          <w:color w:val="auto"/>
          <w:szCs w:val="32"/>
          <w:highlight w:val="none"/>
        </w:rPr>
        <w:t>拟签订的合同文本</w:t>
      </w: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3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6"/>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40"/>
        <w:spacing w:before="120" w:line="22" w:lineRule="atLeast"/>
        <w:rPr>
          <w:rFonts w:ascii="宋体" w:hAnsi="宋体" w:eastAsia="宋体" w:cs="宋体"/>
          <w:color w:val="auto"/>
          <w:szCs w:val="24"/>
          <w:highlight w:val="none"/>
        </w:rPr>
      </w:pPr>
    </w:p>
    <w:p w14:paraId="5912128F">
      <w:pPr>
        <w:pStyle w:val="4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杭州市财经职业学校动漫课程资源建设与课程专项提升服务项目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杭州市财经职业学校</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16" w:name="_Toc20421"/>
      <w:bookmarkStart w:id="17" w:name="_Toc28855"/>
      <w:bookmarkStart w:id="18" w:name="_Toc19273"/>
      <w:bookmarkStart w:id="19" w:name="_Toc15367"/>
      <w:bookmarkStart w:id="2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16"/>
      <w:bookmarkEnd w:id="17"/>
      <w:bookmarkEnd w:id="18"/>
      <w:bookmarkEnd w:id="19"/>
      <w:bookmarkEnd w:id="20"/>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21" w:name="_Toc2918"/>
      <w:bookmarkStart w:id="22" w:name="_Toc18585"/>
      <w:bookmarkStart w:id="23" w:name="_Toc6311"/>
      <w:bookmarkStart w:id="24" w:name="_Toc6773"/>
      <w:bookmarkStart w:id="25"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21"/>
      <w:bookmarkEnd w:id="22"/>
      <w:bookmarkEnd w:id="23"/>
      <w:bookmarkEnd w:id="24"/>
      <w:bookmarkEnd w:id="25"/>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杭州市财经职业学校动漫课程资源建设与课程专项提升服务项目</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按照招投标文件要求</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rPr>
        <w:t>按照国家、行业标准</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4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26" w:name="_Toc13918"/>
      <w:bookmarkStart w:id="27" w:name="_Toc1386"/>
      <w:bookmarkStart w:id="28" w:name="_Toc4929"/>
      <w:bookmarkStart w:id="29" w:name="_Toc21124"/>
      <w:bookmarkStart w:id="3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26"/>
      <w:bookmarkEnd w:id="27"/>
      <w:bookmarkEnd w:id="28"/>
      <w:bookmarkEnd w:id="29"/>
      <w:bookmarkEnd w:id="30"/>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4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4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4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42"/>
              <w:spacing w:line="560" w:lineRule="exact"/>
              <w:ind w:firstLine="200"/>
              <w:jc w:val="center"/>
              <w:rPr>
                <w:rFonts w:hAnsi="宋体"/>
                <w:color w:val="auto"/>
                <w:sz w:val="24"/>
                <w:szCs w:val="24"/>
                <w:highlight w:val="none"/>
              </w:rPr>
            </w:pPr>
          </w:p>
        </w:tc>
        <w:tc>
          <w:tcPr>
            <w:tcW w:w="3402" w:type="dxa"/>
            <w:vAlign w:val="center"/>
          </w:tcPr>
          <w:p w14:paraId="66BDB431">
            <w:pPr>
              <w:pStyle w:val="42"/>
              <w:spacing w:line="560" w:lineRule="exact"/>
              <w:ind w:firstLine="200"/>
              <w:jc w:val="center"/>
              <w:rPr>
                <w:rFonts w:hAnsi="宋体"/>
                <w:color w:val="auto"/>
                <w:sz w:val="24"/>
                <w:szCs w:val="24"/>
                <w:highlight w:val="none"/>
              </w:rPr>
            </w:pPr>
          </w:p>
        </w:tc>
        <w:tc>
          <w:tcPr>
            <w:tcW w:w="2552" w:type="dxa"/>
            <w:vAlign w:val="center"/>
          </w:tcPr>
          <w:p w14:paraId="0EC443E3">
            <w:pPr>
              <w:pStyle w:val="42"/>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42"/>
              <w:spacing w:line="560" w:lineRule="exact"/>
              <w:ind w:firstLine="200"/>
              <w:jc w:val="center"/>
              <w:rPr>
                <w:rFonts w:hAnsi="宋体"/>
                <w:color w:val="auto"/>
                <w:sz w:val="24"/>
                <w:szCs w:val="24"/>
                <w:highlight w:val="none"/>
              </w:rPr>
            </w:pPr>
          </w:p>
        </w:tc>
        <w:tc>
          <w:tcPr>
            <w:tcW w:w="3402" w:type="dxa"/>
            <w:vAlign w:val="center"/>
          </w:tcPr>
          <w:p w14:paraId="26CA5BD6">
            <w:pPr>
              <w:pStyle w:val="42"/>
              <w:spacing w:line="560" w:lineRule="exact"/>
              <w:ind w:firstLine="200"/>
              <w:jc w:val="center"/>
              <w:rPr>
                <w:rFonts w:hAnsi="宋体"/>
                <w:color w:val="auto"/>
                <w:sz w:val="24"/>
                <w:szCs w:val="24"/>
                <w:highlight w:val="none"/>
              </w:rPr>
            </w:pPr>
          </w:p>
        </w:tc>
        <w:tc>
          <w:tcPr>
            <w:tcW w:w="2552" w:type="dxa"/>
            <w:vAlign w:val="center"/>
          </w:tcPr>
          <w:p w14:paraId="0258EB1E">
            <w:pPr>
              <w:pStyle w:val="42"/>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42"/>
              <w:spacing w:line="560" w:lineRule="exact"/>
              <w:ind w:firstLine="200"/>
              <w:jc w:val="center"/>
              <w:rPr>
                <w:rFonts w:hAnsi="宋体"/>
                <w:color w:val="auto"/>
                <w:sz w:val="24"/>
                <w:szCs w:val="24"/>
                <w:highlight w:val="none"/>
              </w:rPr>
            </w:pPr>
          </w:p>
        </w:tc>
        <w:tc>
          <w:tcPr>
            <w:tcW w:w="3402" w:type="dxa"/>
            <w:vAlign w:val="center"/>
          </w:tcPr>
          <w:p w14:paraId="637D5711">
            <w:pPr>
              <w:pStyle w:val="42"/>
              <w:spacing w:line="560" w:lineRule="exact"/>
              <w:ind w:firstLine="200"/>
              <w:jc w:val="center"/>
              <w:rPr>
                <w:rFonts w:hAnsi="宋体"/>
                <w:color w:val="auto"/>
                <w:sz w:val="24"/>
                <w:szCs w:val="24"/>
                <w:highlight w:val="none"/>
              </w:rPr>
            </w:pPr>
          </w:p>
        </w:tc>
        <w:tc>
          <w:tcPr>
            <w:tcW w:w="2552" w:type="dxa"/>
            <w:vAlign w:val="center"/>
          </w:tcPr>
          <w:p w14:paraId="42D0E712">
            <w:pPr>
              <w:pStyle w:val="42"/>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42"/>
              <w:spacing w:line="560" w:lineRule="exact"/>
              <w:ind w:firstLine="200"/>
              <w:jc w:val="center"/>
              <w:rPr>
                <w:rFonts w:hAnsi="宋体"/>
                <w:color w:val="auto"/>
                <w:sz w:val="24"/>
                <w:szCs w:val="24"/>
                <w:highlight w:val="none"/>
              </w:rPr>
            </w:pPr>
          </w:p>
        </w:tc>
        <w:tc>
          <w:tcPr>
            <w:tcW w:w="3402" w:type="dxa"/>
            <w:vAlign w:val="center"/>
          </w:tcPr>
          <w:p w14:paraId="14D192BB">
            <w:pPr>
              <w:pStyle w:val="42"/>
              <w:spacing w:line="560" w:lineRule="exact"/>
              <w:ind w:firstLine="200"/>
              <w:jc w:val="center"/>
              <w:rPr>
                <w:rFonts w:hAnsi="宋体"/>
                <w:color w:val="auto"/>
                <w:sz w:val="24"/>
                <w:szCs w:val="24"/>
                <w:highlight w:val="none"/>
              </w:rPr>
            </w:pPr>
          </w:p>
        </w:tc>
        <w:tc>
          <w:tcPr>
            <w:tcW w:w="2552" w:type="dxa"/>
            <w:vAlign w:val="center"/>
          </w:tcPr>
          <w:p w14:paraId="0E5769EB">
            <w:pPr>
              <w:pStyle w:val="42"/>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4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42"/>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31" w:name="_Toc3654"/>
      <w:bookmarkStart w:id="32" w:name="_Toc26916"/>
      <w:bookmarkStart w:id="33" w:name="_Toc30506"/>
      <w:bookmarkStart w:id="34" w:name="_Toc14993"/>
      <w:bookmarkStart w:id="35"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6"/>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1"/>
    <w:bookmarkEnd w:id="32"/>
    <w:bookmarkEnd w:id="33"/>
    <w:bookmarkEnd w:id="34"/>
    <w:bookmarkEnd w:id="35"/>
    <w:p w14:paraId="2F5CCC91">
      <w:pPr>
        <w:pStyle w:val="41"/>
        <w:spacing w:before="0" w:beforeAutospacing="0" w:after="0" w:afterAutospacing="0" w:line="360" w:lineRule="auto"/>
        <w:ind w:firstLine="480"/>
        <w:rPr>
          <w:b/>
          <w:color w:val="auto"/>
          <w:highlight w:val="none"/>
        </w:rPr>
      </w:pPr>
      <w:bookmarkStart w:id="36" w:name="_Toc22618"/>
      <w:bookmarkStart w:id="37" w:name="_Toc1814"/>
      <w:bookmarkStart w:id="38" w:name="_Toc10340"/>
      <w:bookmarkStart w:id="39" w:name="_Toc4760"/>
      <w:bookmarkStart w:id="40" w:name="_Toc8772"/>
      <w:bookmarkStart w:id="41" w:name="_Toc31421"/>
      <w:bookmarkStart w:id="42" w:name="_Toc3625"/>
      <w:bookmarkStart w:id="43" w:name="_Toc11108"/>
      <w:r>
        <w:rPr>
          <w:rFonts w:hint="eastAsia"/>
          <w:b/>
          <w:color w:val="auto"/>
          <w:highlight w:val="none"/>
        </w:rPr>
        <w:t>1.4履约保证金</w:t>
      </w:r>
    </w:p>
    <w:p w14:paraId="74D47AFB">
      <w:pPr>
        <w:pStyle w:val="4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6"/>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6"/>
      <w:bookmarkEnd w:id="37"/>
      <w:bookmarkEnd w:id="38"/>
      <w:r>
        <w:rPr>
          <w:rFonts w:hint="eastAsia" w:ascii="宋体" w:hAnsi="宋体" w:cs="宋体"/>
          <w:b/>
          <w:color w:val="auto"/>
          <w:sz w:val="24"/>
          <w:highlight w:val="none"/>
        </w:rPr>
        <w:t>预付款</w:t>
      </w:r>
    </w:p>
    <w:p w14:paraId="7C829B0B">
      <w:pPr>
        <w:pStyle w:val="4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4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4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4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4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39"/>
      <w:bookmarkEnd w:id="40"/>
      <w:bookmarkEnd w:id="41"/>
      <w:bookmarkEnd w:id="42"/>
      <w:bookmarkEnd w:id="43"/>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4" w:name="_Toc3079"/>
      <w:bookmarkStart w:id="45" w:name="_Toc8586"/>
      <w:bookmarkStart w:id="46" w:name="_Toc24662"/>
      <w:bookmarkStart w:id="47" w:name="_Toc2375"/>
      <w:bookmarkStart w:id="4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4"/>
      <w:bookmarkEnd w:id="45"/>
      <w:bookmarkEnd w:id="46"/>
      <w:bookmarkEnd w:id="47"/>
      <w:bookmarkEnd w:id="48"/>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9" w:name="_Toc32454"/>
      <w:bookmarkStart w:id="50" w:name="_Toc9497"/>
      <w:bookmarkStart w:id="51" w:name="_Toc26807"/>
      <w:bookmarkStart w:id="52" w:name="_Toc30329"/>
      <w:bookmarkStart w:id="53"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9"/>
    <w:bookmarkEnd w:id="50"/>
    <w:bookmarkEnd w:id="51"/>
    <w:bookmarkEnd w:id="52"/>
    <w:bookmarkEnd w:id="53"/>
    <w:p w14:paraId="1A3040A7">
      <w:pPr>
        <w:spacing w:line="560" w:lineRule="exact"/>
        <w:ind w:firstLine="482" w:firstLineChars="200"/>
        <w:outlineLvl w:val="0"/>
        <w:rPr>
          <w:rFonts w:ascii="宋体" w:hAnsi="宋体" w:cs="宋体"/>
          <w:b/>
          <w:color w:val="auto"/>
          <w:sz w:val="24"/>
          <w:highlight w:val="none"/>
        </w:rPr>
      </w:pPr>
      <w:bookmarkStart w:id="54" w:name="_Toc15583"/>
      <w:bookmarkStart w:id="55" w:name="_Toc28375"/>
      <w:bookmarkStart w:id="56" w:name="_Toc16021"/>
      <w:r>
        <w:rPr>
          <w:rFonts w:hint="eastAsia" w:ascii="宋体" w:hAnsi="宋体" w:cs="宋体"/>
          <w:b/>
          <w:color w:val="auto"/>
          <w:sz w:val="24"/>
          <w:highlight w:val="none"/>
        </w:rPr>
        <w:t>1.9合同争议的解决</w:t>
      </w:r>
      <w:bookmarkEnd w:id="54"/>
      <w:bookmarkEnd w:id="55"/>
      <w:bookmarkEnd w:id="56"/>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57" w:name="_Toc11173"/>
      <w:bookmarkStart w:id="58" w:name="_Toc7245"/>
      <w:bookmarkStart w:id="59" w:name="_Toc15322"/>
      <w:r>
        <w:rPr>
          <w:rFonts w:hint="eastAsia" w:ascii="宋体" w:hAnsi="宋体" w:cs="宋体"/>
          <w:b/>
          <w:color w:val="auto"/>
          <w:sz w:val="24"/>
          <w:highlight w:val="none"/>
        </w:rPr>
        <w:t>2.0 合同生效</w:t>
      </w:r>
      <w:bookmarkEnd w:id="57"/>
      <w:bookmarkEnd w:id="58"/>
      <w:bookmarkEnd w:id="59"/>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3CF01CB">
      <w:pPr>
        <w:widowControl/>
        <w:adjustRightInd/>
        <w:ind w:firstLine="3795" w:firstLineChars="1800"/>
        <w:jc w:val="left"/>
        <w:rPr>
          <w:rFonts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60" w:name="_Toc5228"/>
      <w:bookmarkStart w:id="61" w:name="_Toc31297"/>
      <w:bookmarkStart w:id="62" w:name="_Toc19680"/>
      <w:bookmarkStart w:id="63" w:name="_Toc14021"/>
      <w:bookmarkStart w:id="64" w:name="_Toc25079"/>
      <w:r>
        <w:rPr>
          <w:rFonts w:ascii="宋体" w:hAnsi="宋体"/>
          <w:b/>
          <w:color w:val="auto"/>
          <w:sz w:val="24"/>
          <w:highlight w:val="none"/>
        </w:rPr>
        <w:t>2.1 定义</w:t>
      </w:r>
      <w:bookmarkEnd w:id="60"/>
      <w:bookmarkEnd w:id="61"/>
      <w:bookmarkEnd w:id="62"/>
      <w:bookmarkEnd w:id="63"/>
      <w:bookmarkEnd w:id="64"/>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65" w:name="_Toc3769"/>
      <w:bookmarkStart w:id="66" w:name="_Toc23289"/>
      <w:bookmarkStart w:id="67" w:name="_Toc16752"/>
      <w:bookmarkStart w:id="68" w:name="_Toc31402"/>
      <w:bookmarkStart w:id="69" w:name="_Toc19539"/>
      <w:r>
        <w:rPr>
          <w:rFonts w:ascii="宋体" w:hAnsi="宋体"/>
          <w:b/>
          <w:color w:val="auto"/>
          <w:sz w:val="24"/>
          <w:highlight w:val="none"/>
        </w:rPr>
        <w:t>2.2 技术规范</w:t>
      </w:r>
      <w:bookmarkEnd w:id="65"/>
      <w:bookmarkEnd w:id="66"/>
      <w:bookmarkEnd w:id="67"/>
      <w:bookmarkEnd w:id="68"/>
      <w:bookmarkEnd w:id="69"/>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70" w:name="_Toc4133"/>
      <w:bookmarkStart w:id="71" w:name="_Toc27945"/>
      <w:bookmarkStart w:id="72" w:name="_Toc9161"/>
      <w:bookmarkStart w:id="73" w:name="_Toc13673"/>
      <w:bookmarkStart w:id="74" w:name="_Toc12412"/>
      <w:r>
        <w:rPr>
          <w:rFonts w:ascii="宋体" w:hAnsi="宋体"/>
          <w:b/>
          <w:color w:val="auto"/>
          <w:sz w:val="24"/>
          <w:highlight w:val="none"/>
        </w:rPr>
        <w:t>2.3 知识产权</w:t>
      </w:r>
      <w:bookmarkEnd w:id="70"/>
      <w:bookmarkEnd w:id="71"/>
      <w:bookmarkEnd w:id="72"/>
      <w:bookmarkEnd w:id="73"/>
      <w:bookmarkEnd w:id="74"/>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75" w:name="_Toc26555"/>
      <w:bookmarkStart w:id="76" w:name="_Toc15447"/>
      <w:bookmarkStart w:id="77" w:name="_Toc22011"/>
      <w:bookmarkStart w:id="78" w:name="_Toc31233"/>
      <w:bookmarkStart w:id="79" w:name="_Toc32670"/>
      <w:r>
        <w:rPr>
          <w:rFonts w:ascii="宋体" w:hAnsi="宋体"/>
          <w:b/>
          <w:color w:val="auto"/>
          <w:sz w:val="24"/>
          <w:highlight w:val="none"/>
        </w:rPr>
        <w:t>2.5 结算方式和付款条件</w:t>
      </w:r>
      <w:bookmarkEnd w:id="75"/>
      <w:bookmarkEnd w:id="76"/>
      <w:bookmarkEnd w:id="77"/>
      <w:bookmarkEnd w:id="78"/>
      <w:bookmarkEnd w:id="79"/>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80" w:name="_Toc13154"/>
      <w:bookmarkStart w:id="81" w:name="_Toc16163"/>
      <w:bookmarkStart w:id="82" w:name="_Toc18990"/>
      <w:bookmarkStart w:id="83" w:name="_Toc30507"/>
      <w:bookmarkStart w:id="84" w:name="_Toc13467"/>
      <w:r>
        <w:rPr>
          <w:rFonts w:ascii="宋体" w:hAnsi="宋体"/>
          <w:b/>
          <w:color w:val="auto"/>
          <w:sz w:val="24"/>
          <w:highlight w:val="none"/>
        </w:rPr>
        <w:t>2.6 技术资料和保密义务</w:t>
      </w:r>
      <w:bookmarkEnd w:id="80"/>
      <w:bookmarkEnd w:id="81"/>
      <w:bookmarkEnd w:id="82"/>
      <w:bookmarkEnd w:id="83"/>
      <w:bookmarkEnd w:id="84"/>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8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85"/>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8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86"/>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8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87"/>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88" w:name="_Toc10663"/>
      <w:bookmarkStart w:id="89" w:name="_Toc21830"/>
      <w:bookmarkStart w:id="90" w:name="_Toc42"/>
      <w:bookmarkStart w:id="91" w:name="_Toc23368"/>
      <w:bookmarkStart w:id="92" w:name="_Toc26689"/>
      <w:r>
        <w:rPr>
          <w:rFonts w:ascii="宋体" w:hAnsi="宋体"/>
          <w:b/>
          <w:color w:val="auto"/>
          <w:sz w:val="24"/>
          <w:highlight w:val="none"/>
        </w:rPr>
        <w:t>2.10 合同转让和分包</w:t>
      </w:r>
      <w:bookmarkEnd w:id="88"/>
      <w:bookmarkEnd w:id="89"/>
      <w:bookmarkEnd w:id="90"/>
      <w:bookmarkEnd w:id="91"/>
      <w:bookmarkEnd w:id="92"/>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93" w:name="_Toc32494"/>
      <w:bookmarkStart w:id="94" w:name="_Toc26633"/>
      <w:bookmarkStart w:id="95" w:name="_Toc14371"/>
      <w:bookmarkStart w:id="96" w:name="_Toc25571"/>
      <w:bookmarkStart w:id="97" w:name="_Toc4720"/>
      <w:r>
        <w:rPr>
          <w:rFonts w:ascii="宋体" w:hAnsi="宋体"/>
          <w:b/>
          <w:color w:val="auto"/>
          <w:sz w:val="24"/>
          <w:highlight w:val="none"/>
        </w:rPr>
        <w:t>2.11 不可抗力</w:t>
      </w:r>
      <w:bookmarkEnd w:id="93"/>
      <w:bookmarkEnd w:id="94"/>
      <w:bookmarkEnd w:id="95"/>
      <w:bookmarkEnd w:id="96"/>
      <w:bookmarkEnd w:id="97"/>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98" w:name="_Toc24465"/>
      <w:bookmarkStart w:id="99" w:name="_Toc14115"/>
      <w:bookmarkStart w:id="100" w:name="_Toc3638"/>
      <w:bookmarkStart w:id="101" w:name="_Toc25783"/>
      <w:bookmarkStart w:id="102" w:name="_Toc23854"/>
      <w:r>
        <w:rPr>
          <w:rFonts w:ascii="宋体" w:hAnsi="宋体"/>
          <w:b/>
          <w:color w:val="auto"/>
          <w:sz w:val="24"/>
          <w:highlight w:val="none"/>
        </w:rPr>
        <w:t>2.12 税费</w:t>
      </w:r>
      <w:bookmarkEnd w:id="98"/>
      <w:bookmarkEnd w:id="99"/>
      <w:bookmarkEnd w:id="100"/>
      <w:bookmarkEnd w:id="101"/>
      <w:bookmarkEnd w:id="102"/>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103" w:name="_Toc7315"/>
      <w:bookmarkStart w:id="104" w:name="_Toc26883"/>
      <w:bookmarkStart w:id="105" w:name="_Toc25525"/>
      <w:bookmarkStart w:id="106" w:name="_Toc30105"/>
      <w:bookmarkStart w:id="107" w:name="_Toc14814"/>
      <w:r>
        <w:rPr>
          <w:rFonts w:ascii="宋体" w:hAnsi="宋体"/>
          <w:b/>
          <w:color w:val="auto"/>
          <w:sz w:val="24"/>
          <w:highlight w:val="none"/>
        </w:rPr>
        <w:t>2.13 乙方破产</w:t>
      </w:r>
      <w:bookmarkEnd w:id="103"/>
      <w:bookmarkEnd w:id="104"/>
      <w:bookmarkEnd w:id="105"/>
      <w:bookmarkEnd w:id="106"/>
      <w:bookmarkEnd w:id="107"/>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108" w:name="_Toc2016"/>
      <w:bookmarkStart w:id="109" w:name="_Toc1123"/>
      <w:bookmarkStart w:id="110" w:name="_Toc23323"/>
      <w:r>
        <w:rPr>
          <w:rFonts w:ascii="宋体" w:hAnsi="宋体"/>
          <w:b/>
          <w:color w:val="auto"/>
          <w:sz w:val="24"/>
          <w:highlight w:val="none"/>
        </w:rPr>
        <w:t>2.14 合同中止、终止</w:t>
      </w:r>
      <w:bookmarkEnd w:id="108"/>
      <w:bookmarkEnd w:id="109"/>
      <w:bookmarkEnd w:id="110"/>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111" w:name="_Toc1969"/>
      <w:bookmarkStart w:id="112" w:name="_Toc17363"/>
      <w:bookmarkStart w:id="113" w:name="_Toc14525"/>
      <w:r>
        <w:rPr>
          <w:rFonts w:ascii="宋体" w:hAnsi="宋体"/>
          <w:b/>
          <w:color w:val="auto"/>
          <w:sz w:val="24"/>
          <w:highlight w:val="none"/>
        </w:rPr>
        <w:t>2.15 检验和验收</w:t>
      </w:r>
      <w:bookmarkEnd w:id="111"/>
      <w:bookmarkEnd w:id="112"/>
      <w:bookmarkEnd w:id="113"/>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114" w:name="_Toc2308"/>
      <w:bookmarkStart w:id="115" w:name="_Toc31892"/>
      <w:bookmarkStart w:id="116" w:name="_Toc9808"/>
      <w:bookmarkStart w:id="117" w:name="_Toc12666"/>
      <w:bookmarkStart w:id="118" w:name="_Toc25198"/>
      <w:r>
        <w:rPr>
          <w:rFonts w:ascii="宋体" w:hAnsi="宋体"/>
          <w:b/>
          <w:color w:val="auto"/>
          <w:sz w:val="24"/>
          <w:highlight w:val="none"/>
        </w:rPr>
        <w:t>2.16 通知和送达</w:t>
      </w:r>
      <w:bookmarkEnd w:id="114"/>
      <w:bookmarkEnd w:id="115"/>
      <w:bookmarkEnd w:id="116"/>
      <w:bookmarkEnd w:id="117"/>
      <w:bookmarkEnd w:id="118"/>
    </w:p>
    <w:p w14:paraId="2D57AD58">
      <w:pPr>
        <w:spacing w:line="560" w:lineRule="exact"/>
        <w:ind w:firstLine="480" w:firstLineChars="200"/>
        <w:rPr>
          <w:rFonts w:ascii="宋体" w:hAnsi="宋体"/>
          <w:color w:val="auto"/>
          <w:sz w:val="24"/>
          <w:highlight w:val="none"/>
        </w:rPr>
      </w:pPr>
      <w:bookmarkStart w:id="119" w:name="_Toc18401"/>
      <w:bookmarkStart w:id="120" w:name="_Toc27674"/>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19"/>
      <w:bookmarkEnd w:id="120"/>
    </w:p>
    <w:p w14:paraId="79494EF1">
      <w:pPr>
        <w:spacing w:line="560" w:lineRule="exact"/>
        <w:ind w:firstLine="482" w:firstLineChars="200"/>
        <w:outlineLvl w:val="0"/>
        <w:rPr>
          <w:rFonts w:ascii="宋体" w:hAnsi="宋体"/>
          <w:b/>
          <w:color w:val="auto"/>
          <w:sz w:val="24"/>
          <w:highlight w:val="none"/>
        </w:rPr>
      </w:pPr>
      <w:bookmarkStart w:id="121" w:name="_Toc20808"/>
      <w:bookmarkStart w:id="122" w:name="_Toc28906"/>
      <w:bookmarkStart w:id="123" w:name="_Toc27644"/>
      <w:bookmarkStart w:id="124" w:name="_Toc12254"/>
      <w:bookmarkStart w:id="12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21"/>
      <w:bookmarkEnd w:id="122"/>
      <w:bookmarkEnd w:id="123"/>
      <w:bookmarkEnd w:id="124"/>
      <w:bookmarkEnd w:id="125"/>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126" w:name="_Toc18540"/>
      <w:bookmarkStart w:id="127" w:name="_Toc30599"/>
      <w:bookmarkStart w:id="128" w:name="_Toc4355"/>
      <w:r>
        <w:rPr>
          <w:rFonts w:hint="eastAsia" w:ascii="宋体" w:hAnsi="宋体" w:cs="宋体"/>
          <w:b/>
          <w:color w:val="auto"/>
          <w:sz w:val="24"/>
          <w:highlight w:val="none"/>
        </w:rPr>
        <w:t>2.18 计量单位</w:t>
      </w:r>
      <w:bookmarkEnd w:id="126"/>
      <w:bookmarkEnd w:id="127"/>
      <w:bookmarkEnd w:id="128"/>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29" w:name="_Toc331685784"/>
      <w:r>
        <w:rPr>
          <w:rFonts w:hint="eastAsia" w:ascii="宋体" w:hAnsi="宋体" w:cs="宋体"/>
          <w:b/>
          <w:color w:val="auto"/>
          <w:sz w:val="24"/>
          <w:highlight w:val="none"/>
        </w:rPr>
        <w:t xml:space="preserve"> </w:t>
      </w:r>
      <w:bookmarkEnd w:id="129"/>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7"/>
        <w:gridCol w:w="8404"/>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43D19F12">
      <w:pPr>
        <w:pStyle w:val="26"/>
        <w:spacing w:before="0"/>
        <w:ind w:firstLine="508" w:firstLineChars="212"/>
        <w:rPr>
          <w:rFonts w:ascii="宋体" w:hAnsi="宋体" w:cs="宋体"/>
          <w:color w:val="auto"/>
          <w:kern w:val="0"/>
          <w:highlight w:val="none"/>
        </w:rPr>
      </w:pPr>
    </w:p>
    <w:p w14:paraId="77EA92D3">
      <w:pPr>
        <w:pStyle w:val="26"/>
        <w:spacing w:before="0"/>
        <w:ind w:firstLine="0" w:firstLineChars="0"/>
        <w:rPr>
          <w:rFonts w:ascii="宋体" w:hAnsi="宋体" w:cs="宋体"/>
          <w:color w:val="auto"/>
          <w:kern w:val="0"/>
          <w:highlight w:val="none"/>
        </w:rPr>
      </w:pPr>
    </w:p>
    <w:p w14:paraId="1F02DA79">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第六章 应提交的有关格式范例</w:t>
      </w:r>
    </w:p>
    <w:p w14:paraId="3F6D17F6">
      <w:pPr>
        <w:spacing w:line="360" w:lineRule="auto"/>
        <w:jc w:val="center"/>
        <w:outlineLvl w:val="0"/>
        <w:rPr>
          <w:rFonts w:ascii="宋体" w:hAnsi="宋体" w:cs="宋体"/>
          <w:b/>
          <w:color w:val="auto"/>
          <w:kern w:val="0"/>
          <w:sz w:val="36"/>
          <w:szCs w:val="36"/>
          <w:highlight w:val="none"/>
        </w:rPr>
      </w:pPr>
    </w:p>
    <w:p w14:paraId="50884C7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A5F843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2BA8626">
      <w:pPr>
        <w:spacing w:line="360" w:lineRule="auto"/>
        <w:jc w:val="center"/>
        <w:outlineLvl w:val="0"/>
        <w:rPr>
          <w:rFonts w:ascii="宋体" w:hAnsi="宋体" w:cs="宋体"/>
          <w:b/>
          <w:color w:val="auto"/>
          <w:kern w:val="0"/>
          <w:sz w:val="36"/>
          <w:szCs w:val="36"/>
          <w:highlight w:val="none"/>
        </w:rPr>
      </w:pPr>
    </w:p>
    <w:p w14:paraId="1794CE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7CDDFE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本项目的特定资格要求………………………………………………（页码）</w:t>
      </w:r>
    </w:p>
    <w:p w14:paraId="2949B195">
      <w:pPr>
        <w:snapToGrid w:val="0"/>
        <w:spacing w:line="360" w:lineRule="auto"/>
        <w:ind w:firstLine="480" w:firstLineChars="200"/>
        <w:rPr>
          <w:rFonts w:ascii="宋体" w:hAnsi="宋体" w:cs="宋体"/>
          <w:color w:val="auto"/>
          <w:sz w:val="24"/>
          <w:highlight w:val="none"/>
        </w:rPr>
      </w:pPr>
    </w:p>
    <w:p w14:paraId="228A22EF">
      <w:pPr>
        <w:spacing w:line="360" w:lineRule="auto"/>
        <w:ind w:firstLine="480" w:firstLineChars="200"/>
        <w:rPr>
          <w:rFonts w:ascii="宋体" w:hAnsi="宋体" w:cs="宋体"/>
          <w:color w:val="auto"/>
          <w:sz w:val="24"/>
          <w:highlight w:val="none"/>
        </w:rPr>
      </w:pPr>
    </w:p>
    <w:p w14:paraId="50363DE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1C0DCA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p>
    <w:p w14:paraId="62362F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杭州市财经职业学校动漫课程资源建设与课程专项提升服务项目</w:t>
      </w:r>
      <w:r>
        <w:rPr>
          <w:rFonts w:hint="eastAsia" w:ascii="宋体" w:hAnsi="宋体" w:cs="宋体"/>
          <w:color w:val="auto"/>
          <w:sz w:val="24"/>
          <w:highlight w:val="none"/>
        </w:rPr>
        <w:t>采购项目【采购编号：</w:t>
      </w:r>
      <w:r>
        <w:rPr>
          <w:rFonts w:hint="eastAsia" w:ascii="宋体" w:hAnsi="宋体" w:cs="宋体"/>
          <w:color w:val="auto"/>
          <w:sz w:val="24"/>
          <w:highlight w:val="none"/>
          <w:lang w:eastAsia="zh-CN"/>
        </w:rPr>
        <w:t>HZCJ-2025-012</w:t>
      </w:r>
      <w:r>
        <w:rPr>
          <w:rFonts w:hint="eastAsia" w:ascii="宋体" w:hAnsi="宋体" w:cs="宋体"/>
          <w:color w:val="auto"/>
          <w:sz w:val="24"/>
          <w:highlight w:val="none"/>
        </w:rPr>
        <w:t>】采购活动，郑重承诺：</w:t>
      </w:r>
    </w:p>
    <w:p w14:paraId="62A8E52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0CD704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FAA0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ECA1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09104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0D86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5、具有法律、行政法规规定的其他条件。</w:t>
      </w:r>
    </w:p>
    <w:p w14:paraId="13727C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89595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72F5F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502741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67129C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9EAB8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70E25D">
      <w:pPr>
        <w:snapToGrid w:val="0"/>
        <w:spacing w:line="360" w:lineRule="auto"/>
        <w:ind w:right="480"/>
        <w:jc w:val="center"/>
        <w:rPr>
          <w:rFonts w:ascii="宋体" w:hAnsi="宋体" w:cs="宋体"/>
          <w:b/>
          <w:color w:val="auto"/>
          <w:kern w:val="0"/>
          <w:sz w:val="32"/>
          <w:szCs w:val="32"/>
          <w:highlight w:val="none"/>
        </w:rPr>
      </w:pPr>
    </w:p>
    <w:p w14:paraId="5E71F657">
      <w:pPr>
        <w:snapToGrid w:val="0"/>
        <w:spacing w:line="360" w:lineRule="auto"/>
        <w:ind w:right="480"/>
        <w:jc w:val="center"/>
        <w:rPr>
          <w:rFonts w:ascii="宋体" w:hAnsi="宋体" w:cs="宋体"/>
          <w:b/>
          <w:color w:val="auto"/>
          <w:kern w:val="0"/>
          <w:sz w:val="32"/>
          <w:szCs w:val="32"/>
          <w:highlight w:val="none"/>
        </w:rPr>
      </w:pPr>
    </w:p>
    <w:p w14:paraId="6B9DB91C">
      <w:pPr>
        <w:snapToGrid w:val="0"/>
        <w:spacing w:line="360" w:lineRule="auto"/>
        <w:ind w:right="480"/>
        <w:jc w:val="center"/>
        <w:rPr>
          <w:rFonts w:ascii="宋体" w:hAnsi="宋体" w:cs="宋体"/>
          <w:b/>
          <w:color w:val="auto"/>
          <w:kern w:val="0"/>
          <w:sz w:val="32"/>
          <w:szCs w:val="32"/>
          <w:highlight w:val="none"/>
        </w:rPr>
      </w:pPr>
    </w:p>
    <w:p w14:paraId="43D8693F">
      <w:pPr>
        <w:rPr>
          <w:rFonts w:ascii="宋体" w:hAnsi="宋体" w:cs="宋体"/>
          <w:color w:val="auto"/>
          <w:highlight w:val="none"/>
        </w:rPr>
      </w:pPr>
    </w:p>
    <w:p w14:paraId="76DE0126">
      <w:pPr>
        <w:snapToGrid w:val="0"/>
        <w:spacing w:line="360" w:lineRule="auto"/>
        <w:ind w:right="480"/>
        <w:jc w:val="center"/>
        <w:rPr>
          <w:rFonts w:ascii="宋体" w:hAnsi="宋体" w:cs="宋体"/>
          <w:b/>
          <w:color w:val="auto"/>
          <w:kern w:val="0"/>
          <w:sz w:val="32"/>
          <w:szCs w:val="32"/>
          <w:highlight w:val="none"/>
        </w:rPr>
      </w:pPr>
    </w:p>
    <w:p w14:paraId="18C9AEEF">
      <w:pPr>
        <w:snapToGrid w:val="0"/>
        <w:spacing w:line="360" w:lineRule="auto"/>
        <w:ind w:right="480"/>
        <w:jc w:val="center"/>
        <w:rPr>
          <w:rFonts w:ascii="宋体" w:hAnsi="宋体" w:cs="宋体"/>
          <w:b/>
          <w:color w:val="auto"/>
          <w:kern w:val="0"/>
          <w:sz w:val="32"/>
          <w:szCs w:val="32"/>
          <w:highlight w:val="none"/>
        </w:rPr>
      </w:pPr>
    </w:p>
    <w:p w14:paraId="18FA83B3">
      <w:pPr>
        <w:snapToGrid w:val="0"/>
        <w:spacing w:line="360" w:lineRule="auto"/>
        <w:ind w:right="480"/>
        <w:jc w:val="center"/>
        <w:rPr>
          <w:rFonts w:ascii="宋体" w:hAnsi="宋体" w:cs="宋体"/>
          <w:b/>
          <w:color w:val="auto"/>
          <w:kern w:val="0"/>
          <w:sz w:val="32"/>
          <w:szCs w:val="32"/>
          <w:highlight w:val="none"/>
        </w:rPr>
      </w:pPr>
    </w:p>
    <w:p w14:paraId="4603AB41">
      <w:pPr>
        <w:snapToGrid w:val="0"/>
        <w:spacing w:line="360" w:lineRule="auto"/>
        <w:ind w:right="480"/>
        <w:jc w:val="center"/>
        <w:rPr>
          <w:rFonts w:ascii="宋体" w:hAnsi="宋体" w:cs="宋体"/>
          <w:b/>
          <w:color w:val="auto"/>
          <w:kern w:val="0"/>
          <w:sz w:val="32"/>
          <w:szCs w:val="32"/>
          <w:highlight w:val="none"/>
        </w:rPr>
      </w:pPr>
    </w:p>
    <w:p w14:paraId="0656A784">
      <w:pPr>
        <w:widowControl/>
        <w:spacing w:line="360" w:lineRule="auto"/>
        <w:ind w:firstLine="643" w:firstLineChars="200"/>
        <w:jc w:val="center"/>
        <w:rPr>
          <w:rFonts w:ascii="宋体" w:hAnsi="宋体" w:cs="宋体"/>
          <w:b/>
          <w:color w:val="auto"/>
          <w:kern w:val="0"/>
          <w:sz w:val="32"/>
          <w:szCs w:val="32"/>
          <w:highlight w:val="none"/>
        </w:rPr>
      </w:pPr>
    </w:p>
    <w:p w14:paraId="48F3381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7655DF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63B343B4">
      <w:pPr>
        <w:rPr>
          <w:rFonts w:ascii="宋体" w:hAnsi="宋体" w:cs="宋体"/>
          <w:color w:val="auto"/>
          <w:highlight w:val="none"/>
        </w:rPr>
      </w:pPr>
    </w:p>
    <w:p w14:paraId="1CF6D47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B408D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64E4D5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8AFBD77">
      <w:pPr>
        <w:numPr>
          <w:ilvl w:val="0"/>
          <w:numId w:val="5"/>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响应函</w:t>
      </w:r>
      <w:r>
        <w:rPr>
          <w:rFonts w:hint="eastAsia" w:ascii="宋体" w:hAnsi="宋体" w:cs="宋体"/>
          <w:color w:val="auto"/>
          <w:highlight w:val="none"/>
        </w:rPr>
        <w:t>…………………………………………………………………………………（页码）</w:t>
      </w:r>
    </w:p>
    <w:p w14:paraId="27907FA5">
      <w:pPr>
        <w:numPr>
          <w:ilvl w:val="0"/>
          <w:numId w:val="5"/>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授权委托书或法定代表人（单位负责人）身份证明</w:t>
      </w:r>
      <w:r>
        <w:rPr>
          <w:rFonts w:hint="eastAsia" w:ascii="宋体" w:hAnsi="宋体" w:cs="宋体"/>
          <w:color w:val="auto"/>
          <w:highlight w:val="none"/>
        </w:rPr>
        <w:t>………………………（页码）</w:t>
      </w:r>
    </w:p>
    <w:p w14:paraId="1BD8379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2891C0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（4）评审标准相应的商务技术资料</w:t>
      </w:r>
      <w:r>
        <w:rPr>
          <w:rFonts w:hint="eastAsia" w:ascii="宋体" w:hAnsi="宋体" w:cs="宋体"/>
          <w:color w:val="auto"/>
          <w:highlight w:val="none"/>
        </w:rPr>
        <w:t>……………………………………………………（页码）</w:t>
      </w:r>
    </w:p>
    <w:p w14:paraId="249D504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（5）响应标的清单</w:t>
      </w:r>
      <w:r>
        <w:rPr>
          <w:rFonts w:hint="eastAsia" w:ascii="宋体" w:hAnsi="宋体" w:cs="宋体"/>
          <w:color w:val="auto"/>
          <w:highlight w:val="none"/>
        </w:rPr>
        <w:t>………………………………………………………………………（页码）</w:t>
      </w:r>
    </w:p>
    <w:p w14:paraId="6B239AF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1CCD5C4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2A9ADFD4">
      <w:pPr>
        <w:snapToGrid w:val="0"/>
        <w:spacing w:line="360" w:lineRule="auto"/>
        <w:jc w:val="center"/>
        <w:rPr>
          <w:rFonts w:ascii="宋体" w:hAnsi="宋体" w:cs="宋体"/>
          <w:b/>
          <w:color w:val="auto"/>
          <w:kern w:val="0"/>
          <w:sz w:val="32"/>
          <w:szCs w:val="32"/>
          <w:highlight w:val="none"/>
          <w:lang w:val="zh-CN"/>
        </w:rPr>
      </w:pPr>
    </w:p>
    <w:p w14:paraId="379E53F7">
      <w:pPr>
        <w:snapToGrid w:val="0"/>
        <w:spacing w:line="360" w:lineRule="auto"/>
        <w:jc w:val="center"/>
        <w:rPr>
          <w:rFonts w:ascii="宋体" w:hAnsi="宋体" w:cs="宋体"/>
          <w:b/>
          <w:color w:val="auto"/>
          <w:kern w:val="0"/>
          <w:sz w:val="32"/>
          <w:szCs w:val="32"/>
          <w:highlight w:val="none"/>
          <w:lang w:val="zh-CN"/>
        </w:rPr>
      </w:pPr>
    </w:p>
    <w:p w14:paraId="75846C32">
      <w:pPr>
        <w:snapToGrid w:val="0"/>
        <w:spacing w:line="360" w:lineRule="auto"/>
        <w:jc w:val="center"/>
        <w:rPr>
          <w:rFonts w:ascii="宋体" w:hAnsi="宋体" w:cs="宋体"/>
          <w:b/>
          <w:color w:val="auto"/>
          <w:kern w:val="0"/>
          <w:sz w:val="32"/>
          <w:szCs w:val="32"/>
          <w:highlight w:val="none"/>
          <w:lang w:val="zh-CN"/>
        </w:rPr>
      </w:pPr>
    </w:p>
    <w:p w14:paraId="0FBBC876">
      <w:pPr>
        <w:snapToGrid w:val="0"/>
        <w:spacing w:line="360" w:lineRule="auto"/>
        <w:jc w:val="center"/>
        <w:rPr>
          <w:rFonts w:ascii="宋体" w:hAnsi="宋体" w:cs="宋体"/>
          <w:b/>
          <w:color w:val="auto"/>
          <w:kern w:val="0"/>
          <w:sz w:val="32"/>
          <w:szCs w:val="32"/>
          <w:highlight w:val="none"/>
          <w:lang w:val="zh-CN"/>
        </w:rPr>
      </w:pPr>
    </w:p>
    <w:p w14:paraId="10AE037F">
      <w:pPr>
        <w:snapToGrid w:val="0"/>
        <w:spacing w:line="360" w:lineRule="auto"/>
        <w:jc w:val="center"/>
        <w:rPr>
          <w:rFonts w:ascii="宋体" w:hAnsi="宋体" w:cs="宋体"/>
          <w:b/>
          <w:color w:val="auto"/>
          <w:kern w:val="0"/>
          <w:sz w:val="32"/>
          <w:szCs w:val="32"/>
          <w:highlight w:val="none"/>
          <w:lang w:val="zh-CN"/>
        </w:rPr>
      </w:pPr>
    </w:p>
    <w:p w14:paraId="2669BF00">
      <w:pPr>
        <w:snapToGrid w:val="0"/>
        <w:spacing w:line="360" w:lineRule="auto"/>
        <w:jc w:val="center"/>
        <w:outlineLvl w:val="0"/>
        <w:rPr>
          <w:rFonts w:ascii="宋体" w:hAnsi="宋体" w:cs="宋体"/>
          <w:b/>
          <w:color w:val="auto"/>
          <w:kern w:val="0"/>
          <w:sz w:val="32"/>
          <w:szCs w:val="32"/>
          <w:highlight w:val="none"/>
        </w:rPr>
      </w:pPr>
    </w:p>
    <w:p w14:paraId="29EFD9BE">
      <w:pPr>
        <w:snapToGrid w:val="0"/>
        <w:spacing w:line="360" w:lineRule="auto"/>
        <w:jc w:val="center"/>
        <w:outlineLvl w:val="0"/>
        <w:rPr>
          <w:rFonts w:ascii="宋体" w:hAnsi="宋体" w:cs="宋体"/>
          <w:b/>
          <w:color w:val="auto"/>
          <w:kern w:val="0"/>
          <w:sz w:val="32"/>
          <w:szCs w:val="32"/>
          <w:highlight w:val="none"/>
        </w:rPr>
      </w:pPr>
    </w:p>
    <w:p w14:paraId="5913C873">
      <w:pPr>
        <w:pStyle w:val="24"/>
        <w:ind w:firstLine="0" w:firstLineChars="0"/>
        <w:jc w:val="center"/>
        <w:rPr>
          <w:color w:val="auto"/>
          <w:highlight w:val="none"/>
          <w:lang w:val="en-US"/>
        </w:rPr>
      </w:pPr>
    </w:p>
    <w:p w14:paraId="393FDF4C">
      <w:pPr>
        <w:pStyle w:val="24"/>
        <w:ind w:firstLine="0" w:firstLineChars="0"/>
        <w:jc w:val="center"/>
        <w:rPr>
          <w:color w:val="auto"/>
          <w:highlight w:val="none"/>
          <w:lang w:val="en-US"/>
        </w:rPr>
      </w:pPr>
    </w:p>
    <w:p w14:paraId="4A664A8A">
      <w:pPr>
        <w:pStyle w:val="24"/>
        <w:ind w:firstLine="0" w:firstLineChars="0"/>
        <w:jc w:val="center"/>
        <w:rPr>
          <w:color w:val="auto"/>
          <w:highlight w:val="none"/>
          <w:lang w:val="en-US"/>
        </w:rPr>
      </w:pPr>
    </w:p>
    <w:p w14:paraId="677EE737">
      <w:pPr>
        <w:pStyle w:val="24"/>
        <w:ind w:firstLine="0" w:firstLineChars="0"/>
        <w:jc w:val="center"/>
        <w:rPr>
          <w:color w:val="auto"/>
          <w:highlight w:val="none"/>
          <w:lang w:val="en-US"/>
        </w:rPr>
      </w:pPr>
    </w:p>
    <w:p w14:paraId="26402EE7">
      <w:pPr>
        <w:pStyle w:val="24"/>
        <w:ind w:firstLine="0" w:firstLineChars="0"/>
        <w:jc w:val="center"/>
        <w:rPr>
          <w:color w:val="auto"/>
          <w:highlight w:val="none"/>
          <w:lang w:val="en-US"/>
        </w:rPr>
      </w:pPr>
    </w:p>
    <w:p w14:paraId="083D7ED9">
      <w:pPr>
        <w:pStyle w:val="24"/>
        <w:ind w:firstLine="0" w:firstLineChars="0"/>
        <w:jc w:val="center"/>
        <w:rPr>
          <w:color w:val="auto"/>
          <w:highlight w:val="none"/>
          <w:lang w:val="en-US"/>
        </w:rPr>
      </w:pPr>
    </w:p>
    <w:p w14:paraId="1BF78F48">
      <w:pPr>
        <w:pStyle w:val="24"/>
        <w:ind w:firstLine="0" w:firstLineChars="0"/>
        <w:jc w:val="center"/>
        <w:rPr>
          <w:color w:val="auto"/>
          <w:highlight w:val="none"/>
          <w:lang w:val="en-US"/>
        </w:rPr>
      </w:pPr>
    </w:p>
    <w:p w14:paraId="496FCCD1">
      <w:pPr>
        <w:pStyle w:val="24"/>
        <w:ind w:firstLine="0" w:firstLineChars="0"/>
        <w:jc w:val="center"/>
        <w:rPr>
          <w:color w:val="auto"/>
          <w:highlight w:val="none"/>
          <w:lang w:val="en-US"/>
        </w:rPr>
      </w:pPr>
    </w:p>
    <w:p w14:paraId="2320A364">
      <w:pPr>
        <w:pStyle w:val="24"/>
        <w:ind w:firstLine="0" w:firstLineChars="0"/>
        <w:jc w:val="center"/>
        <w:rPr>
          <w:color w:val="auto"/>
          <w:highlight w:val="none"/>
          <w:lang w:val="en-US"/>
        </w:rPr>
      </w:pPr>
    </w:p>
    <w:p w14:paraId="600A8A6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58C29A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p>
    <w:p w14:paraId="5E994C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杭州市财经职业学校动漫课程资源建设与课程专项提升服务项目</w:t>
      </w:r>
      <w:r>
        <w:rPr>
          <w:rFonts w:hint="eastAsia" w:ascii="宋体" w:hAnsi="宋体" w:cs="宋体"/>
          <w:color w:val="auto"/>
          <w:sz w:val="24"/>
          <w:highlight w:val="none"/>
        </w:rPr>
        <w:t>采购项目【采购编号：</w:t>
      </w:r>
      <w:r>
        <w:rPr>
          <w:rFonts w:hint="eastAsia" w:ascii="宋体" w:hAnsi="宋体" w:cs="宋体"/>
          <w:color w:val="auto"/>
          <w:sz w:val="24"/>
          <w:highlight w:val="none"/>
          <w:lang w:eastAsia="zh-CN"/>
        </w:rPr>
        <w:t>HZCJ-2025-012</w:t>
      </w:r>
      <w:r>
        <w:rPr>
          <w:rFonts w:hint="eastAsia" w:ascii="宋体" w:hAnsi="宋体" w:cs="宋体"/>
          <w:color w:val="auto"/>
          <w:sz w:val="24"/>
          <w:highlight w:val="none"/>
        </w:rPr>
        <w:t>】采购的有关活动，并对此项目进行响应。为此：</w:t>
      </w:r>
    </w:p>
    <w:p w14:paraId="1F9D8C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本响应文件在响应有效期满之前均具有约束力。</w:t>
      </w:r>
    </w:p>
    <w:p w14:paraId="68CAAD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4809C8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10216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7D217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8F89B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79B296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864D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407E6A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6D7F1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708D80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66ACB3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响应标的清单；</w:t>
      </w:r>
    </w:p>
    <w:p w14:paraId="5DE022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01DB4B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4A08D7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FEE96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B367F3D">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3DF0D6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17DAB6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4、如我方成为成交供应商，我方承诺：</w:t>
      </w:r>
    </w:p>
    <w:p w14:paraId="1DA29F1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4.1在收到成交确认通知书后，在通知书规定的期限内与你方签订合同； </w:t>
      </w:r>
    </w:p>
    <w:p w14:paraId="6C83D68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AA4C7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1421D0F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82A4D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5B913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379763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24479F4">
      <w:pPr>
        <w:snapToGrid w:val="0"/>
        <w:spacing w:line="360" w:lineRule="auto"/>
        <w:ind w:left="420" w:leftChars="200" w:firstLine="4200" w:firstLineChars="1750"/>
        <w:rPr>
          <w:rFonts w:ascii="宋体" w:hAnsi="宋体" w:cs="宋体"/>
          <w:color w:val="auto"/>
          <w:kern w:val="0"/>
          <w:sz w:val="24"/>
          <w:highlight w:val="none"/>
          <w:u w:val="single"/>
        </w:rPr>
      </w:pPr>
    </w:p>
    <w:p w14:paraId="56F37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1209E8">
      <w:pPr>
        <w:snapToGrid w:val="0"/>
        <w:spacing w:line="360" w:lineRule="auto"/>
        <w:jc w:val="center"/>
        <w:rPr>
          <w:rFonts w:ascii="宋体" w:hAnsi="宋体" w:cs="宋体"/>
          <w:b/>
          <w:color w:val="auto"/>
          <w:kern w:val="0"/>
          <w:sz w:val="32"/>
          <w:szCs w:val="32"/>
          <w:highlight w:val="none"/>
        </w:rPr>
      </w:pPr>
    </w:p>
    <w:p w14:paraId="0FC52B97">
      <w:pPr>
        <w:snapToGrid w:val="0"/>
        <w:spacing w:line="360" w:lineRule="auto"/>
        <w:rPr>
          <w:rFonts w:ascii="宋体" w:hAnsi="宋体" w:cs="宋体"/>
          <w:color w:val="auto"/>
          <w:sz w:val="24"/>
          <w:highlight w:val="none"/>
        </w:rPr>
      </w:pPr>
    </w:p>
    <w:p w14:paraId="6EE59B06">
      <w:pPr>
        <w:jc w:val="center"/>
        <w:rPr>
          <w:rFonts w:ascii="宋体" w:hAnsi="宋体" w:cs="宋体"/>
          <w:b/>
          <w:color w:val="auto"/>
          <w:kern w:val="0"/>
          <w:sz w:val="32"/>
          <w:szCs w:val="32"/>
          <w:highlight w:val="none"/>
        </w:rPr>
      </w:pPr>
    </w:p>
    <w:p w14:paraId="4B86E9A9">
      <w:pPr>
        <w:jc w:val="center"/>
        <w:rPr>
          <w:rFonts w:ascii="宋体" w:hAnsi="宋体" w:cs="宋体"/>
          <w:b/>
          <w:color w:val="auto"/>
          <w:kern w:val="0"/>
          <w:sz w:val="32"/>
          <w:szCs w:val="32"/>
          <w:highlight w:val="none"/>
        </w:rPr>
      </w:pPr>
    </w:p>
    <w:p w14:paraId="747784AC">
      <w:pPr>
        <w:jc w:val="center"/>
        <w:rPr>
          <w:rFonts w:ascii="宋体" w:hAnsi="宋体" w:cs="宋体"/>
          <w:b/>
          <w:color w:val="auto"/>
          <w:kern w:val="0"/>
          <w:sz w:val="32"/>
          <w:szCs w:val="32"/>
          <w:highlight w:val="none"/>
        </w:rPr>
      </w:pPr>
    </w:p>
    <w:p w14:paraId="3D04A1DB">
      <w:pPr>
        <w:jc w:val="center"/>
        <w:rPr>
          <w:rFonts w:ascii="宋体" w:hAnsi="宋体" w:cs="宋体"/>
          <w:b/>
          <w:color w:val="auto"/>
          <w:kern w:val="0"/>
          <w:sz w:val="32"/>
          <w:szCs w:val="32"/>
          <w:highlight w:val="none"/>
        </w:rPr>
      </w:pPr>
    </w:p>
    <w:p w14:paraId="56BFD974">
      <w:pPr>
        <w:jc w:val="center"/>
        <w:rPr>
          <w:rFonts w:ascii="宋体" w:hAnsi="宋体" w:cs="宋体"/>
          <w:b/>
          <w:color w:val="auto"/>
          <w:kern w:val="0"/>
          <w:sz w:val="32"/>
          <w:szCs w:val="32"/>
          <w:highlight w:val="none"/>
        </w:rPr>
      </w:pPr>
    </w:p>
    <w:p w14:paraId="2BD14A35">
      <w:pPr>
        <w:jc w:val="center"/>
        <w:rPr>
          <w:rFonts w:ascii="宋体" w:hAnsi="宋体" w:cs="宋体"/>
          <w:b/>
          <w:color w:val="auto"/>
          <w:kern w:val="0"/>
          <w:sz w:val="32"/>
          <w:szCs w:val="32"/>
          <w:highlight w:val="none"/>
        </w:rPr>
      </w:pPr>
    </w:p>
    <w:p w14:paraId="46D711E9">
      <w:pPr>
        <w:jc w:val="center"/>
        <w:rPr>
          <w:rFonts w:ascii="宋体" w:hAnsi="宋体" w:cs="宋体"/>
          <w:b/>
          <w:color w:val="auto"/>
          <w:kern w:val="0"/>
          <w:sz w:val="32"/>
          <w:szCs w:val="32"/>
          <w:highlight w:val="none"/>
        </w:rPr>
      </w:pPr>
    </w:p>
    <w:p w14:paraId="45E1ED1E">
      <w:pPr>
        <w:jc w:val="center"/>
        <w:rPr>
          <w:rFonts w:ascii="宋体" w:hAnsi="宋体" w:cs="宋体"/>
          <w:b/>
          <w:color w:val="auto"/>
          <w:kern w:val="0"/>
          <w:sz w:val="32"/>
          <w:szCs w:val="32"/>
          <w:highlight w:val="none"/>
        </w:rPr>
      </w:pPr>
    </w:p>
    <w:p w14:paraId="31992E8D">
      <w:pPr>
        <w:jc w:val="center"/>
        <w:rPr>
          <w:rFonts w:ascii="宋体" w:hAnsi="宋体" w:cs="宋体"/>
          <w:b/>
          <w:color w:val="auto"/>
          <w:kern w:val="0"/>
          <w:sz w:val="32"/>
          <w:szCs w:val="32"/>
          <w:highlight w:val="none"/>
        </w:rPr>
      </w:pPr>
    </w:p>
    <w:p w14:paraId="157B2D94">
      <w:pPr>
        <w:jc w:val="center"/>
        <w:rPr>
          <w:rFonts w:ascii="宋体" w:hAnsi="宋体" w:cs="宋体"/>
          <w:b/>
          <w:color w:val="auto"/>
          <w:kern w:val="0"/>
          <w:sz w:val="32"/>
          <w:szCs w:val="32"/>
          <w:highlight w:val="none"/>
        </w:rPr>
      </w:pPr>
    </w:p>
    <w:p w14:paraId="136EE56E">
      <w:pPr>
        <w:jc w:val="center"/>
        <w:rPr>
          <w:rFonts w:ascii="宋体" w:hAnsi="宋体" w:cs="宋体"/>
          <w:b/>
          <w:color w:val="auto"/>
          <w:kern w:val="0"/>
          <w:sz w:val="32"/>
          <w:szCs w:val="32"/>
          <w:highlight w:val="none"/>
        </w:rPr>
      </w:pPr>
    </w:p>
    <w:p w14:paraId="05FCFFCE">
      <w:pPr>
        <w:jc w:val="center"/>
        <w:rPr>
          <w:rFonts w:ascii="宋体" w:hAnsi="宋体" w:cs="宋体"/>
          <w:b/>
          <w:color w:val="auto"/>
          <w:kern w:val="0"/>
          <w:sz w:val="32"/>
          <w:szCs w:val="32"/>
          <w:highlight w:val="none"/>
        </w:rPr>
      </w:pPr>
    </w:p>
    <w:p w14:paraId="396E515D">
      <w:pPr>
        <w:jc w:val="center"/>
        <w:rPr>
          <w:rFonts w:ascii="宋体" w:hAnsi="宋体" w:cs="宋体"/>
          <w:b/>
          <w:color w:val="auto"/>
          <w:kern w:val="0"/>
          <w:sz w:val="32"/>
          <w:szCs w:val="32"/>
          <w:highlight w:val="none"/>
        </w:rPr>
      </w:pPr>
    </w:p>
    <w:p w14:paraId="228EE8DA">
      <w:pPr>
        <w:jc w:val="center"/>
        <w:rPr>
          <w:rFonts w:ascii="宋体" w:hAnsi="宋体" w:cs="宋体"/>
          <w:b/>
          <w:color w:val="auto"/>
          <w:kern w:val="0"/>
          <w:sz w:val="32"/>
          <w:szCs w:val="32"/>
          <w:highlight w:val="none"/>
        </w:rPr>
      </w:pPr>
    </w:p>
    <w:p w14:paraId="421A5AE1">
      <w:pPr>
        <w:jc w:val="center"/>
        <w:rPr>
          <w:rFonts w:ascii="宋体" w:hAnsi="宋体" w:cs="宋体"/>
          <w:b/>
          <w:color w:val="auto"/>
          <w:kern w:val="0"/>
          <w:sz w:val="32"/>
          <w:szCs w:val="32"/>
          <w:highlight w:val="none"/>
        </w:rPr>
      </w:pPr>
    </w:p>
    <w:p w14:paraId="720AA68A">
      <w:pPr>
        <w:jc w:val="center"/>
        <w:rPr>
          <w:rFonts w:ascii="宋体" w:hAnsi="宋体" w:cs="宋体"/>
          <w:b/>
          <w:color w:val="auto"/>
          <w:kern w:val="0"/>
          <w:sz w:val="32"/>
          <w:szCs w:val="32"/>
          <w:highlight w:val="none"/>
        </w:rPr>
      </w:pPr>
    </w:p>
    <w:p w14:paraId="717538C7">
      <w:pPr>
        <w:jc w:val="center"/>
        <w:rPr>
          <w:rFonts w:ascii="宋体" w:hAnsi="宋体" w:cs="宋体"/>
          <w:b/>
          <w:color w:val="auto"/>
          <w:kern w:val="0"/>
          <w:sz w:val="32"/>
          <w:szCs w:val="32"/>
          <w:highlight w:val="none"/>
        </w:rPr>
      </w:pPr>
    </w:p>
    <w:p w14:paraId="353DBBCF">
      <w:pPr>
        <w:jc w:val="center"/>
        <w:rPr>
          <w:rFonts w:ascii="宋体" w:hAnsi="宋体" w:cs="宋体"/>
          <w:b/>
          <w:color w:val="auto"/>
          <w:kern w:val="0"/>
          <w:sz w:val="32"/>
          <w:szCs w:val="32"/>
          <w:highlight w:val="none"/>
        </w:rPr>
      </w:pPr>
    </w:p>
    <w:p w14:paraId="1E93579F">
      <w:pPr>
        <w:jc w:val="center"/>
        <w:rPr>
          <w:rFonts w:ascii="宋体" w:hAnsi="宋体" w:cs="宋体"/>
          <w:b/>
          <w:color w:val="auto"/>
          <w:kern w:val="0"/>
          <w:sz w:val="32"/>
          <w:szCs w:val="32"/>
          <w:highlight w:val="none"/>
        </w:rPr>
      </w:pPr>
    </w:p>
    <w:p w14:paraId="5DA59D5A">
      <w:pPr>
        <w:jc w:val="center"/>
        <w:rPr>
          <w:rFonts w:ascii="宋体" w:hAnsi="宋体" w:cs="宋体"/>
          <w:b/>
          <w:color w:val="auto"/>
          <w:kern w:val="0"/>
          <w:sz w:val="32"/>
          <w:szCs w:val="32"/>
          <w:highlight w:val="none"/>
        </w:rPr>
      </w:pPr>
    </w:p>
    <w:p w14:paraId="20ACDEE6">
      <w:pPr>
        <w:jc w:val="center"/>
        <w:rPr>
          <w:rFonts w:ascii="宋体" w:hAnsi="宋体" w:cs="宋体"/>
          <w:b/>
          <w:color w:val="auto"/>
          <w:kern w:val="0"/>
          <w:sz w:val="32"/>
          <w:szCs w:val="32"/>
          <w:highlight w:val="none"/>
        </w:rPr>
      </w:pPr>
    </w:p>
    <w:p w14:paraId="5B62D94B">
      <w:pPr>
        <w:jc w:val="center"/>
        <w:rPr>
          <w:rFonts w:ascii="宋体" w:hAnsi="宋体" w:cs="宋体"/>
          <w:b/>
          <w:color w:val="auto"/>
          <w:kern w:val="0"/>
          <w:sz w:val="32"/>
          <w:szCs w:val="32"/>
          <w:highlight w:val="none"/>
        </w:rPr>
      </w:pPr>
    </w:p>
    <w:p w14:paraId="15542326">
      <w:pPr>
        <w:jc w:val="center"/>
        <w:rPr>
          <w:rFonts w:ascii="宋体" w:hAnsi="宋体" w:cs="宋体"/>
          <w:b/>
          <w:color w:val="auto"/>
          <w:kern w:val="0"/>
          <w:sz w:val="32"/>
          <w:szCs w:val="32"/>
          <w:highlight w:val="none"/>
        </w:rPr>
      </w:pPr>
    </w:p>
    <w:p w14:paraId="32E091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1150C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476AFF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AD318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16CFCBA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杭州市财经职业学校、浙江西建工程管理有限公司</w:t>
      </w:r>
      <w:r>
        <w:rPr>
          <w:rFonts w:hint="eastAsia" w:ascii="宋体" w:hAnsi="宋体" w:cs="宋体"/>
          <w:color w:val="auto"/>
          <w:kern w:val="0"/>
          <w:sz w:val="24"/>
          <w:highlight w:val="none"/>
          <w:lang w:val="zh-CN"/>
        </w:rPr>
        <w:t>：</w:t>
      </w:r>
    </w:p>
    <w:p w14:paraId="7B40B94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），以我方名义处理杭州市财经职业学校动漫课程资源建设与课程专项提升服务项目采购项目</w:t>
      </w:r>
      <w:r>
        <w:rPr>
          <w:rFonts w:hint="eastAsia" w:ascii="宋体" w:hAnsi="宋体" w:cs="宋体"/>
          <w:color w:val="auto"/>
          <w:sz w:val="24"/>
          <w:highlight w:val="none"/>
        </w:rPr>
        <w:t>【采购编号：</w:t>
      </w:r>
      <w:r>
        <w:rPr>
          <w:rFonts w:hint="eastAsia" w:ascii="宋体" w:hAnsi="宋体" w:cs="宋体"/>
          <w:color w:val="auto"/>
          <w:sz w:val="24"/>
          <w:highlight w:val="none"/>
          <w:lang w:eastAsia="zh-CN"/>
        </w:rPr>
        <w:t>HZCJ-2025-012</w:t>
      </w:r>
      <w:r>
        <w:rPr>
          <w:rFonts w:hint="eastAsia" w:ascii="宋体" w:hAnsi="宋体" w:cs="宋体"/>
          <w:color w:val="auto"/>
          <w:sz w:val="24"/>
          <w:highlight w:val="none"/>
        </w:rPr>
        <w:t>】</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val="zh-CN"/>
        </w:rPr>
        <w:t>采购响应的一切事项，其法律后果由我方承担。</w:t>
      </w:r>
    </w:p>
    <w:p w14:paraId="53BDF6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7A67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2DC1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6A375E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0254961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735E843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身份证明（适用于法定代表人、单位负责人代表供应商参加）</w:t>
      </w:r>
    </w:p>
    <w:p w14:paraId="76332E13">
      <w:pPr>
        <w:pStyle w:val="2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8B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00D945">
            <w:pPr>
              <w:pStyle w:val="2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D4A40AF">
            <w:pPr>
              <w:pStyle w:val="29"/>
              <w:adjustRightInd w:val="0"/>
              <w:spacing w:line="360" w:lineRule="auto"/>
              <w:rPr>
                <w:rFonts w:hAnsi="宋体" w:cs="宋体"/>
                <w:bCs/>
                <w:color w:val="auto"/>
                <w:sz w:val="24"/>
                <w:highlight w:val="none"/>
              </w:rPr>
            </w:pPr>
          </w:p>
        </w:tc>
      </w:tr>
    </w:tbl>
    <w:p w14:paraId="1E8863B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A3E82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F2042C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0E89F6D">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106" w:right="1304" w:bottom="1134" w:left="1247" w:header="851" w:footer="992" w:gutter="0"/>
          <w:cols w:space="720" w:num="1"/>
          <w:titlePg/>
          <w:docGrid w:linePitch="312" w:charSpace="0"/>
        </w:sectPr>
      </w:pPr>
    </w:p>
    <w:p w14:paraId="40662E4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0F93F3FE">
      <w:pPr>
        <w:jc w:val="center"/>
        <w:rPr>
          <w:rFonts w:ascii="宋体" w:hAnsi="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DF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27E4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300620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B2F93E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5FD7FA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12B39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2A9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924F5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B8EED6B">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79398F28">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6424AB8D">
            <w:pPr>
              <w:rPr>
                <w:rFonts w:ascii="宋体" w:hAnsi="宋体" w:cs="宋体"/>
                <w:color w:val="auto"/>
                <w:sz w:val="24"/>
                <w:highlight w:val="none"/>
              </w:rPr>
            </w:pPr>
          </w:p>
          <w:p w14:paraId="15AE2127">
            <w:pPr>
              <w:rPr>
                <w:rFonts w:ascii="宋体" w:hAnsi="宋体" w:cs="宋体"/>
                <w:color w:val="auto"/>
                <w:sz w:val="24"/>
                <w:highlight w:val="none"/>
              </w:rPr>
            </w:pPr>
            <w:r>
              <w:rPr>
                <w:rFonts w:hint="eastAsia" w:ascii="宋体" w:hAnsi="宋体" w:cs="宋体"/>
                <w:color w:val="auto"/>
                <w:sz w:val="24"/>
                <w:highlight w:val="none"/>
              </w:rPr>
              <w:t>见响应文件</w:t>
            </w:r>
          </w:p>
          <w:p w14:paraId="4372FBB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E0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EF3BE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D7F9034">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响应文件中承诺的响应有效期不少于采购文件中载明的响应有效期。</w:t>
            </w:r>
          </w:p>
        </w:tc>
        <w:tc>
          <w:tcPr>
            <w:tcW w:w="2551" w:type="dxa"/>
            <w:vAlign w:val="center"/>
          </w:tcPr>
          <w:p w14:paraId="2F189F1D">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447C54EC">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D62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B7C6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D0DC8D4">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0066ACE1">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4B30D54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1FAA8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370C1E">
      <w:pPr>
        <w:jc w:val="center"/>
        <w:rPr>
          <w:rFonts w:ascii="宋体" w:hAnsi="宋体" w:cs="宋体"/>
          <w:b/>
          <w:color w:val="auto"/>
          <w:kern w:val="0"/>
          <w:sz w:val="32"/>
          <w:szCs w:val="32"/>
          <w:highlight w:val="none"/>
        </w:rPr>
      </w:pPr>
    </w:p>
    <w:p w14:paraId="03C88D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01F4783">
      <w:pPr>
        <w:jc w:val="center"/>
        <w:rPr>
          <w:rFonts w:ascii="宋体" w:hAnsi="宋体" w:cs="宋体"/>
          <w:b/>
          <w:color w:val="auto"/>
          <w:kern w:val="0"/>
          <w:sz w:val="32"/>
          <w:szCs w:val="32"/>
          <w:highlight w:val="none"/>
        </w:rPr>
      </w:pPr>
    </w:p>
    <w:p w14:paraId="5C9D6923">
      <w:pPr>
        <w:jc w:val="center"/>
        <w:rPr>
          <w:rFonts w:ascii="宋体" w:hAnsi="宋体" w:cs="宋体"/>
          <w:b/>
          <w:color w:val="auto"/>
          <w:kern w:val="0"/>
          <w:sz w:val="32"/>
          <w:szCs w:val="32"/>
          <w:highlight w:val="none"/>
        </w:rPr>
      </w:pPr>
    </w:p>
    <w:p w14:paraId="4BEB50FE">
      <w:pPr>
        <w:jc w:val="center"/>
        <w:rPr>
          <w:rFonts w:ascii="宋体" w:hAnsi="宋体" w:cs="宋体"/>
          <w:b/>
          <w:color w:val="auto"/>
          <w:kern w:val="0"/>
          <w:sz w:val="32"/>
          <w:szCs w:val="32"/>
          <w:highlight w:val="none"/>
        </w:rPr>
      </w:pPr>
    </w:p>
    <w:p w14:paraId="39A89D49">
      <w:pPr>
        <w:jc w:val="center"/>
        <w:rPr>
          <w:rFonts w:ascii="宋体" w:hAnsi="宋体" w:cs="宋体"/>
          <w:b/>
          <w:color w:val="auto"/>
          <w:kern w:val="0"/>
          <w:sz w:val="32"/>
          <w:szCs w:val="32"/>
          <w:highlight w:val="none"/>
        </w:rPr>
      </w:pPr>
    </w:p>
    <w:p w14:paraId="6C0C2A2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1A58F0">
      <w:pPr>
        <w:jc w:val="center"/>
        <w:rPr>
          <w:rFonts w:ascii="宋体" w:hAnsi="宋体" w:cs="宋体"/>
          <w:color w:val="auto"/>
          <w:highlight w:val="none"/>
        </w:rPr>
      </w:pPr>
      <w:r>
        <w:rPr>
          <w:rFonts w:hint="eastAsia" w:ascii="宋体" w:hAnsi="宋体" w:cs="宋体"/>
          <w:b/>
          <w:color w:val="auto"/>
          <w:kern w:val="0"/>
          <w:sz w:val="32"/>
          <w:szCs w:val="32"/>
          <w:highlight w:val="none"/>
        </w:rPr>
        <w:t>四、评审标准相应的商务技术资料</w:t>
      </w:r>
    </w:p>
    <w:p w14:paraId="311A1B4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1418F927">
      <w:pPr>
        <w:jc w:val="center"/>
        <w:rPr>
          <w:rFonts w:ascii="宋体" w:hAnsi="宋体" w:cs="宋体"/>
          <w:b/>
          <w:color w:val="auto"/>
          <w:kern w:val="0"/>
          <w:sz w:val="32"/>
          <w:szCs w:val="32"/>
          <w:highlight w:val="none"/>
        </w:rPr>
      </w:pPr>
    </w:p>
    <w:p w14:paraId="19F9ECA4">
      <w:pPr>
        <w:jc w:val="center"/>
        <w:rPr>
          <w:rFonts w:ascii="宋体" w:hAnsi="宋体" w:cs="宋体"/>
          <w:b/>
          <w:color w:val="auto"/>
          <w:kern w:val="0"/>
          <w:sz w:val="32"/>
          <w:szCs w:val="32"/>
          <w:highlight w:val="none"/>
        </w:rPr>
      </w:pPr>
    </w:p>
    <w:p w14:paraId="6E77BECB">
      <w:pPr>
        <w:jc w:val="center"/>
        <w:rPr>
          <w:rFonts w:ascii="宋体" w:hAnsi="宋体" w:cs="宋体"/>
          <w:b/>
          <w:color w:val="auto"/>
          <w:kern w:val="0"/>
          <w:sz w:val="32"/>
          <w:szCs w:val="32"/>
          <w:highlight w:val="none"/>
        </w:rPr>
      </w:pPr>
    </w:p>
    <w:p w14:paraId="040BDFE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五、响应标的清单</w:t>
      </w: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A5E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C852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39B4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7D5C450">
            <w:pPr>
              <w:spacing w:line="360" w:lineRule="auto"/>
              <w:jc w:val="center"/>
              <w:rPr>
                <w:rFonts w:ascii="宋体" w:hAnsi="宋体" w:cs="宋体"/>
                <w:b/>
                <w:color w:val="auto"/>
                <w:sz w:val="24"/>
                <w:highlight w:val="none"/>
              </w:rPr>
            </w:pPr>
          </w:p>
          <w:p w14:paraId="2E0574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20FB1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A8C8A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A4D5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8AB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9B41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CB855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EB614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24900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5A178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B4D9CB">
            <w:pPr>
              <w:spacing w:line="360" w:lineRule="auto"/>
              <w:jc w:val="center"/>
              <w:rPr>
                <w:rFonts w:ascii="宋体" w:hAnsi="宋体" w:cs="宋体"/>
                <w:color w:val="auto"/>
                <w:sz w:val="24"/>
                <w:highlight w:val="none"/>
              </w:rPr>
            </w:pPr>
          </w:p>
        </w:tc>
      </w:tr>
      <w:tr w14:paraId="2332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7DEC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4F434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D32EB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20B2A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062FF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4A4AD4">
            <w:pPr>
              <w:spacing w:line="360" w:lineRule="auto"/>
              <w:jc w:val="center"/>
              <w:rPr>
                <w:rFonts w:ascii="宋体" w:hAnsi="宋体" w:cs="宋体"/>
                <w:color w:val="auto"/>
                <w:sz w:val="24"/>
                <w:highlight w:val="none"/>
              </w:rPr>
            </w:pPr>
          </w:p>
        </w:tc>
      </w:tr>
      <w:tr w14:paraId="7C77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95E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E5B56B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78B7B9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D374F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D75C8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112A0A8">
            <w:pPr>
              <w:spacing w:line="360" w:lineRule="auto"/>
              <w:jc w:val="center"/>
              <w:rPr>
                <w:rFonts w:ascii="宋体" w:hAnsi="宋体" w:cs="宋体"/>
                <w:color w:val="auto"/>
                <w:sz w:val="24"/>
                <w:highlight w:val="none"/>
              </w:rPr>
            </w:pPr>
          </w:p>
        </w:tc>
      </w:tr>
    </w:tbl>
    <w:p w14:paraId="2B1BFD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989371">
      <w:pPr>
        <w:jc w:val="center"/>
        <w:rPr>
          <w:rFonts w:ascii="宋体" w:hAnsi="宋体" w:cs="宋体"/>
          <w:b/>
          <w:color w:val="auto"/>
          <w:kern w:val="0"/>
          <w:sz w:val="32"/>
          <w:szCs w:val="32"/>
          <w:highlight w:val="none"/>
        </w:rPr>
      </w:pPr>
    </w:p>
    <w:p w14:paraId="39384876">
      <w:pPr>
        <w:jc w:val="center"/>
        <w:rPr>
          <w:rFonts w:ascii="宋体" w:hAnsi="宋体" w:cs="宋体"/>
          <w:b/>
          <w:color w:val="auto"/>
          <w:kern w:val="0"/>
          <w:sz w:val="32"/>
          <w:szCs w:val="32"/>
          <w:highlight w:val="none"/>
        </w:rPr>
      </w:pPr>
    </w:p>
    <w:p w14:paraId="1F1F6AB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BC0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CD81F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59B6DDD">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563827FE">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9F9F66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79C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DD072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16C9EEC">
            <w:pPr>
              <w:jc w:val="center"/>
              <w:rPr>
                <w:rFonts w:ascii="宋体" w:hAnsi="宋体" w:cs="宋体"/>
                <w:b/>
                <w:color w:val="auto"/>
                <w:kern w:val="0"/>
                <w:sz w:val="32"/>
                <w:szCs w:val="32"/>
                <w:highlight w:val="none"/>
              </w:rPr>
            </w:pPr>
          </w:p>
        </w:tc>
        <w:tc>
          <w:tcPr>
            <w:tcW w:w="3546" w:type="dxa"/>
          </w:tcPr>
          <w:p w14:paraId="0E0318D4">
            <w:pPr>
              <w:jc w:val="center"/>
              <w:rPr>
                <w:rFonts w:ascii="宋体" w:hAnsi="宋体" w:cs="宋体"/>
                <w:b/>
                <w:color w:val="auto"/>
                <w:kern w:val="0"/>
                <w:sz w:val="32"/>
                <w:szCs w:val="32"/>
                <w:highlight w:val="none"/>
              </w:rPr>
            </w:pPr>
          </w:p>
        </w:tc>
        <w:tc>
          <w:tcPr>
            <w:tcW w:w="1276" w:type="dxa"/>
          </w:tcPr>
          <w:p w14:paraId="7C0427BF">
            <w:pPr>
              <w:jc w:val="center"/>
              <w:rPr>
                <w:rFonts w:ascii="宋体" w:hAnsi="宋体" w:cs="宋体"/>
                <w:b/>
                <w:color w:val="auto"/>
                <w:kern w:val="0"/>
                <w:sz w:val="32"/>
                <w:szCs w:val="32"/>
                <w:highlight w:val="none"/>
              </w:rPr>
            </w:pPr>
          </w:p>
        </w:tc>
      </w:tr>
      <w:tr w14:paraId="5645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AFE73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281DBAA">
            <w:pPr>
              <w:jc w:val="center"/>
              <w:rPr>
                <w:rFonts w:ascii="宋体" w:hAnsi="宋体" w:cs="宋体"/>
                <w:b/>
                <w:color w:val="auto"/>
                <w:kern w:val="0"/>
                <w:sz w:val="32"/>
                <w:szCs w:val="32"/>
                <w:highlight w:val="none"/>
              </w:rPr>
            </w:pPr>
          </w:p>
        </w:tc>
        <w:tc>
          <w:tcPr>
            <w:tcW w:w="3546" w:type="dxa"/>
          </w:tcPr>
          <w:p w14:paraId="3416DBAB">
            <w:pPr>
              <w:jc w:val="center"/>
              <w:rPr>
                <w:rFonts w:ascii="宋体" w:hAnsi="宋体" w:cs="宋体"/>
                <w:b/>
                <w:color w:val="auto"/>
                <w:kern w:val="0"/>
                <w:sz w:val="32"/>
                <w:szCs w:val="32"/>
                <w:highlight w:val="none"/>
              </w:rPr>
            </w:pPr>
          </w:p>
        </w:tc>
        <w:tc>
          <w:tcPr>
            <w:tcW w:w="1276" w:type="dxa"/>
          </w:tcPr>
          <w:p w14:paraId="6851D248">
            <w:pPr>
              <w:jc w:val="center"/>
              <w:rPr>
                <w:rFonts w:ascii="宋体" w:hAnsi="宋体" w:cs="宋体"/>
                <w:b/>
                <w:color w:val="auto"/>
                <w:kern w:val="0"/>
                <w:sz w:val="32"/>
                <w:szCs w:val="32"/>
                <w:highlight w:val="none"/>
              </w:rPr>
            </w:pPr>
          </w:p>
        </w:tc>
      </w:tr>
      <w:tr w14:paraId="4744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901E5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960D90F">
            <w:pPr>
              <w:jc w:val="center"/>
              <w:rPr>
                <w:rFonts w:ascii="宋体" w:hAnsi="宋体" w:cs="宋体"/>
                <w:b/>
                <w:color w:val="auto"/>
                <w:kern w:val="0"/>
                <w:sz w:val="32"/>
                <w:szCs w:val="32"/>
                <w:highlight w:val="none"/>
              </w:rPr>
            </w:pPr>
          </w:p>
        </w:tc>
        <w:tc>
          <w:tcPr>
            <w:tcW w:w="3546" w:type="dxa"/>
          </w:tcPr>
          <w:p w14:paraId="29214BF7">
            <w:pPr>
              <w:jc w:val="center"/>
              <w:rPr>
                <w:rFonts w:ascii="宋体" w:hAnsi="宋体" w:cs="宋体"/>
                <w:b/>
                <w:color w:val="auto"/>
                <w:kern w:val="0"/>
                <w:sz w:val="32"/>
                <w:szCs w:val="32"/>
                <w:highlight w:val="none"/>
              </w:rPr>
            </w:pPr>
          </w:p>
        </w:tc>
        <w:tc>
          <w:tcPr>
            <w:tcW w:w="1276" w:type="dxa"/>
          </w:tcPr>
          <w:p w14:paraId="3C7940A4">
            <w:pPr>
              <w:jc w:val="center"/>
              <w:rPr>
                <w:rFonts w:ascii="宋体" w:hAnsi="宋体" w:cs="宋体"/>
                <w:b/>
                <w:color w:val="auto"/>
                <w:kern w:val="0"/>
                <w:sz w:val="32"/>
                <w:szCs w:val="32"/>
                <w:highlight w:val="none"/>
              </w:rPr>
            </w:pPr>
          </w:p>
        </w:tc>
      </w:tr>
    </w:tbl>
    <w:p w14:paraId="596D7A62">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6E6092E">
      <w:pPr>
        <w:jc w:val="center"/>
        <w:rPr>
          <w:rFonts w:ascii="宋体" w:hAnsi="宋体" w:cs="宋体"/>
          <w:b/>
          <w:color w:val="auto"/>
          <w:kern w:val="0"/>
          <w:sz w:val="32"/>
          <w:szCs w:val="32"/>
          <w:highlight w:val="none"/>
        </w:rPr>
      </w:pPr>
    </w:p>
    <w:p w14:paraId="6B6BC2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8C4758">
      <w:pPr>
        <w:ind w:firstLine="1911" w:firstLineChars="595"/>
        <w:rPr>
          <w:rFonts w:ascii="宋体" w:hAnsi="宋体" w:cs="宋体"/>
          <w:b/>
          <w:bCs/>
          <w:color w:val="auto"/>
          <w:sz w:val="32"/>
          <w:szCs w:val="32"/>
          <w:highlight w:val="none"/>
        </w:rPr>
      </w:pPr>
    </w:p>
    <w:p w14:paraId="521D47DB">
      <w:pPr>
        <w:ind w:firstLine="1911" w:firstLineChars="595"/>
        <w:rPr>
          <w:rFonts w:ascii="宋体" w:hAnsi="宋体" w:cs="宋体"/>
          <w:b/>
          <w:bCs/>
          <w:color w:val="auto"/>
          <w:sz w:val="32"/>
          <w:szCs w:val="32"/>
          <w:highlight w:val="none"/>
        </w:rPr>
      </w:pPr>
    </w:p>
    <w:p w14:paraId="31EBF859">
      <w:pPr>
        <w:ind w:firstLine="1911" w:firstLineChars="595"/>
        <w:rPr>
          <w:rFonts w:ascii="宋体" w:hAnsi="宋体" w:cs="宋体"/>
          <w:b/>
          <w:bCs/>
          <w:color w:val="auto"/>
          <w:sz w:val="32"/>
          <w:szCs w:val="32"/>
          <w:highlight w:val="none"/>
        </w:rPr>
      </w:pPr>
    </w:p>
    <w:p w14:paraId="5D742422">
      <w:pPr>
        <w:ind w:firstLine="1911" w:firstLineChars="595"/>
        <w:rPr>
          <w:rFonts w:ascii="宋体" w:hAnsi="宋体" w:cs="宋体"/>
          <w:b/>
          <w:bCs/>
          <w:color w:val="auto"/>
          <w:sz w:val="32"/>
          <w:szCs w:val="32"/>
          <w:highlight w:val="none"/>
        </w:rPr>
      </w:pPr>
    </w:p>
    <w:p w14:paraId="465D80DA">
      <w:pPr>
        <w:ind w:firstLine="1911" w:firstLineChars="595"/>
        <w:rPr>
          <w:rFonts w:ascii="宋体" w:hAnsi="宋体" w:cs="宋体"/>
          <w:b/>
          <w:bCs/>
          <w:color w:val="auto"/>
          <w:sz w:val="32"/>
          <w:szCs w:val="32"/>
          <w:highlight w:val="none"/>
        </w:rPr>
      </w:pPr>
    </w:p>
    <w:p w14:paraId="5A04C6B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164E487">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0"/>
          <w:sz w:val="32"/>
          <w:szCs w:val="32"/>
          <w:highlight w:val="none"/>
          <w:lang w:val="zh-CN"/>
        </w:rPr>
        <w:t>采购供应商廉洁自律承诺书</w:t>
      </w:r>
    </w:p>
    <w:p w14:paraId="15383524">
      <w:pPr>
        <w:snapToGrid w:val="0"/>
        <w:spacing w:line="360" w:lineRule="auto"/>
        <w:rPr>
          <w:rFonts w:ascii="宋体" w:hAnsi="宋体" w:cs="宋体"/>
          <w:color w:val="auto"/>
          <w:sz w:val="24"/>
          <w:highlight w:val="none"/>
        </w:rPr>
      </w:pPr>
    </w:p>
    <w:p w14:paraId="0D4FB2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p>
    <w:p w14:paraId="557E6F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5DB4BB2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D7C827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D3DD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990C98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8A6BAD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365BE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8DCADA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7EB6CAD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61A6D0C">
      <w:pPr>
        <w:autoSpaceDE w:val="0"/>
        <w:autoSpaceDN w:val="0"/>
        <w:spacing w:line="360" w:lineRule="auto"/>
        <w:ind w:left="2"/>
        <w:jc w:val="left"/>
        <w:rPr>
          <w:rFonts w:ascii="宋体" w:hAnsi="宋体" w:cs="宋体"/>
          <w:color w:val="auto"/>
          <w:kern w:val="0"/>
          <w:sz w:val="24"/>
          <w:highlight w:val="none"/>
          <w:lang w:val="zh-CN"/>
        </w:rPr>
      </w:pPr>
    </w:p>
    <w:p w14:paraId="090793D1">
      <w:pPr>
        <w:autoSpaceDE w:val="0"/>
        <w:autoSpaceDN w:val="0"/>
        <w:spacing w:line="360" w:lineRule="auto"/>
        <w:ind w:left="2"/>
        <w:jc w:val="left"/>
        <w:rPr>
          <w:rFonts w:ascii="宋体" w:hAnsi="宋体" w:cs="宋体"/>
          <w:color w:val="auto"/>
          <w:kern w:val="0"/>
          <w:sz w:val="24"/>
          <w:highlight w:val="none"/>
          <w:lang w:val="zh-CN"/>
        </w:rPr>
      </w:pPr>
    </w:p>
    <w:p w14:paraId="450720EB">
      <w:pPr>
        <w:autoSpaceDE w:val="0"/>
        <w:autoSpaceDN w:val="0"/>
        <w:spacing w:line="360" w:lineRule="auto"/>
        <w:ind w:left="2"/>
        <w:jc w:val="left"/>
        <w:rPr>
          <w:rFonts w:ascii="宋体" w:hAnsi="宋体" w:cs="宋体"/>
          <w:color w:val="auto"/>
          <w:kern w:val="0"/>
          <w:sz w:val="24"/>
          <w:highlight w:val="none"/>
          <w:lang w:val="zh-CN"/>
        </w:rPr>
      </w:pPr>
    </w:p>
    <w:p w14:paraId="0BA0BA8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F2F246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81289D0">
      <w:pPr>
        <w:spacing w:line="360" w:lineRule="auto"/>
        <w:jc w:val="center"/>
        <w:rPr>
          <w:rFonts w:ascii="宋体" w:hAnsi="宋体" w:cs="宋体"/>
          <w:b/>
          <w:bCs/>
          <w:color w:val="auto"/>
          <w:sz w:val="24"/>
          <w:highlight w:val="none"/>
        </w:rPr>
      </w:pPr>
    </w:p>
    <w:p w14:paraId="0FAB69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D9D099">
      <w:pPr>
        <w:spacing w:line="360" w:lineRule="auto"/>
        <w:jc w:val="center"/>
        <w:rPr>
          <w:rFonts w:ascii="宋体" w:hAnsi="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D784B5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8C126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3D375BA">
      <w:pPr>
        <w:spacing w:line="360" w:lineRule="auto"/>
        <w:jc w:val="center"/>
        <w:outlineLvl w:val="0"/>
        <w:rPr>
          <w:rFonts w:ascii="宋体" w:hAnsi="宋体" w:cs="宋体"/>
          <w:b/>
          <w:color w:val="auto"/>
          <w:kern w:val="0"/>
          <w:sz w:val="36"/>
          <w:szCs w:val="36"/>
          <w:highlight w:val="none"/>
        </w:rPr>
      </w:pPr>
    </w:p>
    <w:p w14:paraId="764CAEB6">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B535CE5">
      <w:pPr>
        <w:numPr>
          <w:ilvl w:val="0"/>
          <w:numId w:val="6"/>
        </w:numPr>
        <w:snapToGrid w:val="0"/>
        <w:spacing w:line="360" w:lineRule="auto"/>
        <w:rPr>
          <w:rFonts w:ascii="宋体" w:hAnsi="宋体" w:cs="宋体"/>
          <w:color w:val="auto"/>
          <w:sz w:val="24"/>
          <w:highlight w:val="none"/>
        </w:rPr>
      </w:pP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7E54AD0D">
      <w:pPr>
        <w:pStyle w:val="23"/>
        <w:numPr>
          <w:ilvl w:val="0"/>
          <w:numId w:val="6"/>
        </w:numPr>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中小企业声明函………………………………………………………………（页码）</w:t>
      </w:r>
    </w:p>
    <w:p w14:paraId="03BDE663">
      <w:pPr>
        <w:pStyle w:val="24"/>
        <w:ind w:firstLine="480"/>
        <w:rPr>
          <w:rFonts w:ascii="Times New Roman" w:eastAsia="宋体"/>
          <w:bCs/>
          <w:snapToGrid w:val="0"/>
          <w:color w:val="auto"/>
          <w:sz w:val="24"/>
          <w:szCs w:val="24"/>
          <w:highlight w:val="none"/>
          <w:lang w:val="en-US"/>
        </w:rPr>
      </w:pPr>
    </w:p>
    <w:p w14:paraId="6C3E06A9">
      <w:pPr>
        <w:snapToGrid w:val="0"/>
        <w:spacing w:line="360" w:lineRule="auto"/>
        <w:ind w:right="480"/>
        <w:jc w:val="center"/>
        <w:rPr>
          <w:rFonts w:ascii="宋体" w:hAnsi="宋体" w:cs="宋体"/>
          <w:b/>
          <w:color w:val="auto"/>
          <w:kern w:val="0"/>
          <w:sz w:val="32"/>
          <w:szCs w:val="32"/>
          <w:highlight w:val="none"/>
        </w:rPr>
      </w:pPr>
    </w:p>
    <w:p w14:paraId="66B986A6">
      <w:pPr>
        <w:snapToGrid w:val="0"/>
        <w:spacing w:line="360" w:lineRule="auto"/>
        <w:ind w:right="480"/>
        <w:jc w:val="center"/>
        <w:rPr>
          <w:rFonts w:ascii="宋体" w:hAnsi="宋体" w:cs="宋体"/>
          <w:b/>
          <w:color w:val="auto"/>
          <w:kern w:val="0"/>
          <w:sz w:val="32"/>
          <w:szCs w:val="32"/>
          <w:highlight w:val="none"/>
        </w:rPr>
      </w:pPr>
    </w:p>
    <w:p w14:paraId="0D2C73F3">
      <w:pPr>
        <w:snapToGrid w:val="0"/>
        <w:spacing w:line="360" w:lineRule="auto"/>
        <w:ind w:right="480"/>
        <w:jc w:val="center"/>
        <w:rPr>
          <w:rFonts w:ascii="宋体" w:hAnsi="宋体" w:cs="宋体"/>
          <w:b/>
          <w:color w:val="auto"/>
          <w:kern w:val="0"/>
          <w:sz w:val="32"/>
          <w:szCs w:val="32"/>
          <w:highlight w:val="none"/>
        </w:rPr>
      </w:pPr>
    </w:p>
    <w:p w14:paraId="2D35F936">
      <w:pPr>
        <w:snapToGrid w:val="0"/>
        <w:spacing w:line="360" w:lineRule="auto"/>
        <w:ind w:right="480"/>
        <w:jc w:val="center"/>
        <w:rPr>
          <w:rFonts w:ascii="宋体" w:hAnsi="宋体" w:cs="宋体"/>
          <w:b/>
          <w:color w:val="auto"/>
          <w:kern w:val="0"/>
          <w:sz w:val="32"/>
          <w:szCs w:val="32"/>
          <w:highlight w:val="none"/>
        </w:rPr>
      </w:pPr>
    </w:p>
    <w:p w14:paraId="636F5526">
      <w:pPr>
        <w:snapToGrid w:val="0"/>
        <w:spacing w:line="360" w:lineRule="auto"/>
        <w:ind w:right="480"/>
        <w:jc w:val="center"/>
        <w:rPr>
          <w:rFonts w:ascii="宋体" w:hAnsi="宋体" w:cs="宋体"/>
          <w:b/>
          <w:color w:val="auto"/>
          <w:kern w:val="0"/>
          <w:sz w:val="32"/>
          <w:szCs w:val="32"/>
          <w:highlight w:val="none"/>
        </w:rPr>
      </w:pPr>
    </w:p>
    <w:p w14:paraId="08ED34B9">
      <w:pPr>
        <w:snapToGrid w:val="0"/>
        <w:spacing w:line="360" w:lineRule="auto"/>
        <w:ind w:right="480"/>
        <w:jc w:val="center"/>
        <w:rPr>
          <w:rFonts w:ascii="宋体" w:hAnsi="宋体" w:cs="宋体"/>
          <w:b/>
          <w:color w:val="auto"/>
          <w:kern w:val="0"/>
          <w:sz w:val="32"/>
          <w:szCs w:val="32"/>
          <w:highlight w:val="none"/>
        </w:rPr>
      </w:pPr>
    </w:p>
    <w:p w14:paraId="582431A1">
      <w:pPr>
        <w:snapToGrid w:val="0"/>
        <w:spacing w:line="360" w:lineRule="auto"/>
        <w:ind w:right="480"/>
        <w:jc w:val="center"/>
        <w:rPr>
          <w:rFonts w:ascii="宋体" w:hAnsi="宋体" w:cs="宋体"/>
          <w:b/>
          <w:color w:val="auto"/>
          <w:kern w:val="0"/>
          <w:sz w:val="32"/>
          <w:szCs w:val="32"/>
          <w:highlight w:val="none"/>
        </w:rPr>
      </w:pPr>
    </w:p>
    <w:p w14:paraId="44A39C83">
      <w:pPr>
        <w:snapToGrid w:val="0"/>
        <w:spacing w:line="360" w:lineRule="auto"/>
        <w:ind w:right="480"/>
        <w:jc w:val="center"/>
        <w:rPr>
          <w:rFonts w:ascii="宋体" w:hAnsi="宋体" w:cs="宋体"/>
          <w:b/>
          <w:color w:val="auto"/>
          <w:kern w:val="0"/>
          <w:sz w:val="32"/>
          <w:szCs w:val="32"/>
          <w:highlight w:val="none"/>
        </w:rPr>
      </w:pPr>
    </w:p>
    <w:p w14:paraId="3BD5F718">
      <w:pPr>
        <w:snapToGrid w:val="0"/>
        <w:spacing w:line="360" w:lineRule="auto"/>
        <w:ind w:right="480"/>
        <w:jc w:val="center"/>
        <w:rPr>
          <w:rFonts w:ascii="宋体" w:hAnsi="宋体" w:cs="宋体"/>
          <w:b/>
          <w:color w:val="auto"/>
          <w:kern w:val="0"/>
          <w:sz w:val="32"/>
          <w:szCs w:val="32"/>
          <w:highlight w:val="none"/>
        </w:rPr>
      </w:pPr>
    </w:p>
    <w:p w14:paraId="3843C871">
      <w:pPr>
        <w:snapToGrid w:val="0"/>
        <w:spacing w:line="360" w:lineRule="auto"/>
        <w:ind w:right="480"/>
        <w:jc w:val="center"/>
        <w:rPr>
          <w:rFonts w:ascii="宋体" w:hAnsi="宋体" w:cs="宋体"/>
          <w:b/>
          <w:color w:val="auto"/>
          <w:kern w:val="0"/>
          <w:sz w:val="32"/>
          <w:szCs w:val="32"/>
          <w:highlight w:val="none"/>
        </w:rPr>
      </w:pPr>
    </w:p>
    <w:p w14:paraId="4564D888">
      <w:pPr>
        <w:snapToGrid w:val="0"/>
        <w:spacing w:line="360" w:lineRule="auto"/>
        <w:ind w:right="480"/>
        <w:jc w:val="center"/>
        <w:rPr>
          <w:rFonts w:ascii="宋体" w:hAnsi="宋体" w:cs="宋体"/>
          <w:b/>
          <w:color w:val="auto"/>
          <w:kern w:val="0"/>
          <w:sz w:val="32"/>
          <w:szCs w:val="32"/>
          <w:highlight w:val="none"/>
        </w:rPr>
      </w:pPr>
    </w:p>
    <w:p w14:paraId="224A6D84">
      <w:pPr>
        <w:snapToGrid w:val="0"/>
        <w:spacing w:line="360" w:lineRule="auto"/>
        <w:ind w:right="480"/>
        <w:jc w:val="center"/>
        <w:rPr>
          <w:rFonts w:ascii="宋体" w:hAnsi="宋体" w:cs="宋体"/>
          <w:b/>
          <w:color w:val="auto"/>
          <w:kern w:val="0"/>
          <w:sz w:val="32"/>
          <w:szCs w:val="32"/>
          <w:highlight w:val="none"/>
        </w:rPr>
      </w:pPr>
    </w:p>
    <w:p w14:paraId="2175B632">
      <w:pPr>
        <w:snapToGrid w:val="0"/>
        <w:spacing w:line="360" w:lineRule="auto"/>
        <w:ind w:right="480"/>
        <w:jc w:val="center"/>
        <w:rPr>
          <w:rFonts w:ascii="宋体" w:hAnsi="宋体" w:cs="宋体"/>
          <w:b/>
          <w:color w:val="auto"/>
          <w:kern w:val="0"/>
          <w:sz w:val="32"/>
          <w:szCs w:val="32"/>
          <w:highlight w:val="none"/>
        </w:rPr>
      </w:pPr>
    </w:p>
    <w:p w14:paraId="27A361EC">
      <w:pPr>
        <w:snapToGrid w:val="0"/>
        <w:spacing w:line="360" w:lineRule="auto"/>
        <w:ind w:right="480"/>
        <w:jc w:val="center"/>
        <w:rPr>
          <w:rFonts w:ascii="宋体" w:hAnsi="宋体" w:cs="宋体"/>
          <w:b/>
          <w:color w:val="auto"/>
          <w:kern w:val="0"/>
          <w:sz w:val="32"/>
          <w:szCs w:val="32"/>
          <w:highlight w:val="none"/>
        </w:rPr>
      </w:pPr>
    </w:p>
    <w:p w14:paraId="1379B009">
      <w:pPr>
        <w:snapToGrid w:val="0"/>
        <w:spacing w:line="360" w:lineRule="auto"/>
        <w:ind w:right="480"/>
        <w:jc w:val="center"/>
        <w:rPr>
          <w:rFonts w:ascii="宋体" w:hAnsi="宋体" w:cs="宋体"/>
          <w:b/>
          <w:color w:val="auto"/>
          <w:kern w:val="0"/>
          <w:sz w:val="32"/>
          <w:szCs w:val="32"/>
          <w:highlight w:val="none"/>
        </w:rPr>
      </w:pPr>
    </w:p>
    <w:p w14:paraId="5E304245">
      <w:pPr>
        <w:pStyle w:val="3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65E0A36D">
      <w:pPr>
        <w:pStyle w:val="3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30E1E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r>
        <w:rPr>
          <w:rFonts w:hint="eastAsia" w:ascii="宋体" w:hAnsi="宋体" w:cs="宋体"/>
          <w:color w:val="auto"/>
          <w:sz w:val="24"/>
          <w:highlight w:val="none"/>
          <w:lang w:val="zh-CN"/>
        </w:rPr>
        <w:t>：</w:t>
      </w:r>
    </w:p>
    <w:p w14:paraId="45D1DE8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（报价表）的价格完成杭州市财经职业学校动漫课程资源建设与课程专项提升服务项目采购项目【采购编号：</w:t>
      </w:r>
      <w:r>
        <w:rPr>
          <w:rFonts w:hint="eastAsia" w:ascii="宋体" w:hAnsi="宋体" w:cs="宋体"/>
          <w:color w:val="auto"/>
          <w:sz w:val="24"/>
          <w:highlight w:val="none"/>
          <w:lang w:eastAsia="zh-CN"/>
        </w:rPr>
        <w:t>HZCJ-2025-012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C55FF2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AF0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534" w:type="dxa"/>
            <w:vAlign w:val="center"/>
          </w:tcPr>
          <w:p w14:paraId="363D96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B5E68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03812BCC">
            <w:pPr>
              <w:spacing w:line="360" w:lineRule="auto"/>
              <w:jc w:val="center"/>
              <w:rPr>
                <w:rFonts w:ascii="宋体" w:hAnsi="宋体" w:cs="宋体"/>
                <w:b/>
                <w:color w:val="auto"/>
                <w:sz w:val="24"/>
                <w:highlight w:val="none"/>
              </w:rPr>
            </w:pPr>
          </w:p>
          <w:p w14:paraId="5C315F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D34CC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42F32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E30A9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C1305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392A13B">
            <w:pPr>
              <w:spacing w:line="360" w:lineRule="auto"/>
              <w:jc w:val="center"/>
              <w:rPr>
                <w:rFonts w:ascii="宋体" w:hAnsi="宋体" w:cs="宋体"/>
                <w:b/>
                <w:color w:val="auto"/>
                <w:sz w:val="24"/>
                <w:highlight w:val="none"/>
              </w:rPr>
            </w:pPr>
          </w:p>
          <w:p w14:paraId="3F3CDC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7D6B28E">
            <w:pPr>
              <w:spacing w:line="360" w:lineRule="auto"/>
              <w:jc w:val="center"/>
              <w:rPr>
                <w:rFonts w:ascii="宋体" w:hAnsi="宋体" w:cs="宋体"/>
                <w:b/>
                <w:color w:val="auto"/>
                <w:sz w:val="24"/>
                <w:highlight w:val="none"/>
              </w:rPr>
            </w:pPr>
          </w:p>
        </w:tc>
      </w:tr>
      <w:tr w14:paraId="7C0D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3E905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2241256">
            <w:pPr>
              <w:snapToGrid w:val="0"/>
              <w:spacing w:line="360" w:lineRule="auto"/>
              <w:jc w:val="center"/>
              <w:rPr>
                <w:rFonts w:ascii="宋体" w:hAnsi="宋体" w:cs="宋体"/>
                <w:color w:val="auto"/>
                <w:sz w:val="24"/>
                <w:highlight w:val="none"/>
              </w:rPr>
            </w:pPr>
          </w:p>
        </w:tc>
        <w:tc>
          <w:tcPr>
            <w:tcW w:w="1843" w:type="dxa"/>
            <w:vAlign w:val="center"/>
          </w:tcPr>
          <w:p w14:paraId="63D675BA">
            <w:pPr>
              <w:snapToGrid w:val="0"/>
              <w:spacing w:line="360" w:lineRule="auto"/>
              <w:jc w:val="center"/>
              <w:rPr>
                <w:rFonts w:ascii="宋体" w:hAnsi="宋体" w:cs="宋体"/>
                <w:color w:val="auto"/>
                <w:sz w:val="24"/>
                <w:highlight w:val="none"/>
              </w:rPr>
            </w:pPr>
          </w:p>
        </w:tc>
        <w:tc>
          <w:tcPr>
            <w:tcW w:w="3118" w:type="dxa"/>
            <w:vAlign w:val="center"/>
          </w:tcPr>
          <w:p w14:paraId="5A2DDE67">
            <w:pPr>
              <w:snapToGrid w:val="0"/>
              <w:spacing w:line="360" w:lineRule="auto"/>
              <w:jc w:val="center"/>
              <w:rPr>
                <w:rFonts w:ascii="宋体" w:hAnsi="宋体" w:cs="宋体"/>
                <w:color w:val="auto"/>
                <w:sz w:val="24"/>
                <w:highlight w:val="none"/>
              </w:rPr>
            </w:pPr>
          </w:p>
        </w:tc>
        <w:tc>
          <w:tcPr>
            <w:tcW w:w="993" w:type="dxa"/>
            <w:vAlign w:val="center"/>
          </w:tcPr>
          <w:p w14:paraId="45EC591F">
            <w:pPr>
              <w:snapToGrid w:val="0"/>
              <w:spacing w:line="360" w:lineRule="auto"/>
              <w:jc w:val="center"/>
              <w:rPr>
                <w:rFonts w:ascii="宋体" w:hAnsi="宋体" w:cs="宋体"/>
                <w:color w:val="auto"/>
                <w:sz w:val="24"/>
                <w:highlight w:val="none"/>
              </w:rPr>
            </w:pPr>
          </w:p>
        </w:tc>
        <w:tc>
          <w:tcPr>
            <w:tcW w:w="1559" w:type="dxa"/>
            <w:vAlign w:val="center"/>
          </w:tcPr>
          <w:p w14:paraId="1F3930FD">
            <w:pPr>
              <w:spacing w:line="360" w:lineRule="auto"/>
              <w:jc w:val="center"/>
              <w:rPr>
                <w:rFonts w:ascii="宋体" w:hAnsi="宋体" w:cs="宋体"/>
                <w:color w:val="auto"/>
                <w:sz w:val="24"/>
                <w:highlight w:val="none"/>
              </w:rPr>
            </w:pPr>
          </w:p>
        </w:tc>
        <w:tc>
          <w:tcPr>
            <w:tcW w:w="1984" w:type="dxa"/>
            <w:vAlign w:val="center"/>
          </w:tcPr>
          <w:p w14:paraId="434B1F13">
            <w:pPr>
              <w:spacing w:line="360" w:lineRule="auto"/>
              <w:jc w:val="center"/>
              <w:rPr>
                <w:rFonts w:ascii="宋体" w:hAnsi="宋体" w:cs="宋体"/>
                <w:color w:val="auto"/>
                <w:sz w:val="24"/>
                <w:highlight w:val="none"/>
              </w:rPr>
            </w:pPr>
          </w:p>
        </w:tc>
        <w:tc>
          <w:tcPr>
            <w:tcW w:w="3119" w:type="dxa"/>
            <w:vAlign w:val="center"/>
          </w:tcPr>
          <w:p w14:paraId="197E189A">
            <w:pPr>
              <w:spacing w:line="360" w:lineRule="auto"/>
              <w:jc w:val="center"/>
              <w:rPr>
                <w:rFonts w:ascii="宋体" w:hAnsi="宋体" w:cs="宋体"/>
                <w:color w:val="auto"/>
                <w:sz w:val="24"/>
                <w:highlight w:val="none"/>
              </w:rPr>
            </w:pPr>
          </w:p>
        </w:tc>
      </w:tr>
      <w:tr w14:paraId="45E4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47F6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C189769">
            <w:pPr>
              <w:snapToGrid w:val="0"/>
              <w:spacing w:line="360" w:lineRule="auto"/>
              <w:jc w:val="center"/>
              <w:rPr>
                <w:rFonts w:ascii="宋体" w:hAnsi="宋体" w:cs="宋体"/>
                <w:color w:val="auto"/>
                <w:sz w:val="24"/>
                <w:highlight w:val="none"/>
              </w:rPr>
            </w:pPr>
          </w:p>
        </w:tc>
        <w:tc>
          <w:tcPr>
            <w:tcW w:w="1843" w:type="dxa"/>
            <w:vAlign w:val="center"/>
          </w:tcPr>
          <w:p w14:paraId="588FB125">
            <w:pPr>
              <w:snapToGrid w:val="0"/>
              <w:spacing w:line="360" w:lineRule="auto"/>
              <w:jc w:val="center"/>
              <w:rPr>
                <w:rFonts w:ascii="宋体" w:hAnsi="宋体" w:cs="宋体"/>
                <w:color w:val="auto"/>
                <w:sz w:val="24"/>
                <w:highlight w:val="none"/>
              </w:rPr>
            </w:pPr>
          </w:p>
        </w:tc>
        <w:tc>
          <w:tcPr>
            <w:tcW w:w="3118" w:type="dxa"/>
            <w:vAlign w:val="center"/>
          </w:tcPr>
          <w:p w14:paraId="2BDAD7F5">
            <w:pPr>
              <w:snapToGrid w:val="0"/>
              <w:spacing w:line="360" w:lineRule="auto"/>
              <w:jc w:val="center"/>
              <w:rPr>
                <w:rFonts w:ascii="宋体" w:hAnsi="宋体" w:cs="宋体"/>
                <w:color w:val="auto"/>
                <w:sz w:val="24"/>
                <w:highlight w:val="none"/>
              </w:rPr>
            </w:pPr>
          </w:p>
        </w:tc>
        <w:tc>
          <w:tcPr>
            <w:tcW w:w="993" w:type="dxa"/>
            <w:vAlign w:val="center"/>
          </w:tcPr>
          <w:p w14:paraId="5423E28E">
            <w:pPr>
              <w:snapToGrid w:val="0"/>
              <w:spacing w:line="360" w:lineRule="auto"/>
              <w:jc w:val="center"/>
              <w:rPr>
                <w:rFonts w:ascii="宋体" w:hAnsi="宋体" w:cs="宋体"/>
                <w:color w:val="auto"/>
                <w:sz w:val="24"/>
                <w:highlight w:val="none"/>
              </w:rPr>
            </w:pPr>
          </w:p>
        </w:tc>
        <w:tc>
          <w:tcPr>
            <w:tcW w:w="1559" w:type="dxa"/>
            <w:vAlign w:val="center"/>
          </w:tcPr>
          <w:p w14:paraId="202102E5">
            <w:pPr>
              <w:spacing w:line="360" w:lineRule="auto"/>
              <w:jc w:val="center"/>
              <w:rPr>
                <w:rFonts w:ascii="宋体" w:hAnsi="宋体" w:cs="宋体"/>
                <w:color w:val="auto"/>
                <w:sz w:val="24"/>
                <w:highlight w:val="none"/>
              </w:rPr>
            </w:pPr>
          </w:p>
        </w:tc>
        <w:tc>
          <w:tcPr>
            <w:tcW w:w="1984" w:type="dxa"/>
            <w:vAlign w:val="center"/>
          </w:tcPr>
          <w:p w14:paraId="154E621B">
            <w:pPr>
              <w:spacing w:line="360" w:lineRule="auto"/>
              <w:jc w:val="center"/>
              <w:rPr>
                <w:rFonts w:ascii="宋体" w:hAnsi="宋体" w:cs="宋体"/>
                <w:color w:val="auto"/>
                <w:sz w:val="24"/>
                <w:highlight w:val="none"/>
              </w:rPr>
            </w:pPr>
          </w:p>
        </w:tc>
        <w:tc>
          <w:tcPr>
            <w:tcW w:w="3119" w:type="dxa"/>
            <w:vAlign w:val="center"/>
          </w:tcPr>
          <w:p w14:paraId="6AEDA793">
            <w:pPr>
              <w:spacing w:line="360" w:lineRule="auto"/>
              <w:jc w:val="center"/>
              <w:rPr>
                <w:rFonts w:ascii="宋体" w:hAnsi="宋体" w:cs="宋体"/>
                <w:color w:val="auto"/>
                <w:sz w:val="24"/>
                <w:highlight w:val="none"/>
              </w:rPr>
            </w:pPr>
          </w:p>
        </w:tc>
      </w:tr>
      <w:tr w14:paraId="07AD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0EC2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8D1C2FF">
            <w:pPr>
              <w:snapToGrid w:val="0"/>
              <w:spacing w:line="360" w:lineRule="auto"/>
              <w:jc w:val="center"/>
              <w:rPr>
                <w:rFonts w:ascii="宋体" w:hAnsi="宋体" w:cs="宋体"/>
                <w:color w:val="auto"/>
                <w:sz w:val="24"/>
                <w:highlight w:val="none"/>
              </w:rPr>
            </w:pPr>
          </w:p>
        </w:tc>
        <w:tc>
          <w:tcPr>
            <w:tcW w:w="1843" w:type="dxa"/>
            <w:vAlign w:val="center"/>
          </w:tcPr>
          <w:p w14:paraId="72ACAA04">
            <w:pPr>
              <w:snapToGrid w:val="0"/>
              <w:spacing w:line="360" w:lineRule="auto"/>
              <w:jc w:val="center"/>
              <w:rPr>
                <w:rFonts w:ascii="宋体" w:hAnsi="宋体" w:cs="宋体"/>
                <w:color w:val="auto"/>
                <w:sz w:val="24"/>
                <w:highlight w:val="none"/>
              </w:rPr>
            </w:pPr>
          </w:p>
        </w:tc>
        <w:tc>
          <w:tcPr>
            <w:tcW w:w="3118" w:type="dxa"/>
            <w:vAlign w:val="center"/>
          </w:tcPr>
          <w:p w14:paraId="63A88950">
            <w:pPr>
              <w:snapToGrid w:val="0"/>
              <w:spacing w:line="360" w:lineRule="auto"/>
              <w:jc w:val="center"/>
              <w:rPr>
                <w:rFonts w:ascii="宋体" w:hAnsi="宋体" w:cs="宋体"/>
                <w:color w:val="auto"/>
                <w:sz w:val="24"/>
                <w:highlight w:val="none"/>
              </w:rPr>
            </w:pPr>
          </w:p>
        </w:tc>
        <w:tc>
          <w:tcPr>
            <w:tcW w:w="993" w:type="dxa"/>
            <w:vAlign w:val="center"/>
          </w:tcPr>
          <w:p w14:paraId="746825B3">
            <w:pPr>
              <w:snapToGrid w:val="0"/>
              <w:spacing w:line="360" w:lineRule="auto"/>
              <w:jc w:val="center"/>
              <w:rPr>
                <w:rFonts w:ascii="宋体" w:hAnsi="宋体" w:cs="宋体"/>
                <w:color w:val="auto"/>
                <w:sz w:val="24"/>
                <w:highlight w:val="none"/>
              </w:rPr>
            </w:pPr>
          </w:p>
        </w:tc>
        <w:tc>
          <w:tcPr>
            <w:tcW w:w="1559" w:type="dxa"/>
            <w:vAlign w:val="center"/>
          </w:tcPr>
          <w:p w14:paraId="13C7614F">
            <w:pPr>
              <w:spacing w:line="360" w:lineRule="auto"/>
              <w:jc w:val="center"/>
              <w:rPr>
                <w:rFonts w:ascii="宋体" w:hAnsi="宋体" w:cs="宋体"/>
                <w:color w:val="auto"/>
                <w:sz w:val="24"/>
                <w:highlight w:val="none"/>
              </w:rPr>
            </w:pPr>
          </w:p>
        </w:tc>
        <w:tc>
          <w:tcPr>
            <w:tcW w:w="1984" w:type="dxa"/>
            <w:vAlign w:val="center"/>
          </w:tcPr>
          <w:p w14:paraId="37024159">
            <w:pPr>
              <w:spacing w:line="360" w:lineRule="auto"/>
              <w:jc w:val="center"/>
              <w:rPr>
                <w:rFonts w:ascii="宋体" w:hAnsi="宋体" w:cs="宋体"/>
                <w:color w:val="auto"/>
                <w:sz w:val="24"/>
                <w:highlight w:val="none"/>
              </w:rPr>
            </w:pPr>
          </w:p>
        </w:tc>
        <w:tc>
          <w:tcPr>
            <w:tcW w:w="3119" w:type="dxa"/>
            <w:vAlign w:val="center"/>
          </w:tcPr>
          <w:p w14:paraId="79BA0302">
            <w:pPr>
              <w:spacing w:line="360" w:lineRule="auto"/>
              <w:jc w:val="center"/>
              <w:rPr>
                <w:rFonts w:ascii="宋体" w:hAnsi="宋体" w:cs="宋体"/>
                <w:color w:val="auto"/>
                <w:sz w:val="24"/>
                <w:highlight w:val="none"/>
              </w:rPr>
            </w:pPr>
          </w:p>
        </w:tc>
      </w:tr>
      <w:tr w14:paraId="2976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4C9B5C">
            <w:pPr>
              <w:spacing w:line="360" w:lineRule="auto"/>
              <w:jc w:val="center"/>
              <w:rPr>
                <w:rFonts w:ascii="宋体" w:hAnsi="宋体" w:cs="宋体"/>
                <w:color w:val="auto"/>
                <w:sz w:val="24"/>
                <w:highlight w:val="none"/>
              </w:rPr>
            </w:pPr>
          </w:p>
        </w:tc>
        <w:tc>
          <w:tcPr>
            <w:tcW w:w="1417" w:type="dxa"/>
            <w:vAlign w:val="center"/>
          </w:tcPr>
          <w:p w14:paraId="0B1B2784">
            <w:pPr>
              <w:snapToGrid w:val="0"/>
              <w:spacing w:line="360" w:lineRule="auto"/>
              <w:jc w:val="center"/>
              <w:rPr>
                <w:rFonts w:ascii="宋体" w:hAnsi="宋体" w:cs="宋体"/>
                <w:color w:val="auto"/>
                <w:sz w:val="24"/>
                <w:highlight w:val="none"/>
              </w:rPr>
            </w:pPr>
          </w:p>
        </w:tc>
        <w:tc>
          <w:tcPr>
            <w:tcW w:w="1843" w:type="dxa"/>
            <w:vAlign w:val="center"/>
          </w:tcPr>
          <w:p w14:paraId="38023526">
            <w:pPr>
              <w:snapToGrid w:val="0"/>
              <w:spacing w:line="360" w:lineRule="auto"/>
              <w:jc w:val="center"/>
              <w:rPr>
                <w:rFonts w:ascii="宋体" w:hAnsi="宋体" w:cs="宋体"/>
                <w:color w:val="auto"/>
                <w:sz w:val="24"/>
                <w:highlight w:val="none"/>
              </w:rPr>
            </w:pPr>
          </w:p>
        </w:tc>
        <w:tc>
          <w:tcPr>
            <w:tcW w:w="3118" w:type="dxa"/>
            <w:vAlign w:val="center"/>
          </w:tcPr>
          <w:p w14:paraId="6BB0AEC0">
            <w:pPr>
              <w:snapToGrid w:val="0"/>
              <w:spacing w:line="360" w:lineRule="auto"/>
              <w:jc w:val="center"/>
              <w:rPr>
                <w:rFonts w:ascii="宋体" w:hAnsi="宋体" w:cs="宋体"/>
                <w:color w:val="auto"/>
                <w:sz w:val="24"/>
                <w:highlight w:val="none"/>
              </w:rPr>
            </w:pPr>
          </w:p>
        </w:tc>
        <w:tc>
          <w:tcPr>
            <w:tcW w:w="993" w:type="dxa"/>
            <w:vAlign w:val="center"/>
          </w:tcPr>
          <w:p w14:paraId="542881CF">
            <w:pPr>
              <w:snapToGrid w:val="0"/>
              <w:spacing w:line="360" w:lineRule="auto"/>
              <w:jc w:val="center"/>
              <w:rPr>
                <w:rFonts w:ascii="宋体" w:hAnsi="宋体" w:cs="宋体"/>
                <w:color w:val="auto"/>
                <w:sz w:val="24"/>
                <w:highlight w:val="none"/>
              </w:rPr>
            </w:pPr>
          </w:p>
        </w:tc>
        <w:tc>
          <w:tcPr>
            <w:tcW w:w="1559" w:type="dxa"/>
            <w:vAlign w:val="center"/>
          </w:tcPr>
          <w:p w14:paraId="1F5AF264">
            <w:pPr>
              <w:spacing w:line="360" w:lineRule="auto"/>
              <w:jc w:val="center"/>
              <w:rPr>
                <w:rFonts w:ascii="宋体" w:hAnsi="宋体" w:cs="宋体"/>
                <w:color w:val="auto"/>
                <w:sz w:val="24"/>
                <w:highlight w:val="none"/>
              </w:rPr>
            </w:pPr>
          </w:p>
        </w:tc>
        <w:tc>
          <w:tcPr>
            <w:tcW w:w="1984" w:type="dxa"/>
            <w:vAlign w:val="center"/>
          </w:tcPr>
          <w:p w14:paraId="61C7B61A">
            <w:pPr>
              <w:spacing w:line="360" w:lineRule="auto"/>
              <w:jc w:val="center"/>
              <w:rPr>
                <w:rFonts w:ascii="宋体" w:hAnsi="宋体" w:cs="宋体"/>
                <w:color w:val="auto"/>
                <w:sz w:val="24"/>
                <w:highlight w:val="none"/>
              </w:rPr>
            </w:pPr>
          </w:p>
        </w:tc>
        <w:tc>
          <w:tcPr>
            <w:tcW w:w="3119" w:type="dxa"/>
            <w:vAlign w:val="center"/>
          </w:tcPr>
          <w:p w14:paraId="49128B9F">
            <w:pPr>
              <w:spacing w:line="360" w:lineRule="auto"/>
              <w:jc w:val="center"/>
              <w:rPr>
                <w:rFonts w:ascii="宋体" w:hAnsi="宋体" w:cs="宋体"/>
                <w:color w:val="auto"/>
                <w:sz w:val="24"/>
                <w:highlight w:val="none"/>
              </w:rPr>
            </w:pPr>
          </w:p>
        </w:tc>
      </w:tr>
      <w:tr w14:paraId="651D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D63817">
            <w:pPr>
              <w:spacing w:line="360" w:lineRule="auto"/>
              <w:jc w:val="center"/>
              <w:rPr>
                <w:rFonts w:ascii="宋体" w:hAnsi="宋体" w:cs="宋体"/>
                <w:color w:val="auto"/>
                <w:sz w:val="24"/>
                <w:highlight w:val="none"/>
              </w:rPr>
            </w:pPr>
          </w:p>
        </w:tc>
        <w:tc>
          <w:tcPr>
            <w:tcW w:w="1417" w:type="dxa"/>
            <w:vAlign w:val="center"/>
          </w:tcPr>
          <w:p w14:paraId="673ED3F8">
            <w:pPr>
              <w:snapToGrid w:val="0"/>
              <w:spacing w:line="360" w:lineRule="auto"/>
              <w:jc w:val="center"/>
              <w:rPr>
                <w:rFonts w:ascii="宋体" w:hAnsi="宋体" w:cs="宋体"/>
                <w:color w:val="auto"/>
                <w:sz w:val="24"/>
                <w:highlight w:val="none"/>
              </w:rPr>
            </w:pPr>
          </w:p>
        </w:tc>
        <w:tc>
          <w:tcPr>
            <w:tcW w:w="1843" w:type="dxa"/>
            <w:vAlign w:val="center"/>
          </w:tcPr>
          <w:p w14:paraId="7A52AEE3">
            <w:pPr>
              <w:snapToGrid w:val="0"/>
              <w:spacing w:line="360" w:lineRule="auto"/>
              <w:jc w:val="center"/>
              <w:rPr>
                <w:rFonts w:ascii="宋体" w:hAnsi="宋体" w:cs="宋体"/>
                <w:color w:val="auto"/>
                <w:sz w:val="24"/>
                <w:highlight w:val="none"/>
              </w:rPr>
            </w:pPr>
          </w:p>
        </w:tc>
        <w:tc>
          <w:tcPr>
            <w:tcW w:w="3118" w:type="dxa"/>
            <w:vAlign w:val="center"/>
          </w:tcPr>
          <w:p w14:paraId="23C134AF">
            <w:pPr>
              <w:snapToGrid w:val="0"/>
              <w:spacing w:line="360" w:lineRule="auto"/>
              <w:jc w:val="center"/>
              <w:rPr>
                <w:rFonts w:ascii="宋体" w:hAnsi="宋体" w:cs="宋体"/>
                <w:color w:val="auto"/>
                <w:sz w:val="24"/>
                <w:highlight w:val="none"/>
              </w:rPr>
            </w:pPr>
          </w:p>
        </w:tc>
        <w:tc>
          <w:tcPr>
            <w:tcW w:w="993" w:type="dxa"/>
            <w:vAlign w:val="center"/>
          </w:tcPr>
          <w:p w14:paraId="177367EC">
            <w:pPr>
              <w:snapToGrid w:val="0"/>
              <w:spacing w:line="360" w:lineRule="auto"/>
              <w:jc w:val="center"/>
              <w:rPr>
                <w:rFonts w:ascii="宋体" w:hAnsi="宋体" w:cs="宋体"/>
                <w:color w:val="auto"/>
                <w:sz w:val="24"/>
                <w:highlight w:val="none"/>
              </w:rPr>
            </w:pPr>
          </w:p>
        </w:tc>
        <w:tc>
          <w:tcPr>
            <w:tcW w:w="1559" w:type="dxa"/>
            <w:vAlign w:val="center"/>
          </w:tcPr>
          <w:p w14:paraId="7AD0F58E">
            <w:pPr>
              <w:spacing w:line="360" w:lineRule="auto"/>
              <w:jc w:val="center"/>
              <w:rPr>
                <w:rFonts w:ascii="宋体" w:hAnsi="宋体" w:cs="宋体"/>
                <w:color w:val="auto"/>
                <w:sz w:val="24"/>
                <w:highlight w:val="none"/>
              </w:rPr>
            </w:pPr>
          </w:p>
        </w:tc>
        <w:tc>
          <w:tcPr>
            <w:tcW w:w="1984" w:type="dxa"/>
            <w:vAlign w:val="center"/>
          </w:tcPr>
          <w:p w14:paraId="73259998">
            <w:pPr>
              <w:spacing w:line="360" w:lineRule="auto"/>
              <w:jc w:val="center"/>
              <w:rPr>
                <w:rFonts w:ascii="宋体" w:hAnsi="宋体" w:cs="宋体"/>
                <w:color w:val="auto"/>
                <w:sz w:val="24"/>
                <w:highlight w:val="none"/>
              </w:rPr>
            </w:pPr>
          </w:p>
        </w:tc>
        <w:tc>
          <w:tcPr>
            <w:tcW w:w="3119" w:type="dxa"/>
            <w:vAlign w:val="center"/>
          </w:tcPr>
          <w:p w14:paraId="79CB509C">
            <w:pPr>
              <w:spacing w:line="360" w:lineRule="auto"/>
              <w:jc w:val="center"/>
              <w:rPr>
                <w:rFonts w:ascii="宋体" w:hAnsi="宋体" w:cs="宋体"/>
                <w:color w:val="auto"/>
                <w:sz w:val="24"/>
                <w:highlight w:val="none"/>
              </w:rPr>
            </w:pPr>
          </w:p>
        </w:tc>
      </w:tr>
      <w:tr w14:paraId="0197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E3C9E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7655" w:type="dxa"/>
            <w:gridSpan w:val="4"/>
            <w:vAlign w:val="center"/>
          </w:tcPr>
          <w:p w14:paraId="7F774A9B">
            <w:pPr>
              <w:spacing w:line="360" w:lineRule="auto"/>
              <w:jc w:val="center"/>
              <w:rPr>
                <w:rFonts w:ascii="宋体" w:hAnsi="宋体" w:cs="宋体"/>
                <w:color w:val="auto"/>
                <w:sz w:val="24"/>
                <w:highlight w:val="none"/>
              </w:rPr>
            </w:pPr>
          </w:p>
        </w:tc>
      </w:tr>
      <w:tr w14:paraId="7BB4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4681E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7655" w:type="dxa"/>
            <w:gridSpan w:val="4"/>
            <w:vAlign w:val="center"/>
          </w:tcPr>
          <w:p w14:paraId="08D6AA87">
            <w:pPr>
              <w:spacing w:line="360" w:lineRule="auto"/>
              <w:jc w:val="center"/>
              <w:rPr>
                <w:rFonts w:ascii="宋体" w:hAnsi="宋体" w:cs="宋体"/>
                <w:color w:val="auto"/>
                <w:sz w:val="24"/>
                <w:highlight w:val="none"/>
              </w:rPr>
            </w:pPr>
          </w:p>
        </w:tc>
      </w:tr>
    </w:tbl>
    <w:p w14:paraId="6A2E668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ED2D7B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28CEAC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3B07F7B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杭州市财经职业学校动漫课程资源建设与课程专项提升服务项目采购项目和项目编号，成交供应商名称、地址和成交金额，主要成交标的名称、品牌（如果有）、规格型号、数量、单价等予以公示。</w:t>
      </w:r>
    </w:p>
    <w:p w14:paraId="7C175D82">
      <w:pPr>
        <w:snapToGrid w:val="0"/>
        <w:spacing w:before="120" w:after="120"/>
        <w:ind w:firstLine="480" w:firstLineChars="200"/>
        <w:rPr>
          <w:rFonts w:ascii="宋体" w:hAnsi="宋体" w:cs="宋体"/>
          <w:color w:val="auto"/>
          <w:kern w:val="0"/>
          <w:sz w:val="24"/>
          <w:highlight w:val="none"/>
          <w:lang w:val="zh-CN"/>
        </w:rPr>
      </w:pPr>
    </w:p>
    <w:p w14:paraId="13B2745D">
      <w:pPr>
        <w:pStyle w:val="3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0DE9C17">
      <w:pPr>
        <w:pStyle w:val="31"/>
        <w:keepNext w:val="0"/>
        <w:pageBreakBefore w:val="0"/>
        <w:numPr>
          <w:ilvl w:val="0"/>
          <w:numId w:val="7"/>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05A7F0F5">
      <w:pPr>
        <w:pStyle w:val="6"/>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45262CD0">
      <w:pPr>
        <w:pStyle w:val="3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5E60F58">
      <w:pPr>
        <w:pStyle w:val="3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2D8DBE4">
      <w:pPr>
        <w:spacing w:line="360" w:lineRule="auto"/>
        <w:ind w:right="420" w:firstLine="3614" w:firstLineChars="1000"/>
        <w:rPr>
          <w:rFonts w:ascii="宋体" w:hAnsi="宋体" w:cs="宋体"/>
          <w:b/>
          <w:color w:val="auto"/>
          <w:kern w:val="0"/>
          <w:sz w:val="36"/>
          <w:szCs w:val="36"/>
          <w:highlight w:val="none"/>
        </w:rPr>
      </w:pPr>
    </w:p>
    <w:p w14:paraId="312C2B43">
      <w:pPr>
        <w:spacing w:line="360" w:lineRule="auto"/>
        <w:ind w:right="420" w:firstLine="3614" w:firstLineChars="1000"/>
        <w:rPr>
          <w:rFonts w:ascii="宋体" w:hAnsi="宋体" w:cs="宋体"/>
          <w:b/>
          <w:color w:val="auto"/>
          <w:kern w:val="0"/>
          <w:sz w:val="36"/>
          <w:szCs w:val="36"/>
          <w:highlight w:val="none"/>
        </w:rPr>
      </w:pPr>
    </w:p>
    <w:p w14:paraId="3A655B88">
      <w:pPr>
        <w:spacing w:line="360" w:lineRule="auto"/>
        <w:ind w:right="420" w:firstLine="3614" w:firstLineChars="1000"/>
        <w:rPr>
          <w:rFonts w:ascii="宋体" w:hAnsi="宋体" w:cs="宋体"/>
          <w:b/>
          <w:color w:val="auto"/>
          <w:kern w:val="0"/>
          <w:sz w:val="36"/>
          <w:szCs w:val="36"/>
          <w:highlight w:val="none"/>
        </w:rPr>
      </w:pPr>
    </w:p>
    <w:p w14:paraId="2D0A9A7E">
      <w:pPr>
        <w:spacing w:line="360" w:lineRule="auto"/>
        <w:ind w:right="420" w:firstLine="3614" w:firstLineChars="1000"/>
        <w:rPr>
          <w:rFonts w:ascii="宋体" w:hAnsi="宋体" w:cs="宋体"/>
          <w:b/>
          <w:color w:val="auto"/>
          <w:kern w:val="0"/>
          <w:sz w:val="36"/>
          <w:szCs w:val="36"/>
          <w:highlight w:val="none"/>
        </w:rPr>
      </w:pPr>
    </w:p>
    <w:p w14:paraId="051F2C59">
      <w:pPr>
        <w:spacing w:line="360" w:lineRule="auto"/>
        <w:ind w:right="420" w:firstLine="3614" w:firstLineChars="1000"/>
        <w:rPr>
          <w:rFonts w:ascii="宋体" w:hAnsi="宋体" w:cs="宋体"/>
          <w:b/>
          <w:color w:val="auto"/>
          <w:kern w:val="0"/>
          <w:sz w:val="36"/>
          <w:szCs w:val="36"/>
          <w:highlight w:val="none"/>
        </w:rPr>
      </w:pPr>
    </w:p>
    <w:p w14:paraId="516A4F4D">
      <w:pPr>
        <w:spacing w:line="360" w:lineRule="auto"/>
        <w:ind w:right="420" w:firstLine="3614" w:firstLineChars="1000"/>
        <w:rPr>
          <w:rFonts w:ascii="宋体" w:hAnsi="宋体" w:cs="宋体"/>
          <w:b/>
          <w:color w:val="auto"/>
          <w:kern w:val="0"/>
          <w:sz w:val="36"/>
          <w:szCs w:val="36"/>
          <w:highlight w:val="none"/>
        </w:rPr>
      </w:pPr>
    </w:p>
    <w:p w14:paraId="79703BD7">
      <w:pPr>
        <w:spacing w:line="360" w:lineRule="auto"/>
        <w:ind w:right="420" w:firstLine="3614" w:firstLineChars="1000"/>
        <w:rPr>
          <w:rFonts w:ascii="宋体" w:hAnsi="宋体" w:cs="宋体"/>
          <w:b/>
          <w:color w:val="auto"/>
          <w:kern w:val="0"/>
          <w:sz w:val="36"/>
          <w:szCs w:val="36"/>
          <w:highlight w:val="none"/>
        </w:rPr>
      </w:pPr>
    </w:p>
    <w:p w14:paraId="1A61C64B">
      <w:pPr>
        <w:spacing w:line="360" w:lineRule="auto"/>
        <w:ind w:right="420" w:firstLine="3614" w:firstLineChars="1000"/>
        <w:rPr>
          <w:rFonts w:ascii="宋体" w:hAnsi="宋体" w:cs="宋体"/>
          <w:b/>
          <w:color w:val="auto"/>
          <w:kern w:val="0"/>
          <w:sz w:val="36"/>
          <w:szCs w:val="36"/>
          <w:highlight w:val="none"/>
        </w:rPr>
      </w:pPr>
    </w:p>
    <w:p w14:paraId="000D5ED0">
      <w:pPr>
        <w:spacing w:line="360" w:lineRule="auto"/>
        <w:ind w:right="420" w:firstLine="3614" w:firstLineChars="1000"/>
        <w:rPr>
          <w:rFonts w:ascii="宋体" w:hAnsi="宋体" w:cs="宋体"/>
          <w:b/>
          <w:color w:val="auto"/>
          <w:kern w:val="0"/>
          <w:sz w:val="36"/>
          <w:szCs w:val="36"/>
          <w:highlight w:val="none"/>
        </w:rPr>
      </w:pPr>
    </w:p>
    <w:p w14:paraId="6CDE1A17">
      <w:pPr>
        <w:spacing w:line="360" w:lineRule="auto"/>
        <w:ind w:right="420" w:firstLine="3614" w:firstLineChars="1000"/>
        <w:rPr>
          <w:rFonts w:ascii="宋体" w:hAnsi="宋体" w:cs="宋体"/>
          <w:b/>
          <w:color w:val="auto"/>
          <w:kern w:val="0"/>
          <w:sz w:val="36"/>
          <w:szCs w:val="36"/>
          <w:highlight w:val="none"/>
        </w:rPr>
      </w:pPr>
    </w:p>
    <w:p w14:paraId="3395E219">
      <w:pPr>
        <w:spacing w:line="360" w:lineRule="auto"/>
        <w:ind w:right="420" w:firstLine="3614" w:firstLineChars="1000"/>
        <w:rPr>
          <w:rFonts w:ascii="宋体" w:hAnsi="宋体" w:cs="宋体"/>
          <w:b/>
          <w:color w:val="auto"/>
          <w:kern w:val="0"/>
          <w:sz w:val="36"/>
          <w:szCs w:val="36"/>
          <w:highlight w:val="none"/>
        </w:rPr>
      </w:pPr>
    </w:p>
    <w:p w14:paraId="0B6306A6">
      <w:pPr>
        <w:spacing w:line="360" w:lineRule="auto"/>
        <w:ind w:right="420" w:firstLine="3614" w:firstLineChars="1000"/>
        <w:rPr>
          <w:rFonts w:ascii="宋体" w:hAnsi="宋体" w:cs="宋体"/>
          <w:b/>
          <w:color w:val="auto"/>
          <w:kern w:val="0"/>
          <w:sz w:val="36"/>
          <w:szCs w:val="36"/>
          <w:highlight w:val="none"/>
        </w:rPr>
      </w:pPr>
    </w:p>
    <w:p w14:paraId="20C0020E">
      <w:pPr>
        <w:pStyle w:val="5"/>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bookmarkStart w:id="130" w:name="_Toc465665161"/>
    </w:p>
    <w:p w14:paraId="1BFDA7D7">
      <w:pPr>
        <w:pStyle w:val="5"/>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772474B7">
      <w:pPr>
        <w:pStyle w:val="5"/>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0995715E">
      <w:pPr>
        <w:pStyle w:val="3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三、中小企业声明函（如果有）</w:t>
      </w:r>
    </w:p>
    <w:p w14:paraId="7CC9C27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B24B4AD">
      <w:pPr>
        <w:rPr>
          <w:color w:val="auto"/>
          <w:highlight w:val="none"/>
        </w:rPr>
      </w:pPr>
    </w:p>
    <w:p w14:paraId="1419780F">
      <w:pPr>
        <w:pStyle w:val="5"/>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6AF7C404">
      <w:pPr>
        <w:pStyle w:val="5"/>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18C4E523">
      <w:pPr>
        <w:pStyle w:val="5"/>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6D128457">
      <w:pPr>
        <w:pStyle w:val="5"/>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5AD469DF">
      <w:pPr>
        <w:pStyle w:val="5"/>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58CB76A5">
      <w:pPr>
        <w:pStyle w:val="5"/>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6CBAAA13">
      <w:pPr>
        <w:pStyle w:val="5"/>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0103B13A">
      <w:pPr>
        <w:pStyle w:val="5"/>
        <w:keepNext w:val="0"/>
        <w:widowControl/>
        <w:tabs>
          <w:tab w:val="left" w:pos="432"/>
        </w:tabs>
        <w:spacing w:before="100" w:beforeAutospacing="1" w:after="100" w:afterAutospacing="1"/>
        <w:ind w:left="-2" w:leftChars="-1" w:firstLine="1"/>
        <w:rPr>
          <w:rFonts w:ascii="宋体" w:hAnsi="宋体" w:cs="宋体"/>
          <w:color w:val="auto"/>
          <w:highlight w:val="none"/>
        </w:rPr>
      </w:pPr>
    </w:p>
    <w:p w14:paraId="036537BE">
      <w:pPr>
        <w:rPr>
          <w:rFonts w:ascii="宋体" w:hAnsi="宋体" w:cs="宋体"/>
          <w:color w:val="auto"/>
          <w:highlight w:val="none"/>
        </w:rPr>
      </w:pPr>
    </w:p>
    <w:p w14:paraId="044CD582">
      <w:pPr>
        <w:pStyle w:val="23"/>
        <w:rPr>
          <w:rFonts w:ascii="宋体" w:hAnsi="宋体" w:cs="宋体"/>
          <w:color w:val="auto"/>
          <w:highlight w:val="none"/>
        </w:rPr>
      </w:pPr>
    </w:p>
    <w:p w14:paraId="5A902EF5">
      <w:pPr>
        <w:pStyle w:val="23"/>
        <w:rPr>
          <w:rFonts w:ascii="宋体" w:hAnsi="宋体" w:cs="宋体"/>
          <w:color w:val="auto"/>
          <w:highlight w:val="none"/>
        </w:rPr>
      </w:pPr>
    </w:p>
    <w:p w14:paraId="7162D0D9">
      <w:pPr>
        <w:pStyle w:val="23"/>
        <w:rPr>
          <w:rFonts w:ascii="宋体" w:hAnsi="宋体" w:cs="宋体"/>
          <w:color w:val="auto"/>
          <w:highlight w:val="none"/>
        </w:rPr>
      </w:pPr>
    </w:p>
    <w:p w14:paraId="4118D363">
      <w:pPr>
        <w:pStyle w:val="23"/>
        <w:rPr>
          <w:rFonts w:ascii="宋体" w:hAnsi="宋体" w:cs="宋体"/>
          <w:color w:val="auto"/>
          <w:highlight w:val="none"/>
        </w:rPr>
      </w:pPr>
    </w:p>
    <w:p w14:paraId="6E250D75">
      <w:pPr>
        <w:pStyle w:val="23"/>
        <w:rPr>
          <w:rFonts w:ascii="宋体" w:hAnsi="宋体" w:cs="宋体"/>
          <w:color w:val="auto"/>
          <w:highlight w:val="none"/>
        </w:rPr>
      </w:pPr>
    </w:p>
    <w:p w14:paraId="731E3DC1">
      <w:pPr>
        <w:pStyle w:val="23"/>
        <w:rPr>
          <w:rFonts w:ascii="宋体" w:hAnsi="宋体" w:cs="宋体"/>
          <w:color w:val="auto"/>
          <w:highlight w:val="none"/>
        </w:rPr>
      </w:pPr>
    </w:p>
    <w:p w14:paraId="556B018E">
      <w:pPr>
        <w:pStyle w:val="23"/>
        <w:rPr>
          <w:rFonts w:ascii="宋体" w:hAnsi="宋体" w:cs="宋体"/>
          <w:color w:val="auto"/>
          <w:highlight w:val="none"/>
        </w:rPr>
      </w:pPr>
    </w:p>
    <w:p w14:paraId="332CDD1F">
      <w:pPr>
        <w:pStyle w:val="23"/>
        <w:rPr>
          <w:rFonts w:ascii="宋体" w:hAnsi="宋体" w:cs="宋体"/>
          <w:color w:val="auto"/>
          <w:highlight w:val="none"/>
        </w:rPr>
      </w:pPr>
    </w:p>
    <w:p w14:paraId="72018616">
      <w:pPr>
        <w:pStyle w:val="5"/>
        <w:keepNext w:val="0"/>
        <w:widowControl/>
        <w:numPr>
          <w:ilvl w:val="0"/>
          <w:numId w:val="8"/>
        </w:numPr>
        <w:tabs>
          <w:tab w:val="left" w:pos="432"/>
        </w:tabs>
        <w:spacing w:before="100" w:beforeAutospacing="1" w:after="100" w:afterAutospacing="1"/>
        <w:ind w:left="-2" w:leftChars="-1" w:firstLine="1"/>
        <w:rPr>
          <w:rFonts w:ascii="宋体" w:hAnsi="宋体" w:cs="宋体"/>
          <w:color w:val="auto"/>
          <w:highlight w:val="none"/>
        </w:rPr>
      </w:pPr>
      <w:r>
        <w:rPr>
          <w:rFonts w:hint="eastAsia" w:ascii="宋体" w:hAnsi="宋体" w:cs="宋体"/>
          <w:color w:val="auto"/>
          <w:highlight w:val="none"/>
        </w:rPr>
        <w:t>附件</w:t>
      </w:r>
      <w:bookmarkEnd w:id="130"/>
    </w:p>
    <w:p w14:paraId="0B0D153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131" w:name="OLE_LINK13"/>
      <w:bookmarkStart w:id="132" w:name="OLE_LINK14"/>
      <w:r>
        <w:rPr>
          <w:rFonts w:hint="eastAsia" w:ascii="宋体" w:hAnsi="宋体" w:cs="宋体"/>
          <w:b/>
          <w:color w:val="auto"/>
          <w:spacing w:val="6"/>
          <w:sz w:val="32"/>
          <w:szCs w:val="32"/>
          <w:highlight w:val="none"/>
        </w:rPr>
        <w:t>残疾人福利性单位声明函</w:t>
      </w:r>
    </w:p>
    <w:bookmarkEnd w:id="131"/>
    <w:bookmarkEnd w:id="13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D256C96">
      <w:pPr>
        <w:spacing w:line="360" w:lineRule="auto"/>
        <w:jc w:val="left"/>
        <w:rPr>
          <w:rFonts w:ascii="宋体" w:hAnsi="宋体" w:cs="宋体"/>
          <w:b/>
          <w:color w:val="auto"/>
          <w:spacing w:val="6"/>
          <w:sz w:val="32"/>
          <w:szCs w:val="32"/>
          <w:highlight w:val="none"/>
        </w:rPr>
      </w:pPr>
    </w:p>
    <w:p w14:paraId="6264B130">
      <w:pPr>
        <w:spacing w:line="360" w:lineRule="auto"/>
        <w:jc w:val="left"/>
        <w:rPr>
          <w:rFonts w:ascii="宋体" w:hAnsi="宋体" w:cs="宋体"/>
          <w:b/>
          <w:color w:val="auto"/>
          <w:spacing w:val="6"/>
          <w:sz w:val="32"/>
          <w:szCs w:val="32"/>
          <w:highlight w:val="none"/>
        </w:rPr>
      </w:pPr>
    </w:p>
    <w:p w14:paraId="5DABDB7D">
      <w:pPr>
        <w:spacing w:line="360" w:lineRule="auto"/>
        <w:jc w:val="left"/>
        <w:rPr>
          <w:rFonts w:ascii="宋体" w:hAnsi="宋体" w:cs="宋体"/>
          <w:b/>
          <w:color w:val="auto"/>
          <w:spacing w:val="6"/>
          <w:sz w:val="32"/>
          <w:szCs w:val="32"/>
          <w:highlight w:val="none"/>
        </w:rPr>
      </w:pPr>
    </w:p>
    <w:p w14:paraId="1171465F">
      <w:pPr>
        <w:spacing w:line="360" w:lineRule="auto"/>
        <w:jc w:val="left"/>
        <w:rPr>
          <w:rFonts w:ascii="宋体" w:hAnsi="宋体" w:cs="宋体"/>
          <w:b/>
          <w:color w:val="auto"/>
          <w:spacing w:val="6"/>
          <w:sz w:val="32"/>
          <w:szCs w:val="32"/>
          <w:highlight w:val="none"/>
        </w:rPr>
      </w:pPr>
    </w:p>
    <w:p w14:paraId="2D62F361">
      <w:pPr>
        <w:spacing w:line="360" w:lineRule="auto"/>
        <w:jc w:val="left"/>
        <w:rPr>
          <w:rFonts w:ascii="宋体" w:hAnsi="宋体" w:cs="宋体"/>
          <w:b/>
          <w:color w:val="auto"/>
          <w:spacing w:val="6"/>
          <w:sz w:val="32"/>
          <w:szCs w:val="32"/>
          <w:highlight w:val="none"/>
        </w:rPr>
      </w:pPr>
    </w:p>
    <w:p w14:paraId="78324256">
      <w:pPr>
        <w:spacing w:line="360" w:lineRule="auto"/>
        <w:jc w:val="left"/>
        <w:rPr>
          <w:rFonts w:ascii="宋体" w:hAnsi="宋体" w:cs="宋体"/>
          <w:b/>
          <w:color w:val="auto"/>
          <w:spacing w:val="6"/>
          <w:sz w:val="32"/>
          <w:szCs w:val="32"/>
          <w:highlight w:val="none"/>
        </w:rPr>
      </w:pPr>
    </w:p>
    <w:p w14:paraId="2E423BED">
      <w:pPr>
        <w:spacing w:line="360" w:lineRule="auto"/>
        <w:jc w:val="left"/>
        <w:rPr>
          <w:rFonts w:ascii="宋体" w:hAnsi="宋体" w:cs="宋体"/>
          <w:b/>
          <w:color w:val="auto"/>
          <w:spacing w:val="6"/>
          <w:sz w:val="32"/>
          <w:szCs w:val="32"/>
          <w:highlight w:val="none"/>
        </w:rPr>
      </w:pPr>
    </w:p>
    <w:p w14:paraId="4975770A">
      <w:pPr>
        <w:spacing w:line="360" w:lineRule="auto"/>
        <w:jc w:val="left"/>
        <w:rPr>
          <w:rFonts w:ascii="宋体" w:hAnsi="宋体" w:cs="宋体"/>
          <w:b/>
          <w:color w:val="auto"/>
          <w:spacing w:val="6"/>
          <w:sz w:val="32"/>
          <w:szCs w:val="32"/>
          <w:highlight w:val="none"/>
        </w:rPr>
      </w:pPr>
    </w:p>
    <w:p w14:paraId="15F2EA3B">
      <w:pPr>
        <w:spacing w:line="360" w:lineRule="auto"/>
        <w:jc w:val="left"/>
        <w:rPr>
          <w:rFonts w:ascii="宋体" w:hAnsi="宋体" w:cs="宋体"/>
          <w:b/>
          <w:color w:val="auto"/>
          <w:spacing w:val="6"/>
          <w:sz w:val="32"/>
          <w:szCs w:val="32"/>
          <w:highlight w:val="none"/>
        </w:rPr>
      </w:pPr>
    </w:p>
    <w:p w14:paraId="2D9A7B5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82A7D6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D3CB28">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F8760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1F517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0C6BA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0C69B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60FF2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7500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3F14F8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4BC55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2DD3C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9D9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92AE2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D8ECF0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2334F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6F07F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5CB225D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6653E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964B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C5C63C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75CCE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D5238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7069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FE8F6DF">
      <w:pPr>
        <w:spacing w:line="360" w:lineRule="auto"/>
        <w:jc w:val="center"/>
        <w:rPr>
          <w:rFonts w:ascii="宋体" w:hAnsi="宋体" w:cs="宋体"/>
          <w:b/>
          <w:bCs/>
          <w:color w:val="auto"/>
          <w:sz w:val="24"/>
          <w:highlight w:val="none"/>
        </w:rPr>
      </w:pPr>
    </w:p>
    <w:p w14:paraId="42113482">
      <w:pPr>
        <w:spacing w:line="360" w:lineRule="auto"/>
        <w:rPr>
          <w:rFonts w:ascii="宋体" w:hAnsi="宋体" w:cs="宋体"/>
          <w:b/>
          <w:color w:val="auto"/>
          <w:sz w:val="24"/>
          <w:highlight w:val="none"/>
        </w:rPr>
      </w:pPr>
    </w:p>
    <w:p w14:paraId="697C9843">
      <w:pPr>
        <w:spacing w:line="360" w:lineRule="auto"/>
        <w:rPr>
          <w:rFonts w:ascii="宋体" w:hAnsi="宋体" w:cs="宋体"/>
          <w:b/>
          <w:color w:val="auto"/>
          <w:sz w:val="24"/>
          <w:highlight w:val="none"/>
        </w:rPr>
      </w:pPr>
    </w:p>
    <w:p w14:paraId="4CFF3149">
      <w:pPr>
        <w:spacing w:line="360" w:lineRule="auto"/>
        <w:rPr>
          <w:rFonts w:ascii="宋体" w:hAnsi="宋体" w:cs="宋体"/>
          <w:b/>
          <w:color w:val="auto"/>
          <w:sz w:val="24"/>
          <w:highlight w:val="none"/>
        </w:rPr>
      </w:pPr>
    </w:p>
    <w:p w14:paraId="587A274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70766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A385E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6D5FD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BAA04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04C6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FCB8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4D8617FC">
      <w:pPr>
        <w:widowControl/>
        <w:spacing w:line="360" w:lineRule="auto"/>
        <w:ind w:firstLine="600" w:firstLineChars="200"/>
        <w:jc w:val="left"/>
        <w:rPr>
          <w:rFonts w:ascii="宋体" w:hAnsi="宋体" w:cs="宋体"/>
          <w:color w:val="auto"/>
          <w:sz w:val="30"/>
          <w:szCs w:val="30"/>
          <w:highlight w:val="none"/>
        </w:rPr>
      </w:pPr>
    </w:p>
    <w:p w14:paraId="08C6977F">
      <w:pPr>
        <w:spacing w:line="360" w:lineRule="auto"/>
        <w:jc w:val="center"/>
        <w:rPr>
          <w:rFonts w:ascii="宋体" w:hAnsi="宋体" w:cs="宋体"/>
          <w:b/>
          <w:color w:val="auto"/>
          <w:spacing w:val="6"/>
          <w:sz w:val="32"/>
          <w:szCs w:val="32"/>
          <w:highlight w:val="none"/>
        </w:rPr>
      </w:pPr>
    </w:p>
    <w:p w14:paraId="77D14080">
      <w:pPr>
        <w:spacing w:line="360" w:lineRule="auto"/>
        <w:jc w:val="center"/>
        <w:rPr>
          <w:rFonts w:ascii="宋体" w:hAnsi="宋体" w:cs="宋体"/>
          <w:b/>
          <w:color w:val="auto"/>
          <w:spacing w:val="6"/>
          <w:sz w:val="32"/>
          <w:szCs w:val="32"/>
          <w:highlight w:val="none"/>
        </w:rPr>
      </w:pPr>
    </w:p>
    <w:p w14:paraId="01E64CBA">
      <w:pPr>
        <w:spacing w:line="360" w:lineRule="auto"/>
        <w:jc w:val="center"/>
        <w:rPr>
          <w:rFonts w:ascii="宋体" w:hAnsi="宋体" w:cs="宋体"/>
          <w:b/>
          <w:color w:val="auto"/>
          <w:spacing w:val="6"/>
          <w:sz w:val="32"/>
          <w:szCs w:val="32"/>
          <w:highlight w:val="none"/>
        </w:rPr>
      </w:pPr>
    </w:p>
    <w:p w14:paraId="0F22E2F0">
      <w:pPr>
        <w:spacing w:line="360" w:lineRule="auto"/>
        <w:jc w:val="center"/>
        <w:rPr>
          <w:rFonts w:ascii="宋体" w:hAnsi="宋体" w:cs="宋体"/>
          <w:b/>
          <w:color w:val="auto"/>
          <w:spacing w:val="6"/>
          <w:sz w:val="32"/>
          <w:szCs w:val="32"/>
          <w:highlight w:val="none"/>
        </w:rPr>
      </w:pPr>
    </w:p>
    <w:p w14:paraId="5F302F53">
      <w:pPr>
        <w:spacing w:line="360" w:lineRule="auto"/>
        <w:jc w:val="center"/>
        <w:rPr>
          <w:rFonts w:ascii="宋体" w:hAnsi="宋体" w:cs="宋体"/>
          <w:b/>
          <w:color w:val="auto"/>
          <w:spacing w:val="6"/>
          <w:sz w:val="32"/>
          <w:szCs w:val="32"/>
          <w:highlight w:val="none"/>
        </w:rPr>
      </w:pPr>
    </w:p>
    <w:p w14:paraId="3728C7B9">
      <w:pPr>
        <w:spacing w:line="360" w:lineRule="auto"/>
        <w:jc w:val="center"/>
        <w:rPr>
          <w:rFonts w:ascii="宋体" w:hAnsi="宋体" w:cs="宋体"/>
          <w:b/>
          <w:color w:val="auto"/>
          <w:spacing w:val="6"/>
          <w:sz w:val="32"/>
          <w:szCs w:val="32"/>
          <w:highlight w:val="none"/>
        </w:rPr>
      </w:pPr>
    </w:p>
    <w:p w14:paraId="398577CD">
      <w:pPr>
        <w:spacing w:line="360" w:lineRule="auto"/>
        <w:jc w:val="center"/>
        <w:rPr>
          <w:rFonts w:ascii="宋体" w:hAnsi="宋体" w:cs="宋体"/>
          <w:b/>
          <w:color w:val="auto"/>
          <w:spacing w:val="6"/>
          <w:sz w:val="32"/>
          <w:szCs w:val="32"/>
          <w:highlight w:val="none"/>
        </w:rPr>
      </w:pPr>
    </w:p>
    <w:p w14:paraId="03765EE5">
      <w:pPr>
        <w:spacing w:line="360" w:lineRule="auto"/>
        <w:jc w:val="center"/>
        <w:rPr>
          <w:rFonts w:ascii="宋体" w:hAnsi="宋体" w:cs="宋体"/>
          <w:b/>
          <w:color w:val="auto"/>
          <w:spacing w:val="6"/>
          <w:sz w:val="32"/>
          <w:szCs w:val="32"/>
          <w:highlight w:val="none"/>
        </w:rPr>
      </w:pPr>
    </w:p>
    <w:p w14:paraId="5D20EC8A">
      <w:pPr>
        <w:spacing w:line="360" w:lineRule="auto"/>
        <w:jc w:val="center"/>
        <w:rPr>
          <w:rFonts w:ascii="宋体" w:hAnsi="宋体" w:cs="宋体"/>
          <w:b/>
          <w:color w:val="auto"/>
          <w:spacing w:val="6"/>
          <w:sz w:val="32"/>
          <w:szCs w:val="32"/>
          <w:highlight w:val="none"/>
        </w:rPr>
      </w:pPr>
    </w:p>
    <w:p w14:paraId="3CF162D0">
      <w:pPr>
        <w:spacing w:line="360" w:lineRule="auto"/>
        <w:jc w:val="center"/>
        <w:rPr>
          <w:rFonts w:ascii="宋体" w:hAnsi="宋体" w:cs="宋体"/>
          <w:b/>
          <w:color w:val="auto"/>
          <w:spacing w:val="6"/>
          <w:sz w:val="32"/>
          <w:szCs w:val="32"/>
          <w:highlight w:val="none"/>
        </w:rPr>
      </w:pPr>
    </w:p>
    <w:p w14:paraId="64E9F853">
      <w:pPr>
        <w:spacing w:line="360" w:lineRule="auto"/>
        <w:jc w:val="center"/>
        <w:rPr>
          <w:rFonts w:ascii="宋体" w:hAnsi="宋体" w:cs="宋体"/>
          <w:b/>
          <w:color w:val="auto"/>
          <w:spacing w:val="6"/>
          <w:sz w:val="32"/>
          <w:szCs w:val="32"/>
          <w:highlight w:val="none"/>
        </w:rPr>
      </w:pPr>
    </w:p>
    <w:p w14:paraId="45F15540">
      <w:pPr>
        <w:spacing w:line="360" w:lineRule="auto"/>
        <w:jc w:val="left"/>
        <w:rPr>
          <w:rFonts w:ascii="宋体" w:hAnsi="宋体" w:cs="宋体"/>
          <w:b/>
          <w:color w:val="auto"/>
          <w:spacing w:val="6"/>
          <w:sz w:val="32"/>
          <w:szCs w:val="32"/>
          <w:highlight w:val="none"/>
        </w:rPr>
      </w:pPr>
    </w:p>
    <w:p w14:paraId="46009F5A">
      <w:pPr>
        <w:spacing w:line="360" w:lineRule="auto"/>
        <w:jc w:val="left"/>
        <w:rPr>
          <w:rFonts w:ascii="宋体" w:hAnsi="宋体" w:cs="宋体"/>
          <w:b/>
          <w:color w:val="auto"/>
          <w:spacing w:val="6"/>
          <w:sz w:val="32"/>
          <w:szCs w:val="32"/>
          <w:highlight w:val="none"/>
        </w:rPr>
      </w:pPr>
    </w:p>
    <w:p w14:paraId="25535AD9">
      <w:pPr>
        <w:spacing w:line="360" w:lineRule="auto"/>
        <w:jc w:val="left"/>
        <w:rPr>
          <w:rFonts w:ascii="宋体" w:hAnsi="宋体" w:cs="宋体"/>
          <w:b/>
          <w:color w:val="auto"/>
          <w:spacing w:val="6"/>
          <w:sz w:val="32"/>
          <w:szCs w:val="32"/>
          <w:highlight w:val="none"/>
        </w:rPr>
      </w:pPr>
    </w:p>
    <w:p w14:paraId="7B6640E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9CE0160">
      <w:pPr>
        <w:spacing w:line="360" w:lineRule="auto"/>
        <w:jc w:val="center"/>
        <w:rPr>
          <w:rFonts w:ascii="宋体" w:hAnsi="宋体" w:cs="宋体"/>
          <w:b/>
          <w:color w:val="auto"/>
          <w:sz w:val="24"/>
          <w:highlight w:val="none"/>
        </w:rPr>
      </w:pPr>
    </w:p>
    <w:p w14:paraId="2470E67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E057A9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52517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32271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E07D8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AA3C4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A6BC6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401D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D0012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29B4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39CF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1EEF2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F23BF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5C07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726E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D864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7B60A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DC32F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杭州市财经职业学校动漫课程资源建设与课程专项提升服务项目</w:t>
      </w:r>
      <w:r>
        <w:rPr>
          <w:rFonts w:hint="eastAsia" w:ascii="宋体" w:hAnsi="宋体" w:cs="宋体"/>
          <w:color w:val="auto"/>
          <w:sz w:val="24"/>
          <w:highlight w:val="none"/>
        </w:rPr>
        <w:t>采购项目：</w:t>
      </w:r>
      <w:r>
        <w:rPr>
          <w:rFonts w:hint="eastAsia" w:ascii="宋体" w:hAnsi="宋体" w:cs="宋体"/>
          <w:color w:val="auto"/>
          <w:sz w:val="24"/>
          <w:highlight w:val="none"/>
          <w:u w:val="dotted"/>
        </w:rPr>
        <w:t xml:space="preserve">                                        </w:t>
      </w:r>
    </w:p>
    <w:p w14:paraId="3D11BE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E5A16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9405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323F5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58E0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BD607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55B69A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12EA3C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9E6D4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26E2E5D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C9F54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185F818">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5C66351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50AF2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AB63E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5C263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A0A7BD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E55C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B5005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6E585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CC1EBB4">
      <w:pPr>
        <w:spacing w:line="360" w:lineRule="auto"/>
        <w:rPr>
          <w:rFonts w:ascii="宋体" w:hAnsi="宋体" w:cs="宋体"/>
          <w:b/>
          <w:color w:val="auto"/>
          <w:sz w:val="24"/>
          <w:highlight w:val="none"/>
        </w:rPr>
      </w:pPr>
    </w:p>
    <w:p w14:paraId="044F919F">
      <w:pPr>
        <w:spacing w:line="360" w:lineRule="auto"/>
        <w:rPr>
          <w:rFonts w:ascii="宋体" w:hAnsi="宋体" w:cs="宋体"/>
          <w:b/>
          <w:color w:val="auto"/>
          <w:sz w:val="24"/>
          <w:highlight w:val="none"/>
        </w:rPr>
      </w:pPr>
    </w:p>
    <w:p w14:paraId="70832DC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F3979C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814D0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72726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E5DCD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C01AE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2E4C3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9E7EDE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69D5B046">
      <w:pPr>
        <w:autoSpaceDE w:val="0"/>
        <w:autoSpaceDN w:val="0"/>
        <w:jc w:val="center"/>
        <w:rPr>
          <w:rFonts w:ascii="宋体" w:hAnsi="宋体" w:cs="宋体"/>
          <w:b/>
          <w:color w:val="auto"/>
          <w:spacing w:val="6"/>
          <w:sz w:val="32"/>
          <w:szCs w:val="32"/>
          <w:highlight w:val="none"/>
        </w:rPr>
      </w:pPr>
    </w:p>
    <w:p w14:paraId="78C8E1C9">
      <w:pPr>
        <w:autoSpaceDE w:val="0"/>
        <w:autoSpaceDN w:val="0"/>
        <w:jc w:val="center"/>
        <w:rPr>
          <w:rFonts w:ascii="宋体" w:hAnsi="宋体" w:cs="宋体"/>
          <w:b/>
          <w:color w:val="auto"/>
          <w:spacing w:val="6"/>
          <w:sz w:val="32"/>
          <w:szCs w:val="32"/>
          <w:highlight w:val="none"/>
        </w:rPr>
      </w:pPr>
    </w:p>
    <w:p w14:paraId="3733E6ED">
      <w:pPr>
        <w:autoSpaceDE w:val="0"/>
        <w:autoSpaceDN w:val="0"/>
        <w:jc w:val="center"/>
        <w:rPr>
          <w:rFonts w:ascii="宋体" w:hAnsi="宋体" w:cs="宋体"/>
          <w:b/>
          <w:color w:val="auto"/>
          <w:spacing w:val="6"/>
          <w:sz w:val="32"/>
          <w:szCs w:val="32"/>
          <w:highlight w:val="none"/>
        </w:rPr>
      </w:pPr>
    </w:p>
    <w:p w14:paraId="0ACD42F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E68F20E">
      <w:pPr>
        <w:spacing w:line="360" w:lineRule="auto"/>
        <w:rPr>
          <w:rFonts w:ascii="宋体" w:hAnsi="宋体" w:cs="宋体"/>
          <w:color w:val="auto"/>
          <w:sz w:val="24"/>
          <w:highlight w:val="none"/>
          <w:u w:val="single"/>
        </w:rPr>
      </w:pPr>
    </w:p>
    <w:p w14:paraId="293EEA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杭州市财经职业学校、浙江西建工程管理有限公司</w:t>
      </w:r>
      <w:r>
        <w:rPr>
          <w:rFonts w:hint="eastAsia" w:ascii="宋体" w:hAnsi="宋体" w:cs="宋体"/>
          <w:color w:val="auto"/>
          <w:sz w:val="24"/>
          <w:highlight w:val="none"/>
          <w:u w:val="single"/>
        </w:rPr>
        <w:t>：</w:t>
      </w:r>
    </w:p>
    <w:p w14:paraId="105FC67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杭州市财经职业学校动漫课程资源建设与课程专项提升服务项目</w:t>
      </w:r>
      <w:r>
        <w:rPr>
          <w:rFonts w:hint="eastAsia" w:ascii="宋体" w:hAnsi="宋体" w:cs="宋体"/>
          <w:color w:val="auto"/>
          <w:sz w:val="24"/>
          <w:highlight w:val="none"/>
        </w:rPr>
        <w:t>采购项目【采购编号：</w:t>
      </w:r>
      <w:r>
        <w:rPr>
          <w:rFonts w:hint="eastAsia" w:ascii="宋体" w:hAnsi="宋体" w:cs="宋体"/>
          <w:color w:val="auto"/>
          <w:sz w:val="24"/>
          <w:highlight w:val="none"/>
          <w:lang w:eastAsia="zh-CN"/>
        </w:rPr>
        <w:t>HZCJ-2025-012</w:t>
      </w:r>
      <w:r>
        <w:rPr>
          <w:rFonts w:hint="eastAsia" w:ascii="宋体" w:hAnsi="宋体" w:cs="宋体"/>
          <w:color w:val="auto"/>
          <w:sz w:val="24"/>
          <w:highlight w:val="none"/>
        </w:rPr>
        <w:t>】</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9197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5937F29">
      <w:pPr>
        <w:spacing w:line="360" w:lineRule="auto"/>
        <w:ind w:firstLine="494"/>
        <w:rPr>
          <w:rFonts w:ascii="宋体" w:hAnsi="宋体" w:cs="宋体"/>
          <w:color w:val="auto"/>
          <w:sz w:val="24"/>
          <w:highlight w:val="none"/>
        </w:rPr>
      </w:pPr>
    </w:p>
    <w:p w14:paraId="7469873C">
      <w:pPr>
        <w:spacing w:line="360" w:lineRule="auto"/>
        <w:ind w:firstLine="494"/>
        <w:rPr>
          <w:rFonts w:ascii="宋体" w:hAnsi="宋体" w:cs="宋体"/>
          <w:color w:val="auto"/>
          <w:sz w:val="24"/>
          <w:highlight w:val="none"/>
        </w:rPr>
      </w:pPr>
    </w:p>
    <w:p w14:paraId="499FEFBC">
      <w:pPr>
        <w:spacing w:line="360" w:lineRule="auto"/>
        <w:ind w:firstLine="494"/>
        <w:rPr>
          <w:rFonts w:ascii="宋体" w:hAnsi="宋体" w:cs="宋体"/>
          <w:color w:val="auto"/>
          <w:sz w:val="24"/>
          <w:highlight w:val="none"/>
        </w:rPr>
      </w:pPr>
    </w:p>
    <w:p w14:paraId="6296509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供应商单位（法定名称章）：</w:t>
      </w:r>
    </w:p>
    <w:p w14:paraId="7FB5B64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51FCF2">
      <w:pPr>
        <w:rPr>
          <w:rFonts w:ascii="宋体" w:hAnsi="宋体" w:cs="宋体"/>
          <w:color w:val="auto"/>
          <w:sz w:val="24"/>
          <w:highlight w:val="none"/>
        </w:rPr>
      </w:pPr>
      <w:r>
        <w:rPr>
          <w:rFonts w:hint="eastAsia" w:ascii="宋体" w:hAnsi="宋体" w:cs="宋体"/>
          <w:b/>
          <w:bCs/>
          <w:color w:val="auto"/>
          <w:sz w:val="24"/>
          <w:highlight w:val="none"/>
        </w:rPr>
        <w:t>附：</w:t>
      </w:r>
    </w:p>
    <w:p w14:paraId="1D1EA70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68313074">
      <w:pPr>
        <w:autoSpaceDE w:val="0"/>
        <w:autoSpaceDN w:val="0"/>
        <w:jc w:val="center"/>
        <w:rPr>
          <w:rFonts w:ascii="宋体" w:hAnsi="宋体" w:cs="宋体"/>
          <w:b/>
          <w:color w:val="auto"/>
          <w:spacing w:val="6"/>
          <w:sz w:val="32"/>
          <w:szCs w:val="32"/>
          <w:highlight w:val="none"/>
        </w:rPr>
      </w:pPr>
    </w:p>
    <w:p w14:paraId="0594916B">
      <w:pPr>
        <w:autoSpaceDE w:val="0"/>
        <w:autoSpaceDN w:val="0"/>
        <w:jc w:val="center"/>
        <w:rPr>
          <w:rFonts w:ascii="宋体" w:hAnsi="宋体" w:cs="宋体"/>
          <w:b/>
          <w:color w:val="auto"/>
          <w:spacing w:val="6"/>
          <w:sz w:val="32"/>
          <w:szCs w:val="32"/>
          <w:highlight w:val="none"/>
        </w:rPr>
      </w:pPr>
    </w:p>
    <w:p w14:paraId="70DA581F">
      <w:pPr>
        <w:autoSpaceDE w:val="0"/>
        <w:autoSpaceDN w:val="0"/>
        <w:jc w:val="center"/>
        <w:rPr>
          <w:rFonts w:ascii="宋体" w:hAnsi="宋体" w:cs="宋体"/>
          <w:b/>
          <w:color w:val="auto"/>
          <w:spacing w:val="6"/>
          <w:sz w:val="32"/>
          <w:szCs w:val="32"/>
          <w:highlight w:val="none"/>
        </w:rPr>
      </w:pPr>
    </w:p>
    <w:p w14:paraId="123463B0">
      <w:pPr>
        <w:snapToGrid w:val="0"/>
        <w:spacing w:line="360" w:lineRule="auto"/>
        <w:jc w:val="center"/>
        <w:outlineLvl w:val="0"/>
        <w:rPr>
          <w:rFonts w:ascii="宋体" w:hAnsi="宋体" w:cs="宋体"/>
          <w:b/>
          <w:color w:val="auto"/>
          <w:kern w:val="0"/>
          <w:sz w:val="32"/>
          <w:szCs w:val="32"/>
          <w:highlight w:val="none"/>
        </w:rPr>
      </w:pPr>
    </w:p>
    <w:p w14:paraId="0D4D9726">
      <w:pPr>
        <w:snapToGrid w:val="0"/>
        <w:spacing w:line="360" w:lineRule="auto"/>
        <w:jc w:val="center"/>
        <w:outlineLvl w:val="0"/>
        <w:rPr>
          <w:rFonts w:ascii="宋体" w:hAnsi="宋体" w:cs="宋体"/>
          <w:b/>
          <w:color w:val="auto"/>
          <w:kern w:val="0"/>
          <w:sz w:val="32"/>
          <w:szCs w:val="32"/>
          <w:highlight w:val="none"/>
        </w:rPr>
      </w:pPr>
    </w:p>
    <w:p w14:paraId="690980AB">
      <w:pPr>
        <w:snapToGrid w:val="0"/>
        <w:spacing w:line="360" w:lineRule="auto"/>
        <w:jc w:val="center"/>
        <w:outlineLvl w:val="0"/>
        <w:rPr>
          <w:rFonts w:ascii="宋体" w:hAnsi="宋体" w:cs="宋体"/>
          <w:b/>
          <w:color w:val="auto"/>
          <w:kern w:val="0"/>
          <w:sz w:val="32"/>
          <w:szCs w:val="32"/>
          <w:highlight w:val="none"/>
        </w:rPr>
      </w:pPr>
    </w:p>
    <w:p w14:paraId="09150FCF">
      <w:pPr>
        <w:snapToGrid w:val="0"/>
        <w:spacing w:line="360" w:lineRule="auto"/>
        <w:jc w:val="center"/>
        <w:outlineLvl w:val="0"/>
        <w:rPr>
          <w:rFonts w:ascii="宋体" w:hAnsi="宋体" w:cs="宋体"/>
          <w:b/>
          <w:color w:val="auto"/>
          <w:kern w:val="0"/>
          <w:sz w:val="32"/>
          <w:szCs w:val="32"/>
          <w:highlight w:val="none"/>
        </w:rPr>
      </w:pPr>
    </w:p>
    <w:p w14:paraId="7409C040">
      <w:pPr>
        <w:snapToGrid w:val="0"/>
        <w:spacing w:line="360" w:lineRule="auto"/>
        <w:jc w:val="center"/>
        <w:outlineLvl w:val="0"/>
        <w:rPr>
          <w:rFonts w:ascii="宋体" w:hAnsi="宋体" w:cs="宋体"/>
          <w:b/>
          <w:color w:val="auto"/>
          <w:kern w:val="0"/>
          <w:sz w:val="32"/>
          <w:szCs w:val="32"/>
          <w:highlight w:val="none"/>
        </w:rPr>
      </w:pPr>
    </w:p>
    <w:p w14:paraId="59A41112">
      <w:pPr>
        <w:snapToGrid w:val="0"/>
        <w:spacing w:line="360" w:lineRule="auto"/>
        <w:jc w:val="center"/>
        <w:outlineLvl w:val="0"/>
        <w:rPr>
          <w:rFonts w:ascii="宋体" w:hAnsi="宋体" w:cs="宋体"/>
          <w:b/>
          <w:color w:val="auto"/>
          <w:kern w:val="0"/>
          <w:sz w:val="32"/>
          <w:szCs w:val="32"/>
          <w:highlight w:val="none"/>
        </w:rPr>
      </w:pPr>
    </w:p>
    <w:p w14:paraId="63280A5B">
      <w:pPr>
        <w:snapToGrid w:val="0"/>
        <w:spacing w:line="360" w:lineRule="auto"/>
        <w:jc w:val="center"/>
        <w:outlineLvl w:val="0"/>
        <w:rPr>
          <w:rFonts w:ascii="宋体" w:hAnsi="宋体" w:cs="宋体"/>
          <w:b/>
          <w:color w:val="auto"/>
          <w:kern w:val="0"/>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HZCJ-2025-012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3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3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3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3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3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3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EA0C9A">
      <w:pPr>
        <w:snapToGrid w:val="0"/>
        <w:spacing w:line="360" w:lineRule="auto"/>
        <w:jc w:val="center"/>
        <w:outlineLvl w:val="0"/>
        <w:rPr>
          <w:rFonts w:ascii="宋体" w:hAnsi="宋体" w:cs="宋体"/>
          <w:b/>
          <w:color w:val="auto"/>
          <w:kern w:val="0"/>
          <w:sz w:val="32"/>
          <w:szCs w:val="32"/>
          <w:highlight w:val="none"/>
        </w:rPr>
      </w:pPr>
    </w:p>
    <w:p w14:paraId="3AC2EFB4">
      <w:pPr>
        <w:pStyle w:val="23"/>
        <w:ind w:firstLine="640"/>
        <w:rPr>
          <w:rFonts w:ascii="宋体" w:hAnsi="宋体" w:cs="宋体"/>
          <w:b/>
          <w:color w:val="auto"/>
          <w:sz w:val="32"/>
          <w:szCs w:val="32"/>
          <w:highlight w:val="none"/>
        </w:rPr>
      </w:pPr>
    </w:p>
    <w:p w14:paraId="26A15F94">
      <w:pPr>
        <w:pStyle w:val="23"/>
        <w:ind w:firstLine="640"/>
        <w:rPr>
          <w:rFonts w:ascii="宋体" w:hAnsi="宋体" w:cs="宋体"/>
          <w:b/>
          <w:color w:val="auto"/>
          <w:sz w:val="32"/>
          <w:szCs w:val="32"/>
          <w:highlight w:val="none"/>
        </w:rPr>
      </w:pPr>
    </w:p>
    <w:p w14:paraId="5DE29793">
      <w:pPr>
        <w:pStyle w:val="23"/>
        <w:ind w:firstLine="640"/>
        <w:rPr>
          <w:rFonts w:ascii="宋体" w:hAnsi="宋体" w:cs="宋体"/>
          <w:b/>
          <w:color w:val="auto"/>
          <w:sz w:val="32"/>
          <w:szCs w:val="32"/>
          <w:highlight w:val="none"/>
        </w:rPr>
      </w:pPr>
    </w:p>
    <w:p w14:paraId="6969082A">
      <w:pPr>
        <w:pStyle w:val="23"/>
        <w:ind w:firstLine="640"/>
        <w:rPr>
          <w:rFonts w:ascii="宋体" w:hAnsi="宋体" w:cs="宋体"/>
          <w:b/>
          <w:color w:val="auto"/>
          <w:sz w:val="32"/>
          <w:szCs w:val="32"/>
          <w:highlight w:val="none"/>
        </w:rPr>
      </w:pPr>
    </w:p>
    <w:p w14:paraId="7F7D277E">
      <w:pPr>
        <w:pStyle w:val="23"/>
        <w:ind w:firstLine="640"/>
        <w:rPr>
          <w:rFonts w:ascii="宋体" w:hAnsi="宋体" w:cs="宋体"/>
          <w:b/>
          <w:color w:val="auto"/>
          <w:sz w:val="32"/>
          <w:szCs w:val="32"/>
          <w:highlight w:val="none"/>
        </w:rPr>
      </w:pPr>
    </w:p>
    <w:p w14:paraId="7D290623">
      <w:pPr>
        <w:pStyle w:val="23"/>
        <w:ind w:firstLine="640"/>
        <w:rPr>
          <w:rFonts w:ascii="宋体" w:hAnsi="宋体" w:cs="宋体"/>
          <w:b/>
          <w:color w:val="auto"/>
          <w:sz w:val="32"/>
          <w:szCs w:val="32"/>
          <w:highlight w:val="none"/>
        </w:rPr>
      </w:pPr>
    </w:p>
    <w:p w14:paraId="394372D7">
      <w:pPr>
        <w:pStyle w:val="23"/>
        <w:ind w:firstLine="640"/>
        <w:rPr>
          <w:rFonts w:ascii="宋体" w:hAnsi="宋体" w:cs="宋体"/>
          <w:b/>
          <w:color w:val="auto"/>
          <w:sz w:val="32"/>
          <w:szCs w:val="32"/>
          <w:highlight w:val="none"/>
        </w:rPr>
      </w:pPr>
    </w:p>
    <w:p w14:paraId="3B5CA24C">
      <w:pPr>
        <w:pStyle w:val="23"/>
        <w:ind w:firstLine="640"/>
        <w:rPr>
          <w:rFonts w:ascii="宋体" w:hAnsi="宋体" w:cs="宋体"/>
          <w:b/>
          <w:color w:val="auto"/>
          <w:sz w:val="32"/>
          <w:szCs w:val="32"/>
          <w:highlight w:val="none"/>
        </w:rPr>
      </w:pPr>
    </w:p>
    <w:p w14:paraId="67135016">
      <w:pPr>
        <w:pStyle w:val="23"/>
        <w:ind w:firstLine="640"/>
        <w:rPr>
          <w:rFonts w:ascii="宋体" w:hAnsi="宋体" w:cs="宋体"/>
          <w:b/>
          <w:color w:val="auto"/>
          <w:sz w:val="32"/>
          <w:szCs w:val="32"/>
          <w:highlight w:val="none"/>
        </w:rPr>
      </w:pPr>
    </w:p>
    <w:p w14:paraId="6202C89B">
      <w:pPr>
        <w:pStyle w:val="23"/>
        <w:ind w:firstLine="640"/>
        <w:rPr>
          <w:rFonts w:ascii="宋体" w:hAnsi="宋体" w:cs="宋体"/>
          <w:b/>
          <w:color w:val="auto"/>
          <w:sz w:val="32"/>
          <w:szCs w:val="32"/>
          <w:highlight w:val="none"/>
        </w:rPr>
      </w:pPr>
    </w:p>
    <w:p w14:paraId="225C21C7">
      <w:pPr>
        <w:pStyle w:val="23"/>
        <w:ind w:firstLine="640"/>
        <w:rPr>
          <w:rFonts w:ascii="宋体" w:hAnsi="宋体" w:cs="宋体"/>
          <w:b/>
          <w:color w:val="auto"/>
          <w:sz w:val="32"/>
          <w:szCs w:val="32"/>
          <w:highlight w:val="none"/>
        </w:rPr>
      </w:pPr>
    </w:p>
    <w:p w14:paraId="52D3DF82">
      <w:pPr>
        <w:pStyle w:val="23"/>
        <w:ind w:firstLine="640"/>
        <w:rPr>
          <w:rFonts w:ascii="宋体" w:hAnsi="宋体" w:cs="宋体"/>
          <w:b/>
          <w:color w:val="auto"/>
          <w:sz w:val="32"/>
          <w:szCs w:val="32"/>
          <w:highlight w:val="none"/>
        </w:rPr>
      </w:pPr>
    </w:p>
    <w:p w14:paraId="465E573E">
      <w:pPr>
        <w:pStyle w:val="23"/>
        <w:ind w:firstLine="640"/>
        <w:rPr>
          <w:rFonts w:ascii="宋体" w:hAnsi="宋体" w:cs="宋体"/>
          <w:b/>
          <w:color w:val="auto"/>
          <w:sz w:val="32"/>
          <w:szCs w:val="32"/>
          <w:highlight w:val="none"/>
        </w:rPr>
      </w:pPr>
    </w:p>
    <w:p w14:paraId="7DF44A5E">
      <w:pPr>
        <w:pStyle w:val="23"/>
        <w:ind w:firstLine="640"/>
        <w:rPr>
          <w:rFonts w:ascii="宋体" w:hAnsi="宋体" w:cs="宋体"/>
          <w:b/>
          <w:color w:val="auto"/>
          <w:sz w:val="32"/>
          <w:szCs w:val="32"/>
          <w:highlight w:val="none"/>
        </w:rPr>
      </w:pPr>
    </w:p>
    <w:p w14:paraId="4F303CA8">
      <w:pPr>
        <w:pStyle w:val="23"/>
        <w:ind w:firstLine="640"/>
        <w:rPr>
          <w:rFonts w:ascii="宋体" w:hAnsi="宋体" w:cs="宋体"/>
          <w:b/>
          <w:color w:val="auto"/>
          <w:sz w:val="32"/>
          <w:szCs w:val="32"/>
          <w:highlight w:val="none"/>
        </w:rPr>
      </w:pPr>
    </w:p>
    <w:p w14:paraId="50277E49">
      <w:pPr>
        <w:pStyle w:val="23"/>
        <w:ind w:firstLine="640"/>
        <w:rPr>
          <w:rFonts w:ascii="宋体" w:hAnsi="宋体" w:cs="宋体"/>
          <w:b/>
          <w:color w:val="auto"/>
          <w:sz w:val="32"/>
          <w:szCs w:val="32"/>
          <w:highlight w:val="none"/>
        </w:rPr>
      </w:pPr>
    </w:p>
    <w:p w14:paraId="558E9B35">
      <w:pPr>
        <w:pStyle w:val="23"/>
        <w:ind w:firstLine="640"/>
        <w:rPr>
          <w:rFonts w:ascii="宋体" w:hAnsi="宋体" w:cs="宋体"/>
          <w:b/>
          <w:color w:val="auto"/>
          <w:sz w:val="32"/>
          <w:szCs w:val="32"/>
          <w:highlight w:val="none"/>
        </w:rPr>
      </w:pPr>
    </w:p>
    <w:p w14:paraId="1C545D0E">
      <w:pPr>
        <w:pStyle w:val="23"/>
        <w:ind w:firstLine="640"/>
        <w:rPr>
          <w:rFonts w:ascii="宋体" w:hAnsi="宋体" w:cs="宋体"/>
          <w:b/>
          <w:color w:val="auto"/>
          <w:sz w:val="32"/>
          <w:szCs w:val="32"/>
          <w:highlight w:val="none"/>
        </w:rPr>
      </w:pPr>
    </w:p>
    <w:p w14:paraId="05AA38C4">
      <w:pPr>
        <w:pStyle w:val="23"/>
        <w:ind w:firstLine="640"/>
        <w:rPr>
          <w:rFonts w:ascii="宋体" w:hAnsi="宋体" w:cs="宋体"/>
          <w:b/>
          <w:color w:val="auto"/>
          <w:sz w:val="32"/>
          <w:szCs w:val="32"/>
          <w:highlight w:val="none"/>
        </w:rPr>
      </w:pPr>
    </w:p>
    <w:p w14:paraId="5F1409E8">
      <w:pPr>
        <w:pStyle w:val="23"/>
        <w:ind w:firstLine="640"/>
        <w:rPr>
          <w:rFonts w:ascii="宋体" w:hAnsi="宋体" w:cs="宋体"/>
          <w:b/>
          <w:color w:val="auto"/>
          <w:sz w:val="32"/>
          <w:szCs w:val="32"/>
          <w:highlight w:val="none"/>
        </w:rPr>
      </w:pPr>
    </w:p>
    <w:p w14:paraId="1EA60D8D">
      <w:pPr>
        <w:snapToGrid w:val="0"/>
        <w:spacing w:line="360" w:lineRule="auto"/>
        <w:ind w:firstLine="2333" w:firstLineChars="7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HZCJ-2025-012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240A5A">
      <w:pPr>
        <w:pStyle w:val="23"/>
        <w:ind w:firstLine="0" w:firstLineChars="0"/>
        <w:rPr>
          <w:rFonts w:ascii="宋体" w:hAnsi="宋体" w:cs="宋体"/>
          <w:b/>
          <w:color w:val="auto"/>
          <w:sz w:val="32"/>
          <w:szCs w:val="32"/>
          <w:highlight w:val="none"/>
        </w:rPr>
      </w:pPr>
      <w:r>
        <w:rPr>
          <w:rFonts w:hint="eastAsia" w:ascii="宋体" w:hAnsi="宋体" w:cs="宋体"/>
          <w:color w:val="auto"/>
          <w:sz w:val="24"/>
          <w:highlight w:val="none"/>
        </w:rPr>
        <w:t>注：按本格式和要求提供。</w:t>
      </w:r>
    </w:p>
    <w:p w14:paraId="33AD7BAF">
      <w:pPr>
        <w:snapToGrid w:val="0"/>
        <w:spacing w:line="200" w:lineRule="atLeast"/>
        <w:ind w:left="-178" w:leftChars="-85" w:right="-359" w:rightChars="-171" w:firstLine="630" w:firstLineChars="300"/>
        <w:rPr>
          <w:color w:val="auto"/>
          <w:highlight w:val="none"/>
        </w:rPr>
      </w:pPr>
    </w:p>
    <w:p w14:paraId="72955B9B">
      <w:pPr>
        <w:pStyle w:val="2"/>
        <w:rPr>
          <w:color w:val="auto"/>
          <w:highlight w:val="none"/>
        </w:rPr>
      </w:pPr>
    </w:p>
    <w:p w14:paraId="6FF0CD9A">
      <w:pPr>
        <w:pStyle w:val="3"/>
        <w:rPr>
          <w:color w:val="auto"/>
          <w:highlight w:val="none"/>
        </w:rPr>
      </w:pPr>
    </w:p>
    <w:p w14:paraId="327C6E19">
      <w:pPr>
        <w:pStyle w:val="4"/>
        <w:rPr>
          <w:color w:val="auto"/>
          <w:highlight w:val="none"/>
        </w:rPr>
      </w:pPr>
    </w:p>
    <w:p w14:paraId="4BA0B008">
      <w:pPr>
        <w:rPr>
          <w:color w:val="auto"/>
          <w:highlight w:val="none"/>
        </w:rPr>
      </w:pPr>
    </w:p>
    <w:p w14:paraId="17BB3C83">
      <w:pPr>
        <w:pStyle w:val="2"/>
        <w:rPr>
          <w:color w:val="auto"/>
          <w:highlight w:val="none"/>
        </w:rPr>
      </w:pPr>
    </w:p>
    <w:p w14:paraId="6B2BED03">
      <w:pPr>
        <w:pStyle w:val="3"/>
        <w:rPr>
          <w:color w:val="auto"/>
          <w:highlight w:val="none"/>
        </w:rPr>
      </w:pPr>
    </w:p>
    <w:p w14:paraId="174EB306">
      <w:pPr>
        <w:pStyle w:val="4"/>
        <w:rPr>
          <w:color w:val="auto"/>
          <w:highlight w:val="none"/>
        </w:rPr>
      </w:pPr>
    </w:p>
    <w:p w14:paraId="1113A574">
      <w:pPr>
        <w:rPr>
          <w:color w:val="auto"/>
          <w:highlight w:val="none"/>
        </w:rPr>
      </w:pPr>
    </w:p>
    <w:p w14:paraId="418AFB4A">
      <w:pPr>
        <w:pStyle w:val="2"/>
        <w:rPr>
          <w:color w:val="auto"/>
          <w:highlight w:val="none"/>
        </w:rPr>
      </w:pPr>
    </w:p>
    <w:p w14:paraId="18FF48AA">
      <w:pPr>
        <w:pStyle w:val="3"/>
        <w:rPr>
          <w:color w:val="auto"/>
          <w:highlight w:val="none"/>
        </w:rPr>
      </w:pPr>
    </w:p>
    <w:p w14:paraId="1CFC5134">
      <w:pPr>
        <w:pStyle w:val="4"/>
        <w:rPr>
          <w:color w:val="auto"/>
          <w:highlight w:val="none"/>
        </w:rPr>
      </w:pPr>
    </w:p>
    <w:p w14:paraId="6ADC9B14">
      <w:pPr>
        <w:rPr>
          <w:color w:val="auto"/>
          <w:highlight w:val="none"/>
        </w:rPr>
      </w:pPr>
    </w:p>
    <w:p w14:paraId="796007D5">
      <w:pPr>
        <w:pStyle w:val="2"/>
        <w:rPr>
          <w:color w:val="auto"/>
          <w:highlight w:val="none"/>
        </w:rPr>
      </w:pPr>
    </w:p>
    <w:p w14:paraId="00E97F72">
      <w:pPr>
        <w:pStyle w:val="3"/>
        <w:rPr>
          <w:color w:val="auto"/>
          <w:highlight w:val="none"/>
        </w:rPr>
      </w:pPr>
    </w:p>
    <w:p w14:paraId="46667D20">
      <w:pPr>
        <w:pStyle w:val="4"/>
        <w:rPr>
          <w:color w:val="auto"/>
          <w:highlight w:val="none"/>
        </w:rPr>
      </w:pPr>
    </w:p>
    <w:p w14:paraId="6384C72C">
      <w:pPr>
        <w:rPr>
          <w:color w:val="auto"/>
          <w:highlight w:val="none"/>
        </w:rPr>
      </w:pPr>
    </w:p>
    <w:p w14:paraId="45C98F80">
      <w:pPr>
        <w:pStyle w:val="2"/>
        <w:rPr>
          <w:color w:val="auto"/>
          <w:highlight w:val="none"/>
        </w:rPr>
      </w:pPr>
    </w:p>
    <w:p w14:paraId="1CF83450">
      <w:pPr>
        <w:pStyle w:val="3"/>
        <w:rPr>
          <w:color w:val="auto"/>
          <w:highlight w:val="none"/>
        </w:rPr>
      </w:pPr>
    </w:p>
    <w:p w14:paraId="540B5509">
      <w:pPr>
        <w:pStyle w:val="4"/>
        <w:rPr>
          <w:color w:val="auto"/>
          <w:highlight w:val="none"/>
        </w:rPr>
      </w:pPr>
    </w:p>
    <w:p w14:paraId="224F343C">
      <w:pPr>
        <w:rPr>
          <w:color w:val="auto"/>
          <w:highlight w:val="none"/>
        </w:rPr>
      </w:pPr>
    </w:p>
    <w:p w14:paraId="3C2A5FF8">
      <w:pPr>
        <w:pStyle w:val="2"/>
        <w:rPr>
          <w:color w:val="auto"/>
          <w:highlight w:val="none"/>
        </w:rPr>
      </w:pPr>
    </w:p>
    <w:p w14:paraId="319B87ED">
      <w:pPr>
        <w:pStyle w:val="3"/>
        <w:rPr>
          <w:color w:val="auto"/>
          <w:highlight w:val="none"/>
        </w:rPr>
      </w:pPr>
    </w:p>
    <w:p w14:paraId="62CE6740">
      <w:pPr>
        <w:pStyle w:val="4"/>
        <w:rPr>
          <w:color w:val="auto"/>
          <w:highlight w:val="none"/>
        </w:rPr>
      </w:pPr>
    </w:p>
    <w:p w14:paraId="3826278E">
      <w:pPr>
        <w:rPr>
          <w:color w:val="auto"/>
          <w:highlight w:val="none"/>
        </w:rPr>
      </w:pPr>
    </w:p>
    <w:p w14:paraId="2BCA5694">
      <w:pPr>
        <w:pStyle w:val="2"/>
        <w:rPr>
          <w:rFonts w:hint="eastAsia"/>
          <w:color w:val="auto"/>
          <w:highlight w:val="none"/>
          <w:lang w:val="en-US" w:eastAsia="zh-CN"/>
        </w:rPr>
      </w:pPr>
      <w:r>
        <w:rPr>
          <w:rFonts w:hint="eastAsia"/>
          <w:color w:val="auto"/>
          <w:highlight w:val="none"/>
          <w:lang w:val="en-US" w:eastAsia="zh-CN"/>
        </w:rPr>
        <w:t>附件7</w:t>
      </w: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380C8E14">
      <w:pPr>
        <w:pStyle w:val="3"/>
        <w:rPr>
          <w:rFonts w:hint="default"/>
          <w:highlight w:val="none"/>
          <w:lang w:val="en-US"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国标宋体">
    <w:altName w:val="宋体"/>
    <w:panose1 w:val="020B0604020202020204"/>
    <w:charset w:val="86"/>
    <w:family w:val="auto"/>
    <w:pitch w:val="default"/>
    <w:sig w:usb0="00000000" w:usb1="00000000" w:usb2="00000000" w:usb3="00000000" w:csb0="00060007"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60A3">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09EA62E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08003">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76A8C6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77F2">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6A280F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8702">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BDC3C4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586F">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2186E7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2777">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EE4736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8EDD">
    <w:pPr>
      <w:pStyle w:val="13"/>
      <w:tabs>
        <w:tab w:val="right" w:pos="9901"/>
      </w:tabs>
      <w:ind w:right="105"/>
      <w:jc w:val="center"/>
      <w:rPr>
        <w:sz w:val="21"/>
      </w:rPr>
    </w:pPr>
    <w:r>
      <w:fldChar w:fldCharType="begin"/>
    </w:r>
    <w:r>
      <w:rPr>
        <w:rStyle w:val="19"/>
      </w:rPr>
      <w:instrText xml:space="preserve"> PAGE </w:instrText>
    </w:r>
    <w:r>
      <w:fldChar w:fldCharType="separate"/>
    </w:r>
    <w:r>
      <w:rPr>
        <w:rStyle w:val="19"/>
      </w:rPr>
      <w:t>59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1EB3">
    <w:pPr>
      <w:pStyle w:val="14"/>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D32A6">
    <w:pPr>
      <w:pStyle w:val="14"/>
    </w:pPr>
    <w:r>
      <w:t></w:t>
    </w:r>
    <w:r>
      <w:rPr>
        <w:rFonts w:hint="eastAsia"/>
      </w:rPr>
      <w:t xml:space="preserve">         </w:t>
    </w:r>
  </w:p>
  <w:p w14:paraId="4BCD7F80">
    <w:pPr>
      <w:pStyle w:val="14"/>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4C269">
    <w:pPr>
      <w:pStyle w:val="14"/>
      <w:rPr>
        <w:rFonts w:ascii="仿宋_GB2312" w:eastAsia="仿宋_GB2312"/>
        <w:b/>
        <w:i/>
        <w:u w:val="single"/>
      </w:rPr>
    </w:pPr>
    <w:r>
      <w:t></w:t>
    </w:r>
    <w:r>
      <w:rPr>
        <w:rFonts w:hint="eastAsia"/>
      </w:rPr>
      <w:t xml:space="preserve">                                                </w:t>
    </w:r>
  </w:p>
  <w:p w14:paraId="6226ABF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34F1">
    <w:pPr>
      <w:pStyle w:val="14"/>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5D38">
    <w:pPr>
      <w:pStyle w:val="14"/>
      <w:jc w:val="right"/>
      <w:rPr>
        <w:rFonts w:ascii="仿宋_GB2312" w:eastAsia="仿宋_GB2312"/>
        <w:b/>
        <w:i/>
        <w:u w:val="single"/>
      </w:rPr>
    </w:pPr>
    <w:r>
      <w:rPr>
        <w:rFonts w:hint="eastAsia"/>
      </w:rPr>
      <w:t xml:space="preserve">                                 </w:t>
    </w:r>
  </w:p>
  <w:p w14:paraId="6A51AAE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F838">
    <w:pPr>
      <w:pStyle w:val="14"/>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3857B">
    <w:pPr>
      <w:pStyle w:val="14"/>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B9216"/>
    <w:multiLevelType w:val="singleLevel"/>
    <w:tmpl w:val="90EB9216"/>
    <w:lvl w:ilvl="0" w:tentative="0">
      <w:start w:val="7"/>
      <w:numFmt w:val="chineseCounting"/>
      <w:suff w:val="space"/>
      <w:lvlText w:val="第%1章"/>
      <w:lvlJc w:val="left"/>
      <w:rPr>
        <w:rFonts w:hint="eastAsia"/>
      </w:rPr>
    </w:lvl>
  </w:abstractNum>
  <w:abstractNum w:abstractNumId="1">
    <w:nsid w:val="917FF007"/>
    <w:multiLevelType w:val="singleLevel"/>
    <w:tmpl w:val="917FF007"/>
    <w:lvl w:ilvl="0" w:tentative="0">
      <w:start w:val="2"/>
      <w:numFmt w:val="decimal"/>
      <w:suff w:val="nothing"/>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132185EA"/>
    <w:multiLevelType w:val="singleLevel"/>
    <w:tmpl w:val="132185EA"/>
    <w:lvl w:ilvl="0" w:tentative="0">
      <w:start w:val="3"/>
      <w:numFmt w:val="chineseCounting"/>
      <w:suff w:val="nothing"/>
      <w:lvlText w:val="%1、"/>
      <w:lvlJc w:val="left"/>
      <w:rPr>
        <w:rFonts w:hint="eastAsia"/>
      </w:rPr>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4352A77E"/>
    <w:multiLevelType w:val="singleLevel"/>
    <w:tmpl w:val="4352A77E"/>
    <w:lvl w:ilvl="0" w:tentative="0">
      <w:start w:val="1"/>
      <w:numFmt w:val="decimal"/>
      <w:suff w:val="nothing"/>
      <w:lvlText w:val="（%1）"/>
      <w:lvlJc w:val="left"/>
    </w:lvl>
  </w:abstractNum>
  <w:abstractNum w:abstractNumId="7">
    <w:nsid w:val="4D53918C"/>
    <w:multiLevelType w:val="singleLevel"/>
    <w:tmpl w:val="4D53918C"/>
    <w:lvl w:ilvl="0" w:tentative="0">
      <w:start w:val="3"/>
      <w:numFmt w:val="chineseCounting"/>
      <w:suff w:val="space"/>
      <w:lvlText w:val="第%1章"/>
      <w:lvlJc w:val="left"/>
      <w:rPr>
        <w:rFonts w:hint="eastAsia"/>
      </w:rPr>
    </w:lvl>
  </w:abstractNum>
  <w:num w:numId="1">
    <w:abstractNumId w:val="7"/>
  </w:num>
  <w:num w:numId="2">
    <w:abstractNumId w:val="4"/>
  </w:num>
  <w:num w:numId="3">
    <w:abstractNumId w:val="1"/>
  </w:num>
  <w:num w:numId="4">
    <w:abstractNumId w:val="3"/>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21B4B"/>
    <w:rsid w:val="0004372A"/>
    <w:rsid w:val="000A60D9"/>
    <w:rsid w:val="000D1091"/>
    <w:rsid w:val="000D48AD"/>
    <w:rsid w:val="000F5A7B"/>
    <w:rsid w:val="001058CF"/>
    <w:rsid w:val="00123E95"/>
    <w:rsid w:val="00173950"/>
    <w:rsid w:val="001A30AA"/>
    <w:rsid w:val="001B0A6A"/>
    <w:rsid w:val="001C6CD6"/>
    <w:rsid w:val="001D3578"/>
    <w:rsid w:val="00216361"/>
    <w:rsid w:val="002821F1"/>
    <w:rsid w:val="00284EAA"/>
    <w:rsid w:val="0030712D"/>
    <w:rsid w:val="00331F98"/>
    <w:rsid w:val="00353984"/>
    <w:rsid w:val="00356F92"/>
    <w:rsid w:val="0036430E"/>
    <w:rsid w:val="0041684C"/>
    <w:rsid w:val="0042149C"/>
    <w:rsid w:val="0043702F"/>
    <w:rsid w:val="004755B2"/>
    <w:rsid w:val="004D0026"/>
    <w:rsid w:val="004D297B"/>
    <w:rsid w:val="004F0F7C"/>
    <w:rsid w:val="00501D5C"/>
    <w:rsid w:val="00595751"/>
    <w:rsid w:val="005A6808"/>
    <w:rsid w:val="00631F65"/>
    <w:rsid w:val="00654FFC"/>
    <w:rsid w:val="006935F2"/>
    <w:rsid w:val="006C4624"/>
    <w:rsid w:val="006D5913"/>
    <w:rsid w:val="00743572"/>
    <w:rsid w:val="0077794E"/>
    <w:rsid w:val="007A02B8"/>
    <w:rsid w:val="007C6E5C"/>
    <w:rsid w:val="00804A76"/>
    <w:rsid w:val="0081189F"/>
    <w:rsid w:val="00830485"/>
    <w:rsid w:val="0085227E"/>
    <w:rsid w:val="00854C40"/>
    <w:rsid w:val="008A3B33"/>
    <w:rsid w:val="008B576B"/>
    <w:rsid w:val="008D3E9C"/>
    <w:rsid w:val="008E16F9"/>
    <w:rsid w:val="009026F8"/>
    <w:rsid w:val="00922981"/>
    <w:rsid w:val="00947F70"/>
    <w:rsid w:val="009838F8"/>
    <w:rsid w:val="009C6D10"/>
    <w:rsid w:val="009D0C4C"/>
    <w:rsid w:val="009D4252"/>
    <w:rsid w:val="00A130D6"/>
    <w:rsid w:val="00A2671B"/>
    <w:rsid w:val="00A478C9"/>
    <w:rsid w:val="00A5226C"/>
    <w:rsid w:val="00A74352"/>
    <w:rsid w:val="00A9555C"/>
    <w:rsid w:val="00AD739A"/>
    <w:rsid w:val="00BD0760"/>
    <w:rsid w:val="00C53F06"/>
    <w:rsid w:val="00C61C1B"/>
    <w:rsid w:val="00C652E7"/>
    <w:rsid w:val="00C745B1"/>
    <w:rsid w:val="00C77606"/>
    <w:rsid w:val="00C853D8"/>
    <w:rsid w:val="00CC4A45"/>
    <w:rsid w:val="00CC4B15"/>
    <w:rsid w:val="00CF3BE2"/>
    <w:rsid w:val="00D07B94"/>
    <w:rsid w:val="00DB4ED8"/>
    <w:rsid w:val="00DD0F5B"/>
    <w:rsid w:val="00E502EC"/>
    <w:rsid w:val="00E921DC"/>
    <w:rsid w:val="00E929EF"/>
    <w:rsid w:val="00EA4BD0"/>
    <w:rsid w:val="00EB7274"/>
    <w:rsid w:val="00F13695"/>
    <w:rsid w:val="00F76FF5"/>
    <w:rsid w:val="00FD563E"/>
    <w:rsid w:val="00FE4E8C"/>
    <w:rsid w:val="01820D72"/>
    <w:rsid w:val="019305D6"/>
    <w:rsid w:val="01940FE4"/>
    <w:rsid w:val="032729CD"/>
    <w:rsid w:val="06330F5A"/>
    <w:rsid w:val="06A9177A"/>
    <w:rsid w:val="07803D52"/>
    <w:rsid w:val="085F1E28"/>
    <w:rsid w:val="094320BB"/>
    <w:rsid w:val="09A322C7"/>
    <w:rsid w:val="09F6528F"/>
    <w:rsid w:val="0BBB4F0E"/>
    <w:rsid w:val="0FDF7BC5"/>
    <w:rsid w:val="11D413CD"/>
    <w:rsid w:val="12920492"/>
    <w:rsid w:val="139317F9"/>
    <w:rsid w:val="13F53078"/>
    <w:rsid w:val="157E0E4B"/>
    <w:rsid w:val="193E200C"/>
    <w:rsid w:val="1A4334AB"/>
    <w:rsid w:val="1BE648C7"/>
    <w:rsid w:val="1BFD6C2F"/>
    <w:rsid w:val="1CEF0700"/>
    <w:rsid w:val="1E75452A"/>
    <w:rsid w:val="1F544A81"/>
    <w:rsid w:val="21697A85"/>
    <w:rsid w:val="21F63E4D"/>
    <w:rsid w:val="29481911"/>
    <w:rsid w:val="2BCD020C"/>
    <w:rsid w:val="2BF0106E"/>
    <w:rsid w:val="2C466BA2"/>
    <w:rsid w:val="313C03D1"/>
    <w:rsid w:val="324C1783"/>
    <w:rsid w:val="38CA43A9"/>
    <w:rsid w:val="3AD30E64"/>
    <w:rsid w:val="3BC25A8D"/>
    <w:rsid w:val="3D3F6C08"/>
    <w:rsid w:val="3DFD7A88"/>
    <w:rsid w:val="403911C3"/>
    <w:rsid w:val="41025954"/>
    <w:rsid w:val="42094CD4"/>
    <w:rsid w:val="42F51E9D"/>
    <w:rsid w:val="43407B62"/>
    <w:rsid w:val="438D4C2F"/>
    <w:rsid w:val="43B043DC"/>
    <w:rsid w:val="45256FF3"/>
    <w:rsid w:val="45441ABB"/>
    <w:rsid w:val="457345FE"/>
    <w:rsid w:val="461D26EB"/>
    <w:rsid w:val="494675D8"/>
    <w:rsid w:val="49825CAA"/>
    <w:rsid w:val="4C8421D5"/>
    <w:rsid w:val="4D4A1A92"/>
    <w:rsid w:val="4DD771B2"/>
    <w:rsid w:val="4EB237AC"/>
    <w:rsid w:val="4F8B751C"/>
    <w:rsid w:val="58AE5C77"/>
    <w:rsid w:val="5B122177"/>
    <w:rsid w:val="5C8A055B"/>
    <w:rsid w:val="5DEB44A2"/>
    <w:rsid w:val="5F903222"/>
    <w:rsid w:val="622E411C"/>
    <w:rsid w:val="624D40D3"/>
    <w:rsid w:val="64805613"/>
    <w:rsid w:val="657C1D0C"/>
    <w:rsid w:val="6A5046C6"/>
    <w:rsid w:val="6AC4089E"/>
    <w:rsid w:val="6C81017A"/>
    <w:rsid w:val="6D1C60F5"/>
    <w:rsid w:val="6ED7251A"/>
    <w:rsid w:val="71B327CC"/>
    <w:rsid w:val="724B5893"/>
    <w:rsid w:val="72AF79A6"/>
    <w:rsid w:val="732A4301"/>
    <w:rsid w:val="74C04F97"/>
    <w:rsid w:val="767F0A66"/>
    <w:rsid w:val="796F4DDB"/>
    <w:rsid w:val="79AD002C"/>
    <w:rsid w:val="7AA223FC"/>
    <w:rsid w:val="7C417CDD"/>
    <w:rsid w:val="7F802872"/>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spacing w:line="360" w:lineRule="auto"/>
      <w:jc w:val="center"/>
      <w:outlineLvl w:val="0"/>
    </w:pPr>
    <w:rPr>
      <w:b/>
      <w:color w:val="000000"/>
      <w:sz w:val="32"/>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lang w:val="zh-CN"/>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toc 2"/>
    <w:basedOn w:val="1"/>
    <w:next w:val="1"/>
    <w:qFormat/>
    <w:uiPriority w:val="39"/>
    <w:pPr>
      <w:ind w:left="420" w:leftChars="200"/>
    </w:p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link w:val="35"/>
    <w:qFormat/>
    <w:uiPriority w:val="0"/>
    <w:pPr>
      <w:jc w:val="left"/>
    </w:pPr>
  </w:style>
  <w:style w:type="paragraph" w:styleId="10">
    <w:name w:val="Body Text Indent"/>
    <w:basedOn w:val="1"/>
    <w:qFormat/>
    <w:uiPriority w:val="0"/>
    <w:pPr>
      <w:spacing w:line="480" w:lineRule="exact"/>
      <w:ind w:firstLine="480" w:firstLineChars="200"/>
    </w:pPr>
    <w:rPr>
      <w:rFonts w:ascii="宋体" w:hAnsi="宋体"/>
      <w:sz w:val="24"/>
    </w:rPr>
  </w:style>
  <w:style w:type="paragraph" w:styleId="11">
    <w:name w:val="Plain Text"/>
    <w:basedOn w:val="1"/>
    <w:link w:val="33"/>
    <w:qFormat/>
    <w:uiPriority w:val="0"/>
    <w:rPr>
      <w:rFonts w:ascii="宋体" w:hAnsi="Courier New" w:cs="Arial"/>
      <w:snapToGrid w:val="0"/>
      <w:szCs w:val="21"/>
    </w:rPr>
  </w:style>
  <w:style w:type="paragraph" w:styleId="12">
    <w:name w:val="Balloon Text"/>
    <w:basedOn w:val="1"/>
    <w:link w:val="32"/>
    <w:qFormat/>
    <w:uiPriority w:val="0"/>
    <w:rPr>
      <w:sz w:val="18"/>
      <w:szCs w:val="18"/>
    </w:rPr>
  </w:style>
  <w:style w:type="paragraph" w:styleId="13">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4">
    <w:name w:val="header"/>
    <w:basedOn w:val="1"/>
    <w:link w:val="34"/>
    <w:qFormat/>
    <w:uiPriority w:val="99"/>
    <w:pPr>
      <w:tabs>
        <w:tab w:val="center" w:pos="4153"/>
        <w:tab w:val="right" w:pos="8306"/>
      </w:tabs>
      <w:snapToGrid w:val="0"/>
      <w:jc w:val="center"/>
    </w:pPr>
    <w:rPr>
      <w:rFonts w:asciiTheme="minorHAnsi" w:hAnsiTheme="minorHAnsi" w:cstheme="minorBidi"/>
      <w:sz w:val="18"/>
      <w:szCs w:val="18"/>
    </w:rPr>
  </w:style>
  <w:style w:type="paragraph" w:styleId="15">
    <w:name w:val="annotation subject"/>
    <w:basedOn w:val="9"/>
    <w:next w:val="9"/>
    <w:link w:val="36"/>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eastAsia="Arial"/>
    </w:rPr>
  </w:style>
  <w:style w:type="character" w:styleId="20">
    <w:name w:val="FollowedHyperlink"/>
    <w:basedOn w:val="18"/>
    <w:qFormat/>
    <w:uiPriority w:val="0"/>
    <w:rPr>
      <w:color w:val="5579A7"/>
      <w:u w:val="none"/>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basedOn w:val="18"/>
    <w:qFormat/>
    <w:uiPriority w:val="0"/>
    <w:rPr>
      <w:sz w:val="21"/>
      <w:szCs w:val="21"/>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2">
    <w:name w:val="批注框文本 字符"/>
    <w:basedOn w:val="18"/>
    <w:link w:val="12"/>
    <w:qFormat/>
    <w:uiPriority w:val="0"/>
    <w:rPr>
      <w:rFonts w:ascii="Times New Roman" w:hAnsi="Times New Roman" w:eastAsia="宋体" w:cs="Times New Roman"/>
      <w:kern w:val="2"/>
      <w:sz w:val="18"/>
      <w:szCs w:val="18"/>
    </w:rPr>
  </w:style>
  <w:style w:type="character" w:customStyle="1" w:styleId="33">
    <w:name w:val="纯文本 字符"/>
    <w:basedOn w:val="18"/>
    <w:link w:val="11"/>
    <w:qFormat/>
    <w:uiPriority w:val="0"/>
    <w:rPr>
      <w:rFonts w:ascii="宋体" w:hAnsi="Courier New" w:eastAsia="宋体" w:cs="Arial"/>
      <w:snapToGrid w:val="0"/>
      <w:kern w:val="2"/>
      <w:sz w:val="21"/>
      <w:szCs w:val="21"/>
    </w:rPr>
  </w:style>
  <w:style w:type="character" w:customStyle="1" w:styleId="34">
    <w:name w:val="页眉 字符"/>
    <w:link w:val="14"/>
    <w:qFormat/>
    <w:uiPriority w:val="99"/>
    <w:rPr>
      <w:rFonts w:eastAsia="宋体"/>
      <w:kern w:val="2"/>
      <w:sz w:val="18"/>
      <w:szCs w:val="18"/>
    </w:rPr>
  </w:style>
  <w:style w:type="character" w:customStyle="1" w:styleId="35">
    <w:name w:val="批注文字 字符"/>
    <w:basedOn w:val="18"/>
    <w:link w:val="9"/>
    <w:qFormat/>
    <w:uiPriority w:val="0"/>
    <w:rPr>
      <w:rFonts w:ascii="Times New Roman" w:hAnsi="Times New Roman" w:eastAsia="宋体" w:cs="Times New Roman"/>
      <w:kern w:val="2"/>
      <w:sz w:val="21"/>
      <w:szCs w:val="24"/>
    </w:rPr>
  </w:style>
  <w:style w:type="character" w:customStyle="1" w:styleId="36">
    <w:name w:val="批注主题 字符"/>
    <w:basedOn w:val="35"/>
    <w:link w:val="15"/>
    <w:qFormat/>
    <w:uiPriority w:val="0"/>
    <w:rPr>
      <w:rFonts w:ascii="Times New Roman" w:hAnsi="Times New Roman" w:eastAsia="宋体" w:cs="Times New Roman"/>
      <w:b/>
      <w:bCs/>
      <w:kern w:val="2"/>
      <w:sz w:val="21"/>
      <w:szCs w:val="24"/>
    </w:rPr>
  </w:style>
  <w:style w:type="paragraph" w:customStyle="1" w:styleId="37">
    <w:name w:val="p0"/>
    <w:basedOn w:val="1"/>
    <w:qFormat/>
    <w:uiPriority w:val="0"/>
    <w:pPr>
      <w:widowControl/>
      <w:adjustRightInd/>
    </w:pPr>
    <w:rPr>
      <w:kern w:val="0"/>
      <w:szCs w:val="21"/>
    </w:rPr>
  </w:style>
  <w:style w:type="paragraph" w:customStyle="1" w:styleId="38">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39">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
    <w:name w:val="索引 11"/>
    <w:basedOn w:val="1"/>
    <w:next w:val="1"/>
    <w:qFormat/>
    <w:uiPriority w:val="99"/>
    <w:pPr>
      <w:adjustRightInd/>
      <w:spacing w:line="360" w:lineRule="auto"/>
    </w:pPr>
    <w:rPr>
      <w:rFonts w:ascii="仿宋_GB2312" w:eastAsia="仿宋_GB2312"/>
      <w:sz w:val="24"/>
      <w:szCs w:val="20"/>
    </w:rPr>
  </w:style>
  <w:style w:type="paragraph" w:customStyle="1" w:styleId="4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2">
    <w:name w:val="纯文本1"/>
    <w:basedOn w:val="1"/>
    <w:qFormat/>
    <w:uiPriority w:val="0"/>
    <w:pPr>
      <w:adjustRightInd/>
    </w:pPr>
    <w:rPr>
      <w:rFonts w:ascii="宋体" w:hAnsi="Courier New"/>
      <w:kern w:val="0"/>
      <w:sz w:val="20"/>
      <w:szCs w:val="20"/>
    </w:rPr>
  </w:style>
  <w:style w:type="table" w:customStyle="1" w:styleId="43">
    <w:name w:val="网格型1"/>
    <w:basedOn w:val="16"/>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jbox-icon-info"/>
    <w:basedOn w:val="18"/>
    <w:qFormat/>
    <w:uiPriority w:val="0"/>
  </w:style>
  <w:style w:type="character" w:customStyle="1" w:styleId="46">
    <w:name w:val="jbox-icon-warning"/>
    <w:basedOn w:val="18"/>
    <w:qFormat/>
    <w:uiPriority w:val="0"/>
  </w:style>
  <w:style w:type="character" w:customStyle="1" w:styleId="47">
    <w:name w:val="jbox-icon-error"/>
    <w:basedOn w:val="18"/>
    <w:qFormat/>
    <w:uiPriority w:val="0"/>
  </w:style>
  <w:style w:type="character" w:customStyle="1" w:styleId="48">
    <w:name w:val="jbox-icon-question"/>
    <w:basedOn w:val="18"/>
    <w:qFormat/>
    <w:uiPriority w:val="0"/>
  </w:style>
  <w:style w:type="character" w:customStyle="1" w:styleId="49">
    <w:name w:val="jbox-icon"/>
    <w:basedOn w:val="18"/>
    <w:qFormat/>
    <w:uiPriority w:val="0"/>
  </w:style>
  <w:style w:type="character" w:customStyle="1" w:styleId="50">
    <w:name w:val="jbox-icon-success"/>
    <w:basedOn w:val="18"/>
    <w:qFormat/>
    <w:uiPriority w:val="0"/>
  </w:style>
  <w:style w:type="character" w:customStyle="1" w:styleId="51">
    <w:name w:val="jbox-icon-none"/>
    <w:basedOn w:val="18"/>
    <w:qFormat/>
    <w:uiPriority w:val="0"/>
    <w:rPr>
      <w:vanish/>
    </w:rPr>
  </w:style>
  <w:style w:type="character" w:customStyle="1" w:styleId="52">
    <w:name w:val="jbox-icon-loading"/>
    <w:basedOn w:val="18"/>
    <w:qFormat/>
    <w:uiPriority w:val="0"/>
  </w:style>
  <w:style w:type="character" w:customStyle="1" w:styleId="53">
    <w:name w:val="text"/>
    <w:basedOn w:val="18"/>
    <w:qFormat/>
    <w:uiPriority w:val="0"/>
  </w:style>
  <w:style w:type="paragraph" w:customStyle="1" w:styleId="54">
    <w:name w:val="null3"/>
    <w:qFormat/>
    <w:uiPriority w:val="0"/>
    <w:rPr>
      <w:rFonts w:hint="eastAsia" w:ascii="Calibri" w:hAnsi="Calibri" w:eastAsia="宋体" w:cs="Times New Roman"/>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9BF9B-AB29-4287-A7D5-557EDE10BE22}">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3437</Words>
  <Characters>3851</Characters>
  <Lines>336</Lines>
  <Paragraphs>94</Paragraphs>
  <TotalTime>98</TotalTime>
  <ScaleCrop>false</ScaleCrop>
  <LinksUpToDate>false</LinksUpToDate>
  <CharactersWithSpaces>4104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H~W</cp:lastModifiedBy>
  <dcterms:modified xsi:type="dcterms:W3CDTF">2025-07-16T07:02:40Z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70871699A8A64A4D84451434955ED42A_13</vt:lpwstr>
  </property>
  <property fmtid="{D5CDD505-2E9C-101B-9397-08002B2CF9AE}" pid="4" name="KSOTemplateDocerSaveRecord">
    <vt:lpwstr>eyJoZGlkIjoiOWY2MWFhYjZhNjc0Y2E5OTE1YjU3YTg1NTFhNjdlY2YiLCJ1c2VySWQiOiIzODI4Njk3MjUifQ==</vt:lpwstr>
  </property>
</Properties>
</file>