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5419">
      <w:pPr>
        <w:spacing w:line="360" w:lineRule="auto"/>
        <w:rPr>
          <w:rFonts w:ascii="宋体" w:hAnsi="宋体" w:cs="宋体"/>
          <w:b/>
          <w:color w:val="auto"/>
          <w:sz w:val="48"/>
          <w:szCs w:val="48"/>
          <w:highlight w:val="none"/>
        </w:rPr>
      </w:pPr>
    </w:p>
    <w:p w14:paraId="07E901D4">
      <w:pPr>
        <w:spacing w:line="360" w:lineRule="auto"/>
        <w:jc w:val="center"/>
        <w:rPr>
          <w:rFonts w:ascii="宋体" w:hAnsi="宋体" w:cs="宋体"/>
          <w:b/>
          <w:color w:val="auto"/>
          <w:sz w:val="48"/>
          <w:szCs w:val="48"/>
          <w:highlight w:val="none"/>
        </w:rPr>
      </w:pPr>
    </w:p>
    <w:p w14:paraId="616E3AD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杭州市财经职业学校税费计算与申报</w:t>
      </w:r>
    </w:p>
    <w:p w14:paraId="333B9B8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精品课程资源开发项目</w:t>
      </w:r>
    </w:p>
    <w:p w14:paraId="79BB6F52">
      <w:pPr>
        <w:adjustRightInd/>
        <w:spacing w:line="360" w:lineRule="auto"/>
        <w:jc w:val="center"/>
        <w:rPr>
          <w:rFonts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D35053E">
      <w:pPr>
        <w:snapToGrid w:val="0"/>
        <w:spacing w:line="360" w:lineRule="auto"/>
        <w:jc w:val="center"/>
        <w:rPr>
          <w:rFonts w:ascii="宋体" w:hAnsi="宋体" w:cs="宋体"/>
          <w:color w:val="auto"/>
          <w:sz w:val="30"/>
          <w:szCs w:val="30"/>
          <w:highlight w:val="none"/>
        </w:rPr>
      </w:pP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HZCJ-2025-009</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F8712C9">
      <w:pPr>
        <w:spacing w:line="360" w:lineRule="auto"/>
        <w:jc w:val="center"/>
        <w:rPr>
          <w:rFonts w:ascii="国标宋体" w:hAnsi="国标宋体" w:eastAsia="国标宋体" w:cs="国标宋体"/>
          <w:color w:val="auto"/>
          <w:sz w:val="32"/>
          <w:szCs w:val="32"/>
          <w:highlight w:val="none"/>
        </w:rPr>
      </w:pPr>
      <w:r>
        <w:rPr>
          <w:rFonts w:hint="eastAsia" w:ascii="国标宋体" w:hAnsi="国标宋体" w:eastAsia="国标宋体" w:cs="国标宋体"/>
          <w:color w:val="auto"/>
          <w:sz w:val="32"/>
          <w:szCs w:val="32"/>
          <w:highlight w:val="none"/>
        </w:rPr>
        <w:t>杭州市财经职业学校</w:t>
      </w:r>
    </w:p>
    <w:p w14:paraId="71B2EA4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浙江西建工程管理有限公司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二〇二五年六月</w:t>
      </w:r>
      <w:r>
        <w:rPr>
          <w:rFonts w:hint="eastAsia" w:ascii="宋体" w:hAnsi="宋体" w:cs="宋体"/>
          <w:bCs/>
          <w:color w:val="auto"/>
          <w:sz w:val="32"/>
          <w:szCs w:val="32"/>
          <w:highlight w:val="none"/>
          <w:lang w:val="en-US" w:eastAsia="zh-CN"/>
        </w:rPr>
        <w:t>二十七</w:t>
      </w:r>
      <w:bookmarkStart w:id="150" w:name="_GoBack"/>
      <w:bookmarkEnd w:id="150"/>
      <w:r>
        <w:rPr>
          <w:rFonts w:hint="eastAsia" w:ascii="宋体" w:hAnsi="宋体" w:cs="宋体"/>
          <w:bCs/>
          <w:color w:val="auto"/>
          <w:sz w:val="32"/>
          <w:szCs w:val="32"/>
          <w:highlight w:val="none"/>
        </w:rPr>
        <w:t>日</w:t>
      </w:r>
    </w:p>
    <w:p w14:paraId="3026EBEC">
      <w:pPr>
        <w:spacing w:line="360" w:lineRule="auto"/>
        <w:rPr>
          <w:rFonts w:ascii="宋体" w:hAnsi="宋体" w:cs="宋体"/>
          <w:b/>
          <w:color w:val="auto"/>
          <w:sz w:val="48"/>
          <w:szCs w:val="48"/>
          <w:highlight w:val="none"/>
        </w:rPr>
      </w:pPr>
    </w:p>
    <w:p w14:paraId="0A40726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ABE3E3">
      <w:pPr>
        <w:spacing w:line="360" w:lineRule="auto"/>
        <w:rPr>
          <w:rFonts w:ascii="宋体" w:hAnsi="宋体" w:cs="宋体"/>
          <w:color w:val="auto"/>
          <w:sz w:val="32"/>
          <w:szCs w:val="32"/>
          <w:highlight w:val="none"/>
        </w:rPr>
      </w:pPr>
    </w:p>
    <w:p w14:paraId="22093213">
      <w:pPr>
        <w:spacing w:line="360" w:lineRule="auto"/>
        <w:rPr>
          <w:rFonts w:ascii="宋体" w:hAnsi="宋体" w:cs="宋体"/>
          <w:color w:val="auto"/>
          <w:sz w:val="32"/>
          <w:szCs w:val="32"/>
          <w:highlight w:val="none"/>
        </w:rPr>
      </w:pPr>
    </w:p>
    <w:p w14:paraId="2F74384E">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559B6AF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71B69B1B">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1E2419B8">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1A0AF36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37298075">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4B137A6C">
      <w:pPr>
        <w:pStyle w:val="22"/>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7D437DB4">
      <w:pPr>
        <w:pStyle w:val="22"/>
        <w:spacing w:line="480" w:lineRule="auto"/>
        <w:ind w:firstLine="0" w:firstLineChars="0"/>
        <w:rPr>
          <w:color w:val="auto"/>
          <w:highlight w:val="none"/>
          <w:lang w:val="en-US"/>
        </w:rPr>
      </w:pPr>
    </w:p>
    <w:p w14:paraId="078CF6A9">
      <w:pPr>
        <w:spacing w:line="360" w:lineRule="auto"/>
        <w:rPr>
          <w:rFonts w:ascii="宋体" w:hAnsi="宋体" w:cs="宋体"/>
          <w:color w:val="auto"/>
          <w:sz w:val="32"/>
          <w:szCs w:val="32"/>
          <w:highlight w:val="none"/>
        </w:rPr>
      </w:pPr>
    </w:p>
    <w:p w14:paraId="5088CBF1">
      <w:pPr>
        <w:rPr>
          <w:color w:val="auto"/>
          <w:highlight w:val="none"/>
        </w:rPr>
      </w:pPr>
    </w:p>
    <w:p w14:paraId="0158B0A6">
      <w:pPr>
        <w:rPr>
          <w:color w:val="auto"/>
          <w:highlight w:val="none"/>
        </w:rPr>
      </w:pPr>
    </w:p>
    <w:p w14:paraId="2B06A660">
      <w:pPr>
        <w:pStyle w:val="22"/>
        <w:rPr>
          <w:color w:val="auto"/>
          <w:highlight w:val="none"/>
        </w:rPr>
      </w:pPr>
    </w:p>
    <w:p w14:paraId="6A97A859">
      <w:pPr>
        <w:pStyle w:val="22"/>
        <w:rPr>
          <w:color w:val="auto"/>
          <w:highlight w:val="none"/>
        </w:rPr>
      </w:pPr>
    </w:p>
    <w:p w14:paraId="4BCCFCC6">
      <w:pPr>
        <w:adjustRightInd/>
        <w:spacing w:line="360" w:lineRule="auto"/>
        <w:outlineLvl w:val="0"/>
        <w:rPr>
          <w:rFonts w:ascii="宋体" w:hAnsi="宋体" w:cs="宋体"/>
          <w:b/>
          <w:color w:val="auto"/>
          <w:sz w:val="36"/>
          <w:szCs w:val="20"/>
          <w:highlight w:val="none"/>
        </w:rPr>
      </w:pPr>
    </w:p>
    <w:p w14:paraId="73B6374A">
      <w:pPr>
        <w:adjustRightInd/>
        <w:spacing w:line="360" w:lineRule="auto"/>
        <w:ind w:firstLine="3614" w:firstLineChars="1000"/>
        <w:outlineLvl w:val="0"/>
        <w:rPr>
          <w:rFonts w:ascii="宋体" w:hAnsi="宋体" w:cs="宋体"/>
          <w:b/>
          <w:color w:val="auto"/>
          <w:sz w:val="36"/>
          <w:szCs w:val="20"/>
          <w:highlight w:val="none"/>
        </w:rPr>
      </w:pPr>
    </w:p>
    <w:p w14:paraId="402AD8FD">
      <w:pPr>
        <w:adjustRightInd/>
        <w:spacing w:line="360" w:lineRule="auto"/>
        <w:ind w:firstLine="3614" w:firstLineChars="1000"/>
        <w:outlineLvl w:val="0"/>
        <w:rPr>
          <w:rFonts w:ascii="宋体" w:hAnsi="宋体" w:cs="宋体"/>
          <w:b/>
          <w:color w:val="auto"/>
          <w:sz w:val="36"/>
          <w:szCs w:val="20"/>
          <w:highlight w:val="none"/>
        </w:rPr>
      </w:pPr>
    </w:p>
    <w:p w14:paraId="615DC728">
      <w:pPr>
        <w:adjustRightInd/>
        <w:spacing w:line="360" w:lineRule="auto"/>
        <w:ind w:firstLine="3614" w:firstLineChars="1000"/>
        <w:outlineLvl w:val="0"/>
        <w:rPr>
          <w:rFonts w:ascii="宋体" w:hAnsi="宋体" w:cs="宋体"/>
          <w:b/>
          <w:color w:val="auto"/>
          <w:sz w:val="36"/>
          <w:szCs w:val="20"/>
          <w:highlight w:val="none"/>
        </w:rPr>
      </w:pPr>
    </w:p>
    <w:p w14:paraId="7BA0A31C">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24B824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8C38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rPr>
        <w:t>杭州市财经职业学校税费计算与申报精品课程资源开发项目</w:t>
      </w:r>
      <w:r>
        <w:rPr>
          <w:rFonts w:hint="eastAsia" w:asciiTheme="minorEastAsia" w:hAnsiTheme="minorEastAsia" w:eastAsiaTheme="minorEastAsia"/>
          <w:color w:val="auto"/>
          <w:sz w:val="24"/>
          <w:highlight w:val="none"/>
        </w:rPr>
        <w:t>采购项目的潜在供应商应在杭州市教育局非依法招标（小额）获取（下载）招标文件，并于2025年07月</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0分00秒（北京时间）前递交（上传）投标文件。</w:t>
      </w:r>
    </w:p>
    <w:p w14:paraId="6D2772C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225E5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HZCJ-2025-009</w:t>
      </w:r>
    </w:p>
    <w:p w14:paraId="3A73F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杭州市财经职业学校税费计算与申报精品课程资源开发采购项目</w:t>
      </w:r>
    </w:p>
    <w:p w14:paraId="240993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预算金额（元）：300000</w:t>
      </w:r>
    </w:p>
    <w:p w14:paraId="3C3AA0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最高限价（元）：300000</w:t>
      </w:r>
    </w:p>
    <w:p w14:paraId="493C1B07">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b/>
          <w:bCs/>
          <w:color w:val="auto"/>
          <w:sz w:val="24"/>
          <w:highlight w:val="none"/>
        </w:rPr>
        <w:t>采购需求：</w:t>
      </w:r>
      <w:r>
        <w:rPr>
          <w:rFonts w:hint="eastAsia" w:cs="Arial" w:asciiTheme="minorEastAsia" w:hAnsiTheme="minorEastAsia" w:eastAsiaTheme="minorEastAsia"/>
          <w:color w:val="auto"/>
          <w:sz w:val="24"/>
          <w:highlight w:val="none"/>
        </w:rPr>
        <w:t>杭州市财经职业学校税费计算与申报精品课程资源开发采购项目主要内容：</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3C496B4C">
      <w:pPr>
        <w:pStyle w:val="24"/>
        <w:spacing w:before="0"/>
        <w:ind w:firstLine="489"/>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宋体" w:hAnsi="宋体" w:cs="仿宋"/>
          <w:color w:val="auto"/>
          <w:szCs w:val="24"/>
          <w:highlight w:val="none"/>
        </w:rPr>
        <w:t>在合同签订接校方开工通知后45</w:t>
      </w:r>
      <w:r>
        <w:rPr>
          <w:rFonts w:ascii="宋体" w:hAnsi="宋体" w:cs="仿宋"/>
          <w:color w:val="auto"/>
          <w:szCs w:val="24"/>
          <w:highlight w:val="none"/>
        </w:rPr>
        <w:t>个工作日内开发完成</w:t>
      </w:r>
      <w:r>
        <w:rPr>
          <w:rFonts w:hint="eastAsia" w:ascii="宋体" w:hAnsi="宋体" w:cs="仿宋"/>
          <w:color w:val="auto"/>
          <w:szCs w:val="24"/>
          <w:highlight w:val="none"/>
        </w:rPr>
        <w:t>。试运行后完成验收</w:t>
      </w:r>
      <w:r>
        <w:rPr>
          <w:rFonts w:hint="eastAsia" w:ascii="宋体" w:hAnsi="宋体" w:cs="宋体"/>
          <w:b/>
          <w:color w:val="auto"/>
          <w:highlight w:val="none"/>
        </w:rPr>
        <w:t>。</w:t>
      </w:r>
    </w:p>
    <w:p w14:paraId="05718733">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DA0458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10274F9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2FD419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66178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9A613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日止，每天上午00:00至12:00 ，下午12:00至23:59（北京时间，线上获取法定节假日均可）</w:t>
      </w:r>
    </w:p>
    <w:p w14:paraId="5B86261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地点（网址）：杭州市教育局非依法招标（小额）项目采购平台（https://hzjyg.lecaiyun.com/）</w:t>
      </w:r>
    </w:p>
    <w:p w14:paraId="2166A1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供应商登录杭州市教育局非依法招标（小额）项目采购平台（https://hzjyg.lecaiyun.com/）在线申请获取采购文件（进入“项目采购”应用，在获取采购文件菜单中选择项目，申请获取采购文件）。 </w:t>
      </w:r>
    </w:p>
    <w:p w14:paraId="0727EC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EEC35C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73DC08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BFDCAD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杭州市教育局非依法招标（小额）项目采购平台（https://hzjyg.lecaiyun.com/）</w:t>
      </w:r>
    </w:p>
    <w:p w14:paraId="6D8D993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（北京时间）</w:t>
      </w:r>
    </w:p>
    <w:p w14:paraId="3870004B">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杭州市教育局非依法招标（小额）项目采购平台（https://hzjyg.lecaiyun.com/）</w:t>
      </w:r>
    </w:p>
    <w:p w14:paraId="36C27774">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4B97BEF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5CF7C0D8">
      <w:pPr>
        <w:spacing w:line="360" w:lineRule="auto"/>
        <w:rPr>
          <w:rFonts w:hAnsi="宋体" w:cs="宋体"/>
          <w:bCs/>
          <w:color w:val="auto"/>
          <w:sz w:val="24"/>
          <w:highlight w:val="none"/>
        </w:rPr>
      </w:pPr>
      <w:r>
        <w:rPr>
          <w:rFonts w:hint="eastAsia" w:hAnsi="宋体" w:cs="宋体"/>
          <w:bCs/>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杭州市教育局非依法招标（小额）项目采购平台下载专区下载。</w:t>
      </w:r>
    </w:p>
    <w:p w14:paraId="3768651E">
      <w:pPr>
        <w:spacing w:line="360" w:lineRule="auto"/>
        <w:rPr>
          <w:rFonts w:hAnsi="宋体" w:cs="宋体"/>
          <w:bCs/>
          <w:color w:val="auto"/>
          <w:sz w:val="24"/>
          <w:highlight w:val="none"/>
        </w:rPr>
      </w:pPr>
      <w:r>
        <w:rPr>
          <w:rFonts w:hint="eastAsia" w:hAnsi="宋体" w:cs="宋体"/>
          <w:bCs/>
          <w:color w:val="auto"/>
          <w:sz w:val="24"/>
          <w:highlight w:val="none"/>
        </w:rPr>
        <w:t>2.其他事项：</w:t>
      </w:r>
    </w:p>
    <w:p w14:paraId="2C86774D">
      <w:pPr>
        <w:spacing w:line="360" w:lineRule="auto"/>
        <w:rPr>
          <w:rFonts w:hAnsi="宋体" w:cs="宋体"/>
          <w:bCs/>
          <w:color w:val="auto"/>
          <w:sz w:val="24"/>
          <w:highlight w:val="none"/>
        </w:rPr>
      </w:pPr>
      <w:r>
        <w:rPr>
          <w:rFonts w:hint="eastAsia" w:hAnsi="宋体" w:cs="宋体"/>
          <w:bCs/>
          <w:color w:val="auto"/>
          <w:sz w:val="24"/>
          <w:highlight w:val="none"/>
        </w:rPr>
        <w:t>（1）需要落实的采购政策：包括节约资源、保护环境、支持创新、促进中小企业发展等。详见招标文件的第二部分总则。</w:t>
      </w:r>
    </w:p>
    <w:p w14:paraId="1B2D61C4">
      <w:pPr>
        <w:spacing w:line="360" w:lineRule="auto"/>
        <w:rPr>
          <w:rFonts w:hAnsi="宋体" w:cs="宋体"/>
          <w:bCs/>
          <w:color w:val="auto"/>
          <w:sz w:val="24"/>
          <w:highlight w:val="none"/>
        </w:rPr>
      </w:pPr>
      <w:r>
        <w:rPr>
          <w:rFonts w:hint="eastAsia" w:hAnsi="宋体" w:cs="宋体"/>
          <w:bCs/>
          <w:color w:val="auto"/>
          <w:sz w:val="24"/>
          <w:highlight w:val="none"/>
        </w:rPr>
        <w:t>（2）电子招投标的说明：①电子招投标：本项目以数据电文形式，依托“杭州市教育局非依法招标（小额）项目采购平台（https://hzjyg.lecaiyun.com）”进行招投标活动，不接受纸质投标文件；②投标准备：注册账号--点击“商家入驻”，进行供应商资料填写；申领CA数字证书---申领流程详见“杭州市教育局非依法招标（小额）项目采购平台-下载专区-电子交易客户端-CA驱动和申领流程”；安装“电子交易客户端”----前往“杭州市教育局非依法招标（小额）项目采购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电子交易客户端”中完成“填写基本信息”、“导入投标文件”、“标书关联”、“标书检查”、“电子签名”、“生成电子标书”等操作；⑤采购人、采购代理机构将依托杭州市教育局非依法招标（小额）项目采购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杭州市教育局非依法招标（小额）项目采购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杭州市教育局非依法招标（小额）项目采购平台”上传递交的投标文件无法按时解密，投标供应商递交了备份投标文件的，以备份投标文件为依据，否则视为投标文件撤回。通过“杭州市教育局非依法招标（小额）项目采购平台”上传递交的投标文件已按时解密的，备份投标文件自动失效。投标人仅提交备份投标文件，未在电子交易平台传输递交投标文件的，投标无效；⑩具体操作指南：详见杭州市教育局非依法招标（小额）项目采购平台“服务中心-帮助文档-项目采购-操作流程-电子招投标-项目电子交易管理操作指南-供应商”。</w:t>
      </w:r>
    </w:p>
    <w:p w14:paraId="20943839">
      <w:pPr>
        <w:spacing w:line="360" w:lineRule="auto"/>
        <w:rPr>
          <w:rFonts w:hAnsi="宋体" w:cs="宋体"/>
          <w:bCs/>
          <w:color w:val="auto"/>
          <w:sz w:val="24"/>
          <w:highlight w:val="none"/>
        </w:rPr>
      </w:pPr>
      <w:r>
        <w:rPr>
          <w:rFonts w:hint="eastAsia" w:hAnsi="宋体" w:cs="宋体"/>
          <w:bCs/>
          <w:color w:val="auto"/>
          <w:sz w:val="24"/>
          <w:highlight w:val="none"/>
        </w:rPr>
        <w:t>（3）招标文件公告期限与招标公告的公告期限一致。</w:t>
      </w:r>
    </w:p>
    <w:p w14:paraId="7EA1A1C4">
      <w:pPr>
        <w:snapToGrid w:val="0"/>
        <w:spacing w:line="360" w:lineRule="auto"/>
        <w:rPr>
          <w:rFonts w:ascii="宋体" w:hAnsi="宋体" w:cs="宋体"/>
          <w:color w:val="auto"/>
          <w:sz w:val="24"/>
          <w:highlight w:val="none"/>
        </w:rPr>
      </w:pPr>
    </w:p>
    <w:p w14:paraId="6BED090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0F6A9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1、名    称：杭州市财经职业学校</w:t>
      </w:r>
    </w:p>
    <w:p w14:paraId="533F12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址：杭州市滨江区滨文路225号</w:t>
      </w:r>
    </w:p>
    <w:p w14:paraId="07BF90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7A698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项目联系人（询问）：倪老师    </w:t>
      </w:r>
    </w:p>
    <w:p w14:paraId="4493D7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项目联系方式（询问）：0571-86084803    </w:t>
      </w:r>
    </w:p>
    <w:p w14:paraId="39E636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质疑联系人：李老师        </w:t>
      </w:r>
    </w:p>
    <w:p w14:paraId="30278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质疑联系方式：0571-86084803   </w:t>
      </w:r>
    </w:p>
    <w:p w14:paraId="7388CA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2、采购代理机构：浙江西建工程管理有限公司</w:t>
      </w:r>
    </w:p>
    <w:p w14:paraId="6C218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公司地址：杭州市西湖区教工路199号保亭综合楼308室 </w:t>
      </w:r>
    </w:p>
    <w:p w14:paraId="7A459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联系人：宦工  </w:t>
      </w:r>
    </w:p>
    <w:p w14:paraId="68AB49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联系电话：18626895360</w:t>
      </w:r>
    </w:p>
    <w:p w14:paraId="0BC6DF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606EA9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质疑联系人：徐工</w:t>
      </w:r>
    </w:p>
    <w:p w14:paraId="73207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联系电话：15724999487  </w:t>
      </w:r>
    </w:p>
    <w:p w14:paraId="4BA3976D">
      <w:pPr>
        <w:snapToGrid w:val="0"/>
        <w:spacing w:line="360" w:lineRule="auto"/>
        <w:ind w:firstLine="480" w:firstLineChars="200"/>
        <w:rPr>
          <w:rFonts w:ascii="宋体" w:hAnsi="宋体" w:cs="宋体"/>
          <w:color w:val="auto"/>
          <w:sz w:val="24"/>
          <w:highlight w:val="none"/>
        </w:rPr>
      </w:pPr>
      <w:bookmarkStart w:id="1" w:name="_Toc28359087"/>
      <w:bookmarkStart w:id="2" w:name="_Toc28359010"/>
      <w:r>
        <w:rPr>
          <w:rFonts w:hint="eastAsia" w:ascii="宋体" w:hAnsi="宋体" w:cs="宋体"/>
          <w:color w:val="auto"/>
          <w:sz w:val="24"/>
          <w:highlight w:val="none"/>
        </w:rPr>
        <w:t>3</w:t>
      </w:r>
      <w:bookmarkEnd w:id="1"/>
      <w:bookmarkEnd w:id="2"/>
      <w:r>
        <w:rPr>
          <w:rFonts w:hint="eastAsia" w:ascii="宋体" w:hAnsi="宋体" w:cs="宋体"/>
          <w:color w:val="auto"/>
          <w:sz w:val="24"/>
          <w:highlight w:val="none"/>
        </w:rPr>
        <w:t>、监督管理部门信息</w:t>
      </w:r>
    </w:p>
    <w:p w14:paraId="276886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称：杭州市财经职业学校</w:t>
      </w:r>
    </w:p>
    <w:p w14:paraId="4C91A5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址：杭州市滨江区滨文路225号</w:t>
      </w:r>
    </w:p>
    <w:p w14:paraId="79C579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真：0571-86084938</w:t>
      </w:r>
    </w:p>
    <w:p w14:paraId="384D32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联系人：王老师        </w:t>
      </w:r>
    </w:p>
    <w:p w14:paraId="55A45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监督投诉电话：0571-87078136</w:t>
      </w:r>
    </w:p>
    <w:p w14:paraId="0F174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杭州市教育局非依法招标（小额）项目采购平台（https://hzjyg.lecaiyun.com/），点击右侧咨询小采，获取采小蜜智能服务管家帮助，或拨打乐采云有限公司服务热线95763获取热线服务帮助。</w:t>
      </w:r>
    </w:p>
    <w:p w14:paraId="51F9E0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07ACC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383DDD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B4617A">
      <w:pPr>
        <w:pStyle w:val="9"/>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55CE9F74">
      <w:pPr>
        <w:adjustRightInd/>
        <w:spacing w:line="360" w:lineRule="auto"/>
        <w:jc w:val="center"/>
        <w:outlineLvl w:val="0"/>
        <w:rPr>
          <w:rFonts w:ascii="宋体" w:hAnsi="宋体" w:cs="宋体"/>
          <w:b/>
          <w:color w:val="auto"/>
          <w:sz w:val="36"/>
          <w:szCs w:val="20"/>
          <w:highlight w:val="none"/>
        </w:rPr>
      </w:pPr>
      <w:bookmarkStart w:id="3" w:name="_Toc273624872"/>
      <w:bookmarkStart w:id="4" w:name="_Toc1460"/>
      <w:bookmarkStart w:id="5" w:name="_Toc20025"/>
      <w:r>
        <w:rPr>
          <w:rFonts w:hint="eastAsia" w:ascii="宋体" w:hAnsi="宋体" w:cs="宋体"/>
          <w:b/>
          <w:color w:val="auto"/>
          <w:sz w:val="36"/>
          <w:szCs w:val="20"/>
          <w:highlight w:val="none"/>
        </w:rPr>
        <w:t xml:space="preserve">第二章  </w:t>
      </w:r>
      <w:bookmarkEnd w:id="3"/>
      <w:r>
        <w:rPr>
          <w:rFonts w:hint="eastAsia" w:ascii="宋体" w:hAnsi="宋体" w:cs="宋体"/>
          <w:b/>
          <w:color w:val="auto"/>
          <w:sz w:val="36"/>
          <w:szCs w:val="20"/>
          <w:highlight w:val="none"/>
        </w:rPr>
        <w:t>供应商须知</w:t>
      </w:r>
    </w:p>
    <w:p w14:paraId="57341D9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4"/>
      <w:bookmarkEnd w:id="5"/>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47"/>
        <w:gridCol w:w="7252"/>
      </w:tblGrid>
      <w:tr w14:paraId="22D56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685" w:type="dxa"/>
            <w:tcBorders>
              <w:tl2br w:val="nil"/>
              <w:tr2bl w:val="nil"/>
            </w:tcBorders>
          </w:tcPr>
          <w:p w14:paraId="7C76CAC0">
            <w:pPr>
              <w:pStyle w:val="35"/>
              <w:widowControl w:val="0"/>
              <w:spacing w:line="460" w:lineRule="exact"/>
              <w:jc w:val="center"/>
              <w:rPr>
                <w:rFonts w:ascii="宋体" w:hAnsi="宋体" w:cs="宋体"/>
                <w:b/>
                <w:bCs/>
                <w:color w:val="auto"/>
                <w:highlight w:val="none"/>
              </w:rPr>
            </w:pPr>
            <w:bookmarkStart w:id="6" w:name="_Toc82338238"/>
            <w:bookmarkStart w:id="7" w:name="_Toc82873321"/>
            <w:bookmarkStart w:id="8" w:name="_Toc10541"/>
            <w:bookmarkStart w:id="9" w:name="_Toc204"/>
            <w:bookmarkStart w:id="10" w:name="_Toc211745567"/>
            <w:r>
              <w:rPr>
                <w:rFonts w:hint="eastAsia" w:ascii="宋体" w:hAnsi="宋体" w:cs="宋体"/>
                <w:b/>
                <w:bCs/>
                <w:color w:val="auto"/>
                <w:highlight w:val="none"/>
              </w:rPr>
              <w:t>序号</w:t>
            </w:r>
          </w:p>
        </w:tc>
        <w:tc>
          <w:tcPr>
            <w:tcW w:w="1747" w:type="dxa"/>
            <w:tcBorders>
              <w:tl2br w:val="nil"/>
              <w:tr2bl w:val="nil"/>
            </w:tcBorders>
          </w:tcPr>
          <w:p w14:paraId="4188E241">
            <w:pPr>
              <w:pStyle w:val="35"/>
              <w:widowControl w:val="0"/>
              <w:spacing w:line="460" w:lineRule="exact"/>
              <w:jc w:val="center"/>
              <w:rPr>
                <w:rFonts w:ascii="宋体" w:hAnsi="宋体" w:cs="宋体"/>
                <w:b/>
                <w:bCs/>
                <w:color w:val="auto"/>
                <w:highlight w:val="none"/>
                <w:lang w:val="zh-TW"/>
              </w:rPr>
            </w:pPr>
            <w:r>
              <w:rPr>
                <w:rFonts w:hint="eastAsia" w:ascii="宋体" w:hAnsi="宋体" w:cs="宋体"/>
                <w:b/>
                <w:bCs/>
                <w:color w:val="auto"/>
                <w:highlight w:val="none"/>
              </w:rPr>
              <w:t>事项</w:t>
            </w:r>
          </w:p>
        </w:tc>
        <w:tc>
          <w:tcPr>
            <w:tcW w:w="7252" w:type="dxa"/>
            <w:tcBorders>
              <w:tl2br w:val="nil"/>
              <w:tr2bl w:val="nil"/>
            </w:tcBorders>
          </w:tcPr>
          <w:p w14:paraId="51A6456E">
            <w:pPr>
              <w:pStyle w:val="35"/>
              <w:widowControl w:val="0"/>
              <w:spacing w:line="460" w:lineRule="exact"/>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106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44D4944">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1747" w:type="dxa"/>
            <w:tcBorders>
              <w:tl2br w:val="nil"/>
              <w:tr2bl w:val="nil"/>
            </w:tcBorders>
            <w:vAlign w:val="center"/>
          </w:tcPr>
          <w:p w14:paraId="4D7A2F65">
            <w:pPr>
              <w:pStyle w:val="35"/>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项目属性与核心产品</w:t>
            </w:r>
          </w:p>
        </w:tc>
        <w:tc>
          <w:tcPr>
            <w:tcW w:w="7252" w:type="dxa"/>
            <w:tcBorders>
              <w:tl2br w:val="nil"/>
              <w:tr2bl w:val="nil"/>
            </w:tcBorders>
            <w:vAlign w:val="center"/>
          </w:tcPr>
          <w:p w14:paraId="07551670">
            <w:pPr>
              <w:pStyle w:val="35"/>
              <w:widowControl w:val="0"/>
              <w:spacing w:line="460" w:lineRule="exact"/>
              <w:rPr>
                <w:rFonts w:ascii="宋体" w:hAnsi="宋体" w:cs="宋体"/>
                <w:color w:val="auto"/>
                <w:kern w:val="2"/>
                <w:highlight w:val="none"/>
                <w:lang w:val="zh-TW" w:eastAsia="zh-TW"/>
              </w:rPr>
            </w:pPr>
            <w:r>
              <w:rPr>
                <w:rFonts w:hint="eastAsia" w:ascii="宋体" w:hAnsi="宋体" w:cs="宋体"/>
                <w:color w:val="auto"/>
                <w:highlight w:val="none"/>
              </w:rPr>
              <w:t>服务</w:t>
            </w:r>
            <w:r>
              <w:rPr>
                <w:rFonts w:hint="eastAsia" w:ascii="宋体" w:hAnsi="宋体" w:cs="宋体"/>
                <w:color w:val="auto"/>
                <w:highlight w:val="none"/>
                <w:lang w:val="zh-TW"/>
              </w:rPr>
              <w:t>类。</w:t>
            </w:r>
          </w:p>
        </w:tc>
      </w:tr>
      <w:tr w14:paraId="33141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B2FEF0A">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1747" w:type="dxa"/>
            <w:tcBorders>
              <w:tl2br w:val="nil"/>
              <w:tr2bl w:val="nil"/>
            </w:tcBorders>
            <w:vAlign w:val="center"/>
          </w:tcPr>
          <w:p w14:paraId="3399F362">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采购标的对应的中小企业划分标准所属行业</w:t>
            </w:r>
          </w:p>
        </w:tc>
        <w:tc>
          <w:tcPr>
            <w:tcW w:w="7252" w:type="dxa"/>
            <w:tcBorders>
              <w:tl2br w:val="nil"/>
              <w:tr2bl w:val="nil"/>
            </w:tcBorders>
            <w:vAlign w:val="center"/>
          </w:tcPr>
          <w:p w14:paraId="29380E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杭州市财经职业学校税费计算与申报精品课程资源开发项目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软件和信息技术服务业  </w:t>
            </w:r>
            <w:r>
              <w:rPr>
                <w:rFonts w:hint="eastAsia" w:ascii="宋体" w:hAnsi="宋体" w:cs="宋体"/>
                <w:color w:val="auto"/>
                <w:kern w:val="0"/>
                <w:sz w:val="24"/>
                <w:highlight w:val="none"/>
              </w:rPr>
              <w:t>行业；</w:t>
            </w:r>
          </w:p>
          <w:p w14:paraId="164D077B">
            <w:pPr>
              <w:pStyle w:val="35"/>
              <w:widowControl w:val="0"/>
              <w:spacing w:line="460" w:lineRule="exact"/>
              <w:rPr>
                <w:rFonts w:ascii="宋体" w:hAnsi="宋体" w:cs="宋体"/>
                <w:color w:val="auto"/>
                <w:kern w:val="2"/>
                <w:highlight w:val="none"/>
              </w:rPr>
            </w:pPr>
            <w:r>
              <w:rPr>
                <w:rFonts w:hint="eastAsia" w:ascii="宋体" w:hAnsi="宋体" w:cs="宋体"/>
                <w:color w:val="auto"/>
                <w:sz w:val="24"/>
                <w:szCs w:val="24"/>
                <w:highlight w:val="none"/>
              </w:rPr>
              <w:t>根据《关于印发中小企业划型标准规定的通知》（工信部联企业〔2011〕300号）第四条规定：</w:t>
            </w:r>
            <w:r>
              <w:rPr>
                <w:rFonts w:hint="eastAsia" w:ascii="宋体" w:hAnsi="宋体" w:cs="宋体"/>
                <w:color w:val="auto"/>
                <w:sz w:val="24"/>
                <w:highlight w:val="none"/>
              </w:rPr>
              <w:t>软件和信息技术服务业</w:t>
            </w:r>
            <w:r>
              <w:rPr>
                <w:rFonts w:hint="eastAsia" w:ascii="宋体" w:hAnsi="宋体" w:cs="宋体"/>
                <w:color w:val="auto"/>
                <w:sz w:val="24"/>
                <w:szCs w:val="24"/>
                <w:highlight w:val="none"/>
              </w:rPr>
              <w:t>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FFE0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161191A">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1747" w:type="dxa"/>
            <w:tcBorders>
              <w:tl2br w:val="nil"/>
              <w:tr2bl w:val="nil"/>
            </w:tcBorders>
            <w:vAlign w:val="center"/>
          </w:tcPr>
          <w:p w14:paraId="0F3CF70B">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是否允许采购进口产品</w:t>
            </w:r>
          </w:p>
        </w:tc>
        <w:tc>
          <w:tcPr>
            <w:tcW w:w="7252" w:type="dxa"/>
            <w:tcBorders>
              <w:tl2br w:val="nil"/>
              <w:tr2bl w:val="nil"/>
            </w:tcBorders>
            <w:vAlign w:val="center"/>
          </w:tcPr>
          <w:p w14:paraId="0D8B1C79">
            <w:pPr>
              <w:pStyle w:val="35"/>
              <w:widowControl w:val="0"/>
              <w:spacing w:line="460" w:lineRule="exact"/>
              <w:rPr>
                <w:rFonts w:ascii="宋体" w:hAnsi="宋体" w:cs="宋体"/>
                <w:color w:val="auto"/>
                <w:kern w:val="2"/>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本项目不允许采购进口产品。</w:t>
            </w:r>
          </w:p>
        </w:tc>
      </w:tr>
      <w:tr w14:paraId="387E9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957A259">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1747" w:type="dxa"/>
            <w:tcBorders>
              <w:tl2br w:val="nil"/>
              <w:tr2bl w:val="nil"/>
            </w:tcBorders>
            <w:vAlign w:val="center"/>
          </w:tcPr>
          <w:p w14:paraId="798A02F1">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分包</w:t>
            </w:r>
          </w:p>
        </w:tc>
        <w:tc>
          <w:tcPr>
            <w:tcW w:w="7252" w:type="dxa"/>
            <w:tcBorders>
              <w:tl2br w:val="nil"/>
              <w:tr2bl w:val="nil"/>
            </w:tcBorders>
            <w:vAlign w:val="center"/>
          </w:tcPr>
          <w:p w14:paraId="06131B13">
            <w:pPr>
              <w:spacing w:line="360" w:lineRule="auto"/>
              <w:rPr>
                <w:rFonts w:ascii="宋体" w:hAnsi="宋体" w:cs="宋体"/>
                <w:color w:val="auto"/>
                <w:kern w:val="0"/>
                <w:szCs w:val="21"/>
                <w:highlight w:val="none"/>
                <w:lang w:val="zh-TW"/>
              </w:rPr>
            </w:pPr>
            <w:sdt>
              <w:sdtPr>
                <w:rPr>
                  <w:rFonts w:hint="eastAsia" w:ascii="宋体" w:hAnsi="宋体" w:cs="宋体"/>
                  <w:color w:val="auto"/>
                  <w:kern w:val="0"/>
                  <w:szCs w:val="21"/>
                  <w:highlight w:val="none"/>
                  <w:lang w:val="zh-TW"/>
                </w:rPr>
                <w:id w:val="546541237"/>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val="zh-TW"/>
                </w:rPr>
              </w:sdtEndPr>
              <w:sdtContent>
                <w:r>
                  <w:rPr>
                    <w:rFonts w:hint="eastAsia" w:ascii="MS Gothic" w:hAnsi="MS Gothic" w:cs="宋体"/>
                    <w:color w:val="auto"/>
                    <w:kern w:val="0"/>
                    <w:szCs w:val="21"/>
                    <w:highlight w:val="none"/>
                    <w:lang w:val="zh-TW"/>
                  </w:rPr>
                  <w:t>☐</w:t>
                </w:r>
              </w:sdtContent>
            </w:sdt>
            <w:r>
              <w:rPr>
                <w:rFonts w:hint="eastAsia" w:ascii="宋体" w:hAnsi="宋体" w:cs="宋体"/>
                <w:color w:val="auto"/>
                <w:kern w:val="0"/>
                <w:szCs w:val="21"/>
                <w:highlight w:val="none"/>
                <w:lang w:val="zh-TW"/>
              </w:rPr>
              <w:t xml:space="preserve"> A同意将非主体、非关键性的</w:t>
            </w:r>
            <w:r>
              <w:rPr>
                <w:rFonts w:hint="eastAsia" w:ascii="宋体" w:hAnsi="宋体" w:cs="宋体"/>
                <w:color w:val="auto"/>
                <w:kern w:val="0"/>
                <w:szCs w:val="21"/>
                <w:highlight w:val="none"/>
                <w:u w:val="single"/>
                <w:lang w:val="zh-TW"/>
              </w:rPr>
              <w:t xml:space="preserve">            </w:t>
            </w:r>
            <w:r>
              <w:rPr>
                <w:rFonts w:hint="eastAsia" w:ascii="宋体" w:hAnsi="宋体" w:cs="宋体"/>
                <w:color w:val="auto"/>
                <w:kern w:val="0"/>
                <w:szCs w:val="21"/>
                <w:highlight w:val="none"/>
                <w:lang w:val="zh-TW"/>
              </w:rPr>
              <w:t xml:space="preserve"> 工作分包。</w:t>
            </w:r>
          </w:p>
          <w:p w14:paraId="2FE069BD">
            <w:pPr>
              <w:spacing w:line="360" w:lineRule="auto"/>
              <w:rPr>
                <w:rFonts w:ascii="宋体" w:hAnsi="宋体" w:cs="宋体"/>
                <w:color w:val="auto"/>
                <w:kern w:val="0"/>
                <w:szCs w:val="21"/>
                <w:highlight w:val="none"/>
                <w:lang w:val="zh-TW"/>
              </w:rPr>
            </w:pPr>
            <w:sdt>
              <w:sdtPr>
                <w:rPr>
                  <w:rFonts w:hint="eastAsia" w:ascii="宋体" w:hAnsi="宋体" w:cs="宋体"/>
                  <w:color w:val="auto"/>
                  <w:kern w:val="0"/>
                  <w:szCs w:val="21"/>
                  <w:highlight w:val="none"/>
                  <w:lang w:val="zh-TW"/>
                </w:rPr>
                <w:id w:val="681655650"/>
                <w14:checkbox>
                  <w14:checked w14:val="1"/>
                  <w14:checkedState w14:val="00FE" w14:font="Wingdings"/>
                  <w14:uncheckedState w14:val="2610" w14:font="MS Gothic"/>
                </w14:checkbox>
              </w:sdtPr>
              <w:sdtEndPr>
                <w:rPr>
                  <w:rFonts w:hint="eastAsia" w:ascii="宋体" w:hAnsi="宋体" w:cs="宋体"/>
                  <w:color w:val="auto"/>
                  <w:kern w:val="0"/>
                  <w:szCs w:val="21"/>
                  <w:highlight w:val="none"/>
                  <w:lang w:val="zh-TW"/>
                </w:rPr>
              </w:sdtEndPr>
              <w:sdtContent>
                <w:r>
                  <w:rPr>
                    <w:rFonts w:hint="eastAsia" w:ascii="Wingdings" w:hAnsi="Wingdings" w:cs="宋体"/>
                    <w:color w:val="auto"/>
                    <w:kern w:val="0"/>
                    <w:szCs w:val="21"/>
                    <w:highlight w:val="none"/>
                    <w:lang w:val="zh-TW"/>
                  </w:rPr>
                  <w:t>þ</w:t>
                </w:r>
              </w:sdtContent>
            </w:sdt>
            <w:r>
              <w:rPr>
                <w:rFonts w:hint="eastAsia" w:ascii="宋体" w:hAnsi="宋体" w:cs="宋体"/>
                <w:color w:val="auto"/>
                <w:kern w:val="0"/>
                <w:szCs w:val="21"/>
                <w:highlight w:val="none"/>
                <w:lang w:val="zh-TW"/>
              </w:rPr>
              <w:t xml:space="preserve"> B不同意分包。</w:t>
            </w:r>
          </w:p>
          <w:p w14:paraId="62B8BF00">
            <w:pPr>
              <w:pStyle w:val="35"/>
              <w:widowControl w:val="0"/>
              <w:spacing w:line="460" w:lineRule="exact"/>
              <w:rPr>
                <w:rFonts w:ascii="宋体" w:hAnsi="宋体" w:cs="宋体"/>
                <w:color w:val="auto"/>
                <w:kern w:val="2"/>
                <w:highlight w:val="none"/>
              </w:rPr>
            </w:pPr>
            <w:r>
              <w:rPr>
                <w:rFonts w:hint="eastAsia" w:ascii="宋体" w:hAnsi="宋体" w:cs="宋体"/>
                <w:color w:val="auto"/>
                <w:highlight w:val="none"/>
                <w:lang w:val="zh-TW"/>
              </w:rPr>
              <w:t>注：不得限制大中型企业向小微企业合理分包</w:t>
            </w:r>
          </w:p>
        </w:tc>
      </w:tr>
      <w:tr w14:paraId="5CD94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264B3F3D">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1747" w:type="dxa"/>
            <w:tcBorders>
              <w:tl2br w:val="nil"/>
              <w:tr2bl w:val="nil"/>
            </w:tcBorders>
            <w:vAlign w:val="center"/>
          </w:tcPr>
          <w:p w14:paraId="683BC3B8">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开标前答疑会或现场考察</w:t>
            </w:r>
          </w:p>
        </w:tc>
        <w:tc>
          <w:tcPr>
            <w:tcW w:w="7252" w:type="dxa"/>
            <w:tcBorders>
              <w:tl2br w:val="nil"/>
              <w:tr2bl w:val="nil"/>
            </w:tcBorders>
            <w:vAlign w:val="center"/>
          </w:tcPr>
          <w:p w14:paraId="181A041D">
            <w:pPr>
              <w:pStyle w:val="35"/>
              <w:widowControl w:val="0"/>
              <w:spacing w:line="460" w:lineRule="exact"/>
              <w:rPr>
                <w:rFonts w:ascii="宋体" w:hAnsi="宋体" w:cs="宋体"/>
                <w:color w:val="auto"/>
                <w:kern w:val="2"/>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A不组织。</w:t>
            </w:r>
            <w:r>
              <w:rPr>
                <w:rFonts w:hint="eastAsia" w:ascii="宋体" w:hAnsi="宋体" w:cs="宋体"/>
                <w:color w:val="auto"/>
                <w:highlight w:val="none"/>
              </w:rPr>
              <w:t>如需，可自行前往</w:t>
            </w:r>
            <w:r>
              <w:rPr>
                <w:rFonts w:hint="eastAsia" w:ascii="宋体" w:hAnsi="宋体" w:cs="宋体"/>
                <w:color w:val="auto"/>
                <w:highlight w:val="none"/>
                <w:lang w:val="zh-TW"/>
              </w:rPr>
              <w:t>。</w:t>
            </w:r>
          </w:p>
        </w:tc>
      </w:tr>
      <w:tr w14:paraId="5AE3F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9DB7EB1">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1747" w:type="dxa"/>
            <w:tcBorders>
              <w:tl2br w:val="nil"/>
              <w:tr2bl w:val="nil"/>
            </w:tcBorders>
            <w:vAlign w:val="center"/>
          </w:tcPr>
          <w:p w14:paraId="75CDA2A4">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样品提供</w:t>
            </w:r>
          </w:p>
        </w:tc>
        <w:tc>
          <w:tcPr>
            <w:tcW w:w="7252" w:type="dxa"/>
            <w:tcBorders>
              <w:tl2br w:val="nil"/>
              <w:tr2bl w:val="nil"/>
            </w:tcBorders>
            <w:vAlign w:val="center"/>
          </w:tcPr>
          <w:p w14:paraId="2BE875EB">
            <w:pPr>
              <w:pStyle w:val="35"/>
              <w:widowControl w:val="0"/>
              <w:spacing w:line="460" w:lineRule="exact"/>
              <w:rPr>
                <w:rFonts w:ascii="宋体" w:hAnsi="宋体" w:cs="宋体"/>
                <w:color w:val="auto"/>
                <w:kern w:val="2"/>
                <w:highlight w:val="none"/>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A不要求提供。</w:t>
            </w:r>
          </w:p>
        </w:tc>
      </w:tr>
      <w:tr w14:paraId="20741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700851">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1747" w:type="dxa"/>
            <w:tcBorders>
              <w:tl2br w:val="nil"/>
              <w:tr2bl w:val="nil"/>
            </w:tcBorders>
            <w:vAlign w:val="center"/>
          </w:tcPr>
          <w:p w14:paraId="21FCC98A">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方案讲解演示</w:t>
            </w:r>
          </w:p>
        </w:tc>
        <w:tc>
          <w:tcPr>
            <w:tcW w:w="7252" w:type="dxa"/>
            <w:tcBorders>
              <w:tl2br w:val="nil"/>
              <w:tr2bl w:val="nil"/>
            </w:tcBorders>
            <w:vAlign w:val="center"/>
          </w:tcPr>
          <w:p w14:paraId="1DA96BFD">
            <w:pPr>
              <w:pStyle w:val="35"/>
              <w:widowControl w:val="0"/>
              <w:spacing w:line="460" w:lineRule="exact"/>
              <w:rPr>
                <w:rFonts w:ascii="宋体" w:hAnsi="宋体" w:cs="宋体"/>
                <w:color w:val="auto"/>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B组织。</w:t>
            </w:r>
          </w:p>
          <w:p w14:paraId="39BA862D">
            <w:pPr>
              <w:pStyle w:val="35"/>
              <w:widowControl w:val="0"/>
              <w:spacing w:line="460" w:lineRule="exact"/>
              <w:rPr>
                <w:rFonts w:ascii="宋体" w:hAnsi="宋体" w:cs="宋体"/>
                <w:color w:val="auto"/>
                <w:highlight w:val="none"/>
                <w:lang w:val="zh-TW"/>
              </w:rPr>
            </w:pPr>
            <w:r>
              <w:rPr>
                <w:rFonts w:hint="eastAsia" w:ascii="宋体" w:hAnsi="宋体" w:cs="宋体"/>
                <w:color w:val="auto"/>
                <w:highlight w:val="none"/>
                <w:lang w:val="zh-TW"/>
              </w:rPr>
              <w:t>方案讲解演示以下方式：</w:t>
            </w:r>
            <w:r>
              <w:rPr>
                <w:rFonts w:hint="eastAsia" w:ascii="宋体" w:hAnsi="宋体" w:cs="宋体"/>
                <w:b/>
                <w:bCs/>
                <w:color w:val="auto"/>
                <w:highlight w:val="none"/>
                <w:lang w:val="zh-CN"/>
              </w:rPr>
              <w:t>演示视频须制作成U盘，</w:t>
            </w:r>
            <w:r>
              <w:rPr>
                <w:rFonts w:hint="eastAsia" w:ascii="宋体" w:hAnsi="宋体" w:cs="宋体"/>
                <w:b/>
                <w:bCs/>
                <w:color w:val="auto"/>
                <w:highlight w:val="none"/>
              </w:rPr>
              <w:t>视频格式需为MP4、rmvb、avi等常规格式，若因格式问题导致视频无法正常演示，后果自负</w:t>
            </w:r>
            <w:r>
              <w:rPr>
                <w:rFonts w:hint="eastAsia" w:ascii="宋体" w:hAnsi="宋体" w:cs="宋体"/>
                <w:color w:val="auto"/>
                <w:highlight w:val="none"/>
                <w:lang w:val="zh-TW"/>
              </w:rPr>
              <w:t>。</w:t>
            </w:r>
            <w:r>
              <w:rPr>
                <w:rFonts w:hint="eastAsia" w:ascii="宋体" w:hAnsi="宋体" w:cs="宋体"/>
                <w:b/>
                <w:bCs/>
                <w:color w:val="auto"/>
                <w:highlight w:val="none"/>
              </w:rPr>
              <w:t>递交截止时间：同投标截止时间，</w:t>
            </w:r>
            <w:r>
              <w:rPr>
                <w:rFonts w:hint="eastAsia" w:ascii="宋体" w:hAnsi="宋体" w:cs="宋体"/>
                <w:color w:val="auto"/>
                <w:highlight w:val="none"/>
                <w:lang w:val="zh-TW"/>
              </w:rPr>
              <w:t>地点为</w:t>
            </w:r>
            <w:r>
              <w:rPr>
                <w:rFonts w:hint="eastAsia" w:ascii="宋体" w:hAnsi="宋体" w:cs="宋体"/>
                <w:color w:val="auto"/>
                <w:highlight w:val="none"/>
                <w:u w:val="single"/>
              </w:rPr>
              <w:t>杭州市西湖区教工路199号保亭综合楼6楼评标室</w:t>
            </w:r>
            <w:r>
              <w:rPr>
                <w:rFonts w:hint="eastAsia" w:ascii="宋体" w:hAnsi="宋体" w:cs="宋体"/>
                <w:color w:val="auto"/>
                <w:highlight w:val="none"/>
                <w:lang w:val="zh-TW"/>
              </w:rPr>
              <w:t>，</w:t>
            </w:r>
            <w:r>
              <w:rPr>
                <w:rFonts w:hint="eastAsia" w:ascii="宋体" w:hAnsi="宋体" w:cs="宋体"/>
                <w:b/>
                <w:bCs/>
                <w:color w:val="auto"/>
                <w:highlight w:val="none"/>
              </w:rPr>
              <w:t>U盘需单独密封或与备份文件密封在一起，若因密封问题导致视频泄露，后果自负</w:t>
            </w:r>
            <w:r>
              <w:rPr>
                <w:rFonts w:hint="eastAsia" w:ascii="宋体" w:hAnsi="宋体" w:cs="宋体"/>
                <w:b/>
                <w:bCs/>
                <w:color w:val="auto"/>
                <w:highlight w:val="none"/>
                <w:lang w:val="zh-TW"/>
              </w:rPr>
              <w:t>。</w:t>
            </w:r>
          </w:p>
          <w:p w14:paraId="20F9CFA6">
            <w:pPr>
              <w:pStyle w:val="35"/>
              <w:widowControl w:val="0"/>
              <w:spacing w:line="460" w:lineRule="exact"/>
              <w:rPr>
                <w:rFonts w:ascii="宋体" w:hAnsi="宋体" w:cs="宋体"/>
                <w:b/>
                <w:bCs/>
                <w:color w:val="auto"/>
                <w:highlight w:val="none"/>
                <w:lang w:val="zh-TW"/>
              </w:rPr>
            </w:pPr>
            <w:r>
              <w:rPr>
                <w:rFonts w:hint="eastAsia" w:ascii="宋体" w:hAnsi="宋体" w:cs="宋体"/>
                <w:b/>
                <w:bCs/>
                <w:color w:val="auto"/>
                <w:highlight w:val="none"/>
                <w:lang w:val="zh-TW"/>
              </w:rPr>
              <w:t>注：</w:t>
            </w:r>
          </w:p>
          <w:p w14:paraId="4023EC53">
            <w:pPr>
              <w:pStyle w:val="35"/>
              <w:widowControl w:val="0"/>
              <w:spacing w:line="460" w:lineRule="exact"/>
              <w:rPr>
                <w:rFonts w:ascii="宋体" w:hAnsi="宋体" w:cs="宋体"/>
                <w:b/>
                <w:bCs/>
                <w:color w:val="auto"/>
                <w:highlight w:val="none"/>
                <w:lang w:val="zh-TW"/>
              </w:rPr>
            </w:pPr>
            <w:r>
              <w:rPr>
                <w:rFonts w:hint="eastAsia" w:ascii="宋体" w:hAnsi="宋体" w:cs="宋体"/>
                <w:b/>
                <w:bCs/>
                <w:color w:val="auto"/>
                <w:highlight w:val="none"/>
              </w:rPr>
              <w:t>1、</w:t>
            </w:r>
            <w:r>
              <w:rPr>
                <w:rFonts w:hint="eastAsia" w:ascii="宋体" w:hAnsi="宋体" w:cs="宋体"/>
                <w:b/>
                <w:bCs/>
                <w:color w:val="auto"/>
                <w:highlight w:val="none"/>
                <w:lang w:val="zh-TW"/>
              </w:rPr>
              <w:t>因投标人自身原因导致无法演示或者演示效果不理想的，责任自负。因平台原因导致本项目方案讲解演示环节无法顺利开展，按照《浙江省政府采购项目电子交易管理暂行办法》相关规定执行。</w:t>
            </w:r>
          </w:p>
          <w:p w14:paraId="1A63ACFE">
            <w:pPr>
              <w:pStyle w:val="35"/>
              <w:widowControl w:val="0"/>
              <w:spacing w:line="460" w:lineRule="exact"/>
              <w:rPr>
                <w:rFonts w:ascii="宋体" w:hAnsi="宋体" w:cs="宋体"/>
                <w:color w:val="auto"/>
                <w:kern w:val="2"/>
                <w:highlight w:val="none"/>
              </w:rPr>
            </w:pPr>
            <w:r>
              <w:rPr>
                <w:rFonts w:hint="eastAsia" w:ascii="宋体" w:hAnsi="宋体" w:cs="宋体"/>
                <w:b/>
                <w:bCs/>
                <w:color w:val="auto"/>
                <w:highlight w:val="none"/>
              </w:rPr>
              <w:t>2、投标人需根据评分细则逐条演示，不得演示评分要求以外的内容。</w:t>
            </w:r>
          </w:p>
        </w:tc>
      </w:tr>
      <w:tr w14:paraId="3B8C5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4AE50ED">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1747" w:type="dxa"/>
            <w:vMerge w:val="restart"/>
            <w:tcBorders>
              <w:tl2br w:val="nil"/>
              <w:tr2bl w:val="nil"/>
            </w:tcBorders>
            <w:vAlign w:val="center"/>
          </w:tcPr>
          <w:p w14:paraId="6A649DDD">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rPr>
              <w:t>投标人应当提供的资格、资信证明文件</w:t>
            </w:r>
          </w:p>
        </w:tc>
        <w:tc>
          <w:tcPr>
            <w:tcW w:w="7252" w:type="dxa"/>
            <w:tcBorders>
              <w:tl2br w:val="nil"/>
              <w:tr2bl w:val="nil"/>
            </w:tcBorders>
            <w:vAlign w:val="center"/>
          </w:tcPr>
          <w:p w14:paraId="6F1AD398">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（1）资格证明文件：见招标文件第二部分11.1。</w:t>
            </w:r>
          </w:p>
          <w:p w14:paraId="304E6127">
            <w:pPr>
              <w:pStyle w:val="35"/>
              <w:widowControl w:val="0"/>
              <w:spacing w:line="460" w:lineRule="exact"/>
              <w:rPr>
                <w:rFonts w:ascii="宋体" w:hAnsi="宋体" w:cs="宋体"/>
                <w:color w:val="auto"/>
                <w:kern w:val="2"/>
                <w:highlight w:val="none"/>
              </w:rPr>
            </w:pPr>
            <w:r>
              <w:rPr>
                <w:rFonts w:hint="eastAsia" w:ascii="宋体" w:hAnsi="宋体" w:cs="宋体"/>
                <w:b/>
                <w:bCs/>
                <w:color w:val="auto"/>
                <w:kern w:val="2"/>
                <w:highlight w:val="none"/>
              </w:rPr>
              <w:t>投标人未提供有效的资格证明文件的，视为投标人不具备招标文件中规定的资格要求，投标无效。</w:t>
            </w:r>
          </w:p>
        </w:tc>
      </w:tr>
      <w:tr w14:paraId="4225C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17877D4">
            <w:pPr>
              <w:pStyle w:val="35"/>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0304D377">
            <w:pPr>
              <w:pStyle w:val="35"/>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2F2FC91D">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（2）资信证明文件：根据招标文件第四部分评标标准提供。</w:t>
            </w:r>
          </w:p>
        </w:tc>
      </w:tr>
      <w:tr w14:paraId="737AA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6DF16F9B">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1747" w:type="dxa"/>
            <w:tcBorders>
              <w:tl2br w:val="nil"/>
              <w:tr2bl w:val="nil"/>
            </w:tcBorders>
            <w:vAlign w:val="center"/>
          </w:tcPr>
          <w:p w14:paraId="23A1CC85">
            <w:pPr>
              <w:pStyle w:val="35"/>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节能产品、环境标志产品</w:t>
            </w:r>
          </w:p>
        </w:tc>
        <w:tc>
          <w:tcPr>
            <w:tcW w:w="7252" w:type="dxa"/>
            <w:tcBorders>
              <w:tl2br w:val="nil"/>
              <w:tr2bl w:val="nil"/>
            </w:tcBorders>
            <w:vAlign w:val="center"/>
          </w:tcPr>
          <w:p w14:paraId="0FFBB9BD">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85E585B">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□强制采购节能产品。产品：    </w:t>
            </w:r>
          </w:p>
          <w:p w14:paraId="035F091C">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□优先采购节能产品。产品：   </w:t>
            </w:r>
          </w:p>
          <w:p w14:paraId="36B0360E">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□优先采购环保产品。产品：    </w:t>
            </w:r>
          </w:p>
          <w:p w14:paraId="06CFF1C4">
            <w:pPr>
              <w:pStyle w:val="35"/>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☑无</w:t>
            </w:r>
          </w:p>
        </w:tc>
      </w:tr>
      <w:tr w14:paraId="18B56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587AEE80">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1747" w:type="dxa"/>
            <w:tcBorders>
              <w:tl2br w:val="nil"/>
              <w:tr2bl w:val="nil"/>
            </w:tcBorders>
            <w:vAlign w:val="center"/>
          </w:tcPr>
          <w:p w14:paraId="70C1E158">
            <w:pPr>
              <w:pStyle w:val="35"/>
              <w:widowControl w:val="0"/>
              <w:spacing w:line="460" w:lineRule="exact"/>
              <w:jc w:val="center"/>
              <w:rPr>
                <w:rFonts w:ascii="宋体" w:hAnsi="宋体" w:cs="宋体"/>
                <w:b/>
                <w:bCs/>
                <w:color w:val="auto"/>
                <w:kern w:val="2"/>
                <w:highlight w:val="none"/>
              </w:rPr>
            </w:pPr>
            <w:r>
              <w:rPr>
                <w:rFonts w:hint="eastAsia" w:ascii="宋体" w:hAnsi="宋体" w:cs="宋体"/>
                <w:b/>
                <w:bCs/>
                <w:color w:val="auto"/>
                <w:kern w:val="2"/>
                <w:highlight w:val="none"/>
              </w:rPr>
              <w:t>报价要求</w:t>
            </w:r>
          </w:p>
        </w:tc>
        <w:tc>
          <w:tcPr>
            <w:tcW w:w="7252" w:type="dxa"/>
            <w:tcBorders>
              <w:tl2br w:val="nil"/>
              <w:tr2bl w:val="nil"/>
            </w:tcBorders>
            <w:vAlign w:val="center"/>
          </w:tcPr>
          <w:p w14:paraId="1E0CD665">
            <w:pPr>
              <w:pStyle w:val="35"/>
              <w:widowControl w:val="0"/>
              <w:spacing w:line="460" w:lineRule="exact"/>
              <w:rPr>
                <w:rFonts w:ascii="宋体" w:hAnsi="宋体" w:cs="宋体"/>
                <w:b/>
                <w:bCs/>
                <w:color w:val="auto"/>
                <w:kern w:val="2"/>
                <w:highlight w:val="none"/>
                <w:lang w:val="zh-TW" w:eastAsia="zh-TW"/>
              </w:rPr>
            </w:pPr>
            <w:r>
              <w:rPr>
                <w:rFonts w:hint="eastAsia" w:ascii="宋体" w:hAnsi="宋体" w:cs="宋体"/>
                <w:color w:val="auto"/>
                <w:kern w:val="2"/>
                <w:highlight w:val="none"/>
                <w:lang w:val="zh-TW" w:eastAsia="zh-TW"/>
              </w:rPr>
              <w:t>有关本项目实施所需的所有费用（含税费）均计入报价。</w:t>
            </w:r>
            <w:r>
              <w:rPr>
                <w:rFonts w:hint="eastAsia" w:ascii="宋体" w:hAnsi="宋体" w:cs="宋体"/>
                <w:b/>
                <w:bCs/>
                <w:color w:val="auto"/>
                <w:kern w:val="2"/>
                <w:highlight w:val="none"/>
                <w:lang w:val="zh-TW" w:eastAsia="zh-TW"/>
              </w:rPr>
              <w:t>投标文件开标一览表（报价表）是报价的唯一载体，如投标人在</w:t>
            </w:r>
            <w:r>
              <w:rPr>
                <w:rFonts w:hint="eastAsia" w:ascii="宋体" w:hAnsi="宋体" w:cs="宋体"/>
                <w:b/>
                <w:bCs/>
                <w:color w:val="auto"/>
                <w:kern w:val="2"/>
                <w:highlight w:val="none"/>
                <w:lang w:val="zh-TW"/>
              </w:rPr>
              <w:t>杭州市教育局非依法招标（小额）项目采购平台</w:t>
            </w:r>
            <w:r>
              <w:rPr>
                <w:rFonts w:hint="eastAsia" w:ascii="宋体" w:hAnsi="宋体" w:cs="宋体"/>
                <w:b/>
                <w:bCs/>
                <w:color w:val="auto"/>
                <w:kern w:val="2"/>
                <w:highlight w:val="none"/>
                <w:lang w:val="zh-TW" w:eastAsia="zh-TW"/>
              </w:rPr>
              <w:t>填写的投标报价与投标文件报价文件中开标一览表（报价表）不一致的，以报价文件中开标一览表（报价表）为准。</w:t>
            </w:r>
            <w:r>
              <w:rPr>
                <w:rFonts w:hint="eastAsia" w:ascii="宋体" w:hAnsi="宋体" w:cs="宋体"/>
                <w:color w:val="auto"/>
                <w:kern w:val="2"/>
                <w:highlight w:val="none"/>
                <w:lang w:val="zh-TW" w:eastAsia="zh-TW"/>
              </w:rPr>
              <w:t>投标文件中价格全部采用人民币报价。招标文件未列明，而投标人认为必需的费用也需列入报价。</w:t>
            </w:r>
            <w:r>
              <w:rPr>
                <w:rFonts w:hint="eastAsia" w:ascii="宋体" w:hAnsi="宋体" w:cs="宋体"/>
                <w:b/>
                <w:bCs/>
                <w:color w:val="auto"/>
                <w:kern w:val="2"/>
                <w:highlight w:val="none"/>
                <w:lang w:val="zh-TW" w:eastAsia="zh-TW"/>
              </w:rPr>
              <w:t>提醒：验收时检测费用由采购人承担，不包含在投标总价中。</w:t>
            </w:r>
          </w:p>
          <w:p w14:paraId="66370083">
            <w:pPr>
              <w:pStyle w:val="35"/>
              <w:widowControl w:val="0"/>
              <w:spacing w:line="460" w:lineRule="exact"/>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投标报价出现下列情形的，投标无效：</w:t>
            </w:r>
          </w:p>
          <w:p w14:paraId="18775580">
            <w:pPr>
              <w:pStyle w:val="35"/>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投标文件出现不是唯一的、有选择性投标报价的；</w:t>
            </w:r>
          </w:p>
          <w:p w14:paraId="657A84B1">
            <w:pPr>
              <w:pStyle w:val="35"/>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投标报价超过招标文件中规定的预算金额或者最高限价的;</w:t>
            </w:r>
          </w:p>
          <w:p w14:paraId="48265822">
            <w:pPr>
              <w:pStyle w:val="35"/>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报价明显低于其他通过符合性审查投标人的报价，有可能影响产品质量或者不能诚信履约的，未能按要求提供书面说明或者提交相关证明材料证明其报价合理性的;</w:t>
            </w:r>
          </w:p>
          <w:p w14:paraId="68A970BD">
            <w:pPr>
              <w:pStyle w:val="35"/>
              <w:widowControl w:val="0"/>
              <w:spacing w:line="460" w:lineRule="exact"/>
              <w:ind w:firstLine="422" w:firstLineChars="200"/>
              <w:rPr>
                <w:rFonts w:ascii="宋体" w:hAnsi="宋体" w:cs="宋体"/>
                <w:color w:val="auto"/>
                <w:highlight w:val="none"/>
                <w:lang w:val="zh-TW" w:eastAsia="zh-TW"/>
              </w:rPr>
            </w:pPr>
            <w:r>
              <w:rPr>
                <w:rFonts w:hint="eastAsia" w:ascii="宋体" w:hAnsi="宋体" w:cs="宋体"/>
                <w:b/>
                <w:bCs/>
                <w:color w:val="auto"/>
                <w:kern w:val="2"/>
                <w:highlight w:val="none"/>
                <w:lang w:val="zh-TW" w:eastAsia="zh-TW"/>
              </w:rPr>
              <w:t>投标人对根据修正原则修正后的报价不确认的。</w:t>
            </w:r>
          </w:p>
        </w:tc>
      </w:tr>
      <w:tr w14:paraId="1750B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004E96A">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1747" w:type="dxa"/>
            <w:tcBorders>
              <w:tl2br w:val="nil"/>
              <w:tr2bl w:val="nil"/>
            </w:tcBorders>
            <w:vAlign w:val="center"/>
          </w:tcPr>
          <w:p w14:paraId="76BBEBFD">
            <w:pPr>
              <w:pStyle w:val="35"/>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中小企业信用融资</w:t>
            </w:r>
          </w:p>
        </w:tc>
        <w:tc>
          <w:tcPr>
            <w:tcW w:w="7252" w:type="dxa"/>
            <w:tcBorders>
              <w:tl2br w:val="nil"/>
              <w:tr2bl w:val="nil"/>
            </w:tcBorders>
            <w:vAlign w:val="center"/>
          </w:tcPr>
          <w:p w14:paraId="6621DE55">
            <w:pPr>
              <w:pStyle w:val="35"/>
              <w:widowControl w:val="0"/>
              <w:spacing w:line="460" w:lineRule="exact"/>
              <w:rPr>
                <w:rFonts w:ascii="宋体" w:hAnsi="宋体" w:cs="宋体"/>
                <w:color w:val="auto"/>
                <w:kern w:val="2"/>
                <w:highlight w:val="none"/>
                <w:lang w:val="zh-TW" w:eastAsia="zh-TW"/>
              </w:rPr>
            </w:pPr>
            <w:r>
              <w:rPr>
                <w:rFonts w:hint="eastAsia" w:ascii="宋体" w:hAnsi="宋体" w:cs="宋体"/>
                <w:color w:val="auto"/>
                <w:kern w:val="2"/>
                <w:highlight w:val="none"/>
                <w:lang w:val="zh-TW" w:eastAsia="zh-TW"/>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C754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DA2955C">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1747" w:type="dxa"/>
            <w:tcBorders>
              <w:tl2br w:val="nil"/>
              <w:tr2bl w:val="nil"/>
            </w:tcBorders>
            <w:vAlign w:val="center"/>
          </w:tcPr>
          <w:p w14:paraId="62CBB0E6">
            <w:pPr>
              <w:pStyle w:val="35"/>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备份投标文件送达地点和签收人员</w:t>
            </w:r>
          </w:p>
        </w:tc>
        <w:tc>
          <w:tcPr>
            <w:tcW w:w="7252" w:type="dxa"/>
            <w:tcBorders>
              <w:tl2br w:val="nil"/>
              <w:tr2bl w:val="nil"/>
            </w:tcBorders>
            <w:vAlign w:val="center"/>
          </w:tcPr>
          <w:p w14:paraId="5B23D87F">
            <w:pPr>
              <w:pStyle w:val="35"/>
              <w:widowControl w:val="0"/>
              <w:spacing w:line="460" w:lineRule="exact"/>
              <w:rPr>
                <w:rFonts w:ascii="宋体" w:hAnsi="宋体" w:cs="宋体"/>
                <w:color w:val="auto"/>
                <w:highlight w:val="none"/>
              </w:rPr>
            </w:pPr>
            <w:r>
              <w:rPr>
                <w:rFonts w:hint="eastAsia" w:ascii="宋体" w:hAnsi="宋体" w:cs="宋体"/>
                <w:color w:val="auto"/>
                <w:highlight w:val="none"/>
              </w:rPr>
              <w:t>备份投标文件送达地点：</w:t>
            </w:r>
            <w:r>
              <w:rPr>
                <w:rFonts w:hint="eastAsia" w:ascii="宋体" w:hAnsi="宋体" w:cs="宋体"/>
                <w:color w:val="auto"/>
                <w:highlight w:val="none"/>
                <w:u w:val="single"/>
              </w:rPr>
              <w:t>杭州市西湖区教工路199号保亭综合楼3楼308室</w:t>
            </w:r>
            <w:r>
              <w:rPr>
                <w:rFonts w:hint="eastAsia" w:ascii="宋体" w:hAnsi="宋体" w:cs="宋体"/>
                <w:color w:val="auto"/>
                <w:highlight w:val="none"/>
              </w:rPr>
              <w:t>；</w:t>
            </w:r>
          </w:p>
          <w:p w14:paraId="10C904D8">
            <w:pPr>
              <w:pStyle w:val="35"/>
              <w:widowControl w:val="0"/>
              <w:spacing w:line="460" w:lineRule="exact"/>
              <w:rPr>
                <w:rFonts w:ascii="宋体" w:hAnsi="宋体" w:cs="宋体"/>
                <w:color w:val="auto"/>
                <w:highlight w:val="none"/>
              </w:rPr>
            </w:pPr>
            <w:r>
              <w:rPr>
                <w:rFonts w:hint="eastAsia" w:ascii="宋体" w:hAnsi="宋体" w:cs="宋体"/>
                <w:color w:val="auto"/>
                <w:highlight w:val="none"/>
              </w:rPr>
              <w:t>备份投标文件签收人员联系电话：</w:t>
            </w:r>
            <w:r>
              <w:rPr>
                <w:rFonts w:hint="eastAsia" w:ascii="宋体" w:hAnsi="宋体" w:cs="宋体"/>
                <w:color w:val="auto"/>
                <w:highlight w:val="none"/>
                <w:u w:val="single"/>
              </w:rPr>
              <w:t xml:space="preserve">宦工、18626895360 </w:t>
            </w:r>
            <w:r>
              <w:rPr>
                <w:rFonts w:hint="eastAsia" w:ascii="宋体" w:hAnsi="宋体" w:cs="宋体"/>
                <w:color w:val="auto"/>
                <w:highlight w:val="none"/>
              </w:rPr>
              <w:t>。</w:t>
            </w:r>
          </w:p>
          <w:p w14:paraId="35524FBF">
            <w:pPr>
              <w:pStyle w:val="35"/>
              <w:widowControl w:val="0"/>
              <w:spacing w:line="460" w:lineRule="exact"/>
              <w:rPr>
                <w:rFonts w:ascii="宋体" w:hAnsi="宋体" w:cs="宋体"/>
                <w:color w:val="auto"/>
                <w:highlight w:val="none"/>
              </w:rPr>
            </w:pPr>
            <w:r>
              <w:rPr>
                <w:rFonts w:hint="eastAsia" w:ascii="宋体" w:hAnsi="宋体" w:cs="宋体"/>
                <w:color w:val="auto"/>
                <w:highlight w:val="none"/>
              </w:rPr>
              <w:t>备份投标文件送达截止时间：</w:t>
            </w:r>
            <w:r>
              <w:rPr>
                <w:rFonts w:hint="eastAsia" w:ascii="宋体" w:hAnsi="宋体" w:cs="宋体"/>
                <w:color w:val="auto"/>
                <w:highlight w:val="none"/>
                <w:u w:val="single"/>
              </w:rPr>
              <w:t>同开标截止时间</w:t>
            </w:r>
          </w:p>
          <w:p w14:paraId="2A68B9A7">
            <w:pPr>
              <w:pStyle w:val="35"/>
              <w:widowControl w:val="0"/>
              <w:spacing w:line="460" w:lineRule="exact"/>
              <w:rPr>
                <w:rFonts w:ascii="宋体" w:hAnsi="宋体" w:cs="宋体"/>
                <w:color w:val="auto"/>
                <w:highlight w:val="none"/>
              </w:rPr>
            </w:pPr>
            <w:r>
              <w:rPr>
                <w:rFonts w:hint="eastAsia" w:ascii="宋体" w:hAnsi="宋体" w:cs="宋体"/>
                <w:color w:val="auto"/>
                <w:highlight w:val="none"/>
              </w:rPr>
              <w:t>备份投标文件的递交：</w:t>
            </w:r>
            <w:r>
              <w:rPr>
                <w:rFonts w:hint="eastAsia" w:ascii="宋体" w:hAnsi="宋体" w:cs="宋体"/>
                <w:color w:val="auto"/>
                <w:highlight w:val="none"/>
                <w:u w:val="single"/>
              </w:rPr>
              <w:t>投标人如需要递交备份投标文件的，请将u盘形式的备份投标文件密封包装后以递交。</w:t>
            </w:r>
          </w:p>
          <w:p w14:paraId="02639E84">
            <w:pPr>
              <w:pStyle w:val="35"/>
              <w:widowControl w:val="0"/>
              <w:spacing w:line="460" w:lineRule="exact"/>
              <w:rPr>
                <w:rFonts w:ascii="宋体" w:hAnsi="宋体" w:cs="宋体"/>
                <w:color w:val="auto"/>
                <w:kern w:val="2"/>
                <w:highlight w:val="none"/>
                <w:lang w:val="zh-TW" w:eastAsia="zh-TW"/>
              </w:rPr>
            </w:pPr>
            <w:r>
              <w:rPr>
                <w:rFonts w:hint="eastAsia" w:ascii="宋体" w:hAnsi="宋体" w:cs="宋体"/>
                <w:b/>
                <w:bCs/>
                <w:color w:val="auto"/>
                <w:highlight w:val="none"/>
              </w:rPr>
              <w:t>采购人、采购代理机构不强制或变相强制投标人提交备份投标文件。</w:t>
            </w:r>
          </w:p>
        </w:tc>
      </w:tr>
      <w:tr w14:paraId="0942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48FC82">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1747" w:type="dxa"/>
            <w:tcBorders>
              <w:tl2br w:val="nil"/>
              <w:tr2bl w:val="nil"/>
            </w:tcBorders>
            <w:vAlign w:val="center"/>
          </w:tcPr>
          <w:p w14:paraId="6313567B">
            <w:pPr>
              <w:pStyle w:val="35"/>
              <w:widowControl w:val="0"/>
              <w:spacing w:line="460" w:lineRule="exact"/>
              <w:jc w:val="center"/>
              <w:rPr>
                <w:rFonts w:ascii="宋体" w:hAnsi="宋体" w:cs="宋体"/>
                <w:b/>
                <w:bCs/>
                <w:color w:val="auto"/>
                <w:highlight w:val="none"/>
                <w:lang w:val="zh-TW"/>
              </w:rPr>
            </w:pPr>
            <w:r>
              <w:rPr>
                <w:rFonts w:hint="eastAsia" w:ascii="宋体" w:hAnsi="宋体" w:cs="宋体"/>
                <w:b/>
                <w:bCs/>
                <w:color w:val="auto"/>
                <w:kern w:val="2"/>
                <w:highlight w:val="none"/>
              </w:rPr>
              <w:t>中标候选人数量</w:t>
            </w:r>
          </w:p>
        </w:tc>
        <w:tc>
          <w:tcPr>
            <w:tcW w:w="7252" w:type="dxa"/>
            <w:tcBorders>
              <w:tl2br w:val="nil"/>
              <w:tr2bl w:val="nil"/>
            </w:tcBorders>
            <w:vAlign w:val="center"/>
          </w:tcPr>
          <w:p w14:paraId="5D9B4A78">
            <w:pPr>
              <w:pStyle w:val="35"/>
              <w:widowControl w:val="0"/>
              <w:spacing w:line="460" w:lineRule="exact"/>
              <w:rPr>
                <w:rFonts w:ascii="宋体" w:hAnsi="宋体" w:cs="宋体"/>
                <w:b/>
                <w:bCs/>
                <w:color w:val="auto"/>
                <w:kern w:val="2"/>
                <w:highlight w:val="none"/>
              </w:rPr>
            </w:pPr>
            <w:r>
              <w:rPr>
                <w:rFonts w:hint="eastAsia" w:ascii="宋体" w:hAnsi="宋体" w:cs="宋体"/>
                <w:b/>
                <w:bCs/>
                <w:color w:val="auto"/>
                <w:kern w:val="2"/>
                <w:highlight w:val="none"/>
              </w:rPr>
              <w:t>本项目推荐的中标候选人数量：</w:t>
            </w:r>
            <w:r>
              <w:rPr>
                <w:rFonts w:hint="eastAsia" w:ascii="宋体" w:hAnsi="宋体" w:cs="宋体"/>
                <w:b/>
                <w:bCs/>
                <w:color w:val="auto"/>
                <w:kern w:val="2"/>
                <w:highlight w:val="none"/>
                <w:u w:val="single"/>
              </w:rPr>
              <w:t>1</w:t>
            </w:r>
            <w:r>
              <w:rPr>
                <w:rFonts w:hint="eastAsia" w:ascii="宋体" w:hAnsi="宋体" w:cs="宋体"/>
                <w:b/>
                <w:bCs/>
                <w:color w:val="auto"/>
                <w:kern w:val="2"/>
                <w:highlight w:val="none"/>
              </w:rPr>
              <w:t>。</w:t>
            </w:r>
          </w:p>
        </w:tc>
      </w:tr>
      <w:tr w14:paraId="278A4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89A5679">
            <w:pPr>
              <w:pStyle w:val="35"/>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1747" w:type="dxa"/>
            <w:vMerge w:val="restart"/>
            <w:tcBorders>
              <w:tl2br w:val="nil"/>
              <w:tr2bl w:val="nil"/>
            </w:tcBorders>
            <w:vAlign w:val="center"/>
          </w:tcPr>
          <w:p w14:paraId="62A163DC">
            <w:pPr>
              <w:pStyle w:val="35"/>
              <w:widowControl w:val="0"/>
              <w:spacing w:line="460" w:lineRule="exact"/>
              <w:jc w:val="center"/>
              <w:rPr>
                <w:rFonts w:ascii="宋体" w:hAnsi="宋体" w:cs="宋体"/>
                <w:b/>
                <w:bCs/>
                <w:color w:val="auto"/>
                <w:highlight w:val="none"/>
                <w:lang w:val="zh-TW"/>
              </w:rPr>
            </w:pPr>
            <w:r>
              <w:rPr>
                <w:rFonts w:hint="eastAsia" w:ascii="宋体" w:hAnsi="宋体" w:cs="宋体"/>
                <w:b/>
                <w:bCs/>
                <w:color w:val="auto"/>
                <w:highlight w:val="none"/>
                <w:lang w:val="zh-TW"/>
              </w:rPr>
              <w:t>特别说明</w:t>
            </w:r>
          </w:p>
        </w:tc>
        <w:tc>
          <w:tcPr>
            <w:tcW w:w="7252" w:type="dxa"/>
            <w:tcBorders>
              <w:tl2br w:val="nil"/>
              <w:tr2bl w:val="nil"/>
            </w:tcBorders>
            <w:vAlign w:val="center"/>
          </w:tcPr>
          <w:p w14:paraId="20177737">
            <w:pPr>
              <w:pStyle w:val="35"/>
              <w:widowControl w:val="0"/>
              <w:spacing w:line="460" w:lineRule="exact"/>
              <w:rPr>
                <w:rFonts w:ascii="宋体" w:hAnsi="宋体" w:cs="宋体"/>
                <w:bCs/>
                <w:color w:val="auto"/>
                <w:highlight w:val="none"/>
              </w:rPr>
            </w:pPr>
            <w:r>
              <w:rPr>
                <w:rFonts w:hint="eastAsia" w:ascii="宋体" w:hAnsi="宋体" w:cs="宋体"/>
                <w:bCs/>
                <w:color w:val="auto"/>
                <w:highlight w:val="none"/>
              </w:rPr>
              <w:t>联合体投标的，联合体各方分别提供与联合体协议中规定的分工内容相应的业绩证明材料，业绩数量以提供材料较少的一方为准。</w:t>
            </w:r>
          </w:p>
        </w:tc>
      </w:tr>
      <w:tr w14:paraId="74FC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9D4379A">
            <w:pPr>
              <w:pStyle w:val="35"/>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74552851">
            <w:pPr>
              <w:pStyle w:val="35"/>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2F8A322A">
            <w:pPr>
              <w:pStyle w:val="35"/>
              <w:widowControl w:val="0"/>
              <w:spacing w:line="460" w:lineRule="exact"/>
              <w:rPr>
                <w:rFonts w:ascii="宋体" w:hAnsi="宋体" w:cs="宋体"/>
                <w:bCs/>
                <w:color w:val="auto"/>
                <w:highlight w:val="none"/>
              </w:rPr>
            </w:pPr>
            <w:r>
              <w:rPr>
                <w:rFonts w:hint="eastAsia" w:ascii="宋体" w:hAnsi="宋体" w:cs="宋体"/>
                <w:b/>
                <w:bCs/>
                <w:color w:val="auto"/>
                <w:highlight w:val="none"/>
              </w:rPr>
              <w:sym w:font="Wingdings 2" w:char="00A3"/>
            </w:r>
            <w:r>
              <w:rPr>
                <w:rFonts w:hint="eastAsia" w:ascii="宋体" w:hAnsi="宋体" w:cs="宋体"/>
                <w:bCs/>
                <w:color w:val="auto"/>
                <w:highlight w:val="none"/>
              </w:rPr>
              <w:t>联合体投标的，联合体各方均需按招标文件第四部分评标标准要求提供资信证明文件，否则视为不符合相关要求。</w:t>
            </w:r>
          </w:p>
          <w:p w14:paraId="5187DADA">
            <w:pPr>
              <w:pStyle w:val="35"/>
              <w:widowControl w:val="0"/>
              <w:spacing w:line="460" w:lineRule="exact"/>
              <w:rPr>
                <w:rFonts w:ascii="宋体" w:hAnsi="宋体" w:cs="宋体"/>
                <w:bCs/>
                <w:color w:val="auto"/>
                <w:highlight w:val="none"/>
              </w:rPr>
            </w:pPr>
            <w:r>
              <w:rPr>
                <w:rFonts w:hint="eastAsia" w:ascii="宋体" w:hAnsi="宋体" w:cs="宋体"/>
                <w:b/>
                <w:bCs/>
                <w:color w:val="auto"/>
                <w:highlight w:val="none"/>
              </w:rPr>
              <w:sym w:font="Wingdings 2" w:char="0052"/>
            </w:r>
            <w:r>
              <w:rPr>
                <w:rFonts w:hint="eastAsia" w:ascii="宋体" w:hAnsi="宋体" w:cs="宋体"/>
                <w:bCs/>
                <w:color w:val="auto"/>
                <w:highlight w:val="none"/>
              </w:rPr>
              <w:t>联合体投标的，联合体中有一方或者联合体成员根据分工按招标文件第四部分评标标准要求提供资信证明文件的，视为符合了相关要求。</w:t>
            </w:r>
          </w:p>
        </w:tc>
      </w:tr>
      <w:tr w14:paraId="24B55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3E50871E">
            <w:pPr>
              <w:pStyle w:val="35"/>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350EA477">
            <w:pPr>
              <w:pStyle w:val="35"/>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5A0FB04A">
            <w:pPr>
              <w:pStyle w:val="35"/>
              <w:widowControl w:val="0"/>
              <w:spacing w:line="460" w:lineRule="exact"/>
              <w:rPr>
                <w:rFonts w:ascii="宋体" w:hAnsi="宋体" w:cs="宋体"/>
                <w:color w:val="auto"/>
                <w:highlight w:val="none"/>
              </w:rPr>
            </w:pPr>
            <w:r>
              <w:rPr>
                <w:rFonts w:hint="eastAsia" w:ascii="宋体" w:hAnsi="宋体" w:cs="宋体"/>
                <w:b/>
                <w:color w:val="auto"/>
                <w:highlight w:val="none"/>
              </w:rPr>
              <w:t>收取标准：</w:t>
            </w:r>
            <w:r>
              <w:rPr>
                <w:rFonts w:hint="eastAsia" w:ascii="宋体" w:hAnsi="宋体" w:cs="宋体"/>
                <w:bCs/>
                <w:color w:val="auto"/>
                <w:highlight w:val="none"/>
              </w:rPr>
              <w:t>以中标金额为计费基准，按《计价格［2002］1980号》及《发改办价格［2003］857号》规定的80%收费标准计取，不足人民币肆仟元按肆仟元计取。</w:t>
            </w:r>
          </w:p>
          <w:p w14:paraId="653CB010">
            <w:pPr>
              <w:pStyle w:val="35"/>
              <w:widowControl w:val="0"/>
              <w:spacing w:line="460" w:lineRule="exact"/>
              <w:rPr>
                <w:rFonts w:ascii="宋体" w:hAnsi="宋体" w:cs="宋体"/>
                <w:bCs/>
                <w:color w:val="auto"/>
                <w:highlight w:val="none"/>
              </w:rPr>
            </w:pPr>
            <w:r>
              <w:rPr>
                <w:rFonts w:hint="eastAsia" w:ascii="宋体" w:hAnsi="宋体" w:cs="宋体"/>
                <w:b/>
                <w:color w:val="auto"/>
                <w:highlight w:val="none"/>
              </w:rPr>
              <w:t>收取方式：</w:t>
            </w:r>
            <w:r>
              <w:rPr>
                <w:rFonts w:hint="eastAsia" w:ascii="宋体" w:hAnsi="宋体" w:cs="宋体"/>
                <w:bCs/>
                <w:color w:val="auto"/>
                <w:highlight w:val="none"/>
              </w:rPr>
              <w:t>本项目的代理费由中标人支付。在中标结果公告发出后15个工作日内由中标人一次性向采购代理机构付清。账户信息如下：</w:t>
            </w:r>
          </w:p>
          <w:p w14:paraId="5B40A1EA">
            <w:pPr>
              <w:pStyle w:val="35"/>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账户名称：浙江西建工程管理有限公司</w:t>
            </w:r>
          </w:p>
          <w:p w14:paraId="0CE0A3B7">
            <w:pPr>
              <w:pStyle w:val="35"/>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开户银行：</w:t>
            </w:r>
            <w:r>
              <w:rPr>
                <w:rFonts w:hint="eastAsia" w:ascii="宋体" w:hAnsi="宋体" w:cs="宋体"/>
                <w:b/>
                <w:color w:val="auto"/>
                <w:highlight w:val="none"/>
                <w:lang w:val="zh-CN"/>
              </w:rPr>
              <w:t>工行杭州保俶支行</w:t>
            </w:r>
            <w:r>
              <w:rPr>
                <w:rFonts w:hint="eastAsia" w:ascii="宋体" w:hAnsi="宋体" w:cs="宋体"/>
                <w:b/>
                <w:color w:val="auto"/>
                <w:highlight w:val="none"/>
              </w:rPr>
              <w:t>；</w:t>
            </w:r>
          </w:p>
          <w:p w14:paraId="48623B36">
            <w:pPr>
              <w:pStyle w:val="35"/>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银行账号：</w:t>
            </w:r>
            <w:r>
              <w:rPr>
                <w:rFonts w:hint="eastAsia" w:ascii="宋体" w:hAnsi="宋体" w:cs="宋体"/>
                <w:b/>
                <w:color w:val="auto"/>
                <w:highlight w:val="none"/>
                <w:lang w:val="zh-CN"/>
              </w:rPr>
              <w:t>1202022709900088607</w:t>
            </w:r>
          </w:p>
        </w:tc>
      </w:tr>
      <w:tr w14:paraId="10E8C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4BB673FB">
            <w:pPr>
              <w:pStyle w:val="35"/>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262C1ABD">
            <w:pPr>
              <w:pStyle w:val="35"/>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0C8A41D3">
            <w:pPr>
              <w:pStyle w:val="35"/>
              <w:widowControl w:val="0"/>
              <w:spacing w:line="460" w:lineRule="exact"/>
              <w:rPr>
                <w:rFonts w:ascii="宋体" w:hAnsi="宋体" w:cs="宋体"/>
                <w:color w:val="auto"/>
                <w:highlight w:val="none"/>
                <w:lang w:eastAsia="zh-TW"/>
              </w:rPr>
            </w:pPr>
            <w:r>
              <w:rPr>
                <w:rFonts w:hint="eastAsia" w:ascii="宋体" w:hAnsi="宋体" w:cs="宋体"/>
                <w:color w:val="auto"/>
                <w:highlight w:val="none"/>
                <w:lang w:eastAsia="zh-TW"/>
              </w:rPr>
              <w:t>其他：供应商线下提出质疑的，除纸质文件外，请将质疑函电子版以电邮形式发送至：</w:t>
            </w:r>
            <w:r>
              <w:rPr>
                <w:rFonts w:hint="eastAsia" w:ascii="宋体" w:hAnsi="宋体" w:cs="宋体"/>
                <w:color w:val="auto"/>
                <w:highlight w:val="none"/>
              </w:rPr>
              <w:fldChar w:fldCharType="begin"/>
            </w:r>
            <w:r>
              <w:rPr>
                <w:rFonts w:hint="eastAsia" w:ascii="宋体" w:hAnsi="宋体" w:cs="宋体"/>
                <w:color w:val="auto"/>
                <w:highlight w:val="none"/>
                <w:lang w:eastAsia="zh-TW"/>
              </w:rPr>
              <w:instrText xml:space="preserve"> HYPERLINK "mailto:hzthzb@126.com。" </w:instrText>
            </w:r>
            <w:r>
              <w:rPr>
                <w:rFonts w:hint="eastAsia" w:ascii="宋体" w:hAnsi="宋体" w:cs="宋体"/>
                <w:color w:val="auto"/>
                <w:highlight w:val="none"/>
              </w:rPr>
              <w:fldChar w:fldCharType="separate"/>
            </w:r>
            <w:r>
              <w:rPr>
                <w:rStyle w:val="19"/>
                <w:rFonts w:hint="eastAsia" w:ascii="宋体" w:hAnsi="宋体" w:cs="宋体"/>
                <w:color w:val="auto"/>
                <w:sz w:val="21"/>
                <w:szCs w:val="21"/>
                <w:highlight w:val="none"/>
                <w:lang w:eastAsia="zh-TW"/>
              </w:rPr>
              <w:t>34086246@qq.com</w:t>
            </w:r>
            <w:r>
              <w:rPr>
                <w:rStyle w:val="19"/>
                <w:rFonts w:hint="eastAsia" w:ascii="宋体" w:hAnsi="宋体" w:eastAsia="宋体" w:cs="宋体"/>
                <w:color w:val="auto"/>
                <w:sz w:val="21"/>
                <w:szCs w:val="21"/>
                <w:highlight w:val="none"/>
                <w:lang w:eastAsia="zh-TW"/>
              </w:rPr>
              <w:t>。</w:t>
            </w:r>
            <w:r>
              <w:rPr>
                <w:rFonts w:hint="eastAsia" w:ascii="宋体" w:hAnsi="宋体" w:cs="宋体"/>
                <w:color w:val="auto"/>
                <w:highlight w:val="none"/>
              </w:rPr>
              <w:fldChar w:fldCharType="end"/>
            </w:r>
          </w:p>
        </w:tc>
      </w:tr>
    </w:tbl>
    <w:p w14:paraId="48856610">
      <w:pPr>
        <w:adjustRightInd/>
        <w:spacing w:line="360" w:lineRule="auto"/>
        <w:ind w:firstLine="3845" w:firstLineChars="1197"/>
        <w:outlineLvl w:val="0"/>
        <w:rPr>
          <w:rFonts w:ascii="宋体" w:hAnsi="宋体" w:cs="宋体"/>
          <w:b/>
          <w:color w:val="auto"/>
          <w:sz w:val="32"/>
          <w:szCs w:val="20"/>
          <w:highlight w:val="none"/>
          <w:lang w:eastAsia="zh-TW"/>
        </w:rPr>
      </w:pPr>
    </w:p>
    <w:p w14:paraId="1B0ED5BB">
      <w:pPr>
        <w:adjustRightInd/>
        <w:spacing w:line="360" w:lineRule="auto"/>
        <w:ind w:firstLine="3845" w:firstLineChars="1197"/>
        <w:outlineLvl w:val="0"/>
        <w:rPr>
          <w:rFonts w:ascii="宋体" w:hAnsi="宋体" w:cs="宋体"/>
          <w:b/>
          <w:color w:val="auto"/>
          <w:sz w:val="32"/>
          <w:szCs w:val="20"/>
          <w:highlight w:val="none"/>
          <w:lang w:eastAsia="zh-TW"/>
        </w:rPr>
      </w:pPr>
    </w:p>
    <w:p w14:paraId="7DFA3F61">
      <w:pPr>
        <w:adjustRightInd/>
        <w:spacing w:line="360" w:lineRule="auto"/>
        <w:ind w:firstLine="3845" w:firstLineChars="1197"/>
        <w:outlineLvl w:val="0"/>
        <w:rPr>
          <w:rFonts w:hint="eastAsia" w:ascii="宋体" w:hAnsi="宋体" w:cs="宋体"/>
          <w:b/>
          <w:color w:val="auto"/>
          <w:sz w:val="32"/>
          <w:szCs w:val="20"/>
          <w:highlight w:val="none"/>
        </w:rPr>
      </w:pPr>
    </w:p>
    <w:p w14:paraId="7CD8A53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F5C604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6152C1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485B1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45E3E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“供应商”系指是指响应采购、参加响应竞争的法人、其他组织。</w:t>
      </w:r>
    </w:p>
    <w:p w14:paraId="372EB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6B17C9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FE7D4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1.6“电子交易平台”系指本项目采购活动所依托的杭州市教育局非依法招标（小额）项目采购平台（https://hzjyg.lecaiyun.com/）。</w:t>
      </w:r>
    </w:p>
    <w:p w14:paraId="56B8B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569507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6A29FA7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60A66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4E6E40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3DC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2992933E">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6D019ADF">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4AC351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58EA349B">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50932E2F">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6CBA72C6">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03233E5D">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3915F417">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54B6C675">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40A29A17">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57EE0E83">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115BCBC9">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07C5F72A">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45108196">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4873B25C">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2DFE2CB7">
      <w:pPr>
        <w:pStyle w:val="25"/>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E5FC921">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BCE3C28">
      <w:pPr>
        <w:pStyle w:val="2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73825438">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7A73AB0E">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FC738D6">
      <w:pPr>
        <w:pStyle w:val="25"/>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5669A23E">
      <w:pPr>
        <w:pStyle w:val="25"/>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7F5D522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44A75264">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6E35A057">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1BCC67F6">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5877AD75">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3E85CE30">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4FA1C2A6">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6D224350">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342E3DAB">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7DB23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315C112">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144924AF">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63C868FF">
      <w:pPr>
        <w:pStyle w:val="24"/>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CEA7D8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01A0078D">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16B47EC7">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45E5440C">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7332AB24">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747DFD80">
      <w:pPr>
        <w:pStyle w:val="9"/>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62B1B26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6EB08096">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3619DB5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4B6BBFD">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2AD748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46E6F5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5E2ABD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3DFADD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8B99E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2C4BC3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06ED5E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22FD3A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434DCC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501BFA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C6A58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3716D9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4614A0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8075E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147B19BA">
      <w:pPr>
        <w:pStyle w:val="22"/>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356CB17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37D95EE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5DA3A9F6">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51143EDF">
      <w:pPr>
        <w:pStyle w:val="2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81462D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123154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116E3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10.3</w:t>
      </w:r>
      <w:r>
        <w:rPr>
          <w:rFonts w:hint="eastAsia" w:ascii="宋体" w:hAnsi="宋体" w:cs="宋体"/>
          <w:color w:val="auto"/>
          <w:kern w:val="0"/>
          <w:sz w:val="24"/>
          <w:highlight w:val="none"/>
        </w:rPr>
        <w:t>使用“电子交易客户端”需要提前申领CA数字证书，申领流程请自行前往“杭州市教育局非依法招标（小额）项目采购平台-下载专区-电子交易客户端-CA驱动和申领流程”进行查阅</w:t>
      </w:r>
      <w:r>
        <w:rPr>
          <w:rFonts w:hint="eastAsia" w:ascii="宋体" w:hAnsi="宋体" w:cs="宋体"/>
          <w:color w:val="auto"/>
          <w:kern w:val="0"/>
          <w:sz w:val="24"/>
          <w:highlight w:val="none"/>
          <w:lang w:val="zh-CN"/>
        </w:rPr>
        <w:t>。</w:t>
      </w:r>
    </w:p>
    <w:p w14:paraId="5D14A910">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5B5EDFC2">
      <w:pPr>
        <w:pStyle w:val="24"/>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0A4875E1">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3DAAB8A9">
      <w:pPr>
        <w:pStyle w:val="24"/>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52936EF7">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6589551F">
      <w:pPr>
        <w:pStyle w:val="24"/>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D630BE1">
      <w:pPr>
        <w:pStyle w:val="24"/>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41318B23">
      <w:pPr>
        <w:pStyle w:val="24"/>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58C946C5">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66EE131D">
      <w:pPr>
        <w:pStyle w:val="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39E74F1E">
      <w:pPr>
        <w:pStyle w:val="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电子交易客户端”制作生成，并储存在DVD光盘等存储介质中。备份响应文件应当密封包装并在包装上加盖公章并注明响应杭州市财经职业学校税费计算与申报精品课程资源开发采购项目，供应商名称。不符合上述制作、存储、密封规定的备份响应文件将被视为无效或者被拒绝接收。</w:t>
      </w:r>
    </w:p>
    <w:p w14:paraId="4C7B6B24">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3859514B">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0B53CED">
      <w:pPr>
        <w:pStyle w:val="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4C9C5A91">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374E880F">
      <w:pPr>
        <w:pStyle w:val="8"/>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3B951659">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5700674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4CB29544">
      <w:pPr>
        <w:pStyle w:val="24"/>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67374681">
      <w:pPr>
        <w:pStyle w:val="24"/>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2DCAF169">
      <w:pPr>
        <w:pStyle w:val="24"/>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940FA29">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10E1853C">
      <w:pPr>
        <w:pStyle w:val="2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7FB23A7E">
      <w:pPr>
        <w:pStyle w:val="2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7BDD5E1C">
      <w:pPr>
        <w:pStyle w:val="2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B8EFF43">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1A61F0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6C9472D1">
      <w:pPr>
        <w:pStyle w:val="24"/>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5EB23806">
      <w:pPr>
        <w:pStyle w:val="24"/>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6D3AFD15">
      <w:pPr>
        <w:pStyle w:val="24"/>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7AD68ADC">
      <w:pPr>
        <w:pStyle w:val="24"/>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C599ACD">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714683A9">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4D14FD5B">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1AA2EDDE">
      <w:pPr>
        <w:pStyle w:val="2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6EF29D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5AA0742F">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30DB37F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C31E86">
      <w:pPr>
        <w:pStyle w:val="8"/>
        <w:spacing w:line="360" w:lineRule="auto"/>
        <w:ind w:left="487" w:hanging="479" w:hangingChars="199"/>
        <w:rPr>
          <w:rFonts w:cs="宋体"/>
          <w:b/>
          <w:color w:val="auto"/>
          <w:highlight w:val="none"/>
        </w:rPr>
      </w:pPr>
      <w:r>
        <w:rPr>
          <w:rFonts w:hint="eastAsia" w:cs="宋体"/>
          <w:b/>
          <w:color w:val="auto"/>
          <w:highlight w:val="none"/>
        </w:rPr>
        <w:t>20. 确定成交供应商</w:t>
      </w:r>
    </w:p>
    <w:p w14:paraId="72D4F22C">
      <w:pPr>
        <w:pStyle w:val="24"/>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7940F31A">
      <w:pPr>
        <w:pStyle w:val="24"/>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3B6DC8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29C601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06A450F9">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26C1A9A">
      <w:pPr>
        <w:pStyle w:val="8"/>
        <w:spacing w:line="360" w:lineRule="auto"/>
        <w:ind w:left="487" w:hanging="479" w:hangingChars="199"/>
        <w:rPr>
          <w:rFonts w:cs="宋体"/>
          <w:b/>
          <w:color w:val="auto"/>
          <w:highlight w:val="none"/>
        </w:rPr>
      </w:pPr>
      <w:r>
        <w:rPr>
          <w:rFonts w:hint="eastAsia" w:cs="宋体"/>
          <w:b/>
          <w:color w:val="auto"/>
          <w:highlight w:val="none"/>
        </w:rPr>
        <w:t>22. 合同主要条款详见第五部分拟签订的合同文本。</w:t>
      </w:r>
    </w:p>
    <w:p w14:paraId="5F27B7DD">
      <w:pPr>
        <w:pStyle w:val="8"/>
        <w:spacing w:line="360" w:lineRule="auto"/>
        <w:ind w:left="487" w:hanging="479" w:hangingChars="199"/>
        <w:rPr>
          <w:rFonts w:cs="宋体"/>
          <w:b/>
          <w:color w:val="auto"/>
          <w:highlight w:val="none"/>
        </w:rPr>
      </w:pPr>
      <w:r>
        <w:rPr>
          <w:rFonts w:hint="eastAsia" w:cs="宋体"/>
          <w:b/>
          <w:color w:val="auto"/>
          <w:highlight w:val="none"/>
        </w:rPr>
        <w:t>23. 合同的签订</w:t>
      </w:r>
    </w:p>
    <w:p w14:paraId="724A51F0">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52C18326">
      <w:pPr>
        <w:pStyle w:val="2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678552A8">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29276463">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6462E314">
      <w:pPr>
        <w:pStyle w:val="24"/>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36D5E333">
      <w:pPr>
        <w:pStyle w:val="8"/>
        <w:spacing w:line="360" w:lineRule="auto"/>
        <w:ind w:left="487" w:hanging="479" w:hangingChars="199"/>
        <w:rPr>
          <w:rFonts w:cs="宋体"/>
          <w:b/>
          <w:color w:val="auto"/>
          <w:highlight w:val="none"/>
        </w:rPr>
      </w:pPr>
      <w:r>
        <w:rPr>
          <w:rFonts w:hint="eastAsia" w:cs="宋体"/>
          <w:b/>
          <w:color w:val="auto"/>
          <w:highlight w:val="none"/>
        </w:rPr>
        <w:t>24. 履约保证金</w:t>
      </w:r>
    </w:p>
    <w:p w14:paraId="55135AF4">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6E2D4F4">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E77156">
      <w:pPr>
        <w:pStyle w:val="2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213AEAE">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0D57C472">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6C3FBD3D">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3E69DCCF">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0A404AE4">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49619D01">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DB71B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67C4345D">
      <w:pPr>
        <w:pStyle w:val="8"/>
        <w:spacing w:line="360" w:lineRule="auto"/>
        <w:ind w:firstLine="0" w:firstLineChars="0"/>
        <w:rPr>
          <w:rFonts w:cs="宋体"/>
          <w:b/>
          <w:color w:val="auto"/>
          <w:highlight w:val="none"/>
        </w:rPr>
      </w:pPr>
      <w:r>
        <w:rPr>
          <w:rFonts w:hint="eastAsia" w:cs="宋体"/>
          <w:b/>
          <w:color w:val="auto"/>
          <w:highlight w:val="none"/>
        </w:rPr>
        <w:t>26.验收</w:t>
      </w:r>
    </w:p>
    <w:p w14:paraId="20A35A5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925A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068118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1499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1C94E16">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6"/>
    <w:bookmarkEnd w:id="7"/>
    <w:bookmarkEnd w:id="8"/>
    <w:bookmarkEnd w:id="9"/>
    <w:bookmarkEnd w:id="10"/>
    <w:p w14:paraId="3C23F24F">
      <w:pPr>
        <w:pStyle w:val="2"/>
        <w:rPr>
          <w:rFonts w:ascii="宋体" w:hAnsi="宋体" w:cs="宋体"/>
          <w:color w:val="auto"/>
          <w:highlight w:val="none"/>
        </w:rPr>
      </w:pPr>
      <w:bookmarkStart w:id="11" w:name="_Toc294012141"/>
      <w:bookmarkStart w:id="12" w:name="_Toc298767927"/>
      <w:bookmarkStart w:id="13" w:name="_Toc29944"/>
      <w:bookmarkStart w:id="14" w:name="_Toc13642"/>
      <w:r>
        <w:rPr>
          <w:rFonts w:hint="eastAsia" w:ascii="宋体" w:hAnsi="宋体" w:cs="宋体"/>
          <w:color w:val="auto"/>
          <w:highlight w:val="none"/>
        </w:rPr>
        <w:t xml:space="preserve">第三章  </w:t>
      </w:r>
      <w:bookmarkEnd w:id="11"/>
      <w:bookmarkEnd w:id="12"/>
      <w:r>
        <w:rPr>
          <w:rFonts w:hint="eastAsia" w:ascii="宋体" w:hAnsi="宋体" w:cs="宋体"/>
          <w:color w:val="auto"/>
          <w:highlight w:val="none"/>
        </w:rPr>
        <w:t>采购</w:t>
      </w:r>
      <w:bookmarkEnd w:id="13"/>
      <w:bookmarkEnd w:id="14"/>
      <w:r>
        <w:rPr>
          <w:rFonts w:hint="eastAsia" w:ascii="宋体" w:hAnsi="宋体" w:cs="宋体"/>
          <w:color w:val="auto"/>
          <w:highlight w:val="none"/>
        </w:rPr>
        <w:t>需求</w:t>
      </w:r>
    </w:p>
    <w:p w14:paraId="411F50F1">
      <w:pPr>
        <w:snapToGrid w:val="0"/>
        <w:spacing w:line="360" w:lineRule="auto"/>
        <w:rPr>
          <w:b/>
          <w:color w:val="auto"/>
          <w:sz w:val="24"/>
          <w:highlight w:val="none"/>
        </w:rPr>
      </w:pPr>
      <w:r>
        <w:rPr>
          <w:rFonts w:hint="eastAsia"/>
          <w:b/>
          <w:color w:val="auto"/>
          <w:sz w:val="24"/>
          <w:highlight w:val="none"/>
        </w:rPr>
        <w:t>一、项目概况</w:t>
      </w:r>
    </w:p>
    <w:p w14:paraId="2B695B74">
      <w:pPr>
        <w:snapToGrid w:val="0"/>
        <w:spacing w:line="360" w:lineRule="auto"/>
        <w:ind w:firstLine="480" w:firstLineChars="200"/>
        <w:rPr>
          <w:color w:val="auto"/>
          <w:sz w:val="24"/>
          <w:highlight w:val="none"/>
          <w:lang w:bidi="ar"/>
        </w:rPr>
      </w:pPr>
      <w:r>
        <w:rPr>
          <w:rFonts w:hint="eastAsia"/>
          <w:color w:val="auto"/>
          <w:sz w:val="24"/>
          <w:highlight w:val="none"/>
          <w:lang w:bidi="ar"/>
        </w:rPr>
        <w:t>（一）会计行业转型升级背景</w:t>
      </w:r>
    </w:p>
    <w:p w14:paraId="22C20BF3">
      <w:pPr>
        <w:snapToGrid w:val="0"/>
        <w:spacing w:line="360" w:lineRule="auto"/>
        <w:ind w:firstLine="480" w:firstLineChars="200"/>
        <w:rPr>
          <w:color w:val="auto"/>
          <w:sz w:val="24"/>
          <w:highlight w:val="none"/>
          <w:lang w:bidi="ar"/>
        </w:rPr>
      </w:pPr>
      <w:r>
        <w:rPr>
          <w:color w:val="auto"/>
          <w:sz w:val="24"/>
          <w:highlight w:val="none"/>
          <w:lang w:bidi="ar"/>
        </w:rPr>
        <w:t>随着人工智能技术的不断进步，基础财务处理工作正逐步被智能系统所取代，而财税领域也正日益成为人工智能在企业决策中的得力助手。财政部最新发布的《会计信息化发展规划（2021-2025年）》明确指出，在十</w:t>
      </w:r>
      <w:r>
        <w:rPr>
          <w:rFonts w:hint="eastAsia"/>
          <w:color w:val="auto"/>
          <w:sz w:val="24"/>
          <w:highlight w:val="none"/>
          <w:lang w:bidi="ar"/>
        </w:rPr>
        <w:t>四</w:t>
      </w:r>
      <w:r>
        <w:rPr>
          <w:color w:val="auto"/>
          <w:sz w:val="24"/>
          <w:highlight w:val="none"/>
          <w:lang w:bidi="ar"/>
        </w:rPr>
        <w:t>五期间，</w:t>
      </w:r>
      <w:r>
        <w:rPr>
          <w:rFonts w:hint="eastAsia"/>
          <w:color w:val="auto"/>
          <w:sz w:val="24"/>
          <w:highlight w:val="none"/>
          <w:lang w:bidi="ar"/>
        </w:rPr>
        <w:t>财税工作的智能化</w:t>
      </w:r>
      <w:r>
        <w:rPr>
          <w:color w:val="auto"/>
          <w:sz w:val="24"/>
          <w:highlight w:val="none"/>
          <w:lang w:bidi="ar"/>
        </w:rPr>
        <w:t>，如智能财务、财务共享、电子税务以及财务机器人等，已得到广泛推广。与此同时，《会计行业人才发展规划（2021-2025年）》也着重指出了智能财税人才培养的重要性。</w:t>
      </w:r>
    </w:p>
    <w:p w14:paraId="2D189D4B">
      <w:pPr>
        <w:snapToGrid w:val="0"/>
        <w:spacing w:line="360" w:lineRule="auto"/>
        <w:ind w:firstLine="480" w:firstLineChars="200"/>
        <w:rPr>
          <w:color w:val="auto"/>
          <w:sz w:val="24"/>
          <w:highlight w:val="none"/>
          <w:lang w:bidi="ar"/>
        </w:rPr>
      </w:pPr>
      <w:r>
        <w:rPr>
          <w:color w:val="auto"/>
          <w:sz w:val="24"/>
          <w:highlight w:val="none"/>
          <w:lang w:bidi="ar"/>
        </w:rPr>
        <w:t>鉴于财</w:t>
      </w:r>
      <w:r>
        <w:rPr>
          <w:rFonts w:hint="eastAsia"/>
          <w:color w:val="auto"/>
          <w:sz w:val="24"/>
          <w:highlight w:val="none"/>
          <w:lang w:bidi="ar"/>
        </w:rPr>
        <w:t>税</w:t>
      </w:r>
      <w:r>
        <w:rPr>
          <w:color w:val="auto"/>
          <w:sz w:val="24"/>
          <w:highlight w:val="none"/>
          <w:lang w:bidi="ar"/>
        </w:rPr>
        <w:t>行业正快速融入新知新技，我校高度重视并着手实施财会专业人才培养的转型升级。我们紧密跟踪社会需求，积极分析当前人才培养的短板，致力于提升学生的</w:t>
      </w:r>
      <w:r>
        <w:rPr>
          <w:rFonts w:hint="eastAsia"/>
          <w:color w:val="auto"/>
          <w:sz w:val="24"/>
          <w:highlight w:val="none"/>
          <w:lang w:bidi="ar"/>
        </w:rPr>
        <w:t>税费计算与申报业务</w:t>
      </w:r>
      <w:r>
        <w:rPr>
          <w:color w:val="auto"/>
          <w:sz w:val="24"/>
          <w:highlight w:val="none"/>
          <w:lang w:bidi="ar"/>
        </w:rPr>
        <w:t>处理能力，以更好地适应行业发展的新趋势。</w:t>
      </w:r>
    </w:p>
    <w:p w14:paraId="534C3C3E">
      <w:pPr>
        <w:snapToGrid w:val="0"/>
        <w:spacing w:line="360" w:lineRule="auto"/>
        <w:ind w:firstLine="480" w:firstLineChars="200"/>
        <w:rPr>
          <w:color w:val="auto"/>
          <w:sz w:val="24"/>
          <w:highlight w:val="none"/>
          <w:lang w:bidi="ar"/>
        </w:rPr>
      </w:pPr>
      <w:r>
        <w:rPr>
          <w:rFonts w:hint="eastAsia"/>
          <w:color w:val="auto"/>
          <w:sz w:val="24"/>
          <w:highlight w:val="none"/>
          <w:lang w:bidi="ar"/>
        </w:rPr>
        <w:t>（二）浙江省中高职一体化大数据与会计专业课改背景</w:t>
      </w:r>
    </w:p>
    <w:p w14:paraId="3B49FBF4">
      <w:pPr>
        <w:snapToGrid w:val="0"/>
        <w:spacing w:line="360" w:lineRule="auto"/>
        <w:ind w:firstLine="480" w:firstLineChars="200"/>
        <w:rPr>
          <w:color w:val="auto"/>
          <w:sz w:val="24"/>
          <w:highlight w:val="none"/>
          <w:lang w:bidi="ar"/>
        </w:rPr>
      </w:pPr>
      <w:r>
        <w:rPr>
          <w:rFonts w:hint="eastAsia"/>
          <w:color w:val="auto"/>
          <w:sz w:val="24"/>
          <w:highlight w:val="none"/>
          <w:lang w:bidi="ar"/>
        </w:rPr>
        <w:t>为适应新产业经济、新业态模式下财务会计、财务大数据分析等岗位（群）的新要求，不断满足会计职业领域高质量发展技术技能人才的需求，推动职业教育专业数字化升级的人才培养要求。浙江省教育厅办公室印发《浙江省中高职一体化课程改革方案》，制定了浙江省职业院校大数据与会计专业中高职一体化教学标准，强化培养能够从事会计核算、会计信息系统运维、财务管理、财务大数据分析及税务管理等工作的高素质技术技能人才，并制定中、高职专业核心课程进行无缝对接。浙江</w:t>
      </w:r>
      <w:r>
        <w:rPr>
          <w:color w:val="auto"/>
          <w:sz w:val="24"/>
          <w:highlight w:val="none"/>
          <w:lang w:bidi="ar"/>
        </w:rPr>
        <w:t>省中高一体化大数据与会计专业教学标准新增</w:t>
      </w:r>
      <w:r>
        <w:rPr>
          <w:rFonts w:hint="eastAsia"/>
          <w:color w:val="auto"/>
          <w:sz w:val="24"/>
          <w:highlight w:val="none"/>
          <w:lang w:bidi="ar"/>
        </w:rPr>
        <w:t>税费计算与申报</w:t>
      </w:r>
      <w:r>
        <w:rPr>
          <w:color w:val="auto"/>
          <w:sz w:val="24"/>
          <w:highlight w:val="none"/>
          <w:lang w:bidi="ar"/>
        </w:rPr>
        <w:t>能力培养的</w:t>
      </w:r>
      <w:r>
        <w:rPr>
          <w:rFonts w:hint="eastAsia"/>
          <w:color w:val="auto"/>
          <w:sz w:val="24"/>
          <w:highlight w:val="none"/>
          <w:lang w:bidi="ar"/>
        </w:rPr>
        <w:t>课程。</w:t>
      </w:r>
    </w:p>
    <w:p w14:paraId="56180B3B">
      <w:pPr>
        <w:snapToGrid w:val="0"/>
        <w:spacing w:line="360" w:lineRule="auto"/>
        <w:ind w:firstLine="480" w:firstLineChars="200"/>
        <w:rPr>
          <w:color w:val="auto"/>
          <w:sz w:val="24"/>
          <w:highlight w:val="none"/>
          <w:lang w:bidi="ar"/>
        </w:rPr>
      </w:pPr>
      <w:r>
        <w:rPr>
          <w:rFonts w:hint="eastAsia"/>
          <w:color w:val="auto"/>
          <w:sz w:val="24"/>
          <w:highlight w:val="none"/>
          <w:lang w:bidi="ar"/>
        </w:rPr>
        <w:t>（三）全国会计事务专业职业能力大赛背景</w:t>
      </w:r>
    </w:p>
    <w:p w14:paraId="770727B6">
      <w:pPr>
        <w:snapToGrid w:val="0"/>
        <w:spacing w:line="360" w:lineRule="auto"/>
        <w:ind w:firstLine="480" w:firstLineChars="200"/>
        <w:rPr>
          <w:color w:val="auto"/>
          <w:sz w:val="24"/>
          <w:highlight w:val="none"/>
          <w:lang w:bidi="ar"/>
        </w:rPr>
      </w:pPr>
      <w:r>
        <w:rPr>
          <w:rFonts w:hint="eastAsia"/>
          <w:color w:val="auto"/>
          <w:sz w:val="24"/>
          <w:highlight w:val="none"/>
          <w:lang w:bidi="ar"/>
        </w:rPr>
        <w:t>教育部在全国职业院校技能大赛新设中职组智能财税基本技能赛项，为充分发挥“以赛促改、以赛促教”，赛项设置了财务共享、纳税事务、财务数据分析三个赛段。赛项竞赛平台能够提升财税人才培养质量，推动财税教育改革，提高财税行业的竞争力，同时激发学生对财税领域的兴趣和职业发展意愿。为加快我校会计专业人才培养转型升级，需引入相关的实训、竞赛平台。</w:t>
      </w:r>
    </w:p>
    <w:p w14:paraId="666A5B3E">
      <w:pPr>
        <w:snapToGrid w:val="0"/>
        <w:spacing w:line="360" w:lineRule="auto"/>
        <w:ind w:firstLine="480" w:firstLineChars="200"/>
        <w:rPr>
          <w:color w:val="auto"/>
          <w:sz w:val="24"/>
          <w:highlight w:val="none"/>
          <w:lang w:bidi="ar"/>
        </w:rPr>
      </w:pPr>
      <w:r>
        <w:rPr>
          <w:rFonts w:hint="eastAsia"/>
          <w:color w:val="auto"/>
          <w:sz w:val="24"/>
          <w:highlight w:val="none"/>
          <w:lang w:bidi="ar"/>
        </w:rPr>
        <w:t>基于行业转型升级背景下专业人才能力结构的新要求、浙江省中高职一体化课程改革的要求，以及会计事务专业国赛赛项设置的要求，我专业对现行课程进行了完善升级，新设了税费计算与申报课程，为满足该课程的教学以及国赛训练的需求，特建设本项目。</w:t>
      </w:r>
    </w:p>
    <w:p w14:paraId="029CEB0D">
      <w:pPr>
        <w:snapToGrid w:val="0"/>
        <w:spacing w:line="360" w:lineRule="auto"/>
        <w:rPr>
          <w:b/>
          <w:color w:val="auto"/>
          <w:sz w:val="24"/>
          <w:highlight w:val="none"/>
        </w:rPr>
      </w:pPr>
      <w:r>
        <w:rPr>
          <w:rFonts w:hint="eastAsia"/>
          <w:b/>
          <w:color w:val="auto"/>
          <w:sz w:val="24"/>
          <w:highlight w:val="none"/>
        </w:rPr>
        <w:t>二、建设内容</w:t>
      </w:r>
    </w:p>
    <w:p w14:paraId="452E0A5A">
      <w:pPr>
        <w:spacing w:line="360" w:lineRule="auto"/>
        <w:jc w:val="center"/>
        <w:rPr>
          <w:color w:val="auto"/>
          <w:sz w:val="24"/>
          <w:highlight w:val="none"/>
        </w:rPr>
      </w:pPr>
      <w:bookmarkStart w:id="15" w:name="OLE_LINK34"/>
      <w:r>
        <w:rPr>
          <w:rFonts w:hint="eastAsia"/>
          <w:color w:val="auto"/>
          <w:sz w:val="24"/>
          <w:highlight w:val="none"/>
        </w:rPr>
        <w:t>税费计算与申报精品课程资源开发内容总清单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140"/>
        <w:gridCol w:w="1381"/>
        <w:gridCol w:w="1380"/>
      </w:tblGrid>
      <w:tr w14:paraId="31E8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601C948C">
            <w:pPr>
              <w:jc w:val="center"/>
              <w:rPr>
                <w:color w:val="auto"/>
                <w:sz w:val="24"/>
                <w:highlight w:val="none"/>
              </w:rPr>
            </w:pPr>
            <w:bookmarkStart w:id="16" w:name="OLE_LINK63"/>
            <w:r>
              <w:rPr>
                <w:rFonts w:hint="eastAsia"/>
                <w:b/>
                <w:bCs/>
                <w:color w:val="auto"/>
                <w:sz w:val="24"/>
                <w:highlight w:val="none"/>
              </w:rPr>
              <w:t>序号</w:t>
            </w:r>
          </w:p>
        </w:tc>
        <w:tc>
          <w:tcPr>
            <w:tcW w:w="2437" w:type="pct"/>
            <w:vAlign w:val="center"/>
          </w:tcPr>
          <w:p w14:paraId="71C6C0CF">
            <w:pPr>
              <w:jc w:val="center"/>
              <w:rPr>
                <w:color w:val="auto"/>
                <w:sz w:val="24"/>
                <w:highlight w:val="none"/>
              </w:rPr>
            </w:pPr>
            <w:r>
              <w:rPr>
                <w:rFonts w:hint="eastAsia"/>
                <w:b/>
                <w:bCs/>
                <w:color w:val="auto"/>
                <w:sz w:val="24"/>
                <w:highlight w:val="none"/>
              </w:rPr>
              <w:t>资源类型</w:t>
            </w:r>
          </w:p>
        </w:tc>
        <w:tc>
          <w:tcPr>
            <w:tcW w:w="813" w:type="pct"/>
            <w:vAlign w:val="center"/>
          </w:tcPr>
          <w:p w14:paraId="34F8FF2C">
            <w:pPr>
              <w:jc w:val="center"/>
              <w:rPr>
                <w:color w:val="auto"/>
                <w:sz w:val="24"/>
                <w:highlight w:val="none"/>
              </w:rPr>
            </w:pPr>
            <w:r>
              <w:rPr>
                <w:rFonts w:hint="eastAsia"/>
                <w:b/>
                <w:bCs/>
                <w:color w:val="auto"/>
                <w:sz w:val="24"/>
                <w:highlight w:val="none"/>
              </w:rPr>
              <w:t>单位</w:t>
            </w:r>
          </w:p>
        </w:tc>
        <w:tc>
          <w:tcPr>
            <w:tcW w:w="813" w:type="pct"/>
            <w:vAlign w:val="center"/>
          </w:tcPr>
          <w:p w14:paraId="7F4B5A41">
            <w:pPr>
              <w:jc w:val="center"/>
              <w:rPr>
                <w:color w:val="auto"/>
                <w:sz w:val="24"/>
                <w:highlight w:val="none"/>
              </w:rPr>
            </w:pPr>
            <w:r>
              <w:rPr>
                <w:rFonts w:hint="eastAsia"/>
                <w:b/>
                <w:bCs/>
                <w:color w:val="auto"/>
                <w:sz w:val="24"/>
                <w:highlight w:val="none"/>
              </w:rPr>
              <w:t>数量</w:t>
            </w:r>
          </w:p>
        </w:tc>
      </w:tr>
      <w:tr w14:paraId="0BB9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6593EF41">
            <w:pPr>
              <w:jc w:val="center"/>
              <w:rPr>
                <w:color w:val="auto"/>
                <w:sz w:val="24"/>
                <w:highlight w:val="none"/>
              </w:rPr>
            </w:pPr>
            <w:bookmarkStart w:id="17" w:name="_Hlk191905303"/>
            <w:r>
              <w:rPr>
                <w:rFonts w:hint="eastAsia"/>
                <w:color w:val="auto"/>
                <w:sz w:val="24"/>
                <w:highlight w:val="none"/>
              </w:rPr>
              <w:t>1</w:t>
            </w:r>
          </w:p>
        </w:tc>
        <w:tc>
          <w:tcPr>
            <w:tcW w:w="2437" w:type="pct"/>
            <w:vAlign w:val="center"/>
          </w:tcPr>
          <w:p w14:paraId="18A9E6E7">
            <w:pPr>
              <w:rPr>
                <w:color w:val="auto"/>
                <w:sz w:val="24"/>
                <w:highlight w:val="none"/>
              </w:rPr>
            </w:pPr>
            <w:r>
              <w:rPr>
                <w:rFonts w:hint="eastAsia"/>
                <w:color w:val="auto"/>
                <w:sz w:val="24"/>
                <w:highlight w:val="none"/>
              </w:rPr>
              <w:t>课程简介视频</w:t>
            </w:r>
          </w:p>
        </w:tc>
        <w:tc>
          <w:tcPr>
            <w:tcW w:w="813" w:type="pct"/>
            <w:vAlign w:val="center"/>
          </w:tcPr>
          <w:p w14:paraId="6D0D6755">
            <w:pPr>
              <w:jc w:val="center"/>
              <w:rPr>
                <w:color w:val="auto"/>
                <w:sz w:val="24"/>
                <w:highlight w:val="none"/>
              </w:rPr>
            </w:pPr>
            <w:r>
              <w:rPr>
                <w:rFonts w:hint="eastAsia"/>
                <w:color w:val="auto"/>
                <w:sz w:val="24"/>
                <w:highlight w:val="none"/>
              </w:rPr>
              <w:t>份</w:t>
            </w:r>
          </w:p>
        </w:tc>
        <w:tc>
          <w:tcPr>
            <w:tcW w:w="813" w:type="pct"/>
            <w:vAlign w:val="center"/>
          </w:tcPr>
          <w:p w14:paraId="2D7C00C0">
            <w:pPr>
              <w:jc w:val="center"/>
              <w:rPr>
                <w:color w:val="auto"/>
                <w:sz w:val="24"/>
                <w:highlight w:val="none"/>
              </w:rPr>
            </w:pPr>
            <w:r>
              <w:rPr>
                <w:rFonts w:hint="eastAsia"/>
                <w:color w:val="auto"/>
                <w:sz w:val="24"/>
                <w:highlight w:val="none"/>
              </w:rPr>
              <w:t>1</w:t>
            </w:r>
          </w:p>
        </w:tc>
      </w:tr>
      <w:tr w14:paraId="55B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31034DEE">
            <w:pPr>
              <w:jc w:val="center"/>
              <w:rPr>
                <w:color w:val="auto"/>
                <w:sz w:val="24"/>
                <w:highlight w:val="none"/>
              </w:rPr>
            </w:pPr>
            <w:r>
              <w:rPr>
                <w:rFonts w:hint="eastAsia"/>
                <w:color w:val="auto"/>
                <w:sz w:val="24"/>
                <w:highlight w:val="none"/>
              </w:rPr>
              <w:t>2</w:t>
            </w:r>
          </w:p>
        </w:tc>
        <w:tc>
          <w:tcPr>
            <w:tcW w:w="2437" w:type="pct"/>
            <w:vAlign w:val="center"/>
          </w:tcPr>
          <w:p w14:paraId="6B742344">
            <w:pPr>
              <w:rPr>
                <w:color w:val="auto"/>
                <w:sz w:val="24"/>
                <w:highlight w:val="none"/>
              </w:rPr>
            </w:pPr>
            <w:r>
              <w:rPr>
                <w:rFonts w:hint="eastAsia"/>
                <w:color w:val="auto"/>
                <w:sz w:val="24"/>
                <w:highlight w:val="none"/>
              </w:rPr>
              <w:t>课程标准</w:t>
            </w:r>
          </w:p>
        </w:tc>
        <w:tc>
          <w:tcPr>
            <w:tcW w:w="813" w:type="pct"/>
            <w:vAlign w:val="center"/>
          </w:tcPr>
          <w:p w14:paraId="574977C3">
            <w:pPr>
              <w:jc w:val="center"/>
              <w:rPr>
                <w:color w:val="auto"/>
                <w:sz w:val="24"/>
                <w:highlight w:val="none"/>
              </w:rPr>
            </w:pPr>
            <w:r>
              <w:rPr>
                <w:rFonts w:hint="eastAsia"/>
                <w:color w:val="auto"/>
                <w:sz w:val="24"/>
                <w:highlight w:val="none"/>
              </w:rPr>
              <w:t>个</w:t>
            </w:r>
          </w:p>
        </w:tc>
        <w:tc>
          <w:tcPr>
            <w:tcW w:w="813" w:type="pct"/>
            <w:vAlign w:val="center"/>
          </w:tcPr>
          <w:p w14:paraId="23B73948">
            <w:pPr>
              <w:jc w:val="center"/>
              <w:rPr>
                <w:color w:val="auto"/>
                <w:sz w:val="24"/>
                <w:highlight w:val="none"/>
              </w:rPr>
            </w:pPr>
            <w:r>
              <w:rPr>
                <w:rFonts w:hint="eastAsia"/>
                <w:color w:val="auto"/>
                <w:sz w:val="24"/>
                <w:highlight w:val="none"/>
              </w:rPr>
              <w:t>1</w:t>
            </w:r>
          </w:p>
        </w:tc>
      </w:tr>
      <w:tr w14:paraId="4585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5D0B5809">
            <w:pPr>
              <w:jc w:val="center"/>
              <w:rPr>
                <w:color w:val="auto"/>
                <w:sz w:val="24"/>
                <w:highlight w:val="none"/>
              </w:rPr>
            </w:pPr>
            <w:r>
              <w:rPr>
                <w:rFonts w:hint="eastAsia"/>
                <w:color w:val="auto"/>
                <w:sz w:val="24"/>
                <w:highlight w:val="none"/>
              </w:rPr>
              <w:t>3</w:t>
            </w:r>
          </w:p>
        </w:tc>
        <w:tc>
          <w:tcPr>
            <w:tcW w:w="2437" w:type="pct"/>
            <w:vAlign w:val="center"/>
          </w:tcPr>
          <w:p w14:paraId="75A579B8">
            <w:pPr>
              <w:rPr>
                <w:color w:val="auto"/>
                <w:sz w:val="24"/>
                <w:highlight w:val="none"/>
              </w:rPr>
            </w:pPr>
            <w:r>
              <w:rPr>
                <w:rFonts w:hint="eastAsia"/>
                <w:color w:val="auto"/>
                <w:sz w:val="24"/>
                <w:highlight w:val="none"/>
              </w:rPr>
              <w:t>教学案例</w:t>
            </w:r>
          </w:p>
        </w:tc>
        <w:tc>
          <w:tcPr>
            <w:tcW w:w="813" w:type="pct"/>
            <w:vAlign w:val="center"/>
          </w:tcPr>
          <w:p w14:paraId="07B0E150">
            <w:pPr>
              <w:jc w:val="center"/>
              <w:rPr>
                <w:color w:val="auto"/>
                <w:sz w:val="24"/>
                <w:highlight w:val="none"/>
              </w:rPr>
            </w:pPr>
            <w:r>
              <w:rPr>
                <w:rFonts w:hint="eastAsia"/>
                <w:color w:val="auto"/>
                <w:sz w:val="24"/>
                <w:highlight w:val="none"/>
              </w:rPr>
              <w:t>个</w:t>
            </w:r>
          </w:p>
        </w:tc>
        <w:tc>
          <w:tcPr>
            <w:tcW w:w="813" w:type="pct"/>
            <w:vAlign w:val="center"/>
          </w:tcPr>
          <w:p w14:paraId="1FE56D4A">
            <w:pPr>
              <w:jc w:val="center"/>
              <w:rPr>
                <w:color w:val="auto"/>
                <w:sz w:val="24"/>
                <w:highlight w:val="none"/>
              </w:rPr>
            </w:pPr>
            <w:r>
              <w:rPr>
                <w:rFonts w:hint="eastAsia"/>
                <w:color w:val="auto"/>
                <w:sz w:val="24"/>
                <w:highlight w:val="none"/>
              </w:rPr>
              <w:t>10</w:t>
            </w:r>
          </w:p>
        </w:tc>
      </w:tr>
      <w:tr w14:paraId="5E8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7F5E06FE">
            <w:pPr>
              <w:jc w:val="center"/>
              <w:rPr>
                <w:color w:val="auto"/>
                <w:sz w:val="24"/>
                <w:highlight w:val="none"/>
              </w:rPr>
            </w:pPr>
            <w:r>
              <w:rPr>
                <w:rFonts w:hint="eastAsia"/>
                <w:color w:val="auto"/>
                <w:sz w:val="24"/>
                <w:highlight w:val="none"/>
              </w:rPr>
              <w:t>4</w:t>
            </w:r>
          </w:p>
        </w:tc>
        <w:tc>
          <w:tcPr>
            <w:tcW w:w="2437" w:type="pct"/>
            <w:vAlign w:val="center"/>
          </w:tcPr>
          <w:p w14:paraId="53CEFB47">
            <w:pPr>
              <w:rPr>
                <w:color w:val="auto"/>
                <w:sz w:val="24"/>
                <w:highlight w:val="none"/>
              </w:rPr>
            </w:pPr>
            <w:r>
              <w:rPr>
                <w:rFonts w:hint="eastAsia"/>
                <w:color w:val="auto"/>
                <w:sz w:val="24"/>
                <w:highlight w:val="none"/>
              </w:rPr>
              <w:t>微课</w:t>
            </w:r>
          </w:p>
        </w:tc>
        <w:tc>
          <w:tcPr>
            <w:tcW w:w="813" w:type="pct"/>
            <w:vAlign w:val="center"/>
          </w:tcPr>
          <w:p w14:paraId="1D2FCB85">
            <w:pPr>
              <w:jc w:val="center"/>
              <w:rPr>
                <w:color w:val="auto"/>
                <w:sz w:val="24"/>
                <w:highlight w:val="none"/>
              </w:rPr>
            </w:pPr>
            <w:r>
              <w:rPr>
                <w:rFonts w:hint="eastAsia"/>
                <w:color w:val="auto"/>
                <w:sz w:val="24"/>
                <w:highlight w:val="none"/>
              </w:rPr>
              <w:t>个</w:t>
            </w:r>
          </w:p>
        </w:tc>
        <w:tc>
          <w:tcPr>
            <w:tcW w:w="813" w:type="pct"/>
            <w:vAlign w:val="center"/>
          </w:tcPr>
          <w:p w14:paraId="7F1102EE">
            <w:pPr>
              <w:jc w:val="center"/>
              <w:rPr>
                <w:color w:val="auto"/>
                <w:sz w:val="24"/>
                <w:highlight w:val="none"/>
              </w:rPr>
            </w:pPr>
            <w:r>
              <w:rPr>
                <w:rFonts w:hint="eastAsia"/>
                <w:color w:val="auto"/>
                <w:sz w:val="24"/>
                <w:highlight w:val="none"/>
              </w:rPr>
              <w:t>35</w:t>
            </w:r>
          </w:p>
        </w:tc>
      </w:tr>
      <w:tr w14:paraId="2FEC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6C255FA8">
            <w:pPr>
              <w:jc w:val="center"/>
              <w:rPr>
                <w:color w:val="auto"/>
                <w:sz w:val="24"/>
                <w:highlight w:val="none"/>
              </w:rPr>
            </w:pPr>
            <w:r>
              <w:rPr>
                <w:rFonts w:hint="eastAsia"/>
                <w:color w:val="auto"/>
                <w:sz w:val="24"/>
                <w:highlight w:val="none"/>
              </w:rPr>
              <w:t>5</w:t>
            </w:r>
          </w:p>
        </w:tc>
        <w:tc>
          <w:tcPr>
            <w:tcW w:w="2437" w:type="pct"/>
            <w:vAlign w:val="center"/>
          </w:tcPr>
          <w:p w14:paraId="37DD07CC">
            <w:pPr>
              <w:rPr>
                <w:color w:val="auto"/>
                <w:sz w:val="24"/>
                <w:highlight w:val="none"/>
              </w:rPr>
            </w:pPr>
            <w:r>
              <w:rPr>
                <w:rFonts w:hint="eastAsia"/>
                <w:color w:val="auto"/>
                <w:sz w:val="24"/>
                <w:highlight w:val="none"/>
              </w:rPr>
              <w:t>动画</w:t>
            </w:r>
          </w:p>
        </w:tc>
        <w:tc>
          <w:tcPr>
            <w:tcW w:w="813" w:type="pct"/>
            <w:vAlign w:val="center"/>
          </w:tcPr>
          <w:p w14:paraId="2C080CBC">
            <w:pPr>
              <w:jc w:val="center"/>
              <w:rPr>
                <w:color w:val="auto"/>
                <w:sz w:val="24"/>
                <w:highlight w:val="none"/>
              </w:rPr>
            </w:pPr>
            <w:r>
              <w:rPr>
                <w:rFonts w:hint="eastAsia"/>
                <w:color w:val="auto"/>
                <w:sz w:val="24"/>
                <w:highlight w:val="none"/>
              </w:rPr>
              <w:t>个</w:t>
            </w:r>
          </w:p>
        </w:tc>
        <w:tc>
          <w:tcPr>
            <w:tcW w:w="813" w:type="pct"/>
            <w:vAlign w:val="center"/>
          </w:tcPr>
          <w:p w14:paraId="5097ABB2">
            <w:pPr>
              <w:jc w:val="center"/>
              <w:rPr>
                <w:color w:val="auto"/>
                <w:sz w:val="24"/>
                <w:highlight w:val="none"/>
              </w:rPr>
            </w:pPr>
            <w:r>
              <w:rPr>
                <w:rFonts w:hint="eastAsia"/>
                <w:color w:val="auto"/>
                <w:sz w:val="24"/>
                <w:highlight w:val="none"/>
              </w:rPr>
              <w:t>15</w:t>
            </w:r>
          </w:p>
        </w:tc>
      </w:tr>
      <w:tr w14:paraId="4C40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1D1F3C85">
            <w:pPr>
              <w:jc w:val="center"/>
              <w:rPr>
                <w:color w:val="auto"/>
                <w:sz w:val="24"/>
                <w:highlight w:val="none"/>
              </w:rPr>
            </w:pPr>
            <w:r>
              <w:rPr>
                <w:rFonts w:hint="eastAsia"/>
                <w:color w:val="auto"/>
                <w:sz w:val="24"/>
                <w:highlight w:val="none"/>
              </w:rPr>
              <w:t>6</w:t>
            </w:r>
          </w:p>
        </w:tc>
        <w:tc>
          <w:tcPr>
            <w:tcW w:w="2437" w:type="pct"/>
            <w:vAlign w:val="center"/>
          </w:tcPr>
          <w:p w14:paraId="1579A1B4">
            <w:pPr>
              <w:rPr>
                <w:color w:val="auto"/>
                <w:sz w:val="24"/>
                <w:highlight w:val="none"/>
              </w:rPr>
            </w:pPr>
            <w:r>
              <w:rPr>
                <w:rFonts w:hint="eastAsia"/>
                <w:color w:val="auto"/>
                <w:sz w:val="24"/>
                <w:highlight w:val="none"/>
              </w:rPr>
              <w:t>教学视频</w:t>
            </w:r>
          </w:p>
        </w:tc>
        <w:tc>
          <w:tcPr>
            <w:tcW w:w="813" w:type="pct"/>
            <w:vAlign w:val="center"/>
          </w:tcPr>
          <w:p w14:paraId="48E7BFD4">
            <w:pPr>
              <w:jc w:val="center"/>
              <w:rPr>
                <w:color w:val="auto"/>
                <w:sz w:val="24"/>
                <w:highlight w:val="none"/>
              </w:rPr>
            </w:pPr>
            <w:r>
              <w:rPr>
                <w:rFonts w:hint="eastAsia"/>
                <w:color w:val="auto"/>
                <w:sz w:val="24"/>
                <w:highlight w:val="none"/>
              </w:rPr>
              <w:t>个</w:t>
            </w:r>
          </w:p>
        </w:tc>
        <w:tc>
          <w:tcPr>
            <w:tcW w:w="813" w:type="pct"/>
            <w:vAlign w:val="center"/>
          </w:tcPr>
          <w:p w14:paraId="44CA7FF1">
            <w:pPr>
              <w:jc w:val="center"/>
              <w:rPr>
                <w:color w:val="auto"/>
                <w:sz w:val="24"/>
                <w:highlight w:val="none"/>
              </w:rPr>
            </w:pPr>
            <w:r>
              <w:rPr>
                <w:rFonts w:hint="eastAsia"/>
                <w:color w:val="auto"/>
                <w:sz w:val="24"/>
                <w:highlight w:val="none"/>
              </w:rPr>
              <w:t>39</w:t>
            </w:r>
          </w:p>
        </w:tc>
      </w:tr>
      <w:tr w14:paraId="5A3A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76438523">
            <w:pPr>
              <w:jc w:val="center"/>
              <w:rPr>
                <w:color w:val="auto"/>
                <w:sz w:val="24"/>
                <w:highlight w:val="none"/>
              </w:rPr>
            </w:pPr>
            <w:r>
              <w:rPr>
                <w:rFonts w:hint="eastAsia"/>
                <w:color w:val="auto"/>
                <w:sz w:val="24"/>
                <w:highlight w:val="none"/>
              </w:rPr>
              <w:t>7</w:t>
            </w:r>
          </w:p>
        </w:tc>
        <w:tc>
          <w:tcPr>
            <w:tcW w:w="2437" w:type="pct"/>
            <w:vAlign w:val="center"/>
          </w:tcPr>
          <w:p w14:paraId="5E44AF2D">
            <w:pPr>
              <w:rPr>
                <w:color w:val="auto"/>
                <w:sz w:val="24"/>
                <w:highlight w:val="none"/>
              </w:rPr>
            </w:pPr>
            <w:r>
              <w:rPr>
                <w:rFonts w:hint="eastAsia"/>
                <w:color w:val="auto"/>
                <w:sz w:val="24"/>
                <w:highlight w:val="none"/>
              </w:rPr>
              <w:t>教学设计</w:t>
            </w:r>
          </w:p>
        </w:tc>
        <w:tc>
          <w:tcPr>
            <w:tcW w:w="813" w:type="pct"/>
            <w:vAlign w:val="center"/>
          </w:tcPr>
          <w:p w14:paraId="178E7BCB">
            <w:pPr>
              <w:jc w:val="center"/>
              <w:rPr>
                <w:color w:val="auto"/>
                <w:sz w:val="24"/>
                <w:highlight w:val="none"/>
              </w:rPr>
            </w:pPr>
            <w:r>
              <w:rPr>
                <w:rFonts w:hint="eastAsia"/>
                <w:color w:val="auto"/>
                <w:sz w:val="24"/>
                <w:highlight w:val="none"/>
              </w:rPr>
              <w:t>个</w:t>
            </w:r>
          </w:p>
        </w:tc>
        <w:tc>
          <w:tcPr>
            <w:tcW w:w="813" w:type="pct"/>
            <w:vAlign w:val="center"/>
          </w:tcPr>
          <w:p w14:paraId="38B636DD">
            <w:pPr>
              <w:jc w:val="center"/>
              <w:rPr>
                <w:color w:val="auto"/>
                <w:sz w:val="24"/>
                <w:highlight w:val="none"/>
              </w:rPr>
            </w:pPr>
            <w:r>
              <w:rPr>
                <w:rFonts w:hint="eastAsia"/>
                <w:color w:val="auto"/>
                <w:sz w:val="24"/>
                <w:highlight w:val="none"/>
              </w:rPr>
              <w:t>20</w:t>
            </w:r>
          </w:p>
        </w:tc>
      </w:tr>
      <w:tr w14:paraId="74C0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0F8E6D63">
            <w:pPr>
              <w:jc w:val="center"/>
              <w:rPr>
                <w:color w:val="auto"/>
                <w:sz w:val="24"/>
                <w:highlight w:val="none"/>
              </w:rPr>
            </w:pPr>
            <w:r>
              <w:rPr>
                <w:rFonts w:hint="eastAsia"/>
                <w:color w:val="auto"/>
                <w:sz w:val="24"/>
                <w:highlight w:val="none"/>
              </w:rPr>
              <w:t>8</w:t>
            </w:r>
          </w:p>
        </w:tc>
        <w:tc>
          <w:tcPr>
            <w:tcW w:w="2437" w:type="pct"/>
            <w:vAlign w:val="center"/>
          </w:tcPr>
          <w:p w14:paraId="66071EC4">
            <w:pPr>
              <w:rPr>
                <w:color w:val="auto"/>
                <w:sz w:val="24"/>
                <w:highlight w:val="none"/>
              </w:rPr>
            </w:pPr>
            <w:r>
              <w:rPr>
                <w:rFonts w:hint="eastAsia"/>
                <w:color w:val="auto"/>
                <w:sz w:val="24"/>
                <w:highlight w:val="none"/>
              </w:rPr>
              <w:t>教学课件</w:t>
            </w:r>
          </w:p>
        </w:tc>
        <w:tc>
          <w:tcPr>
            <w:tcW w:w="813" w:type="pct"/>
            <w:vAlign w:val="center"/>
          </w:tcPr>
          <w:p w14:paraId="3A34410F">
            <w:pPr>
              <w:jc w:val="center"/>
              <w:rPr>
                <w:color w:val="auto"/>
                <w:sz w:val="24"/>
                <w:highlight w:val="none"/>
              </w:rPr>
            </w:pPr>
            <w:r>
              <w:rPr>
                <w:rFonts w:hint="eastAsia"/>
                <w:color w:val="auto"/>
                <w:sz w:val="24"/>
                <w:highlight w:val="none"/>
              </w:rPr>
              <w:t>个</w:t>
            </w:r>
          </w:p>
        </w:tc>
        <w:tc>
          <w:tcPr>
            <w:tcW w:w="813" w:type="pct"/>
            <w:vAlign w:val="center"/>
          </w:tcPr>
          <w:p w14:paraId="01B0BFF5">
            <w:pPr>
              <w:jc w:val="center"/>
              <w:rPr>
                <w:color w:val="auto"/>
                <w:sz w:val="24"/>
                <w:highlight w:val="none"/>
              </w:rPr>
            </w:pPr>
            <w:r>
              <w:rPr>
                <w:rFonts w:hint="eastAsia"/>
                <w:color w:val="auto"/>
                <w:sz w:val="24"/>
                <w:highlight w:val="none"/>
              </w:rPr>
              <w:t>20</w:t>
            </w:r>
          </w:p>
        </w:tc>
      </w:tr>
      <w:tr w14:paraId="0444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424CCD12">
            <w:pPr>
              <w:jc w:val="center"/>
              <w:rPr>
                <w:color w:val="auto"/>
                <w:sz w:val="24"/>
                <w:highlight w:val="none"/>
              </w:rPr>
            </w:pPr>
            <w:r>
              <w:rPr>
                <w:rFonts w:hint="eastAsia"/>
                <w:color w:val="auto"/>
                <w:sz w:val="24"/>
                <w:highlight w:val="none"/>
              </w:rPr>
              <w:t>9</w:t>
            </w:r>
          </w:p>
        </w:tc>
        <w:tc>
          <w:tcPr>
            <w:tcW w:w="2437" w:type="pct"/>
            <w:vAlign w:val="center"/>
          </w:tcPr>
          <w:p w14:paraId="6A4A6CE2">
            <w:pPr>
              <w:rPr>
                <w:color w:val="auto"/>
                <w:sz w:val="24"/>
                <w:highlight w:val="none"/>
              </w:rPr>
            </w:pPr>
            <w:r>
              <w:rPr>
                <w:rFonts w:hint="eastAsia"/>
                <w:color w:val="auto"/>
                <w:sz w:val="24"/>
                <w:highlight w:val="none"/>
              </w:rPr>
              <w:t>教学测试题</w:t>
            </w:r>
          </w:p>
        </w:tc>
        <w:tc>
          <w:tcPr>
            <w:tcW w:w="813" w:type="pct"/>
            <w:vAlign w:val="center"/>
          </w:tcPr>
          <w:p w14:paraId="76AF2D46">
            <w:pPr>
              <w:jc w:val="center"/>
              <w:rPr>
                <w:color w:val="auto"/>
                <w:sz w:val="24"/>
                <w:highlight w:val="none"/>
              </w:rPr>
            </w:pPr>
            <w:r>
              <w:rPr>
                <w:rFonts w:hint="eastAsia"/>
                <w:color w:val="auto"/>
                <w:sz w:val="24"/>
                <w:highlight w:val="none"/>
              </w:rPr>
              <w:t>套</w:t>
            </w:r>
          </w:p>
        </w:tc>
        <w:tc>
          <w:tcPr>
            <w:tcW w:w="813" w:type="pct"/>
            <w:vAlign w:val="center"/>
          </w:tcPr>
          <w:p w14:paraId="1B96B59B">
            <w:pPr>
              <w:jc w:val="center"/>
              <w:rPr>
                <w:color w:val="auto"/>
                <w:sz w:val="24"/>
                <w:highlight w:val="none"/>
              </w:rPr>
            </w:pPr>
            <w:r>
              <w:rPr>
                <w:rFonts w:hint="eastAsia"/>
                <w:color w:val="auto"/>
                <w:sz w:val="24"/>
                <w:highlight w:val="none"/>
              </w:rPr>
              <w:t>40</w:t>
            </w:r>
          </w:p>
        </w:tc>
      </w:tr>
      <w:tr w14:paraId="61F7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pct"/>
            <w:vAlign w:val="center"/>
          </w:tcPr>
          <w:p w14:paraId="18ECB539">
            <w:pPr>
              <w:jc w:val="center"/>
              <w:rPr>
                <w:color w:val="auto"/>
                <w:sz w:val="24"/>
                <w:highlight w:val="none"/>
              </w:rPr>
            </w:pPr>
            <w:r>
              <w:rPr>
                <w:rFonts w:hint="eastAsia"/>
                <w:color w:val="auto"/>
                <w:sz w:val="24"/>
                <w:highlight w:val="none"/>
              </w:rPr>
              <w:t>10</w:t>
            </w:r>
          </w:p>
        </w:tc>
        <w:tc>
          <w:tcPr>
            <w:tcW w:w="2437" w:type="pct"/>
            <w:vAlign w:val="center"/>
          </w:tcPr>
          <w:p w14:paraId="0A80AA14">
            <w:pPr>
              <w:rPr>
                <w:color w:val="auto"/>
                <w:sz w:val="24"/>
                <w:highlight w:val="none"/>
              </w:rPr>
            </w:pPr>
            <w:r>
              <w:rPr>
                <w:rFonts w:hint="eastAsia"/>
                <w:color w:val="auto"/>
                <w:sz w:val="24"/>
                <w:highlight w:val="none"/>
              </w:rPr>
              <w:t>实训任务</w:t>
            </w:r>
          </w:p>
        </w:tc>
        <w:tc>
          <w:tcPr>
            <w:tcW w:w="813" w:type="pct"/>
            <w:vAlign w:val="center"/>
          </w:tcPr>
          <w:p w14:paraId="1C3E0D03">
            <w:pPr>
              <w:jc w:val="center"/>
              <w:rPr>
                <w:color w:val="auto"/>
                <w:sz w:val="24"/>
                <w:highlight w:val="none"/>
              </w:rPr>
            </w:pPr>
            <w:r>
              <w:rPr>
                <w:rFonts w:hint="eastAsia"/>
                <w:color w:val="auto"/>
                <w:sz w:val="24"/>
                <w:highlight w:val="none"/>
              </w:rPr>
              <w:t>个</w:t>
            </w:r>
          </w:p>
        </w:tc>
        <w:tc>
          <w:tcPr>
            <w:tcW w:w="813" w:type="pct"/>
            <w:vAlign w:val="center"/>
          </w:tcPr>
          <w:p w14:paraId="596D7478">
            <w:pPr>
              <w:jc w:val="center"/>
              <w:rPr>
                <w:color w:val="auto"/>
                <w:sz w:val="24"/>
                <w:highlight w:val="none"/>
              </w:rPr>
            </w:pPr>
            <w:r>
              <w:rPr>
                <w:rFonts w:hint="eastAsia"/>
                <w:color w:val="auto"/>
                <w:sz w:val="24"/>
                <w:highlight w:val="none"/>
              </w:rPr>
              <w:t>7</w:t>
            </w:r>
          </w:p>
        </w:tc>
      </w:tr>
      <w:bookmarkEnd w:id="15"/>
      <w:bookmarkEnd w:id="16"/>
      <w:bookmarkEnd w:id="17"/>
    </w:tbl>
    <w:p w14:paraId="294F1DC0">
      <w:pPr>
        <w:snapToGrid w:val="0"/>
        <w:spacing w:line="360" w:lineRule="auto"/>
        <w:rPr>
          <w:b/>
          <w:color w:val="auto"/>
          <w:sz w:val="24"/>
          <w:highlight w:val="none"/>
        </w:rPr>
      </w:pPr>
    </w:p>
    <w:p w14:paraId="661BCDB2">
      <w:pPr>
        <w:snapToGrid w:val="0"/>
        <w:spacing w:line="360" w:lineRule="auto"/>
        <w:rPr>
          <w:b/>
          <w:color w:val="auto"/>
          <w:sz w:val="24"/>
          <w:highlight w:val="none"/>
        </w:rPr>
      </w:pPr>
      <w:r>
        <w:rPr>
          <w:rFonts w:hint="eastAsia"/>
          <w:b/>
          <w:color w:val="auto"/>
          <w:sz w:val="24"/>
          <w:highlight w:val="none"/>
        </w:rPr>
        <w:t>（一）课程简介视频（1个）</w:t>
      </w:r>
    </w:p>
    <w:p w14:paraId="7A24FAAE">
      <w:pPr>
        <w:snapToGrid w:val="0"/>
        <w:spacing w:line="360" w:lineRule="auto"/>
        <w:ind w:firstLine="480" w:firstLineChars="200"/>
        <w:rPr>
          <w:color w:val="auto"/>
          <w:sz w:val="24"/>
          <w:highlight w:val="none"/>
          <w:lang w:bidi="ar"/>
        </w:rPr>
      </w:pPr>
      <w:r>
        <w:rPr>
          <w:rFonts w:hint="eastAsia"/>
          <w:color w:val="auto"/>
          <w:sz w:val="24"/>
          <w:highlight w:val="none"/>
          <w:lang w:bidi="ar"/>
        </w:rPr>
        <w:t>课程简介视频是对课程的整体介绍，一般包括课程概览、课程特色。</w:t>
      </w:r>
    </w:p>
    <w:p w14:paraId="5AF24C95">
      <w:pPr>
        <w:snapToGrid w:val="0"/>
        <w:spacing w:line="360" w:lineRule="auto"/>
        <w:rPr>
          <w:b/>
          <w:color w:val="auto"/>
          <w:sz w:val="24"/>
          <w:highlight w:val="none"/>
        </w:rPr>
      </w:pPr>
      <w:r>
        <w:rPr>
          <w:rFonts w:hint="eastAsia"/>
          <w:b/>
          <w:color w:val="auto"/>
          <w:sz w:val="24"/>
          <w:highlight w:val="none"/>
        </w:rPr>
        <w:t>（二）课程标准（1个）</w:t>
      </w:r>
    </w:p>
    <w:p w14:paraId="3BD563E1">
      <w:pPr>
        <w:snapToGrid w:val="0"/>
        <w:spacing w:line="360" w:lineRule="auto"/>
        <w:ind w:firstLine="480" w:firstLineChars="200"/>
        <w:rPr>
          <w:b/>
          <w:color w:val="auto"/>
          <w:sz w:val="24"/>
          <w:highlight w:val="none"/>
        </w:rPr>
      </w:pPr>
      <w:r>
        <w:rPr>
          <w:rFonts w:hint="eastAsia"/>
          <w:color w:val="auto"/>
          <w:sz w:val="24"/>
          <w:highlight w:val="none"/>
          <w:lang w:bidi="ar"/>
        </w:rPr>
        <w:t>课程标准主要包含课程简介、课程内容、课程目标、建议课时、教学方法、课程考核等部分内容。</w:t>
      </w:r>
    </w:p>
    <w:p w14:paraId="154C56CA">
      <w:pPr>
        <w:snapToGrid w:val="0"/>
        <w:spacing w:line="360" w:lineRule="auto"/>
        <w:rPr>
          <w:b/>
          <w:color w:val="auto"/>
          <w:sz w:val="24"/>
          <w:highlight w:val="none"/>
        </w:rPr>
      </w:pPr>
      <w:r>
        <w:rPr>
          <w:rFonts w:hint="eastAsia"/>
          <w:b/>
          <w:color w:val="auto"/>
          <w:sz w:val="24"/>
          <w:highlight w:val="none"/>
        </w:rPr>
        <w:t>（三）教学案例（10个）</w:t>
      </w:r>
    </w:p>
    <w:p w14:paraId="4530608F">
      <w:pPr>
        <w:spacing w:line="360" w:lineRule="auto"/>
        <w:ind w:firstLine="480" w:firstLineChars="200"/>
        <w:rPr>
          <w:bCs/>
          <w:color w:val="auto"/>
          <w:sz w:val="24"/>
          <w:highlight w:val="none"/>
        </w:rPr>
      </w:pPr>
      <w:r>
        <w:rPr>
          <w:rFonts w:hint="eastAsia"/>
          <w:bCs/>
          <w:color w:val="auto"/>
          <w:sz w:val="24"/>
          <w:highlight w:val="none"/>
        </w:rPr>
        <w:t>教学案例指教学过程中用到的各种案例材料，多来自于行业企业、工程实践等。案例要能说明一定的实际问题，包括相关背景资料、分析与评价、相关应用领域、教学建议及学习指南等内容。</w:t>
      </w:r>
    </w:p>
    <w:p w14:paraId="108EDE49">
      <w:pPr>
        <w:snapToGrid w:val="0"/>
        <w:spacing w:line="360" w:lineRule="auto"/>
        <w:rPr>
          <w:b/>
          <w:color w:val="auto"/>
          <w:sz w:val="24"/>
          <w:highlight w:val="none"/>
        </w:rPr>
      </w:pPr>
      <w:r>
        <w:rPr>
          <w:rFonts w:hint="eastAsia"/>
          <w:b/>
          <w:color w:val="auto"/>
          <w:sz w:val="24"/>
          <w:highlight w:val="none"/>
        </w:rPr>
        <w:t>（四）微课（35个）、动画（15个）、教学视频（39个）</w:t>
      </w:r>
    </w:p>
    <w:p w14:paraId="1345096C">
      <w:pPr>
        <w:snapToGrid w:val="0"/>
        <w:spacing w:line="360" w:lineRule="auto"/>
        <w:ind w:firstLine="480" w:firstLineChars="200"/>
        <w:rPr>
          <w:bCs/>
          <w:color w:val="auto"/>
          <w:sz w:val="24"/>
          <w:highlight w:val="none"/>
        </w:rPr>
      </w:pPr>
      <w:r>
        <w:rPr>
          <w:rFonts w:hint="eastAsia"/>
          <w:bCs/>
          <w:color w:val="auto"/>
          <w:sz w:val="24"/>
          <w:highlight w:val="none"/>
        </w:rPr>
        <w:t>1.微课</w:t>
      </w:r>
    </w:p>
    <w:p w14:paraId="70019B1B">
      <w:pPr>
        <w:autoSpaceDE w:val="0"/>
        <w:spacing w:line="360" w:lineRule="auto"/>
        <w:ind w:firstLine="480" w:firstLineChars="200"/>
        <w:rPr>
          <w:color w:val="auto"/>
          <w:sz w:val="24"/>
          <w:highlight w:val="none"/>
          <w:lang w:bidi="ar"/>
        </w:rPr>
      </w:pPr>
      <w:r>
        <w:rPr>
          <w:rFonts w:hint="eastAsia"/>
          <w:color w:val="auto"/>
          <w:sz w:val="24"/>
          <w:highlight w:val="none"/>
          <w:lang w:bidi="ar"/>
        </w:rPr>
        <w:t>微课</w:t>
      </w:r>
      <w:bookmarkStart w:id="18" w:name="_Hlk200621896"/>
      <w:r>
        <w:rPr>
          <w:rFonts w:hint="eastAsia"/>
          <w:color w:val="auto"/>
          <w:sz w:val="24"/>
          <w:highlight w:val="none"/>
          <w:lang w:bidi="ar"/>
        </w:rPr>
        <w:t>是对某个知识点/技能点的完整呈现。</w:t>
      </w:r>
      <w:bookmarkEnd w:id="18"/>
      <w:r>
        <w:rPr>
          <w:rFonts w:hint="eastAsia"/>
          <w:color w:val="auto"/>
          <w:sz w:val="24"/>
          <w:highlight w:val="none"/>
          <w:lang w:bidi="ar"/>
        </w:rPr>
        <w:t>根据课程大纲中的内容撰写脚本，基于AI技术，通过各种采集设备，获取真实人物的形象与声音的多维度数据，运用人工智能技术、深度学习算法，借助高算力服务器，对采集到的数据进行分析、学习与处理。</w:t>
      </w:r>
    </w:p>
    <w:p w14:paraId="0FB41ACE">
      <w:pPr>
        <w:autoSpaceDE w:val="0"/>
        <w:spacing w:line="360" w:lineRule="auto"/>
        <w:ind w:firstLine="480" w:firstLineChars="200"/>
        <w:rPr>
          <w:color w:val="auto"/>
          <w:sz w:val="24"/>
          <w:highlight w:val="none"/>
          <w:lang w:bidi="ar"/>
        </w:rPr>
      </w:pPr>
      <w:r>
        <w:rPr>
          <w:rFonts w:hint="eastAsia"/>
          <w:color w:val="auto"/>
          <w:sz w:val="24"/>
          <w:highlight w:val="none"/>
          <w:lang w:bidi="ar"/>
        </w:rPr>
        <w:t>2.</w:t>
      </w:r>
      <w:bookmarkStart w:id="19" w:name="_Hlk200621830"/>
      <w:r>
        <w:rPr>
          <w:rFonts w:hint="eastAsia"/>
          <w:color w:val="auto"/>
          <w:sz w:val="24"/>
          <w:highlight w:val="none"/>
          <w:lang w:bidi="ar"/>
        </w:rPr>
        <w:t>动画</w:t>
      </w:r>
      <w:bookmarkEnd w:id="19"/>
    </w:p>
    <w:p w14:paraId="2723A8D6">
      <w:pPr>
        <w:autoSpaceDE w:val="0"/>
        <w:spacing w:line="360" w:lineRule="auto"/>
        <w:ind w:firstLine="480" w:firstLineChars="200"/>
        <w:rPr>
          <w:color w:val="auto"/>
          <w:sz w:val="24"/>
          <w:highlight w:val="none"/>
          <w:lang w:bidi="ar"/>
        </w:rPr>
      </w:pPr>
      <w:r>
        <w:rPr>
          <w:color w:val="auto"/>
          <w:sz w:val="24"/>
          <w:highlight w:val="none"/>
          <w:lang w:bidi="ar"/>
        </w:rPr>
        <w:t>动画是对某个知识点/技能点的完整呈现。能将抽象知识转化为具象体验。设计时需紧扣教学目标，选择合适的动画类型和风格，平衡艺术性与教育性，最终提升学习效果。</w:t>
      </w:r>
    </w:p>
    <w:p w14:paraId="57A9C9A6">
      <w:pPr>
        <w:autoSpaceDE w:val="0"/>
        <w:spacing w:line="360" w:lineRule="auto"/>
        <w:ind w:firstLine="480" w:firstLineChars="200"/>
        <w:rPr>
          <w:color w:val="auto"/>
          <w:sz w:val="24"/>
          <w:highlight w:val="none"/>
          <w:lang w:bidi="ar"/>
        </w:rPr>
      </w:pPr>
      <w:r>
        <w:rPr>
          <w:rFonts w:hint="eastAsia"/>
          <w:color w:val="auto"/>
          <w:sz w:val="24"/>
          <w:highlight w:val="none"/>
          <w:lang w:bidi="ar"/>
        </w:rPr>
        <w:t>3.教学视频</w:t>
      </w:r>
    </w:p>
    <w:p w14:paraId="40891B32">
      <w:pPr>
        <w:autoSpaceDE w:val="0"/>
        <w:spacing w:line="360" w:lineRule="auto"/>
        <w:ind w:firstLine="480" w:firstLineChars="200"/>
        <w:rPr>
          <w:color w:val="auto"/>
          <w:sz w:val="24"/>
          <w:highlight w:val="none"/>
          <w:lang w:bidi="ar"/>
        </w:rPr>
      </w:pPr>
      <w:r>
        <w:rPr>
          <w:rFonts w:hint="eastAsia"/>
          <w:color w:val="auto"/>
          <w:sz w:val="24"/>
          <w:highlight w:val="none"/>
          <w:lang w:bidi="ar"/>
        </w:rPr>
        <w:t>教学视频是对知识内容的讲解与记录，根据课程大纲中的知识内容撰写脚本，由专业剪辑人员剪辑而成或者真实场景拍摄。主要有视频案例讲解，教学实操录像，软件实操录屏等形式。</w:t>
      </w:r>
    </w:p>
    <w:p w14:paraId="3EF1ACEA">
      <w:pPr>
        <w:snapToGrid w:val="0"/>
        <w:spacing w:line="360" w:lineRule="auto"/>
        <w:rPr>
          <w:b/>
          <w:color w:val="auto"/>
          <w:sz w:val="24"/>
          <w:highlight w:val="none"/>
        </w:rPr>
      </w:pPr>
      <w:r>
        <w:rPr>
          <w:rFonts w:hint="eastAsia"/>
          <w:b/>
          <w:color w:val="auto"/>
          <w:sz w:val="24"/>
          <w:highlight w:val="none"/>
        </w:rPr>
        <w:t>（五）教学设计（20个）和教学课件（20个）</w:t>
      </w:r>
    </w:p>
    <w:p w14:paraId="13B4A417">
      <w:pPr>
        <w:snapToGrid w:val="0"/>
        <w:spacing w:line="360" w:lineRule="auto"/>
        <w:rPr>
          <w:bCs/>
          <w:color w:val="auto"/>
          <w:sz w:val="24"/>
          <w:highlight w:val="none"/>
        </w:rPr>
      </w:pPr>
      <w:r>
        <w:rPr>
          <w:rFonts w:hint="eastAsia"/>
          <w:b/>
          <w:color w:val="auto"/>
          <w:sz w:val="24"/>
          <w:highlight w:val="none"/>
        </w:rPr>
        <w:t xml:space="preserve">  </w:t>
      </w:r>
      <w:r>
        <w:rPr>
          <w:rFonts w:hint="eastAsia"/>
          <w:bCs/>
          <w:color w:val="auto"/>
          <w:sz w:val="24"/>
          <w:highlight w:val="none"/>
        </w:rPr>
        <w:t xml:space="preserve">  </w:t>
      </w:r>
      <w:r>
        <w:rPr>
          <w:bCs/>
          <w:color w:val="auto"/>
          <w:sz w:val="24"/>
          <w:highlight w:val="none"/>
        </w:rPr>
        <w:t>根据课程大纲内容，立足于方便教学、逻辑梳理的原则，采取按照任务或按照项目的方式制作。</w:t>
      </w:r>
    </w:p>
    <w:p w14:paraId="3F4FD044">
      <w:pPr>
        <w:snapToGrid w:val="0"/>
        <w:spacing w:line="360" w:lineRule="auto"/>
        <w:rPr>
          <w:b/>
          <w:color w:val="auto"/>
          <w:sz w:val="24"/>
          <w:highlight w:val="none"/>
        </w:rPr>
      </w:pPr>
      <w:r>
        <w:rPr>
          <w:rFonts w:hint="eastAsia"/>
          <w:b/>
          <w:color w:val="auto"/>
          <w:sz w:val="24"/>
          <w:highlight w:val="none"/>
        </w:rPr>
        <w:t>（六）教学测试题（40套）</w:t>
      </w:r>
    </w:p>
    <w:p w14:paraId="692EA321">
      <w:pPr>
        <w:snapToGrid w:val="0"/>
        <w:spacing w:line="360" w:lineRule="auto"/>
        <w:ind w:firstLine="480" w:firstLineChars="200"/>
        <w:rPr>
          <w:bCs/>
          <w:color w:val="auto"/>
          <w:sz w:val="24"/>
          <w:highlight w:val="none"/>
        </w:rPr>
      </w:pPr>
      <w:r>
        <w:rPr>
          <w:bCs/>
          <w:color w:val="auto"/>
          <w:sz w:val="24"/>
          <w:highlight w:val="none"/>
        </w:rPr>
        <w:t>测试题是用于课内练习的习题或课后布置给学生完成的作业。</w:t>
      </w:r>
    </w:p>
    <w:p w14:paraId="6F6C3FF1">
      <w:pPr>
        <w:snapToGrid w:val="0"/>
        <w:spacing w:line="360" w:lineRule="auto"/>
        <w:rPr>
          <w:b/>
          <w:color w:val="auto"/>
          <w:sz w:val="24"/>
          <w:highlight w:val="none"/>
        </w:rPr>
      </w:pPr>
      <w:r>
        <w:rPr>
          <w:rFonts w:hint="eastAsia"/>
          <w:b/>
          <w:color w:val="auto"/>
          <w:sz w:val="24"/>
          <w:highlight w:val="none"/>
        </w:rPr>
        <w:t>（七）实训任务（7个）</w:t>
      </w:r>
    </w:p>
    <w:p w14:paraId="3A095663">
      <w:pPr>
        <w:spacing w:line="360" w:lineRule="auto"/>
        <w:ind w:firstLine="420"/>
        <w:rPr>
          <w:bCs/>
          <w:color w:val="auto"/>
          <w:sz w:val="24"/>
          <w:highlight w:val="none"/>
        </w:rPr>
      </w:pPr>
      <w:r>
        <w:rPr>
          <w:bCs/>
          <w:color w:val="auto"/>
          <w:sz w:val="24"/>
          <w:highlight w:val="none"/>
        </w:rPr>
        <w:t>利用软件或虚拟仿真系统模拟实际工作场景、设施设备、工具材料、工作对象等要素，方便学生按照工作过程、操作标准进行仿真实操训练的系统。</w:t>
      </w:r>
    </w:p>
    <w:p w14:paraId="2996FA58">
      <w:pPr>
        <w:spacing w:line="360" w:lineRule="auto"/>
        <w:rPr>
          <w:b/>
          <w:color w:val="auto"/>
          <w:sz w:val="24"/>
          <w:highlight w:val="none"/>
        </w:rPr>
      </w:pPr>
    </w:p>
    <w:p w14:paraId="7EAD936F">
      <w:pPr>
        <w:spacing w:line="360" w:lineRule="auto"/>
        <w:rPr>
          <w:b/>
          <w:color w:val="auto"/>
          <w:sz w:val="24"/>
          <w:highlight w:val="none"/>
        </w:rPr>
      </w:pPr>
      <w:r>
        <w:rPr>
          <w:rFonts w:hint="eastAsia"/>
          <w:b/>
          <w:color w:val="auto"/>
          <w:sz w:val="24"/>
          <w:highlight w:val="none"/>
        </w:rPr>
        <w:t>技术要求如下：</w:t>
      </w:r>
    </w:p>
    <w:tbl>
      <w:tblPr>
        <w:tblStyle w:val="14"/>
        <w:tblW w:w="5000" w:type="pct"/>
        <w:jc w:val="center"/>
        <w:tblLayout w:type="autofit"/>
        <w:tblCellMar>
          <w:top w:w="0" w:type="dxa"/>
          <w:left w:w="108" w:type="dxa"/>
          <w:bottom w:w="0" w:type="dxa"/>
          <w:right w:w="108" w:type="dxa"/>
        </w:tblCellMar>
      </w:tblPr>
      <w:tblGrid>
        <w:gridCol w:w="814"/>
        <w:gridCol w:w="1368"/>
        <w:gridCol w:w="6313"/>
      </w:tblGrid>
      <w:tr w14:paraId="46951C77">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63FDF78B">
            <w:pPr>
              <w:spacing w:line="360" w:lineRule="auto"/>
              <w:jc w:val="center"/>
              <w:rPr>
                <w:b/>
                <w:bCs/>
                <w:color w:val="auto"/>
                <w:sz w:val="24"/>
                <w:highlight w:val="none"/>
              </w:rPr>
            </w:pPr>
            <w:r>
              <w:rPr>
                <w:b/>
                <w:bCs/>
                <w:color w:val="auto"/>
                <w:sz w:val="24"/>
                <w:highlight w:val="none"/>
              </w:rPr>
              <w:t>序号</w:t>
            </w:r>
          </w:p>
        </w:tc>
        <w:tc>
          <w:tcPr>
            <w:tcW w:w="805" w:type="pct"/>
            <w:tcBorders>
              <w:top w:val="single" w:color="auto" w:sz="4" w:space="0"/>
              <w:left w:val="nil"/>
              <w:bottom w:val="single" w:color="auto" w:sz="4" w:space="0"/>
              <w:right w:val="single" w:color="auto" w:sz="4" w:space="0"/>
            </w:tcBorders>
            <w:vAlign w:val="center"/>
          </w:tcPr>
          <w:p w14:paraId="210E70D5">
            <w:pPr>
              <w:spacing w:line="360" w:lineRule="auto"/>
              <w:jc w:val="center"/>
              <w:rPr>
                <w:b/>
                <w:bCs/>
                <w:color w:val="auto"/>
                <w:sz w:val="24"/>
                <w:highlight w:val="none"/>
              </w:rPr>
            </w:pPr>
            <w:r>
              <w:rPr>
                <w:b/>
                <w:bCs/>
                <w:color w:val="auto"/>
                <w:sz w:val="24"/>
                <w:highlight w:val="none"/>
              </w:rPr>
              <w:t>名称</w:t>
            </w:r>
          </w:p>
        </w:tc>
        <w:tc>
          <w:tcPr>
            <w:tcW w:w="3716" w:type="pct"/>
            <w:tcBorders>
              <w:top w:val="single" w:color="auto" w:sz="4" w:space="0"/>
              <w:left w:val="nil"/>
              <w:bottom w:val="single" w:color="auto" w:sz="4" w:space="0"/>
              <w:right w:val="single" w:color="auto" w:sz="4" w:space="0"/>
            </w:tcBorders>
            <w:vAlign w:val="center"/>
          </w:tcPr>
          <w:p w14:paraId="420B4CFB">
            <w:pPr>
              <w:spacing w:line="360" w:lineRule="auto"/>
              <w:jc w:val="center"/>
              <w:rPr>
                <w:b/>
                <w:bCs/>
                <w:color w:val="auto"/>
                <w:sz w:val="24"/>
                <w:highlight w:val="none"/>
              </w:rPr>
            </w:pPr>
            <w:r>
              <w:rPr>
                <w:b/>
                <w:bCs/>
                <w:color w:val="auto"/>
                <w:sz w:val="24"/>
                <w:highlight w:val="none"/>
              </w:rPr>
              <w:t>技术</w:t>
            </w:r>
            <w:r>
              <w:rPr>
                <w:rFonts w:hint="eastAsia"/>
                <w:b/>
                <w:bCs/>
                <w:color w:val="auto"/>
                <w:sz w:val="24"/>
                <w:highlight w:val="none"/>
              </w:rPr>
              <w:t>要求</w:t>
            </w:r>
          </w:p>
        </w:tc>
      </w:tr>
      <w:tr w14:paraId="1D593679">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6171CE8E">
            <w:pPr>
              <w:spacing w:line="360" w:lineRule="auto"/>
              <w:jc w:val="center"/>
              <w:rPr>
                <w:color w:val="auto"/>
                <w:sz w:val="24"/>
                <w:highlight w:val="none"/>
              </w:rPr>
            </w:pPr>
            <w:r>
              <w:rPr>
                <w:rFonts w:hint="eastAsia"/>
                <w:color w:val="auto"/>
                <w:sz w:val="24"/>
                <w:highlight w:val="none"/>
              </w:rPr>
              <w:t>1</w:t>
            </w:r>
          </w:p>
        </w:tc>
        <w:tc>
          <w:tcPr>
            <w:tcW w:w="805" w:type="pct"/>
            <w:tcBorders>
              <w:top w:val="single" w:color="auto" w:sz="4" w:space="0"/>
              <w:left w:val="nil"/>
              <w:bottom w:val="single" w:color="auto" w:sz="4" w:space="0"/>
              <w:right w:val="single" w:color="auto" w:sz="4" w:space="0"/>
            </w:tcBorders>
            <w:vAlign w:val="center"/>
          </w:tcPr>
          <w:p w14:paraId="660E08CE">
            <w:pPr>
              <w:spacing w:line="360" w:lineRule="auto"/>
              <w:jc w:val="center"/>
              <w:rPr>
                <w:color w:val="auto"/>
                <w:sz w:val="24"/>
                <w:highlight w:val="none"/>
              </w:rPr>
            </w:pPr>
            <w:r>
              <w:rPr>
                <w:rFonts w:hint="eastAsia"/>
                <w:color w:val="auto"/>
                <w:sz w:val="24"/>
                <w:highlight w:val="none"/>
              </w:rPr>
              <w:t>课程简介视频</w:t>
            </w:r>
          </w:p>
        </w:tc>
        <w:tc>
          <w:tcPr>
            <w:tcW w:w="3716" w:type="pct"/>
            <w:tcBorders>
              <w:top w:val="single" w:color="auto" w:sz="4" w:space="0"/>
              <w:left w:val="nil"/>
              <w:bottom w:val="single" w:color="auto" w:sz="4" w:space="0"/>
              <w:right w:val="single" w:color="auto" w:sz="4" w:space="0"/>
            </w:tcBorders>
            <w:vAlign w:val="center"/>
          </w:tcPr>
          <w:p w14:paraId="209AB29E">
            <w:pPr>
              <w:autoSpaceDE w:val="0"/>
              <w:spacing w:line="360" w:lineRule="auto"/>
              <w:ind w:firstLine="480" w:firstLineChars="200"/>
              <w:rPr>
                <w:color w:val="auto"/>
                <w:sz w:val="24"/>
                <w:highlight w:val="none"/>
              </w:rPr>
            </w:pPr>
            <w:r>
              <w:rPr>
                <w:rFonts w:hint="eastAsia"/>
                <w:color w:val="auto"/>
                <w:sz w:val="24"/>
                <w:highlight w:val="none"/>
                <w:lang w:bidi="ar"/>
              </w:rPr>
              <w:t>课程简介视频是对课程的整体介绍，一般包括课程概览、教学团队介绍、课程特色、教学反馈、课程效果等。</w:t>
            </w:r>
          </w:p>
          <w:p w14:paraId="6ADF37A9">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5E9F5F36">
            <w:pPr>
              <w:autoSpaceDE w:val="0"/>
              <w:spacing w:line="360" w:lineRule="auto"/>
              <w:ind w:firstLine="480" w:firstLineChars="200"/>
              <w:rPr>
                <w:color w:val="auto"/>
                <w:sz w:val="24"/>
                <w:highlight w:val="none"/>
              </w:rPr>
            </w:pPr>
            <w:r>
              <w:rPr>
                <w:rFonts w:hint="eastAsia"/>
                <w:color w:val="auto"/>
                <w:sz w:val="24"/>
                <w:highlight w:val="none"/>
                <w:lang w:bidi="ar"/>
              </w:rPr>
              <w:t>①课程简介视频内容符合我国法律法规，尊重各民族的风俗习惯，版权不存在争议。</w:t>
            </w:r>
          </w:p>
          <w:p w14:paraId="6827E9BD">
            <w:pPr>
              <w:autoSpaceDE w:val="0"/>
              <w:spacing w:line="360" w:lineRule="auto"/>
              <w:ind w:firstLine="480" w:firstLineChars="200"/>
              <w:rPr>
                <w:color w:val="auto"/>
                <w:sz w:val="24"/>
                <w:highlight w:val="none"/>
              </w:rPr>
            </w:pPr>
            <w:r>
              <w:rPr>
                <w:rFonts w:hint="eastAsia"/>
                <w:color w:val="auto"/>
                <w:sz w:val="24"/>
                <w:highlight w:val="none"/>
                <w:lang w:bidi="ar"/>
              </w:rPr>
              <w:t>②课程简介视频使用的语言及字幕为国家通用语言文字。</w:t>
            </w:r>
          </w:p>
          <w:p w14:paraId="43F1A30A">
            <w:pPr>
              <w:autoSpaceDE w:val="0"/>
              <w:spacing w:line="360" w:lineRule="auto"/>
              <w:ind w:firstLine="480" w:firstLineChars="200"/>
              <w:rPr>
                <w:color w:val="auto"/>
                <w:sz w:val="24"/>
                <w:highlight w:val="none"/>
              </w:rPr>
            </w:pPr>
            <w:r>
              <w:rPr>
                <w:rFonts w:hint="eastAsia"/>
                <w:color w:val="auto"/>
                <w:sz w:val="24"/>
                <w:highlight w:val="none"/>
                <w:lang w:bidi="ar"/>
              </w:rPr>
              <w:t>（2）技术要求：</w:t>
            </w:r>
          </w:p>
          <w:p w14:paraId="3A56FA02">
            <w:pPr>
              <w:autoSpaceDE w:val="0"/>
              <w:spacing w:line="360" w:lineRule="auto"/>
              <w:ind w:firstLine="480" w:firstLineChars="200"/>
              <w:rPr>
                <w:color w:val="auto"/>
                <w:sz w:val="24"/>
                <w:highlight w:val="none"/>
              </w:rPr>
            </w:pPr>
            <w:r>
              <w:rPr>
                <w:rFonts w:hint="eastAsia"/>
                <w:color w:val="auto"/>
                <w:sz w:val="24"/>
                <w:highlight w:val="none"/>
                <w:lang w:bidi="ar"/>
              </w:rPr>
              <w:t>①课程简介视频资源帧速率为25帧/秒，声音频道为2（立体声），每个时长1—3分钟。</w:t>
            </w:r>
          </w:p>
          <w:p w14:paraId="5DFEB36C">
            <w:pPr>
              <w:autoSpaceDE w:val="0"/>
              <w:spacing w:line="360" w:lineRule="auto"/>
              <w:ind w:firstLine="480" w:firstLineChars="200"/>
              <w:rPr>
                <w:color w:val="auto"/>
                <w:sz w:val="24"/>
                <w:highlight w:val="none"/>
              </w:rPr>
            </w:pPr>
            <w:r>
              <w:rPr>
                <w:rFonts w:hint="eastAsia"/>
                <w:color w:val="auto"/>
                <w:sz w:val="24"/>
                <w:highlight w:val="none"/>
                <w:lang w:bidi="ar"/>
              </w:rPr>
              <w:t>②视频信号源：由专业的视频制作团队使用非线性编辑软件以及片头特效软件制作。</w:t>
            </w:r>
          </w:p>
          <w:p w14:paraId="3174BEDD">
            <w:pPr>
              <w:autoSpaceDE w:val="0"/>
              <w:spacing w:line="360" w:lineRule="auto"/>
              <w:ind w:firstLine="480" w:firstLineChars="200"/>
              <w:rPr>
                <w:color w:val="auto"/>
                <w:sz w:val="24"/>
                <w:highlight w:val="none"/>
              </w:rPr>
            </w:pPr>
            <w:r>
              <w:rPr>
                <w:rFonts w:hint="eastAsia"/>
                <w:color w:val="auto"/>
                <w:sz w:val="24"/>
                <w:highlight w:val="none"/>
                <w:lang w:bidi="ar"/>
              </w:rPr>
              <w:t>稳定性：全片图像同步性能稳定，无失步现象，图像无抖动跳跃，色彩无突变，编辑点处图像稳定；</w:t>
            </w:r>
          </w:p>
          <w:p w14:paraId="481D9592">
            <w:pPr>
              <w:autoSpaceDE w:val="0"/>
              <w:spacing w:line="360" w:lineRule="auto"/>
              <w:ind w:firstLine="480" w:firstLineChars="200"/>
              <w:rPr>
                <w:color w:val="auto"/>
                <w:sz w:val="24"/>
                <w:highlight w:val="none"/>
              </w:rPr>
            </w:pPr>
            <w:r>
              <w:rPr>
                <w:rFonts w:hint="eastAsia"/>
                <w:color w:val="auto"/>
                <w:sz w:val="24"/>
                <w:highlight w:val="none"/>
                <w:lang w:bidi="ar"/>
              </w:rPr>
              <w:t>色调：白平衡正确，无明显偏色，多机拍摄的镜头衔接处无明显色差；</w:t>
            </w:r>
          </w:p>
          <w:p w14:paraId="1041A011">
            <w:pPr>
              <w:autoSpaceDE w:val="0"/>
              <w:spacing w:line="360" w:lineRule="auto"/>
              <w:ind w:firstLine="480" w:firstLineChars="200"/>
              <w:rPr>
                <w:color w:val="auto"/>
                <w:sz w:val="24"/>
                <w:highlight w:val="none"/>
              </w:rPr>
            </w:pPr>
            <w:r>
              <w:rPr>
                <w:rFonts w:hint="eastAsia"/>
                <w:color w:val="auto"/>
                <w:sz w:val="24"/>
                <w:highlight w:val="none"/>
                <w:lang w:bidi="ar"/>
              </w:rPr>
              <w:t>画幅：建议采用16:9，720p或1080p。</w:t>
            </w:r>
          </w:p>
          <w:p w14:paraId="1A2A5D21">
            <w:pPr>
              <w:autoSpaceDE w:val="0"/>
              <w:spacing w:line="360" w:lineRule="auto"/>
              <w:ind w:firstLine="480" w:firstLineChars="200"/>
              <w:rPr>
                <w:color w:val="auto"/>
                <w:sz w:val="24"/>
                <w:highlight w:val="none"/>
              </w:rPr>
            </w:pPr>
            <w:r>
              <w:rPr>
                <w:rFonts w:hint="eastAsia"/>
                <w:color w:val="auto"/>
                <w:sz w:val="24"/>
                <w:highlight w:val="none"/>
                <w:lang w:bidi="ar"/>
              </w:rPr>
              <w:t>③音频信号源：声音和画面要求同步，无交流声或其他杂音等缺陷；伴音清晰、饱满、圆润，无失真、噪声杂音干扰、音量忽大忽小现象，解说声与现场声无明显比例失调，解说声与背景音乐无明显比例失调；</w:t>
            </w:r>
          </w:p>
          <w:p w14:paraId="4268022C">
            <w:pPr>
              <w:autoSpaceDE w:val="0"/>
              <w:spacing w:line="360" w:lineRule="auto"/>
              <w:ind w:firstLine="480" w:firstLineChars="200"/>
              <w:rPr>
                <w:color w:val="auto"/>
                <w:sz w:val="24"/>
                <w:highlight w:val="none"/>
              </w:rPr>
            </w:pPr>
            <w:r>
              <w:rPr>
                <w:rFonts w:hint="eastAsia"/>
                <w:color w:val="auto"/>
                <w:sz w:val="24"/>
                <w:highlight w:val="none"/>
                <w:lang w:bidi="ar"/>
              </w:rPr>
              <w:t>④制定统一的参数标准，确保每一段视频素材画面的色彩、曝光、白平衡协调一致，确保本项目所制作的视频画面风格保持一致。</w:t>
            </w:r>
          </w:p>
          <w:p w14:paraId="1B9B404F">
            <w:pPr>
              <w:autoSpaceDE w:val="0"/>
              <w:spacing w:line="360" w:lineRule="auto"/>
              <w:ind w:firstLine="480" w:firstLineChars="200"/>
              <w:rPr>
                <w:color w:val="auto"/>
                <w:sz w:val="24"/>
                <w:highlight w:val="none"/>
              </w:rPr>
            </w:pPr>
            <w:r>
              <w:rPr>
                <w:rFonts w:hint="eastAsia"/>
                <w:color w:val="auto"/>
                <w:sz w:val="24"/>
                <w:highlight w:val="none"/>
                <w:lang w:bidi="ar"/>
              </w:rPr>
              <w:t>⑤视频压缩格式及技术参数：视频压缩采用H.264编码方式，包含字幕的MP4格式、M4V（苹果设备常用格式，相当于MP4）等其他常见的主流封装格式，保证教师能够在日常教学中正常使用；</w:t>
            </w:r>
          </w:p>
          <w:p w14:paraId="6C5B7B57">
            <w:pPr>
              <w:autoSpaceDE w:val="0"/>
              <w:spacing w:line="360" w:lineRule="auto"/>
              <w:ind w:firstLine="480" w:firstLineChars="200"/>
              <w:rPr>
                <w:color w:val="auto"/>
                <w:sz w:val="24"/>
                <w:highlight w:val="none"/>
              </w:rPr>
            </w:pPr>
            <w:r>
              <w:rPr>
                <w:rFonts w:hint="eastAsia"/>
                <w:color w:val="auto"/>
                <w:sz w:val="24"/>
                <w:highlight w:val="none"/>
                <w:lang w:bidi="ar"/>
              </w:rPr>
              <w:t>视频码流率：动态码流的最低码率不得低于2048Kb；</w:t>
            </w:r>
          </w:p>
          <w:p w14:paraId="3278066A">
            <w:pPr>
              <w:autoSpaceDE w:val="0"/>
              <w:spacing w:line="360" w:lineRule="auto"/>
              <w:ind w:firstLine="480" w:firstLineChars="200"/>
              <w:rPr>
                <w:color w:val="auto"/>
                <w:sz w:val="24"/>
                <w:highlight w:val="none"/>
              </w:rPr>
            </w:pPr>
            <w:r>
              <w:rPr>
                <w:rFonts w:hint="eastAsia"/>
                <w:color w:val="auto"/>
                <w:sz w:val="24"/>
                <w:highlight w:val="none"/>
                <w:lang w:bidi="ar"/>
              </w:rPr>
              <w:t>视频分辨率:前期采用高清16:9拍摄，分辨率要≥1080P。</w:t>
            </w:r>
          </w:p>
          <w:p w14:paraId="17D68FD9">
            <w:pPr>
              <w:autoSpaceDE w:val="0"/>
              <w:spacing w:line="360" w:lineRule="auto"/>
              <w:ind w:firstLine="480" w:firstLineChars="200"/>
              <w:rPr>
                <w:b/>
                <w:bCs/>
                <w:color w:val="auto"/>
                <w:sz w:val="24"/>
                <w:highlight w:val="none"/>
              </w:rPr>
            </w:pPr>
            <w:r>
              <w:rPr>
                <w:rFonts w:hint="eastAsia"/>
                <w:color w:val="auto"/>
                <w:sz w:val="24"/>
                <w:highlight w:val="none"/>
                <w:lang w:bidi="ar"/>
              </w:rPr>
              <w:t>⑥音频压缩格式及技术参数：音频压缩采用AAC(MPEG4Part3)格式；采样率48KHz；音频码流率128Kbps(恒定)。</w:t>
            </w:r>
          </w:p>
        </w:tc>
      </w:tr>
      <w:tr w14:paraId="45A2C8B3">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028B941B">
            <w:pPr>
              <w:spacing w:line="360" w:lineRule="auto"/>
              <w:jc w:val="center"/>
              <w:rPr>
                <w:color w:val="auto"/>
                <w:sz w:val="24"/>
                <w:highlight w:val="none"/>
              </w:rPr>
            </w:pPr>
            <w:r>
              <w:rPr>
                <w:rFonts w:hint="eastAsia"/>
                <w:color w:val="auto"/>
                <w:sz w:val="24"/>
                <w:highlight w:val="none"/>
              </w:rPr>
              <w:t>2</w:t>
            </w:r>
          </w:p>
        </w:tc>
        <w:tc>
          <w:tcPr>
            <w:tcW w:w="805" w:type="pct"/>
            <w:tcBorders>
              <w:top w:val="single" w:color="auto" w:sz="4" w:space="0"/>
              <w:left w:val="nil"/>
              <w:bottom w:val="single" w:color="auto" w:sz="4" w:space="0"/>
              <w:right w:val="single" w:color="auto" w:sz="4" w:space="0"/>
            </w:tcBorders>
            <w:vAlign w:val="center"/>
          </w:tcPr>
          <w:p w14:paraId="3FBD829C">
            <w:pPr>
              <w:spacing w:line="360" w:lineRule="auto"/>
              <w:jc w:val="center"/>
              <w:rPr>
                <w:color w:val="auto"/>
                <w:sz w:val="24"/>
                <w:highlight w:val="none"/>
                <w:u w:color="000000"/>
              </w:rPr>
            </w:pPr>
            <w:r>
              <w:rPr>
                <w:rFonts w:hint="eastAsia"/>
                <w:color w:val="auto"/>
                <w:sz w:val="24"/>
                <w:highlight w:val="none"/>
              </w:rPr>
              <w:t>课程标准</w:t>
            </w:r>
          </w:p>
        </w:tc>
        <w:tc>
          <w:tcPr>
            <w:tcW w:w="3716" w:type="pct"/>
            <w:tcBorders>
              <w:top w:val="single" w:color="auto" w:sz="4" w:space="0"/>
              <w:left w:val="nil"/>
              <w:bottom w:val="single" w:color="auto" w:sz="4" w:space="0"/>
              <w:right w:val="single" w:color="auto" w:sz="4" w:space="0"/>
            </w:tcBorders>
          </w:tcPr>
          <w:p w14:paraId="2437966D">
            <w:pPr>
              <w:autoSpaceDE w:val="0"/>
              <w:spacing w:line="360" w:lineRule="auto"/>
              <w:ind w:firstLine="480" w:firstLineChars="200"/>
              <w:rPr>
                <w:color w:val="auto"/>
                <w:sz w:val="24"/>
                <w:highlight w:val="none"/>
              </w:rPr>
            </w:pPr>
            <w:r>
              <w:rPr>
                <w:rFonts w:hint="eastAsia"/>
                <w:color w:val="auto"/>
                <w:sz w:val="24"/>
                <w:highlight w:val="none"/>
                <w:lang w:bidi="ar"/>
              </w:rPr>
              <w:t>课程标准主要包含课程简介、课程内容、课程目标、建议课时、教学方法、课程考核等部分内容。</w:t>
            </w:r>
          </w:p>
          <w:p w14:paraId="573DB3D4">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3AD3B674">
            <w:pPr>
              <w:autoSpaceDE w:val="0"/>
              <w:spacing w:line="360" w:lineRule="auto"/>
              <w:ind w:firstLine="480" w:firstLineChars="200"/>
              <w:rPr>
                <w:color w:val="auto"/>
                <w:sz w:val="24"/>
                <w:highlight w:val="none"/>
              </w:rPr>
            </w:pPr>
            <w:r>
              <w:rPr>
                <w:rFonts w:hint="eastAsia"/>
                <w:color w:val="auto"/>
                <w:sz w:val="24"/>
                <w:highlight w:val="none"/>
                <w:lang w:bidi="ar"/>
              </w:rPr>
              <w:t>①文本正文应设定文章标题，文章标题放在正文内第一行居中的位置；</w:t>
            </w:r>
          </w:p>
          <w:p w14:paraId="148C5122">
            <w:pPr>
              <w:autoSpaceDE w:val="0"/>
              <w:spacing w:line="360" w:lineRule="auto"/>
              <w:ind w:firstLine="480" w:firstLineChars="200"/>
              <w:rPr>
                <w:color w:val="auto"/>
                <w:sz w:val="24"/>
                <w:highlight w:val="none"/>
              </w:rPr>
            </w:pPr>
            <w:r>
              <w:rPr>
                <w:rFonts w:hint="eastAsia"/>
                <w:color w:val="auto"/>
                <w:sz w:val="24"/>
                <w:highlight w:val="none"/>
                <w:lang w:bidi="ar"/>
              </w:rPr>
              <w:t>②各级标题应设置正确，同一级标题使用同样的样式，文本结构清晰；</w:t>
            </w:r>
          </w:p>
          <w:p w14:paraId="7E532254">
            <w:pPr>
              <w:autoSpaceDE w:val="0"/>
              <w:spacing w:line="360" w:lineRule="auto"/>
              <w:ind w:firstLine="480" w:firstLineChars="200"/>
              <w:rPr>
                <w:color w:val="auto"/>
                <w:sz w:val="24"/>
                <w:highlight w:val="none"/>
              </w:rPr>
            </w:pPr>
            <w:r>
              <w:rPr>
                <w:rFonts w:hint="eastAsia"/>
                <w:color w:val="auto"/>
                <w:sz w:val="24"/>
                <w:highlight w:val="none"/>
                <w:lang w:bidi="ar"/>
              </w:rPr>
              <w:t>③正文字体、字号、颜色、行间距等要美观、统一；</w:t>
            </w:r>
          </w:p>
          <w:p w14:paraId="07169512">
            <w:pPr>
              <w:autoSpaceDE w:val="0"/>
              <w:spacing w:line="360" w:lineRule="auto"/>
              <w:ind w:firstLine="480" w:firstLineChars="200"/>
              <w:rPr>
                <w:color w:val="auto"/>
                <w:sz w:val="24"/>
                <w:highlight w:val="none"/>
              </w:rPr>
            </w:pPr>
            <w:r>
              <w:rPr>
                <w:rFonts w:hint="eastAsia"/>
                <w:color w:val="auto"/>
                <w:sz w:val="24"/>
                <w:highlight w:val="none"/>
                <w:lang w:bidi="ar"/>
              </w:rPr>
              <w:t>④表格不应超出页面，且要求使用软件的插入表格或绘制表格等功能生成表格，并使用相应功能加工处理，不要用在文本上描绘直线等绘图方式制作表格；</w:t>
            </w:r>
          </w:p>
          <w:p w14:paraId="7234AC65">
            <w:pPr>
              <w:autoSpaceDE w:val="0"/>
              <w:spacing w:line="360" w:lineRule="auto"/>
              <w:ind w:firstLine="480" w:firstLineChars="200"/>
              <w:rPr>
                <w:color w:val="auto"/>
                <w:sz w:val="24"/>
                <w:highlight w:val="none"/>
              </w:rPr>
            </w:pPr>
            <w:r>
              <w:rPr>
                <w:rFonts w:hint="eastAsia"/>
                <w:color w:val="auto"/>
                <w:sz w:val="24"/>
                <w:highlight w:val="none"/>
                <w:lang w:bidi="ar"/>
              </w:rPr>
              <w:t>⑤正文中的图像、图形应清晰，图形要符合国家相关绘制标准；</w:t>
            </w:r>
          </w:p>
          <w:p w14:paraId="16BC3C6F">
            <w:pPr>
              <w:autoSpaceDE w:val="0"/>
              <w:spacing w:line="360" w:lineRule="auto"/>
              <w:ind w:firstLine="480" w:firstLineChars="200"/>
              <w:rPr>
                <w:color w:val="auto"/>
                <w:sz w:val="24"/>
                <w:highlight w:val="none"/>
              </w:rPr>
            </w:pPr>
            <w:r>
              <w:rPr>
                <w:rFonts w:hint="eastAsia"/>
                <w:color w:val="auto"/>
                <w:sz w:val="24"/>
                <w:highlight w:val="none"/>
                <w:lang w:bidi="ar"/>
              </w:rPr>
              <w:t>⑥尽量不要使用</w:t>
            </w:r>
            <w:bookmarkStart w:id="20" w:name="_Hlk200622111"/>
            <w:r>
              <w:rPr>
                <w:rFonts w:hint="eastAsia"/>
                <w:color w:val="auto"/>
                <w:sz w:val="24"/>
                <w:highlight w:val="none"/>
                <w:lang w:bidi="ar"/>
              </w:rPr>
              <w:t>文字编辑软件</w:t>
            </w:r>
            <w:bookmarkEnd w:id="20"/>
            <w:r>
              <w:rPr>
                <w:rFonts w:hint="eastAsia"/>
                <w:color w:val="auto"/>
                <w:sz w:val="24"/>
                <w:highlight w:val="none"/>
                <w:lang w:bidi="ar"/>
              </w:rPr>
              <w:t>绘制插图，而采用插入已保存的图片的方式；</w:t>
            </w:r>
          </w:p>
          <w:p w14:paraId="392E048E">
            <w:pPr>
              <w:autoSpaceDE w:val="0"/>
              <w:spacing w:line="360" w:lineRule="auto"/>
              <w:ind w:firstLine="480" w:firstLineChars="200"/>
              <w:rPr>
                <w:color w:val="auto"/>
                <w:sz w:val="24"/>
                <w:highlight w:val="none"/>
              </w:rPr>
            </w:pPr>
            <w:r>
              <w:rPr>
                <w:rFonts w:hint="eastAsia"/>
                <w:color w:val="auto"/>
                <w:sz w:val="24"/>
                <w:highlight w:val="none"/>
                <w:lang w:bidi="ar"/>
              </w:rPr>
              <w:t>⑦图文混排的方式选择嵌入式；</w:t>
            </w:r>
          </w:p>
          <w:p w14:paraId="3464FC39">
            <w:pPr>
              <w:autoSpaceDE w:val="0"/>
              <w:spacing w:line="360" w:lineRule="auto"/>
              <w:ind w:firstLine="480" w:firstLineChars="200"/>
              <w:rPr>
                <w:color w:val="auto"/>
                <w:sz w:val="24"/>
                <w:highlight w:val="none"/>
              </w:rPr>
            </w:pPr>
            <w:r>
              <w:rPr>
                <w:rFonts w:hint="eastAsia"/>
                <w:color w:val="auto"/>
                <w:sz w:val="24"/>
                <w:highlight w:val="none"/>
                <w:lang w:bidi="ar"/>
              </w:rPr>
              <w:t>⑧文档保存时的显示比例为100%、页面视图；</w:t>
            </w:r>
          </w:p>
          <w:p w14:paraId="61B4C328">
            <w:pPr>
              <w:autoSpaceDE w:val="0"/>
              <w:spacing w:line="360" w:lineRule="auto"/>
              <w:ind w:firstLine="480" w:firstLineChars="200"/>
              <w:rPr>
                <w:color w:val="auto"/>
                <w:sz w:val="24"/>
                <w:highlight w:val="none"/>
              </w:rPr>
            </w:pPr>
            <w:r>
              <w:rPr>
                <w:rFonts w:hint="eastAsia"/>
                <w:color w:val="auto"/>
                <w:sz w:val="24"/>
                <w:highlight w:val="none"/>
                <w:lang w:bidi="ar"/>
              </w:rPr>
              <w:t>⑨文件名应反映主题内容，尽量与文内标题保持一致，不要使用如“1.doc”等这类含义不明的标题；</w:t>
            </w:r>
          </w:p>
          <w:p w14:paraId="0C149ADD">
            <w:pPr>
              <w:autoSpaceDE w:val="0"/>
              <w:spacing w:line="360" w:lineRule="auto"/>
              <w:ind w:firstLine="480" w:firstLineChars="200"/>
              <w:rPr>
                <w:color w:val="auto"/>
                <w:sz w:val="24"/>
                <w:highlight w:val="none"/>
              </w:rPr>
            </w:pPr>
            <w:r>
              <w:rPr>
                <w:rFonts w:hint="eastAsia"/>
                <w:color w:val="auto"/>
                <w:sz w:val="24"/>
                <w:highlight w:val="none"/>
                <w:lang w:bidi="ar"/>
              </w:rPr>
              <w:t>⑩文本内容应完整有序，符合我国法律法规，尊重各民族风俗习惯，版权不存在争议；</w:t>
            </w:r>
          </w:p>
          <w:p w14:paraId="3A597581">
            <w:pPr>
              <w:autoSpaceDE w:val="0"/>
              <w:spacing w:line="360" w:lineRule="auto"/>
              <w:ind w:firstLine="480" w:firstLineChars="200"/>
              <w:rPr>
                <w:color w:val="auto"/>
                <w:sz w:val="24"/>
                <w:highlight w:val="none"/>
              </w:rPr>
            </w:pPr>
            <w:r>
              <w:rPr>
                <w:rFonts w:hint="eastAsia"/>
                <w:color w:val="auto"/>
                <w:sz w:val="24"/>
                <w:highlight w:val="none"/>
                <w:lang w:bidi="ar"/>
              </w:rPr>
              <w:t>⑪文中所用计量符号应符合国家相关标准；</w:t>
            </w:r>
          </w:p>
          <w:p w14:paraId="36474F0C">
            <w:pPr>
              <w:autoSpaceDE w:val="0"/>
              <w:spacing w:line="360" w:lineRule="auto"/>
              <w:ind w:firstLine="480" w:firstLineChars="200"/>
              <w:rPr>
                <w:color w:val="auto"/>
                <w:sz w:val="24"/>
                <w:highlight w:val="none"/>
              </w:rPr>
            </w:pPr>
            <w:r>
              <w:rPr>
                <w:rFonts w:hint="eastAsia"/>
                <w:color w:val="auto"/>
                <w:sz w:val="24"/>
                <w:highlight w:val="none"/>
                <w:lang w:bidi="ar"/>
              </w:rPr>
              <w:t>2.技术要求：</w:t>
            </w:r>
          </w:p>
          <w:p w14:paraId="0D620C32">
            <w:pPr>
              <w:autoSpaceDE w:val="0"/>
              <w:spacing w:line="360" w:lineRule="auto"/>
              <w:ind w:firstLine="480" w:firstLineChars="200"/>
              <w:rPr>
                <w:color w:val="auto"/>
                <w:sz w:val="24"/>
                <w:highlight w:val="none"/>
              </w:rPr>
            </w:pPr>
            <w:r>
              <w:rPr>
                <w:rFonts w:hint="eastAsia"/>
                <w:color w:val="auto"/>
                <w:sz w:val="24"/>
                <w:highlight w:val="none"/>
                <w:lang w:bidi="ar"/>
              </w:rPr>
              <w:t>①文本文稿均采用通用的媒体类型，包括：DOC、DOCX、PDF等（常见文本存储格式）；</w:t>
            </w:r>
          </w:p>
          <w:p w14:paraId="18518057">
            <w:pPr>
              <w:autoSpaceDE w:val="0"/>
              <w:spacing w:line="360" w:lineRule="auto"/>
              <w:ind w:firstLine="480" w:firstLineChars="200"/>
              <w:rPr>
                <w:color w:val="auto"/>
                <w:sz w:val="24"/>
                <w:highlight w:val="none"/>
                <w:lang w:bidi="ar"/>
              </w:rPr>
            </w:pPr>
            <w:r>
              <w:rPr>
                <w:rFonts w:hint="eastAsia"/>
                <w:color w:val="auto"/>
                <w:sz w:val="24"/>
                <w:highlight w:val="none"/>
                <w:lang w:bidi="ar"/>
              </w:rPr>
              <w:t>②软件版本：文件制作版本不低于当前主流版本，要求向上兼容。</w:t>
            </w:r>
          </w:p>
          <w:p w14:paraId="3FE4BFE7">
            <w:pPr>
              <w:autoSpaceDE w:val="0"/>
              <w:spacing w:line="360" w:lineRule="auto"/>
              <w:ind w:firstLine="480" w:firstLineChars="200"/>
              <w:rPr>
                <w:color w:val="auto"/>
                <w:sz w:val="24"/>
                <w:highlight w:val="none"/>
              </w:rPr>
            </w:pPr>
            <w:r>
              <w:rPr>
                <w:rFonts w:hint="eastAsia"/>
                <w:color w:val="auto"/>
                <w:sz w:val="24"/>
                <w:highlight w:val="none"/>
                <w:lang w:bidi="ar"/>
              </w:rPr>
              <w:t>③文本内容应相对完整，不可加密。</w:t>
            </w:r>
          </w:p>
        </w:tc>
      </w:tr>
      <w:tr w14:paraId="0A029C19">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10FA5552">
            <w:pPr>
              <w:spacing w:line="360" w:lineRule="auto"/>
              <w:jc w:val="center"/>
              <w:rPr>
                <w:color w:val="auto"/>
                <w:sz w:val="24"/>
                <w:highlight w:val="none"/>
              </w:rPr>
            </w:pPr>
            <w:r>
              <w:rPr>
                <w:rFonts w:hint="eastAsia"/>
                <w:color w:val="auto"/>
                <w:sz w:val="24"/>
                <w:highlight w:val="none"/>
              </w:rPr>
              <w:t>3</w:t>
            </w:r>
          </w:p>
        </w:tc>
        <w:tc>
          <w:tcPr>
            <w:tcW w:w="805" w:type="pct"/>
            <w:tcBorders>
              <w:top w:val="single" w:color="auto" w:sz="4" w:space="0"/>
              <w:left w:val="nil"/>
              <w:bottom w:val="single" w:color="auto" w:sz="4" w:space="0"/>
              <w:right w:val="single" w:color="auto" w:sz="4" w:space="0"/>
            </w:tcBorders>
            <w:vAlign w:val="center"/>
          </w:tcPr>
          <w:p w14:paraId="6EA7D98B">
            <w:pPr>
              <w:spacing w:line="360" w:lineRule="auto"/>
              <w:jc w:val="center"/>
              <w:rPr>
                <w:color w:val="auto"/>
                <w:sz w:val="24"/>
                <w:highlight w:val="none"/>
              </w:rPr>
            </w:pPr>
            <w:r>
              <w:rPr>
                <w:rFonts w:hint="eastAsia"/>
                <w:color w:val="auto"/>
                <w:sz w:val="24"/>
                <w:highlight w:val="none"/>
              </w:rPr>
              <w:t>教学案例</w:t>
            </w:r>
          </w:p>
        </w:tc>
        <w:tc>
          <w:tcPr>
            <w:tcW w:w="3716" w:type="pct"/>
            <w:tcBorders>
              <w:top w:val="single" w:color="auto" w:sz="4" w:space="0"/>
              <w:left w:val="nil"/>
              <w:bottom w:val="single" w:color="auto" w:sz="4" w:space="0"/>
              <w:right w:val="single" w:color="auto" w:sz="4" w:space="0"/>
            </w:tcBorders>
          </w:tcPr>
          <w:p w14:paraId="434A0B25">
            <w:pPr>
              <w:spacing w:line="360" w:lineRule="auto"/>
              <w:ind w:firstLine="480" w:firstLineChars="200"/>
              <w:rPr>
                <w:bCs/>
                <w:color w:val="auto"/>
                <w:sz w:val="24"/>
                <w:highlight w:val="none"/>
              </w:rPr>
            </w:pPr>
            <w:r>
              <w:rPr>
                <w:rFonts w:hint="eastAsia"/>
                <w:bCs/>
                <w:color w:val="auto"/>
                <w:sz w:val="24"/>
                <w:highlight w:val="none"/>
              </w:rPr>
              <w:t>教学案例指教学过程中用到的各种案例材料，多来自于行业企业、工程实践等。</w:t>
            </w:r>
          </w:p>
          <w:p w14:paraId="328FE494">
            <w:pPr>
              <w:spacing w:line="360" w:lineRule="auto"/>
              <w:ind w:firstLine="480" w:firstLineChars="200"/>
              <w:rPr>
                <w:bCs/>
                <w:color w:val="auto"/>
                <w:sz w:val="24"/>
                <w:highlight w:val="none"/>
              </w:rPr>
            </w:pPr>
            <w:r>
              <w:rPr>
                <w:rFonts w:hint="eastAsia"/>
                <w:bCs/>
                <w:color w:val="auto"/>
                <w:sz w:val="24"/>
                <w:highlight w:val="none"/>
              </w:rPr>
              <w:t>1.内容要求：</w:t>
            </w:r>
          </w:p>
          <w:p w14:paraId="5B5B6611">
            <w:pPr>
              <w:spacing w:line="360" w:lineRule="auto"/>
              <w:ind w:firstLine="480" w:firstLineChars="200"/>
              <w:rPr>
                <w:bCs/>
                <w:color w:val="auto"/>
                <w:sz w:val="24"/>
                <w:highlight w:val="none"/>
              </w:rPr>
            </w:pPr>
            <w:r>
              <w:rPr>
                <w:rFonts w:hint="eastAsia"/>
                <w:bCs/>
                <w:color w:val="auto"/>
                <w:sz w:val="24"/>
                <w:highlight w:val="none"/>
              </w:rPr>
              <w:t>案例能说明一定的实际问题，包括相关背景资料、分析与评价、相关应用领域、教学建议及学习指南等内容。</w:t>
            </w:r>
          </w:p>
          <w:p w14:paraId="13A15F27">
            <w:pPr>
              <w:spacing w:line="360" w:lineRule="auto"/>
              <w:ind w:firstLine="480" w:firstLineChars="200"/>
              <w:rPr>
                <w:bCs/>
                <w:color w:val="auto"/>
                <w:sz w:val="24"/>
                <w:highlight w:val="none"/>
              </w:rPr>
            </w:pPr>
            <w:r>
              <w:rPr>
                <w:rFonts w:hint="eastAsia"/>
                <w:bCs/>
                <w:color w:val="auto"/>
                <w:sz w:val="24"/>
                <w:highlight w:val="none"/>
              </w:rPr>
              <w:t>2.技术要求：</w:t>
            </w:r>
          </w:p>
          <w:p w14:paraId="1562C2E1">
            <w:pPr>
              <w:spacing w:line="360" w:lineRule="auto"/>
              <w:ind w:firstLine="480" w:firstLineChars="200"/>
              <w:rPr>
                <w:bCs/>
                <w:color w:val="auto"/>
                <w:sz w:val="24"/>
                <w:highlight w:val="none"/>
              </w:rPr>
            </w:pPr>
            <w:r>
              <w:rPr>
                <w:rFonts w:hint="eastAsia"/>
                <w:bCs/>
                <w:color w:val="auto"/>
                <w:sz w:val="24"/>
                <w:highlight w:val="none"/>
              </w:rPr>
              <w:t>①文件制作版本不低于当前主流版本，要求上下兼容。</w:t>
            </w:r>
          </w:p>
          <w:p w14:paraId="091BC935">
            <w:pPr>
              <w:spacing w:line="360" w:lineRule="auto"/>
              <w:ind w:firstLine="480" w:firstLineChars="200"/>
              <w:rPr>
                <w:bCs/>
                <w:color w:val="auto"/>
                <w:sz w:val="24"/>
                <w:highlight w:val="none"/>
              </w:rPr>
            </w:pPr>
            <w:r>
              <w:rPr>
                <w:rFonts w:hint="eastAsia"/>
                <w:bCs/>
                <w:color w:val="auto"/>
                <w:sz w:val="24"/>
                <w:highlight w:val="none"/>
              </w:rPr>
              <w:t>②能够通过常用浏览器或软件正常使用, 符合对媒体素材的技术要求。</w:t>
            </w:r>
          </w:p>
        </w:tc>
      </w:tr>
      <w:tr w14:paraId="5CDD9FDD">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212B1425">
            <w:pPr>
              <w:spacing w:line="360" w:lineRule="auto"/>
              <w:jc w:val="center"/>
              <w:rPr>
                <w:color w:val="auto"/>
                <w:sz w:val="24"/>
                <w:highlight w:val="none"/>
              </w:rPr>
            </w:pPr>
            <w:r>
              <w:rPr>
                <w:rFonts w:hint="eastAsia"/>
                <w:color w:val="auto"/>
                <w:sz w:val="24"/>
                <w:highlight w:val="none"/>
              </w:rPr>
              <w:t>4</w:t>
            </w:r>
          </w:p>
        </w:tc>
        <w:tc>
          <w:tcPr>
            <w:tcW w:w="805" w:type="pct"/>
            <w:tcBorders>
              <w:top w:val="single" w:color="auto" w:sz="4" w:space="0"/>
              <w:left w:val="nil"/>
              <w:bottom w:val="single" w:color="auto" w:sz="4" w:space="0"/>
              <w:right w:val="single" w:color="auto" w:sz="4" w:space="0"/>
            </w:tcBorders>
            <w:vAlign w:val="center"/>
          </w:tcPr>
          <w:p w14:paraId="0CB0979A">
            <w:pPr>
              <w:spacing w:line="360" w:lineRule="auto"/>
              <w:jc w:val="center"/>
              <w:rPr>
                <w:color w:val="auto"/>
                <w:sz w:val="24"/>
                <w:highlight w:val="none"/>
              </w:rPr>
            </w:pPr>
            <w:r>
              <w:rPr>
                <w:rFonts w:hint="eastAsia"/>
                <w:color w:val="auto"/>
                <w:sz w:val="24"/>
                <w:highlight w:val="none"/>
              </w:rPr>
              <w:t>微课</w:t>
            </w:r>
          </w:p>
        </w:tc>
        <w:tc>
          <w:tcPr>
            <w:tcW w:w="3716" w:type="pct"/>
            <w:tcBorders>
              <w:top w:val="single" w:color="auto" w:sz="4" w:space="0"/>
              <w:left w:val="nil"/>
              <w:bottom w:val="single" w:color="auto" w:sz="4" w:space="0"/>
              <w:right w:val="single" w:color="auto" w:sz="4" w:space="0"/>
            </w:tcBorders>
          </w:tcPr>
          <w:p w14:paraId="5648454E">
            <w:pPr>
              <w:autoSpaceDE w:val="0"/>
              <w:spacing w:line="360" w:lineRule="auto"/>
              <w:ind w:firstLine="480" w:firstLineChars="200"/>
              <w:rPr>
                <w:color w:val="auto"/>
                <w:sz w:val="24"/>
                <w:highlight w:val="none"/>
              </w:rPr>
            </w:pPr>
            <w:r>
              <w:rPr>
                <w:rFonts w:hint="eastAsia"/>
                <w:color w:val="auto"/>
                <w:sz w:val="24"/>
                <w:highlight w:val="none"/>
                <w:lang w:bidi="ar"/>
              </w:rPr>
              <w:t>微课是对某个知识点/技能点的完整呈现。根据课程大纲中的内容撰写脚本，基于AI技术，通过各种采集设备，获取真实人物的形象与声音的多维度数据，运用人工智能技术、深度学习算法，借助高算力服务器，对采集到的数据进行分析、学习与处理。基于学习到的特征和模式，使用大模型创建数字人的虚拟形象、合成声音，用于课程后期制作。能够有效减少教师的课程录制时间，减轻老师的负担，提高教学效率与效果。</w:t>
            </w:r>
          </w:p>
          <w:p w14:paraId="38D58310">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14FD525E">
            <w:pPr>
              <w:autoSpaceDE w:val="0"/>
              <w:spacing w:line="360" w:lineRule="auto"/>
              <w:ind w:firstLine="480" w:firstLineChars="200"/>
              <w:rPr>
                <w:color w:val="auto"/>
                <w:sz w:val="24"/>
                <w:highlight w:val="none"/>
              </w:rPr>
            </w:pPr>
            <w:r>
              <w:rPr>
                <w:rFonts w:hint="eastAsia"/>
                <w:color w:val="auto"/>
                <w:sz w:val="24"/>
                <w:highlight w:val="none"/>
                <w:lang w:bidi="ar"/>
              </w:rPr>
              <w:t>①使用资料、图片、外景实拍、实验、表演等一种或多种教学手段，应符合教学内容要求，与讲授内容联系紧密，手段选用恰当；</w:t>
            </w:r>
          </w:p>
          <w:p w14:paraId="6137DFF3">
            <w:pPr>
              <w:autoSpaceDE w:val="0"/>
              <w:spacing w:line="360" w:lineRule="auto"/>
              <w:ind w:firstLine="480" w:firstLineChars="200"/>
              <w:rPr>
                <w:color w:val="auto"/>
                <w:sz w:val="24"/>
                <w:highlight w:val="none"/>
              </w:rPr>
            </w:pPr>
            <w:r>
              <w:rPr>
                <w:rFonts w:hint="eastAsia"/>
                <w:color w:val="auto"/>
                <w:sz w:val="24"/>
                <w:highlight w:val="none"/>
                <w:lang w:bidi="ar"/>
              </w:rPr>
              <w:t>②如选用影视作品或自拍素材，应注明素材来源，影视作品或自拍素材中涉及人物访谈内容时，应加注人物介绍；</w:t>
            </w:r>
          </w:p>
          <w:p w14:paraId="45C8647C">
            <w:pPr>
              <w:autoSpaceDE w:val="0"/>
              <w:spacing w:line="360" w:lineRule="auto"/>
              <w:ind w:firstLine="480" w:firstLineChars="200"/>
              <w:rPr>
                <w:color w:val="auto"/>
                <w:sz w:val="24"/>
                <w:highlight w:val="none"/>
              </w:rPr>
            </w:pPr>
            <w:r>
              <w:rPr>
                <w:rFonts w:hint="eastAsia"/>
                <w:color w:val="auto"/>
                <w:sz w:val="24"/>
                <w:highlight w:val="none"/>
                <w:lang w:bidi="ar"/>
              </w:rPr>
              <w:t>③选用的资料、图片等素材画面应清楚。如有历史资料、图片素材，应进行再加工，对选用的资料、图片等素材应注明素材来源及原始信息（如字画的作品、生卒年月，影视片段的作品名称、创作年代等信息）。</w:t>
            </w:r>
          </w:p>
          <w:p w14:paraId="1C139B88">
            <w:pPr>
              <w:autoSpaceDE w:val="0"/>
              <w:spacing w:line="360" w:lineRule="auto"/>
              <w:ind w:firstLine="480" w:firstLineChars="200"/>
              <w:rPr>
                <w:color w:val="auto"/>
                <w:sz w:val="24"/>
                <w:highlight w:val="none"/>
              </w:rPr>
            </w:pPr>
            <w:r>
              <w:rPr>
                <w:rFonts w:hint="eastAsia"/>
                <w:color w:val="auto"/>
                <w:sz w:val="24"/>
                <w:highlight w:val="none"/>
                <w:lang w:bidi="ar"/>
              </w:rPr>
              <w:t>（2）制作要求：</w:t>
            </w:r>
          </w:p>
          <w:p w14:paraId="539DB41D">
            <w:pPr>
              <w:autoSpaceDE w:val="0"/>
              <w:spacing w:line="360" w:lineRule="auto"/>
              <w:ind w:firstLine="480" w:firstLineChars="200"/>
              <w:rPr>
                <w:color w:val="auto"/>
                <w:sz w:val="24"/>
                <w:highlight w:val="none"/>
              </w:rPr>
            </w:pPr>
            <w:r>
              <w:rPr>
                <w:rFonts w:hint="eastAsia"/>
                <w:color w:val="auto"/>
                <w:sz w:val="24"/>
                <w:highlight w:val="none"/>
                <w:lang w:bidi="ar"/>
              </w:rPr>
              <w:t>①屏幕图像的构图合理，画面主体突出，人像及肢体动作以及配合讲授选用的板书、画板、教具实物、模型和实验设备等均不能超出镜头所及范围。</w:t>
            </w:r>
          </w:p>
          <w:p w14:paraId="40F6742D">
            <w:pPr>
              <w:autoSpaceDE w:val="0"/>
              <w:spacing w:line="360" w:lineRule="auto"/>
              <w:ind w:firstLine="480" w:firstLineChars="200"/>
              <w:rPr>
                <w:color w:val="auto"/>
                <w:sz w:val="24"/>
                <w:highlight w:val="none"/>
              </w:rPr>
            </w:pPr>
            <w:r>
              <w:rPr>
                <w:rFonts w:hint="eastAsia"/>
                <w:color w:val="auto"/>
                <w:sz w:val="24"/>
                <w:highlight w:val="none"/>
                <w:lang w:bidi="ar"/>
              </w:rPr>
              <w:t>②微课的背景可采用彩色喷绘、电脑虚拟或现场实景等背景，背景的颜色、图案不易过多，应保持静态，画面应简洁、明快，有利于营造学习气氛。</w:t>
            </w:r>
          </w:p>
          <w:p w14:paraId="2AD54CAD">
            <w:pPr>
              <w:autoSpaceDE w:val="0"/>
              <w:spacing w:line="360" w:lineRule="auto"/>
              <w:ind w:firstLine="480" w:firstLineChars="200"/>
              <w:rPr>
                <w:color w:val="auto"/>
                <w:sz w:val="24"/>
                <w:highlight w:val="none"/>
              </w:rPr>
            </w:pPr>
            <w:r>
              <w:rPr>
                <w:rFonts w:hint="eastAsia"/>
                <w:color w:val="auto"/>
                <w:sz w:val="24"/>
                <w:highlight w:val="none"/>
                <w:lang w:bidi="ar"/>
              </w:rPr>
              <w:t>③摄像镜头应保持与主讲教师目光平视的角度，主讲教师不应较长时间仰视或俯视。</w:t>
            </w:r>
          </w:p>
          <w:p w14:paraId="38D88BD9">
            <w:pPr>
              <w:autoSpaceDE w:val="0"/>
              <w:spacing w:line="360" w:lineRule="auto"/>
              <w:ind w:firstLine="480" w:firstLineChars="200"/>
              <w:rPr>
                <w:color w:val="auto"/>
                <w:sz w:val="24"/>
                <w:highlight w:val="none"/>
              </w:rPr>
            </w:pPr>
            <w:r>
              <w:rPr>
                <w:rFonts w:hint="eastAsia"/>
                <w:color w:val="auto"/>
                <w:sz w:val="24"/>
                <w:highlight w:val="none"/>
                <w:lang w:bidi="ar"/>
              </w:rPr>
              <w:t>④微课资源帧速率为25帧/秒，声音频道为2（立体声），每个时长5—10分钟。</w:t>
            </w:r>
          </w:p>
          <w:p w14:paraId="15CB28D6">
            <w:pPr>
              <w:autoSpaceDE w:val="0"/>
              <w:spacing w:line="360" w:lineRule="auto"/>
              <w:ind w:firstLine="480" w:firstLineChars="200"/>
              <w:rPr>
                <w:color w:val="auto"/>
                <w:sz w:val="24"/>
                <w:highlight w:val="none"/>
              </w:rPr>
            </w:pPr>
            <w:r>
              <w:rPr>
                <w:rFonts w:hint="eastAsia"/>
                <w:color w:val="auto"/>
                <w:sz w:val="24"/>
                <w:highlight w:val="none"/>
                <w:lang w:bidi="ar"/>
              </w:rPr>
              <w:t>⑤视频信号源：</w:t>
            </w:r>
          </w:p>
          <w:p w14:paraId="0C0C3A7E">
            <w:pPr>
              <w:autoSpaceDE w:val="0"/>
              <w:spacing w:line="360" w:lineRule="auto"/>
              <w:ind w:firstLine="480" w:firstLineChars="200"/>
              <w:rPr>
                <w:color w:val="auto"/>
                <w:sz w:val="24"/>
                <w:highlight w:val="none"/>
              </w:rPr>
            </w:pPr>
            <w:r>
              <w:rPr>
                <w:rFonts w:hint="eastAsia"/>
                <w:color w:val="auto"/>
                <w:sz w:val="24"/>
                <w:highlight w:val="none"/>
                <w:lang w:bidi="ar"/>
              </w:rPr>
              <w:t>稳定性：全片图像同步性能稳定，无失步现象，图像无抖动跳跃，色彩无突变，编辑点处图像稳定；</w:t>
            </w:r>
          </w:p>
          <w:p w14:paraId="5CA68D30">
            <w:pPr>
              <w:autoSpaceDE w:val="0"/>
              <w:spacing w:line="360" w:lineRule="auto"/>
              <w:ind w:firstLine="480" w:firstLineChars="200"/>
              <w:rPr>
                <w:color w:val="auto"/>
                <w:sz w:val="24"/>
                <w:highlight w:val="none"/>
              </w:rPr>
            </w:pPr>
            <w:r>
              <w:rPr>
                <w:rFonts w:hint="eastAsia"/>
                <w:color w:val="auto"/>
                <w:sz w:val="24"/>
                <w:highlight w:val="none"/>
                <w:lang w:bidi="ar"/>
              </w:rPr>
              <w:t>色调：白平衡正确，无明显偏色，多机拍摄的镜头衔接处无明显色差；</w:t>
            </w:r>
          </w:p>
          <w:p w14:paraId="28F5C7A7">
            <w:pPr>
              <w:autoSpaceDE w:val="0"/>
              <w:spacing w:line="360" w:lineRule="auto"/>
              <w:ind w:firstLine="480" w:firstLineChars="200"/>
              <w:rPr>
                <w:color w:val="auto"/>
                <w:sz w:val="24"/>
                <w:highlight w:val="none"/>
              </w:rPr>
            </w:pPr>
            <w:r>
              <w:rPr>
                <w:rFonts w:hint="eastAsia"/>
                <w:color w:val="auto"/>
                <w:sz w:val="24"/>
                <w:highlight w:val="none"/>
                <w:lang w:bidi="ar"/>
              </w:rPr>
              <w:t>画幅：建议采用16:9，720p或1080p。</w:t>
            </w:r>
          </w:p>
          <w:p w14:paraId="29ED8881">
            <w:pPr>
              <w:autoSpaceDE w:val="0"/>
              <w:spacing w:line="360" w:lineRule="auto"/>
              <w:ind w:firstLine="480" w:firstLineChars="200"/>
              <w:rPr>
                <w:color w:val="auto"/>
                <w:sz w:val="24"/>
                <w:highlight w:val="none"/>
              </w:rPr>
            </w:pPr>
            <w:r>
              <w:rPr>
                <w:rFonts w:hint="eastAsia"/>
                <w:color w:val="auto"/>
                <w:sz w:val="24"/>
                <w:highlight w:val="none"/>
                <w:lang w:bidi="ar"/>
              </w:rPr>
              <w:t>⑥音频信号源：声音要求采用指向型专业级别话筒配备专业录音机，保障素材的高品质音质，确保素材伴音清晰、饱满，声音和画面同步，无交流声或其他杂音等缺陷；伴音清晰、饱满、圆润，无失真、噪声杂音干扰、音量忽大忽小现象，解说声与现场声无明显比例失调，解说声与背景音乐无明显比例失调。</w:t>
            </w:r>
          </w:p>
          <w:p w14:paraId="72D6341D">
            <w:pPr>
              <w:autoSpaceDE w:val="0"/>
              <w:spacing w:line="360" w:lineRule="auto"/>
              <w:ind w:firstLine="480" w:firstLineChars="200"/>
              <w:rPr>
                <w:color w:val="auto"/>
                <w:sz w:val="24"/>
                <w:highlight w:val="none"/>
              </w:rPr>
            </w:pPr>
            <w:r>
              <w:rPr>
                <w:rFonts w:hint="eastAsia"/>
                <w:color w:val="auto"/>
                <w:sz w:val="24"/>
                <w:highlight w:val="none"/>
                <w:lang w:bidi="ar"/>
              </w:rPr>
              <w:t>⑦字幕要使用符合国家标准的标准字，不出现繁体字、异体字（国家规定技术要求的除外）、错别字；字幕的字体、大小、色彩搭配、摆放位置、停留时间、出入屏方式力求与其他要素（画面、解说词、音乐）配适宜当，不能破坏原有画面。</w:t>
            </w:r>
          </w:p>
          <w:p w14:paraId="74083B7D">
            <w:pPr>
              <w:autoSpaceDE w:val="0"/>
              <w:spacing w:line="360" w:lineRule="auto"/>
              <w:ind w:firstLine="480" w:firstLineChars="200"/>
              <w:rPr>
                <w:color w:val="auto"/>
                <w:sz w:val="24"/>
                <w:highlight w:val="none"/>
              </w:rPr>
            </w:pPr>
            <w:r>
              <w:rPr>
                <w:rFonts w:hint="eastAsia"/>
                <w:color w:val="auto"/>
                <w:sz w:val="24"/>
                <w:highlight w:val="none"/>
                <w:lang w:bidi="ar"/>
              </w:rPr>
              <w:t>⑧视频压缩格式及技术参数：压缩采用H.264/AVC(MPEG-4Part10）编码、使用二次编码，包含字幕的MP4格式；</w:t>
            </w:r>
          </w:p>
          <w:p w14:paraId="2642A642">
            <w:pPr>
              <w:autoSpaceDE w:val="0"/>
              <w:spacing w:line="360" w:lineRule="auto"/>
              <w:ind w:firstLine="480" w:firstLineChars="200"/>
              <w:rPr>
                <w:color w:val="auto"/>
                <w:sz w:val="24"/>
                <w:highlight w:val="none"/>
              </w:rPr>
            </w:pPr>
            <w:r>
              <w:rPr>
                <w:rFonts w:hint="eastAsia"/>
                <w:color w:val="auto"/>
                <w:sz w:val="24"/>
                <w:highlight w:val="none"/>
                <w:lang w:bidi="ar"/>
              </w:rPr>
              <w:t>视频码流率：动态码流的最低码率不得低于1024Kb；</w:t>
            </w:r>
          </w:p>
          <w:p w14:paraId="69E13D8C">
            <w:pPr>
              <w:autoSpaceDE w:val="0"/>
              <w:spacing w:line="360" w:lineRule="auto"/>
              <w:ind w:firstLine="480" w:firstLineChars="200"/>
              <w:rPr>
                <w:color w:val="auto"/>
                <w:sz w:val="24"/>
                <w:highlight w:val="none"/>
              </w:rPr>
            </w:pPr>
            <w:r>
              <w:rPr>
                <w:rFonts w:hint="eastAsia"/>
                <w:color w:val="auto"/>
                <w:sz w:val="24"/>
                <w:highlight w:val="none"/>
                <w:lang w:bidi="ar"/>
              </w:rPr>
              <w:t>视频分辨率：前期采用高清16:9拍摄，像素分辨率要≥1920*1080。</w:t>
            </w:r>
          </w:p>
          <w:p w14:paraId="5278CA71">
            <w:pPr>
              <w:autoSpaceDE w:val="0"/>
              <w:spacing w:line="360" w:lineRule="auto"/>
              <w:ind w:firstLine="480" w:firstLineChars="200"/>
              <w:rPr>
                <w:color w:val="auto"/>
                <w:sz w:val="24"/>
                <w:highlight w:val="none"/>
              </w:rPr>
            </w:pPr>
            <w:r>
              <w:rPr>
                <w:rFonts w:hint="eastAsia"/>
                <w:color w:val="auto"/>
                <w:sz w:val="24"/>
                <w:highlight w:val="none"/>
                <w:lang w:bidi="ar"/>
              </w:rPr>
              <w:t>⑨音频压缩格式及技术参数：音频压缩采用AAC(MPEG4Part3）格式；采样率48KHz；音频码流率128Kbps（恒定）。</w:t>
            </w:r>
          </w:p>
          <w:p w14:paraId="7FB31E24">
            <w:pPr>
              <w:autoSpaceDE w:val="0"/>
              <w:spacing w:line="360" w:lineRule="auto"/>
              <w:ind w:firstLine="480" w:firstLineChars="200"/>
              <w:rPr>
                <w:color w:val="auto"/>
                <w:sz w:val="24"/>
                <w:highlight w:val="none"/>
              </w:rPr>
            </w:pPr>
            <w:r>
              <w:rPr>
                <w:rFonts w:hint="eastAsia"/>
                <w:color w:val="auto"/>
                <w:sz w:val="24"/>
                <w:highlight w:val="none"/>
                <w:lang w:bidi="ar"/>
              </w:rPr>
              <w:t>⑩对拍摄的视频进行后期非线性编辑工作，加入片头及片尾，根据需要加入字幕并进行部分后期录音及混音工作，对部分画面语言内容加入字幕，适当加入特效（如：重要文字信息的信息字幕条）。</w:t>
            </w:r>
          </w:p>
          <w:p w14:paraId="64917A20">
            <w:pPr>
              <w:autoSpaceDE w:val="0"/>
              <w:spacing w:line="360" w:lineRule="auto"/>
              <w:ind w:firstLine="480" w:firstLineChars="200"/>
              <w:rPr>
                <w:color w:val="auto"/>
                <w:sz w:val="24"/>
                <w:highlight w:val="none"/>
              </w:rPr>
            </w:pPr>
            <w:r>
              <w:rPr>
                <w:rFonts w:hint="eastAsia"/>
                <w:color w:val="auto"/>
                <w:sz w:val="24"/>
                <w:highlight w:val="none"/>
                <w:lang w:bidi="ar"/>
              </w:rPr>
              <w:t>（3）AIGC数字人要求：</w:t>
            </w:r>
          </w:p>
          <w:p w14:paraId="1D4876DF">
            <w:pPr>
              <w:autoSpaceDE w:val="0"/>
              <w:spacing w:line="360" w:lineRule="auto"/>
              <w:ind w:firstLine="480" w:firstLineChars="200"/>
              <w:rPr>
                <w:color w:val="auto"/>
                <w:sz w:val="24"/>
                <w:highlight w:val="none"/>
              </w:rPr>
            </w:pPr>
            <w:r>
              <w:rPr>
                <w:rFonts w:hint="eastAsia"/>
                <w:color w:val="auto"/>
                <w:sz w:val="24"/>
                <w:highlight w:val="none"/>
                <w:lang w:bidi="ar"/>
              </w:rPr>
              <w:t>①外观定制：</w:t>
            </w:r>
          </w:p>
          <w:p w14:paraId="18D7D352">
            <w:pPr>
              <w:autoSpaceDE w:val="0"/>
              <w:spacing w:line="360" w:lineRule="auto"/>
              <w:ind w:firstLine="480" w:firstLineChars="200"/>
              <w:rPr>
                <w:color w:val="auto"/>
                <w:sz w:val="24"/>
                <w:highlight w:val="none"/>
              </w:rPr>
            </w:pPr>
            <w:r>
              <w:rPr>
                <w:rFonts w:hint="eastAsia"/>
                <w:color w:val="auto"/>
                <w:sz w:val="24"/>
                <w:highlight w:val="none"/>
                <w:lang w:bidi="ar"/>
              </w:rPr>
              <w:t>逼真度：数字人的外观应高度逼真，包括细致的面部特征、光影效果等，以达到与真实人类相近的水平。</w:t>
            </w:r>
          </w:p>
          <w:p w14:paraId="739298F9">
            <w:pPr>
              <w:autoSpaceDE w:val="0"/>
              <w:spacing w:line="360" w:lineRule="auto"/>
              <w:ind w:firstLine="480" w:firstLineChars="200"/>
              <w:rPr>
                <w:color w:val="auto"/>
                <w:sz w:val="24"/>
                <w:highlight w:val="none"/>
              </w:rPr>
            </w:pPr>
            <w:r>
              <w:rPr>
                <w:rFonts w:hint="eastAsia"/>
                <w:color w:val="auto"/>
                <w:sz w:val="24"/>
                <w:highlight w:val="none"/>
                <w:lang w:bidi="ar"/>
              </w:rPr>
              <w:t>分辨率：数字人形象的分辨率≥1080P，能在PC端、移动端清晰显示。</w:t>
            </w:r>
          </w:p>
          <w:p w14:paraId="6FD065B2">
            <w:pPr>
              <w:autoSpaceDE w:val="0"/>
              <w:spacing w:line="360" w:lineRule="auto"/>
              <w:ind w:firstLine="480" w:firstLineChars="200"/>
              <w:rPr>
                <w:color w:val="auto"/>
                <w:sz w:val="24"/>
                <w:highlight w:val="none"/>
              </w:rPr>
            </w:pPr>
            <w:r>
              <w:rPr>
                <w:rFonts w:hint="eastAsia"/>
                <w:color w:val="auto"/>
                <w:sz w:val="24"/>
                <w:highlight w:val="none"/>
                <w:lang w:bidi="ar"/>
              </w:rPr>
              <w:t>②动作、口型匹配：</w:t>
            </w:r>
          </w:p>
          <w:p w14:paraId="16505D2E">
            <w:pPr>
              <w:autoSpaceDE w:val="0"/>
              <w:spacing w:line="360" w:lineRule="auto"/>
              <w:ind w:firstLine="480" w:firstLineChars="200"/>
              <w:rPr>
                <w:color w:val="auto"/>
                <w:sz w:val="24"/>
                <w:highlight w:val="none"/>
              </w:rPr>
            </w:pPr>
            <w:r>
              <w:rPr>
                <w:rFonts w:hint="eastAsia"/>
                <w:color w:val="auto"/>
                <w:sz w:val="24"/>
                <w:highlight w:val="none"/>
                <w:lang w:bidi="ar"/>
              </w:rPr>
              <w:t>动作：数字人的动作应流畅自然、真实准确，无明显的延迟或卡顿，能够模拟真人动作。</w:t>
            </w:r>
          </w:p>
          <w:p w14:paraId="563DF142">
            <w:pPr>
              <w:autoSpaceDE w:val="0"/>
              <w:spacing w:line="360" w:lineRule="auto"/>
              <w:ind w:firstLine="480" w:firstLineChars="200"/>
              <w:rPr>
                <w:color w:val="auto"/>
                <w:sz w:val="24"/>
                <w:highlight w:val="none"/>
              </w:rPr>
            </w:pPr>
            <w:r>
              <w:rPr>
                <w:rFonts w:hint="eastAsia"/>
                <w:color w:val="auto"/>
                <w:sz w:val="24"/>
                <w:highlight w:val="none"/>
                <w:lang w:bidi="ar"/>
              </w:rPr>
              <w:t>口型：数字人口型应与所发出的声音在时间上基本同步，形状和开合程度应大致符合所发音的常见口型特征。</w:t>
            </w:r>
          </w:p>
          <w:p w14:paraId="56BFE7F3">
            <w:pPr>
              <w:autoSpaceDE w:val="0"/>
              <w:spacing w:line="360" w:lineRule="auto"/>
              <w:ind w:firstLine="480" w:firstLineChars="200"/>
              <w:rPr>
                <w:color w:val="auto"/>
                <w:sz w:val="24"/>
                <w:highlight w:val="none"/>
              </w:rPr>
            </w:pPr>
            <w:r>
              <w:rPr>
                <w:rFonts w:hint="eastAsia"/>
                <w:color w:val="auto"/>
                <w:sz w:val="24"/>
                <w:highlight w:val="none"/>
                <w:lang w:bidi="ar"/>
              </w:rPr>
              <w:t>③声音合成：</w:t>
            </w:r>
          </w:p>
          <w:p w14:paraId="51B3921A">
            <w:pPr>
              <w:autoSpaceDE w:val="0"/>
              <w:spacing w:line="360" w:lineRule="auto"/>
              <w:ind w:firstLine="480" w:firstLineChars="200"/>
              <w:rPr>
                <w:color w:val="auto"/>
                <w:sz w:val="24"/>
                <w:highlight w:val="none"/>
                <w:lang w:bidi="ar"/>
              </w:rPr>
            </w:pPr>
            <w:r>
              <w:rPr>
                <w:rFonts w:hint="eastAsia"/>
                <w:color w:val="auto"/>
                <w:sz w:val="24"/>
                <w:highlight w:val="none"/>
                <w:lang w:bidi="ar"/>
              </w:rPr>
              <w:t>相似度：合成出的声音与原始声音在音色、音调和语速等方面有较高的相似性。</w:t>
            </w:r>
          </w:p>
          <w:p w14:paraId="5D85460F">
            <w:pPr>
              <w:autoSpaceDE w:val="0"/>
              <w:spacing w:line="360" w:lineRule="auto"/>
              <w:ind w:firstLine="480" w:firstLineChars="200"/>
              <w:rPr>
                <w:color w:val="auto"/>
                <w:sz w:val="24"/>
                <w:highlight w:val="none"/>
              </w:rPr>
            </w:pPr>
            <w:r>
              <w:rPr>
                <w:rFonts w:hint="eastAsia"/>
                <w:color w:val="auto"/>
                <w:sz w:val="24"/>
                <w:highlight w:val="none"/>
                <w:lang w:bidi="ar"/>
              </w:rPr>
              <w:t>流畅性：合成的声音连贯、平稳，没有明显的卡顿、重复或跳跃。</w:t>
            </w:r>
          </w:p>
        </w:tc>
      </w:tr>
      <w:tr w14:paraId="770B532E">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3D4AC923">
            <w:pPr>
              <w:spacing w:line="360" w:lineRule="auto"/>
              <w:jc w:val="center"/>
              <w:rPr>
                <w:color w:val="auto"/>
                <w:sz w:val="24"/>
                <w:highlight w:val="none"/>
              </w:rPr>
            </w:pPr>
            <w:r>
              <w:rPr>
                <w:rFonts w:hint="eastAsia"/>
                <w:color w:val="auto"/>
                <w:sz w:val="24"/>
                <w:highlight w:val="none"/>
              </w:rPr>
              <w:t>5</w:t>
            </w:r>
          </w:p>
        </w:tc>
        <w:tc>
          <w:tcPr>
            <w:tcW w:w="805" w:type="pct"/>
            <w:tcBorders>
              <w:top w:val="single" w:color="auto" w:sz="4" w:space="0"/>
              <w:left w:val="nil"/>
              <w:bottom w:val="single" w:color="auto" w:sz="4" w:space="0"/>
              <w:right w:val="single" w:color="auto" w:sz="4" w:space="0"/>
            </w:tcBorders>
            <w:vAlign w:val="center"/>
          </w:tcPr>
          <w:p w14:paraId="7913141C">
            <w:pPr>
              <w:spacing w:line="360" w:lineRule="auto"/>
              <w:jc w:val="center"/>
              <w:rPr>
                <w:color w:val="auto"/>
                <w:sz w:val="24"/>
                <w:highlight w:val="none"/>
              </w:rPr>
            </w:pPr>
            <w:r>
              <w:rPr>
                <w:rFonts w:hint="eastAsia"/>
                <w:color w:val="auto"/>
                <w:sz w:val="24"/>
                <w:highlight w:val="none"/>
              </w:rPr>
              <w:t>动画</w:t>
            </w:r>
          </w:p>
        </w:tc>
        <w:tc>
          <w:tcPr>
            <w:tcW w:w="3716" w:type="pct"/>
            <w:tcBorders>
              <w:top w:val="single" w:color="auto" w:sz="4" w:space="0"/>
              <w:left w:val="nil"/>
              <w:bottom w:val="single" w:color="auto" w:sz="4" w:space="0"/>
              <w:right w:val="single" w:color="auto" w:sz="4" w:space="0"/>
            </w:tcBorders>
          </w:tcPr>
          <w:p w14:paraId="720C51C8">
            <w:pPr>
              <w:autoSpaceDE w:val="0"/>
              <w:spacing w:line="360" w:lineRule="auto"/>
              <w:ind w:firstLine="480" w:firstLineChars="200"/>
              <w:rPr>
                <w:color w:val="auto"/>
                <w:sz w:val="24"/>
                <w:highlight w:val="none"/>
              </w:rPr>
            </w:pPr>
            <w:r>
              <w:rPr>
                <w:rFonts w:hint="eastAsia"/>
                <w:color w:val="auto"/>
                <w:sz w:val="24"/>
                <w:highlight w:val="none"/>
                <w:lang w:bidi="ar"/>
              </w:rPr>
              <w:t>本次项目所涉及的动画主要指以使用2D专业动画设计软件制作完成的动画。视频制作软件中自带的转场动画效果及课件录屏效果均不包含在此范围内。</w:t>
            </w:r>
          </w:p>
          <w:p w14:paraId="0146864E">
            <w:pPr>
              <w:autoSpaceDE w:val="0"/>
              <w:spacing w:line="360" w:lineRule="auto"/>
              <w:ind w:firstLine="480" w:firstLineChars="200"/>
              <w:rPr>
                <w:color w:val="auto"/>
                <w:sz w:val="24"/>
                <w:highlight w:val="none"/>
              </w:rPr>
            </w:pPr>
            <w:r>
              <w:rPr>
                <w:rFonts w:hint="eastAsia"/>
                <w:color w:val="auto"/>
                <w:sz w:val="24"/>
                <w:highlight w:val="none"/>
                <w:lang w:bidi="ar"/>
              </w:rPr>
              <w:t>利用二维动画技术来展示和解释概念、原理、流程等知识，一般选取教学任务中难实施、难观摩、难再现的内容制作而成。</w:t>
            </w:r>
          </w:p>
          <w:p w14:paraId="69FC7EDE">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289C1633">
            <w:pPr>
              <w:autoSpaceDE w:val="0"/>
              <w:spacing w:line="360" w:lineRule="auto"/>
              <w:ind w:firstLine="480" w:firstLineChars="200"/>
              <w:rPr>
                <w:color w:val="auto"/>
                <w:sz w:val="24"/>
                <w:highlight w:val="none"/>
              </w:rPr>
            </w:pPr>
            <w:r>
              <w:rPr>
                <w:rFonts w:hint="eastAsia"/>
                <w:color w:val="auto"/>
                <w:sz w:val="24"/>
                <w:highlight w:val="none"/>
                <w:lang w:bidi="ar"/>
              </w:rPr>
              <w:t>①动画内容符合我国法律法规，尊重各民族的风俗习惯，版权不存在争议。</w:t>
            </w:r>
          </w:p>
          <w:p w14:paraId="19A4C2DA">
            <w:pPr>
              <w:autoSpaceDE w:val="0"/>
              <w:spacing w:line="360" w:lineRule="auto"/>
              <w:ind w:firstLine="480" w:firstLineChars="200"/>
              <w:rPr>
                <w:color w:val="auto"/>
                <w:sz w:val="24"/>
                <w:highlight w:val="none"/>
              </w:rPr>
            </w:pPr>
            <w:r>
              <w:rPr>
                <w:rFonts w:hint="eastAsia"/>
                <w:color w:val="auto"/>
                <w:sz w:val="24"/>
                <w:highlight w:val="none"/>
                <w:lang w:bidi="ar"/>
              </w:rPr>
              <w:t>②假设其中包含少数民族或外国语言文字信息，应遵循其原内容完整性，使用原语言进行处理。</w:t>
            </w:r>
          </w:p>
          <w:p w14:paraId="6D375581">
            <w:pPr>
              <w:autoSpaceDE w:val="0"/>
              <w:spacing w:line="360" w:lineRule="auto"/>
              <w:ind w:firstLine="480" w:firstLineChars="200"/>
              <w:rPr>
                <w:color w:val="auto"/>
                <w:sz w:val="24"/>
                <w:highlight w:val="none"/>
              </w:rPr>
            </w:pPr>
            <w:r>
              <w:rPr>
                <w:rFonts w:hint="eastAsia"/>
                <w:color w:val="auto"/>
                <w:sz w:val="24"/>
                <w:highlight w:val="none"/>
                <w:lang w:bidi="ar"/>
              </w:rPr>
              <w:t>（2）技术要求：</w:t>
            </w:r>
          </w:p>
          <w:p w14:paraId="6519E974">
            <w:pPr>
              <w:autoSpaceDE w:val="0"/>
              <w:spacing w:line="360" w:lineRule="auto"/>
              <w:ind w:firstLine="480" w:firstLineChars="200"/>
              <w:rPr>
                <w:color w:val="auto"/>
                <w:sz w:val="24"/>
                <w:highlight w:val="none"/>
              </w:rPr>
            </w:pPr>
            <w:r>
              <w:rPr>
                <w:rFonts w:hint="eastAsia"/>
                <w:color w:val="auto"/>
                <w:sz w:val="24"/>
                <w:highlight w:val="none"/>
                <w:lang w:bidi="ar"/>
              </w:rPr>
              <w:t>①动画的开始要有醒目的、意义明确的标题，标题要能够体现动画所表现的内容，且具有一定的趣味性；</w:t>
            </w:r>
          </w:p>
          <w:p w14:paraId="53855A88">
            <w:pPr>
              <w:autoSpaceDE w:val="0"/>
              <w:spacing w:line="360" w:lineRule="auto"/>
              <w:ind w:firstLine="480" w:firstLineChars="200"/>
              <w:rPr>
                <w:color w:val="auto"/>
                <w:sz w:val="24"/>
                <w:highlight w:val="none"/>
              </w:rPr>
            </w:pPr>
            <w:r>
              <w:rPr>
                <w:rFonts w:hint="eastAsia"/>
                <w:color w:val="auto"/>
                <w:sz w:val="24"/>
                <w:highlight w:val="none"/>
                <w:lang w:bidi="ar"/>
              </w:rPr>
              <w:t>②动画中如果有文字，文字要醒目，文字的字体、字号与内容协调，字体颜色避免与背景色相近；</w:t>
            </w:r>
          </w:p>
          <w:p w14:paraId="3A099D4F">
            <w:pPr>
              <w:autoSpaceDE w:val="0"/>
              <w:spacing w:line="360" w:lineRule="auto"/>
              <w:ind w:firstLine="480" w:firstLineChars="200"/>
              <w:rPr>
                <w:color w:val="auto"/>
                <w:sz w:val="24"/>
                <w:highlight w:val="none"/>
              </w:rPr>
            </w:pPr>
            <w:r>
              <w:rPr>
                <w:rFonts w:hint="eastAsia"/>
                <w:color w:val="auto"/>
                <w:sz w:val="24"/>
                <w:highlight w:val="none"/>
                <w:lang w:bidi="ar"/>
              </w:rPr>
              <w:t xml:space="preserve">③动画色彩造型应和谐，画面简洁清晰，界面友好； </w:t>
            </w:r>
          </w:p>
          <w:p w14:paraId="2B5E93BE">
            <w:pPr>
              <w:autoSpaceDE w:val="0"/>
              <w:spacing w:line="360" w:lineRule="auto"/>
              <w:ind w:firstLine="480" w:firstLineChars="200"/>
              <w:rPr>
                <w:color w:val="auto"/>
                <w:sz w:val="24"/>
                <w:highlight w:val="none"/>
              </w:rPr>
            </w:pPr>
            <w:r>
              <w:rPr>
                <w:rFonts w:hint="eastAsia"/>
                <w:color w:val="auto"/>
                <w:sz w:val="24"/>
                <w:highlight w:val="none"/>
                <w:lang w:bidi="ar"/>
              </w:rPr>
              <w:t>④动画连续，节奏合适，帧和帧之间的关联性要强；</w:t>
            </w:r>
          </w:p>
          <w:p w14:paraId="78A9D8FA">
            <w:pPr>
              <w:autoSpaceDE w:val="0"/>
              <w:spacing w:line="360" w:lineRule="auto"/>
              <w:ind w:firstLine="480" w:firstLineChars="200"/>
              <w:rPr>
                <w:color w:val="auto"/>
                <w:sz w:val="24"/>
                <w:highlight w:val="none"/>
              </w:rPr>
            </w:pPr>
            <w:r>
              <w:rPr>
                <w:rFonts w:hint="eastAsia"/>
                <w:color w:val="auto"/>
                <w:sz w:val="24"/>
                <w:highlight w:val="none"/>
                <w:lang w:bidi="ar"/>
              </w:rPr>
              <w:t>⑤聘请专业配音人员对动画进行中英文配音、解说，配音要求普通话、英语标准，咬字清楚，声音悦耳，音量适当，快慢适度。</w:t>
            </w:r>
          </w:p>
          <w:p w14:paraId="4E5B9FDA">
            <w:pPr>
              <w:autoSpaceDE w:val="0"/>
              <w:spacing w:line="360" w:lineRule="auto"/>
              <w:ind w:firstLine="480" w:firstLineChars="200"/>
              <w:rPr>
                <w:color w:val="auto"/>
                <w:sz w:val="24"/>
                <w:highlight w:val="none"/>
              </w:rPr>
            </w:pPr>
            <w:r>
              <w:rPr>
                <w:rFonts w:hint="eastAsia"/>
                <w:color w:val="auto"/>
                <w:sz w:val="24"/>
                <w:highlight w:val="none"/>
                <w:lang w:bidi="ar"/>
              </w:rPr>
              <w:t>⑥动画如果有背景音乐，背景音乐音量不宜过大，音乐与内容相符。</w:t>
            </w:r>
          </w:p>
          <w:p w14:paraId="510483AF">
            <w:pPr>
              <w:autoSpaceDE w:val="0"/>
              <w:spacing w:line="360" w:lineRule="auto"/>
              <w:ind w:firstLine="480" w:firstLineChars="200"/>
              <w:rPr>
                <w:color w:val="auto"/>
                <w:sz w:val="24"/>
                <w:highlight w:val="none"/>
              </w:rPr>
            </w:pPr>
            <w:r>
              <w:rPr>
                <w:rFonts w:hint="eastAsia"/>
                <w:color w:val="auto"/>
                <w:sz w:val="24"/>
                <w:highlight w:val="none"/>
                <w:lang w:bidi="ar"/>
              </w:rPr>
              <w:t>⑦动画演播过程要简洁、清晰、流畅，静止画面时间不超过5秒钟，且对主频2GHz的电脑CPU资源占用率低于30%；</w:t>
            </w:r>
          </w:p>
          <w:p w14:paraId="3DCAAB33">
            <w:pPr>
              <w:autoSpaceDE w:val="0"/>
              <w:spacing w:line="360" w:lineRule="auto"/>
              <w:ind w:firstLine="480" w:firstLineChars="200"/>
              <w:rPr>
                <w:color w:val="auto"/>
                <w:sz w:val="24"/>
                <w:highlight w:val="none"/>
              </w:rPr>
            </w:pPr>
            <w:r>
              <w:rPr>
                <w:rFonts w:hint="eastAsia"/>
                <w:color w:val="auto"/>
                <w:sz w:val="24"/>
                <w:highlight w:val="none"/>
                <w:lang w:bidi="ar"/>
              </w:rPr>
              <w:t>⑧一般情况下，应设置暂停与播放控制按钮，当动画时间较长时应设置进度拖动条。</w:t>
            </w:r>
          </w:p>
          <w:p w14:paraId="3DE995F2">
            <w:pPr>
              <w:autoSpaceDE w:val="0"/>
              <w:spacing w:line="360" w:lineRule="auto"/>
              <w:ind w:firstLine="480" w:firstLineChars="200"/>
              <w:rPr>
                <w:color w:val="auto"/>
                <w:sz w:val="24"/>
                <w:highlight w:val="none"/>
                <w:lang w:bidi="ar"/>
              </w:rPr>
            </w:pPr>
            <w:r>
              <w:rPr>
                <w:rFonts w:hint="eastAsia"/>
                <w:color w:val="auto"/>
                <w:sz w:val="24"/>
                <w:highlight w:val="none"/>
                <w:lang w:bidi="ar"/>
              </w:rPr>
              <w:t>⑨动画资源帧速率为25帧/秒，声音频道为2（立体声），每个时长1分钟以内。</w:t>
            </w:r>
          </w:p>
          <w:p w14:paraId="4CA47EBA">
            <w:pPr>
              <w:autoSpaceDE w:val="0"/>
              <w:spacing w:line="360" w:lineRule="auto"/>
              <w:ind w:firstLine="480" w:firstLineChars="200"/>
              <w:rPr>
                <w:color w:val="auto"/>
                <w:sz w:val="24"/>
                <w:highlight w:val="none"/>
                <w:lang w:bidi="ar"/>
              </w:rPr>
            </w:pPr>
            <w:r>
              <w:rPr>
                <w:rFonts w:hint="eastAsia"/>
                <w:color w:val="auto"/>
                <w:sz w:val="24"/>
                <w:highlight w:val="none"/>
                <w:lang w:bidi="ar"/>
              </w:rPr>
              <w:t>⑩支持*mp4格式。</w:t>
            </w:r>
          </w:p>
          <w:p w14:paraId="488A271D">
            <w:pPr>
              <w:autoSpaceDE w:val="0"/>
              <w:spacing w:line="360" w:lineRule="auto"/>
              <w:ind w:firstLine="480" w:firstLineChars="200"/>
              <w:rPr>
                <w:color w:val="auto"/>
                <w:sz w:val="24"/>
                <w:highlight w:val="none"/>
              </w:rPr>
            </w:pPr>
            <w:r>
              <w:rPr>
                <w:rFonts w:hint="eastAsia"/>
                <w:color w:val="auto"/>
                <w:sz w:val="24"/>
                <w:highlight w:val="none"/>
                <w:lang w:bidi="ar"/>
              </w:rPr>
              <w:t>⑪存储格式：采用mp4存储格式。</w:t>
            </w:r>
          </w:p>
        </w:tc>
      </w:tr>
      <w:tr w14:paraId="30A3479F">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08830F24">
            <w:pPr>
              <w:spacing w:line="360" w:lineRule="auto"/>
              <w:jc w:val="center"/>
              <w:rPr>
                <w:color w:val="auto"/>
                <w:sz w:val="24"/>
                <w:highlight w:val="none"/>
              </w:rPr>
            </w:pPr>
            <w:r>
              <w:rPr>
                <w:rFonts w:hint="eastAsia"/>
                <w:color w:val="auto"/>
                <w:sz w:val="24"/>
                <w:highlight w:val="none"/>
              </w:rPr>
              <w:t>6</w:t>
            </w:r>
          </w:p>
        </w:tc>
        <w:tc>
          <w:tcPr>
            <w:tcW w:w="805" w:type="pct"/>
            <w:tcBorders>
              <w:top w:val="single" w:color="auto" w:sz="4" w:space="0"/>
              <w:left w:val="nil"/>
              <w:bottom w:val="single" w:color="auto" w:sz="4" w:space="0"/>
              <w:right w:val="single" w:color="auto" w:sz="4" w:space="0"/>
            </w:tcBorders>
            <w:vAlign w:val="center"/>
          </w:tcPr>
          <w:p w14:paraId="26E87C1F">
            <w:pPr>
              <w:spacing w:line="360" w:lineRule="auto"/>
              <w:jc w:val="center"/>
              <w:rPr>
                <w:color w:val="auto"/>
                <w:sz w:val="24"/>
                <w:highlight w:val="none"/>
              </w:rPr>
            </w:pPr>
            <w:r>
              <w:rPr>
                <w:rFonts w:hint="eastAsia"/>
                <w:color w:val="auto"/>
                <w:sz w:val="24"/>
                <w:highlight w:val="none"/>
              </w:rPr>
              <w:t>教学视频</w:t>
            </w:r>
          </w:p>
        </w:tc>
        <w:tc>
          <w:tcPr>
            <w:tcW w:w="3716" w:type="pct"/>
            <w:tcBorders>
              <w:top w:val="single" w:color="auto" w:sz="4" w:space="0"/>
              <w:left w:val="nil"/>
              <w:bottom w:val="single" w:color="auto" w:sz="4" w:space="0"/>
              <w:right w:val="single" w:color="auto" w:sz="4" w:space="0"/>
            </w:tcBorders>
          </w:tcPr>
          <w:p w14:paraId="3AB8421C">
            <w:pPr>
              <w:autoSpaceDE w:val="0"/>
              <w:spacing w:line="360" w:lineRule="auto"/>
              <w:ind w:firstLine="480" w:firstLineChars="200"/>
              <w:rPr>
                <w:color w:val="auto"/>
                <w:sz w:val="24"/>
                <w:highlight w:val="none"/>
              </w:rPr>
            </w:pPr>
            <w:r>
              <w:rPr>
                <w:rFonts w:hint="eastAsia"/>
                <w:color w:val="auto"/>
                <w:sz w:val="24"/>
                <w:highlight w:val="none"/>
                <w:lang w:bidi="ar"/>
              </w:rPr>
              <w:t>教学视频是对知识内容的讲解与记录，根据课程大纲中的知识内容撰写脚本，由专业剪辑人员剪辑而成或者真实场景拍摄。主要有视频案例讲解，教学实操录像，软件实操录屏等形式。</w:t>
            </w:r>
          </w:p>
          <w:p w14:paraId="1B7DF2CB">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37F9A536">
            <w:pPr>
              <w:autoSpaceDE w:val="0"/>
              <w:spacing w:line="360" w:lineRule="auto"/>
              <w:ind w:firstLine="480" w:firstLineChars="200"/>
              <w:rPr>
                <w:color w:val="auto"/>
                <w:sz w:val="24"/>
                <w:highlight w:val="none"/>
              </w:rPr>
            </w:pPr>
            <w:r>
              <w:rPr>
                <w:rFonts w:hint="eastAsia"/>
                <w:color w:val="auto"/>
                <w:sz w:val="24"/>
                <w:highlight w:val="none"/>
                <w:lang w:bidi="ar"/>
              </w:rPr>
              <w:t>①视频内容符合我国法律法规，尊重各民族的风俗习惯，版权不存在争议。</w:t>
            </w:r>
          </w:p>
          <w:p w14:paraId="3BF7AFCB">
            <w:pPr>
              <w:autoSpaceDE w:val="0"/>
              <w:spacing w:line="360" w:lineRule="auto"/>
              <w:ind w:firstLine="480" w:firstLineChars="200"/>
              <w:rPr>
                <w:color w:val="auto"/>
                <w:sz w:val="24"/>
                <w:highlight w:val="none"/>
              </w:rPr>
            </w:pPr>
            <w:r>
              <w:rPr>
                <w:rFonts w:hint="eastAsia"/>
                <w:color w:val="auto"/>
                <w:sz w:val="24"/>
                <w:highlight w:val="none"/>
                <w:lang w:bidi="ar"/>
              </w:rPr>
              <w:t>②假设其中包含少数民族或外国语言文字信息，应遵循其原内容完整性，使用原语言进行处理。</w:t>
            </w:r>
          </w:p>
          <w:p w14:paraId="6ACA6173">
            <w:pPr>
              <w:autoSpaceDE w:val="0"/>
              <w:spacing w:line="360" w:lineRule="auto"/>
              <w:ind w:firstLine="480" w:firstLineChars="200"/>
              <w:rPr>
                <w:color w:val="auto"/>
                <w:sz w:val="24"/>
                <w:highlight w:val="none"/>
              </w:rPr>
            </w:pPr>
            <w:r>
              <w:rPr>
                <w:rFonts w:hint="eastAsia"/>
                <w:color w:val="auto"/>
                <w:sz w:val="24"/>
                <w:highlight w:val="none"/>
                <w:lang w:bidi="ar"/>
              </w:rPr>
              <w:t>（2）技术要求：</w:t>
            </w:r>
          </w:p>
          <w:p w14:paraId="56F196D8">
            <w:pPr>
              <w:autoSpaceDE w:val="0"/>
              <w:spacing w:line="360" w:lineRule="auto"/>
              <w:ind w:firstLine="480" w:firstLineChars="200"/>
              <w:rPr>
                <w:color w:val="auto"/>
                <w:sz w:val="24"/>
                <w:highlight w:val="none"/>
              </w:rPr>
            </w:pPr>
            <w:r>
              <w:rPr>
                <w:rFonts w:hint="eastAsia"/>
                <w:color w:val="auto"/>
                <w:sz w:val="24"/>
                <w:highlight w:val="none"/>
                <w:lang w:bidi="ar"/>
              </w:rPr>
              <w:t>①视频资源帧速率为25帧/秒，声音频道为2（立体声），每个时长3-10分钟。</w:t>
            </w:r>
          </w:p>
          <w:p w14:paraId="4F4A6C00">
            <w:pPr>
              <w:autoSpaceDE w:val="0"/>
              <w:spacing w:line="360" w:lineRule="auto"/>
              <w:ind w:firstLine="480" w:firstLineChars="200"/>
              <w:rPr>
                <w:color w:val="auto"/>
                <w:sz w:val="24"/>
                <w:highlight w:val="none"/>
              </w:rPr>
            </w:pPr>
            <w:r>
              <w:rPr>
                <w:rFonts w:hint="eastAsia"/>
                <w:color w:val="auto"/>
                <w:sz w:val="24"/>
                <w:highlight w:val="none"/>
                <w:lang w:bidi="ar"/>
              </w:rPr>
              <w:t>②视频信号源：由专业的视频制作团队使用非线性编辑软件以及片头特效软件制作。</w:t>
            </w:r>
          </w:p>
          <w:p w14:paraId="18D1DA75">
            <w:pPr>
              <w:autoSpaceDE w:val="0"/>
              <w:spacing w:line="360" w:lineRule="auto"/>
              <w:ind w:firstLine="480" w:firstLineChars="200"/>
              <w:rPr>
                <w:color w:val="auto"/>
                <w:sz w:val="24"/>
                <w:highlight w:val="none"/>
              </w:rPr>
            </w:pPr>
            <w:r>
              <w:rPr>
                <w:rFonts w:hint="eastAsia"/>
                <w:color w:val="auto"/>
                <w:sz w:val="24"/>
                <w:highlight w:val="none"/>
                <w:lang w:bidi="ar"/>
              </w:rPr>
              <w:t>稳定性：全片图像同步性能稳定，无失步现象，图像无抖动跳跃，色彩无突变，编辑点处图像稳定；</w:t>
            </w:r>
          </w:p>
          <w:p w14:paraId="2C96AFB8">
            <w:pPr>
              <w:autoSpaceDE w:val="0"/>
              <w:spacing w:line="360" w:lineRule="auto"/>
              <w:ind w:firstLine="480" w:firstLineChars="200"/>
              <w:rPr>
                <w:color w:val="auto"/>
                <w:sz w:val="24"/>
                <w:highlight w:val="none"/>
              </w:rPr>
            </w:pPr>
            <w:r>
              <w:rPr>
                <w:rFonts w:hint="eastAsia"/>
                <w:color w:val="auto"/>
                <w:sz w:val="24"/>
                <w:highlight w:val="none"/>
                <w:lang w:bidi="ar"/>
              </w:rPr>
              <w:t>色调：白平衡正确，无明显偏色，多机拍摄的镜头衔接处无明显色差；</w:t>
            </w:r>
          </w:p>
          <w:p w14:paraId="154394AD">
            <w:pPr>
              <w:autoSpaceDE w:val="0"/>
              <w:spacing w:line="360" w:lineRule="auto"/>
              <w:ind w:firstLine="480" w:firstLineChars="200"/>
              <w:rPr>
                <w:color w:val="auto"/>
                <w:sz w:val="24"/>
                <w:highlight w:val="none"/>
              </w:rPr>
            </w:pPr>
            <w:r>
              <w:rPr>
                <w:rFonts w:hint="eastAsia"/>
                <w:color w:val="auto"/>
                <w:sz w:val="24"/>
                <w:highlight w:val="none"/>
                <w:lang w:bidi="ar"/>
              </w:rPr>
              <w:t>画幅：建议采用16:9，720p或1080p。</w:t>
            </w:r>
          </w:p>
          <w:p w14:paraId="36D69562">
            <w:pPr>
              <w:autoSpaceDE w:val="0"/>
              <w:spacing w:line="360" w:lineRule="auto"/>
              <w:ind w:firstLine="480" w:firstLineChars="200"/>
              <w:rPr>
                <w:color w:val="auto"/>
                <w:sz w:val="24"/>
                <w:highlight w:val="none"/>
              </w:rPr>
            </w:pPr>
            <w:r>
              <w:rPr>
                <w:rFonts w:hint="eastAsia"/>
                <w:color w:val="auto"/>
                <w:sz w:val="24"/>
                <w:highlight w:val="none"/>
                <w:lang w:bidi="ar"/>
              </w:rPr>
              <w:t>③音频信号源：声音和画面要求同步，无交流声或其他杂音等缺陷；伴音清晰、饱满、圆润，无失真、噪声杂音干扰、音量忽大忽小现象，解说声与现场声无明显比例失调，解说声与背景音乐无明显比例失调；</w:t>
            </w:r>
          </w:p>
          <w:p w14:paraId="047F92D5">
            <w:pPr>
              <w:autoSpaceDE w:val="0"/>
              <w:spacing w:line="360" w:lineRule="auto"/>
              <w:ind w:firstLine="480" w:firstLineChars="200"/>
              <w:rPr>
                <w:color w:val="auto"/>
                <w:sz w:val="24"/>
                <w:highlight w:val="none"/>
              </w:rPr>
            </w:pPr>
            <w:r>
              <w:rPr>
                <w:rFonts w:hint="eastAsia"/>
                <w:color w:val="auto"/>
                <w:sz w:val="24"/>
                <w:highlight w:val="none"/>
                <w:lang w:bidi="ar"/>
              </w:rPr>
              <w:t>④制定统一的参数标准，确保每一段视频素材画面的色彩、曝光、白平衡协调一致，确保本项目所制作的视频画面风格保持一致。</w:t>
            </w:r>
          </w:p>
          <w:p w14:paraId="7B0F96F7">
            <w:pPr>
              <w:autoSpaceDE w:val="0"/>
              <w:spacing w:line="360" w:lineRule="auto"/>
              <w:ind w:firstLine="480" w:firstLineChars="200"/>
              <w:rPr>
                <w:color w:val="auto"/>
                <w:sz w:val="24"/>
                <w:highlight w:val="none"/>
              </w:rPr>
            </w:pPr>
            <w:r>
              <w:rPr>
                <w:rFonts w:hint="eastAsia"/>
                <w:color w:val="auto"/>
                <w:sz w:val="24"/>
                <w:highlight w:val="none"/>
                <w:lang w:bidi="ar"/>
              </w:rPr>
              <w:t>⑤视频压缩格式及技术参数：视频压缩采用H.264编码方式，包含字幕的MP4格式、M4V（苹果设备常用格式，相当于MP4）等其他常见的主流封装格式，保证教师能够在日常教学中正常使用；</w:t>
            </w:r>
          </w:p>
          <w:p w14:paraId="69248569">
            <w:pPr>
              <w:autoSpaceDE w:val="0"/>
              <w:spacing w:line="360" w:lineRule="auto"/>
              <w:ind w:firstLine="480" w:firstLineChars="200"/>
              <w:rPr>
                <w:color w:val="auto"/>
                <w:sz w:val="24"/>
                <w:highlight w:val="none"/>
              </w:rPr>
            </w:pPr>
            <w:r>
              <w:rPr>
                <w:rFonts w:hint="eastAsia"/>
                <w:color w:val="auto"/>
                <w:sz w:val="24"/>
                <w:highlight w:val="none"/>
                <w:lang w:bidi="ar"/>
              </w:rPr>
              <w:t>视频码流率：动态码流的最低码率不得低于2048Kb；</w:t>
            </w:r>
          </w:p>
          <w:p w14:paraId="12795A76">
            <w:pPr>
              <w:autoSpaceDE w:val="0"/>
              <w:spacing w:line="360" w:lineRule="auto"/>
              <w:ind w:firstLine="480" w:firstLineChars="200"/>
              <w:rPr>
                <w:color w:val="auto"/>
                <w:sz w:val="24"/>
                <w:highlight w:val="none"/>
              </w:rPr>
            </w:pPr>
            <w:r>
              <w:rPr>
                <w:rFonts w:hint="eastAsia"/>
                <w:color w:val="auto"/>
                <w:sz w:val="24"/>
                <w:highlight w:val="none"/>
                <w:lang w:bidi="ar"/>
              </w:rPr>
              <w:t>视频分辨率:前期采用高清16:9拍摄，分辨率要≥1920*1080。</w:t>
            </w:r>
          </w:p>
          <w:p w14:paraId="6447C6D2">
            <w:pPr>
              <w:autoSpaceDE w:val="0"/>
              <w:spacing w:line="360" w:lineRule="auto"/>
              <w:ind w:firstLine="480" w:firstLineChars="200"/>
              <w:rPr>
                <w:color w:val="auto"/>
                <w:sz w:val="24"/>
                <w:highlight w:val="none"/>
              </w:rPr>
            </w:pPr>
            <w:r>
              <w:rPr>
                <w:rFonts w:hint="eastAsia"/>
                <w:color w:val="auto"/>
                <w:sz w:val="24"/>
                <w:highlight w:val="none"/>
                <w:lang w:bidi="ar"/>
              </w:rPr>
              <w:t>⑥音频压缩格式及技术参数①音频压缩采用AAC(MPEG4Part3)格式；采样率48KHz；音频码流率128Kbps(恒定)。</w:t>
            </w:r>
          </w:p>
        </w:tc>
      </w:tr>
      <w:tr w14:paraId="51BFD847">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434AE724">
            <w:pPr>
              <w:spacing w:line="360" w:lineRule="auto"/>
              <w:jc w:val="center"/>
              <w:rPr>
                <w:color w:val="auto"/>
                <w:sz w:val="24"/>
                <w:highlight w:val="none"/>
              </w:rPr>
            </w:pPr>
            <w:r>
              <w:rPr>
                <w:rFonts w:hint="eastAsia"/>
                <w:color w:val="auto"/>
                <w:sz w:val="24"/>
                <w:highlight w:val="none"/>
              </w:rPr>
              <w:t>7</w:t>
            </w:r>
          </w:p>
        </w:tc>
        <w:tc>
          <w:tcPr>
            <w:tcW w:w="805" w:type="pct"/>
            <w:tcBorders>
              <w:top w:val="single" w:color="auto" w:sz="4" w:space="0"/>
              <w:left w:val="nil"/>
              <w:bottom w:val="single" w:color="auto" w:sz="4" w:space="0"/>
              <w:right w:val="single" w:color="auto" w:sz="4" w:space="0"/>
            </w:tcBorders>
            <w:vAlign w:val="center"/>
          </w:tcPr>
          <w:p w14:paraId="2B922ECA">
            <w:pPr>
              <w:spacing w:line="360" w:lineRule="auto"/>
              <w:jc w:val="center"/>
              <w:rPr>
                <w:color w:val="auto"/>
                <w:sz w:val="24"/>
                <w:highlight w:val="none"/>
              </w:rPr>
            </w:pPr>
            <w:r>
              <w:rPr>
                <w:rFonts w:hint="eastAsia"/>
                <w:color w:val="auto"/>
                <w:sz w:val="24"/>
                <w:highlight w:val="none"/>
              </w:rPr>
              <w:t>教学课件</w:t>
            </w:r>
          </w:p>
        </w:tc>
        <w:tc>
          <w:tcPr>
            <w:tcW w:w="3716" w:type="pct"/>
            <w:tcBorders>
              <w:top w:val="single" w:color="auto" w:sz="4" w:space="0"/>
              <w:left w:val="nil"/>
              <w:bottom w:val="single" w:color="auto" w:sz="4" w:space="0"/>
              <w:right w:val="single" w:color="auto" w:sz="4" w:space="0"/>
            </w:tcBorders>
          </w:tcPr>
          <w:p w14:paraId="3A7D752F">
            <w:pPr>
              <w:autoSpaceDE w:val="0"/>
              <w:spacing w:line="360" w:lineRule="auto"/>
              <w:ind w:firstLine="480" w:firstLineChars="200"/>
              <w:rPr>
                <w:color w:val="auto"/>
                <w:sz w:val="24"/>
                <w:highlight w:val="none"/>
              </w:rPr>
            </w:pPr>
            <w:bookmarkStart w:id="21" w:name="_Hlk200622702"/>
            <w:r>
              <w:rPr>
                <w:rFonts w:hint="eastAsia"/>
                <w:color w:val="auto"/>
                <w:sz w:val="24"/>
                <w:highlight w:val="none"/>
                <w:lang w:bidi="ar"/>
              </w:rPr>
              <w:t>根据课程大纲内容，立足于方便教学、逻辑梳理的原则，采取按照任务或按照项目的方式制作。</w:t>
            </w:r>
            <w:bookmarkEnd w:id="21"/>
          </w:p>
          <w:p w14:paraId="095C97EB">
            <w:pPr>
              <w:autoSpaceDE w:val="0"/>
              <w:spacing w:line="360" w:lineRule="auto"/>
              <w:ind w:firstLine="480" w:firstLineChars="200"/>
              <w:rPr>
                <w:color w:val="auto"/>
                <w:sz w:val="24"/>
                <w:highlight w:val="none"/>
              </w:rPr>
            </w:pPr>
            <w:r>
              <w:rPr>
                <w:rFonts w:hint="eastAsia"/>
                <w:color w:val="auto"/>
                <w:sz w:val="24"/>
                <w:highlight w:val="none"/>
                <w:lang w:bidi="ar"/>
              </w:rPr>
              <w:t>（1）内容要求：</w:t>
            </w:r>
          </w:p>
          <w:p w14:paraId="07A0C43F">
            <w:pPr>
              <w:autoSpaceDE w:val="0"/>
              <w:spacing w:line="360" w:lineRule="auto"/>
              <w:ind w:firstLine="480" w:firstLineChars="200"/>
              <w:rPr>
                <w:color w:val="auto"/>
                <w:sz w:val="24"/>
                <w:highlight w:val="none"/>
              </w:rPr>
            </w:pPr>
            <w:r>
              <w:rPr>
                <w:rFonts w:hint="eastAsia"/>
                <w:color w:val="auto"/>
                <w:sz w:val="24"/>
                <w:highlight w:val="none"/>
                <w:lang w:bidi="ar"/>
              </w:rPr>
              <w:t>教学课件内容需要根据课程大纲中的任务或者知识点进行撰写，字体、字号根据制作要求进行设置，内容呈现多用图形、图表形式展示，尽量少用简单的图片加文字的形式。制作要求每个在10-20页。</w:t>
            </w:r>
          </w:p>
          <w:p w14:paraId="7C45913B">
            <w:pPr>
              <w:autoSpaceDE w:val="0"/>
              <w:spacing w:line="360" w:lineRule="auto"/>
              <w:ind w:firstLine="480" w:firstLineChars="200"/>
              <w:rPr>
                <w:color w:val="auto"/>
                <w:sz w:val="24"/>
                <w:highlight w:val="none"/>
              </w:rPr>
            </w:pPr>
            <w:r>
              <w:rPr>
                <w:rFonts w:hint="eastAsia"/>
                <w:color w:val="auto"/>
                <w:sz w:val="24"/>
                <w:highlight w:val="none"/>
                <w:lang w:bidi="ar"/>
              </w:rPr>
              <w:t>（2）技术要求：</w:t>
            </w:r>
          </w:p>
          <w:p w14:paraId="21E8706D">
            <w:pPr>
              <w:autoSpaceDE w:val="0"/>
              <w:spacing w:line="360" w:lineRule="auto"/>
              <w:ind w:firstLine="480" w:firstLineChars="200"/>
              <w:rPr>
                <w:color w:val="auto"/>
                <w:sz w:val="24"/>
                <w:highlight w:val="none"/>
              </w:rPr>
            </w:pPr>
            <w:r>
              <w:rPr>
                <w:rFonts w:hint="eastAsia"/>
                <w:color w:val="auto"/>
                <w:sz w:val="24"/>
                <w:highlight w:val="none"/>
                <w:lang w:bidi="ar"/>
              </w:rPr>
              <w:t>①教学课件内容丰富，可集文字、图形、图像、声音以及视频等多种媒体元素于一体；页面设置要求符合高清格式比例，幻灯片大小为“全屏显示16：9”；整体效果应风格统一、色彩协调、美观大方。</w:t>
            </w:r>
          </w:p>
          <w:p w14:paraId="7594F202">
            <w:pPr>
              <w:autoSpaceDE w:val="0"/>
              <w:spacing w:line="360" w:lineRule="auto"/>
              <w:ind w:firstLine="480" w:firstLineChars="200"/>
              <w:rPr>
                <w:color w:val="auto"/>
                <w:sz w:val="24"/>
                <w:highlight w:val="none"/>
              </w:rPr>
            </w:pPr>
            <w:r>
              <w:rPr>
                <w:rFonts w:hint="eastAsia"/>
                <w:color w:val="auto"/>
                <w:sz w:val="24"/>
                <w:highlight w:val="none"/>
                <w:lang w:bidi="ar"/>
              </w:rPr>
              <w:t>②字体与字号：字体、字号、颜色、行间距等要美观、统一。</w:t>
            </w:r>
          </w:p>
          <w:p w14:paraId="1E52FBDD">
            <w:pPr>
              <w:autoSpaceDE w:val="0"/>
              <w:spacing w:line="360" w:lineRule="auto"/>
              <w:ind w:firstLine="480" w:firstLineChars="200"/>
              <w:rPr>
                <w:color w:val="auto"/>
                <w:sz w:val="24"/>
                <w:highlight w:val="none"/>
              </w:rPr>
            </w:pPr>
            <w:r>
              <w:rPr>
                <w:rFonts w:hint="eastAsia"/>
                <w:color w:val="auto"/>
                <w:sz w:val="24"/>
                <w:highlight w:val="none"/>
                <w:lang w:bidi="ar"/>
              </w:rPr>
              <w:t>③版心与版式：每页四周留出空白，应避免内容顶到页面边缘，边界安全区域分别为左、右130像素内，上、下90像素内。</w:t>
            </w:r>
          </w:p>
          <w:p w14:paraId="09286C85">
            <w:pPr>
              <w:autoSpaceDE w:val="0"/>
              <w:spacing w:line="360" w:lineRule="auto"/>
              <w:ind w:firstLine="480" w:firstLineChars="200"/>
              <w:rPr>
                <w:color w:val="auto"/>
                <w:sz w:val="24"/>
                <w:highlight w:val="none"/>
              </w:rPr>
            </w:pPr>
            <w:r>
              <w:rPr>
                <w:rFonts w:hint="eastAsia"/>
                <w:color w:val="auto"/>
                <w:sz w:val="24"/>
                <w:highlight w:val="none"/>
                <w:lang w:bidi="ar"/>
              </w:rPr>
              <w:t>④背景：背景色以简洁适中饱和度为主（颜色保持在一至两种色系内）；背景和场景不宜变化过多；文字、图形等内容应与背景对比醒目。</w:t>
            </w:r>
          </w:p>
          <w:p w14:paraId="63BD1109">
            <w:pPr>
              <w:autoSpaceDE w:val="0"/>
              <w:spacing w:line="360" w:lineRule="auto"/>
              <w:ind w:firstLine="480" w:firstLineChars="200"/>
              <w:rPr>
                <w:color w:val="auto"/>
                <w:sz w:val="24"/>
                <w:highlight w:val="none"/>
              </w:rPr>
            </w:pPr>
            <w:r>
              <w:rPr>
                <w:rFonts w:hint="eastAsia"/>
                <w:color w:val="auto"/>
                <w:sz w:val="24"/>
                <w:highlight w:val="none"/>
                <w:lang w:bidi="ar"/>
              </w:rPr>
              <w:t>⑤色调：色彩的选配应与课程科目相吻合；可选一种主色调再加上一至两种辅助色进行匹配；同一屏里文字不宜超出三种颜色。</w:t>
            </w:r>
          </w:p>
          <w:p w14:paraId="48B29396">
            <w:pPr>
              <w:autoSpaceDE w:val="0"/>
              <w:spacing w:line="360" w:lineRule="auto"/>
              <w:ind w:firstLine="480" w:firstLineChars="200"/>
              <w:rPr>
                <w:color w:val="auto"/>
                <w:sz w:val="24"/>
                <w:highlight w:val="none"/>
              </w:rPr>
            </w:pPr>
            <w:r>
              <w:rPr>
                <w:rFonts w:hint="eastAsia"/>
                <w:color w:val="auto"/>
                <w:sz w:val="24"/>
                <w:highlight w:val="none"/>
                <w:lang w:bidi="ar"/>
              </w:rPr>
              <w:t>⑥字距与行距：</w:t>
            </w:r>
          </w:p>
          <w:p w14:paraId="44F79939">
            <w:pPr>
              <w:autoSpaceDE w:val="0"/>
              <w:spacing w:line="360" w:lineRule="auto"/>
              <w:ind w:firstLine="480" w:firstLineChars="200"/>
              <w:rPr>
                <w:color w:val="auto"/>
                <w:sz w:val="24"/>
                <w:highlight w:val="none"/>
              </w:rPr>
            </w:pPr>
            <w:r>
              <w:rPr>
                <w:rFonts w:hint="eastAsia"/>
                <w:color w:val="auto"/>
                <w:sz w:val="24"/>
                <w:highlight w:val="none"/>
                <w:lang w:bidi="ar"/>
              </w:rPr>
              <w:t>标题：在文字少的情形下，字距放宽一倍体现舒展性；</w:t>
            </w:r>
          </w:p>
          <w:p w14:paraId="4665C3DF">
            <w:pPr>
              <w:autoSpaceDE w:val="0"/>
              <w:spacing w:line="360" w:lineRule="auto"/>
              <w:ind w:firstLine="480" w:firstLineChars="200"/>
              <w:rPr>
                <w:color w:val="auto"/>
                <w:sz w:val="24"/>
                <w:highlight w:val="none"/>
              </w:rPr>
            </w:pPr>
            <w:r>
              <w:rPr>
                <w:rFonts w:hint="eastAsia"/>
                <w:color w:val="auto"/>
                <w:sz w:val="24"/>
                <w:highlight w:val="none"/>
                <w:lang w:bidi="ar"/>
              </w:rPr>
              <w:t>正文：行距使用1行或1.5行，便于阅读。</w:t>
            </w:r>
          </w:p>
          <w:p w14:paraId="301E215C">
            <w:pPr>
              <w:autoSpaceDE w:val="0"/>
              <w:spacing w:line="360" w:lineRule="auto"/>
              <w:ind w:firstLine="480" w:firstLineChars="200"/>
              <w:rPr>
                <w:color w:val="auto"/>
                <w:sz w:val="24"/>
                <w:highlight w:val="none"/>
              </w:rPr>
            </w:pPr>
            <w:r>
              <w:rPr>
                <w:rFonts w:hint="eastAsia"/>
                <w:color w:val="auto"/>
                <w:sz w:val="24"/>
                <w:highlight w:val="none"/>
                <w:lang w:bidi="ar"/>
              </w:rPr>
              <w:t>⑦配图：图像应清晰并能反映出内容主题思想，分辨率应上72dpi以上；图片不可加长或压窄，防止变形；图形使用应通俗易懂，便于理解。</w:t>
            </w:r>
          </w:p>
          <w:p w14:paraId="3C5CD02E">
            <w:pPr>
              <w:autoSpaceDE w:val="0"/>
              <w:spacing w:line="360" w:lineRule="auto"/>
              <w:ind w:firstLine="480" w:firstLineChars="200"/>
              <w:rPr>
                <w:color w:val="auto"/>
                <w:sz w:val="24"/>
                <w:highlight w:val="none"/>
              </w:rPr>
            </w:pPr>
            <w:r>
              <w:rPr>
                <w:rFonts w:hint="eastAsia"/>
                <w:color w:val="auto"/>
                <w:sz w:val="24"/>
                <w:highlight w:val="none"/>
                <w:lang w:bidi="ar"/>
              </w:rPr>
              <w:t>⑧修饰：细线条的运用比粗线条更显精致；扁平式的装饰更接近时代审美；有趣味的装饰通常更能吸引人。</w:t>
            </w:r>
          </w:p>
          <w:p w14:paraId="2219C5A4">
            <w:pPr>
              <w:autoSpaceDE w:val="0"/>
              <w:spacing w:line="360" w:lineRule="auto"/>
              <w:ind w:firstLine="480" w:firstLineChars="200"/>
              <w:rPr>
                <w:color w:val="auto"/>
                <w:sz w:val="24"/>
                <w:highlight w:val="none"/>
              </w:rPr>
            </w:pPr>
            <w:r>
              <w:rPr>
                <w:rFonts w:hint="eastAsia"/>
                <w:color w:val="auto"/>
                <w:sz w:val="24"/>
                <w:highlight w:val="none"/>
                <w:lang w:bidi="ar"/>
              </w:rPr>
              <w:t>⑨模板：模板朴素、大方，颜色适宜，便于长时间观看；在模板的适当位置标明课程名称、模块(章或节)序号与模块(章或节)的名称。</w:t>
            </w:r>
          </w:p>
        </w:tc>
      </w:tr>
      <w:tr w14:paraId="67408D45">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2ECF5AFF">
            <w:pPr>
              <w:spacing w:line="360" w:lineRule="auto"/>
              <w:jc w:val="center"/>
              <w:rPr>
                <w:color w:val="auto"/>
                <w:sz w:val="24"/>
                <w:highlight w:val="none"/>
              </w:rPr>
            </w:pPr>
            <w:r>
              <w:rPr>
                <w:rFonts w:hint="eastAsia"/>
                <w:color w:val="auto"/>
                <w:sz w:val="24"/>
                <w:highlight w:val="none"/>
              </w:rPr>
              <w:t>8</w:t>
            </w:r>
          </w:p>
        </w:tc>
        <w:tc>
          <w:tcPr>
            <w:tcW w:w="805" w:type="pct"/>
            <w:tcBorders>
              <w:top w:val="single" w:color="auto" w:sz="4" w:space="0"/>
              <w:left w:val="nil"/>
              <w:bottom w:val="single" w:color="auto" w:sz="4" w:space="0"/>
              <w:right w:val="single" w:color="auto" w:sz="4" w:space="0"/>
            </w:tcBorders>
            <w:vAlign w:val="center"/>
          </w:tcPr>
          <w:p w14:paraId="63E2A3E7">
            <w:pPr>
              <w:spacing w:line="360" w:lineRule="auto"/>
              <w:jc w:val="center"/>
              <w:rPr>
                <w:color w:val="auto"/>
                <w:sz w:val="24"/>
                <w:highlight w:val="none"/>
              </w:rPr>
            </w:pPr>
            <w:r>
              <w:rPr>
                <w:rFonts w:hint="eastAsia"/>
                <w:color w:val="auto"/>
                <w:sz w:val="24"/>
                <w:highlight w:val="none"/>
              </w:rPr>
              <w:t>测试题</w:t>
            </w:r>
          </w:p>
        </w:tc>
        <w:tc>
          <w:tcPr>
            <w:tcW w:w="3716" w:type="pct"/>
            <w:tcBorders>
              <w:top w:val="single" w:color="auto" w:sz="4" w:space="0"/>
              <w:left w:val="nil"/>
              <w:bottom w:val="single" w:color="auto" w:sz="4" w:space="0"/>
              <w:right w:val="single" w:color="auto" w:sz="4" w:space="0"/>
            </w:tcBorders>
          </w:tcPr>
          <w:p w14:paraId="37AE443C">
            <w:pPr>
              <w:autoSpaceDE w:val="0"/>
              <w:spacing w:line="360" w:lineRule="auto"/>
              <w:ind w:firstLine="480" w:firstLineChars="200"/>
              <w:rPr>
                <w:color w:val="auto"/>
                <w:sz w:val="24"/>
                <w:highlight w:val="none"/>
              </w:rPr>
            </w:pPr>
            <w:bookmarkStart w:id="22" w:name="_Hlk200622632"/>
            <w:r>
              <w:rPr>
                <w:rFonts w:hint="eastAsia"/>
                <w:color w:val="auto"/>
                <w:sz w:val="24"/>
                <w:highlight w:val="none"/>
                <w:lang w:bidi="ar"/>
              </w:rPr>
              <w:t>测试题是用于课内练习的习题或课后布置给学生完成的作业。</w:t>
            </w:r>
            <w:bookmarkEnd w:id="22"/>
          </w:p>
          <w:p w14:paraId="31510EF3">
            <w:pPr>
              <w:autoSpaceDE w:val="0"/>
              <w:spacing w:line="360" w:lineRule="auto"/>
              <w:ind w:firstLine="480" w:firstLineChars="200"/>
              <w:rPr>
                <w:color w:val="auto"/>
                <w:sz w:val="24"/>
                <w:highlight w:val="none"/>
              </w:rPr>
            </w:pPr>
            <w:r>
              <w:rPr>
                <w:rFonts w:hint="eastAsia"/>
                <w:color w:val="auto"/>
                <w:sz w:val="24"/>
                <w:highlight w:val="none"/>
                <w:lang w:bidi="ar"/>
              </w:rPr>
              <w:t>内容要求：</w:t>
            </w:r>
          </w:p>
          <w:p w14:paraId="7F78F9CA">
            <w:pPr>
              <w:autoSpaceDE w:val="0"/>
              <w:spacing w:line="360" w:lineRule="auto"/>
              <w:ind w:firstLine="480" w:firstLineChars="200"/>
              <w:rPr>
                <w:color w:val="auto"/>
                <w:sz w:val="24"/>
                <w:highlight w:val="none"/>
                <w:lang w:bidi="ar"/>
              </w:rPr>
            </w:pPr>
            <w:r>
              <w:rPr>
                <w:rFonts w:hint="eastAsia"/>
                <w:color w:val="auto"/>
                <w:sz w:val="24"/>
                <w:highlight w:val="none"/>
                <w:lang w:bidi="ar"/>
              </w:rPr>
              <w:t>（1）确保考核全面、客观，测试题中所含题目涉及每个知识点、技能点，并根据其难易程度及教学目标设置不同的难度系数及数量。</w:t>
            </w:r>
          </w:p>
          <w:p w14:paraId="08B6C8C3">
            <w:pPr>
              <w:autoSpaceDE w:val="0"/>
              <w:spacing w:line="360" w:lineRule="auto"/>
              <w:ind w:firstLine="480" w:firstLineChars="200"/>
              <w:rPr>
                <w:color w:val="auto"/>
                <w:sz w:val="24"/>
                <w:highlight w:val="none"/>
              </w:rPr>
            </w:pPr>
            <w:r>
              <w:rPr>
                <w:rFonts w:hint="eastAsia"/>
                <w:color w:val="auto"/>
                <w:sz w:val="24"/>
                <w:highlight w:val="none"/>
                <w:lang w:bidi="ar"/>
              </w:rPr>
              <w:t>（2）题型可以是单选、多选、判断、简答、案例分析等多种类型。</w:t>
            </w:r>
          </w:p>
        </w:tc>
      </w:tr>
      <w:tr w14:paraId="216474B0">
        <w:tblPrEx>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14:paraId="02B3B287">
            <w:pPr>
              <w:spacing w:line="360" w:lineRule="auto"/>
              <w:jc w:val="center"/>
              <w:rPr>
                <w:color w:val="auto"/>
                <w:sz w:val="24"/>
                <w:highlight w:val="none"/>
              </w:rPr>
            </w:pPr>
            <w:r>
              <w:rPr>
                <w:rFonts w:hint="eastAsia"/>
                <w:color w:val="auto"/>
                <w:sz w:val="24"/>
                <w:highlight w:val="none"/>
              </w:rPr>
              <w:t>9</w:t>
            </w:r>
          </w:p>
        </w:tc>
        <w:tc>
          <w:tcPr>
            <w:tcW w:w="805" w:type="pct"/>
            <w:tcBorders>
              <w:top w:val="single" w:color="auto" w:sz="4" w:space="0"/>
              <w:left w:val="nil"/>
              <w:bottom w:val="single" w:color="auto" w:sz="4" w:space="0"/>
              <w:right w:val="single" w:color="auto" w:sz="4" w:space="0"/>
            </w:tcBorders>
            <w:vAlign w:val="center"/>
          </w:tcPr>
          <w:p w14:paraId="42D4A3E8">
            <w:pPr>
              <w:spacing w:line="360" w:lineRule="auto"/>
              <w:jc w:val="center"/>
              <w:rPr>
                <w:color w:val="auto"/>
                <w:sz w:val="24"/>
                <w:highlight w:val="none"/>
              </w:rPr>
            </w:pPr>
            <w:r>
              <w:rPr>
                <w:rFonts w:hint="eastAsia"/>
                <w:color w:val="auto"/>
                <w:sz w:val="24"/>
                <w:highlight w:val="none"/>
              </w:rPr>
              <w:t>实训任务</w:t>
            </w:r>
          </w:p>
        </w:tc>
        <w:tc>
          <w:tcPr>
            <w:tcW w:w="3716" w:type="pct"/>
            <w:tcBorders>
              <w:top w:val="single" w:color="auto" w:sz="4" w:space="0"/>
              <w:left w:val="nil"/>
              <w:bottom w:val="single" w:color="auto" w:sz="4" w:space="0"/>
              <w:right w:val="single" w:color="auto" w:sz="4" w:space="0"/>
            </w:tcBorders>
          </w:tcPr>
          <w:p w14:paraId="2618CB40">
            <w:pPr>
              <w:spacing w:line="360" w:lineRule="auto"/>
              <w:ind w:firstLine="480" w:firstLineChars="200"/>
              <w:rPr>
                <w:color w:val="auto"/>
                <w:sz w:val="24"/>
                <w:highlight w:val="none"/>
              </w:rPr>
            </w:pPr>
            <w:bookmarkStart w:id="23" w:name="_Hlk200622654"/>
            <w:r>
              <w:rPr>
                <w:rFonts w:hint="eastAsia"/>
                <w:color w:val="auto"/>
                <w:sz w:val="24"/>
                <w:highlight w:val="none"/>
              </w:rPr>
              <w:t>利用软件或虚拟仿真系统模拟实际工作场景、设施设备、工具材料、工作对象等要素，方便学生按照工作过程、操作标准进行仿真实操训练的系统。</w:t>
            </w:r>
            <w:bookmarkEnd w:id="23"/>
          </w:p>
          <w:p w14:paraId="30A26A83">
            <w:pPr>
              <w:spacing w:line="360" w:lineRule="auto"/>
              <w:rPr>
                <w:color w:val="auto"/>
                <w:sz w:val="24"/>
                <w:highlight w:val="none"/>
              </w:rPr>
            </w:pPr>
            <w:r>
              <w:rPr>
                <w:rFonts w:hint="eastAsia"/>
                <w:color w:val="auto"/>
                <w:sz w:val="24"/>
                <w:highlight w:val="none"/>
              </w:rPr>
              <w:t>（一）内容要求：</w:t>
            </w:r>
          </w:p>
          <w:p w14:paraId="1B003646">
            <w:pPr>
              <w:spacing w:line="360" w:lineRule="auto"/>
              <w:ind w:firstLine="480" w:firstLineChars="200"/>
              <w:rPr>
                <w:color w:val="auto"/>
                <w:sz w:val="24"/>
                <w:highlight w:val="none"/>
              </w:rPr>
            </w:pPr>
            <w:r>
              <w:rPr>
                <w:rFonts w:hint="eastAsia"/>
                <w:color w:val="auto"/>
                <w:sz w:val="24"/>
                <w:highlight w:val="none"/>
              </w:rPr>
              <w:t>围绕技能点有针对性地开发虚拟仿真实训，切实遵循“以实带虚、以虚助实、虚实结合”原则，避免“为虚而虚”。</w:t>
            </w:r>
          </w:p>
          <w:p w14:paraId="31A7AC49">
            <w:pPr>
              <w:spacing w:line="360" w:lineRule="auto"/>
              <w:ind w:firstLine="480" w:firstLineChars="200"/>
              <w:rPr>
                <w:color w:val="auto"/>
                <w:sz w:val="24"/>
                <w:highlight w:val="none"/>
              </w:rPr>
            </w:pPr>
            <w:r>
              <w:rPr>
                <w:rFonts w:hint="eastAsia"/>
                <w:color w:val="auto"/>
                <w:sz w:val="24"/>
                <w:highlight w:val="none"/>
              </w:rPr>
              <w:t>1.单项实训任务需要反映该课程所对应岗位的关键工作要求，每个单项实训任务包含一个或多个技能点。</w:t>
            </w:r>
          </w:p>
          <w:p w14:paraId="6686C165">
            <w:pPr>
              <w:spacing w:line="360" w:lineRule="auto"/>
              <w:ind w:firstLine="480" w:firstLineChars="200"/>
              <w:rPr>
                <w:color w:val="auto"/>
                <w:sz w:val="24"/>
                <w:highlight w:val="none"/>
              </w:rPr>
            </w:pPr>
            <w:r>
              <w:rPr>
                <w:rFonts w:hint="eastAsia"/>
                <w:color w:val="auto"/>
                <w:sz w:val="24"/>
                <w:highlight w:val="none"/>
              </w:rPr>
              <w:t>2. ◆每个单项实训任务需包含任务名称、任务背景、任务要求、任务步骤、任务评价。</w:t>
            </w:r>
          </w:p>
          <w:p w14:paraId="7B4EE79E">
            <w:pPr>
              <w:spacing w:line="360" w:lineRule="auto"/>
              <w:ind w:firstLine="480" w:firstLineChars="200"/>
              <w:rPr>
                <w:color w:val="auto"/>
                <w:sz w:val="24"/>
                <w:highlight w:val="none"/>
              </w:rPr>
            </w:pPr>
            <w:r>
              <w:rPr>
                <w:rFonts w:hint="eastAsia"/>
                <w:color w:val="auto"/>
                <w:sz w:val="24"/>
                <w:highlight w:val="none"/>
              </w:rPr>
              <w:t>3. ◆每个单项实训任务都可以独立进行赋分和评价。</w:t>
            </w:r>
          </w:p>
          <w:p w14:paraId="6B66627B">
            <w:pPr>
              <w:spacing w:line="360" w:lineRule="auto"/>
              <w:ind w:firstLine="480" w:firstLineChars="200"/>
              <w:rPr>
                <w:color w:val="auto"/>
                <w:sz w:val="24"/>
                <w:highlight w:val="none"/>
              </w:rPr>
            </w:pPr>
            <w:r>
              <w:rPr>
                <w:rFonts w:hint="eastAsia"/>
                <w:color w:val="auto"/>
                <w:sz w:val="24"/>
                <w:highlight w:val="none"/>
              </w:rPr>
              <w:t>4.每个单项实训任务允许教师和学生多次、反复使用。</w:t>
            </w:r>
          </w:p>
          <w:p w14:paraId="7F4C6756">
            <w:pPr>
              <w:spacing w:line="360" w:lineRule="auto"/>
              <w:ind w:firstLine="480" w:firstLineChars="200"/>
              <w:rPr>
                <w:color w:val="auto"/>
                <w:sz w:val="24"/>
                <w:highlight w:val="none"/>
              </w:rPr>
            </w:pPr>
            <w:r>
              <w:rPr>
                <w:rFonts w:hint="eastAsia"/>
                <w:color w:val="auto"/>
                <w:sz w:val="24"/>
                <w:highlight w:val="none"/>
              </w:rPr>
              <w:t>5.任务背景可以根据实际需要，通过文字、html5动画、视频的形式进行展示。</w:t>
            </w:r>
          </w:p>
          <w:p w14:paraId="5D40E357">
            <w:pPr>
              <w:spacing w:line="360" w:lineRule="auto"/>
              <w:ind w:firstLine="480" w:firstLineChars="200"/>
              <w:rPr>
                <w:color w:val="auto"/>
                <w:sz w:val="24"/>
                <w:highlight w:val="none"/>
              </w:rPr>
            </w:pPr>
            <w:r>
              <w:rPr>
                <w:rFonts w:hint="eastAsia"/>
                <w:color w:val="auto"/>
                <w:sz w:val="24"/>
                <w:highlight w:val="none"/>
              </w:rPr>
              <w:t>6.◆对接专业教学标准，内容包含新办企业涉税事项登记、发票管理（开票信息维护、蓝字发票开具、红字发票开具、发票抵扣确认）、增值税计算与申报（销售业务增值税计算与填报、购进业务增值税计算与填报）、企业所得税计算与申报（企业所得税预缴、企业基础信息设置、企业收入类项目汇算、企业扣除类项目汇算、企业资产类项目汇算、亏损弥补及税收优惠项目汇算）、个人所得税及社会保险费申报等核心技能点及业务情景。</w:t>
            </w:r>
            <w:r>
              <w:rPr>
                <w:rFonts w:hint="eastAsia"/>
                <w:color w:val="auto"/>
                <w:sz w:val="24"/>
                <w:highlight w:val="none"/>
              </w:rPr>
              <w:br w:type="textWrapping"/>
            </w:r>
            <w:r>
              <w:rPr>
                <w:rFonts w:hint="eastAsia"/>
                <w:color w:val="auto"/>
                <w:sz w:val="24"/>
                <w:highlight w:val="none"/>
              </w:rPr>
              <w:t xml:space="preserve">  7.◆实训任务涵盖增值税发票开票软件（增值税发票税控开票软件或国家税务总局电子发票服务平台）、国家税务总局电子税务局。</w:t>
            </w:r>
          </w:p>
          <w:p w14:paraId="0F3C3D28">
            <w:pPr>
              <w:spacing w:line="360" w:lineRule="auto"/>
              <w:rPr>
                <w:color w:val="auto"/>
                <w:sz w:val="24"/>
                <w:highlight w:val="none"/>
              </w:rPr>
            </w:pPr>
            <w:r>
              <w:rPr>
                <w:rFonts w:hint="eastAsia"/>
                <w:color w:val="auto"/>
                <w:sz w:val="24"/>
                <w:highlight w:val="none"/>
              </w:rPr>
              <w:t>（二）技术要求：</w:t>
            </w:r>
          </w:p>
          <w:p w14:paraId="72959BE2">
            <w:pPr>
              <w:spacing w:line="360" w:lineRule="auto"/>
              <w:ind w:firstLine="480" w:firstLineChars="200"/>
              <w:rPr>
                <w:color w:val="auto"/>
                <w:sz w:val="24"/>
                <w:highlight w:val="none"/>
              </w:rPr>
            </w:pPr>
            <w:r>
              <w:rPr>
                <w:rFonts w:hint="eastAsia"/>
                <w:color w:val="auto"/>
                <w:sz w:val="24"/>
                <w:highlight w:val="none"/>
              </w:rPr>
              <w:t>1.采用B/S架构，支持最新的HTML5标准，兼容火狐、谷歌等主流浏览器。</w:t>
            </w:r>
          </w:p>
          <w:p w14:paraId="7F6C2C96">
            <w:pPr>
              <w:spacing w:line="360" w:lineRule="auto"/>
              <w:ind w:firstLine="480" w:firstLineChars="200"/>
              <w:rPr>
                <w:color w:val="auto"/>
                <w:sz w:val="24"/>
                <w:highlight w:val="none"/>
              </w:rPr>
            </w:pPr>
            <w:r>
              <w:rPr>
                <w:rFonts w:hint="eastAsia"/>
                <w:color w:val="auto"/>
                <w:sz w:val="24"/>
                <w:highlight w:val="none"/>
              </w:rPr>
              <w:t>2.采用前后端分离的架构模式，降低系统耦合度，减小服务器压力。</w:t>
            </w:r>
          </w:p>
          <w:p w14:paraId="61EA51FA">
            <w:pPr>
              <w:spacing w:line="360" w:lineRule="auto"/>
              <w:ind w:firstLine="480" w:firstLineChars="200"/>
              <w:rPr>
                <w:color w:val="auto"/>
                <w:sz w:val="24"/>
                <w:highlight w:val="none"/>
              </w:rPr>
            </w:pPr>
            <w:r>
              <w:rPr>
                <w:rFonts w:hint="eastAsia"/>
                <w:color w:val="auto"/>
                <w:sz w:val="24"/>
                <w:highlight w:val="none"/>
              </w:rPr>
              <w:t>3.引入缓存机制，避免数据的重复创建、处理和传输，可有效提高性能。</w:t>
            </w:r>
          </w:p>
          <w:p w14:paraId="0077764D">
            <w:pPr>
              <w:spacing w:line="360" w:lineRule="auto"/>
              <w:ind w:firstLine="480" w:firstLineChars="200"/>
              <w:rPr>
                <w:color w:val="auto"/>
                <w:sz w:val="24"/>
                <w:highlight w:val="none"/>
              </w:rPr>
            </w:pPr>
            <w:r>
              <w:rPr>
                <w:rFonts w:hint="eastAsia"/>
                <w:color w:val="auto"/>
                <w:sz w:val="24"/>
                <w:highlight w:val="none"/>
              </w:rPr>
              <w:t>4.前端采用流行的Html5框架layUI、JQuery等，实现跨浏览器和跨屏的兼容支持、响应式布局，实现B/S平台多终端适应。</w:t>
            </w:r>
          </w:p>
          <w:p w14:paraId="215FE582">
            <w:pPr>
              <w:spacing w:line="360" w:lineRule="auto"/>
              <w:ind w:firstLine="480" w:firstLineChars="200"/>
              <w:rPr>
                <w:color w:val="auto"/>
                <w:sz w:val="24"/>
                <w:highlight w:val="none"/>
              </w:rPr>
            </w:pPr>
            <w:r>
              <w:rPr>
                <w:rFonts w:hint="eastAsia"/>
                <w:color w:val="auto"/>
                <w:sz w:val="24"/>
                <w:highlight w:val="none"/>
              </w:rPr>
              <w:t>5.支持主流数据库，数据库使用索引，保证数据库数据的唯一性，提高数据的搜索及检索速度，提高系统的性能。</w:t>
            </w:r>
          </w:p>
          <w:p w14:paraId="345C4C00">
            <w:pPr>
              <w:spacing w:line="360" w:lineRule="auto"/>
              <w:ind w:firstLine="480" w:firstLineChars="200"/>
              <w:rPr>
                <w:color w:val="auto"/>
                <w:sz w:val="24"/>
                <w:highlight w:val="none"/>
              </w:rPr>
            </w:pPr>
            <w:r>
              <w:rPr>
                <w:rFonts w:hint="eastAsia"/>
                <w:color w:val="auto"/>
                <w:sz w:val="24"/>
                <w:highlight w:val="none"/>
              </w:rPr>
              <w:t>6.采用安全处理机制，如：防SQL注入、敏感数据加密处理。</w:t>
            </w:r>
          </w:p>
        </w:tc>
      </w:tr>
    </w:tbl>
    <w:p w14:paraId="01FA90C3">
      <w:pPr>
        <w:rPr>
          <w:rFonts w:ascii="宋体" w:hAnsi="宋体" w:cs="宋体"/>
          <w:color w:val="auto"/>
          <w:sz w:val="24"/>
          <w:highlight w:val="none"/>
        </w:rPr>
      </w:pPr>
      <w:r>
        <w:rPr>
          <w:rFonts w:hint="eastAsia" w:ascii="宋体" w:hAnsi="宋体" w:cs="宋体"/>
          <w:color w:val="auto"/>
          <w:sz w:val="24"/>
          <w:highlight w:val="none"/>
        </w:rPr>
        <w:t>（标有“</w:t>
      </w:r>
      <w:r>
        <w:rPr>
          <w:rFonts w:hint="eastAsia" w:ascii="宋体" w:hAnsi="宋体" w:cs="仿宋"/>
          <w:color w:val="auto"/>
          <w:kern w:val="0"/>
          <w:sz w:val="24"/>
          <w:highlight w:val="none"/>
          <w:lang w:bidi="ar"/>
        </w:rPr>
        <w:t>★</w:t>
      </w:r>
      <w:r>
        <w:rPr>
          <w:rFonts w:hint="eastAsia" w:ascii="宋体" w:hAnsi="宋体" w:cs="宋体"/>
          <w:color w:val="auto"/>
          <w:sz w:val="24"/>
          <w:highlight w:val="none"/>
        </w:rPr>
        <w:t>”系产品采购项目中单一产品或核心产品，“▲”系指实质性要求条款，“◆”系指重要指标要求条款）</w:t>
      </w:r>
    </w:p>
    <w:p w14:paraId="1164A361">
      <w:pPr>
        <w:pStyle w:val="3"/>
        <w:rPr>
          <w:rFonts w:ascii="宋体" w:hAnsi="宋体" w:cs="宋体"/>
          <w:color w:val="auto"/>
          <w:sz w:val="24"/>
          <w:highlight w:val="none"/>
        </w:rPr>
      </w:pPr>
    </w:p>
    <w:p w14:paraId="33B8C23E">
      <w:pPr>
        <w:rPr>
          <w:rFonts w:ascii="宋体" w:hAnsi="宋体" w:cs="宋体"/>
          <w:color w:val="auto"/>
          <w:sz w:val="24"/>
          <w:highlight w:val="none"/>
        </w:rPr>
      </w:pPr>
    </w:p>
    <w:p w14:paraId="28C6FF4D">
      <w:pPr>
        <w:snapToGrid w:val="0"/>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三</w:t>
      </w:r>
      <w:r>
        <w:rPr>
          <w:rFonts w:hint="eastAsia"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支付方式</w:t>
      </w:r>
    </w:p>
    <w:p w14:paraId="38EBD3D7">
      <w:pPr>
        <w:autoSpaceDE w:val="0"/>
        <w:spacing w:line="360" w:lineRule="auto"/>
        <w:ind w:firstLine="420" w:firstLineChars="200"/>
        <w:jc w:val="lef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分期支付。</w:t>
      </w:r>
    </w:p>
    <w:p w14:paraId="4BF908F9">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（1）合同签订且具备实施条件后5个工作日内，采购人向中标人支付合同金额的60%。</w:t>
      </w:r>
    </w:p>
    <w:p w14:paraId="21DC99CA">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（2）项目实施完成并经采购人验收合格后5个工作日内，支付合同金额的40%。</w:t>
      </w:r>
    </w:p>
    <w:p w14:paraId="0E8CA8EA">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（3）采购人付款前，中标人应向采购人开具等额有效的增值税发票，采购人未收到发票的，有权不予支付相应款项直至中标人提供合格发票，并不承担延迟付款责任。发票认证通过是付款的必要前提之一。</w:t>
      </w:r>
    </w:p>
    <w:p w14:paraId="3BF44881">
      <w:pPr>
        <w:snapToGrid w:val="0"/>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四、履约保证金</w:t>
      </w:r>
    </w:p>
    <w:p w14:paraId="3441F357">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合同签订后5个工作日内，中标人需提交合同金额1%的履约保证金。</w:t>
      </w:r>
    </w:p>
    <w:p w14:paraId="2366A1C8">
      <w:pPr>
        <w:rPr>
          <w:rFonts w:ascii="宋体" w:hAnsi="宋体" w:cs="宋体"/>
          <w:color w:val="auto"/>
          <w:sz w:val="24"/>
          <w:highlight w:val="none"/>
        </w:rPr>
      </w:pPr>
    </w:p>
    <w:p w14:paraId="14E6D230">
      <w:pPr>
        <w:pStyle w:val="2"/>
        <w:rPr>
          <w:rFonts w:ascii="宋体" w:hAnsi="宋体" w:cs="宋体"/>
          <w:color w:val="auto"/>
          <w:highlight w:val="none"/>
        </w:rPr>
      </w:pPr>
    </w:p>
    <w:p w14:paraId="7FF9223F">
      <w:pPr>
        <w:rPr>
          <w:rFonts w:ascii="宋体" w:hAnsi="宋体" w:cs="宋体"/>
          <w:color w:val="auto"/>
          <w:highlight w:val="none"/>
        </w:rPr>
      </w:pPr>
    </w:p>
    <w:p w14:paraId="060B4D90">
      <w:pPr>
        <w:rPr>
          <w:rFonts w:ascii="宋体" w:hAnsi="宋体" w:cs="宋体"/>
          <w:color w:val="auto"/>
          <w:highlight w:val="none"/>
        </w:rPr>
      </w:pPr>
    </w:p>
    <w:p w14:paraId="7C17A369">
      <w:pPr>
        <w:rPr>
          <w:rFonts w:ascii="宋体" w:hAnsi="宋体" w:cs="宋体"/>
          <w:color w:val="auto"/>
          <w:highlight w:val="none"/>
        </w:rPr>
      </w:pPr>
    </w:p>
    <w:p w14:paraId="66AADDA5">
      <w:pPr>
        <w:rPr>
          <w:rFonts w:ascii="宋体" w:hAnsi="宋体" w:cs="宋体"/>
          <w:color w:val="auto"/>
          <w:highlight w:val="none"/>
        </w:rPr>
      </w:pPr>
    </w:p>
    <w:p w14:paraId="5F542C47">
      <w:pPr>
        <w:rPr>
          <w:rFonts w:ascii="宋体" w:hAnsi="宋体" w:cs="宋体"/>
          <w:color w:val="auto"/>
          <w:highlight w:val="none"/>
        </w:rPr>
      </w:pPr>
    </w:p>
    <w:p w14:paraId="70EAF618">
      <w:pPr>
        <w:rPr>
          <w:rFonts w:ascii="宋体" w:hAnsi="宋体" w:cs="宋体"/>
          <w:color w:val="auto"/>
          <w:highlight w:val="none"/>
        </w:rPr>
      </w:pPr>
    </w:p>
    <w:p w14:paraId="61D5CA6F">
      <w:pPr>
        <w:rPr>
          <w:rFonts w:ascii="宋体" w:hAnsi="宋体" w:cs="宋体"/>
          <w:color w:val="auto"/>
          <w:highlight w:val="none"/>
        </w:rPr>
      </w:pPr>
    </w:p>
    <w:p w14:paraId="125B98FD">
      <w:pPr>
        <w:rPr>
          <w:rFonts w:ascii="宋体" w:hAnsi="宋体" w:cs="宋体"/>
          <w:color w:val="auto"/>
          <w:highlight w:val="none"/>
        </w:rPr>
      </w:pPr>
    </w:p>
    <w:p w14:paraId="51B195B0">
      <w:pPr>
        <w:rPr>
          <w:rFonts w:ascii="宋体" w:hAnsi="宋体" w:cs="宋体"/>
          <w:color w:val="auto"/>
          <w:highlight w:val="none"/>
        </w:rPr>
      </w:pPr>
    </w:p>
    <w:p w14:paraId="57042A69">
      <w:pPr>
        <w:pStyle w:val="2"/>
        <w:jc w:val="both"/>
        <w:rPr>
          <w:rFonts w:ascii="宋体" w:hAnsi="宋体" w:cs="宋体"/>
          <w:color w:val="auto"/>
          <w:highlight w:val="none"/>
        </w:rPr>
      </w:pPr>
    </w:p>
    <w:p w14:paraId="78C0DAA7">
      <w:pPr>
        <w:pStyle w:val="2"/>
        <w:rPr>
          <w:rFonts w:ascii="宋体" w:hAnsi="宋体" w:cs="宋体"/>
          <w:color w:val="auto"/>
          <w:highlight w:val="none"/>
        </w:rPr>
      </w:pPr>
    </w:p>
    <w:p w14:paraId="6EB36022">
      <w:pPr>
        <w:rPr>
          <w:color w:val="auto"/>
          <w:highlight w:val="none"/>
        </w:rPr>
      </w:pPr>
    </w:p>
    <w:p w14:paraId="7D9CB620">
      <w:pPr>
        <w:rPr>
          <w:color w:val="auto"/>
          <w:highlight w:val="none"/>
        </w:rPr>
      </w:pPr>
    </w:p>
    <w:p w14:paraId="33BAD97A">
      <w:pPr>
        <w:rPr>
          <w:color w:val="auto"/>
          <w:highlight w:val="none"/>
        </w:rPr>
      </w:pPr>
    </w:p>
    <w:p w14:paraId="204AF26B">
      <w:pPr>
        <w:rPr>
          <w:color w:val="auto"/>
          <w:highlight w:val="none"/>
        </w:rPr>
      </w:pPr>
    </w:p>
    <w:p w14:paraId="01E66EAC">
      <w:pPr>
        <w:snapToGrid/>
        <w:spacing w:line="240" w:lineRule="auto"/>
        <w:jc w:val="left"/>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14:paraId="66E740C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第四章  评审办法</w:t>
      </w:r>
    </w:p>
    <w:p w14:paraId="631D21E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5"/>
        <w:tblpPr w:leftFromText="180" w:rightFromText="180" w:vertAnchor="text" w:horzAnchor="page" w:tblpX="910" w:tblpY="6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332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CE73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39B03C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3F28F5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07492B1A">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331C4703">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2A91C20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36A7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E3C1C7E">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58002039">
            <w:pPr>
              <w:spacing w:line="360" w:lineRule="auto"/>
              <w:rPr>
                <w:color w:val="auto"/>
                <w:szCs w:val="21"/>
                <w:highlight w:val="none"/>
              </w:rPr>
            </w:pPr>
            <w:r>
              <w:rPr>
                <w:rFonts w:hint="eastAsia"/>
                <w:color w:val="auto"/>
                <w:szCs w:val="21"/>
                <w:highlight w:val="none"/>
              </w:rPr>
              <w:t>业绩：供</w:t>
            </w:r>
            <w:bookmarkStart w:id="24" w:name="OLE_LINK53"/>
            <w:r>
              <w:rPr>
                <w:rFonts w:hint="eastAsia"/>
                <w:color w:val="auto"/>
                <w:szCs w:val="21"/>
                <w:highlight w:val="none"/>
              </w:rPr>
              <w:t>应商自202</w:t>
            </w:r>
            <w:r>
              <w:rPr>
                <w:rFonts w:hint="eastAsia"/>
                <w:color w:val="auto"/>
                <w:szCs w:val="21"/>
                <w:highlight w:val="none"/>
                <w:lang w:val="en-US" w:eastAsia="zh-CN"/>
              </w:rPr>
              <w:t>2</w:t>
            </w:r>
            <w:r>
              <w:rPr>
                <w:rFonts w:hint="eastAsia"/>
                <w:color w:val="auto"/>
                <w:szCs w:val="21"/>
                <w:highlight w:val="none"/>
              </w:rPr>
              <w:t>年1月1日以来（以合同签订日期为准），完成过同类项目业绩的，每提供一份项目业绩得</w:t>
            </w:r>
            <w:r>
              <w:rPr>
                <w:b/>
                <w:color w:val="auto"/>
                <w:szCs w:val="21"/>
                <w:highlight w:val="none"/>
              </w:rPr>
              <w:t>1</w:t>
            </w:r>
            <w:r>
              <w:rPr>
                <w:rFonts w:hint="eastAsia"/>
                <w:color w:val="auto"/>
                <w:szCs w:val="21"/>
                <w:highlight w:val="none"/>
              </w:rPr>
              <w:t>分，最高得</w:t>
            </w:r>
            <w:r>
              <w:rPr>
                <w:rFonts w:hint="eastAsia"/>
                <w:b/>
                <w:color w:val="auto"/>
                <w:szCs w:val="21"/>
                <w:highlight w:val="none"/>
              </w:rPr>
              <w:t>3</w:t>
            </w:r>
            <w:r>
              <w:rPr>
                <w:rFonts w:hint="eastAsia"/>
                <w:color w:val="auto"/>
                <w:szCs w:val="21"/>
                <w:highlight w:val="none"/>
              </w:rPr>
              <w:t>分，未提供证明材料的不予认可。</w:t>
            </w:r>
          </w:p>
          <w:p w14:paraId="62DEFD05">
            <w:pPr>
              <w:spacing w:line="276" w:lineRule="auto"/>
              <w:jc w:val="left"/>
              <w:rPr>
                <w:rFonts w:ascii="宋体" w:hAnsi="宋体" w:cs="宋体"/>
                <w:color w:val="auto"/>
                <w:sz w:val="24"/>
                <w:highlight w:val="none"/>
              </w:rPr>
            </w:pPr>
            <w:r>
              <w:rPr>
                <w:rFonts w:hint="eastAsia"/>
                <w:b/>
                <w:color w:val="auto"/>
                <w:szCs w:val="21"/>
                <w:highlight w:val="none"/>
              </w:rPr>
              <w:t>证明材料：提供合同扫描件，合同内容无法体现评分内容的须另行提供业主证明材料</w:t>
            </w:r>
            <w:bookmarkEnd w:id="24"/>
            <w:r>
              <w:rPr>
                <w:rFonts w:hint="eastAsia"/>
                <w:b/>
                <w:color w:val="auto"/>
                <w:szCs w:val="21"/>
                <w:highlight w:val="none"/>
              </w:rPr>
              <w:t>。</w:t>
            </w:r>
          </w:p>
        </w:tc>
        <w:tc>
          <w:tcPr>
            <w:tcW w:w="784" w:type="dxa"/>
            <w:shd w:val="clear" w:color="auto" w:fill="auto"/>
            <w:vAlign w:val="center"/>
          </w:tcPr>
          <w:p w14:paraId="0F12F32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5432D0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67F48DF5">
            <w:pPr>
              <w:snapToGrid w:val="0"/>
              <w:spacing w:line="360" w:lineRule="auto"/>
              <w:jc w:val="center"/>
              <w:rPr>
                <w:rFonts w:ascii="宋体" w:hAnsi="宋体" w:cs="宋体"/>
                <w:color w:val="auto"/>
                <w:sz w:val="24"/>
                <w:highlight w:val="none"/>
              </w:rPr>
            </w:pPr>
          </w:p>
        </w:tc>
      </w:tr>
      <w:tr w14:paraId="14A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5E01ED7">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3A3145E0">
            <w:pPr>
              <w:spacing w:line="360" w:lineRule="auto"/>
              <w:rPr>
                <w:color w:val="auto"/>
                <w:szCs w:val="21"/>
                <w:highlight w:val="none"/>
              </w:rPr>
            </w:pPr>
            <w:r>
              <w:rPr>
                <w:rFonts w:hint="eastAsia"/>
                <w:color w:val="auto"/>
                <w:szCs w:val="21"/>
                <w:highlight w:val="none"/>
              </w:rPr>
              <w:t>综合能力：</w:t>
            </w:r>
          </w:p>
          <w:p w14:paraId="7D575164">
            <w:pPr>
              <w:spacing w:line="360" w:lineRule="auto"/>
              <w:rPr>
                <w:rFonts w:hint="eastAsia"/>
                <w:bCs/>
                <w:color w:val="auto"/>
                <w:szCs w:val="21"/>
                <w:highlight w:val="none"/>
              </w:rPr>
            </w:pPr>
            <w:r>
              <w:rPr>
                <w:rFonts w:hint="eastAsia"/>
                <w:bCs/>
                <w:color w:val="auto"/>
                <w:szCs w:val="21"/>
                <w:highlight w:val="none"/>
              </w:rPr>
              <w:t>（1）供应商具有有效期内的ISO9001质量管理体系认证书的，得2分；</w:t>
            </w:r>
          </w:p>
          <w:p w14:paraId="19DA57B3">
            <w:pPr>
              <w:spacing w:line="360" w:lineRule="auto"/>
              <w:rPr>
                <w:rFonts w:hint="eastAsia"/>
                <w:bCs/>
                <w:color w:val="auto"/>
                <w:szCs w:val="21"/>
                <w:highlight w:val="none"/>
              </w:rPr>
            </w:pPr>
            <w:r>
              <w:rPr>
                <w:rFonts w:hint="eastAsia"/>
                <w:bCs/>
                <w:color w:val="auto"/>
                <w:szCs w:val="21"/>
                <w:highlight w:val="none"/>
              </w:rPr>
              <w:t>（2）供应商具有有效期内的ISO14001环境管理体系认证书的，得2分；</w:t>
            </w:r>
          </w:p>
          <w:p w14:paraId="35C56687">
            <w:pPr>
              <w:spacing w:line="276" w:lineRule="auto"/>
              <w:jc w:val="left"/>
              <w:rPr>
                <w:rFonts w:hAnsi="宋体"/>
                <w:b/>
                <w:color w:val="auto"/>
                <w:sz w:val="24"/>
                <w:highlight w:val="none"/>
              </w:rPr>
            </w:pPr>
            <w:r>
              <w:rPr>
                <w:rFonts w:hint="eastAsia"/>
                <w:bCs/>
                <w:color w:val="auto"/>
                <w:szCs w:val="21"/>
                <w:highlight w:val="none"/>
              </w:rPr>
              <w:t>（3）供应商具有有效期内的ISO45001职业健康安全管理体系认证书的，得2分；</w:t>
            </w:r>
          </w:p>
          <w:p w14:paraId="76FC80B2">
            <w:pPr>
              <w:spacing w:line="276" w:lineRule="auto"/>
              <w:jc w:val="left"/>
              <w:rPr>
                <w:rFonts w:ascii="宋体" w:hAnsi="宋体" w:cs="宋体"/>
                <w:color w:val="auto"/>
                <w:sz w:val="24"/>
                <w:highlight w:val="none"/>
              </w:rPr>
            </w:pPr>
            <w:r>
              <w:rPr>
                <w:rFonts w:hint="eastAsia" w:hAnsi="宋体"/>
                <w:b/>
                <w:color w:val="auto"/>
                <w:sz w:val="24"/>
                <w:highlight w:val="none"/>
              </w:rPr>
              <w:t>证明材料：提供证书扫描件加盖公章作为证明材料，未提供有效证明材料的不得分。</w:t>
            </w:r>
          </w:p>
        </w:tc>
        <w:tc>
          <w:tcPr>
            <w:tcW w:w="784" w:type="dxa"/>
            <w:shd w:val="clear" w:color="auto" w:fill="auto"/>
            <w:vAlign w:val="center"/>
          </w:tcPr>
          <w:p w14:paraId="03ABD98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59" w:type="dxa"/>
            <w:shd w:val="clear" w:color="auto" w:fill="auto"/>
            <w:vAlign w:val="center"/>
          </w:tcPr>
          <w:p w14:paraId="6B81C78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3E727FF6">
            <w:pPr>
              <w:snapToGrid w:val="0"/>
              <w:spacing w:line="360" w:lineRule="auto"/>
              <w:jc w:val="center"/>
              <w:rPr>
                <w:rFonts w:ascii="宋体" w:hAnsi="宋体" w:cs="宋体"/>
                <w:color w:val="auto"/>
                <w:sz w:val="24"/>
                <w:highlight w:val="none"/>
              </w:rPr>
            </w:pPr>
          </w:p>
        </w:tc>
      </w:tr>
      <w:tr w14:paraId="2565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37E209">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57E98B43">
            <w:pPr>
              <w:spacing w:line="360" w:lineRule="auto"/>
              <w:rPr>
                <w:bCs/>
                <w:color w:val="auto"/>
                <w:szCs w:val="21"/>
                <w:highlight w:val="none"/>
              </w:rPr>
            </w:pPr>
            <w:r>
              <w:rPr>
                <w:color w:val="auto"/>
                <w:szCs w:val="21"/>
                <w:highlight w:val="none"/>
              </w:rPr>
              <w:t>采购需求的吻合程度和偏差情况</w:t>
            </w:r>
            <w:r>
              <w:rPr>
                <w:rFonts w:hint="eastAsia"/>
                <w:color w:val="auto"/>
                <w:szCs w:val="21"/>
                <w:highlight w:val="none"/>
              </w:rPr>
              <w:t>：</w:t>
            </w:r>
            <w:r>
              <w:rPr>
                <w:bCs/>
                <w:color w:val="auto"/>
                <w:szCs w:val="21"/>
                <w:highlight w:val="none"/>
              </w:rPr>
              <w:t>服务技术要求及功能配置的符合程度：</w:t>
            </w:r>
          </w:p>
          <w:p w14:paraId="359072FD">
            <w:pPr>
              <w:spacing w:line="360" w:lineRule="auto"/>
              <w:rPr>
                <w:bCs/>
                <w:color w:val="auto"/>
                <w:szCs w:val="21"/>
                <w:highlight w:val="none"/>
              </w:rPr>
            </w:pPr>
            <w:r>
              <w:rPr>
                <w:bCs/>
                <w:color w:val="auto"/>
                <w:szCs w:val="21"/>
                <w:highlight w:val="none"/>
              </w:rPr>
              <w:t>根据所响应服务的技术要求（或功能配置）的响应（满足）程度进行评析：</w:t>
            </w:r>
          </w:p>
          <w:p w14:paraId="01983219">
            <w:pPr>
              <w:spacing w:line="360" w:lineRule="auto"/>
              <w:rPr>
                <w:bCs/>
                <w:color w:val="auto"/>
                <w:szCs w:val="21"/>
                <w:highlight w:val="none"/>
              </w:rPr>
            </w:pPr>
            <w:r>
              <w:rPr>
                <w:bCs/>
                <w:color w:val="auto"/>
                <w:szCs w:val="21"/>
                <w:highlight w:val="none"/>
              </w:rPr>
              <w:t>全部满足采购文件要求</w:t>
            </w:r>
            <w:r>
              <w:rPr>
                <w:rFonts w:hint="eastAsia"/>
                <w:bCs/>
                <w:color w:val="auto"/>
                <w:szCs w:val="21"/>
                <w:highlight w:val="none"/>
              </w:rPr>
              <w:t>的，</w:t>
            </w:r>
            <w:r>
              <w:rPr>
                <w:bCs/>
                <w:color w:val="auto"/>
                <w:szCs w:val="21"/>
                <w:highlight w:val="none"/>
              </w:rPr>
              <w:t>得</w:t>
            </w:r>
            <w:r>
              <w:rPr>
                <w:rFonts w:hint="eastAsia"/>
                <w:b/>
                <w:bCs/>
                <w:color w:val="auto"/>
                <w:szCs w:val="21"/>
                <w:highlight w:val="none"/>
              </w:rPr>
              <w:t>10</w:t>
            </w:r>
            <w:r>
              <w:rPr>
                <w:bCs/>
                <w:color w:val="auto"/>
                <w:szCs w:val="21"/>
                <w:highlight w:val="none"/>
              </w:rPr>
              <w:t>分；</w:t>
            </w:r>
          </w:p>
          <w:p w14:paraId="46C6A8EC">
            <w:pPr>
              <w:spacing w:line="360" w:lineRule="auto"/>
              <w:rPr>
                <w:bCs/>
                <w:color w:val="auto"/>
                <w:szCs w:val="21"/>
                <w:highlight w:val="none"/>
              </w:rPr>
            </w:pPr>
            <w:r>
              <w:rPr>
                <w:bCs/>
                <w:color w:val="auto"/>
                <w:szCs w:val="21"/>
                <w:highlight w:val="none"/>
              </w:rPr>
              <w:t>标注“</w:t>
            </w:r>
            <w:r>
              <w:rPr>
                <w:rFonts w:hint="eastAsia"/>
                <w:b/>
                <w:bCs/>
                <w:color w:val="auto"/>
                <w:szCs w:val="21"/>
                <w:highlight w:val="none"/>
              </w:rPr>
              <w:t>◆</w:t>
            </w:r>
            <w:r>
              <w:rPr>
                <w:bCs/>
                <w:color w:val="auto"/>
                <w:szCs w:val="21"/>
                <w:highlight w:val="none"/>
              </w:rPr>
              <w:t>”的关键技术要求（或功能配置）有偏离的，负偏离项每项扣</w:t>
            </w:r>
            <w:r>
              <w:rPr>
                <w:b/>
                <w:bCs/>
                <w:color w:val="auto"/>
                <w:szCs w:val="21"/>
                <w:highlight w:val="none"/>
              </w:rPr>
              <w:t>2</w:t>
            </w:r>
            <w:r>
              <w:rPr>
                <w:bCs/>
                <w:color w:val="auto"/>
                <w:szCs w:val="21"/>
                <w:highlight w:val="none"/>
              </w:rPr>
              <w:t>分；扣完为止。</w:t>
            </w:r>
          </w:p>
          <w:p w14:paraId="4E4B3648">
            <w:pPr>
              <w:spacing w:line="360" w:lineRule="auto"/>
              <w:rPr>
                <w:bCs/>
                <w:color w:val="auto"/>
                <w:szCs w:val="21"/>
                <w:highlight w:val="none"/>
              </w:rPr>
            </w:pPr>
            <w:r>
              <w:rPr>
                <w:b/>
                <w:bCs/>
                <w:color w:val="auto"/>
                <w:szCs w:val="21"/>
                <w:highlight w:val="none"/>
              </w:rPr>
              <w:t>未标注</w:t>
            </w:r>
            <w:r>
              <w:rPr>
                <w:bCs/>
                <w:color w:val="auto"/>
                <w:szCs w:val="21"/>
                <w:highlight w:val="none"/>
              </w:rPr>
              <w:t>“</w:t>
            </w:r>
            <w:r>
              <w:rPr>
                <w:rFonts w:hint="eastAsia"/>
                <w:b/>
                <w:bCs/>
                <w:color w:val="auto"/>
                <w:szCs w:val="21"/>
                <w:highlight w:val="none"/>
              </w:rPr>
              <w:t>◆</w:t>
            </w:r>
            <w:r>
              <w:rPr>
                <w:bCs/>
                <w:color w:val="auto"/>
                <w:szCs w:val="21"/>
                <w:highlight w:val="none"/>
              </w:rPr>
              <w:t>”的一般技术要求（或功能配置）有偏离的，负偏离项每项扣</w:t>
            </w:r>
            <w:r>
              <w:rPr>
                <w:b/>
                <w:bCs/>
                <w:color w:val="auto"/>
                <w:szCs w:val="21"/>
                <w:highlight w:val="none"/>
              </w:rPr>
              <w:t>1</w:t>
            </w:r>
            <w:r>
              <w:rPr>
                <w:bCs/>
                <w:color w:val="auto"/>
                <w:szCs w:val="21"/>
                <w:highlight w:val="none"/>
              </w:rPr>
              <w:t>分；</w:t>
            </w:r>
          </w:p>
          <w:p w14:paraId="005E0C09">
            <w:pPr>
              <w:spacing w:line="276" w:lineRule="auto"/>
              <w:jc w:val="left"/>
              <w:rPr>
                <w:rFonts w:ascii="宋体" w:hAnsi="宋体" w:cs="宋体"/>
                <w:color w:val="auto"/>
                <w:sz w:val="24"/>
                <w:highlight w:val="none"/>
              </w:rPr>
            </w:pPr>
            <w:r>
              <w:rPr>
                <w:bCs/>
                <w:color w:val="auto"/>
                <w:szCs w:val="21"/>
                <w:highlight w:val="none"/>
              </w:rPr>
              <w:t>本项最多得</w:t>
            </w:r>
            <w:r>
              <w:rPr>
                <w:rFonts w:hint="eastAsia"/>
                <w:b/>
                <w:bCs/>
                <w:color w:val="auto"/>
                <w:szCs w:val="21"/>
                <w:highlight w:val="none"/>
              </w:rPr>
              <w:t>10</w:t>
            </w:r>
            <w:r>
              <w:rPr>
                <w:bCs/>
                <w:color w:val="auto"/>
                <w:szCs w:val="21"/>
                <w:highlight w:val="none"/>
              </w:rPr>
              <w:t>分，扣完为止。</w:t>
            </w:r>
          </w:p>
        </w:tc>
        <w:tc>
          <w:tcPr>
            <w:tcW w:w="784" w:type="dxa"/>
            <w:shd w:val="clear" w:color="auto" w:fill="auto"/>
            <w:vAlign w:val="center"/>
          </w:tcPr>
          <w:p w14:paraId="43E543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4DFD692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412F056A">
            <w:pPr>
              <w:snapToGrid w:val="0"/>
              <w:spacing w:line="360" w:lineRule="auto"/>
              <w:jc w:val="center"/>
              <w:rPr>
                <w:rFonts w:ascii="宋体" w:hAnsi="宋体" w:cs="宋体"/>
                <w:color w:val="auto"/>
                <w:sz w:val="24"/>
                <w:highlight w:val="none"/>
              </w:rPr>
            </w:pPr>
          </w:p>
        </w:tc>
      </w:tr>
      <w:tr w14:paraId="2789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F1DF18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6F2349D">
            <w:pPr>
              <w:spacing w:line="460" w:lineRule="exact"/>
              <w:outlineLvl w:val="0"/>
              <w:rPr>
                <w:rFonts w:ascii="宋体" w:hAnsi="宋体" w:cs="宋体"/>
                <w:color w:val="auto"/>
                <w:sz w:val="24"/>
                <w:highlight w:val="none"/>
              </w:rPr>
            </w:pPr>
            <w:r>
              <w:rPr>
                <w:b/>
                <w:color w:val="auto"/>
                <w:szCs w:val="21"/>
                <w:highlight w:val="none"/>
              </w:rPr>
              <w:t>对</w:t>
            </w:r>
            <w:r>
              <w:rPr>
                <w:rFonts w:hint="eastAsia"/>
                <w:b/>
                <w:color w:val="auto"/>
                <w:szCs w:val="21"/>
                <w:highlight w:val="none"/>
              </w:rPr>
              <w:t>项目</w:t>
            </w:r>
            <w:r>
              <w:rPr>
                <w:b/>
                <w:color w:val="auto"/>
                <w:szCs w:val="21"/>
                <w:highlight w:val="none"/>
              </w:rPr>
              <w:t>的理解：</w:t>
            </w:r>
            <w:r>
              <w:rPr>
                <w:color w:val="auto"/>
                <w:szCs w:val="21"/>
                <w:highlight w:val="none"/>
              </w:rPr>
              <w:t>对</w:t>
            </w:r>
            <w:r>
              <w:rPr>
                <w:rFonts w:hint="eastAsia"/>
                <w:color w:val="auto"/>
                <w:szCs w:val="21"/>
                <w:highlight w:val="none"/>
              </w:rPr>
              <w:t>项目背景理解充分深入，建设目标、业务需求、建设原则论述透彻，且论述的合理完整、准确性进行评分（4,3,2,1,0）</w:t>
            </w:r>
          </w:p>
        </w:tc>
        <w:tc>
          <w:tcPr>
            <w:tcW w:w="784" w:type="dxa"/>
            <w:shd w:val="clear" w:color="auto" w:fill="auto"/>
            <w:vAlign w:val="center"/>
          </w:tcPr>
          <w:p w14:paraId="3A829AC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773FE03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7742C0AF">
            <w:pPr>
              <w:snapToGrid w:val="0"/>
              <w:spacing w:line="360" w:lineRule="auto"/>
              <w:jc w:val="center"/>
              <w:rPr>
                <w:rFonts w:ascii="宋体" w:hAnsi="宋体" w:cs="宋体"/>
                <w:color w:val="auto"/>
                <w:sz w:val="24"/>
                <w:highlight w:val="none"/>
              </w:rPr>
            </w:pPr>
          </w:p>
        </w:tc>
      </w:tr>
      <w:tr w14:paraId="373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61563A">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5C45D568">
            <w:pPr>
              <w:rPr>
                <w:rFonts w:ascii="宋体" w:hAnsi="宋体" w:cs="宋体"/>
                <w:color w:val="auto"/>
                <w:sz w:val="24"/>
                <w:highlight w:val="none"/>
              </w:rPr>
            </w:pPr>
            <w:r>
              <w:rPr>
                <w:b/>
                <w:color w:val="auto"/>
                <w:szCs w:val="21"/>
                <w:highlight w:val="none"/>
              </w:rPr>
              <w:t>重难点分析：</w:t>
            </w:r>
            <w:r>
              <w:rPr>
                <w:color w:val="auto"/>
                <w:szCs w:val="21"/>
                <w:highlight w:val="none"/>
              </w:rPr>
              <w:t>根据针对本项目实施难点预判全面、完整程度，预防或解决方案的详细程度，及保障措施是否充分进行评</w:t>
            </w:r>
            <w:r>
              <w:rPr>
                <w:rFonts w:hint="eastAsia"/>
                <w:color w:val="auto"/>
                <w:szCs w:val="21"/>
                <w:highlight w:val="none"/>
              </w:rPr>
              <w:t>分（4,3,2,1,0）</w:t>
            </w:r>
          </w:p>
        </w:tc>
        <w:tc>
          <w:tcPr>
            <w:tcW w:w="784" w:type="dxa"/>
            <w:shd w:val="clear" w:color="auto" w:fill="auto"/>
            <w:vAlign w:val="center"/>
          </w:tcPr>
          <w:p w14:paraId="6964313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DE08D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4E816918">
            <w:pPr>
              <w:snapToGrid w:val="0"/>
              <w:spacing w:line="360" w:lineRule="auto"/>
              <w:jc w:val="center"/>
              <w:rPr>
                <w:rFonts w:ascii="宋体" w:hAnsi="宋体" w:cs="宋体"/>
                <w:color w:val="auto"/>
                <w:sz w:val="24"/>
                <w:highlight w:val="none"/>
              </w:rPr>
            </w:pPr>
          </w:p>
        </w:tc>
      </w:tr>
      <w:tr w14:paraId="5AEC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CB4757">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7D472B04">
            <w:pPr>
              <w:spacing w:line="276" w:lineRule="auto"/>
              <w:jc w:val="left"/>
              <w:rPr>
                <w:rFonts w:ascii="宋体" w:hAnsi="宋体" w:cs="宋体"/>
                <w:color w:val="auto"/>
                <w:sz w:val="24"/>
                <w:highlight w:val="none"/>
              </w:rPr>
            </w:pPr>
            <w:r>
              <w:rPr>
                <w:rFonts w:hint="eastAsia"/>
                <w:b/>
                <w:color w:val="auto"/>
                <w:spacing w:val="-6"/>
                <w:szCs w:val="21"/>
                <w:highlight w:val="none"/>
              </w:rPr>
              <w:t>个性化需求及匹配度：</w:t>
            </w:r>
            <w:r>
              <w:rPr>
                <w:rFonts w:hint="eastAsia"/>
                <w:color w:val="auto"/>
                <w:spacing w:val="-6"/>
                <w:szCs w:val="21"/>
                <w:highlight w:val="none"/>
              </w:rPr>
              <w:t>项目总体方案等是否符合采购人个性化业务需求，是否与采购人要求相匹配：</w:t>
            </w:r>
            <w:r>
              <w:rPr>
                <w:rFonts w:hint="eastAsia"/>
                <w:color w:val="auto"/>
                <w:szCs w:val="21"/>
                <w:highlight w:val="none"/>
              </w:rPr>
              <w:t>方案内容完整详细，且合理科学，完全满足</w:t>
            </w:r>
            <w:r>
              <w:rPr>
                <w:rFonts w:hint="eastAsia"/>
                <w:color w:val="auto"/>
                <w:spacing w:val="-6"/>
                <w:szCs w:val="21"/>
                <w:highlight w:val="none"/>
              </w:rPr>
              <w:t>采购人个性化业务需求</w:t>
            </w:r>
            <w:r>
              <w:rPr>
                <w:color w:val="auto"/>
                <w:szCs w:val="21"/>
                <w:highlight w:val="none"/>
              </w:rPr>
              <w:t>进行评</w:t>
            </w:r>
            <w:r>
              <w:rPr>
                <w:rFonts w:hint="eastAsia"/>
                <w:color w:val="auto"/>
                <w:szCs w:val="21"/>
                <w:highlight w:val="none"/>
              </w:rPr>
              <w:t>分（2,1,0）</w:t>
            </w:r>
          </w:p>
        </w:tc>
        <w:tc>
          <w:tcPr>
            <w:tcW w:w="784" w:type="dxa"/>
            <w:shd w:val="clear" w:color="auto" w:fill="auto"/>
            <w:vAlign w:val="center"/>
          </w:tcPr>
          <w:p w14:paraId="724763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B2C25A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18AE61C7">
            <w:pPr>
              <w:snapToGrid w:val="0"/>
              <w:spacing w:line="360" w:lineRule="auto"/>
              <w:jc w:val="center"/>
              <w:rPr>
                <w:rFonts w:ascii="宋体" w:hAnsi="宋体" w:cs="宋体"/>
                <w:color w:val="auto"/>
                <w:sz w:val="24"/>
                <w:highlight w:val="none"/>
              </w:rPr>
            </w:pPr>
          </w:p>
        </w:tc>
      </w:tr>
      <w:tr w14:paraId="613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26DED83">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6652F66E">
            <w:pPr>
              <w:spacing w:line="276" w:lineRule="auto"/>
              <w:jc w:val="left"/>
              <w:rPr>
                <w:rFonts w:ascii="宋体" w:hAnsi="宋体" w:cs="宋体"/>
                <w:color w:val="auto"/>
                <w:sz w:val="24"/>
                <w:highlight w:val="none"/>
              </w:rPr>
            </w:pPr>
            <w:r>
              <w:rPr>
                <w:rFonts w:hint="eastAsia"/>
                <w:b/>
                <w:color w:val="auto"/>
                <w:spacing w:val="-6"/>
                <w:szCs w:val="21"/>
                <w:highlight w:val="none"/>
              </w:rPr>
              <w:t>项目实施方案：</w:t>
            </w:r>
            <w:r>
              <w:rPr>
                <w:rFonts w:hint="eastAsia"/>
                <w:color w:val="auto"/>
                <w:szCs w:val="21"/>
                <w:highlight w:val="none"/>
              </w:rPr>
              <w:t>详细阐述税费计算与申报精品课程资源开发方案，包括但不限于课程内容、资源明细、开发大纲等内容，根据供应商提供的课程资源开发方案方案阐述完整、详细，科学合理性进行打分。</w:t>
            </w:r>
          </w:p>
        </w:tc>
        <w:tc>
          <w:tcPr>
            <w:tcW w:w="784" w:type="dxa"/>
            <w:shd w:val="clear" w:color="auto" w:fill="auto"/>
            <w:vAlign w:val="center"/>
          </w:tcPr>
          <w:p w14:paraId="29FF56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7249D8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49FDDF2C">
            <w:pPr>
              <w:snapToGrid w:val="0"/>
              <w:spacing w:line="360" w:lineRule="auto"/>
              <w:jc w:val="center"/>
              <w:rPr>
                <w:rFonts w:ascii="宋体" w:hAnsi="宋体" w:cs="宋体"/>
                <w:color w:val="auto"/>
                <w:sz w:val="24"/>
                <w:highlight w:val="none"/>
              </w:rPr>
            </w:pPr>
          </w:p>
        </w:tc>
      </w:tr>
      <w:tr w14:paraId="78F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839A081">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4F76640A">
            <w:pPr>
              <w:spacing w:line="276" w:lineRule="auto"/>
              <w:jc w:val="left"/>
              <w:rPr>
                <w:rFonts w:ascii="宋体" w:hAnsi="宋体" w:cs="宋体"/>
                <w:color w:val="auto"/>
                <w:sz w:val="24"/>
                <w:highlight w:val="none"/>
              </w:rPr>
            </w:pPr>
            <w:r>
              <w:rPr>
                <w:rFonts w:hint="eastAsia"/>
                <w:b/>
                <w:color w:val="auto"/>
                <w:spacing w:val="-6"/>
                <w:szCs w:val="21"/>
                <w:highlight w:val="none"/>
              </w:rPr>
              <w:t>项目组织架构（项目层级管理架构、岗位职责及分工、岗位流程规范等）：</w:t>
            </w:r>
            <w:r>
              <w:rPr>
                <w:rFonts w:hint="eastAsia"/>
                <w:color w:val="auto"/>
                <w:spacing w:val="-6"/>
                <w:szCs w:val="21"/>
                <w:highlight w:val="none"/>
              </w:rPr>
              <w:t>项目组织架构完善性及合理性进行评分</w:t>
            </w:r>
            <w:r>
              <w:rPr>
                <w:rFonts w:hint="eastAsia"/>
                <w:color w:val="auto"/>
                <w:szCs w:val="21"/>
                <w:highlight w:val="none"/>
              </w:rPr>
              <w:t>（2,1,0）</w:t>
            </w:r>
            <w:r>
              <w:rPr>
                <w:rFonts w:hint="eastAsia"/>
                <w:color w:val="auto"/>
                <w:spacing w:val="-6"/>
                <w:szCs w:val="21"/>
                <w:highlight w:val="none"/>
              </w:rPr>
              <w:t>。</w:t>
            </w:r>
          </w:p>
        </w:tc>
        <w:tc>
          <w:tcPr>
            <w:tcW w:w="784" w:type="dxa"/>
            <w:shd w:val="clear" w:color="auto" w:fill="auto"/>
            <w:vAlign w:val="center"/>
          </w:tcPr>
          <w:p w14:paraId="18A84E4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947696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4583A080">
            <w:pPr>
              <w:snapToGrid w:val="0"/>
              <w:spacing w:line="360" w:lineRule="auto"/>
              <w:jc w:val="center"/>
              <w:rPr>
                <w:rFonts w:ascii="宋体" w:hAnsi="宋体" w:cs="宋体"/>
                <w:color w:val="auto"/>
                <w:sz w:val="24"/>
                <w:highlight w:val="none"/>
              </w:rPr>
            </w:pPr>
          </w:p>
        </w:tc>
      </w:tr>
      <w:tr w14:paraId="0900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4FEB38F">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65B9A53B">
            <w:pPr>
              <w:spacing w:line="276" w:lineRule="auto"/>
              <w:jc w:val="left"/>
              <w:rPr>
                <w:rFonts w:ascii="宋体" w:hAnsi="宋体" w:cs="宋体"/>
                <w:color w:val="auto"/>
                <w:sz w:val="24"/>
                <w:highlight w:val="none"/>
              </w:rPr>
            </w:pPr>
            <w:r>
              <w:rPr>
                <w:rFonts w:hint="eastAsia"/>
                <w:b/>
                <w:color w:val="auto"/>
                <w:spacing w:val="-6"/>
                <w:szCs w:val="21"/>
                <w:highlight w:val="none"/>
              </w:rPr>
              <w:t>管理制度包括（行政制度、员工到离岗制度、员工考核制度等）：</w:t>
            </w:r>
            <w:r>
              <w:rPr>
                <w:rFonts w:hint="eastAsia"/>
                <w:color w:val="auto"/>
                <w:spacing w:val="-6"/>
                <w:szCs w:val="21"/>
                <w:highlight w:val="none"/>
              </w:rPr>
              <w:t>管理制度完善性、设置合理科学性进行评分</w:t>
            </w:r>
            <w:r>
              <w:rPr>
                <w:rFonts w:hint="eastAsia"/>
                <w:color w:val="auto"/>
                <w:szCs w:val="21"/>
                <w:highlight w:val="none"/>
              </w:rPr>
              <w:t>（2,1,0）</w:t>
            </w:r>
          </w:p>
        </w:tc>
        <w:tc>
          <w:tcPr>
            <w:tcW w:w="784" w:type="dxa"/>
            <w:shd w:val="clear" w:color="auto" w:fill="auto"/>
            <w:vAlign w:val="center"/>
          </w:tcPr>
          <w:p w14:paraId="2B3AE7E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70EA41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tcPr>
          <w:p w14:paraId="2930DB02">
            <w:pPr>
              <w:snapToGrid w:val="0"/>
              <w:spacing w:line="360" w:lineRule="auto"/>
              <w:jc w:val="center"/>
              <w:rPr>
                <w:rFonts w:ascii="宋体" w:hAnsi="宋体" w:cs="宋体"/>
                <w:color w:val="auto"/>
                <w:sz w:val="24"/>
                <w:highlight w:val="none"/>
              </w:rPr>
            </w:pPr>
          </w:p>
        </w:tc>
      </w:tr>
      <w:tr w14:paraId="5302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CB45DC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5C82A4C4">
            <w:pPr>
              <w:spacing w:line="360" w:lineRule="auto"/>
              <w:rPr>
                <w:b/>
                <w:color w:val="auto"/>
                <w:spacing w:val="-6"/>
                <w:szCs w:val="21"/>
                <w:highlight w:val="none"/>
              </w:rPr>
            </w:pPr>
            <w:r>
              <w:rPr>
                <w:rFonts w:hint="eastAsia"/>
                <w:b/>
                <w:color w:val="auto"/>
                <w:spacing w:val="-6"/>
                <w:szCs w:val="21"/>
                <w:highlight w:val="none"/>
              </w:rPr>
              <w:t>人员资质：</w:t>
            </w:r>
          </w:p>
          <w:p w14:paraId="676B7910">
            <w:pPr>
              <w:spacing w:line="276" w:lineRule="auto"/>
              <w:jc w:val="left"/>
              <w:rPr>
                <w:rFonts w:ascii="宋体" w:hAnsi="宋体" w:cs="宋体"/>
                <w:color w:val="auto"/>
                <w:sz w:val="24"/>
                <w:highlight w:val="none"/>
                <w:lang w:val="zh-CN"/>
              </w:rPr>
            </w:pPr>
            <w:r>
              <w:rPr>
                <w:rFonts w:hint="eastAsia"/>
                <w:color w:val="auto"/>
                <w:spacing w:val="-6"/>
                <w:szCs w:val="21"/>
                <w:highlight w:val="none"/>
              </w:rPr>
              <w:t>项目人员具有高级及以上专业技术资格的，得1分，提供相关证书扫描件作为证明材料，否则不得分。</w:t>
            </w:r>
          </w:p>
        </w:tc>
        <w:tc>
          <w:tcPr>
            <w:tcW w:w="784" w:type="dxa"/>
            <w:shd w:val="clear" w:color="auto" w:fill="auto"/>
            <w:vAlign w:val="center"/>
          </w:tcPr>
          <w:p w14:paraId="0E14C7C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59" w:type="dxa"/>
            <w:shd w:val="clear" w:color="auto" w:fill="auto"/>
            <w:vAlign w:val="center"/>
          </w:tcPr>
          <w:p w14:paraId="18A29A9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4CA1DB1">
            <w:pPr>
              <w:snapToGrid w:val="0"/>
              <w:spacing w:line="360" w:lineRule="auto"/>
              <w:jc w:val="center"/>
              <w:rPr>
                <w:rFonts w:ascii="宋体" w:hAnsi="宋体" w:cs="宋体"/>
                <w:color w:val="auto"/>
                <w:sz w:val="24"/>
                <w:highlight w:val="none"/>
              </w:rPr>
            </w:pPr>
          </w:p>
        </w:tc>
      </w:tr>
      <w:tr w14:paraId="4D53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542192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6C23D6A5">
            <w:pPr>
              <w:spacing w:line="276" w:lineRule="auto"/>
              <w:jc w:val="left"/>
              <w:rPr>
                <w:rFonts w:ascii="宋体" w:hAnsi="宋体" w:cs="宋体"/>
                <w:color w:val="auto"/>
                <w:sz w:val="24"/>
                <w:highlight w:val="none"/>
              </w:rPr>
            </w:pPr>
            <w:r>
              <w:rPr>
                <w:rFonts w:hint="eastAsia"/>
                <w:b/>
                <w:color w:val="auto"/>
                <w:szCs w:val="21"/>
                <w:highlight w:val="none"/>
              </w:rPr>
              <w:t>组织实施方案：</w:t>
            </w:r>
            <w:r>
              <w:rPr>
                <w:rFonts w:hint="eastAsia"/>
                <w:color w:val="auto"/>
                <w:szCs w:val="21"/>
                <w:highlight w:val="none"/>
              </w:rPr>
              <w:t>提供组织实施方案，主要包括如下三方面：①测试与验收计划；②质量保证计划</w:t>
            </w:r>
            <w:r>
              <w:rPr>
                <w:color w:val="auto"/>
                <w:szCs w:val="21"/>
                <w:highlight w:val="none"/>
              </w:rPr>
              <w:t>和标准；</w:t>
            </w:r>
            <w:r>
              <w:rPr>
                <w:rFonts w:hint="eastAsia"/>
                <w:color w:val="auto"/>
                <w:szCs w:val="21"/>
                <w:highlight w:val="none"/>
              </w:rPr>
              <w:t>③</w:t>
            </w:r>
            <w:r>
              <w:rPr>
                <w:color w:val="auto"/>
                <w:szCs w:val="21"/>
                <w:highlight w:val="none"/>
              </w:rPr>
              <w:t>验收计划；根据上述三方面</w:t>
            </w:r>
            <w:r>
              <w:rPr>
                <w:rFonts w:hint="eastAsia"/>
                <w:color w:val="auto"/>
                <w:szCs w:val="21"/>
                <w:highlight w:val="none"/>
              </w:rPr>
              <w:t>（</w:t>
            </w:r>
            <w:r>
              <w:rPr>
                <w:rFonts w:hint="eastAsia"/>
                <w:color w:val="auto"/>
                <w:spacing w:val="-6"/>
                <w:szCs w:val="21"/>
                <w:highlight w:val="none"/>
              </w:rPr>
              <w:t>三项</w:t>
            </w:r>
            <w:r>
              <w:rPr>
                <w:rFonts w:hint="eastAsia"/>
                <w:color w:val="auto"/>
                <w:szCs w:val="21"/>
                <w:highlight w:val="none"/>
              </w:rPr>
              <w:t>）</w:t>
            </w:r>
            <w:r>
              <w:rPr>
                <w:color w:val="auto"/>
                <w:szCs w:val="21"/>
                <w:highlight w:val="none"/>
              </w:rPr>
              <w:t>的</w:t>
            </w:r>
            <w:r>
              <w:rPr>
                <w:rFonts w:hint="eastAsia"/>
                <w:color w:val="auto"/>
                <w:szCs w:val="21"/>
                <w:highlight w:val="none"/>
              </w:rPr>
              <w:t>完整性、</w:t>
            </w:r>
            <w:r>
              <w:rPr>
                <w:color w:val="auto"/>
                <w:szCs w:val="21"/>
                <w:highlight w:val="none"/>
              </w:rPr>
              <w:t>合理可行性</w:t>
            </w:r>
            <w:r>
              <w:rPr>
                <w:rFonts w:hint="eastAsia"/>
                <w:color w:val="auto"/>
                <w:szCs w:val="21"/>
                <w:highlight w:val="none"/>
              </w:rPr>
              <w:t>、</w:t>
            </w:r>
            <w:r>
              <w:rPr>
                <w:color w:val="auto"/>
                <w:szCs w:val="21"/>
                <w:highlight w:val="none"/>
              </w:rPr>
              <w:t>针对性</w:t>
            </w:r>
            <w:r>
              <w:rPr>
                <w:rFonts w:hint="eastAsia"/>
                <w:color w:val="auto"/>
                <w:szCs w:val="21"/>
                <w:highlight w:val="none"/>
              </w:rPr>
              <w:t>等进行打分（3，2,1,0）</w:t>
            </w:r>
          </w:p>
        </w:tc>
        <w:tc>
          <w:tcPr>
            <w:tcW w:w="784" w:type="dxa"/>
            <w:vAlign w:val="center"/>
          </w:tcPr>
          <w:p w14:paraId="78FFA78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2FD7F0F9">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66305FEE">
            <w:pPr>
              <w:snapToGrid w:val="0"/>
              <w:spacing w:line="360" w:lineRule="auto"/>
              <w:jc w:val="center"/>
              <w:rPr>
                <w:rFonts w:ascii="宋体" w:hAnsi="宋体" w:cs="宋体"/>
                <w:color w:val="auto"/>
                <w:sz w:val="24"/>
                <w:highlight w:val="none"/>
              </w:rPr>
            </w:pPr>
          </w:p>
        </w:tc>
      </w:tr>
      <w:tr w14:paraId="7E97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6FFF1D">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6A4D24BA">
            <w:pPr>
              <w:spacing w:line="276" w:lineRule="auto"/>
              <w:rPr>
                <w:rFonts w:ascii="宋体" w:hAnsi="宋体" w:cs="宋体"/>
                <w:color w:val="auto"/>
                <w:sz w:val="24"/>
                <w:highlight w:val="none"/>
              </w:rPr>
            </w:pPr>
            <w:r>
              <w:rPr>
                <w:rFonts w:hint="eastAsia"/>
                <w:b/>
                <w:color w:val="auto"/>
                <w:szCs w:val="21"/>
                <w:highlight w:val="none"/>
              </w:rPr>
              <w:t>项目</w:t>
            </w:r>
            <w:r>
              <w:rPr>
                <w:b/>
                <w:color w:val="auto"/>
                <w:szCs w:val="21"/>
                <w:highlight w:val="none"/>
              </w:rPr>
              <w:t>进度计划</w:t>
            </w:r>
            <w:r>
              <w:rPr>
                <w:rFonts w:hint="eastAsia"/>
                <w:b/>
                <w:color w:val="auto"/>
                <w:szCs w:val="21"/>
                <w:highlight w:val="none"/>
              </w:rPr>
              <w:t>：</w:t>
            </w:r>
            <w:r>
              <w:rPr>
                <w:color w:val="auto"/>
                <w:spacing w:val="-6"/>
                <w:szCs w:val="21"/>
                <w:highlight w:val="none"/>
              </w:rPr>
              <w:t>根据</w:t>
            </w:r>
            <w:r>
              <w:rPr>
                <w:rFonts w:hint="eastAsia"/>
                <w:color w:val="auto"/>
                <w:spacing w:val="-6"/>
                <w:szCs w:val="21"/>
                <w:highlight w:val="none"/>
              </w:rPr>
              <w:t>供应商</w:t>
            </w:r>
            <w:r>
              <w:rPr>
                <w:color w:val="auto"/>
                <w:spacing w:val="-6"/>
                <w:szCs w:val="21"/>
                <w:highlight w:val="none"/>
              </w:rPr>
              <w:t>提供的</w:t>
            </w:r>
            <w:r>
              <w:rPr>
                <w:rFonts w:hint="eastAsia"/>
                <w:color w:val="auto"/>
                <w:spacing w:val="-6"/>
                <w:szCs w:val="21"/>
                <w:highlight w:val="none"/>
              </w:rPr>
              <w:t>实施进度计划的合理性、准确性、完整性，关键节点的控制措施是否有力、合理、可行等</w:t>
            </w:r>
            <w:r>
              <w:rPr>
                <w:rFonts w:hint="eastAsia"/>
                <w:color w:val="auto"/>
                <w:szCs w:val="21"/>
                <w:highlight w:val="none"/>
              </w:rPr>
              <w:t>打分（3，2,1,0）</w:t>
            </w:r>
          </w:p>
        </w:tc>
        <w:tc>
          <w:tcPr>
            <w:tcW w:w="784" w:type="dxa"/>
            <w:shd w:val="clear" w:color="auto" w:fill="auto"/>
            <w:vAlign w:val="center"/>
          </w:tcPr>
          <w:p w14:paraId="65EB93C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0090ABC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F5B1416">
            <w:pPr>
              <w:snapToGrid w:val="0"/>
              <w:spacing w:line="360" w:lineRule="auto"/>
              <w:jc w:val="center"/>
              <w:rPr>
                <w:rFonts w:ascii="宋体" w:hAnsi="宋体" w:cs="宋体"/>
                <w:color w:val="auto"/>
                <w:sz w:val="24"/>
                <w:highlight w:val="none"/>
              </w:rPr>
            </w:pPr>
          </w:p>
        </w:tc>
      </w:tr>
      <w:tr w14:paraId="4A7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BA4FC9B">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4AAF73DB">
            <w:pPr>
              <w:spacing w:line="276" w:lineRule="auto"/>
              <w:jc w:val="left"/>
              <w:rPr>
                <w:rFonts w:ascii="宋体" w:hAnsi="宋体" w:cs="宋体"/>
                <w:color w:val="auto"/>
                <w:sz w:val="24"/>
                <w:highlight w:val="none"/>
              </w:rPr>
            </w:pPr>
            <w:r>
              <w:rPr>
                <w:b/>
                <w:color w:val="auto"/>
                <w:szCs w:val="21"/>
                <w:highlight w:val="none"/>
              </w:rPr>
              <w:t>售后服务方案</w:t>
            </w:r>
            <w:r>
              <w:rPr>
                <w:rFonts w:hint="eastAsia"/>
                <w:b/>
                <w:color w:val="auto"/>
                <w:szCs w:val="21"/>
                <w:highlight w:val="none"/>
              </w:rPr>
              <w:t>：</w:t>
            </w:r>
            <w:r>
              <w:rPr>
                <w:color w:val="auto"/>
                <w:szCs w:val="21"/>
                <w:highlight w:val="none"/>
              </w:rPr>
              <w:t>根据供应商及制造厂商提供的技术支持和售后服务方案（包括售后服务范围、</w:t>
            </w:r>
            <w:r>
              <w:rPr>
                <w:rFonts w:hint="eastAsia"/>
                <w:color w:val="auto"/>
                <w:szCs w:val="21"/>
                <w:highlight w:val="none"/>
              </w:rPr>
              <w:t>质量保证、</w:t>
            </w:r>
            <w:r>
              <w:rPr>
                <w:color w:val="auto"/>
                <w:szCs w:val="21"/>
                <w:highlight w:val="none"/>
              </w:rPr>
              <w:t>维修保养具体内容、具体服务标准</w:t>
            </w:r>
            <w:r>
              <w:rPr>
                <w:rFonts w:hint="eastAsia"/>
                <w:color w:val="auto"/>
                <w:szCs w:val="21"/>
                <w:highlight w:val="none"/>
              </w:rPr>
              <w:t>、技术服务方式和响应时间</w:t>
            </w:r>
            <w:r>
              <w:rPr>
                <w:color w:val="auto"/>
                <w:szCs w:val="21"/>
                <w:highlight w:val="none"/>
              </w:rPr>
              <w:t>等）的优劣评价</w:t>
            </w:r>
            <w:r>
              <w:rPr>
                <w:rFonts w:hint="eastAsia"/>
                <w:color w:val="auto"/>
                <w:szCs w:val="21"/>
                <w:highlight w:val="none"/>
              </w:rPr>
              <w:t>打分（2,1,0）</w:t>
            </w:r>
          </w:p>
        </w:tc>
        <w:tc>
          <w:tcPr>
            <w:tcW w:w="784" w:type="dxa"/>
            <w:shd w:val="clear" w:color="auto" w:fill="auto"/>
            <w:vAlign w:val="center"/>
          </w:tcPr>
          <w:p w14:paraId="0274E2A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CBCAA1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644DBDA">
            <w:pPr>
              <w:snapToGrid w:val="0"/>
              <w:spacing w:line="360" w:lineRule="auto"/>
              <w:jc w:val="center"/>
              <w:rPr>
                <w:rFonts w:ascii="宋体" w:hAnsi="宋体" w:cs="宋体"/>
                <w:color w:val="auto"/>
                <w:sz w:val="24"/>
                <w:highlight w:val="none"/>
              </w:rPr>
            </w:pPr>
          </w:p>
        </w:tc>
      </w:tr>
      <w:tr w14:paraId="2529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9E196E0">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43FA08B8">
            <w:pPr>
              <w:snapToGrid w:val="0"/>
              <w:spacing w:line="360" w:lineRule="auto"/>
              <w:rPr>
                <w:b/>
                <w:color w:val="auto"/>
                <w:szCs w:val="21"/>
                <w:highlight w:val="none"/>
              </w:rPr>
            </w:pPr>
            <w:r>
              <w:rPr>
                <w:rFonts w:hint="eastAsia"/>
                <w:b/>
                <w:color w:val="auto"/>
                <w:szCs w:val="21"/>
                <w:highlight w:val="none"/>
              </w:rPr>
              <w:t>售后服务响应时间、故障修复时间：</w:t>
            </w:r>
          </w:p>
          <w:p w14:paraId="73CD871B">
            <w:pPr>
              <w:spacing w:line="276" w:lineRule="auto"/>
              <w:jc w:val="left"/>
              <w:rPr>
                <w:rFonts w:ascii="宋体" w:hAnsi="宋体" w:cs="宋体"/>
                <w:color w:val="auto"/>
                <w:sz w:val="24"/>
                <w:highlight w:val="none"/>
              </w:rPr>
            </w:pPr>
            <w:r>
              <w:rPr>
                <w:rFonts w:hint="eastAsia"/>
                <w:color w:val="auto"/>
                <w:szCs w:val="21"/>
                <w:highlight w:val="none"/>
              </w:rPr>
              <w:t>根据供应商的服务响应的及时性、时效保障，以及应急处理方案是否合理等进行综合评价打分（3，2,1,0）</w:t>
            </w:r>
          </w:p>
        </w:tc>
        <w:tc>
          <w:tcPr>
            <w:tcW w:w="784" w:type="dxa"/>
            <w:shd w:val="clear" w:color="auto" w:fill="auto"/>
            <w:vAlign w:val="center"/>
          </w:tcPr>
          <w:p w14:paraId="092B999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B95206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3868DF80">
            <w:pPr>
              <w:snapToGrid w:val="0"/>
              <w:spacing w:line="360" w:lineRule="auto"/>
              <w:jc w:val="center"/>
              <w:rPr>
                <w:rFonts w:ascii="宋体" w:hAnsi="宋体" w:cs="宋体"/>
                <w:color w:val="auto"/>
                <w:sz w:val="24"/>
                <w:highlight w:val="none"/>
              </w:rPr>
            </w:pPr>
          </w:p>
        </w:tc>
      </w:tr>
      <w:tr w14:paraId="75C7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F47ED9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shd w:val="clear" w:color="auto" w:fill="auto"/>
            <w:vAlign w:val="center"/>
          </w:tcPr>
          <w:p w14:paraId="1DC85109">
            <w:pPr>
              <w:spacing w:line="360" w:lineRule="auto"/>
              <w:rPr>
                <w:b/>
                <w:bCs/>
                <w:color w:val="auto"/>
                <w:szCs w:val="21"/>
                <w:highlight w:val="none"/>
              </w:rPr>
            </w:pPr>
            <w:r>
              <w:rPr>
                <w:b/>
                <w:bCs/>
                <w:color w:val="auto"/>
                <w:szCs w:val="21"/>
                <w:highlight w:val="none"/>
              </w:rPr>
              <w:t>样片演示：</w:t>
            </w:r>
          </w:p>
          <w:p w14:paraId="28D986EF">
            <w:pPr>
              <w:spacing w:line="360" w:lineRule="auto"/>
              <w:rPr>
                <w:color w:val="auto"/>
                <w:szCs w:val="21"/>
                <w:highlight w:val="none"/>
              </w:rPr>
            </w:pPr>
            <w:r>
              <w:rPr>
                <w:rFonts w:hint="eastAsia"/>
                <w:color w:val="auto"/>
                <w:szCs w:val="21"/>
                <w:highlight w:val="none"/>
              </w:rPr>
              <w:t>供应商</w:t>
            </w:r>
            <w:r>
              <w:rPr>
                <w:color w:val="auto"/>
                <w:szCs w:val="21"/>
                <w:highlight w:val="none"/>
              </w:rPr>
              <w:t>根据课程内容提供已经制作完成的在线课程样片</w:t>
            </w:r>
            <w:bookmarkStart w:id="25" w:name="OLE_LINK221"/>
            <w:r>
              <w:rPr>
                <w:color w:val="auto"/>
                <w:szCs w:val="21"/>
                <w:highlight w:val="none"/>
              </w:rPr>
              <w:t>（包括视频、微课、动画）</w:t>
            </w:r>
            <w:bookmarkEnd w:id="25"/>
            <w:r>
              <w:rPr>
                <w:color w:val="auto"/>
                <w:szCs w:val="21"/>
                <w:highlight w:val="none"/>
              </w:rPr>
              <w:t>进行演示，每种类型的样片时长不超过</w:t>
            </w:r>
            <w:r>
              <w:rPr>
                <w:b/>
                <w:color w:val="auto"/>
                <w:szCs w:val="21"/>
                <w:highlight w:val="none"/>
              </w:rPr>
              <w:t>5</w:t>
            </w:r>
            <w:r>
              <w:rPr>
                <w:color w:val="auto"/>
                <w:szCs w:val="21"/>
                <w:highlight w:val="none"/>
              </w:rPr>
              <w:t>分钟，总时长不超过</w:t>
            </w:r>
            <w:r>
              <w:rPr>
                <w:b/>
                <w:color w:val="auto"/>
                <w:szCs w:val="21"/>
                <w:highlight w:val="none"/>
              </w:rPr>
              <w:t>15</w:t>
            </w:r>
            <w:r>
              <w:rPr>
                <w:color w:val="auto"/>
                <w:szCs w:val="21"/>
                <w:highlight w:val="none"/>
              </w:rPr>
              <w:t>分钟：</w:t>
            </w:r>
          </w:p>
          <w:p w14:paraId="3C1A4F4C">
            <w:pPr>
              <w:spacing w:line="360" w:lineRule="auto"/>
              <w:rPr>
                <w:color w:val="auto"/>
                <w:szCs w:val="21"/>
                <w:highlight w:val="none"/>
              </w:rPr>
            </w:pPr>
            <w:r>
              <w:rPr>
                <w:color w:val="auto"/>
                <w:szCs w:val="21"/>
                <w:highlight w:val="none"/>
              </w:rPr>
              <w:t>（1）提供相应样片（包括视频、微课、动画）演示材料配套的源文件的，得3分；视频、微课、动画中任意缺少一种样片扣1分，本项扣至0分为止。</w:t>
            </w:r>
          </w:p>
          <w:p w14:paraId="5860F398">
            <w:pPr>
              <w:spacing w:line="360" w:lineRule="auto"/>
              <w:rPr>
                <w:color w:val="auto"/>
                <w:szCs w:val="21"/>
                <w:highlight w:val="none"/>
              </w:rPr>
            </w:pPr>
            <w:r>
              <w:rPr>
                <w:color w:val="auto"/>
                <w:szCs w:val="21"/>
                <w:highlight w:val="none"/>
              </w:rPr>
              <w:t>（2）</w:t>
            </w:r>
            <w:bookmarkStart w:id="26" w:name="OLE_LINK212"/>
            <w:r>
              <w:rPr>
                <w:color w:val="auto"/>
                <w:szCs w:val="21"/>
                <w:highlight w:val="none"/>
              </w:rPr>
              <w:t>视频演示要求（4分）：内容符合教学内容要求，与讲授内容联系紧密，内容呈现逻辑清晰、通俗易懂，手段选用恰当。得4分；</w:t>
            </w:r>
            <w:bookmarkEnd w:id="26"/>
            <w:r>
              <w:rPr>
                <w:color w:val="auto"/>
                <w:szCs w:val="21"/>
                <w:highlight w:val="none"/>
              </w:rPr>
              <w:t>视频内容符合教学内容要求，与讲授内容联系较紧密，内容呈现逻辑较为清晰、通俗易懂，得3分；视频内容不能完全符合教学内容要求，与讲授内容联系不够紧密，内容呈现逻辑不够清晰的，得2分；视频内容不符合教学内容要求，与讲授内容联系不紧密，内容呈现逻辑混乱，不易理解的，得1分；未提供视频演示样片的不得分。</w:t>
            </w:r>
          </w:p>
          <w:p w14:paraId="1A6DF805">
            <w:pPr>
              <w:spacing w:line="360" w:lineRule="auto"/>
              <w:rPr>
                <w:color w:val="auto"/>
                <w:szCs w:val="21"/>
                <w:highlight w:val="none"/>
              </w:rPr>
            </w:pPr>
            <w:r>
              <w:rPr>
                <w:color w:val="auto"/>
                <w:szCs w:val="21"/>
                <w:highlight w:val="none"/>
              </w:rPr>
              <w:t>（3）</w:t>
            </w:r>
            <w:bookmarkStart w:id="27" w:name="OLE_LINK216"/>
            <w:r>
              <w:rPr>
                <w:color w:val="auto"/>
                <w:szCs w:val="21"/>
                <w:highlight w:val="none"/>
              </w:rPr>
              <w:t>微课演示要求（4分）：录制内容图像构图合理，画面主体突出，整体画面简洁、明快，有利于营造学习气氛，能够反映教学内容的真实情况的，得4分；</w:t>
            </w:r>
            <w:bookmarkEnd w:id="27"/>
            <w:r>
              <w:rPr>
                <w:color w:val="auto"/>
                <w:szCs w:val="21"/>
                <w:highlight w:val="none"/>
              </w:rPr>
              <w:t>微课录制内容图像构图较为合理，画面主体较为突出，整体画面比较简洁、明快，大致可以反映教学内容的真实情况的，得3分；微课录制内容图像构图一般，画面主体突出不够，整体画面一般，教学内容的真实情况略有欠缺的，得2分；微课录制内容图像构图不合理，画面主体不突出，整体画面复杂、混乱，不利于营造学习气氛，不能够反映教学内容的真实情况的，得1分；未提供微课演示样片的本项不得分。</w:t>
            </w:r>
          </w:p>
          <w:p w14:paraId="0CBFB28F">
            <w:pPr>
              <w:spacing w:line="360" w:lineRule="auto"/>
              <w:rPr>
                <w:rFonts w:ascii="宋体" w:hAnsi="宋体" w:cs="宋体"/>
                <w:color w:val="auto"/>
                <w:sz w:val="24"/>
                <w:highlight w:val="none"/>
              </w:rPr>
            </w:pPr>
            <w:r>
              <w:rPr>
                <w:color w:val="auto"/>
                <w:szCs w:val="21"/>
                <w:highlight w:val="none"/>
              </w:rPr>
              <w:t>（4</w:t>
            </w:r>
            <w:bookmarkStart w:id="28" w:name="OLE_LINK220"/>
            <w:r>
              <w:rPr>
                <w:color w:val="auto"/>
                <w:szCs w:val="21"/>
                <w:highlight w:val="none"/>
              </w:rPr>
              <w:t>）动画演示要求（4分）：动画设计色彩造型和谐，画面简洁清晰，界面友好，交互设计合理，操作简单，配音和解说普通话标准，咬字清楚，声音悦耳，音量适当，快慢适度，具有趣味性的，得4分；</w:t>
            </w:r>
            <w:bookmarkEnd w:id="28"/>
            <w:r>
              <w:rPr>
                <w:color w:val="auto"/>
                <w:szCs w:val="21"/>
                <w:highlight w:val="none"/>
              </w:rPr>
              <w:t>动画设计色彩造型较为和谐，画面比较简洁清晰，界面友好，交互设计较为合理，操作简单，配音和解说普通话比较标准，咬字比较清楚，声音、音量、快慢程度比较合适，具有一定的趣味性的，得3分；动画设计色彩造型有欠缺，或画面不够清晰、界面友好程度一般，交互设计一般，配音和解说略有欠缺的，得2分；动画设计色彩造型不和谐，画面不简洁清晰，界面不友好，交互设计不合理，操作简单，配音和解说较差，趣味性不足的，得1分；未提供动画演示样片的本项不得分。</w:t>
            </w:r>
          </w:p>
        </w:tc>
        <w:tc>
          <w:tcPr>
            <w:tcW w:w="784" w:type="dxa"/>
            <w:shd w:val="clear" w:color="auto" w:fill="auto"/>
            <w:vAlign w:val="center"/>
          </w:tcPr>
          <w:p w14:paraId="78B231F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959" w:type="dxa"/>
            <w:shd w:val="clear" w:color="auto" w:fill="auto"/>
            <w:vAlign w:val="center"/>
          </w:tcPr>
          <w:p w14:paraId="4A2B7A2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E3078B9">
            <w:pPr>
              <w:snapToGrid w:val="0"/>
              <w:spacing w:line="360" w:lineRule="auto"/>
              <w:jc w:val="center"/>
              <w:rPr>
                <w:rFonts w:ascii="宋体" w:hAnsi="宋体" w:cs="宋体"/>
                <w:color w:val="auto"/>
                <w:sz w:val="24"/>
                <w:highlight w:val="none"/>
              </w:rPr>
            </w:pPr>
          </w:p>
        </w:tc>
      </w:tr>
      <w:tr w14:paraId="702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0DE3F66">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16</w:t>
            </w:r>
          </w:p>
        </w:tc>
        <w:tc>
          <w:tcPr>
            <w:tcW w:w="6216" w:type="dxa"/>
          </w:tcPr>
          <w:p w14:paraId="02CD7A00">
            <w:pPr>
              <w:spacing w:line="360" w:lineRule="auto"/>
              <w:rPr>
                <w:color w:val="auto"/>
                <w:szCs w:val="21"/>
                <w:highlight w:val="none"/>
              </w:rPr>
            </w:pPr>
            <w:r>
              <w:rPr>
                <w:rFonts w:hint="eastAsia"/>
                <w:color w:val="auto"/>
                <w:szCs w:val="21"/>
                <w:highlight w:val="none"/>
              </w:rPr>
              <w:t>有效响应报价的最低价作为评审基准价，其最低报价为满分；按［响应报价得分=（评审基准价/响应报价）*权重］的计算公式计算。</w:t>
            </w:r>
          </w:p>
          <w:p w14:paraId="724DF652">
            <w:pPr>
              <w:spacing w:line="360" w:lineRule="auto"/>
              <w:rPr>
                <w:rFonts w:ascii="宋体" w:hAnsi="宋体" w:cs="宋体"/>
                <w:color w:val="auto"/>
                <w:sz w:val="24"/>
                <w:highlight w:val="none"/>
              </w:rPr>
            </w:pPr>
            <w:r>
              <w:rPr>
                <w:rFonts w:hint="eastAsia"/>
                <w:color w:val="auto"/>
                <w:szCs w:val="21"/>
                <w:highlight w:val="none"/>
              </w:rPr>
              <w:t>评审过程中，不得去掉报价中的最高报价和最低报价。</w:t>
            </w:r>
          </w:p>
        </w:tc>
        <w:tc>
          <w:tcPr>
            <w:tcW w:w="784" w:type="dxa"/>
            <w:vAlign w:val="center"/>
          </w:tcPr>
          <w:p w14:paraId="195D8F68">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0B8FC647">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0855AEA7">
            <w:pPr>
              <w:snapToGrid w:val="0"/>
              <w:spacing w:line="360" w:lineRule="auto"/>
              <w:jc w:val="center"/>
              <w:rPr>
                <w:rFonts w:ascii="宋体" w:hAnsi="宋体" w:cs="宋体"/>
                <w:color w:val="auto"/>
                <w:sz w:val="24"/>
                <w:highlight w:val="none"/>
              </w:rPr>
            </w:pPr>
          </w:p>
        </w:tc>
      </w:tr>
    </w:tbl>
    <w:p w14:paraId="5018705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2283F9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1CC7A8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33C20A0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337D2A1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6738BE4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32A17E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00DACB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058843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4657857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B496740">
      <w:pPr>
        <w:pStyle w:val="2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42C9C2DC">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4928272F">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FAA748C">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7240B68F">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0AB596">
      <w:pPr>
        <w:pStyle w:val="2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0244CB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526A6F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1DCB2CBB">
      <w:pPr>
        <w:pStyle w:val="24"/>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7EC8F3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E9CE6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3A756F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370F352">
      <w:pPr>
        <w:pStyle w:val="2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BBD152">
      <w:pPr>
        <w:pStyle w:val="8"/>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333F71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3136F4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6FB3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19AEE4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0134274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6C065E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4B83FE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042E1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r>
        <w:rPr>
          <w:rFonts w:hint="eastAsia" w:ascii="宋体" w:hAnsi="宋体" w:cs="宋体"/>
          <w:color w:val="auto"/>
          <w:kern w:val="0"/>
          <w:sz w:val="24"/>
          <w:highlight w:val="none"/>
        </w:rPr>
        <w:t>；</w:t>
      </w:r>
    </w:p>
    <w:p w14:paraId="0B2657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4ABD86A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4A5280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6D8E8920">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48708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6D4EFC4D">
      <w:pPr>
        <w:pStyle w:val="8"/>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2AA76886">
      <w:pPr>
        <w:pStyle w:val="8"/>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22E96757">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14:paraId="7E615954">
      <w:pPr>
        <w:pStyle w:val="8"/>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129C1FB6">
      <w:pPr>
        <w:pStyle w:val="8"/>
        <w:snapToGrid w:val="0"/>
        <w:spacing w:line="360" w:lineRule="auto"/>
        <w:rPr>
          <w:rFonts w:cs="宋体"/>
          <w:color w:val="auto"/>
          <w:highlight w:val="none"/>
        </w:rPr>
      </w:pPr>
      <w:r>
        <w:rPr>
          <w:rFonts w:hint="eastAsia" w:cs="宋体"/>
          <w:color w:val="auto"/>
          <w:highlight w:val="none"/>
        </w:rPr>
        <w:t>5.4因重大变故，采购任务取消的。</w:t>
      </w:r>
    </w:p>
    <w:p w14:paraId="1D7B7F80">
      <w:pPr>
        <w:pStyle w:val="8"/>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12EAB35C">
      <w:pPr>
        <w:pStyle w:val="8"/>
        <w:snapToGrid w:val="0"/>
        <w:spacing w:line="360" w:lineRule="auto"/>
        <w:ind w:firstLine="489"/>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2B18BE6F">
      <w:pPr>
        <w:pStyle w:val="8"/>
        <w:snapToGrid w:val="0"/>
        <w:spacing w:line="360" w:lineRule="auto"/>
        <w:ind w:firstLine="489"/>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00D67424">
      <w:pPr>
        <w:pStyle w:val="8"/>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1525F8CD">
      <w:pPr>
        <w:pStyle w:val="8"/>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09240118">
      <w:pPr>
        <w:pStyle w:val="8"/>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6FF8E2EC">
      <w:pPr>
        <w:pStyle w:val="8"/>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A961906">
      <w:pPr>
        <w:pStyle w:val="2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1531B25E">
      <w:pPr>
        <w:pStyle w:val="2"/>
        <w:rPr>
          <w:rFonts w:ascii="宋体" w:hAnsi="宋体" w:cs="宋体"/>
          <w:color w:val="auto"/>
          <w:highlight w:val="none"/>
        </w:rPr>
      </w:pPr>
      <w:bookmarkStart w:id="29" w:name="_Toc24926"/>
      <w:r>
        <w:rPr>
          <w:rFonts w:hint="eastAsia" w:ascii="宋体" w:hAnsi="宋体" w:cs="宋体"/>
          <w:bCs/>
          <w:color w:val="auto"/>
          <w:highlight w:val="none"/>
        </w:rPr>
        <w:t xml:space="preserve">第五章  </w:t>
      </w:r>
      <w:bookmarkEnd w:id="29"/>
      <w:r>
        <w:rPr>
          <w:rFonts w:hint="eastAsia" w:ascii="宋体" w:hAnsi="宋体" w:cs="宋体"/>
          <w:color w:val="auto"/>
          <w:szCs w:val="32"/>
          <w:highlight w:val="none"/>
        </w:rPr>
        <w:t>拟签订的合同文本</w:t>
      </w: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38"/>
        <w:spacing w:before="120" w:line="22" w:lineRule="atLeast"/>
        <w:rPr>
          <w:rFonts w:ascii="宋体" w:hAnsi="宋体" w:eastAsia="宋体" w:cs="宋体"/>
          <w:color w:val="auto"/>
          <w:szCs w:val="24"/>
          <w:highlight w:val="none"/>
        </w:rPr>
      </w:pPr>
    </w:p>
    <w:p w14:paraId="5912128F">
      <w:pPr>
        <w:pStyle w:val="38"/>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CC</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杭州市财经职业学校税费计算与申报精品课程资源开发项目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杭州市财经职业学校</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0" w:name="_Toc15367"/>
      <w:bookmarkStart w:id="31" w:name="_Toc20421"/>
      <w:bookmarkStart w:id="32" w:name="_Toc22967"/>
      <w:bookmarkStart w:id="33" w:name="_Toc19273"/>
      <w:bookmarkStart w:id="34"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0"/>
      <w:bookmarkEnd w:id="31"/>
      <w:bookmarkEnd w:id="32"/>
      <w:bookmarkEnd w:id="33"/>
      <w:bookmarkEnd w:id="34"/>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5" w:name="_Toc22185"/>
      <w:bookmarkStart w:id="36" w:name="_Toc2918"/>
      <w:bookmarkStart w:id="37" w:name="_Toc6773"/>
      <w:bookmarkStart w:id="38" w:name="_Toc18585"/>
      <w:bookmarkStart w:id="39"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5"/>
      <w:bookmarkEnd w:id="36"/>
      <w:bookmarkEnd w:id="37"/>
      <w:bookmarkEnd w:id="38"/>
      <w:bookmarkEnd w:id="39"/>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杭州市财经职业学校税费计算与申报精品课程资源开发项目</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按照招投标文件要求</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rPr>
        <w:t>按照国家、行业标准</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3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 w:name="_Toc1386"/>
      <w:bookmarkStart w:id="41" w:name="_Toc13918"/>
      <w:bookmarkStart w:id="42" w:name="_Toc5635"/>
      <w:bookmarkStart w:id="43" w:name="_Toc4929"/>
      <w:bookmarkStart w:id="44"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
      <w:bookmarkEnd w:id="41"/>
      <w:bookmarkEnd w:id="42"/>
      <w:bookmarkEnd w:id="43"/>
      <w:bookmarkEnd w:id="44"/>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4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4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4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40"/>
              <w:spacing w:line="560" w:lineRule="exact"/>
              <w:ind w:firstLine="200"/>
              <w:jc w:val="center"/>
              <w:rPr>
                <w:rFonts w:hAnsi="宋体"/>
                <w:color w:val="auto"/>
                <w:sz w:val="24"/>
                <w:szCs w:val="24"/>
                <w:highlight w:val="none"/>
              </w:rPr>
            </w:pPr>
          </w:p>
        </w:tc>
        <w:tc>
          <w:tcPr>
            <w:tcW w:w="3402" w:type="dxa"/>
            <w:vAlign w:val="center"/>
          </w:tcPr>
          <w:p w14:paraId="66BDB431">
            <w:pPr>
              <w:pStyle w:val="40"/>
              <w:spacing w:line="560" w:lineRule="exact"/>
              <w:ind w:firstLine="200"/>
              <w:jc w:val="center"/>
              <w:rPr>
                <w:rFonts w:hAnsi="宋体"/>
                <w:color w:val="auto"/>
                <w:sz w:val="24"/>
                <w:szCs w:val="24"/>
                <w:highlight w:val="none"/>
              </w:rPr>
            </w:pPr>
          </w:p>
        </w:tc>
        <w:tc>
          <w:tcPr>
            <w:tcW w:w="2552" w:type="dxa"/>
            <w:vAlign w:val="center"/>
          </w:tcPr>
          <w:p w14:paraId="0EC443E3">
            <w:pPr>
              <w:pStyle w:val="4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40"/>
              <w:spacing w:line="560" w:lineRule="exact"/>
              <w:ind w:firstLine="200"/>
              <w:jc w:val="center"/>
              <w:rPr>
                <w:rFonts w:hAnsi="宋体"/>
                <w:color w:val="auto"/>
                <w:sz w:val="24"/>
                <w:szCs w:val="24"/>
                <w:highlight w:val="none"/>
              </w:rPr>
            </w:pPr>
          </w:p>
        </w:tc>
        <w:tc>
          <w:tcPr>
            <w:tcW w:w="3402" w:type="dxa"/>
            <w:vAlign w:val="center"/>
          </w:tcPr>
          <w:p w14:paraId="26CA5BD6">
            <w:pPr>
              <w:pStyle w:val="40"/>
              <w:spacing w:line="560" w:lineRule="exact"/>
              <w:ind w:firstLine="200"/>
              <w:jc w:val="center"/>
              <w:rPr>
                <w:rFonts w:hAnsi="宋体"/>
                <w:color w:val="auto"/>
                <w:sz w:val="24"/>
                <w:szCs w:val="24"/>
                <w:highlight w:val="none"/>
              </w:rPr>
            </w:pPr>
          </w:p>
        </w:tc>
        <w:tc>
          <w:tcPr>
            <w:tcW w:w="2552" w:type="dxa"/>
            <w:vAlign w:val="center"/>
          </w:tcPr>
          <w:p w14:paraId="0258EB1E">
            <w:pPr>
              <w:pStyle w:val="4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40"/>
              <w:spacing w:line="560" w:lineRule="exact"/>
              <w:ind w:firstLine="200"/>
              <w:jc w:val="center"/>
              <w:rPr>
                <w:rFonts w:hAnsi="宋体"/>
                <w:color w:val="auto"/>
                <w:sz w:val="24"/>
                <w:szCs w:val="24"/>
                <w:highlight w:val="none"/>
              </w:rPr>
            </w:pPr>
          </w:p>
        </w:tc>
        <w:tc>
          <w:tcPr>
            <w:tcW w:w="3402" w:type="dxa"/>
            <w:vAlign w:val="center"/>
          </w:tcPr>
          <w:p w14:paraId="637D5711">
            <w:pPr>
              <w:pStyle w:val="40"/>
              <w:spacing w:line="560" w:lineRule="exact"/>
              <w:ind w:firstLine="200"/>
              <w:jc w:val="center"/>
              <w:rPr>
                <w:rFonts w:hAnsi="宋体"/>
                <w:color w:val="auto"/>
                <w:sz w:val="24"/>
                <w:szCs w:val="24"/>
                <w:highlight w:val="none"/>
              </w:rPr>
            </w:pPr>
          </w:p>
        </w:tc>
        <w:tc>
          <w:tcPr>
            <w:tcW w:w="2552" w:type="dxa"/>
            <w:vAlign w:val="center"/>
          </w:tcPr>
          <w:p w14:paraId="42D0E712">
            <w:pPr>
              <w:pStyle w:val="4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D093970">
            <w:pPr>
              <w:pStyle w:val="40"/>
              <w:spacing w:line="560" w:lineRule="exact"/>
              <w:ind w:firstLine="200"/>
              <w:jc w:val="center"/>
              <w:rPr>
                <w:rFonts w:hAnsi="宋体"/>
                <w:color w:val="auto"/>
                <w:sz w:val="24"/>
                <w:szCs w:val="24"/>
                <w:highlight w:val="none"/>
              </w:rPr>
            </w:pPr>
          </w:p>
        </w:tc>
        <w:tc>
          <w:tcPr>
            <w:tcW w:w="3402" w:type="dxa"/>
            <w:vAlign w:val="center"/>
          </w:tcPr>
          <w:p w14:paraId="14D192BB">
            <w:pPr>
              <w:pStyle w:val="40"/>
              <w:spacing w:line="560" w:lineRule="exact"/>
              <w:ind w:firstLine="200"/>
              <w:jc w:val="center"/>
              <w:rPr>
                <w:rFonts w:hAnsi="宋体"/>
                <w:color w:val="auto"/>
                <w:sz w:val="24"/>
                <w:szCs w:val="24"/>
                <w:highlight w:val="none"/>
              </w:rPr>
            </w:pPr>
          </w:p>
        </w:tc>
        <w:tc>
          <w:tcPr>
            <w:tcW w:w="2552" w:type="dxa"/>
            <w:vAlign w:val="center"/>
          </w:tcPr>
          <w:p w14:paraId="0E5769EB">
            <w:pPr>
              <w:pStyle w:val="4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4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4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5" w:name="_Toc3654"/>
      <w:bookmarkStart w:id="46" w:name="_Toc30506"/>
      <w:bookmarkStart w:id="47" w:name="_Toc26916"/>
      <w:bookmarkStart w:id="48" w:name="_Toc30158"/>
      <w:bookmarkStart w:id="49"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5"/>
    <w:bookmarkEnd w:id="46"/>
    <w:bookmarkEnd w:id="47"/>
    <w:bookmarkEnd w:id="48"/>
    <w:bookmarkEnd w:id="49"/>
    <w:p w14:paraId="2F5CCC91">
      <w:pPr>
        <w:pStyle w:val="39"/>
        <w:spacing w:before="0" w:beforeAutospacing="0" w:after="0" w:afterAutospacing="0" w:line="360" w:lineRule="auto"/>
        <w:ind w:firstLine="480"/>
        <w:rPr>
          <w:b/>
          <w:color w:val="auto"/>
          <w:highlight w:val="none"/>
        </w:rPr>
      </w:pPr>
      <w:bookmarkStart w:id="50" w:name="_Toc22618"/>
      <w:bookmarkStart w:id="51" w:name="_Toc10340"/>
      <w:bookmarkStart w:id="52" w:name="_Toc1814"/>
      <w:bookmarkStart w:id="53" w:name="_Toc8772"/>
      <w:bookmarkStart w:id="54" w:name="_Toc3625"/>
      <w:bookmarkStart w:id="55" w:name="_Toc11108"/>
      <w:bookmarkStart w:id="56" w:name="_Toc31421"/>
      <w:bookmarkStart w:id="57" w:name="_Toc4760"/>
      <w:r>
        <w:rPr>
          <w:rFonts w:hint="eastAsia"/>
          <w:b/>
          <w:color w:val="auto"/>
          <w:highlight w:val="none"/>
        </w:rPr>
        <w:t>1.4履约保证金</w:t>
      </w:r>
    </w:p>
    <w:p w14:paraId="74D47AFB">
      <w:pPr>
        <w:pStyle w:val="3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50"/>
      <w:bookmarkEnd w:id="51"/>
      <w:bookmarkEnd w:id="52"/>
      <w:r>
        <w:rPr>
          <w:rFonts w:hint="eastAsia" w:ascii="宋体" w:hAnsi="宋体" w:cs="宋体"/>
          <w:b/>
          <w:color w:val="auto"/>
          <w:sz w:val="24"/>
          <w:highlight w:val="none"/>
        </w:rPr>
        <w:t>预付款</w:t>
      </w:r>
    </w:p>
    <w:p w14:paraId="7C829B0B">
      <w:pPr>
        <w:pStyle w:val="3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3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3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3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3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3"/>
      <w:bookmarkEnd w:id="54"/>
      <w:bookmarkEnd w:id="55"/>
      <w:bookmarkEnd w:id="56"/>
      <w:bookmarkEnd w:id="57"/>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58" w:name="_Toc8586"/>
      <w:bookmarkStart w:id="59" w:name="_Toc5698"/>
      <w:bookmarkStart w:id="60" w:name="_Toc2375"/>
      <w:bookmarkStart w:id="61" w:name="_Toc3079"/>
      <w:bookmarkStart w:id="62"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8"/>
      <w:bookmarkEnd w:id="59"/>
      <w:bookmarkEnd w:id="60"/>
      <w:bookmarkEnd w:id="61"/>
      <w:bookmarkEnd w:id="62"/>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63" w:name="_Toc32454"/>
      <w:bookmarkStart w:id="64" w:name="_Toc30329"/>
      <w:bookmarkStart w:id="65" w:name="_Toc18683"/>
      <w:bookmarkStart w:id="66" w:name="_Toc26807"/>
      <w:bookmarkStart w:id="6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3"/>
    <w:bookmarkEnd w:id="64"/>
    <w:bookmarkEnd w:id="65"/>
    <w:bookmarkEnd w:id="66"/>
    <w:bookmarkEnd w:id="67"/>
    <w:p w14:paraId="1A3040A7">
      <w:pPr>
        <w:spacing w:line="560" w:lineRule="exact"/>
        <w:ind w:firstLine="482" w:firstLineChars="200"/>
        <w:outlineLvl w:val="0"/>
        <w:rPr>
          <w:rFonts w:ascii="宋体" w:hAnsi="宋体" w:cs="宋体"/>
          <w:b/>
          <w:color w:val="auto"/>
          <w:sz w:val="24"/>
          <w:highlight w:val="none"/>
        </w:rPr>
      </w:pPr>
      <w:bookmarkStart w:id="68" w:name="_Toc16021"/>
      <w:bookmarkStart w:id="69" w:name="_Toc15583"/>
      <w:bookmarkStart w:id="70" w:name="_Toc28375"/>
      <w:r>
        <w:rPr>
          <w:rFonts w:hint="eastAsia" w:ascii="宋体" w:hAnsi="宋体" w:cs="宋体"/>
          <w:b/>
          <w:color w:val="auto"/>
          <w:sz w:val="24"/>
          <w:highlight w:val="none"/>
        </w:rPr>
        <w:t>1.9合同争议的解决</w:t>
      </w:r>
      <w:bookmarkEnd w:id="68"/>
      <w:bookmarkEnd w:id="69"/>
      <w:bookmarkEnd w:id="70"/>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71" w:name="_Toc7245"/>
      <w:bookmarkStart w:id="72" w:name="_Toc11173"/>
      <w:bookmarkStart w:id="73" w:name="_Toc15322"/>
      <w:r>
        <w:rPr>
          <w:rFonts w:hint="eastAsia" w:ascii="宋体" w:hAnsi="宋体" w:cs="宋体"/>
          <w:b/>
          <w:color w:val="auto"/>
          <w:sz w:val="24"/>
          <w:highlight w:val="none"/>
        </w:rPr>
        <w:t>2.0 合同生效</w:t>
      </w:r>
      <w:bookmarkEnd w:id="71"/>
      <w:bookmarkEnd w:id="72"/>
      <w:bookmarkEnd w:id="73"/>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3CF01CB">
      <w:pPr>
        <w:widowControl/>
        <w:adjustRightInd/>
        <w:ind w:firstLine="3795" w:firstLineChars="1800"/>
        <w:jc w:val="left"/>
        <w:rPr>
          <w:rFonts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74" w:name="_Toc25079"/>
      <w:bookmarkStart w:id="75" w:name="_Toc5228"/>
      <w:bookmarkStart w:id="76" w:name="_Toc14021"/>
      <w:bookmarkStart w:id="77" w:name="_Toc31297"/>
      <w:bookmarkStart w:id="78" w:name="_Toc19680"/>
      <w:r>
        <w:rPr>
          <w:rFonts w:ascii="宋体" w:hAnsi="宋体"/>
          <w:b/>
          <w:color w:val="auto"/>
          <w:sz w:val="24"/>
          <w:highlight w:val="none"/>
        </w:rPr>
        <w:t>2.1 定义</w:t>
      </w:r>
      <w:bookmarkEnd w:id="74"/>
      <w:bookmarkEnd w:id="75"/>
      <w:bookmarkEnd w:id="76"/>
      <w:bookmarkEnd w:id="77"/>
      <w:bookmarkEnd w:id="78"/>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79" w:name="_Toc23289"/>
      <w:bookmarkStart w:id="80" w:name="_Toc3769"/>
      <w:bookmarkStart w:id="81" w:name="_Toc31402"/>
      <w:bookmarkStart w:id="82" w:name="_Toc16752"/>
      <w:bookmarkStart w:id="83" w:name="_Toc19539"/>
      <w:r>
        <w:rPr>
          <w:rFonts w:ascii="宋体" w:hAnsi="宋体"/>
          <w:b/>
          <w:color w:val="auto"/>
          <w:sz w:val="24"/>
          <w:highlight w:val="none"/>
        </w:rPr>
        <w:t>2.2 技术规范</w:t>
      </w:r>
      <w:bookmarkEnd w:id="79"/>
      <w:bookmarkEnd w:id="80"/>
      <w:bookmarkEnd w:id="81"/>
      <w:bookmarkEnd w:id="82"/>
      <w:bookmarkEnd w:id="83"/>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84" w:name="_Toc13673"/>
      <w:bookmarkStart w:id="85" w:name="_Toc9161"/>
      <w:bookmarkStart w:id="86" w:name="_Toc12412"/>
      <w:bookmarkStart w:id="87" w:name="_Toc4133"/>
      <w:bookmarkStart w:id="88" w:name="_Toc27945"/>
      <w:r>
        <w:rPr>
          <w:rFonts w:ascii="宋体" w:hAnsi="宋体"/>
          <w:b/>
          <w:color w:val="auto"/>
          <w:sz w:val="24"/>
          <w:highlight w:val="none"/>
        </w:rPr>
        <w:t>2.3 知识产权</w:t>
      </w:r>
      <w:bookmarkEnd w:id="84"/>
      <w:bookmarkEnd w:id="85"/>
      <w:bookmarkEnd w:id="86"/>
      <w:bookmarkEnd w:id="87"/>
      <w:bookmarkEnd w:id="88"/>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89" w:name="_Toc15447"/>
      <w:bookmarkStart w:id="90" w:name="_Toc31233"/>
      <w:bookmarkStart w:id="91" w:name="_Toc32670"/>
      <w:bookmarkStart w:id="92" w:name="_Toc22011"/>
      <w:bookmarkStart w:id="93" w:name="_Toc26555"/>
      <w:r>
        <w:rPr>
          <w:rFonts w:ascii="宋体" w:hAnsi="宋体"/>
          <w:b/>
          <w:color w:val="auto"/>
          <w:sz w:val="24"/>
          <w:highlight w:val="none"/>
        </w:rPr>
        <w:t>2.5 结算方式和付款条件</w:t>
      </w:r>
      <w:bookmarkEnd w:id="89"/>
      <w:bookmarkEnd w:id="90"/>
      <w:bookmarkEnd w:id="91"/>
      <w:bookmarkEnd w:id="92"/>
      <w:bookmarkEnd w:id="93"/>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94" w:name="_Toc13154"/>
      <w:bookmarkStart w:id="95" w:name="_Toc16163"/>
      <w:bookmarkStart w:id="96" w:name="_Toc30507"/>
      <w:bookmarkStart w:id="97" w:name="_Toc18990"/>
      <w:bookmarkStart w:id="98" w:name="_Toc13467"/>
      <w:r>
        <w:rPr>
          <w:rFonts w:ascii="宋体" w:hAnsi="宋体"/>
          <w:b/>
          <w:color w:val="auto"/>
          <w:sz w:val="24"/>
          <w:highlight w:val="none"/>
        </w:rPr>
        <w:t>2.6 技术资料和保密义务</w:t>
      </w:r>
      <w:bookmarkEnd w:id="94"/>
      <w:bookmarkEnd w:id="95"/>
      <w:bookmarkEnd w:id="96"/>
      <w:bookmarkEnd w:id="97"/>
      <w:bookmarkEnd w:id="98"/>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9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99"/>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10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00"/>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10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01"/>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102" w:name="_Toc10663"/>
      <w:bookmarkStart w:id="103" w:name="_Toc42"/>
      <w:bookmarkStart w:id="104" w:name="_Toc21830"/>
      <w:bookmarkStart w:id="105" w:name="_Toc26689"/>
      <w:bookmarkStart w:id="106" w:name="_Toc23368"/>
      <w:r>
        <w:rPr>
          <w:rFonts w:ascii="宋体" w:hAnsi="宋体"/>
          <w:b/>
          <w:color w:val="auto"/>
          <w:sz w:val="24"/>
          <w:highlight w:val="none"/>
        </w:rPr>
        <w:t>2.10 合同转让和分包</w:t>
      </w:r>
      <w:bookmarkEnd w:id="102"/>
      <w:bookmarkEnd w:id="103"/>
      <w:bookmarkEnd w:id="104"/>
      <w:bookmarkEnd w:id="105"/>
      <w:bookmarkEnd w:id="106"/>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107" w:name="_Toc14371"/>
      <w:bookmarkStart w:id="108" w:name="_Toc26633"/>
      <w:bookmarkStart w:id="109" w:name="_Toc25571"/>
      <w:bookmarkStart w:id="110" w:name="_Toc32494"/>
      <w:bookmarkStart w:id="111" w:name="_Toc4720"/>
      <w:r>
        <w:rPr>
          <w:rFonts w:ascii="宋体" w:hAnsi="宋体"/>
          <w:b/>
          <w:color w:val="auto"/>
          <w:sz w:val="24"/>
          <w:highlight w:val="none"/>
        </w:rPr>
        <w:t>2.11 不可抗力</w:t>
      </w:r>
      <w:bookmarkEnd w:id="107"/>
      <w:bookmarkEnd w:id="108"/>
      <w:bookmarkEnd w:id="109"/>
      <w:bookmarkEnd w:id="110"/>
      <w:bookmarkEnd w:id="111"/>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112" w:name="_Toc25783"/>
      <w:bookmarkStart w:id="113" w:name="_Toc24465"/>
      <w:bookmarkStart w:id="114" w:name="_Toc23854"/>
      <w:bookmarkStart w:id="115" w:name="_Toc3638"/>
      <w:bookmarkStart w:id="116" w:name="_Toc14115"/>
      <w:r>
        <w:rPr>
          <w:rFonts w:ascii="宋体" w:hAnsi="宋体"/>
          <w:b/>
          <w:color w:val="auto"/>
          <w:sz w:val="24"/>
          <w:highlight w:val="none"/>
        </w:rPr>
        <w:t>2.12 税费</w:t>
      </w:r>
      <w:bookmarkEnd w:id="112"/>
      <w:bookmarkEnd w:id="113"/>
      <w:bookmarkEnd w:id="114"/>
      <w:bookmarkEnd w:id="115"/>
      <w:bookmarkEnd w:id="116"/>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117" w:name="_Toc30105"/>
      <w:bookmarkStart w:id="118" w:name="_Toc25525"/>
      <w:bookmarkStart w:id="119" w:name="_Toc14814"/>
      <w:bookmarkStart w:id="120" w:name="_Toc26883"/>
      <w:bookmarkStart w:id="121" w:name="_Toc7315"/>
      <w:r>
        <w:rPr>
          <w:rFonts w:ascii="宋体" w:hAnsi="宋体"/>
          <w:b/>
          <w:color w:val="auto"/>
          <w:sz w:val="24"/>
          <w:highlight w:val="none"/>
        </w:rPr>
        <w:t>2.13 乙方破产</w:t>
      </w:r>
      <w:bookmarkEnd w:id="117"/>
      <w:bookmarkEnd w:id="118"/>
      <w:bookmarkEnd w:id="119"/>
      <w:bookmarkEnd w:id="120"/>
      <w:bookmarkEnd w:id="121"/>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122" w:name="_Toc2016"/>
      <w:bookmarkStart w:id="123" w:name="_Toc1123"/>
      <w:bookmarkStart w:id="124" w:name="_Toc23323"/>
      <w:r>
        <w:rPr>
          <w:rFonts w:ascii="宋体" w:hAnsi="宋体"/>
          <w:b/>
          <w:color w:val="auto"/>
          <w:sz w:val="24"/>
          <w:highlight w:val="none"/>
        </w:rPr>
        <w:t>2.14 合同中止、终止</w:t>
      </w:r>
      <w:bookmarkEnd w:id="122"/>
      <w:bookmarkEnd w:id="123"/>
      <w:bookmarkEnd w:id="124"/>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125" w:name="_Toc1969"/>
      <w:bookmarkStart w:id="126" w:name="_Toc17363"/>
      <w:bookmarkStart w:id="127" w:name="_Toc14525"/>
      <w:r>
        <w:rPr>
          <w:rFonts w:ascii="宋体" w:hAnsi="宋体"/>
          <w:b/>
          <w:color w:val="auto"/>
          <w:sz w:val="24"/>
          <w:highlight w:val="none"/>
        </w:rPr>
        <w:t>2.15 检验和验收</w:t>
      </w:r>
      <w:bookmarkEnd w:id="125"/>
      <w:bookmarkEnd w:id="126"/>
      <w:bookmarkEnd w:id="127"/>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128" w:name="_Toc25198"/>
      <w:bookmarkStart w:id="129" w:name="_Toc2308"/>
      <w:bookmarkStart w:id="130" w:name="_Toc31892"/>
      <w:bookmarkStart w:id="131" w:name="_Toc9808"/>
      <w:bookmarkStart w:id="132" w:name="_Toc12666"/>
      <w:r>
        <w:rPr>
          <w:rFonts w:ascii="宋体" w:hAnsi="宋体"/>
          <w:b/>
          <w:color w:val="auto"/>
          <w:sz w:val="24"/>
          <w:highlight w:val="none"/>
        </w:rPr>
        <w:t>2.16 通知和送达</w:t>
      </w:r>
      <w:bookmarkEnd w:id="128"/>
      <w:bookmarkEnd w:id="129"/>
      <w:bookmarkEnd w:id="130"/>
      <w:bookmarkEnd w:id="131"/>
      <w:bookmarkEnd w:id="132"/>
    </w:p>
    <w:p w14:paraId="2D57AD58">
      <w:pPr>
        <w:spacing w:line="560" w:lineRule="exact"/>
        <w:ind w:firstLine="480" w:firstLineChars="200"/>
        <w:rPr>
          <w:rFonts w:ascii="宋体" w:hAnsi="宋体"/>
          <w:color w:val="auto"/>
          <w:sz w:val="24"/>
          <w:highlight w:val="none"/>
        </w:rPr>
      </w:pPr>
      <w:bookmarkStart w:id="133" w:name="_Toc18401"/>
      <w:bookmarkStart w:id="13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3"/>
      <w:bookmarkEnd w:id="134"/>
    </w:p>
    <w:p w14:paraId="79494EF1">
      <w:pPr>
        <w:spacing w:line="560" w:lineRule="exact"/>
        <w:ind w:firstLine="482" w:firstLineChars="200"/>
        <w:outlineLvl w:val="0"/>
        <w:rPr>
          <w:rFonts w:ascii="宋体" w:hAnsi="宋体"/>
          <w:b/>
          <w:color w:val="auto"/>
          <w:sz w:val="24"/>
          <w:highlight w:val="none"/>
        </w:rPr>
      </w:pPr>
      <w:bookmarkStart w:id="135" w:name="_Toc12254"/>
      <w:bookmarkStart w:id="136" w:name="_Toc20808"/>
      <w:bookmarkStart w:id="137" w:name="_Toc28906"/>
      <w:bookmarkStart w:id="138" w:name="_Toc5063"/>
      <w:bookmarkStart w:id="139"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35"/>
      <w:bookmarkEnd w:id="136"/>
      <w:bookmarkEnd w:id="137"/>
      <w:bookmarkEnd w:id="138"/>
      <w:bookmarkEnd w:id="139"/>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140" w:name="_Toc4355"/>
      <w:bookmarkStart w:id="141" w:name="_Toc30599"/>
      <w:bookmarkStart w:id="142" w:name="_Toc18540"/>
      <w:r>
        <w:rPr>
          <w:rFonts w:hint="eastAsia" w:ascii="宋体" w:hAnsi="宋体" w:cs="宋体"/>
          <w:b/>
          <w:color w:val="auto"/>
          <w:sz w:val="24"/>
          <w:highlight w:val="none"/>
        </w:rPr>
        <w:t>2.18 计量单位</w:t>
      </w:r>
      <w:bookmarkEnd w:id="140"/>
      <w:bookmarkEnd w:id="141"/>
      <w:bookmarkEnd w:id="142"/>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43" w:name="_Toc331685784"/>
      <w:r>
        <w:rPr>
          <w:rFonts w:hint="eastAsia" w:ascii="宋体" w:hAnsi="宋体" w:cs="宋体"/>
          <w:b/>
          <w:color w:val="auto"/>
          <w:sz w:val="24"/>
          <w:highlight w:val="none"/>
        </w:rPr>
        <w:t xml:space="preserve"> </w:t>
      </w:r>
      <w:bookmarkEnd w:id="143"/>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7"/>
        <w:gridCol w:w="8404"/>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43D19F12">
      <w:pPr>
        <w:pStyle w:val="24"/>
        <w:spacing w:before="0"/>
        <w:ind w:firstLine="508" w:firstLineChars="212"/>
        <w:rPr>
          <w:rFonts w:ascii="宋体" w:hAnsi="宋体" w:cs="宋体"/>
          <w:color w:val="auto"/>
          <w:kern w:val="0"/>
          <w:highlight w:val="none"/>
        </w:rPr>
      </w:pPr>
    </w:p>
    <w:p w14:paraId="77EA92D3">
      <w:pPr>
        <w:pStyle w:val="24"/>
        <w:spacing w:before="0"/>
        <w:ind w:firstLine="0" w:firstLineChars="0"/>
        <w:rPr>
          <w:rFonts w:ascii="宋体" w:hAnsi="宋体" w:cs="宋体"/>
          <w:color w:val="auto"/>
          <w:kern w:val="0"/>
          <w:highlight w:val="none"/>
        </w:rPr>
      </w:pPr>
    </w:p>
    <w:p w14:paraId="1F02DA79">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3F6D17F6">
      <w:pPr>
        <w:spacing w:line="360" w:lineRule="auto"/>
        <w:jc w:val="center"/>
        <w:outlineLvl w:val="0"/>
        <w:rPr>
          <w:rFonts w:ascii="宋体" w:hAnsi="宋体" w:cs="宋体"/>
          <w:b/>
          <w:color w:val="auto"/>
          <w:kern w:val="0"/>
          <w:sz w:val="36"/>
          <w:szCs w:val="36"/>
          <w:highlight w:val="none"/>
        </w:rPr>
      </w:pPr>
    </w:p>
    <w:p w14:paraId="50884C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A5F843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2BA8626">
      <w:pPr>
        <w:spacing w:line="360" w:lineRule="auto"/>
        <w:jc w:val="center"/>
        <w:outlineLvl w:val="0"/>
        <w:rPr>
          <w:rFonts w:ascii="宋体" w:hAnsi="宋体" w:cs="宋体"/>
          <w:b/>
          <w:color w:val="auto"/>
          <w:kern w:val="0"/>
          <w:sz w:val="36"/>
          <w:szCs w:val="36"/>
          <w:highlight w:val="none"/>
        </w:rPr>
      </w:pPr>
    </w:p>
    <w:p w14:paraId="1794CE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7CDDF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2949B195">
      <w:pPr>
        <w:snapToGrid w:val="0"/>
        <w:spacing w:line="360" w:lineRule="auto"/>
        <w:ind w:firstLine="480" w:firstLineChars="200"/>
        <w:rPr>
          <w:rFonts w:ascii="宋体" w:hAnsi="宋体" w:cs="宋体"/>
          <w:color w:val="auto"/>
          <w:sz w:val="24"/>
          <w:highlight w:val="none"/>
        </w:rPr>
      </w:pPr>
    </w:p>
    <w:p w14:paraId="228A22EF">
      <w:pPr>
        <w:spacing w:line="360" w:lineRule="auto"/>
        <w:ind w:firstLine="480" w:firstLineChars="200"/>
        <w:rPr>
          <w:rFonts w:ascii="宋体" w:hAnsi="宋体" w:cs="宋体"/>
          <w:color w:val="auto"/>
          <w:sz w:val="24"/>
          <w:highlight w:val="none"/>
        </w:rPr>
      </w:pPr>
    </w:p>
    <w:p w14:paraId="50363DE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C0DCA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62362F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我方参与杭州市财经职业学校税费计算与申报精品课程资源开发采购项目【采购编号：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】采购活动，郑重承诺：</w:t>
      </w:r>
    </w:p>
    <w:p w14:paraId="62A8E5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0CD704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FAA0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CA1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09104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0D86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13727C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89595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72F5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02741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67129C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9EAB8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70E25D">
      <w:pPr>
        <w:snapToGrid w:val="0"/>
        <w:spacing w:line="360" w:lineRule="auto"/>
        <w:ind w:right="480"/>
        <w:jc w:val="center"/>
        <w:rPr>
          <w:rFonts w:ascii="宋体" w:hAnsi="宋体" w:cs="宋体"/>
          <w:b/>
          <w:color w:val="auto"/>
          <w:kern w:val="0"/>
          <w:sz w:val="32"/>
          <w:szCs w:val="32"/>
          <w:highlight w:val="none"/>
        </w:rPr>
      </w:pPr>
    </w:p>
    <w:p w14:paraId="5E71F657">
      <w:pPr>
        <w:snapToGrid w:val="0"/>
        <w:spacing w:line="360" w:lineRule="auto"/>
        <w:ind w:right="480"/>
        <w:jc w:val="center"/>
        <w:rPr>
          <w:rFonts w:ascii="宋体" w:hAnsi="宋体" w:cs="宋体"/>
          <w:b/>
          <w:color w:val="auto"/>
          <w:kern w:val="0"/>
          <w:sz w:val="32"/>
          <w:szCs w:val="32"/>
          <w:highlight w:val="none"/>
        </w:rPr>
      </w:pPr>
    </w:p>
    <w:p w14:paraId="6B9DB91C">
      <w:pPr>
        <w:snapToGrid w:val="0"/>
        <w:spacing w:line="360" w:lineRule="auto"/>
        <w:ind w:right="480"/>
        <w:jc w:val="center"/>
        <w:rPr>
          <w:rFonts w:ascii="宋体" w:hAnsi="宋体" w:cs="宋体"/>
          <w:b/>
          <w:color w:val="auto"/>
          <w:kern w:val="0"/>
          <w:sz w:val="32"/>
          <w:szCs w:val="32"/>
          <w:highlight w:val="none"/>
        </w:rPr>
      </w:pPr>
    </w:p>
    <w:p w14:paraId="43D8693F">
      <w:pPr>
        <w:rPr>
          <w:rFonts w:ascii="宋体" w:hAnsi="宋体" w:cs="宋体"/>
          <w:color w:val="auto"/>
          <w:highlight w:val="none"/>
        </w:rPr>
      </w:pPr>
    </w:p>
    <w:p w14:paraId="76DE0126">
      <w:pPr>
        <w:snapToGrid w:val="0"/>
        <w:spacing w:line="360" w:lineRule="auto"/>
        <w:ind w:right="480"/>
        <w:jc w:val="center"/>
        <w:rPr>
          <w:rFonts w:ascii="宋体" w:hAnsi="宋体" w:cs="宋体"/>
          <w:b/>
          <w:color w:val="auto"/>
          <w:kern w:val="0"/>
          <w:sz w:val="32"/>
          <w:szCs w:val="32"/>
          <w:highlight w:val="none"/>
        </w:rPr>
      </w:pPr>
    </w:p>
    <w:p w14:paraId="18C9AEEF">
      <w:pPr>
        <w:snapToGrid w:val="0"/>
        <w:spacing w:line="360" w:lineRule="auto"/>
        <w:ind w:right="480"/>
        <w:jc w:val="center"/>
        <w:rPr>
          <w:rFonts w:ascii="宋体" w:hAnsi="宋体" w:cs="宋体"/>
          <w:b/>
          <w:color w:val="auto"/>
          <w:kern w:val="0"/>
          <w:sz w:val="32"/>
          <w:szCs w:val="32"/>
          <w:highlight w:val="none"/>
        </w:rPr>
      </w:pPr>
    </w:p>
    <w:p w14:paraId="18FA83B3">
      <w:pPr>
        <w:snapToGrid w:val="0"/>
        <w:spacing w:line="360" w:lineRule="auto"/>
        <w:ind w:right="480"/>
        <w:jc w:val="center"/>
        <w:rPr>
          <w:rFonts w:ascii="宋体" w:hAnsi="宋体" w:cs="宋体"/>
          <w:b/>
          <w:color w:val="auto"/>
          <w:kern w:val="0"/>
          <w:sz w:val="32"/>
          <w:szCs w:val="32"/>
          <w:highlight w:val="none"/>
        </w:rPr>
      </w:pPr>
    </w:p>
    <w:p w14:paraId="4603AB41">
      <w:pPr>
        <w:snapToGrid w:val="0"/>
        <w:spacing w:line="360" w:lineRule="auto"/>
        <w:ind w:right="480"/>
        <w:jc w:val="center"/>
        <w:rPr>
          <w:rFonts w:ascii="宋体" w:hAnsi="宋体" w:cs="宋体"/>
          <w:b/>
          <w:color w:val="auto"/>
          <w:kern w:val="0"/>
          <w:sz w:val="32"/>
          <w:szCs w:val="32"/>
          <w:highlight w:val="none"/>
        </w:rPr>
      </w:pPr>
    </w:p>
    <w:p w14:paraId="0656A784">
      <w:pPr>
        <w:widowControl/>
        <w:spacing w:line="360" w:lineRule="auto"/>
        <w:ind w:firstLine="643" w:firstLineChars="200"/>
        <w:jc w:val="center"/>
        <w:rPr>
          <w:rFonts w:ascii="宋体" w:hAnsi="宋体" w:cs="宋体"/>
          <w:b/>
          <w:color w:val="auto"/>
          <w:kern w:val="0"/>
          <w:sz w:val="32"/>
          <w:szCs w:val="32"/>
          <w:highlight w:val="none"/>
        </w:rPr>
      </w:pPr>
    </w:p>
    <w:p w14:paraId="48F3381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7655DF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63B343B4">
      <w:pPr>
        <w:rPr>
          <w:rFonts w:ascii="宋体" w:hAnsi="宋体" w:cs="宋体"/>
          <w:color w:val="auto"/>
          <w:highlight w:val="none"/>
        </w:rPr>
      </w:pPr>
    </w:p>
    <w:p w14:paraId="1CF6D47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408D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4E4D5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8AFBD77">
      <w:pPr>
        <w:numPr>
          <w:ilvl w:val="0"/>
          <w:numId w:val="1"/>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27907FA5">
      <w:pPr>
        <w:numPr>
          <w:ilvl w:val="0"/>
          <w:numId w:val="1"/>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1BD8379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2891C0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249D504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6B239AF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1CCD5C4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2A9ADFD4">
      <w:pPr>
        <w:snapToGrid w:val="0"/>
        <w:spacing w:line="360" w:lineRule="auto"/>
        <w:jc w:val="center"/>
        <w:rPr>
          <w:rFonts w:ascii="宋体" w:hAnsi="宋体" w:cs="宋体"/>
          <w:b/>
          <w:color w:val="auto"/>
          <w:kern w:val="0"/>
          <w:sz w:val="32"/>
          <w:szCs w:val="32"/>
          <w:highlight w:val="none"/>
          <w:lang w:val="zh-CN"/>
        </w:rPr>
      </w:pPr>
    </w:p>
    <w:p w14:paraId="379E53F7">
      <w:pPr>
        <w:snapToGrid w:val="0"/>
        <w:spacing w:line="360" w:lineRule="auto"/>
        <w:jc w:val="center"/>
        <w:rPr>
          <w:rFonts w:ascii="宋体" w:hAnsi="宋体" w:cs="宋体"/>
          <w:b/>
          <w:color w:val="auto"/>
          <w:kern w:val="0"/>
          <w:sz w:val="32"/>
          <w:szCs w:val="32"/>
          <w:highlight w:val="none"/>
          <w:lang w:val="zh-CN"/>
        </w:rPr>
      </w:pPr>
    </w:p>
    <w:p w14:paraId="75846C32">
      <w:pPr>
        <w:snapToGrid w:val="0"/>
        <w:spacing w:line="360" w:lineRule="auto"/>
        <w:jc w:val="center"/>
        <w:rPr>
          <w:rFonts w:ascii="宋体" w:hAnsi="宋体" w:cs="宋体"/>
          <w:b/>
          <w:color w:val="auto"/>
          <w:kern w:val="0"/>
          <w:sz w:val="32"/>
          <w:szCs w:val="32"/>
          <w:highlight w:val="none"/>
          <w:lang w:val="zh-CN"/>
        </w:rPr>
      </w:pPr>
    </w:p>
    <w:p w14:paraId="0FBBC876">
      <w:pPr>
        <w:snapToGrid w:val="0"/>
        <w:spacing w:line="360" w:lineRule="auto"/>
        <w:jc w:val="center"/>
        <w:rPr>
          <w:rFonts w:ascii="宋体" w:hAnsi="宋体" w:cs="宋体"/>
          <w:b/>
          <w:color w:val="auto"/>
          <w:kern w:val="0"/>
          <w:sz w:val="32"/>
          <w:szCs w:val="32"/>
          <w:highlight w:val="none"/>
          <w:lang w:val="zh-CN"/>
        </w:rPr>
      </w:pPr>
    </w:p>
    <w:p w14:paraId="10AE037F">
      <w:pPr>
        <w:snapToGrid w:val="0"/>
        <w:spacing w:line="360" w:lineRule="auto"/>
        <w:jc w:val="center"/>
        <w:rPr>
          <w:rFonts w:ascii="宋体" w:hAnsi="宋体" w:cs="宋体"/>
          <w:b/>
          <w:color w:val="auto"/>
          <w:kern w:val="0"/>
          <w:sz w:val="32"/>
          <w:szCs w:val="32"/>
          <w:highlight w:val="none"/>
          <w:lang w:val="zh-CN"/>
        </w:rPr>
      </w:pPr>
    </w:p>
    <w:p w14:paraId="2669BF00">
      <w:pPr>
        <w:snapToGrid w:val="0"/>
        <w:spacing w:line="360" w:lineRule="auto"/>
        <w:jc w:val="center"/>
        <w:outlineLvl w:val="0"/>
        <w:rPr>
          <w:rFonts w:ascii="宋体" w:hAnsi="宋体" w:cs="宋体"/>
          <w:b/>
          <w:color w:val="auto"/>
          <w:kern w:val="0"/>
          <w:sz w:val="32"/>
          <w:szCs w:val="32"/>
          <w:highlight w:val="none"/>
        </w:rPr>
      </w:pPr>
    </w:p>
    <w:p w14:paraId="29EFD9BE">
      <w:pPr>
        <w:snapToGrid w:val="0"/>
        <w:spacing w:line="360" w:lineRule="auto"/>
        <w:jc w:val="center"/>
        <w:outlineLvl w:val="0"/>
        <w:rPr>
          <w:rFonts w:ascii="宋体" w:hAnsi="宋体" w:cs="宋体"/>
          <w:b/>
          <w:color w:val="auto"/>
          <w:kern w:val="0"/>
          <w:sz w:val="32"/>
          <w:szCs w:val="32"/>
          <w:highlight w:val="none"/>
        </w:rPr>
      </w:pPr>
    </w:p>
    <w:p w14:paraId="5913C873">
      <w:pPr>
        <w:pStyle w:val="22"/>
        <w:ind w:firstLine="0" w:firstLineChars="0"/>
        <w:jc w:val="center"/>
        <w:rPr>
          <w:color w:val="auto"/>
          <w:highlight w:val="none"/>
          <w:lang w:val="en-US"/>
        </w:rPr>
      </w:pPr>
    </w:p>
    <w:p w14:paraId="393FDF4C">
      <w:pPr>
        <w:pStyle w:val="22"/>
        <w:ind w:firstLine="0" w:firstLineChars="0"/>
        <w:jc w:val="center"/>
        <w:rPr>
          <w:color w:val="auto"/>
          <w:highlight w:val="none"/>
          <w:lang w:val="en-US"/>
        </w:rPr>
      </w:pPr>
    </w:p>
    <w:p w14:paraId="4A664A8A">
      <w:pPr>
        <w:pStyle w:val="22"/>
        <w:ind w:firstLine="0" w:firstLineChars="0"/>
        <w:jc w:val="center"/>
        <w:rPr>
          <w:color w:val="auto"/>
          <w:highlight w:val="none"/>
          <w:lang w:val="en-US"/>
        </w:rPr>
      </w:pPr>
    </w:p>
    <w:p w14:paraId="677EE737">
      <w:pPr>
        <w:pStyle w:val="22"/>
        <w:ind w:firstLine="0" w:firstLineChars="0"/>
        <w:jc w:val="center"/>
        <w:rPr>
          <w:color w:val="auto"/>
          <w:highlight w:val="none"/>
          <w:lang w:val="en-US"/>
        </w:rPr>
      </w:pPr>
    </w:p>
    <w:p w14:paraId="26402EE7">
      <w:pPr>
        <w:pStyle w:val="22"/>
        <w:ind w:firstLine="0" w:firstLineChars="0"/>
        <w:jc w:val="center"/>
        <w:rPr>
          <w:color w:val="auto"/>
          <w:highlight w:val="none"/>
          <w:lang w:val="en-US"/>
        </w:rPr>
      </w:pPr>
    </w:p>
    <w:p w14:paraId="083D7ED9">
      <w:pPr>
        <w:pStyle w:val="22"/>
        <w:ind w:firstLine="0" w:firstLineChars="0"/>
        <w:jc w:val="center"/>
        <w:rPr>
          <w:color w:val="auto"/>
          <w:highlight w:val="none"/>
          <w:lang w:val="en-US"/>
        </w:rPr>
      </w:pPr>
    </w:p>
    <w:p w14:paraId="1BF78F48">
      <w:pPr>
        <w:pStyle w:val="22"/>
        <w:ind w:firstLine="0" w:firstLineChars="0"/>
        <w:jc w:val="center"/>
        <w:rPr>
          <w:color w:val="auto"/>
          <w:highlight w:val="none"/>
          <w:lang w:val="en-US"/>
        </w:rPr>
      </w:pPr>
    </w:p>
    <w:p w14:paraId="496FCCD1">
      <w:pPr>
        <w:pStyle w:val="22"/>
        <w:ind w:firstLine="0" w:firstLineChars="0"/>
        <w:jc w:val="center"/>
        <w:rPr>
          <w:color w:val="auto"/>
          <w:highlight w:val="none"/>
          <w:lang w:val="en-US"/>
        </w:rPr>
      </w:pPr>
    </w:p>
    <w:p w14:paraId="2320A364">
      <w:pPr>
        <w:pStyle w:val="22"/>
        <w:ind w:firstLine="0" w:firstLineChars="0"/>
        <w:jc w:val="center"/>
        <w:rPr>
          <w:color w:val="auto"/>
          <w:highlight w:val="none"/>
          <w:lang w:val="en-US"/>
        </w:rPr>
      </w:pPr>
    </w:p>
    <w:p w14:paraId="600A8A6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58C29A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5E994C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我方参加你方组织的杭州市财经职业学校税费计算与申报精品课程资源开发采购项目【采购编号：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】采购的有关活动，并对此项目进行响应。为此：</w:t>
      </w:r>
    </w:p>
    <w:p w14:paraId="1F9D8C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68CAAD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809C8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1021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D217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8F89B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9B2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864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07E6A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D7F1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708D80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66ACB3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DE022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01DB4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4A08D7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FEE96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B367F3D">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3DF0D6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17DAB6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1DA29F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6C83D68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AA4C7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421D0F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2A4D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5B913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79763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4479F4">
      <w:pPr>
        <w:snapToGrid w:val="0"/>
        <w:spacing w:line="360" w:lineRule="auto"/>
        <w:ind w:left="420" w:leftChars="200" w:firstLine="4200" w:firstLineChars="1750"/>
        <w:rPr>
          <w:rFonts w:ascii="宋体" w:hAnsi="宋体" w:cs="宋体"/>
          <w:color w:val="auto"/>
          <w:kern w:val="0"/>
          <w:sz w:val="24"/>
          <w:highlight w:val="none"/>
          <w:u w:val="single"/>
        </w:rPr>
      </w:pPr>
    </w:p>
    <w:p w14:paraId="56F37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1209E8">
      <w:pPr>
        <w:snapToGrid w:val="0"/>
        <w:spacing w:line="360" w:lineRule="auto"/>
        <w:jc w:val="center"/>
        <w:rPr>
          <w:rFonts w:ascii="宋体" w:hAnsi="宋体" w:cs="宋体"/>
          <w:b/>
          <w:color w:val="auto"/>
          <w:kern w:val="0"/>
          <w:sz w:val="32"/>
          <w:szCs w:val="32"/>
          <w:highlight w:val="none"/>
        </w:rPr>
      </w:pPr>
    </w:p>
    <w:p w14:paraId="0FC52B97">
      <w:pPr>
        <w:snapToGrid w:val="0"/>
        <w:spacing w:line="360" w:lineRule="auto"/>
        <w:rPr>
          <w:rFonts w:ascii="宋体" w:hAnsi="宋体" w:cs="宋体"/>
          <w:color w:val="auto"/>
          <w:sz w:val="24"/>
          <w:highlight w:val="none"/>
        </w:rPr>
      </w:pPr>
    </w:p>
    <w:p w14:paraId="6EE59B06">
      <w:pPr>
        <w:jc w:val="center"/>
        <w:rPr>
          <w:rFonts w:ascii="宋体" w:hAnsi="宋体" w:cs="宋体"/>
          <w:b/>
          <w:color w:val="auto"/>
          <w:kern w:val="0"/>
          <w:sz w:val="32"/>
          <w:szCs w:val="32"/>
          <w:highlight w:val="none"/>
        </w:rPr>
      </w:pPr>
    </w:p>
    <w:p w14:paraId="4B86E9A9">
      <w:pPr>
        <w:jc w:val="center"/>
        <w:rPr>
          <w:rFonts w:ascii="宋体" w:hAnsi="宋体" w:cs="宋体"/>
          <w:b/>
          <w:color w:val="auto"/>
          <w:kern w:val="0"/>
          <w:sz w:val="32"/>
          <w:szCs w:val="32"/>
          <w:highlight w:val="none"/>
        </w:rPr>
      </w:pPr>
    </w:p>
    <w:p w14:paraId="747784AC">
      <w:pPr>
        <w:jc w:val="center"/>
        <w:rPr>
          <w:rFonts w:ascii="宋体" w:hAnsi="宋体" w:cs="宋体"/>
          <w:b/>
          <w:color w:val="auto"/>
          <w:kern w:val="0"/>
          <w:sz w:val="32"/>
          <w:szCs w:val="32"/>
          <w:highlight w:val="none"/>
        </w:rPr>
      </w:pPr>
    </w:p>
    <w:p w14:paraId="3D04A1DB">
      <w:pPr>
        <w:jc w:val="center"/>
        <w:rPr>
          <w:rFonts w:ascii="宋体" w:hAnsi="宋体" w:cs="宋体"/>
          <w:b/>
          <w:color w:val="auto"/>
          <w:kern w:val="0"/>
          <w:sz w:val="32"/>
          <w:szCs w:val="32"/>
          <w:highlight w:val="none"/>
        </w:rPr>
      </w:pPr>
    </w:p>
    <w:p w14:paraId="56BFD974">
      <w:pPr>
        <w:jc w:val="center"/>
        <w:rPr>
          <w:rFonts w:ascii="宋体" w:hAnsi="宋体" w:cs="宋体"/>
          <w:b/>
          <w:color w:val="auto"/>
          <w:kern w:val="0"/>
          <w:sz w:val="32"/>
          <w:szCs w:val="32"/>
          <w:highlight w:val="none"/>
        </w:rPr>
      </w:pPr>
    </w:p>
    <w:p w14:paraId="2BD14A35">
      <w:pPr>
        <w:jc w:val="center"/>
        <w:rPr>
          <w:rFonts w:ascii="宋体" w:hAnsi="宋体" w:cs="宋体"/>
          <w:b/>
          <w:color w:val="auto"/>
          <w:kern w:val="0"/>
          <w:sz w:val="32"/>
          <w:szCs w:val="32"/>
          <w:highlight w:val="none"/>
        </w:rPr>
      </w:pPr>
    </w:p>
    <w:p w14:paraId="46D711E9">
      <w:pPr>
        <w:jc w:val="center"/>
        <w:rPr>
          <w:rFonts w:ascii="宋体" w:hAnsi="宋体" w:cs="宋体"/>
          <w:b/>
          <w:color w:val="auto"/>
          <w:kern w:val="0"/>
          <w:sz w:val="32"/>
          <w:szCs w:val="32"/>
          <w:highlight w:val="none"/>
        </w:rPr>
      </w:pPr>
    </w:p>
    <w:p w14:paraId="45E1ED1E">
      <w:pPr>
        <w:jc w:val="center"/>
        <w:rPr>
          <w:rFonts w:ascii="宋体" w:hAnsi="宋体" w:cs="宋体"/>
          <w:b/>
          <w:color w:val="auto"/>
          <w:kern w:val="0"/>
          <w:sz w:val="32"/>
          <w:szCs w:val="32"/>
          <w:highlight w:val="none"/>
        </w:rPr>
      </w:pPr>
    </w:p>
    <w:p w14:paraId="31992E8D">
      <w:pPr>
        <w:jc w:val="center"/>
        <w:rPr>
          <w:rFonts w:ascii="宋体" w:hAnsi="宋体" w:cs="宋体"/>
          <w:b/>
          <w:color w:val="auto"/>
          <w:kern w:val="0"/>
          <w:sz w:val="32"/>
          <w:szCs w:val="32"/>
          <w:highlight w:val="none"/>
        </w:rPr>
      </w:pPr>
    </w:p>
    <w:p w14:paraId="157B2D94">
      <w:pPr>
        <w:jc w:val="center"/>
        <w:rPr>
          <w:rFonts w:ascii="宋体" w:hAnsi="宋体" w:cs="宋体"/>
          <w:b/>
          <w:color w:val="auto"/>
          <w:kern w:val="0"/>
          <w:sz w:val="32"/>
          <w:szCs w:val="32"/>
          <w:highlight w:val="none"/>
        </w:rPr>
      </w:pPr>
    </w:p>
    <w:p w14:paraId="136EE56E">
      <w:pPr>
        <w:jc w:val="center"/>
        <w:rPr>
          <w:rFonts w:ascii="宋体" w:hAnsi="宋体" w:cs="宋体"/>
          <w:b/>
          <w:color w:val="auto"/>
          <w:kern w:val="0"/>
          <w:sz w:val="32"/>
          <w:szCs w:val="32"/>
          <w:highlight w:val="none"/>
        </w:rPr>
      </w:pPr>
    </w:p>
    <w:p w14:paraId="05FCFFCE">
      <w:pPr>
        <w:jc w:val="center"/>
        <w:rPr>
          <w:rFonts w:ascii="宋体" w:hAnsi="宋体" w:cs="宋体"/>
          <w:b/>
          <w:color w:val="auto"/>
          <w:kern w:val="0"/>
          <w:sz w:val="32"/>
          <w:szCs w:val="32"/>
          <w:highlight w:val="none"/>
        </w:rPr>
      </w:pPr>
    </w:p>
    <w:p w14:paraId="396E515D">
      <w:pPr>
        <w:jc w:val="center"/>
        <w:rPr>
          <w:rFonts w:ascii="宋体" w:hAnsi="宋体" w:cs="宋体"/>
          <w:b/>
          <w:color w:val="auto"/>
          <w:kern w:val="0"/>
          <w:sz w:val="32"/>
          <w:szCs w:val="32"/>
          <w:highlight w:val="none"/>
        </w:rPr>
      </w:pPr>
    </w:p>
    <w:p w14:paraId="228EE8DA">
      <w:pPr>
        <w:jc w:val="center"/>
        <w:rPr>
          <w:rFonts w:ascii="宋体" w:hAnsi="宋体" w:cs="宋体"/>
          <w:b/>
          <w:color w:val="auto"/>
          <w:kern w:val="0"/>
          <w:sz w:val="32"/>
          <w:szCs w:val="32"/>
          <w:highlight w:val="none"/>
        </w:rPr>
      </w:pPr>
    </w:p>
    <w:p w14:paraId="421A5AE1">
      <w:pPr>
        <w:jc w:val="center"/>
        <w:rPr>
          <w:rFonts w:ascii="宋体" w:hAnsi="宋体" w:cs="宋体"/>
          <w:b/>
          <w:color w:val="auto"/>
          <w:kern w:val="0"/>
          <w:sz w:val="32"/>
          <w:szCs w:val="32"/>
          <w:highlight w:val="none"/>
        </w:rPr>
      </w:pPr>
    </w:p>
    <w:p w14:paraId="720AA68A">
      <w:pPr>
        <w:jc w:val="center"/>
        <w:rPr>
          <w:rFonts w:ascii="宋体" w:hAnsi="宋体" w:cs="宋体"/>
          <w:b/>
          <w:color w:val="auto"/>
          <w:kern w:val="0"/>
          <w:sz w:val="32"/>
          <w:szCs w:val="32"/>
          <w:highlight w:val="none"/>
        </w:rPr>
      </w:pPr>
    </w:p>
    <w:p w14:paraId="717538C7">
      <w:pPr>
        <w:jc w:val="center"/>
        <w:rPr>
          <w:rFonts w:ascii="宋体" w:hAnsi="宋体" w:cs="宋体"/>
          <w:b/>
          <w:color w:val="auto"/>
          <w:kern w:val="0"/>
          <w:sz w:val="32"/>
          <w:szCs w:val="32"/>
          <w:highlight w:val="none"/>
        </w:rPr>
      </w:pPr>
    </w:p>
    <w:p w14:paraId="353DBBCF">
      <w:pPr>
        <w:jc w:val="center"/>
        <w:rPr>
          <w:rFonts w:ascii="宋体" w:hAnsi="宋体" w:cs="宋体"/>
          <w:b/>
          <w:color w:val="auto"/>
          <w:kern w:val="0"/>
          <w:sz w:val="32"/>
          <w:szCs w:val="32"/>
          <w:highlight w:val="none"/>
        </w:rPr>
      </w:pPr>
    </w:p>
    <w:p w14:paraId="1E93579F">
      <w:pPr>
        <w:jc w:val="center"/>
        <w:rPr>
          <w:rFonts w:ascii="宋体" w:hAnsi="宋体" w:cs="宋体"/>
          <w:b/>
          <w:color w:val="auto"/>
          <w:kern w:val="0"/>
          <w:sz w:val="32"/>
          <w:szCs w:val="32"/>
          <w:highlight w:val="none"/>
        </w:rPr>
      </w:pPr>
    </w:p>
    <w:p w14:paraId="5DA59D5A">
      <w:pPr>
        <w:jc w:val="center"/>
        <w:rPr>
          <w:rFonts w:ascii="宋体" w:hAnsi="宋体" w:cs="宋体"/>
          <w:b/>
          <w:color w:val="auto"/>
          <w:kern w:val="0"/>
          <w:sz w:val="32"/>
          <w:szCs w:val="32"/>
          <w:highlight w:val="none"/>
        </w:rPr>
      </w:pPr>
    </w:p>
    <w:p w14:paraId="20ACDEE6">
      <w:pPr>
        <w:jc w:val="center"/>
        <w:rPr>
          <w:rFonts w:ascii="宋体" w:hAnsi="宋体" w:cs="宋体"/>
          <w:b/>
          <w:color w:val="auto"/>
          <w:kern w:val="0"/>
          <w:sz w:val="32"/>
          <w:szCs w:val="32"/>
          <w:highlight w:val="none"/>
        </w:rPr>
      </w:pPr>
    </w:p>
    <w:p w14:paraId="5B62D94B">
      <w:pPr>
        <w:jc w:val="center"/>
        <w:rPr>
          <w:rFonts w:ascii="宋体" w:hAnsi="宋体" w:cs="宋体"/>
          <w:b/>
          <w:color w:val="auto"/>
          <w:kern w:val="0"/>
          <w:sz w:val="32"/>
          <w:szCs w:val="32"/>
          <w:highlight w:val="none"/>
        </w:rPr>
      </w:pPr>
    </w:p>
    <w:p w14:paraId="15542326">
      <w:pPr>
        <w:jc w:val="center"/>
        <w:rPr>
          <w:rFonts w:ascii="宋体" w:hAnsi="宋体" w:cs="宋体"/>
          <w:b/>
          <w:color w:val="auto"/>
          <w:kern w:val="0"/>
          <w:sz w:val="32"/>
          <w:szCs w:val="32"/>
          <w:highlight w:val="none"/>
        </w:rPr>
      </w:pPr>
    </w:p>
    <w:p w14:paraId="32E091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1150C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76AFF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AD318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16CFCB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kern w:val="0"/>
          <w:sz w:val="24"/>
          <w:highlight w:val="none"/>
          <w:lang w:val="zh-CN"/>
        </w:rPr>
        <w:t>：</w:t>
      </w:r>
    </w:p>
    <w:p w14:paraId="7B40B94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），以我方名义处理杭州市财经职业学校税费计算与申报精品课程资源开发采购项目</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53BDF6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7A67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2DC1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6A37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0254961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735E843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76332E13">
      <w:pPr>
        <w:pStyle w:val="2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B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00D945">
            <w:pPr>
              <w:pStyle w:val="2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4A40AF">
            <w:pPr>
              <w:pStyle w:val="27"/>
              <w:adjustRightInd w:val="0"/>
              <w:spacing w:line="360" w:lineRule="auto"/>
              <w:rPr>
                <w:rFonts w:hAnsi="宋体" w:cs="宋体"/>
                <w:bCs/>
                <w:color w:val="auto"/>
                <w:sz w:val="24"/>
                <w:highlight w:val="none"/>
              </w:rPr>
            </w:pPr>
          </w:p>
        </w:tc>
      </w:tr>
    </w:tbl>
    <w:p w14:paraId="1E8863B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A3E82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F2042C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E89F6D">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106" w:right="1304" w:bottom="1134" w:left="1247" w:header="851" w:footer="992" w:gutter="0"/>
          <w:cols w:space="720" w:num="1"/>
          <w:titlePg/>
          <w:docGrid w:linePitch="312" w:charSpace="0"/>
        </w:sectPr>
      </w:pPr>
    </w:p>
    <w:p w14:paraId="40662E4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0F93F3FE">
      <w:pPr>
        <w:jc w:val="center"/>
        <w:rPr>
          <w:rFonts w:ascii="宋体" w:hAnsi="宋体" w:cs="宋体"/>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D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27E4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30062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B2F93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5FD7F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2B39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A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24F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B8EED6B">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79398F28">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424AB8D">
            <w:pPr>
              <w:rPr>
                <w:rFonts w:ascii="宋体" w:hAnsi="宋体" w:cs="宋体"/>
                <w:color w:val="auto"/>
                <w:sz w:val="24"/>
                <w:highlight w:val="none"/>
              </w:rPr>
            </w:pPr>
          </w:p>
          <w:p w14:paraId="15AE2127">
            <w:pPr>
              <w:rPr>
                <w:rFonts w:ascii="宋体" w:hAnsi="宋体" w:cs="宋体"/>
                <w:color w:val="auto"/>
                <w:sz w:val="24"/>
                <w:highlight w:val="none"/>
              </w:rPr>
            </w:pPr>
            <w:r>
              <w:rPr>
                <w:rFonts w:hint="eastAsia" w:ascii="宋体" w:hAnsi="宋体" w:cs="宋体"/>
                <w:color w:val="auto"/>
                <w:sz w:val="24"/>
                <w:highlight w:val="none"/>
              </w:rPr>
              <w:t>见响应文件</w:t>
            </w:r>
          </w:p>
          <w:p w14:paraId="4372FBB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E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EF3B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D7F903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2F189F1D">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447C54E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6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7C6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0DC8D4">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066ACE1">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B30D54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1FAA8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370C1E">
      <w:pPr>
        <w:jc w:val="center"/>
        <w:rPr>
          <w:rFonts w:ascii="宋体" w:hAnsi="宋体" w:cs="宋体"/>
          <w:b/>
          <w:color w:val="auto"/>
          <w:kern w:val="0"/>
          <w:sz w:val="32"/>
          <w:szCs w:val="32"/>
          <w:highlight w:val="none"/>
        </w:rPr>
      </w:pPr>
    </w:p>
    <w:p w14:paraId="03C88D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01F4783">
      <w:pPr>
        <w:jc w:val="center"/>
        <w:rPr>
          <w:rFonts w:ascii="宋体" w:hAnsi="宋体" w:cs="宋体"/>
          <w:b/>
          <w:color w:val="auto"/>
          <w:kern w:val="0"/>
          <w:sz w:val="32"/>
          <w:szCs w:val="32"/>
          <w:highlight w:val="none"/>
        </w:rPr>
      </w:pPr>
    </w:p>
    <w:p w14:paraId="5C9D6923">
      <w:pPr>
        <w:jc w:val="center"/>
        <w:rPr>
          <w:rFonts w:ascii="宋体" w:hAnsi="宋体" w:cs="宋体"/>
          <w:b/>
          <w:color w:val="auto"/>
          <w:kern w:val="0"/>
          <w:sz w:val="32"/>
          <w:szCs w:val="32"/>
          <w:highlight w:val="none"/>
        </w:rPr>
      </w:pPr>
    </w:p>
    <w:p w14:paraId="4BEB50FE">
      <w:pPr>
        <w:jc w:val="center"/>
        <w:rPr>
          <w:rFonts w:ascii="宋体" w:hAnsi="宋体" w:cs="宋体"/>
          <w:b/>
          <w:color w:val="auto"/>
          <w:kern w:val="0"/>
          <w:sz w:val="32"/>
          <w:szCs w:val="32"/>
          <w:highlight w:val="none"/>
        </w:rPr>
      </w:pPr>
    </w:p>
    <w:p w14:paraId="39A89D49">
      <w:pPr>
        <w:jc w:val="center"/>
        <w:rPr>
          <w:rFonts w:ascii="宋体" w:hAnsi="宋体" w:cs="宋体"/>
          <w:b/>
          <w:color w:val="auto"/>
          <w:kern w:val="0"/>
          <w:sz w:val="32"/>
          <w:szCs w:val="32"/>
          <w:highlight w:val="none"/>
        </w:rPr>
      </w:pPr>
    </w:p>
    <w:p w14:paraId="6C0C2A2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1A58F0">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311A1B4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418F927">
      <w:pPr>
        <w:jc w:val="center"/>
        <w:rPr>
          <w:rFonts w:ascii="宋体" w:hAnsi="宋体" w:cs="宋体"/>
          <w:b/>
          <w:color w:val="auto"/>
          <w:kern w:val="0"/>
          <w:sz w:val="32"/>
          <w:szCs w:val="32"/>
          <w:highlight w:val="none"/>
        </w:rPr>
      </w:pPr>
    </w:p>
    <w:p w14:paraId="19F9ECA4">
      <w:pPr>
        <w:jc w:val="center"/>
        <w:rPr>
          <w:rFonts w:ascii="宋体" w:hAnsi="宋体" w:cs="宋体"/>
          <w:b/>
          <w:color w:val="auto"/>
          <w:kern w:val="0"/>
          <w:sz w:val="32"/>
          <w:szCs w:val="32"/>
          <w:highlight w:val="none"/>
        </w:rPr>
      </w:pPr>
    </w:p>
    <w:p w14:paraId="6E77BECB">
      <w:pPr>
        <w:jc w:val="center"/>
        <w:rPr>
          <w:rFonts w:ascii="宋体" w:hAnsi="宋体" w:cs="宋体"/>
          <w:b/>
          <w:color w:val="auto"/>
          <w:kern w:val="0"/>
          <w:sz w:val="32"/>
          <w:szCs w:val="32"/>
          <w:highlight w:val="none"/>
        </w:rPr>
      </w:pPr>
    </w:p>
    <w:p w14:paraId="040BDFE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5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852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39B4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7D5C450">
            <w:pPr>
              <w:spacing w:line="360" w:lineRule="auto"/>
              <w:jc w:val="center"/>
              <w:rPr>
                <w:rFonts w:ascii="宋体" w:hAnsi="宋体" w:cs="宋体"/>
                <w:b/>
                <w:color w:val="auto"/>
                <w:sz w:val="24"/>
                <w:highlight w:val="none"/>
              </w:rPr>
            </w:pPr>
          </w:p>
          <w:p w14:paraId="2E057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0FB1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A8C8A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A4D5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8A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B41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CB855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EB614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24900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5A178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B4D9CB">
            <w:pPr>
              <w:spacing w:line="360" w:lineRule="auto"/>
              <w:jc w:val="center"/>
              <w:rPr>
                <w:rFonts w:ascii="宋体" w:hAnsi="宋体" w:cs="宋体"/>
                <w:color w:val="auto"/>
                <w:sz w:val="24"/>
                <w:highlight w:val="none"/>
              </w:rPr>
            </w:pPr>
          </w:p>
        </w:tc>
      </w:tr>
      <w:tr w14:paraId="233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DEC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4F434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D32E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20B2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062FF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4A4AD4">
            <w:pPr>
              <w:spacing w:line="360" w:lineRule="auto"/>
              <w:jc w:val="center"/>
              <w:rPr>
                <w:rFonts w:ascii="宋体" w:hAnsi="宋体" w:cs="宋体"/>
                <w:color w:val="auto"/>
                <w:sz w:val="24"/>
                <w:highlight w:val="none"/>
              </w:rPr>
            </w:pPr>
          </w:p>
        </w:tc>
      </w:tr>
      <w:tr w14:paraId="7C77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95E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5B56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8B7B9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D374F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D75C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12A0A8">
            <w:pPr>
              <w:spacing w:line="360" w:lineRule="auto"/>
              <w:jc w:val="center"/>
              <w:rPr>
                <w:rFonts w:ascii="宋体" w:hAnsi="宋体" w:cs="宋体"/>
                <w:color w:val="auto"/>
                <w:sz w:val="24"/>
                <w:highlight w:val="none"/>
              </w:rPr>
            </w:pPr>
          </w:p>
        </w:tc>
      </w:tr>
    </w:tbl>
    <w:p w14:paraId="2B1BFD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89371">
      <w:pPr>
        <w:jc w:val="center"/>
        <w:rPr>
          <w:rFonts w:ascii="宋体" w:hAnsi="宋体" w:cs="宋体"/>
          <w:b/>
          <w:color w:val="auto"/>
          <w:kern w:val="0"/>
          <w:sz w:val="32"/>
          <w:szCs w:val="32"/>
          <w:highlight w:val="none"/>
        </w:rPr>
      </w:pPr>
    </w:p>
    <w:p w14:paraId="39384876">
      <w:pPr>
        <w:jc w:val="center"/>
        <w:rPr>
          <w:rFonts w:ascii="宋体" w:hAnsi="宋体" w:cs="宋体"/>
          <w:b/>
          <w:color w:val="auto"/>
          <w:kern w:val="0"/>
          <w:sz w:val="32"/>
          <w:szCs w:val="32"/>
          <w:highlight w:val="none"/>
        </w:rPr>
      </w:pPr>
    </w:p>
    <w:p w14:paraId="1F1F6A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C0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CD81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59B6DD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63827F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9F9F66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79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D072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16C9EEC">
            <w:pPr>
              <w:jc w:val="center"/>
              <w:rPr>
                <w:rFonts w:ascii="宋体" w:hAnsi="宋体" w:cs="宋体"/>
                <w:b/>
                <w:color w:val="auto"/>
                <w:kern w:val="0"/>
                <w:sz w:val="32"/>
                <w:szCs w:val="32"/>
                <w:highlight w:val="none"/>
              </w:rPr>
            </w:pPr>
          </w:p>
        </w:tc>
        <w:tc>
          <w:tcPr>
            <w:tcW w:w="3546" w:type="dxa"/>
          </w:tcPr>
          <w:p w14:paraId="0E0318D4">
            <w:pPr>
              <w:jc w:val="center"/>
              <w:rPr>
                <w:rFonts w:ascii="宋体" w:hAnsi="宋体" w:cs="宋体"/>
                <w:b/>
                <w:color w:val="auto"/>
                <w:kern w:val="0"/>
                <w:sz w:val="32"/>
                <w:szCs w:val="32"/>
                <w:highlight w:val="none"/>
              </w:rPr>
            </w:pPr>
          </w:p>
        </w:tc>
        <w:tc>
          <w:tcPr>
            <w:tcW w:w="1276" w:type="dxa"/>
          </w:tcPr>
          <w:p w14:paraId="7C0427BF">
            <w:pPr>
              <w:jc w:val="center"/>
              <w:rPr>
                <w:rFonts w:ascii="宋体" w:hAnsi="宋体" w:cs="宋体"/>
                <w:b/>
                <w:color w:val="auto"/>
                <w:kern w:val="0"/>
                <w:sz w:val="32"/>
                <w:szCs w:val="32"/>
                <w:highlight w:val="none"/>
              </w:rPr>
            </w:pPr>
          </w:p>
        </w:tc>
      </w:tr>
      <w:tr w14:paraId="5645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FE7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281DBAA">
            <w:pPr>
              <w:jc w:val="center"/>
              <w:rPr>
                <w:rFonts w:ascii="宋体" w:hAnsi="宋体" w:cs="宋体"/>
                <w:b/>
                <w:color w:val="auto"/>
                <w:kern w:val="0"/>
                <w:sz w:val="32"/>
                <w:szCs w:val="32"/>
                <w:highlight w:val="none"/>
              </w:rPr>
            </w:pPr>
          </w:p>
        </w:tc>
        <w:tc>
          <w:tcPr>
            <w:tcW w:w="3546" w:type="dxa"/>
          </w:tcPr>
          <w:p w14:paraId="3416DBAB">
            <w:pPr>
              <w:jc w:val="center"/>
              <w:rPr>
                <w:rFonts w:ascii="宋体" w:hAnsi="宋体" w:cs="宋体"/>
                <w:b/>
                <w:color w:val="auto"/>
                <w:kern w:val="0"/>
                <w:sz w:val="32"/>
                <w:szCs w:val="32"/>
                <w:highlight w:val="none"/>
              </w:rPr>
            </w:pPr>
          </w:p>
        </w:tc>
        <w:tc>
          <w:tcPr>
            <w:tcW w:w="1276" w:type="dxa"/>
          </w:tcPr>
          <w:p w14:paraId="6851D248">
            <w:pPr>
              <w:jc w:val="center"/>
              <w:rPr>
                <w:rFonts w:ascii="宋体" w:hAnsi="宋体" w:cs="宋体"/>
                <w:b/>
                <w:color w:val="auto"/>
                <w:kern w:val="0"/>
                <w:sz w:val="32"/>
                <w:szCs w:val="32"/>
                <w:highlight w:val="none"/>
              </w:rPr>
            </w:pPr>
          </w:p>
        </w:tc>
      </w:tr>
      <w:tr w14:paraId="4744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01E5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960D90F">
            <w:pPr>
              <w:jc w:val="center"/>
              <w:rPr>
                <w:rFonts w:ascii="宋体" w:hAnsi="宋体" w:cs="宋体"/>
                <w:b/>
                <w:color w:val="auto"/>
                <w:kern w:val="0"/>
                <w:sz w:val="32"/>
                <w:szCs w:val="32"/>
                <w:highlight w:val="none"/>
              </w:rPr>
            </w:pPr>
          </w:p>
        </w:tc>
        <w:tc>
          <w:tcPr>
            <w:tcW w:w="3546" w:type="dxa"/>
          </w:tcPr>
          <w:p w14:paraId="29214BF7">
            <w:pPr>
              <w:jc w:val="center"/>
              <w:rPr>
                <w:rFonts w:ascii="宋体" w:hAnsi="宋体" w:cs="宋体"/>
                <w:b/>
                <w:color w:val="auto"/>
                <w:kern w:val="0"/>
                <w:sz w:val="32"/>
                <w:szCs w:val="32"/>
                <w:highlight w:val="none"/>
              </w:rPr>
            </w:pPr>
          </w:p>
        </w:tc>
        <w:tc>
          <w:tcPr>
            <w:tcW w:w="1276" w:type="dxa"/>
          </w:tcPr>
          <w:p w14:paraId="3C7940A4">
            <w:pPr>
              <w:jc w:val="center"/>
              <w:rPr>
                <w:rFonts w:ascii="宋体" w:hAnsi="宋体" w:cs="宋体"/>
                <w:b/>
                <w:color w:val="auto"/>
                <w:kern w:val="0"/>
                <w:sz w:val="32"/>
                <w:szCs w:val="32"/>
                <w:highlight w:val="none"/>
              </w:rPr>
            </w:pPr>
          </w:p>
        </w:tc>
      </w:tr>
    </w:tbl>
    <w:p w14:paraId="596D7A62">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6E6092E">
      <w:pPr>
        <w:jc w:val="center"/>
        <w:rPr>
          <w:rFonts w:ascii="宋体" w:hAnsi="宋体" w:cs="宋体"/>
          <w:b/>
          <w:color w:val="auto"/>
          <w:kern w:val="0"/>
          <w:sz w:val="32"/>
          <w:szCs w:val="32"/>
          <w:highlight w:val="none"/>
        </w:rPr>
      </w:pPr>
    </w:p>
    <w:p w14:paraId="6B6BC2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C4758">
      <w:pPr>
        <w:ind w:firstLine="1911" w:firstLineChars="595"/>
        <w:rPr>
          <w:rFonts w:ascii="宋体" w:hAnsi="宋体" w:cs="宋体"/>
          <w:b/>
          <w:bCs/>
          <w:color w:val="auto"/>
          <w:sz w:val="32"/>
          <w:szCs w:val="32"/>
          <w:highlight w:val="none"/>
        </w:rPr>
      </w:pPr>
    </w:p>
    <w:p w14:paraId="521D47DB">
      <w:pPr>
        <w:ind w:firstLine="1911" w:firstLineChars="595"/>
        <w:rPr>
          <w:rFonts w:ascii="宋体" w:hAnsi="宋体" w:cs="宋体"/>
          <w:b/>
          <w:bCs/>
          <w:color w:val="auto"/>
          <w:sz w:val="32"/>
          <w:szCs w:val="32"/>
          <w:highlight w:val="none"/>
        </w:rPr>
      </w:pPr>
    </w:p>
    <w:p w14:paraId="31EBF859">
      <w:pPr>
        <w:ind w:firstLine="1911" w:firstLineChars="595"/>
        <w:rPr>
          <w:rFonts w:ascii="宋体" w:hAnsi="宋体" w:cs="宋体"/>
          <w:b/>
          <w:bCs/>
          <w:color w:val="auto"/>
          <w:sz w:val="32"/>
          <w:szCs w:val="32"/>
          <w:highlight w:val="none"/>
        </w:rPr>
      </w:pPr>
    </w:p>
    <w:p w14:paraId="5D742422">
      <w:pPr>
        <w:ind w:firstLine="1911" w:firstLineChars="595"/>
        <w:rPr>
          <w:rFonts w:ascii="宋体" w:hAnsi="宋体" w:cs="宋体"/>
          <w:b/>
          <w:bCs/>
          <w:color w:val="auto"/>
          <w:sz w:val="32"/>
          <w:szCs w:val="32"/>
          <w:highlight w:val="none"/>
        </w:rPr>
      </w:pPr>
    </w:p>
    <w:p w14:paraId="465D80DA">
      <w:pPr>
        <w:ind w:firstLine="1911" w:firstLineChars="595"/>
        <w:rPr>
          <w:rFonts w:ascii="宋体" w:hAnsi="宋体" w:cs="宋体"/>
          <w:b/>
          <w:bCs/>
          <w:color w:val="auto"/>
          <w:sz w:val="32"/>
          <w:szCs w:val="32"/>
          <w:highlight w:val="none"/>
        </w:rPr>
      </w:pPr>
    </w:p>
    <w:p w14:paraId="5A04C6B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164E487">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15383524">
      <w:pPr>
        <w:snapToGrid w:val="0"/>
        <w:spacing w:line="360" w:lineRule="auto"/>
        <w:rPr>
          <w:rFonts w:ascii="宋体" w:hAnsi="宋体" w:cs="宋体"/>
          <w:color w:val="auto"/>
          <w:sz w:val="24"/>
          <w:highlight w:val="none"/>
        </w:rPr>
      </w:pPr>
    </w:p>
    <w:p w14:paraId="0D4FB2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557E6F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5DB4BB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7C82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D3DD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990C9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8A6BAD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365BE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8DCADA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EB6CA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A6D0C">
      <w:pPr>
        <w:autoSpaceDE w:val="0"/>
        <w:autoSpaceDN w:val="0"/>
        <w:spacing w:line="360" w:lineRule="auto"/>
        <w:ind w:left="2"/>
        <w:jc w:val="left"/>
        <w:rPr>
          <w:rFonts w:ascii="宋体" w:hAnsi="宋体" w:cs="宋体"/>
          <w:color w:val="auto"/>
          <w:kern w:val="0"/>
          <w:sz w:val="24"/>
          <w:highlight w:val="none"/>
          <w:lang w:val="zh-CN"/>
        </w:rPr>
      </w:pPr>
    </w:p>
    <w:p w14:paraId="090793D1">
      <w:pPr>
        <w:autoSpaceDE w:val="0"/>
        <w:autoSpaceDN w:val="0"/>
        <w:spacing w:line="360" w:lineRule="auto"/>
        <w:ind w:left="2"/>
        <w:jc w:val="left"/>
        <w:rPr>
          <w:rFonts w:ascii="宋体" w:hAnsi="宋体" w:cs="宋体"/>
          <w:color w:val="auto"/>
          <w:kern w:val="0"/>
          <w:sz w:val="24"/>
          <w:highlight w:val="none"/>
          <w:lang w:val="zh-CN"/>
        </w:rPr>
      </w:pPr>
    </w:p>
    <w:p w14:paraId="450720EB">
      <w:pPr>
        <w:autoSpaceDE w:val="0"/>
        <w:autoSpaceDN w:val="0"/>
        <w:spacing w:line="360" w:lineRule="auto"/>
        <w:ind w:left="2"/>
        <w:jc w:val="left"/>
        <w:rPr>
          <w:rFonts w:ascii="宋体" w:hAnsi="宋体" w:cs="宋体"/>
          <w:color w:val="auto"/>
          <w:kern w:val="0"/>
          <w:sz w:val="24"/>
          <w:highlight w:val="none"/>
          <w:lang w:val="zh-CN"/>
        </w:rPr>
      </w:pPr>
    </w:p>
    <w:p w14:paraId="0BA0BA8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F2F24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81289D0">
      <w:pPr>
        <w:spacing w:line="360" w:lineRule="auto"/>
        <w:jc w:val="center"/>
        <w:rPr>
          <w:rFonts w:ascii="宋体" w:hAnsi="宋体" w:cs="宋体"/>
          <w:b/>
          <w:bCs/>
          <w:color w:val="auto"/>
          <w:sz w:val="24"/>
          <w:highlight w:val="none"/>
        </w:rPr>
      </w:pPr>
    </w:p>
    <w:p w14:paraId="0FAB69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D9D099">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D784B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C126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D375BA">
      <w:pPr>
        <w:spacing w:line="360" w:lineRule="auto"/>
        <w:jc w:val="center"/>
        <w:outlineLvl w:val="0"/>
        <w:rPr>
          <w:rFonts w:ascii="宋体" w:hAnsi="宋体" w:cs="宋体"/>
          <w:b/>
          <w:color w:val="auto"/>
          <w:kern w:val="0"/>
          <w:sz w:val="36"/>
          <w:szCs w:val="36"/>
          <w:highlight w:val="none"/>
        </w:rPr>
      </w:pPr>
    </w:p>
    <w:p w14:paraId="764CAEB6">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B535CE5">
      <w:pPr>
        <w:numPr>
          <w:ilvl w:val="0"/>
          <w:numId w:val="2"/>
        </w:numPr>
        <w:snapToGrid w:val="0"/>
        <w:spacing w:line="360" w:lineRule="auto"/>
        <w:rPr>
          <w:rFonts w:ascii="宋体" w:hAnsi="宋体" w:cs="宋体"/>
          <w:color w:val="auto"/>
          <w:sz w:val="24"/>
          <w:highlight w:val="none"/>
        </w:rPr>
      </w:pP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E54AD0D">
      <w:pPr>
        <w:pStyle w:val="21"/>
        <w:numPr>
          <w:ilvl w:val="0"/>
          <w:numId w:val="2"/>
        </w:numPr>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中小企业声明函………………………………………………………………（页码）</w:t>
      </w:r>
    </w:p>
    <w:p w14:paraId="03BDE663">
      <w:pPr>
        <w:pStyle w:val="22"/>
        <w:ind w:firstLine="480"/>
        <w:rPr>
          <w:rFonts w:ascii="Times New Roman" w:eastAsia="宋体"/>
          <w:bCs/>
          <w:snapToGrid w:val="0"/>
          <w:color w:val="auto"/>
          <w:sz w:val="24"/>
          <w:szCs w:val="24"/>
          <w:highlight w:val="none"/>
          <w:lang w:val="en-US"/>
        </w:rPr>
      </w:pPr>
    </w:p>
    <w:p w14:paraId="6C3E06A9">
      <w:pPr>
        <w:snapToGrid w:val="0"/>
        <w:spacing w:line="360" w:lineRule="auto"/>
        <w:ind w:right="480"/>
        <w:jc w:val="center"/>
        <w:rPr>
          <w:rFonts w:ascii="宋体" w:hAnsi="宋体" w:cs="宋体"/>
          <w:b/>
          <w:color w:val="auto"/>
          <w:kern w:val="0"/>
          <w:sz w:val="32"/>
          <w:szCs w:val="32"/>
          <w:highlight w:val="none"/>
        </w:rPr>
      </w:pPr>
    </w:p>
    <w:p w14:paraId="66B986A6">
      <w:pPr>
        <w:snapToGrid w:val="0"/>
        <w:spacing w:line="360" w:lineRule="auto"/>
        <w:ind w:right="480"/>
        <w:jc w:val="center"/>
        <w:rPr>
          <w:rFonts w:ascii="宋体" w:hAnsi="宋体" w:cs="宋体"/>
          <w:b/>
          <w:color w:val="auto"/>
          <w:kern w:val="0"/>
          <w:sz w:val="32"/>
          <w:szCs w:val="32"/>
          <w:highlight w:val="none"/>
        </w:rPr>
      </w:pPr>
    </w:p>
    <w:p w14:paraId="0D2C73F3">
      <w:pPr>
        <w:snapToGrid w:val="0"/>
        <w:spacing w:line="360" w:lineRule="auto"/>
        <w:ind w:right="480"/>
        <w:jc w:val="center"/>
        <w:rPr>
          <w:rFonts w:ascii="宋体" w:hAnsi="宋体" w:cs="宋体"/>
          <w:b/>
          <w:color w:val="auto"/>
          <w:kern w:val="0"/>
          <w:sz w:val="32"/>
          <w:szCs w:val="32"/>
          <w:highlight w:val="none"/>
        </w:rPr>
      </w:pPr>
    </w:p>
    <w:p w14:paraId="2D35F936">
      <w:pPr>
        <w:snapToGrid w:val="0"/>
        <w:spacing w:line="360" w:lineRule="auto"/>
        <w:ind w:right="480"/>
        <w:jc w:val="center"/>
        <w:rPr>
          <w:rFonts w:ascii="宋体" w:hAnsi="宋体" w:cs="宋体"/>
          <w:b/>
          <w:color w:val="auto"/>
          <w:kern w:val="0"/>
          <w:sz w:val="32"/>
          <w:szCs w:val="32"/>
          <w:highlight w:val="none"/>
        </w:rPr>
      </w:pPr>
    </w:p>
    <w:p w14:paraId="636F5526">
      <w:pPr>
        <w:snapToGrid w:val="0"/>
        <w:spacing w:line="360" w:lineRule="auto"/>
        <w:ind w:right="480"/>
        <w:jc w:val="center"/>
        <w:rPr>
          <w:rFonts w:ascii="宋体" w:hAnsi="宋体" w:cs="宋体"/>
          <w:b/>
          <w:color w:val="auto"/>
          <w:kern w:val="0"/>
          <w:sz w:val="32"/>
          <w:szCs w:val="32"/>
          <w:highlight w:val="none"/>
        </w:rPr>
      </w:pPr>
    </w:p>
    <w:p w14:paraId="08ED34B9">
      <w:pPr>
        <w:snapToGrid w:val="0"/>
        <w:spacing w:line="360" w:lineRule="auto"/>
        <w:ind w:right="480"/>
        <w:jc w:val="center"/>
        <w:rPr>
          <w:rFonts w:ascii="宋体" w:hAnsi="宋体" w:cs="宋体"/>
          <w:b/>
          <w:color w:val="auto"/>
          <w:kern w:val="0"/>
          <w:sz w:val="32"/>
          <w:szCs w:val="32"/>
          <w:highlight w:val="none"/>
        </w:rPr>
      </w:pPr>
    </w:p>
    <w:p w14:paraId="582431A1">
      <w:pPr>
        <w:snapToGrid w:val="0"/>
        <w:spacing w:line="360" w:lineRule="auto"/>
        <w:ind w:right="480"/>
        <w:jc w:val="center"/>
        <w:rPr>
          <w:rFonts w:ascii="宋体" w:hAnsi="宋体" w:cs="宋体"/>
          <w:b/>
          <w:color w:val="auto"/>
          <w:kern w:val="0"/>
          <w:sz w:val="32"/>
          <w:szCs w:val="32"/>
          <w:highlight w:val="none"/>
        </w:rPr>
      </w:pPr>
    </w:p>
    <w:p w14:paraId="44A39C83">
      <w:pPr>
        <w:snapToGrid w:val="0"/>
        <w:spacing w:line="360" w:lineRule="auto"/>
        <w:ind w:right="480"/>
        <w:jc w:val="center"/>
        <w:rPr>
          <w:rFonts w:ascii="宋体" w:hAnsi="宋体" w:cs="宋体"/>
          <w:b/>
          <w:color w:val="auto"/>
          <w:kern w:val="0"/>
          <w:sz w:val="32"/>
          <w:szCs w:val="32"/>
          <w:highlight w:val="none"/>
        </w:rPr>
      </w:pPr>
    </w:p>
    <w:p w14:paraId="3BD5F718">
      <w:pPr>
        <w:snapToGrid w:val="0"/>
        <w:spacing w:line="360" w:lineRule="auto"/>
        <w:ind w:right="480"/>
        <w:jc w:val="center"/>
        <w:rPr>
          <w:rFonts w:ascii="宋体" w:hAnsi="宋体" w:cs="宋体"/>
          <w:b/>
          <w:color w:val="auto"/>
          <w:kern w:val="0"/>
          <w:sz w:val="32"/>
          <w:szCs w:val="32"/>
          <w:highlight w:val="none"/>
        </w:rPr>
      </w:pPr>
    </w:p>
    <w:p w14:paraId="3843C871">
      <w:pPr>
        <w:snapToGrid w:val="0"/>
        <w:spacing w:line="360" w:lineRule="auto"/>
        <w:ind w:right="480"/>
        <w:jc w:val="center"/>
        <w:rPr>
          <w:rFonts w:ascii="宋体" w:hAnsi="宋体" w:cs="宋体"/>
          <w:b/>
          <w:color w:val="auto"/>
          <w:kern w:val="0"/>
          <w:sz w:val="32"/>
          <w:szCs w:val="32"/>
          <w:highlight w:val="none"/>
        </w:rPr>
      </w:pPr>
    </w:p>
    <w:p w14:paraId="4564D888">
      <w:pPr>
        <w:snapToGrid w:val="0"/>
        <w:spacing w:line="360" w:lineRule="auto"/>
        <w:ind w:right="480"/>
        <w:jc w:val="center"/>
        <w:rPr>
          <w:rFonts w:ascii="宋体" w:hAnsi="宋体" w:cs="宋体"/>
          <w:b/>
          <w:color w:val="auto"/>
          <w:kern w:val="0"/>
          <w:sz w:val="32"/>
          <w:szCs w:val="32"/>
          <w:highlight w:val="none"/>
        </w:rPr>
      </w:pPr>
    </w:p>
    <w:p w14:paraId="224A6D84">
      <w:pPr>
        <w:snapToGrid w:val="0"/>
        <w:spacing w:line="360" w:lineRule="auto"/>
        <w:ind w:right="480"/>
        <w:jc w:val="center"/>
        <w:rPr>
          <w:rFonts w:ascii="宋体" w:hAnsi="宋体" w:cs="宋体"/>
          <w:b/>
          <w:color w:val="auto"/>
          <w:kern w:val="0"/>
          <w:sz w:val="32"/>
          <w:szCs w:val="32"/>
          <w:highlight w:val="none"/>
        </w:rPr>
      </w:pPr>
    </w:p>
    <w:p w14:paraId="2175B632">
      <w:pPr>
        <w:snapToGrid w:val="0"/>
        <w:spacing w:line="360" w:lineRule="auto"/>
        <w:ind w:right="480"/>
        <w:jc w:val="center"/>
        <w:rPr>
          <w:rFonts w:ascii="宋体" w:hAnsi="宋体" w:cs="宋体"/>
          <w:b/>
          <w:color w:val="auto"/>
          <w:kern w:val="0"/>
          <w:sz w:val="32"/>
          <w:szCs w:val="32"/>
          <w:highlight w:val="none"/>
        </w:rPr>
      </w:pPr>
    </w:p>
    <w:p w14:paraId="27A361EC">
      <w:pPr>
        <w:snapToGrid w:val="0"/>
        <w:spacing w:line="360" w:lineRule="auto"/>
        <w:ind w:right="480"/>
        <w:jc w:val="center"/>
        <w:rPr>
          <w:rFonts w:ascii="宋体" w:hAnsi="宋体" w:cs="宋体"/>
          <w:b/>
          <w:color w:val="auto"/>
          <w:kern w:val="0"/>
          <w:sz w:val="32"/>
          <w:szCs w:val="32"/>
          <w:highlight w:val="none"/>
        </w:rPr>
      </w:pPr>
    </w:p>
    <w:p w14:paraId="1379B009">
      <w:pPr>
        <w:snapToGrid w:val="0"/>
        <w:spacing w:line="360" w:lineRule="auto"/>
        <w:ind w:right="480"/>
        <w:jc w:val="center"/>
        <w:rPr>
          <w:rFonts w:ascii="宋体" w:hAnsi="宋体" w:cs="宋体"/>
          <w:b/>
          <w:color w:val="auto"/>
          <w:kern w:val="0"/>
          <w:sz w:val="32"/>
          <w:szCs w:val="32"/>
          <w:highlight w:val="none"/>
        </w:rPr>
      </w:pPr>
    </w:p>
    <w:p w14:paraId="5E304245">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E0A36D">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30E1E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sz w:val="24"/>
          <w:highlight w:val="none"/>
          <w:lang w:val="zh-CN"/>
        </w:rPr>
        <w:t>：</w:t>
      </w:r>
    </w:p>
    <w:p w14:paraId="45D1DE8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（报价表）的价格完成杭州市财经职业学校税费计算与申报精品课程资源开发采购项目【采购编号：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C55FF2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63D96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B5E68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3812BCC">
            <w:pPr>
              <w:spacing w:line="360" w:lineRule="auto"/>
              <w:jc w:val="center"/>
              <w:rPr>
                <w:rFonts w:ascii="宋体" w:hAnsi="宋体" w:cs="宋体"/>
                <w:b/>
                <w:color w:val="auto"/>
                <w:sz w:val="24"/>
                <w:highlight w:val="none"/>
              </w:rPr>
            </w:pPr>
          </w:p>
          <w:p w14:paraId="5C315F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D34CC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2F3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E30A9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C1305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392A13B">
            <w:pPr>
              <w:spacing w:line="360" w:lineRule="auto"/>
              <w:jc w:val="center"/>
              <w:rPr>
                <w:rFonts w:ascii="宋体" w:hAnsi="宋体" w:cs="宋体"/>
                <w:b/>
                <w:color w:val="auto"/>
                <w:sz w:val="24"/>
                <w:highlight w:val="none"/>
              </w:rPr>
            </w:pPr>
          </w:p>
          <w:p w14:paraId="3F3CDC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D6B28E">
            <w:pPr>
              <w:spacing w:line="360" w:lineRule="auto"/>
              <w:jc w:val="center"/>
              <w:rPr>
                <w:rFonts w:ascii="宋体" w:hAnsi="宋体" w:cs="宋体"/>
                <w:b/>
                <w:color w:val="auto"/>
                <w:sz w:val="24"/>
                <w:highlight w:val="none"/>
              </w:rPr>
            </w:pPr>
          </w:p>
        </w:tc>
      </w:tr>
      <w:tr w14:paraId="7C0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E905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2241256">
            <w:pPr>
              <w:snapToGrid w:val="0"/>
              <w:spacing w:line="360" w:lineRule="auto"/>
              <w:jc w:val="center"/>
              <w:rPr>
                <w:rFonts w:ascii="宋体" w:hAnsi="宋体" w:cs="宋体"/>
                <w:color w:val="auto"/>
                <w:sz w:val="24"/>
                <w:highlight w:val="none"/>
              </w:rPr>
            </w:pPr>
          </w:p>
        </w:tc>
        <w:tc>
          <w:tcPr>
            <w:tcW w:w="1843" w:type="dxa"/>
            <w:vAlign w:val="center"/>
          </w:tcPr>
          <w:p w14:paraId="63D675BA">
            <w:pPr>
              <w:snapToGrid w:val="0"/>
              <w:spacing w:line="360" w:lineRule="auto"/>
              <w:jc w:val="center"/>
              <w:rPr>
                <w:rFonts w:ascii="宋体" w:hAnsi="宋体" w:cs="宋体"/>
                <w:color w:val="auto"/>
                <w:sz w:val="24"/>
                <w:highlight w:val="none"/>
              </w:rPr>
            </w:pPr>
          </w:p>
        </w:tc>
        <w:tc>
          <w:tcPr>
            <w:tcW w:w="3118" w:type="dxa"/>
            <w:vAlign w:val="center"/>
          </w:tcPr>
          <w:p w14:paraId="5A2DDE67">
            <w:pPr>
              <w:snapToGrid w:val="0"/>
              <w:spacing w:line="360" w:lineRule="auto"/>
              <w:jc w:val="center"/>
              <w:rPr>
                <w:rFonts w:ascii="宋体" w:hAnsi="宋体" w:cs="宋体"/>
                <w:color w:val="auto"/>
                <w:sz w:val="24"/>
                <w:highlight w:val="none"/>
              </w:rPr>
            </w:pPr>
          </w:p>
        </w:tc>
        <w:tc>
          <w:tcPr>
            <w:tcW w:w="993" w:type="dxa"/>
            <w:vAlign w:val="center"/>
          </w:tcPr>
          <w:p w14:paraId="45EC591F">
            <w:pPr>
              <w:snapToGrid w:val="0"/>
              <w:spacing w:line="360" w:lineRule="auto"/>
              <w:jc w:val="center"/>
              <w:rPr>
                <w:rFonts w:ascii="宋体" w:hAnsi="宋体" w:cs="宋体"/>
                <w:color w:val="auto"/>
                <w:sz w:val="24"/>
                <w:highlight w:val="none"/>
              </w:rPr>
            </w:pPr>
          </w:p>
        </w:tc>
        <w:tc>
          <w:tcPr>
            <w:tcW w:w="1559" w:type="dxa"/>
            <w:vAlign w:val="center"/>
          </w:tcPr>
          <w:p w14:paraId="1F3930FD">
            <w:pPr>
              <w:spacing w:line="360" w:lineRule="auto"/>
              <w:jc w:val="center"/>
              <w:rPr>
                <w:rFonts w:ascii="宋体" w:hAnsi="宋体" w:cs="宋体"/>
                <w:color w:val="auto"/>
                <w:sz w:val="24"/>
                <w:highlight w:val="none"/>
              </w:rPr>
            </w:pPr>
          </w:p>
        </w:tc>
        <w:tc>
          <w:tcPr>
            <w:tcW w:w="1984" w:type="dxa"/>
            <w:vAlign w:val="center"/>
          </w:tcPr>
          <w:p w14:paraId="434B1F13">
            <w:pPr>
              <w:spacing w:line="360" w:lineRule="auto"/>
              <w:jc w:val="center"/>
              <w:rPr>
                <w:rFonts w:ascii="宋体" w:hAnsi="宋体" w:cs="宋体"/>
                <w:color w:val="auto"/>
                <w:sz w:val="24"/>
                <w:highlight w:val="none"/>
              </w:rPr>
            </w:pPr>
          </w:p>
        </w:tc>
        <w:tc>
          <w:tcPr>
            <w:tcW w:w="3119" w:type="dxa"/>
            <w:vAlign w:val="center"/>
          </w:tcPr>
          <w:p w14:paraId="197E189A">
            <w:pPr>
              <w:spacing w:line="360" w:lineRule="auto"/>
              <w:jc w:val="center"/>
              <w:rPr>
                <w:rFonts w:ascii="宋体" w:hAnsi="宋体" w:cs="宋体"/>
                <w:color w:val="auto"/>
                <w:sz w:val="24"/>
                <w:highlight w:val="none"/>
              </w:rPr>
            </w:pPr>
          </w:p>
        </w:tc>
      </w:tr>
      <w:tr w14:paraId="45E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47F6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C189769">
            <w:pPr>
              <w:snapToGrid w:val="0"/>
              <w:spacing w:line="360" w:lineRule="auto"/>
              <w:jc w:val="center"/>
              <w:rPr>
                <w:rFonts w:ascii="宋体" w:hAnsi="宋体" w:cs="宋体"/>
                <w:color w:val="auto"/>
                <w:sz w:val="24"/>
                <w:highlight w:val="none"/>
              </w:rPr>
            </w:pPr>
          </w:p>
        </w:tc>
        <w:tc>
          <w:tcPr>
            <w:tcW w:w="1843" w:type="dxa"/>
            <w:vAlign w:val="center"/>
          </w:tcPr>
          <w:p w14:paraId="588FB125">
            <w:pPr>
              <w:snapToGrid w:val="0"/>
              <w:spacing w:line="360" w:lineRule="auto"/>
              <w:jc w:val="center"/>
              <w:rPr>
                <w:rFonts w:ascii="宋体" w:hAnsi="宋体" w:cs="宋体"/>
                <w:color w:val="auto"/>
                <w:sz w:val="24"/>
                <w:highlight w:val="none"/>
              </w:rPr>
            </w:pPr>
          </w:p>
        </w:tc>
        <w:tc>
          <w:tcPr>
            <w:tcW w:w="3118" w:type="dxa"/>
            <w:vAlign w:val="center"/>
          </w:tcPr>
          <w:p w14:paraId="2BDAD7F5">
            <w:pPr>
              <w:snapToGrid w:val="0"/>
              <w:spacing w:line="360" w:lineRule="auto"/>
              <w:jc w:val="center"/>
              <w:rPr>
                <w:rFonts w:ascii="宋体" w:hAnsi="宋体" w:cs="宋体"/>
                <w:color w:val="auto"/>
                <w:sz w:val="24"/>
                <w:highlight w:val="none"/>
              </w:rPr>
            </w:pPr>
          </w:p>
        </w:tc>
        <w:tc>
          <w:tcPr>
            <w:tcW w:w="993" w:type="dxa"/>
            <w:vAlign w:val="center"/>
          </w:tcPr>
          <w:p w14:paraId="5423E28E">
            <w:pPr>
              <w:snapToGrid w:val="0"/>
              <w:spacing w:line="360" w:lineRule="auto"/>
              <w:jc w:val="center"/>
              <w:rPr>
                <w:rFonts w:ascii="宋体" w:hAnsi="宋体" w:cs="宋体"/>
                <w:color w:val="auto"/>
                <w:sz w:val="24"/>
                <w:highlight w:val="none"/>
              </w:rPr>
            </w:pPr>
          </w:p>
        </w:tc>
        <w:tc>
          <w:tcPr>
            <w:tcW w:w="1559" w:type="dxa"/>
            <w:vAlign w:val="center"/>
          </w:tcPr>
          <w:p w14:paraId="202102E5">
            <w:pPr>
              <w:spacing w:line="360" w:lineRule="auto"/>
              <w:jc w:val="center"/>
              <w:rPr>
                <w:rFonts w:ascii="宋体" w:hAnsi="宋体" w:cs="宋体"/>
                <w:color w:val="auto"/>
                <w:sz w:val="24"/>
                <w:highlight w:val="none"/>
              </w:rPr>
            </w:pPr>
          </w:p>
        </w:tc>
        <w:tc>
          <w:tcPr>
            <w:tcW w:w="1984" w:type="dxa"/>
            <w:vAlign w:val="center"/>
          </w:tcPr>
          <w:p w14:paraId="154E621B">
            <w:pPr>
              <w:spacing w:line="360" w:lineRule="auto"/>
              <w:jc w:val="center"/>
              <w:rPr>
                <w:rFonts w:ascii="宋体" w:hAnsi="宋体" w:cs="宋体"/>
                <w:color w:val="auto"/>
                <w:sz w:val="24"/>
                <w:highlight w:val="none"/>
              </w:rPr>
            </w:pPr>
          </w:p>
        </w:tc>
        <w:tc>
          <w:tcPr>
            <w:tcW w:w="3119" w:type="dxa"/>
            <w:vAlign w:val="center"/>
          </w:tcPr>
          <w:p w14:paraId="6AEDA793">
            <w:pPr>
              <w:spacing w:line="360" w:lineRule="auto"/>
              <w:jc w:val="center"/>
              <w:rPr>
                <w:rFonts w:ascii="宋体" w:hAnsi="宋体" w:cs="宋体"/>
                <w:color w:val="auto"/>
                <w:sz w:val="24"/>
                <w:highlight w:val="none"/>
              </w:rPr>
            </w:pPr>
          </w:p>
        </w:tc>
      </w:tr>
      <w:tr w14:paraId="07AD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0EC2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8D1C2FF">
            <w:pPr>
              <w:snapToGrid w:val="0"/>
              <w:spacing w:line="360" w:lineRule="auto"/>
              <w:jc w:val="center"/>
              <w:rPr>
                <w:rFonts w:ascii="宋体" w:hAnsi="宋体" w:cs="宋体"/>
                <w:color w:val="auto"/>
                <w:sz w:val="24"/>
                <w:highlight w:val="none"/>
              </w:rPr>
            </w:pPr>
          </w:p>
        </w:tc>
        <w:tc>
          <w:tcPr>
            <w:tcW w:w="1843" w:type="dxa"/>
            <w:vAlign w:val="center"/>
          </w:tcPr>
          <w:p w14:paraId="72ACAA04">
            <w:pPr>
              <w:snapToGrid w:val="0"/>
              <w:spacing w:line="360" w:lineRule="auto"/>
              <w:jc w:val="center"/>
              <w:rPr>
                <w:rFonts w:ascii="宋体" w:hAnsi="宋体" w:cs="宋体"/>
                <w:color w:val="auto"/>
                <w:sz w:val="24"/>
                <w:highlight w:val="none"/>
              </w:rPr>
            </w:pPr>
          </w:p>
        </w:tc>
        <w:tc>
          <w:tcPr>
            <w:tcW w:w="3118" w:type="dxa"/>
            <w:vAlign w:val="center"/>
          </w:tcPr>
          <w:p w14:paraId="63A88950">
            <w:pPr>
              <w:snapToGrid w:val="0"/>
              <w:spacing w:line="360" w:lineRule="auto"/>
              <w:jc w:val="center"/>
              <w:rPr>
                <w:rFonts w:ascii="宋体" w:hAnsi="宋体" w:cs="宋体"/>
                <w:color w:val="auto"/>
                <w:sz w:val="24"/>
                <w:highlight w:val="none"/>
              </w:rPr>
            </w:pPr>
          </w:p>
        </w:tc>
        <w:tc>
          <w:tcPr>
            <w:tcW w:w="993" w:type="dxa"/>
            <w:vAlign w:val="center"/>
          </w:tcPr>
          <w:p w14:paraId="746825B3">
            <w:pPr>
              <w:snapToGrid w:val="0"/>
              <w:spacing w:line="360" w:lineRule="auto"/>
              <w:jc w:val="center"/>
              <w:rPr>
                <w:rFonts w:ascii="宋体" w:hAnsi="宋体" w:cs="宋体"/>
                <w:color w:val="auto"/>
                <w:sz w:val="24"/>
                <w:highlight w:val="none"/>
              </w:rPr>
            </w:pPr>
          </w:p>
        </w:tc>
        <w:tc>
          <w:tcPr>
            <w:tcW w:w="1559" w:type="dxa"/>
            <w:vAlign w:val="center"/>
          </w:tcPr>
          <w:p w14:paraId="13C7614F">
            <w:pPr>
              <w:spacing w:line="360" w:lineRule="auto"/>
              <w:jc w:val="center"/>
              <w:rPr>
                <w:rFonts w:ascii="宋体" w:hAnsi="宋体" w:cs="宋体"/>
                <w:color w:val="auto"/>
                <w:sz w:val="24"/>
                <w:highlight w:val="none"/>
              </w:rPr>
            </w:pPr>
          </w:p>
        </w:tc>
        <w:tc>
          <w:tcPr>
            <w:tcW w:w="1984" w:type="dxa"/>
            <w:vAlign w:val="center"/>
          </w:tcPr>
          <w:p w14:paraId="37024159">
            <w:pPr>
              <w:spacing w:line="360" w:lineRule="auto"/>
              <w:jc w:val="center"/>
              <w:rPr>
                <w:rFonts w:ascii="宋体" w:hAnsi="宋体" w:cs="宋体"/>
                <w:color w:val="auto"/>
                <w:sz w:val="24"/>
                <w:highlight w:val="none"/>
              </w:rPr>
            </w:pPr>
          </w:p>
        </w:tc>
        <w:tc>
          <w:tcPr>
            <w:tcW w:w="3119" w:type="dxa"/>
            <w:vAlign w:val="center"/>
          </w:tcPr>
          <w:p w14:paraId="79BA0302">
            <w:pPr>
              <w:spacing w:line="360" w:lineRule="auto"/>
              <w:jc w:val="center"/>
              <w:rPr>
                <w:rFonts w:ascii="宋体" w:hAnsi="宋体" w:cs="宋体"/>
                <w:color w:val="auto"/>
                <w:sz w:val="24"/>
                <w:highlight w:val="none"/>
              </w:rPr>
            </w:pPr>
          </w:p>
        </w:tc>
      </w:tr>
      <w:tr w14:paraId="2976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9B5C">
            <w:pPr>
              <w:spacing w:line="360" w:lineRule="auto"/>
              <w:jc w:val="center"/>
              <w:rPr>
                <w:rFonts w:ascii="宋体" w:hAnsi="宋体" w:cs="宋体"/>
                <w:color w:val="auto"/>
                <w:sz w:val="24"/>
                <w:highlight w:val="none"/>
              </w:rPr>
            </w:pPr>
          </w:p>
        </w:tc>
        <w:tc>
          <w:tcPr>
            <w:tcW w:w="1417" w:type="dxa"/>
            <w:vAlign w:val="center"/>
          </w:tcPr>
          <w:p w14:paraId="0B1B2784">
            <w:pPr>
              <w:snapToGrid w:val="0"/>
              <w:spacing w:line="360" w:lineRule="auto"/>
              <w:jc w:val="center"/>
              <w:rPr>
                <w:rFonts w:ascii="宋体" w:hAnsi="宋体" w:cs="宋体"/>
                <w:color w:val="auto"/>
                <w:sz w:val="24"/>
                <w:highlight w:val="none"/>
              </w:rPr>
            </w:pPr>
          </w:p>
        </w:tc>
        <w:tc>
          <w:tcPr>
            <w:tcW w:w="1843" w:type="dxa"/>
            <w:vAlign w:val="center"/>
          </w:tcPr>
          <w:p w14:paraId="38023526">
            <w:pPr>
              <w:snapToGrid w:val="0"/>
              <w:spacing w:line="360" w:lineRule="auto"/>
              <w:jc w:val="center"/>
              <w:rPr>
                <w:rFonts w:ascii="宋体" w:hAnsi="宋体" w:cs="宋体"/>
                <w:color w:val="auto"/>
                <w:sz w:val="24"/>
                <w:highlight w:val="none"/>
              </w:rPr>
            </w:pPr>
          </w:p>
        </w:tc>
        <w:tc>
          <w:tcPr>
            <w:tcW w:w="3118" w:type="dxa"/>
            <w:vAlign w:val="center"/>
          </w:tcPr>
          <w:p w14:paraId="6BB0AEC0">
            <w:pPr>
              <w:snapToGrid w:val="0"/>
              <w:spacing w:line="360" w:lineRule="auto"/>
              <w:jc w:val="center"/>
              <w:rPr>
                <w:rFonts w:ascii="宋体" w:hAnsi="宋体" w:cs="宋体"/>
                <w:color w:val="auto"/>
                <w:sz w:val="24"/>
                <w:highlight w:val="none"/>
              </w:rPr>
            </w:pPr>
          </w:p>
        </w:tc>
        <w:tc>
          <w:tcPr>
            <w:tcW w:w="993" w:type="dxa"/>
            <w:vAlign w:val="center"/>
          </w:tcPr>
          <w:p w14:paraId="542881CF">
            <w:pPr>
              <w:snapToGrid w:val="0"/>
              <w:spacing w:line="360" w:lineRule="auto"/>
              <w:jc w:val="center"/>
              <w:rPr>
                <w:rFonts w:ascii="宋体" w:hAnsi="宋体" w:cs="宋体"/>
                <w:color w:val="auto"/>
                <w:sz w:val="24"/>
                <w:highlight w:val="none"/>
              </w:rPr>
            </w:pPr>
          </w:p>
        </w:tc>
        <w:tc>
          <w:tcPr>
            <w:tcW w:w="1559" w:type="dxa"/>
            <w:vAlign w:val="center"/>
          </w:tcPr>
          <w:p w14:paraId="1F5AF264">
            <w:pPr>
              <w:spacing w:line="360" w:lineRule="auto"/>
              <w:jc w:val="center"/>
              <w:rPr>
                <w:rFonts w:ascii="宋体" w:hAnsi="宋体" w:cs="宋体"/>
                <w:color w:val="auto"/>
                <w:sz w:val="24"/>
                <w:highlight w:val="none"/>
              </w:rPr>
            </w:pPr>
          </w:p>
        </w:tc>
        <w:tc>
          <w:tcPr>
            <w:tcW w:w="1984" w:type="dxa"/>
            <w:vAlign w:val="center"/>
          </w:tcPr>
          <w:p w14:paraId="61C7B61A">
            <w:pPr>
              <w:spacing w:line="360" w:lineRule="auto"/>
              <w:jc w:val="center"/>
              <w:rPr>
                <w:rFonts w:ascii="宋体" w:hAnsi="宋体" w:cs="宋体"/>
                <w:color w:val="auto"/>
                <w:sz w:val="24"/>
                <w:highlight w:val="none"/>
              </w:rPr>
            </w:pPr>
          </w:p>
        </w:tc>
        <w:tc>
          <w:tcPr>
            <w:tcW w:w="3119" w:type="dxa"/>
            <w:vAlign w:val="center"/>
          </w:tcPr>
          <w:p w14:paraId="49128B9F">
            <w:pPr>
              <w:spacing w:line="360" w:lineRule="auto"/>
              <w:jc w:val="center"/>
              <w:rPr>
                <w:rFonts w:ascii="宋体" w:hAnsi="宋体" w:cs="宋体"/>
                <w:color w:val="auto"/>
                <w:sz w:val="24"/>
                <w:highlight w:val="none"/>
              </w:rPr>
            </w:pPr>
          </w:p>
        </w:tc>
      </w:tr>
      <w:tr w14:paraId="651D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D63817">
            <w:pPr>
              <w:spacing w:line="360" w:lineRule="auto"/>
              <w:jc w:val="center"/>
              <w:rPr>
                <w:rFonts w:ascii="宋体" w:hAnsi="宋体" w:cs="宋体"/>
                <w:color w:val="auto"/>
                <w:sz w:val="24"/>
                <w:highlight w:val="none"/>
              </w:rPr>
            </w:pPr>
          </w:p>
        </w:tc>
        <w:tc>
          <w:tcPr>
            <w:tcW w:w="1417" w:type="dxa"/>
            <w:vAlign w:val="center"/>
          </w:tcPr>
          <w:p w14:paraId="673ED3F8">
            <w:pPr>
              <w:snapToGrid w:val="0"/>
              <w:spacing w:line="360" w:lineRule="auto"/>
              <w:jc w:val="center"/>
              <w:rPr>
                <w:rFonts w:ascii="宋体" w:hAnsi="宋体" w:cs="宋体"/>
                <w:color w:val="auto"/>
                <w:sz w:val="24"/>
                <w:highlight w:val="none"/>
              </w:rPr>
            </w:pPr>
          </w:p>
        </w:tc>
        <w:tc>
          <w:tcPr>
            <w:tcW w:w="1843" w:type="dxa"/>
            <w:vAlign w:val="center"/>
          </w:tcPr>
          <w:p w14:paraId="7A52AEE3">
            <w:pPr>
              <w:snapToGrid w:val="0"/>
              <w:spacing w:line="360" w:lineRule="auto"/>
              <w:jc w:val="center"/>
              <w:rPr>
                <w:rFonts w:ascii="宋体" w:hAnsi="宋体" w:cs="宋体"/>
                <w:color w:val="auto"/>
                <w:sz w:val="24"/>
                <w:highlight w:val="none"/>
              </w:rPr>
            </w:pPr>
          </w:p>
        </w:tc>
        <w:tc>
          <w:tcPr>
            <w:tcW w:w="3118" w:type="dxa"/>
            <w:vAlign w:val="center"/>
          </w:tcPr>
          <w:p w14:paraId="23C134AF">
            <w:pPr>
              <w:snapToGrid w:val="0"/>
              <w:spacing w:line="360" w:lineRule="auto"/>
              <w:jc w:val="center"/>
              <w:rPr>
                <w:rFonts w:ascii="宋体" w:hAnsi="宋体" w:cs="宋体"/>
                <w:color w:val="auto"/>
                <w:sz w:val="24"/>
                <w:highlight w:val="none"/>
              </w:rPr>
            </w:pPr>
          </w:p>
        </w:tc>
        <w:tc>
          <w:tcPr>
            <w:tcW w:w="993" w:type="dxa"/>
            <w:vAlign w:val="center"/>
          </w:tcPr>
          <w:p w14:paraId="177367EC">
            <w:pPr>
              <w:snapToGrid w:val="0"/>
              <w:spacing w:line="360" w:lineRule="auto"/>
              <w:jc w:val="center"/>
              <w:rPr>
                <w:rFonts w:ascii="宋体" w:hAnsi="宋体" w:cs="宋体"/>
                <w:color w:val="auto"/>
                <w:sz w:val="24"/>
                <w:highlight w:val="none"/>
              </w:rPr>
            </w:pPr>
          </w:p>
        </w:tc>
        <w:tc>
          <w:tcPr>
            <w:tcW w:w="1559" w:type="dxa"/>
            <w:vAlign w:val="center"/>
          </w:tcPr>
          <w:p w14:paraId="7AD0F58E">
            <w:pPr>
              <w:spacing w:line="360" w:lineRule="auto"/>
              <w:jc w:val="center"/>
              <w:rPr>
                <w:rFonts w:ascii="宋体" w:hAnsi="宋体" w:cs="宋体"/>
                <w:color w:val="auto"/>
                <w:sz w:val="24"/>
                <w:highlight w:val="none"/>
              </w:rPr>
            </w:pPr>
          </w:p>
        </w:tc>
        <w:tc>
          <w:tcPr>
            <w:tcW w:w="1984" w:type="dxa"/>
            <w:vAlign w:val="center"/>
          </w:tcPr>
          <w:p w14:paraId="73259998">
            <w:pPr>
              <w:spacing w:line="360" w:lineRule="auto"/>
              <w:jc w:val="center"/>
              <w:rPr>
                <w:rFonts w:ascii="宋体" w:hAnsi="宋体" w:cs="宋体"/>
                <w:color w:val="auto"/>
                <w:sz w:val="24"/>
                <w:highlight w:val="none"/>
              </w:rPr>
            </w:pPr>
          </w:p>
        </w:tc>
        <w:tc>
          <w:tcPr>
            <w:tcW w:w="3119" w:type="dxa"/>
            <w:vAlign w:val="center"/>
          </w:tcPr>
          <w:p w14:paraId="79CB509C">
            <w:pPr>
              <w:spacing w:line="360" w:lineRule="auto"/>
              <w:jc w:val="center"/>
              <w:rPr>
                <w:rFonts w:ascii="宋体" w:hAnsi="宋体" w:cs="宋体"/>
                <w:color w:val="auto"/>
                <w:sz w:val="24"/>
                <w:highlight w:val="none"/>
              </w:rPr>
            </w:pPr>
          </w:p>
        </w:tc>
      </w:tr>
      <w:tr w14:paraId="019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3C9E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7F774A9B">
            <w:pPr>
              <w:spacing w:line="360" w:lineRule="auto"/>
              <w:jc w:val="center"/>
              <w:rPr>
                <w:rFonts w:ascii="宋体" w:hAnsi="宋体" w:cs="宋体"/>
                <w:color w:val="auto"/>
                <w:sz w:val="24"/>
                <w:highlight w:val="none"/>
              </w:rPr>
            </w:pPr>
          </w:p>
        </w:tc>
      </w:tr>
      <w:tr w14:paraId="7BB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681E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08D6AA87">
            <w:pPr>
              <w:spacing w:line="360" w:lineRule="auto"/>
              <w:jc w:val="center"/>
              <w:rPr>
                <w:rFonts w:ascii="宋体" w:hAnsi="宋体" w:cs="宋体"/>
                <w:color w:val="auto"/>
                <w:sz w:val="24"/>
                <w:highlight w:val="none"/>
              </w:rPr>
            </w:pPr>
          </w:p>
        </w:tc>
      </w:tr>
    </w:tbl>
    <w:p w14:paraId="6A2E668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ED2D7B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28CEAC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3B07F7B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财经职业学校税费计算与申报精品课程资源开发采购项目和项目编号，成交供应商名称、地址和成交金额，主要成交标的名称、品牌（如果有）、规格型号、数量、单价等予以公示。</w:t>
      </w:r>
    </w:p>
    <w:p w14:paraId="7C175D82">
      <w:pPr>
        <w:snapToGrid w:val="0"/>
        <w:spacing w:before="120" w:after="120"/>
        <w:ind w:firstLine="480" w:firstLineChars="200"/>
        <w:rPr>
          <w:rFonts w:ascii="宋体" w:hAnsi="宋体" w:cs="宋体"/>
          <w:color w:val="auto"/>
          <w:kern w:val="0"/>
          <w:sz w:val="24"/>
          <w:highlight w:val="none"/>
          <w:lang w:val="zh-CN"/>
        </w:rPr>
      </w:pPr>
    </w:p>
    <w:p w14:paraId="13B2745D">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DE9C17">
      <w:pPr>
        <w:pStyle w:val="29"/>
        <w:keepNext w:val="0"/>
        <w:pageBreakBefore w:val="0"/>
        <w:numPr>
          <w:ilvl w:val="0"/>
          <w:numId w:val="3"/>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5A7F0F5">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45262CD0">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5E60F58">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2D8DBE4">
      <w:pPr>
        <w:spacing w:line="360" w:lineRule="auto"/>
        <w:ind w:right="420" w:firstLine="3614" w:firstLineChars="1000"/>
        <w:rPr>
          <w:rFonts w:ascii="宋体" w:hAnsi="宋体" w:cs="宋体"/>
          <w:b/>
          <w:color w:val="auto"/>
          <w:kern w:val="0"/>
          <w:sz w:val="36"/>
          <w:szCs w:val="36"/>
          <w:highlight w:val="none"/>
        </w:rPr>
      </w:pPr>
    </w:p>
    <w:p w14:paraId="312C2B43">
      <w:pPr>
        <w:spacing w:line="360" w:lineRule="auto"/>
        <w:ind w:right="420" w:firstLine="3614" w:firstLineChars="1000"/>
        <w:rPr>
          <w:rFonts w:ascii="宋体" w:hAnsi="宋体" w:cs="宋体"/>
          <w:b/>
          <w:color w:val="auto"/>
          <w:kern w:val="0"/>
          <w:sz w:val="36"/>
          <w:szCs w:val="36"/>
          <w:highlight w:val="none"/>
        </w:rPr>
      </w:pPr>
    </w:p>
    <w:p w14:paraId="3A655B88">
      <w:pPr>
        <w:spacing w:line="360" w:lineRule="auto"/>
        <w:ind w:right="420" w:firstLine="3614" w:firstLineChars="1000"/>
        <w:rPr>
          <w:rFonts w:ascii="宋体" w:hAnsi="宋体" w:cs="宋体"/>
          <w:b/>
          <w:color w:val="auto"/>
          <w:kern w:val="0"/>
          <w:sz w:val="36"/>
          <w:szCs w:val="36"/>
          <w:highlight w:val="none"/>
        </w:rPr>
      </w:pPr>
    </w:p>
    <w:p w14:paraId="2D0A9A7E">
      <w:pPr>
        <w:spacing w:line="360" w:lineRule="auto"/>
        <w:ind w:right="420" w:firstLine="3614" w:firstLineChars="1000"/>
        <w:rPr>
          <w:rFonts w:ascii="宋体" w:hAnsi="宋体" w:cs="宋体"/>
          <w:b/>
          <w:color w:val="auto"/>
          <w:kern w:val="0"/>
          <w:sz w:val="36"/>
          <w:szCs w:val="36"/>
          <w:highlight w:val="none"/>
        </w:rPr>
      </w:pPr>
    </w:p>
    <w:p w14:paraId="051F2C59">
      <w:pPr>
        <w:spacing w:line="360" w:lineRule="auto"/>
        <w:ind w:right="420" w:firstLine="3614" w:firstLineChars="1000"/>
        <w:rPr>
          <w:rFonts w:ascii="宋体" w:hAnsi="宋体" w:cs="宋体"/>
          <w:b/>
          <w:color w:val="auto"/>
          <w:kern w:val="0"/>
          <w:sz w:val="36"/>
          <w:szCs w:val="36"/>
          <w:highlight w:val="none"/>
        </w:rPr>
      </w:pPr>
    </w:p>
    <w:p w14:paraId="516A4F4D">
      <w:pPr>
        <w:spacing w:line="360" w:lineRule="auto"/>
        <w:ind w:right="420" w:firstLine="3614" w:firstLineChars="1000"/>
        <w:rPr>
          <w:rFonts w:ascii="宋体" w:hAnsi="宋体" w:cs="宋体"/>
          <w:b/>
          <w:color w:val="auto"/>
          <w:kern w:val="0"/>
          <w:sz w:val="36"/>
          <w:szCs w:val="36"/>
          <w:highlight w:val="none"/>
        </w:rPr>
      </w:pPr>
    </w:p>
    <w:p w14:paraId="79703BD7">
      <w:pPr>
        <w:spacing w:line="360" w:lineRule="auto"/>
        <w:ind w:right="420" w:firstLine="3614" w:firstLineChars="1000"/>
        <w:rPr>
          <w:rFonts w:ascii="宋体" w:hAnsi="宋体" w:cs="宋体"/>
          <w:b/>
          <w:color w:val="auto"/>
          <w:kern w:val="0"/>
          <w:sz w:val="36"/>
          <w:szCs w:val="36"/>
          <w:highlight w:val="none"/>
        </w:rPr>
      </w:pPr>
    </w:p>
    <w:p w14:paraId="1A61C64B">
      <w:pPr>
        <w:spacing w:line="360" w:lineRule="auto"/>
        <w:ind w:right="420" w:firstLine="3614" w:firstLineChars="1000"/>
        <w:rPr>
          <w:rFonts w:ascii="宋体" w:hAnsi="宋体" w:cs="宋体"/>
          <w:b/>
          <w:color w:val="auto"/>
          <w:kern w:val="0"/>
          <w:sz w:val="36"/>
          <w:szCs w:val="36"/>
          <w:highlight w:val="none"/>
        </w:rPr>
      </w:pPr>
    </w:p>
    <w:p w14:paraId="000D5ED0">
      <w:pPr>
        <w:spacing w:line="360" w:lineRule="auto"/>
        <w:ind w:right="420" w:firstLine="3614" w:firstLineChars="1000"/>
        <w:rPr>
          <w:rFonts w:ascii="宋体" w:hAnsi="宋体" w:cs="宋体"/>
          <w:b/>
          <w:color w:val="auto"/>
          <w:kern w:val="0"/>
          <w:sz w:val="36"/>
          <w:szCs w:val="36"/>
          <w:highlight w:val="none"/>
        </w:rPr>
      </w:pPr>
    </w:p>
    <w:p w14:paraId="6CDE1A17">
      <w:pPr>
        <w:spacing w:line="360" w:lineRule="auto"/>
        <w:ind w:right="420" w:firstLine="3614" w:firstLineChars="1000"/>
        <w:rPr>
          <w:rFonts w:ascii="宋体" w:hAnsi="宋体" w:cs="宋体"/>
          <w:b/>
          <w:color w:val="auto"/>
          <w:kern w:val="0"/>
          <w:sz w:val="36"/>
          <w:szCs w:val="36"/>
          <w:highlight w:val="none"/>
        </w:rPr>
      </w:pPr>
    </w:p>
    <w:p w14:paraId="3395E219">
      <w:pPr>
        <w:spacing w:line="360" w:lineRule="auto"/>
        <w:ind w:right="420" w:firstLine="3614" w:firstLineChars="1000"/>
        <w:rPr>
          <w:rFonts w:ascii="宋体" w:hAnsi="宋体" w:cs="宋体"/>
          <w:b/>
          <w:color w:val="auto"/>
          <w:kern w:val="0"/>
          <w:sz w:val="36"/>
          <w:szCs w:val="36"/>
          <w:highlight w:val="none"/>
        </w:rPr>
      </w:pPr>
    </w:p>
    <w:p w14:paraId="0B6306A6">
      <w:pPr>
        <w:spacing w:line="360" w:lineRule="auto"/>
        <w:ind w:right="420" w:firstLine="3614" w:firstLineChars="1000"/>
        <w:rPr>
          <w:rFonts w:ascii="宋体" w:hAnsi="宋体" w:cs="宋体"/>
          <w:b/>
          <w:color w:val="auto"/>
          <w:kern w:val="0"/>
          <w:sz w:val="36"/>
          <w:szCs w:val="36"/>
          <w:highlight w:val="none"/>
        </w:rPr>
      </w:pPr>
    </w:p>
    <w:p w14:paraId="20C0020E">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144" w:name="_Toc465665161"/>
    </w:p>
    <w:p w14:paraId="1BFDA7D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772474B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0995715E">
      <w:pPr>
        <w:pStyle w:val="2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7CC9C27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B24B4AD">
      <w:pPr>
        <w:rPr>
          <w:color w:val="auto"/>
          <w:highlight w:val="none"/>
        </w:rPr>
      </w:pPr>
    </w:p>
    <w:p w14:paraId="1419780F">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AF7C404">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18C4E523">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D128457">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5AD469DF">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58CB76A5">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CBAAA13">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0103B13A">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036537BE">
      <w:pPr>
        <w:rPr>
          <w:rFonts w:ascii="宋体" w:hAnsi="宋体" w:cs="宋体"/>
          <w:color w:val="auto"/>
          <w:highlight w:val="none"/>
        </w:rPr>
      </w:pPr>
    </w:p>
    <w:p w14:paraId="044CD582">
      <w:pPr>
        <w:pStyle w:val="21"/>
        <w:rPr>
          <w:rFonts w:ascii="宋体" w:hAnsi="宋体" w:cs="宋体"/>
          <w:color w:val="auto"/>
          <w:highlight w:val="none"/>
        </w:rPr>
      </w:pPr>
    </w:p>
    <w:p w14:paraId="5A902EF5">
      <w:pPr>
        <w:pStyle w:val="21"/>
        <w:rPr>
          <w:rFonts w:ascii="宋体" w:hAnsi="宋体" w:cs="宋体"/>
          <w:color w:val="auto"/>
          <w:highlight w:val="none"/>
        </w:rPr>
      </w:pPr>
    </w:p>
    <w:p w14:paraId="7162D0D9">
      <w:pPr>
        <w:pStyle w:val="21"/>
        <w:rPr>
          <w:rFonts w:ascii="宋体" w:hAnsi="宋体" w:cs="宋体"/>
          <w:color w:val="auto"/>
          <w:highlight w:val="none"/>
        </w:rPr>
      </w:pPr>
    </w:p>
    <w:p w14:paraId="4118D363">
      <w:pPr>
        <w:pStyle w:val="21"/>
        <w:rPr>
          <w:rFonts w:ascii="宋体" w:hAnsi="宋体" w:cs="宋体"/>
          <w:color w:val="auto"/>
          <w:highlight w:val="none"/>
        </w:rPr>
      </w:pPr>
    </w:p>
    <w:p w14:paraId="6E250D75">
      <w:pPr>
        <w:pStyle w:val="21"/>
        <w:rPr>
          <w:rFonts w:ascii="宋体" w:hAnsi="宋体" w:cs="宋体"/>
          <w:color w:val="auto"/>
          <w:highlight w:val="none"/>
        </w:rPr>
      </w:pPr>
    </w:p>
    <w:p w14:paraId="731E3DC1">
      <w:pPr>
        <w:pStyle w:val="21"/>
        <w:rPr>
          <w:rFonts w:ascii="宋体" w:hAnsi="宋体" w:cs="宋体"/>
          <w:color w:val="auto"/>
          <w:highlight w:val="none"/>
        </w:rPr>
      </w:pPr>
    </w:p>
    <w:p w14:paraId="556B018E">
      <w:pPr>
        <w:pStyle w:val="21"/>
        <w:rPr>
          <w:rFonts w:ascii="宋体" w:hAnsi="宋体" w:cs="宋体"/>
          <w:color w:val="auto"/>
          <w:highlight w:val="none"/>
        </w:rPr>
      </w:pPr>
    </w:p>
    <w:p w14:paraId="332CDD1F">
      <w:pPr>
        <w:pStyle w:val="21"/>
        <w:rPr>
          <w:rFonts w:ascii="宋体" w:hAnsi="宋体" w:cs="宋体"/>
          <w:color w:val="auto"/>
          <w:highlight w:val="none"/>
        </w:rPr>
      </w:pPr>
    </w:p>
    <w:p w14:paraId="72018616">
      <w:pPr>
        <w:pStyle w:val="2"/>
        <w:keepNext w:val="0"/>
        <w:widowControl/>
        <w:numPr>
          <w:ilvl w:val="0"/>
          <w:numId w:val="4"/>
        </w:numPr>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附件</w:t>
      </w:r>
      <w:bookmarkEnd w:id="144"/>
    </w:p>
    <w:p w14:paraId="0B0D153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145" w:name="OLE_LINK14"/>
      <w:bookmarkStart w:id="146" w:name="OLE_LINK13"/>
      <w:r>
        <w:rPr>
          <w:rFonts w:hint="eastAsia" w:ascii="宋体" w:hAnsi="宋体" w:cs="宋体"/>
          <w:b/>
          <w:color w:val="auto"/>
          <w:spacing w:val="6"/>
          <w:sz w:val="32"/>
          <w:szCs w:val="32"/>
          <w:highlight w:val="none"/>
        </w:rPr>
        <w:t>残疾人福利性单位声明函</w:t>
      </w:r>
    </w:p>
    <w:bookmarkEnd w:id="145"/>
    <w:bookmarkEnd w:id="14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D256C96">
      <w:pPr>
        <w:spacing w:line="360" w:lineRule="auto"/>
        <w:jc w:val="left"/>
        <w:rPr>
          <w:rFonts w:ascii="宋体" w:hAnsi="宋体" w:cs="宋体"/>
          <w:b/>
          <w:color w:val="auto"/>
          <w:spacing w:val="6"/>
          <w:sz w:val="32"/>
          <w:szCs w:val="32"/>
          <w:highlight w:val="none"/>
        </w:rPr>
      </w:pPr>
    </w:p>
    <w:p w14:paraId="6264B130">
      <w:pPr>
        <w:spacing w:line="360" w:lineRule="auto"/>
        <w:jc w:val="left"/>
        <w:rPr>
          <w:rFonts w:ascii="宋体" w:hAnsi="宋体" w:cs="宋体"/>
          <w:b/>
          <w:color w:val="auto"/>
          <w:spacing w:val="6"/>
          <w:sz w:val="32"/>
          <w:szCs w:val="32"/>
          <w:highlight w:val="none"/>
        </w:rPr>
      </w:pPr>
    </w:p>
    <w:p w14:paraId="5DABDB7D">
      <w:pPr>
        <w:spacing w:line="360" w:lineRule="auto"/>
        <w:jc w:val="left"/>
        <w:rPr>
          <w:rFonts w:ascii="宋体" w:hAnsi="宋体" w:cs="宋体"/>
          <w:b/>
          <w:color w:val="auto"/>
          <w:spacing w:val="6"/>
          <w:sz w:val="32"/>
          <w:szCs w:val="32"/>
          <w:highlight w:val="none"/>
        </w:rPr>
      </w:pPr>
    </w:p>
    <w:p w14:paraId="1171465F">
      <w:pPr>
        <w:spacing w:line="360" w:lineRule="auto"/>
        <w:jc w:val="left"/>
        <w:rPr>
          <w:rFonts w:ascii="宋体" w:hAnsi="宋体" w:cs="宋体"/>
          <w:b/>
          <w:color w:val="auto"/>
          <w:spacing w:val="6"/>
          <w:sz w:val="32"/>
          <w:szCs w:val="32"/>
          <w:highlight w:val="none"/>
        </w:rPr>
      </w:pPr>
    </w:p>
    <w:p w14:paraId="2D62F361">
      <w:pPr>
        <w:spacing w:line="360" w:lineRule="auto"/>
        <w:jc w:val="left"/>
        <w:rPr>
          <w:rFonts w:ascii="宋体" w:hAnsi="宋体" w:cs="宋体"/>
          <w:b/>
          <w:color w:val="auto"/>
          <w:spacing w:val="6"/>
          <w:sz w:val="32"/>
          <w:szCs w:val="32"/>
          <w:highlight w:val="none"/>
        </w:rPr>
      </w:pPr>
    </w:p>
    <w:p w14:paraId="78324256">
      <w:pPr>
        <w:spacing w:line="360" w:lineRule="auto"/>
        <w:jc w:val="left"/>
        <w:rPr>
          <w:rFonts w:ascii="宋体" w:hAnsi="宋体" w:cs="宋体"/>
          <w:b/>
          <w:color w:val="auto"/>
          <w:spacing w:val="6"/>
          <w:sz w:val="32"/>
          <w:szCs w:val="32"/>
          <w:highlight w:val="none"/>
        </w:rPr>
      </w:pPr>
    </w:p>
    <w:p w14:paraId="2E423BED">
      <w:pPr>
        <w:spacing w:line="360" w:lineRule="auto"/>
        <w:jc w:val="left"/>
        <w:rPr>
          <w:rFonts w:ascii="宋体" w:hAnsi="宋体" w:cs="宋体"/>
          <w:b/>
          <w:color w:val="auto"/>
          <w:spacing w:val="6"/>
          <w:sz w:val="32"/>
          <w:szCs w:val="32"/>
          <w:highlight w:val="none"/>
        </w:rPr>
      </w:pPr>
    </w:p>
    <w:p w14:paraId="4975770A">
      <w:pPr>
        <w:spacing w:line="360" w:lineRule="auto"/>
        <w:jc w:val="left"/>
        <w:rPr>
          <w:rFonts w:ascii="宋体" w:hAnsi="宋体" w:cs="宋体"/>
          <w:b/>
          <w:color w:val="auto"/>
          <w:spacing w:val="6"/>
          <w:sz w:val="32"/>
          <w:szCs w:val="32"/>
          <w:highlight w:val="none"/>
        </w:rPr>
      </w:pPr>
    </w:p>
    <w:p w14:paraId="15F2EA3B">
      <w:pPr>
        <w:spacing w:line="360" w:lineRule="auto"/>
        <w:jc w:val="left"/>
        <w:rPr>
          <w:rFonts w:ascii="宋体" w:hAnsi="宋体" w:cs="宋体"/>
          <w:b/>
          <w:color w:val="auto"/>
          <w:spacing w:val="6"/>
          <w:sz w:val="32"/>
          <w:szCs w:val="32"/>
          <w:highlight w:val="none"/>
        </w:rPr>
      </w:pPr>
    </w:p>
    <w:p w14:paraId="2D9A7B5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2A7D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3CB28">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8760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F517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C6BA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C69B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0FF2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7500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F14F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4BC5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DD3C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9D9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2AE2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8ECF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2334F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F07F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CB225D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653E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964B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C5C63C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75CCE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D5238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7069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E8F6DF">
      <w:pPr>
        <w:spacing w:line="360" w:lineRule="auto"/>
        <w:jc w:val="center"/>
        <w:rPr>
          <w:rFonts w:ascii="宋体" w:hAnsi="宋体" w:cs="宋体"/>
          <w:b/>
          <w:bCs/>
          <w:color w:val="auto"/>
          <w:sz w:val="24"/>
          <w:highlight w:val="none"/>
        </w:rPr>
      </w:pPr>
    </w:p>
    <w:p w14:paraId="42113482">
      <w:pPr>
        <w:spacing w:line="360" w:lineRule="auto"/>
        <w:rPr>
          <w:rFonts w:ascii="宋体" w:hAnsi="宋体" w:cs="宋体"/>
          <w:b/>
          <w:color w:val="auto"/>
          <w:sz w:val="24"/>
          <w:highlight w:val="none"/>
        </w:rPr>
      </w:pPr>
    </w:p>
    <w:p w14:paraId="697C9843">
      <w:pPr>
        <w:spacing w:line="360" w:lineRule="auto"/>
        <w:rPr>
          <w:rFonts w:ascii="宋体" w:hAnsi="宋体" w:cs="宋体"/>
          <w:b/>
          <w:color w:val="auto"/>
          <w:sz w:val="24"/>
          <w:highlight w:val="none"/>
        </w:rPr>
      </w:pPr>
    </w:p>
    <w:p w14:paraId="4CFF3149">
      <w:pPr>
        <w:spacing w:line="360" w:lineRule="auto"/>
        <w:rPr>
          <w:rFonts w:ascii="宋体" w:hAnsi="宋体" w:cs="宋体"/>
          <w:b/>
          <w:color w:val="auto"/>
          <w:sz w:val="24"/>
          <w:highlight w:val="none"/>
        </w:rPr>
      </w:pPr>
    </w:p>
    <w:p w14:paraId="587A274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70766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A385E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D5FD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AA0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4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FCB8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4D8617FC">
      <w:pPr>
        <w:widowControl/>
        <w:spacing w:line="360" w:lineRule="auto"/>
        <w:ind w:firstLine="600" w:firstLineChars="200"/>
        <w:jc w:val="left"/>
        <w:rPr>
          <w:rFonts w:ascii="宋体" w:hAnsi="宋体" w:cs="宋体"/>
          <w:color w:val="auto"/>
          <w:sz w:val="30"/>
          <w:szCs w:val="30"/>
          <w:highlight w:val="none"/>
        </w:rPr>
      </w:pPr>
    </w:p>
    <w:p w14:paraId="08C6977F">
      <w:pPr>
        <w:spacing w:line="360" w:lineRule="auto"/>
        <w:jc w:val="center"/>
        <w:rPr>
          <w:rFonts w:ascii="宋体" w:hAnsi="宋体" w:cs="宋体"/>
          <w:b/>
          <w:color w:val="auto"/>
          <w:spacing w:val="6"/>
          <w:sz w:val="32"/>
          <w:szCs w:val="32"/>
          <w:highlight w:val="none"/>
        </w:rPr>
      </w:pPr>
    </w:p>
    <w:p w14:paraId="77D14080">
      <w:pPr>
        <w:spacing w:line="360" w:lineRule="auto"/>
        <w:jc w:val="center"/>
        <w:rPr>
          <w:rFonts w:ascii="宋体" w:hAnsi="宋体" w:cs="宋体"/>
          <w:b/>
          <w:color w:val="auto"/>
          <w:spacing w:val="6"/>
          <w:sz w:val="32"/>
          <w:szCs w:val="32"/>
          <w:highlight w:val="none"/>
        </w:rPr>
      </w:pPr>
    </w:p>
    <w:p w14:paraId="01E64CBA">
      <w:pPr>
        <w:spacing w:line="360" w:lineRule="auto"/>
        <w:jc w:val="center"/>
        <w:rPr>
          <w:rFonts w:ascii="宋体" w:hAnsi="宋体" w:cs="宋体"/>
          <w:b/>
          <w:color w:val="auto"/>
          <w:spacing w:val="6"/>
          <w:sz w:val="32"/>
          <w:szCs w:val="32"/>
          <w:highlight w:val="none"/>
        </w:rPr>
      </w:pPr>
    </w:p>
    <w:p w14:paraId="0F22E2F0">
      <w:pPr>
        <w:spacing w:line="360" w:lineRule="auto"/>
        <w:jc w:val="center"/>
        <w:rPr>
          <w:rFonts w:ascii="宋体" w:hAnsi="宋体" w:cs="宋体"/>
          <w:b/>
          <w:color w:val="auto"/>
          <w:spacing w:val="6"/>
          <w:sz w:val="32"/>
          <w:szCs w:val="32"/>
          <w:highlight w:val="none"/>
        </w:rPr>
      </w:pPr>
    </w:p>
    <w:p w14:paraId="5F302F53">
      <w:pPr>
        <w:spacing w:line="360" w:lineRule="auto"/>
        <w:jc w:val="center"/>
        <w:rPr>
          <w:rFonts w:ascii="宋体" w:hAnsi="宋体" w:cs="宋体"/>
          <w:b/>
          <w:color w:val="auto"/>
          <w:spacing w:val="6"/>
          <w:sz w:val="32"/>
          <w:szCs w:val="32"/>
          <w:highlight w:val="none"/>
        </w:rPr>
      </w:pPr>
    </w:p>
    <w:p w14:paraId="3728C7B9">
      <w:pPr>
        <w:spacing w:line="360" w:lineRule="auto"/>
        <w:jc w:val="center"/>
        <w:rPr>
          <w:rFonts w:ascii="宋体" w:hAnsi="宋体" w:cs="宋体"/>
          <w:b/>
          <w:color w:val="auto"/>
          <w:spacing w:val="6"/>
          <w:sz w:val="32"/>
          <w:szCs w:val="32"/>
          <w:highlight w:val="none"/>
        </w:rPr>
      </w:pPr>
    </w:p>
    <w:p w14:paraId="398577CD">
      <w:pPr>
        <w:spacing w:line="360" w:lineRule="auto"/>
        <w:jc w:val="center"/>
        <w:rPr>
          <w:rFonts w:ascii="宋体" w:hAnsi="宋体" w:cs="宋体"/>
          <w:b/>
          <w:color w:val="auto"/>
          <w:spacing w:val="6"/>
          <w:sz w:val="32"/>
          <w:szCs w:val="32"/>
          <w:highlight w:val="none"/>
        </w:rPr>
      </w:pPr>
    </w:p>
    <w:p w14:paraId="03765EE5">
      <w:pPr>
        <w:spacing w:line="360" w:lineRule="auto"/>
        <w:jc w:val="center"/>
        <w:rPr>
          <w:rFonts w:ascii="宋体" w:hAnsi="宋体" w:cs="宋体"/>
          <w:b/>
          <w:color w:val="auto"/>
          <w:spacing w:val="6"/>
          <w:sz w:val="32"/>
          <w:szCs w:val="32"/>
          <w:highlight w:val="none"/>
        </w:rPr>
      </w:pPr>
    </w:p>
    <w:p w14:paraId="5D20EC8A">
      <w:pPr>
        <w:spacing w:line="360" w:lineRule="auto"/>
        <w:jc w:val="center"/>
        <w:rPr>
          <w:rFonts w:ascii="宋体" w:hAnsi="宋体" w:cs="宋体"/>
          <w:b/>
          <w:color w:val="auto"/>
          <w:spacing w:val="6"/>
          <w:sz w:val="32"/>
          <w:szCs w:val="32"/>
          <w:highlight w:val="none"/>
        </w:rPr>
      </w:pPr>
    </w:p>
    <w:p w14:paraId="3CF162D0">
      <w:pPr>
        <w:spacing w:line="360" w:lineRule="auto"/>
        <w:jc w:val="center"/>
        <w:rPr>
          <w:rFonts w:ascii="宋体" w:hAnsi="宋体" w:cs="宋体"/>
          <w:b/>
          <w:color w:val="auto"/>
          <w:spacing w:val="6"/>
          <w:sz w:val="32"/>
          <w:szCs w:val="32"/>
          <w:highlight w:val="none"/>
        </w:rPr>
      </w:pPr>
    </w:p>
    <w:p w14:paraId="64E9F853">
      <w:pPr>
        <w:spacing w:line="360" w:lineRule="auto"/>
        <w:jc w:val="center"/>
        <w:rPr>
          <w:rFonts w:ascii="宋体" w:hAnsi="宋体" w:cs="宋体"/>
          <w:b/>
          <w:color w:val="auto"/>
          <w:spacing w:val="6"/>
          <w:sz w:val="32"/>
          <w:szCs w:val="32"/>
          <w:highlight w:val="none"/>
        </w:rPr>
      </w:pPr>
    </w:p>
    <w:p w14:paraId="45F15540">
      <w:pPr>
        <w:spacing w:line="360" w:lineRule="auto"/>
        <w:jc w:val="left"/>
        <w:rPr>
          <w:rFonts w:ascii="宋体" w:hAnsi="宋体" w:cs="宋体"/>
          <w:b/>
          <w:color w:val="auto"/>
          <w:spacing w:val="6"/>
          <w:sz w:val="32"/>
          <w:szCs w:val="32"/>
          <w:highlight w:val="none"/>
        </w:rPr>
      </w:pPr>
    </w:p>
    <w:p w14:paraId="46009F5A">
      <w:pPr>
        <w:spacing w:line="360" w:lineRule="auto"/>
        <w:jc w:val="left"/>
        <w:rPr>
          <w:rFonts w:ascii="宋体" w:hAnsi="宋体" w:cs="宋体"/>
          <w:b/>
          <w:color w:val="auto"/>
          <w:spacing w:val="6"/>
          <w:sz w:val="32"/>
          <w:szCs w:val="32"/>
          <w:highlight w:val="none"/>
        </w:rPr>
      </w:pPr>
    </w:p>
    <w:p w14:paraId="25535AD9">
      <w:pPr>
        <w:spacing w:line="360" w:lineRule="auto"/>
        <w:jc w:val="left"/>
        <w:rPr>
          <w:rFonts w:ascii="宋体" w:hAnsi="宋体" w:cs="宋体"/>
          <w:b/>
          <w:color w:val="auto"/>
          <w:spacing w:val="6"/>
          <w:sz w:val="32"/>
          <w:szCs w:val="32"/>
          <w:highlight w:val="none"/>
        </w:rPr>
      </w:pPr>
    </w:p>
    <w:p w14:paraId="7B6640E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9CE0160">
      <w:pPr>
        <w:spacing w:line="360" w:lineRule="auto"/>
        <w:jc w:val="center"/>
        <w:rPr>
          <w:rFonts w:ascii="宋体" w:hAnsi="宋体" w:cs="宋体"/>
          <w:b/>
          <w:color w:val="auto"/>
          <w:sz w:val="24"/>
          <w:highlight w:val="none"/>
        </w:rPr>
      </w:pPr>
    </w:p>
    <w:p w14:paraId="2470E67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E057A9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52517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32271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E07D8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AA3C4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A6BC6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401D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D0012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29B4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9CF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1EEF2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23BF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5C07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726E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D864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7B60A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C32F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采购杭州市财经职业学校税费计算与申报精品课程资源开发采购项目：</w:t>
      </w:r>
      <w:r>
        <w:rPr>
          <w:rFonts w:hint="eastAsia" w:ascii="宋体" w:hAnsi="宋体" w:cs="宋体"/>
          <w:color w:val="auto"/>
          <w:sz w:val="24"/>
          <w:highlight w:val="none"/>
          <w:u w:val="dotted"/>
        </w:rPr>
        <w:t xml:space="preserve">                                        </w:t>
      </w:r>
    </w:p>
    <w:p w14:paraId="3D11BE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5A16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9405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323F5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58E0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BD607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55B69A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2EA3C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9E6D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26E2E5D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C9F54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185F818">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C66351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50AF2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AB63E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5C263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0A7BD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E55C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5005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E585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C1EBB4">
      <w:pPr>
        <w:spacing w:line="360" w:lineRule="auto"/>
        <w:rPr>
          <w:rFonts w:ascii="宋体" w:hAnsi="宋体" w:cs="宋体"/>
          <w:b/>
          <w:color w:val="auto"/>
          <w:sz w:val="24"/>
          <w:highlight w:val="none"/>
        </w:rPr>
      </w:pPr>
    </w:p>
    <w:p w14:paraId="044F919F">
      <w:pPr>
        <w:spacing w:line="360" w:lineRule="auto"/>
        <w:rPr>
          <w:rFonts w:ascii="宋体" w:hAnsi="宋体" w:cs="宋体"/>
          <w:b/>
          <w:color w:val="auto"/>
          <w:sz w:val="24"/>
          <w:highlight w:val="none"/>
        </w:rPr>
      </w:pPr>
    </w:p>
    <w:p w14:paraId="70832D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3979C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814D0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2726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E5DCD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C01AE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E4C3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9E7ED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69D5B046">
      <w:pPr>
        <w:autoSpaceDE w:val="0"/>
        <w:autoSpaceDN w:val="0"/>
        <w:jc w:val="center"/>
        <w:rPr>
          <w:rFonts w:ascii="宋体" w:hAnsi="宋体" w:cs="宋体"/>
          <w:b/>
          <w:color w:val="auto"/>
          <w:spacing w:val="6"/>
          <w:sz w:val="32"/>
          <w:szCs w:val="32"/>
          <w:highlight w:val="none"/>
        </w:rPr>
      </w:pPr>
    </w:p>
    <w:p w14:paraId="78C8E1C9">
      <w:pPr>
        <w:autoSpaceDE w:val="0"/>
        <w:autoSpaceDN w:val="0"/>
        <w:jc w:val="center"/>
        <w:rPr>
          <w:rFonts w:ascii="宋体" w:hAnsi="宋体" w:cs="宋体"/>
          <w:b/>
          <w:color w:val="auto"/>
          <w:spacing w:val="6"/>
          <w:sz w:val="32"/>
          <w:szCs w:val="32"/>
          <w:highlight w:val="none"/>
        </w:rPr>
      </w:pPr>
    </w:p>
    <w:p w14:paraId="3733E6ED">
      <w:pPr>
        <w:autoSpaceDE w:val="0"/>
        <w:autoSpaceDN w:val="0"/>
        <w:jc w:val="center"/>
        <w:rPr>
          <w:rFonts w:ascii="宋体" w:hAnsi="宋体" w:cs="宋体"/>
          <w:b/>
          <w:color w:val="auto"/>
          <w:spacing w:val="6"/>
          <w:sz w:val="32"/>
          <w:szCs w:val="32"/>
          <w:highlight w:val="none"/>
        </w:rPr>
      </w:pPr>
    </w:p>
    <w:p w14:paraId="0ACD42F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E68F20E">
      <w:pPr>
        <w:spacing w:line="360" w:lineRule="auto"/>
        <w:rPr>
          <w:rFonts w:ascii="宋体" w:hAnsi="宋体" w:cs="宋体"/>
          <w:color w:val="auto"/>
          <w:sz w:val="24"/>
          <w:highlight w:val="none"/>
          <w:u w:val="single"/>
        </w:rPr>
      </w:pPr>
    </w:p>
    <w:p w14:paraId="293EEA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sz w:val="24"/>
          <w:highlight w:val="none"/>
          <w:u w:val="single"/>
        </w:rPr>
        <w:t>：</w:t>
      </w:r>
    </w:p>
    <w:p w14:paraId="105FC6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你方组织的杭州市财经职业学校税费计算与申报精品课程资源开发采购项目【采购编号：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9197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5937F29">
      <w:pPr>
        <w:spacing w:line="360" w:lineRule="auto"/>
        <w:ind w:firstLine="494"/>
        <w:rPr>
          <w:rFonts w:ascii="宋体" w:hAnsi="宋体" w:cs="宋体"/>
          <w:color w:val="auto"/>
          <w:sz w:val="24"/>
          <w:highlight w:val="none"/>
        </w:rPr>
      </w:pPr>
    </w:p>
    <w:p w14:paraId="7469873C">
      <w:pPr>
        <w:spacing w:line="360" w:lineRule="auto"/>
        <w:ind w:firstLine="494"/>
        <w:rPr>
          <w:rFonts w:ascii="宋体" w:hAnsi="宋体" w:cs="宋体"/>
          <w:color w:val="auto"/>
          <w:sz w:val="24"/>
          <w:highlight w:val="none"/>
        </w:rPr>
      </w:pPr>
    </w:p>
    <w:p w14:paraId="499FEFBC">
      <w:pPr>
        <w:spacing w:line="360" w:lineRule="auto"/>
        <w:ind w:firstLine="494"/>
        <w:rPr>
          <w:rFonts w:ascii="宋体" w:hAnsi="宋体" w:cs="宋体"/>
          <w:color w:val="auto"/>
          <w:sz w:val="24"/>
          <w:highlight w:val="none"/>
        </w:rPr>
      </w:pPr>
    </w:p>
    <w:p w14:paraId="6296509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7FB5B64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51FCF2">
      <w:pPr>
        <w:rPr>
          <w:rFonts w:ascii="宋体" w:hAnsi="宋体" w:cs="宋体"/>
          <w:color w:val="auto"/>
          <w:sz w:val="24"/>
          <w:highlight w:val="none"/>
        </w:rPr>
      </w:pPr>
      <w:r>
        <w:rPr>
          <w:rFonts w:hint="eastAsia" w:ascii="宋体" w:hAnsi="宋体" w:cs="宋体"/>
          <w:b/>
          <w:bCs/>
          <w:color w:val="auto"/>
          <w:sz w:val="24"/>
          <w:highlight w:val="none"/>
        </w:rPr>
        <w:t>附：</w:t>
      </w:r>
    </w:p>
    <w:p w14:paraId="1D1EA70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68313074">
      <w:pPr>
        <w:autoSpaceDE w:val="0"/>
        <w:autoSpaceDN w:val="0"/>
        <w:jc w:val="center"/>
        <w:rPr>
          <w:rFonts w:ascii="宋体" w:hAnsi="宋体" w:cs="宋体"/>
          <w:b/>
          <w:color w:val="auto"/>
          <w:spacing w:val="6"/>
          <w:sz w:val="32"/>
          <w:szCs w:val="32"/>
          <w:highlight w:val="none"/>
        </w:rPr>
      </w:pPr>
    </w:p>
    <w:p w14:paraId="0594916B">
      <w:pPr>
        <w:autoSpaceDE w:val="0"/>
        <w:autoSpaceDN w:val="0"/>
        <w:jc w:val="center"/>
        <w:rPr>
          <w:rFonts w:ascii="宋体" w:hAnsi="宋体" w:cs="宋体"/>
          <w:b/>
          <w:color w:val="auto"/>
          <w:spacing w:val="6"/>
          <w:sz w:val="32"/>
          <w:szCs w:val="32"/>
          <w:highlight w:val="none"/>
        </w:rPr>
      </w:pPr>
    </w:p>
    <w:p w14:paraId="70DA581F">
      <w:pPr>
        <w:autoSpaceDE w:val="0"/>
        <w:autoSpaceDN w:val="0"/>
        <w:jc w:val="center"/>
        <w:rPr>
          <w:rFonts w:ascii="宋体" w:hAnsi="宋体" w:cs="宋体"/>
          <w:b/>
          <w:color w:val="auto"/>
          <w:spacing w:val="6"/>
          <w:sz w:val="32"/>
          <w:szCs w:val="32"/>
          <w:highlight w:val="none"/>
        </w:rPr>
      </w:pPr>
    </w:p>
    <w:p w14:paraId="123463B0">
      <w:pPr>
        <w:snapToGrid w:val="0"/>
        <w:spacing w:line="360" w:lineRule="auto"/>
        <w:jc w:val="center"/>
        <w:outlineLvl w:val="0"/>
        <w:rPr>
          <w:rFonts w:ascii="宋体" w:hAnsi="宋体" w:cs="宋体"/>
          <w:b/>
          <w:color w:val="auto"/>
          <w:kern w:val="0"/>
          <w:sz w:val="32"/>
          <w:szCs w:val="32"/>
          <w:highlight w:val="none"/>
        </w:rPr>
      </w:pPr>
    </w:p>
    <w:p w14:paraId="0D4D9726">
      <w:pPr>
        <w:snapToGrid w:val="0"/>
        <w:spacing w:line="360" w:lineRule="auto"/>
        <w:jc w:val="center"/>
        <w:outlineLvl w:val="0"/>
        <w:rPr>
          <w:rFonts w:ascii="宋体" w:hAnsi="宋体" w:cs="宋体"/>
          <w:b/>
          <w:color w:val="auto"/>
          <w:kern w:val="0"/>
          <w:sz w:val="32"/>
          <w:szCs w:val="32"/>
          <w:highlight w:val="none"/>
        </w:rPr>
      </w:pPr>
    </w:p>
    <w:p w14:paraId="690980AB">
      <w:pPr>
        <w:snapToGrid w:val="0"/>
        <w:spacing w:line="360" w:lineRule="auto"/>
        <w:jc w:val="center"/>
        <w:outlineLvl w:val="0"/>
        <w:rPr>
          <w:rFonts w:ascii="宋体" w:hAnsi="宋体" w:cs="宋体"/>
          <w:b/>
          <w:color w:val="auto"/>
          <w:kern w:val="0"/>
          <w:sz w:val="32"/>
          <w:szCs w:val="32"/>
          <w:highlight w:val="none"/>
        </w:rPr>
      </w:pPr>
    </w:p>
    <w:p w14:paraId="09150FCF">
      <w:pPr>
        <w:snapToGrid w:val="0"/>
        <w:spacing w:line="360" w:lineRule="auto"/>
        <w:jc w:val="center"/>
        <w:outlineLvl w:val="0"/>
        <w:rPr>
          <w:rFonts w:ascii="宋体" w:hAnsi="宋体" w:cs="宋体"/>
          <w:b/>
          <w:color w:val="auto"/>
          <w:kern w:val="0"/>
          <w:sz w:val="32"/>
          <w:szCs w:val="32"/>
          <w:highlight w:val="none"/>
        </w:rPr>
      </w:pPr>
    </w:p>
    <w:p w14:paraId="7409C040">
      <w:pPr>
        <w:snapToGrid w:val="0"/>
        <w:spacing w:line="360" w:lineRule="auto"/>
        <w:jc w:val="center"/>
        <w:outlineLvl w:val="0"/>
        <w:rPr>
          <w:rFonts w:ascii="宋体" w:hAnsi="宋体" w:cs="宋体"/>
          <w:b/>
          <w:color w:val="auto"/>
          <w:kern w:val="0"/>
          <w:sz w:val="32"/>
          <w:szCs w:val="32"/>
          <w:highlight w:val="none"/>
        </w:rPr>
      </w:pPr>
    </w:p>
    <w:p w14:paraId="59A41112">
      <w:pPr>
        <w:snapToGrid w:val="0"/>
        <w:spacing w:line="360" w:lineRule="auto"/>
        <w:jc w:val="center"/>
        <w:outlineLvl w:val="0"/>
        <w:rPr>
          <w:rFonts w:ascii="宋体" w:hAnsi="宋体" w:cs="宋体"/>
          <w:b/>
          <w:color w:val="auto"/>
          <w:kern w:val="0"/>
          <w:sz w:val="32"/>
          <w:szCs w:val="32"/>
          <w:highlight w:val="none"/>
        </w:rPr>
      </w:pPr>
    </w:p>
    <w:p w14:paraId="63280A5B">
      <w:pPr>
        <w:snapToGrid w:val="0"/>
        <w:spacing w:line="360" w:lineRule="auto"/>
        <w:jc w:val="center"/>
        <w:outlineLvl w:val="0"/>
        <w:rPr>
          <w:rFonts w:ascii="宋体" w:hAnsi="宋体" w:cs="宋体"/>
          <w:b/>
          <w:color w:val="auto"/>
          <w:kern w:val="0"/>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4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4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4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4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4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EA0C9A">
      <w:pPr>
        <w:snapToGrid w:val="0"/>
        <w:spacing w:line="360" w:lineRule="auto"/>
        <w:jc w:val="center"/>
        <w:outlineLvl w:val="0"/>
        <w:rPr>
          <w:rFonts w:ascii="宋体" w:hAnsi="宋体" w:cs="宋体"/>
          <w:b/>
          <w:color w:val="auto"/>
          <w:kern w:val="0"/>
          <w:sz w:val="32"/>
          <w:szCs w:val="32"/>
          <w:highlight w:val="none"/>
        </w:rPr>
      </w:pPr>
    </w:p>
    <w:p w14:paraId="3AC2EFB4">
      <w:pPr>
        <w:pStyle w:val="21"/>
        <w:ind w:firstLine="640"/>
        <w:rPr>
          <w:rFonts w:ascii="宋体" w:hAnsi="宋体" w:cs="宋体"/>
          <w:b/>
          <w:color w:val="auto"/>
          <w:sz w:val="32"/>
          <w:szCs w:val="32"/>
          <w:highlight w:val="none"/>
        </w:rPr>
      </w:pPr>
    </w:p>
    <w:p w14:paraId="26A15F94">
      <w:pPr>
        <w:pStyle w:val="21"/>
        <w:ind w:firstLine="640"/>
        <w:rPr>
          <w:rFonts w:ascii="宋体" w:hAnsi="宋体" w:cs="宋体"/>
          <w:b/>
          <w:color w:val="auto"/>
          <w:sz w:val="32"/>
          <w:szCs w:val="32"/>
          <w:highlight w:val="none"/>
        </w:rPr>
      </w:pPr>
    </w:p>
    <w:p w14:paraId="5DE29793">
      <w:pPr>
        <w:pStyle w:val="21"/>
        <w:ind w:firstLine="640"/>
        <w:rPr>
          <w:rFonts w:ascii="宋体" w:hAnsi="宋体" w:cs="宋体"/>
          <w:b/>
          <w:color w:val="auto"/>
          <w:sz w:val="32"/>
          <w:szCs w:val="32"/>
          <w:highlight w:val="none"/>
        </w:rPr>
      </w:pPr>
    </w:p>
    <w:p w14:paraId="6969082A">
      <w:pPr>
        <w:pStyle w:val="21"/>
        <w:ind w:firstLine="640"/>
        <w:rPr>
          <w:rFonts w:ascii="宋体" w:hAnsi="宋体" w:cs="宋体"/>
          <w:b/>
          <w:color w:val="auto"/>
          <w:sz w:val="32"/>
          <w:szCs w:val="32"/>
          <w:highlight w:val="none"/>
        </w:rPr>
      </w:pPr>
    </w:p>
    <w:p w14:paraId="7F7D277E">
      <w:pPr>
        <w:pStyle w:val="21"/>
        <w:ind w:firstLine="640"/>
        <w:rPr>
          <w:rFonts w:ascii="宋体" w:hAnsi="宋体" w:cs="宋体"/>
          <w:b/>
          <w:color w:val="auto"/>
          <w:sz w:val="32"/>
          <w:szCs w:val="32"/>
          <w:highlight w:val="none"/>
        </w:rPr>
      </w:pPr>
    </w:p>
    <w:p w14:paraId="7D290623">
      <w:pPr>
        <w:pStyle w:val="21"/>
        <w:ind w:firstLine="640"/>
        <w:rPr>
          <w:rFonts w:ascii="宋体" w:hAnsi="宋体" w:cs="宋体"/>
          <w:b/>
          <w:color w:val="auto"/>
          <w:sz w:val="32"/>
          <w:szCs w:val="32"/>
          <w:highlight w:val="none"/>
        </w:rPr>
      </w:pPr>
    </w:p>
    <w:p w14:paraId="394372D7">
      <w:pPr>
        <w:pStyle w:val="21"/>
        <w:ind w:firstLine="640"/>
        <w:rPr>
          <w:rFonts w:ascii="宋体" w:hAnsi="宋体" w:cs="宋体"/>
          <w:b/>
          <w:color w:val="auto"/>
          <w:sz w:val="32"/>
          <w:szCs w:val="32"/>
          <w:highlight w:val="none"/>
        </w:rPr>
      </w:pPr>
    </w:p>
    <w:p w14:paraId="3B5CA24C">
      <w:pPr>
        <w:pStyle w:val="21"/>
        <w:ind w:firstLine="640"/>
        <w:rPr>
          <w:rFonts w:ascii="宋体" w:hAnsi="宋体" w:cs="宋体"/>
          <w:b/>
          <w:color w:val="auto"/>
          <w:sz w:val="32"/>
          <w:szCs w:val="32"/>
          <w:highlight w:val="none"/>
        </w:rPr>
      </w:pPr>
    </w:p>
    <w:p w14:paraId="67135016">
      <w:pPr>
        <w:pStyle w:val="21"/>
        <w:ind w:firstLine="640"/>
        <w:rPr>
          <w:rFonts w:ascii="宋体" w:hAnsi="宋体" w:cs="宋体"/>
          <w:b/>
          <w:color w:val="auto"/>
          <w:sz w:val="32"/>
          <w:szCs w:val="32"/>
          <w:highlight w:val="none"/>
        </w:rPr>
      </w:pPr>
    </w:p>
    <w:p w14:paraId="6202C89B">
      <w:pPr>
        <w:pStyle w:val="21"/>
        <w:ind w:firstLine="640"/>
        <w:rPr>
          <w:rFonts w:ascii="宋体" w:hAnsi="宋体" w:cs="宋体"/>
          <w:b/>
          <w:color w:val="auto"/>
          <w:sz w:val="32"/>
          <w:szCs w:val="32"/>
          <w:highlight w:val="none"/>
        </w:rPr>
      </w:pPr>
    </w:p>
    <w:p w14:paraId="225C21C7">
      <w:pPr>
        <w:pStyle w:val="21"/>
        <w:ind w:firstLine="640"/>
        <w:rPr>
          <w:rFonts w:ascii="宋体" w:hAnsi="宋体" w:cs="宋体"/>
          <w:b/>
          <w:color w:val="auto"/>
          <w:sz w:val="32"/>
          <w:szCs w:val="32"/>
          <w:highlight w:val="none"/>
        </w:rPr>
      </w:pPr>
    </w:p>
    <w:p w14:paraId="52D3DF82">
      <w:pPr>
        <w:pStyle w:val="21"/>
        <w:ind w:firstLine="640"/>
        <w:rPr>
          <w:rFonts w:ascii="宋体" w:hAnsi="宋体" w:cs="宋体"/>
          <w:b/>
          <w:color w:val="auto"/>
          <w:sz w:val="32"/>
          <w:szCs w:val="32"/>
          <w:highlight w:val="none"/>
        </w:rPr>
      </w:pPr>
    </w:p>
    <w:p w14:paraId="465E573E">
      <w:pPr>
        <w:pStyle w:val="21"/>
        <w:ind w:firstLine="640"/>
        <w:rPr>
          <w:rFonts w:ascii="宋体" w:hAnsi="宋体" w:cs="宋体"/>
          <w:b/>
          <w:color w:val="auto"/>
          <w:sz w:val="32"/>
          <w:szCs w:val="32"/>
          <w:highlight w:val="none"/>
        </w:rPr>
      </w:pPr>
    </w:p>
    <w:p w14:paraId="7DF44A5E">
      <w:pPr>
        <w:pStyle w:val="21"/>
        <w:ind w:firstLine="640"/>
        <w:rPr>
          <w:rFonts w:ascii="宋体" w:hAnsi="宋体" w:cs="宋体"/>
          <w:b/>
          <w:color w:val="auto"/>
          <w:sz w:val="32"/>
          <w:szCs w:val="32"/>
          <w:highlight w:val="none"/>
        </w:rPr>
      </w:pPr>
    </w:p>
    <w:p w14:paraId="4F303CA8">
      <w:pPr>
        <w:pStyle w:val="21"/>
        <w:ind w:firstLine="640"/>
        <w:rPr>
          <w:rFonts w:ascii="宋体" w:hAnsi="宋体" w:cs="宋体"/>
          <w:b/>
          <w:color w:val="auto"/>
          <w:sz w:val="32"/>
          <w:szCs w:val="32"/>
          <w:highlight w:val="none"/>
        </w:rPr>
      </w:pPr>
    </w:p>
    <w:p w14:paraId="50277E49">
      <w:pPr>
        <w:pStyle w:val="21"/>
        <w:ind w:firstLine="640"/>
        <w:rPr>
          <w:rFonts w:ascii="宋体" w:hAnsi="宋体" w:cs="宋体"/>
          <w:b/>
          <w:color w:val="auto"/>
          <w:sz w:val="32"/>
          <w:szCs w:val="32"/>
          <w:highlight w:val="none"/>
        </w:rPr>
      </w:pPr>
    </w:p>
    <w:p w14:paraId="558E9B35">
      <w:pPr>
        <w:pStyle w:val="21"/>
        <w:ind w:firstLine="640"/>
        <w:rPr>
          <w:rFonts w:ascii="宋体" w:hAnsi="宋体" w:cs="宋体"/>
          <w:b/>
          <w:color w:val="auto"/>
          <w:sz w:val="32"/>
          <w:szCs w:val="32"/>
          <w:highlight w:val="none"/>
        </w:rPr>
      </w:pPr>
    </w:p>
    <w:p w14:paraId="1C545D0E">
      <w:pPr>
        <w:pStyle w:val="21"/>
        <w:ind w:firstLine="640"/>
        <w:rPr>
          <w:rFonts w:ascii="宋体" w:hAnsi="宋体" w:cs="宋体"/>
          <w:b/>
          <w:color w:val="auto"/>
          <w:sz w:val="32"/>
          <w:szCs w:val="32"/>
          <w:highlight w:val="none"/>
        </w:rPr>
      </w:pPr>
    </w:p>
    <w:p w14:paraId="05AA38C4">
      <w:pPr>
        <w:pStyle w:val="21"/>
        <w:ind w:firstLine="640"/>
        <w:rPr>
          <w:rFonts w:ascii="宋体" w:hAnsi="宋体" w:cs="宋体"/>
          <w:b/>
          <w:color w:val="auto"/>
          <w:sz w:val="32"/>
          <w:szCs w:val="32"/>
          <w:highlight w:val="none"/>
        </w:rPr>
      </w:pPr>
    </w:p>
    <w:p w14:paraId="5F1409E8">
      <w:pPr>
        <w:pStyle w:val="21"/>
        <w:ind w:firstLine="640"/>
        <w:rPr>
          <w:rFonts w:ascii="宋体" w:hAnsi="宋体" w:cs="宋体"/>
          <w:b/>
          <w:color w:val="auto"/>
          <w:sz w:val="32"/>
          <w:szCs w:val="32"/>
          <w:highlight w:val="none"/>
        </w:rPr>
      </w:pPr>
    </w:p>
    <w:p w14:paraId="1EA60D8D">
      <w:pPr>
        <w:snapToGrid w:val="0"/>
        <w:spacing w:line="360" w:lineRule="auto"/>
        <w:ind w:firstLine="2333" w:firstLineChars="7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 xml:space="preserve">HZCJ-2025-009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240A5A">
      <w:pPr>
        <w:pStyle w:val="21"/>
        <w:ind w:firstLine="0" w:firstLineChars="0"/>
        <w:rPr>
          <w:rFonts w:ascii="宋体" w:hAnsi="宋体" w:cs="宋体"/>
          <w:b/>
          <w:color w:val="auto"/>
          <w:sz w:val="32"/>
          <w:szCs w:val="32"/>
          <w:highlight w:val="none"/>
        </w:rPr>
      </w:pPr>
      <w:r>
        <w:rPr>
          <w:rFonts w:hint="eastAsia" w:ascii="宋体" w:hAnsi="宋体" w:cs="宋体"/>
          <w:color w:val="auto"/>
          <w:sz w:val="24"/>
          <w:highlight w:val="none"/>
        </w:rPr>
        <w:t>注：按本格式和要求提供。</w:t>
      </w:r>
    </w:p>
    <w:p w14:paraId="33AD7BAF">
      <w:pPr>
        <w:snapToGrid w:val="0"/>
        <w:spacing w:line="200" w:lineRule="atLeast"/>
        <w:ind w:left="-178" w:leftChars="-85" w:right="-359" w:rightChars="-171" w:firstLine="630" w:firstLineChars="300"/>
        <w:rPr>
          <w:color w:val="auto"/>
          <w:highlight w:val="none"/>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国标宋体">
    <w:altName w:val="宋体"/>
    <w:panose1 w:val="020B0604020202020204"/>
    <w:charset w:val="86"/>
    <w:family w:val="auto"/>
    <w:pitch w:val="default"/>
    <w:sig w:usb0="00000000" w:usb1="00000000" w:usb2="00000000" w:usb3="00000000" w:csb0="00060007"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decorative"/>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60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9EA62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800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6A8C6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77F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6A280F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870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BDC3C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86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186E7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2777">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EE473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8EDD">
    <w:pPr>
      <w:pStyle w:val="11"/>
      <w:tabs>
        <w:tab w:val="right" w:pos="9901"/>
      </w:tabs>
      <w:ind w:right="105"/>
      <w:jc w:val="center"/>
      <w:rPr>
        <w:sz w:val="21"/>
      </w:rPr>
    </w:pPr>
    <w:r>
      <w:fldChar w:fldCharType="begin"/>
    </w:r>
    <w:r>
      <w:rPr>
        <w:rStyle w:val="17"/>
      </w:rPr>
      <w:instrText xml:space="preserve"> PAGE </w:instrText>
    </w:r>
    <w:r>
      <w:fldChar w:fldCharType="separate"/>
    </w:r>
    <w:r>
      <w:rPr>
        <w:rStyle w:val="17"/>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1EB3">
    <w:pPr>
      <w:pStyle w:val="12"/>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32A6">
    <w:pPr>
      <w:pStyle w:val="12"/>
    </w:pPr>
    <w:r>
      <w:t></w:t>
    </w:r>
    <w:r>
      <w:rPr>
        <w:rFonts w:hint="eastAsia"/>
      </w:rPr>
      <w:t xml:space="preserve">         </w:t>
    </w:r>
  </w:p>
  <w:p w14:paraId="4BCD7F80">
    <w:pPr>
      <w:pStyle w:val="12"/>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C269">
    <w:pPr>
      <w:pStyle w:val="12"/>
      <w:rPr>
        <w:rFonts w:ascii="仿宋_GB2312" w:eastAsia="仿宋_GB2312"/>
        <w:b/>
        <w:i/>
        <w:u w:val="single"/>
      </w:rPr>
    </w:pPr>
    <w:r>
      <w:t></w:t>
    </w:r>
    <w:r>
      <w:rPr>
        <w:rFonts w:hint="eastAsia"/>
      </w:rPr>
      <w:t xml:space="preserve">                                                </w:t>
    </w:r>
  </w:p>
  <w:p w14:paraId="6226AB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34F1">
    <w:pPr>
      <w:pStyle w:val="12"/>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D38">
    <w:pPr>
      <w:pStyle w:val="12"/>
      <w:jc w:val="right"/>
      <w:rPr>
        <w:rFonts w:ascii="仿宋_GB2312" w:eastAsia="仿宋_GB2312"/>
        <w:b/>
        <w:i/>
        <w:u w:val="single"/>
      </w:rPr>
    </w:pPr>
    <w:r>
      <w:rPr>
        <w:rFonts w:hint="eastAsia"/>
      </w:rPr>
      <w:t xml:space="preserve">                                 </w:t>
    </w:r>
  </w:p>
  <w:p w14:paraId="6A51AA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F838">
    <w:pPr>
      <w:pStyle w:val="1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857B">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B9216"/>
    <w:multiLevelType w:val="singleLevel"/>
    <w:tmpl w:val="90EB9216"/>
    <w:lvl w:ilvl="0" w:tentative="0">
      <w:start w:val="7"/>
      <w:numFmt w:val="chineseCounting"/>
      <w:suff w:val="space"/>
      <w:lvlText w:val="第%1章"/>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068E8"/>
    <w:rsid w:val="00123E95"/>
    <w:rsid w:val="00173950"/>
    <w:rsid w:val="001A30AA"/>
    <w:rsid w:val="001C6CD6"/>
    <w:rsid w:val="00216361"/>
    <w:rsid w:val="00284EAA"/>
    <w:rsid w:val="0030712D"/>
    <w:rsid w:val="00331F98"/>
    <w:rsid w:val="00353984"/>
    <w:rsid w:val="00356F92"/>
    <w:rsid w:val="0035791E"/>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743572"/>
    <w:rsid w:val="0075220D"/>
    <w:rsid w:val="0077794E"/>
    <w:rsid w:val="007A02B8"/>
    <w:rsid w:val="007C6E5C"/>
    <w:rsid w:val="007E4151"/>
    <w:rsid w:val="00804A76"/>
    <w:rsid w:val="0081189F"/>
    <w:rsid w:val="00830485"/>
    <w:rsid w:val="0085227E"/>
    <w:rsid w:val="00854C40"/>
    <w:rsid w:val="008A3B33"/>
    <w:rsid w:val="008D3E9C"/>
    <w:rsid w:val="008E16F9"/>
    <w:rsid w:val="009026F8"/>
    <w:rsid w:val="00922981"/>
    <w:rsid w:val="00930819"/>
    <w:rsid w:val="00947F70"/>
    <w:rsid w:val="009838F8"/>
    <w:rsid w:val="009C6D10"/>
    <w:rsid w:val="009D0C4C"/>
    <w:rsid w:val="009D4252"/>
    <w:rsid w:val="00A130D6"/>
    <w:rsid w:val="00A2671B"/>
    <w:rsid w:val="00A45DDB"/>
    <w:rsid w:val="00A478C9"/>
    <w:rsid w:val="00A5226C"/>
    <w:rsid w:val="00A74352"/>
    <w:rsid w:val="00A9555C"/>
    <w:rsid w:val="00AD739A"/>
    <w:rsid w:val="00B27211"/>
    <w:rsid w:val="00BD0760"/>
    <w:rsid w:val="00C53F06"/>
    <w:rsid w:val="00C61C1B"/>
    <w:rsid w:val="00C652E7"/>
    <w:rsid w:val="00C745B1"/>
    <w:rsid w:val="00C77606"/>
    <w:rsid w:val="00C853D8"/>
    <w:rsid w:val="00CC4A45"/>
    <w:rsid w:val="00CC4B15"/>
    <w:rsid w:val="00CD3B20"/>
    <w:rsid w:val="00CF3BE2"/>
    <w:rsid w:val="00D07B94"/>
    <w:rsid w:val="00DB4ED8"/>
    <w:rsid w:val="00DD0F5B"/>
    <w:rsid w:val="00E502EC"/>
    <w:rsid w:val="00E921DC"/>
    <w:rsid w:val="00E929EF"/>
    <w:rsid w:val="00EB7274"/>
    <w:rsid w:val="00F13695"/>
    <w:rsid w:val="00F76FF5"/>
    <w:rsid w:val="00FD563E"/>
    <w:rsid w:val="00FE4E8C"/>
    <w:rsid w:val="01820D72"/>
    <w:rsid w:val="019305D6"/>
    <w:rsid w:val="01940FE4"/>
    <w:rsid w:val="032729CD"/>
    <w:rsid w:val="085F1E28"/>
    <w:rsid w:val="087D4524"/>
    <w:rsid w:val="08FA2305"/>
    <w:rsid w:val="09F6528F"/>
    <w:rsid w:val="0BBB4F0E"/>
    <w:rsid w:val="11D413CD"/>
    <w:rsid w:val="12C34799"/>
    <w:rsid w:val="139317F9"/>
    <w:rsid w:val="13F53078"/>
    <w:rsid w:val="1433594E"/>
    <w:rsid w:val="199D412A"/>
    <w:rsid w:val="1BFD6C2F"/>
    <w:rsid w:val="1C5B3C94"/>
    <w:rsid w:val="1CEF0700"/>
    <w:rsid w:val="1CFE3C1C"/>
    <w:rsid w:val="1E75452A"/>
    <w:rsid w:val="21F63E4D"/>
    <w:rsid w:val="249446C0"/>
    <w:rsid w:val="28413C60"/>
    <w:rsid w:val="2BF0106E"/>
    <w:rsid w:val="2C466BA2"/>
    <w:rsid w:val="30FD1F54"/>
    <w:rsid w:val="313C03D1"/>
    <w:rsid w:val="35694E5F"/>
    <w:rsid w:val="37695060"/>
    <w:rsid w:val="38CA43A9"/>
    <w:rsid w:val="3AD30E64"/>
    <w:rsid w:val="3BC25A8D"/>
    <w:rsid w:val="3DFD7A88"/>
    <w:rsid w:val="403911C3"/>
    <w:rsid w:val="43407B62"/>
    <w:rsid w:val="438D4C2F"/>
    <w:rsid w:val="43B043DC"/>
    <w:rsid w:val="4434184E"/>
    <w:rsid w:val="461D26EB"/>
    <w:rsid w:val="494675D8"/>
    <w:rsid w:val="49825CAA"/>
    <w:rsid w:val="4B6155FC"/>
    <w:rsid w:val="4C8421D5"/>
    <w:rsid w:val="4D4A1A92"/>
    <w:rsid w:val="4DF176EF"/>
    <w:rsid w:val="4EB237AC"/>
    <w:rsid w:val="4F8B751C"/>
    <w:rsid w:val="58AE5C77"/>
    <w:rsid w:val="58C13E3C"/>
    <w:rsid w:val="5B122177"/>
    <w:rsid w:val="5C8A055B"/>
    <w:rsid w:val="5CA670B1"/>
    <w:rsid w:val="622E411C"/>
    <w:rsid w:val="624D40D3"/>
    <w:rsid w:val="657C1D0C"/>
    <w:rsid w:val="68F32BC0"/>
    <w:rsid w:val="6AC4089E"/>
    <w:rsid w:val="6D1C60F5"/>
    <w:rsid w:val="72AF79A6"/>
    <w:rsid w:val="732A4301"/>
    <w:rsid w:val="74C04F97"/>
    <w:rsid w:val="74CA324B"/>
    <w:rsid w:val="767F0A66"/>
    <w:rsid w:val="76892720"/>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3"/>
    <w:qFormat/>
    <w:uiPriority w:val="0"/>
    <w:pPr>
      <w:jc w:val="left"/>
    </w:pPr>
  </w:style>
  <w:style w:type="paragraph" w:styleId="7">
    <w:name w:val="Body Text"/>
    <w:basedOn w:val="1"/>
    <w:qFormat/>
    <w:uiPriority w:val="0"/>
    <w:pPr>
      <w:spacing w:after="120"/>
    </w:pPr>
    <w:rPr>
      <w:sz w:val="28"/>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31"/>
    <w:qFormat/>
    <w:uiPriority w:val="0"/>
    <w:rPr>
      <w:rFonts w:ascii="宋体" w:hAnsi="Courier New" w:cs="Arial"/>
      <w:snapToGrid w:val="0"/>
      <w:szCs w:val="21"/>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32"/>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eastAsia="Arial"/>
    </w:rPr>
  </w:style>
  <w:style w:type="character" w:styleId="18">
    <w:name w:val="FollowedHyperlink"/>
    <w:basedOn w:val="16"/>
    <w:uiPriority w:val="0"/>
    <w:rPr>
      <w:color w:val="5579A7"/>
      <w:u w:val="none"/>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6"/>
    <w:qFormat/>
    <w:uiPriority w:val="0"/>
    <w:rPr>
      <w:sz w:val="21"/>
      <w:szCs w:val="21"/>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0">
    <w:name w:val="批注框文本 字符"/>
    <w:basedOn w:val="16"/>
    <w:link w:val="10"/>
    <w:qFormat/>
    <w:uiPriority w:val="0"/>
    <w:rPr>
      <w:rFonts w:ascii="Times New Roman" w:hAnsi="Times New Roman" w:eastAsia="宋体" w:cs="Times New Roman"/>
      <w:kern w:val="2"/>
      <w:sz w:val="18"/>
      <w:szCs w:val="18"/>
    </w:rPr>
  </w:style>
  <w:style w:type="character" w:customStyle="1" w:styleId="31">
    <w:name w:val="纯文本 字符"/>
    <w:basedOn w:val="16"/>
    <w:link w:val="9"/>
    <w:qFormat/>
    <w:uiPriority w:val="0"/>
    <w:rPr>
      <w:rFonts w:ascii="宋体" w:hAnsi="Courier New" w:eastAsia="宋体" w:cs="Arial"/>
      <w:snapToGrid w:val="0"/>
      <w:kern w:val="2"/>
      <w:sz w:val="21"/>
      <w:szCs w:val="21"/>
    </w:rPr>
  </w:style>
  <w:style w:type="character" w:customStyle="1" w:styleId="32">
    <w:name w:val="页眉 字符"/>
    <w:link w:val="12"/>
    <w:qFormat/>
    <w:uiPriority w:val="99"/>
    <w:rPr>
      <w:rFonts w:eastAsia="宋体"/>
      <w:kern w:val="2"/>
      <w:sz w:val="18"/>
      <w:szCs w:val="18"/>
    </w:rPr>
  </w:style>
  <w:style w:type="character" w:customStyle="1" w:styleId="33">
    <w:name w:val="批注文字 字符"/>
    <w:basedOn w:val="16"/>
    <w:link w:val="6"/>
    <w:qFormat/>
    <w:uiPriority w:val="0"/>
    <w:rPr>
      <w:rFonts w:ascii="Times New Roman" w:hAnsi="Times New Roman" w:eastAsia="宋体" w:cs="Times New Roman"/>
      <w:kern w:val="2"/>
      <w:sz w:val="21"/>
      <w:szCs w:val="24"/>
    </w:rPr>
  </w:style>
  <w:style w:type="character" w:customStyle="1" w:styleId="34">
    <w:name w:val="批注主题 字符"/>
    <w:basedOn w:val="33"/>
    <w:link w:val="13"/>
    <w:qFormat/>
    <w:uiPriority w:val="0"/>
    <w:rPr>
      <w:rFonts w:ascii="Times New Roman" w:hAnsi="Times New Roman" w:eastAsia="宋体" w:cs="Times New Roman"/>
      <w:b/>
      <w:bCs/>
      <w:kern w:val="2"/>
      <w:sz w:val="21"/>
      <w:szCs w:val="24"/>
    </w:rPr>
  </w:style>
  <w:style w:type="paragraph" w:customStyle="1" w:styleId="35">
    <w:name w:val="p0"/>
    <w:basedOn w:val="1"/>
    <w:qFormat/>
    <w:uiPriority w:val="0"/>
    <w:pPr>
      <w:widowControl/>
      <w:adjustRightInd/>
    </w:pPr>
    <w:rPr>
      <w:kern w:val="0"/>
      <w:szCs w:val="21"/>
    </w:rPr>
  </w:style>
  <w:style w:type="paragraph" w:customStyle="1" w:styleId="36">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paragraph" w:customStyle="1" w:styleId="3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
    <w:name w:val="纯文本1"/>
    <w:basedOn w:val="1"/>
    <w:qFormat/>
    <w:uiPriority w:val="0"/>
    <w:pPr>
      <w:adjustRightInd/>
    </w:pPr>
    <w:rPr>
      <w:rFonts w:ascii="宋体" w:hAnsi="Courier New"/>
      <w:kern w:val="0"/>
      <w:sz w:val="20"/>
      <w:szCs w:val="20"/>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jbox-icon-info"/>
    <w:basedOn w:val="16"/>
    <w:uiPriority w:val="0"/>
  </w:style>
  <w:style w:type="character" w:customStyle="1" w:styleId="43">
    <w:name w:val="jbox-icon-question"/>
    <w:basedOn w:val="16"/>
    <w:uiPriority w:val="0"/>
  </w:style>
  <w:style w:type="character" w:customStyle="1" w:styleId="44">
    <w:name w:val="jbox-icon"/>
    <w:basedOn w:val="16"/>
    <w:uiPriority w:val="0"/>
  </w:style>
  <w:style w:type="character" w:customStyle="1" w:styleId="45">
    <w:name w:val="jbox-icon-warning"/>
    <w:basedOn w:val="16"/>
    <w:uiPriority w:val="0"/>
  </w:style>
  <w:style w:type="character" w:customStyle="1" w:styleId="46">
    <w:name w:val="jbox-icon-success"/>
    <w:basedOn w:val="16"/>
    <w:uiPriority w:val="0"/>
  </w:style>
  <w:style w:type="character" w:customStyle="1" w:styleId="47">
    <w:name w:val="jbox-icon-error"/>
    <w:basedOn w:val="16"/>
    <w:uiPriority w:val="0"/>
  </w:style>
  <w:style w:type="character" w:customStyle="1" w:styleId="48">
    <w:name w:val="jbox-icon-none"/>
    <w:basedOn w:val="16"/>
    <w:uiPriority w:val="0"/>
    <w:rPr>
      <w:vanish/>
    </w:rPr>
  </w:style>
  <w:style w:type="character" w:customStyle="1" w:styleId="49">
    <w:name w:val="jbox-icon-loading"/>
    <w:basedOn w:val="16"/>
    <w:qFormat/>
    <w:uiPriority w:val="0"/>
  </w:style>
  <w:style w:type="character" w:customStyle="1" w:styleId="50">
    <w:name w:val="text"/>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9BF9B-AB29-4287-A7D5-557EDE10BE22}">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12083</Words>
  <Characters>13039</Characters>
  <Lines>308</Lines>
  <Paragraphs>86</Paragraphs>
  <TotalTime>42</TotalTime>
  <ScaleCrop>false</ScaleCrop>
  <LinksUpToDate>false</LinksUpToDate>
  <CharactersWithSpaces>13362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2025-06-27T12:44:58Z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74E3F7F65C2D48FDBB5CE25C594A3C07_13</vt:lpwstr>
  </property>
  <property fmtid="{D5CDD505-2E9C-101B-9397-08002B2CF9AE}" pid="4" name="KSOTemplateDocerSaveRecord">
    <vt:lpwstr>eyJoZGlkIjoiNWU4OTUwMGQ5YjY1YThhNzFjNWJhNGZjYTBmNTM5MzUiLCJ1c2VySWQiOiIyODMyNjMxNzUifQ==</vt:lpwstr>
  </property>
</Properties>
</file>