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2D6A">
      <w:pPr>
        <w:adjustRightInd/>
        <w:spacing w:line="360" w:lineRule="auto"/>
        <w:rPr>
          <w:rFonts w:ascii="仿宋" w:hAnsi="仿宋" w:eastAsia="仿宋" w:cs="仿宋"/>
          <w:b/>
          <w:bCs/>
          <w:color w:val="auto"/>
          <w:spacing w:val="-23"/>
          <w:sz w:val="44"/>
          <w:szCs w:val="44"/>
          <w:highlight w:val="none"/>
        </w:rPr>
      </w:pPr>
    </w:p>
    <w:p w14:paraId="4B9EB1BE">
      <w:pPr>
        <w:pStyle w:val="3"/>
        <w:rPr>
          <w:color w:val="auto"/>
          <w:sz w:val="48"/>
          <w:szCs w:val="48"/>
          <w:highlight w:val="none"/>
        </w:rPr>
      </w:pPr>
      <w:r>
        <w:rPr>
          <w:rFonts w:hint="eastAsia"/>
          <w:color w:val="auto"/>
          <w:sz w:val="48"/>
          <w:szCs w:val="48"/>
          <w:highlight w:val="none"/>
        </w:rPr>
        <w:t>高桥初中礼堂椅采购项目</w:t>
      </w:r>
    </w:p>
    <w:p w14:paraId="3399E980">
      <w:pPr>
        <w:rPr>
          <w:color w:val="auto"/>
          <w:highlight w:val="none"/>
        </w:rPr>
      </w:pPr>
    </w:p>
    <w:p w14:paraId="142B281C">
      <w:pPr>
        <w:adjustRightInd/>
        <w:spacing w:line="360" w:lineRule="auto"/>
        <w:jc w:val="center"/>
        <w:rPr>
          <w:rFonts w:ascii="仿宋" w:hAnsi="仿宋" w:eastAsia="仿宋" w:cs="仿宋"/>
          <w:b/>
          <w:color w:val="auto"/>
          <w:sz w:val="56"/>
          <w:szCs w:val="72"/>
          <w:highlight w:val="none"/>
        </w:rPr>
      </w:pPr>
      <w:r>
        <w:rPr>
          <w:rFonts w:hint="eastAsia" w:ascii="仿宋" w:hAnsi="仿宋" w:eastAsia="仿宋" w:cs="仿宋"/>
          <w:b/>
          <w:bCs/>
          <w:color w:val="auto"/>
          <w:sz w:val="72"/>
          <w:szCs w:val="72"/>
          <w:highlight w:val="none"/>
        </w:rPr>
        <w:t>交易文件</w:t>
      </w:r>
      <w:r>
        <w:rPr>
          <w:rFonts w:hint="eastAsia" w:ascii="仿宋" w:hAnsi="仿宋" w:eastAsia="仿宋" w:cs="仿宋"/>
          <w:b/>
          <w:color w:val="auto"/>
          <w:sz w:val="56"/>
          <w:szCs w:val="72"/>
          <w:highlight w:val="none"/>
        </w:rPr>
        <w:br w:type="textWrapping"/>
      </w:r>
    </w:p>
    <w:p w14:paraId="708BF270">
      <w:pPr>
        <w:pStyle w:val="3"/>
        <w:rPr>
          <w:color w:val="auto"/>
          <w:highlight w:val="none"/>
        </w:rPr>
      </w:pPr>
    </w:p>
    <w:p w14:paraId="52D8F66C">
      <w:pPr>
        <w:snapToGrid w:val="0"/>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0"/>
          <w:szCs w:val="30"/>
          <w:highlight w:val="none"/>
        </w:rPr>
        <w:t>交易编号:</w:t>
      </w:r>
      <w:r>
        <w:rPr>
          <w:rFonts w:hint="eastAsia" w:ascii="仿宋" w:hAnsi="仿宋" w:eastAsia="仿宋" w:cs="仿宋"/>
          <w:color w:val="auto"/>
          <w:sz w:val="30"/>
          <w:szCs w:val="30"/>
          <w:highlight w:val="none"/>
          <w:lang w:val="en-US" w:eastAsia="zh-CN"/>
        </w:rPr>
        <w:t>XS-2025-06</w:t>
      </w:r>
    </w:p>
    <w:p w14:paraId="13EB2EAF">
      <w:pPr>
        <w:pStyle w:val="3"/>
        <w:jc w:val="both"/>
        <w:rPr>
          <w:rFonts w:cs="仿宋"/>
          <w:color w:val="auto"/>
          <w:sz w:val="32"/>
          <w:szCs w:val="32"/>
          <w:highlight w:val="none"/>
        </w:rPr>
      </w:pPr>
    </w:p>
    <w:p w14:paraId="048D4A29">
      <w:pPr>
        <w:rPr>
          <w:rFonts w:ascii="仿宋" w:hAnsi="仿宋" w:eastAsia="仿宋" w:cs="仿宋"/>
          <w:color w:val="auto"/>
          <w:sz w:val="32"/>
          <w:szCs w:val="32"/>
          <w:highlight w:val="none"/>
        </w:rPr>
      </w:pPr>
    </w:p>
    <w:p w14:paraId="0B7D9F3D">
      <w:pPr>
        <w:pStyle w:val="60"/>
        <w:ind w:firstLine="640"/>
        <w:rPr>
          <w:rFonts w:ascii="仿宋" w:hAnsi="仿宋" w:eastAsia="仿宋" w:cs="仿宋"/>
          <w:color w:val="auto"/>
          <w:sz w:val="32"/>
          <w:szCs w:val="32"/>
          <w:highlight w:val="none"/>
        </w:rPr>
      </w:pPr>
    </w:p>
    <w:p w14:paraId="530B0014">
      <w:pPr>
        <w:pStyle w:val="60"/>
        <w:ind w:firstLine="640"/>
        <w:rPr>
          <w:rFonts w:ascii="仿宋" w:hAnsi="仿宋" w:eastAsia="仿宋" w:cs="仿宋"/>
          <w:color w:val="auto"/>
          <w:sz w:val="32"/>
          <w:szCs w:val="32"/>
          <w:highlight w:val="none"/>
        </w:rPr>
      </w:pPr>
    </w:p>
    <w:p w14:paraId="5F6CDA26">
      <w:pPr>
        <w:pStyle w:val="60"/>
        <w:ind w:firstLine="640"/>
        <w:rPr>
          <w:rFonts w:ascii="仿宋" w:hAnsi="仿宋" w:eastAsia="仿宋" w:cs="仿宋"/>
          <w:color w:val="auto"/>
          <w:sz w:val="32"/>
          <w:szCs w:val="32"/>
          <w:highlight w:val="none"/>
        </w:rPr>
      </w:pPr>
    </w:p>
    <w:p w14:paraId="7BD3A73A">
      <w:pPr>
        <w:pStyle w:val="60"/>
        <w:ind w:firstLine="640"/>
        <w:rPr>
          <w:rFonts w:ascii="仿宋" w:hAnsi="仿宋" w:eastAsia="仿宋" w:cs="仿宋"/>
          <w:color w:val="auto"/>
          <w:sz w:val="32"/>
          <w:szCs w:val="32"/>
          <w:highlight w:val="none"/>
        </w:rPr>
      </w:pPr>
    </w:p>
    <w:p w14:paraId="4B0B7D50">
      <w:pPr>
        <w:pStyle w:val="60"/>
        <w:ind w:firstLine="640"/>
        <w:rPr>
          <w:rFonts w:ascii="仿宋" w:hAnsi="仿宋" w:eastAsia="仿宋" w:cs="仿宋"/>
          <w:color w:val="auto"/>
          <w:sz w:val="32"/>
          <w:szCs w:val="32"/>
          <w:highlight w:val="none"/>
        </w:rPr>
      </w:pPr>
    </w:p>
    <w:p w14:paraId="787EDD08">
      <w:pPr>
        <w:pStyle w:val="60"/>
        <w:ind w:firstLine="640"/>
        <w:rPr>
          <w:rFonts w:ascii="仿宋" w:hAnsi="仿宋" w:eastAsia="仿宋" w:cs="仿宋"/>
          <w:color w:val="auto"/>
          <w:sz w:val="32"/>
          <w:szCs w:val="32"/>
          <w:highlight w:val="none"/>
        </w:rPr>
      </w:pPr>
    </w:p>
    <w:p w14:paraId="067E5802">
      <w:pPr>
        <w:spacing w:line="360" w:lineRule="auto"/>
        <w:ind w:firstLine="720" w:firstLineChars="200"/>
        <w:jc w:val="center"/>
        <w:rPr>
          <w:rFonts w:hint="eastAsia" w:ascii="仿宋" w:hAnsi="仿宋" w:eastAsia="仿宋" w:cs="仿宋"/>
          <w:bCs/>
          <w:color w:val="auto"/>
          <w:sz w:val="36"/>
          <w:szCs w:val="36"/>
          <w:highlight w:val="none"/>
          <w:lang w:val="en-US" w:eastAsia="zh-CN"/>
        </w:rPr>
      </w:pPr>
      <w:r>
        <w:rPr>
          <w:rFonts w:hint="eastAsia" w:ascii="仿宋" w:hAnsi="仿宋" w:eastAsia="仿宋" w:cs="仿宋"/>
          <w:bCs/>
          <w:color w:val="auto"/>
          <w:sz w:val="36"/>
          <w:szCs w:val="36"/>
          <w:highlight w:val="none"/>
          <w:lang w:val="en-US" w:eastAsia="zh-CN"/>
        </w:rPr>
        <w:t>杭州市萧山区教育局</w:t>
      </w:r>
    </w:p>
    <w:p w14:paraId="7C5FE42C">
      <w:pPr>
        <w:snapToGrid w:val="0"/>
        <w:spacing w:line="360" w:lineRule="auto"/>
        <w:jc w:val="center"/>
        <w:rPr>
          <w:rFonts w:hint="eastAsia" w:ascii="仿宋" w:hAnsi="仿宋" w:eastAsia="仿宋" w:cs="仿宋"/>
          <w:bCs/>
          <w:color w:val="auto"/>
          <w:sz w:val="36"/>
          <w:szCs w:val="36"/>
          <w:highlight w:val="none"/>
          <w:lang w:val="en-US" w:eastAsia="zh-CN"/>
        </w:rPr>
      </w:pPr>
      <w:r>
        <w:rPr>
          <w:rFonts w:hint="eastAsia" w:ascii="仿宋" w:hAnsi="仿宋" w:eastAsia="仿宋" w:cs="仿宋"/>
          <w:bCs/>
          <w:color w:val="auto"/>
          <w:sz w:val="36"/>
          <w:szCs w:val="36"/>
          <w:highlight w:val="none"/>
          <w:lang w:val="en-US" w:eastAsia="zh-CN"/>
        </w:rPr>
        <w:t xml:space="preserve">   中冠工程管理咨询有限公司</w:t>
      </w:r>
    </w:p>
    <w:p w14:paraId="2ABE4F82">
      <w:pPr>
        <w:snapToGrid w:val="0"/>
        <w:spacing w:line="360" w:lineRule="auto"/>
        <w:jc w:val="center"/>
        <w:rPr>
          <w:rFonts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 xml:space="preserve">  2025年</w:t>
      </w:r>
      <w:r>
        <w:rPr>
          <w:rFonts w:hint="eastAsia" w:ascii="仿宋" w:hAnsi="仿宋" w:eastAsia="仿宋" w:cs="仿宋"/>
          <w:bCs/>
          <w:color w:val="auto"/>
          <w:sz w:val="36"/>
          <w:szCs w:val="36"/>
          <w:highlight w:val="none"/>
          <w:lang w:val="en-US" w:eastAsia="zh-CN"/>
        </w:rPr>
        <w:t>7</w:t>
      </w:r>
      <w:r>
        <w:rPr>
          <w:rFonts w:hint="eastAsia" w:ascii="仿宋" w:hAnsi="仿宋" w:eastAsia="仿宋" w:cs="仿宋"/>
          <w:bCs/>
          <w:color w:val="auto"/>
          <w:sz w:val="36"/>
          <w:szCs w:val="36"/>
          <w:highlight w:val="none"/>
        </w:rPr>
        <w:t>月</w:t>
      </w:r>
      <w:r>
        <w:rPr>
          <w:rFonts w:hint="eastAsia" w:ascii="仿宋" w:hAnsi="仿宋" w:eastAsia="仿宋" w:cs="仿宋"/>
          <w:bCs/>
          <w:color w:val="auto"/>
          <w:sz w:val="36"/>
          <w:szCs w:val="36"/>
          <w:highlight w:val="none"/>
          <w:lang w:val="en-US" w:eastAsia="zh-CN"/>
        </w:rPr>
        <w:t>1</w:t>
      </w:r>
      <w:r>
        <w:rPr>
          <w:rFonts w:hint="eastAsia" w:ascii="仿宋" w:hAnsi="仿宋" w:eastAsia="仿宋" w:cs="仿宋"/>
          <w:bCs/>
          <w:color w:val="auto"/>
          <w:sz w:val="36"/>
          <w:szCs w:val="36"/>
          <w:highlight w:val="none"/>
        </w:rPr>
        <w:t>日</w:t>
      </w:r>
    </w:p>
    <w:p w14:paraId="75488B54">
      <w:pPr>
        <w:spacing w:line="360" w:lineRule="auto"/>
        <w:jc w:val="center"/>
        <w:rPr>
          <w:rFonts w:ascii="仿宋" w:hAnsi="仿宋" w:eastAsia="仿宋" w:cs="仿宋"/>
          <w:bCs/>
          <w:color w:val="auto"/>
          <w:sz w:val="32"/>
          <w:szCs w:val="32"/>
          <w:highlight w:val="none"/>
        </w:rPr>
      </w:pPr>
    </w:p>
    <w:p w14:paraId="30203D45">
      <w:pPr>
        <w:pStyle w:val="72"/>
        <w:spacing w:before="120"/>
        <w:ind w:firstLine="640"/>
        <w:rPr>
          <w:rFonts w:ascii="仿宋" w:hAnsi="仿宋" w:eastAsia="仿宋" w:cs="仿宋"/>
          <w:bCs/>
          <w:color w:val="auto"/>
          <w:sz w:val="32"/>
          <w:szCs w:val="32"/>
          <w:highlight w:val="none"/>
        </w:rPr>
      </w:pPr>
    </w:p>
    <w:p w14:paraId="43A76A9E">
      <w:pPr>
        <w:pStyle w:val="72"/>
        <w:spacing w:before="120"/>
        <w:ind w:firstLine="640"/>
        <w:rPr>
          <w:rFonts w:ascii="仿宋" w:hAnsi="仿宋" w:eastAsia="仿宋" w:cs="仿宋"/>
          <w:bCs/>
          <w:color w:val="auto"/>
          <w:sz w:val="32"/>
          <w:szCs w:val="32"/>
          <w:highlight w:val="none"/>
        </w:rPr>
      </w:pPr>
    </w:p>
    <w:p w14:paraId="18A49731">
      <w:pPr>
        <w:spacing w:line="360" w:lineRule="auto"/>
        <w:jc w:val="center"/>
        <w:rPr>
          <w:rFonts w:ascii="仿宋" w:hAnsi="仿宋" w:eastAsia="仿宋" w:cs="仿宋"/>
          <w:b/>
          <w:color w:val="auto"/>
          <w:sz w:val="48"/>
          <w:szCs w:val="48"/>
          <w:highlight w:val="none"/>
        </w:rPr>
      </w:pPr>
      <w:bookmarkStart w:id="0" w:name="_Hlt67893495"/>
      <w:bookmarkEnd w:id="0"/>
      <w:r>
        <w:rPr>
          <w:rFonts w:hint="eastAsia" w:ascii="仿宋" w:hAnsi="仿宋" w:eastAsia="仿宋" w:cs="仿宋"/>
          <w:b/>
          <w:color w:val="auto"/>
          <w:sz w:val="48"/>
          <w:szCs w:val="48"/>
          <w:highlight w:val="none"/>
        </w:rPr>
        <w:t>目  录</w:t>
      </w:r>
    </w:p>
    <w:p w14:paraId="4B3343DD">
      <w:pPr>
        <w:spacing w:line="360" w:lineRule="auto"/>
        <w:jc w:val="center"/>
        <w:rPr>
          <w:rFonts w:ascii="仿宋" w:hAnsi="仿宋" w:eastAsia="仿宋" w:cs="仿宋"/>
          <w:color w:val="auto"/>
          <w:sz w:val="32"/>
          <w:szCs w:val="32"/>
          <w:highlight w:val="none"/>
        </w:rPr>
      </w:pPr>
    </w:p>
    <w:p w14:paraId="224F0723">
      <w:pPr>
        <w:spacing w:line="360" w:lineRule="auto"/>
        <w:rPr>
          <w:rFonts w:ascii="仿宋" w:hAnsi="仿宋" w:eastAsia="仿宋" w:cs="仿宋"/>
          <w:color w:val="auto"/>
          <w:sz w:val="32"/>
          <w:szCs w:val="32"/>
          <w:highlight w:val="none"/>
        </w:rPr>
      </w:pPr>
    </w:p>
    <w:p w14:paraId="5FC5032C">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交易公告</w:t>
      </w:r>
    </w:p>
    <w:p w14:paraId="6CEBDD3D">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响应人须知</w:t>
      </w:r>
    </w:p>
    <w:p w14:paraId="74DF4751">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交易需求</w:t>
      </w:r>
    </w:p>
    <w:p w14:paraId="2FBA570F">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评标方法及评分标准</w:t>
      </w:r>
    </w:p>
    <w:p w14:paraId="3A7A540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775468F">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73249799">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10435852">
      <w:pPr>
        <w:spacing w:line="360" w:lineRule="auto"/>
        <w:ind w:firstLine="549" w:firstLineChars="229"/>
        <w:rPr>
          <w:rFonts w:ascii="仿宋" w:hAnsi="仿宋" w:eastAsia="仿宋" w:cs="仿宋"/>
          <w:color w:val="auto"/>
          <w:sz w:val="24"/>
          <w:highlight w:val="none"/>
        </w:rPr>
      </w:pPr>
    </w:p>
    <w:p w14:paraId="68CE8B95">
      <w:pPr>
        <w:spacing w:line="360" w:lineRule="auto"/>
        <w:ind w:firstLine="549" w:firstLineChars="229"/>
        <w:rPr>
          <w:rFonts w:ascii="仿宋" w:hAnsi="仿宋" w:eastAsia="仿宋" w:cs="仿宋"/>
          <w:color w:val="auto"/>
          <w:sz w:val="24"/>
          <w:highlight w:val="none"/>
        </w:rPr>
      </w:pPr>
    </w:p>
    <w:p w14:paraId="062BD08E">
      <w:pPr>
        <w:spacing w:line="360" w:lineRule="auto"/>
        <w:ind w:firstLine="549" w:firstLineChars="229"/>
        <w:rPr>
          <w:rFonts w:ascii="仿宋" w:hAnsi="仿宋" w:eastAsia="仿宋" w:cs="仿宋"/>
          <w:color w:val="auto"/>
          <w:sz w:val="24"/>
          <w:highlight w:val="none"/>
        </w:rPr>
      </w:pPr>
    </w:p>
    <w:p w14:paraId="7A72FF9A">
      <w:pPr>
        <w:spacing w:line="360" w:lineRule="auto"/>
        <w:ind w:firstLine="549" w:firstLineChars="229"/>
        <w:rPr>
          <w:rFonts w:ascii="仿宋" w:hAnsi="仿宋" w:eastAsia="仿宋" w:cs="仿宋"/>
          <w:color w:val="auto"/>
          <w:sz w:val="24"/>
          <w:highlight w:val="none"/>
        </w:rPr>
      </w:pPr>
    </w:p>
    <w:p w14:paraId="250B9E85">
      <w:pPr>
        <w:spacing w:line="360" w:lineRule="auto"/>
        <w:ind w:firstLine="549" w:firstLineChars="229"/>
        <w:rPr>
          <w:rFonts w:ascii="仿宋" w:hAnsi="仿宋" w:eastAsia="仿宋" w:cs="仿宋"/>
          <w:color w:val="auto"/>
          <w:sz w:val="24"/>
          <w:highlight w:val="none"/>
        </w:rPr>
      </w:pPr>
    </w:p>
    <w:p w14:paraId="16D6ABD9">
      <w:pPr>
        <w:spacing w:line="360" w:lineRule="auto"/>
        <w:ind w:firstLine="549" w:firstLineChars="229"/>
        <w:rPr>
          <w:rFonts w:ascii="仿宋" w:hAnsi="仿宋" w:eastAsia="仿宋" w:cs="仿宋"/>
          <w:color w:val="auto"/>
          <w:sz w:val="24"/>
          <w:highlight w:val="none"/>
        </w:rPr>
      </w:pPr>
    </w:p>
    <w:p w14:paraId="238D9082">
      <w:pPr>
        <w:spacing w:line="360" w:lineRule="auto"/>
        <w:ind w:firstLine="549" w:firstLineChars="229"/>
        <w:rPr>
          <w:rFonts w:ascii="仿宋" w:hAnsi="仿宋" w:eastAsia="仿宋" w:cs="仿宋"/>
          <w:color w:val="auto"/>
          <w:sz w:val="24"/>
          <w:highlight w:val="none"/>
        </w:rPr>
      </w:pPr>
    </w:p>
    <w:p w14:paraId="50399CF2">
      <w:pPr>
        <w:spacing w:line="360" w:lineRule="auto"/>
        <w:ind w:firstLine="549" w:firstLineChars="229"/>
        <w:rPr>
          <w:rFonts w:ascii="仿宋" w:hAnsi="仿宋" w:eastAsia="仿宋" w:cs="仿宋"/>
          <w:color w:val="auto"/>
          <w:sz w:val="24"/>
          <w:highlight w:val="none"/>
        </w:rPr>
      </w:pPr>
    </w:p>
    <w:p w14:paraId="7F1BE8E5">
      <w:pPr>
        <w:pStyle w:val="3"/>
        <w:rPr>
          <w:rFonts w:cs="仿宋"/>
          <w:color w:val="auto"/>
          <w:highlight w:val="none"/>
        </w:rPr>
      </w:pPr>
      <w:bookmarkStart w:id="3" w:name="第一部分"/>
      <w:r>
        <w:rPr>
          <w:rFonts w:hint="eastAsia" w:cs="仿宋"/>
          <w:color w:val="auto"/>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
          <w:color w:val="auto"/>
          <w:highlight w:val="none"/>
        </w:rPr>
        <w:t>第一部分 交易公告</w:t>
      </w:r>
    </w:p>
    <w:p w14:paraId="0FED531C">
      <w:pPr>
        <w:pBdr>
          <w:top w:val="single" w:color="auto" w:sz="4" w:space="1"/>
          <w:left w:val="single" w:color="auto" w:sz="4" w:space="4"/>
          <w:bottom w:val="single" w:color="auto" w:sz="4" w:space="1"/>
          <w:right w:val="single" w:color="auto" w:sz="4" w:space="4"/>
        </w:pBdr>
        <w:ind w:left="84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项目概况：</w:t>
      </w:r>
    </w:p>
    <w:p w14:paraId="502D0398">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color w:val="auto"/>
          <w:sz w:val="24"/>
          <w:szCs w:val="28"/>
          <w:highlight w:val="none"/>
        </w:rPr>
      </w:pPr>
      <w:r>
        <w:rPr>
          <w:rFonts w:hint="eastAsia" w:ascii="仿宋" w:hAnsi="仿宋" w:eastAsia="仿宋" w:cs="仿宋"/>
          <w:color w:val="auto"/>
          <w:sz w:val="24"/>
          <w:highlight w:val="none"/>
        </w:rPr>
        <w:t>高桥初中礼堂椅</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项目的潜在响应人应在乐采云（萧采云）（</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69"/>
          <w:rFonts w:hint="eastAsia" w:ascii="仿宋" w:hAnsi="仿宋" w:eastAsia="仿宋" w:cs="仿宋"/>
          <w:color w:val="auto"/>
          <w:sz w:val="24"/>
          <w:szCs w:val="24"/>
          <w:highlight w:val="none"/>
        </w:rPr>
        <w:t>https://www.zcygov.cn/）获取（下载）交易文件，并于2025年</w:t>
      </w:r>
      <w:r>
        <w:rPr>
          <w:rStyle w:val="69"/>
          <w:rFonts w:hint="eastAsia" w:ascii="仿宋" w:hAnsi="仿宋" w:eastAsia="仿宋" w:cs="仿宋"/>
          <w:color w:val="auto"/>
          <w:sz w:val="24"/>
          <w:szCs w:val="24"/>
          <w:highlight w:val="none"/>
        </w:rPr>
        <w:fldChar w:fldCharType="end"/>
      </w:r>
      <w:r>
        <w:rPr>
          <w:rStyle w:val="69"/>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递交（上传）响应文件</w:t>
      </w:r>
    </w:p>
    <w:p w14:paraId="247BF38B">
      <w:pPr>
        <w:pStyle w:val="2"/>
        <w:numPr>
          <w:ilvl w:val="0"/>
          <w:numId w:val="0"/>
        </w:numPr>
        <w:rPr>
          <w:rFonts w:ascii="仿宋" w:eastAsia="仿宋" w:cs="仿宋"/>
          <w:color w:val="auto"/>
          <w:sz w:val="24"/>
          <w:szCs w:val="28"/>
          <w:highlight w:val="none"/>
        </w:rPr>
      </w:pPr>
      <w:bookmarkStart w:id="11" w:name="_Toc28359002"/>
      <w:bookmarkStart w:id="12" w:name="_Toc35393790"/>
      <w:bookmarkStart w:id="13" w:name="_Toc35393621"/>
      <w:bookmarkStart w:id="14" w:name="_Toc28359079"/>
      <w:bookmarkStart w:id="15" w:name="_Hlk24379207"/>
      <w:r>
        <w:rPr>
          <w:rFonts w:hint="eastAsia" w:ascii="仿宋" w:eastAsia="仿宋" w:cs="仿宋"/>
          <w:color w:val="auto"/>
          <w:sz w:val="24"/>
          <w:szCs w:val="28"/>
          <w:highlight w:val="none"/>
        </w:rPr>
        <w:t>一、项目基本情况</w:t>
      </w:r>
      <w:bookmarkEnd w:id="11"/>
      <w:bookmarkEnd w:id="12"/>
      <w:bookmarkEnd w:id="13"/>
      <w:bookmarkEnd w:id="14"/>
    </w:p>
    <w:p w14:paraId="2AD86BFF">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项目编号：</w:t>
      </w:r>
      <w:r>
        <w:rPr>
          <w:rFonts w:hint="eastAsia" w:ascii="仿宋" w:hAnsi="仿宋" w:eastAsia="仿宋" w:cs="仿宋"/>
          <w:color w:val="auto"/>
          <w:sz w:val="24"/>
          <w:szCs w:val="28"/>
          <w:highlight w:val="none"/>
          <w:lang w:val="en-US" w:eastAsia="zh-CN"/>
        </w:rPr>
        <w:t>XS-2025-06</w:t>
      </w:r>
    </w:p>
    <w:p w14:paraId="61A7316D">
      <w:pPr>
        <w:spacing w:line="360" w:lineRule="auto"/>
        <w:ind w:left="420" w:leftChars="200"/>
        <w:jc w:val="left"/>
        <w:rPr>
          <w:rFonts w:ascii="仿宋" w:hAnsi="仿宋" w:eastAsia="仿宋" w:cs="仿宋"/>
          <w:color w:val="auto"/>
          <w:sz w:val="24"/>
          <w:highlight w:val="none"/>
        </w:rPr>
      </w:pPr>
      <w:r>
        <w:rPr>
          <w:rFonts w:hint="eastAsia" w:ascii="仿宋" w:hAnsi="仿宋" w:eastAsia="仿宋" w:cs="仿宋"/>
          <w:color w:val="auto"/>
          <w:sz w:val="24"/>
          <w:szCs w:val="28"/>
          <w:highlight w:val="none"/>
        </w:rPr>
        <w:t>项目名称：</w:t>
      </w:r>
      <w:bookmarkEnd w:id="15"/>
      <w:r>
        <w:rPr>
          <w:rFonts w:hint="eastAsia" w:ascii="仿宋" w:hAnsi="仿宋" w:eastAsia="仿宋" w:cs="仿宋"/>
          <w:color w:val="auto"/>
          <w:sz w:val="24"/>
          <w:highlight w:val="none"/>
        </w:rPr>
        <w:t>高桥初中礼堂椅采购项目</w:t>
      </w:r>
    </w:p>
    <w:p w14:paraId="0174648D">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预算金额：</w:t>
      </w:r>
      <w:r>
        <w:rPr>
          <w:rFonts w:hint="eastAsia" w:ascii="仿宋" w:hAnsi="仿宋" w:eastAsia="仿宋" w:cs="仿宋"/>
          <w:color w:val="auto"/>
          <w:sz w:val="24"/>
          <w:szCs w:val="28"/>
          <w:highlight w:val="none"/>
          <w:lang w:val="en-US" w:eastAsia="zh-CN"/>
        </w:rPr>
        <w:t>490000</w:t>
      </w:r>
      <w:r>
        <w:rPr>
          <w:rFonts w:hint="eastAsia" w:ascii="仿宋" w:hAnsi="仿宋" w:eastAsia="仿宋" w:cs="仿宋"/>
          <w:color w:val="auto"/>
          <w:sz w:val="24"/>
          <w:szCs w:val="28"/>
          <w:highlight w:val="none"/>
        </w:rPr>
        <w:t>元</w:t>
      </w:r>
    </w:p>
    <w:p w14:paraId="3D840893">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val="en-US" w:eastAsia="zh-CN"/>
        </w:rPr>
        <w:t>490000</w:t>
      </w:r>
      <w:r>
        <w:rPr>
          <w:rFonts w:hint="eastAsia" w:ascii="仿宋" w:hAnsi="仿宋" w:eastAsia="仿宋" w:cs="仿宋"/>
          <w:color w:val="auto"/>
          <w:sz w:val="24"/>
          <w:szCs w:val="28"/>
          <w:highlight w:val="none"/>
        </w:rPr>
        <w:t>元</w:t>
      </w:r>
    </w:p>
    <w:p w14:paraId="4E4A12F1">
      <w:pPr>
        <w:spacing w:line="360" w:lineRule="auto"/>
        <w:ind w:left="420" w:leftChars="200"/>
        <w:jc w:val="left"/>
        <w:rPr>
          <w:color w:val="auto"/>
          <w:highlight w:val="none"/>
        </w:rPr>
      </w:pPr>
      <w:r>
        <w:rPr>
          <w:rFonts w:hint="eastAsia" w:ascii="仿宋" w:hAnsi="仿宋" w:eastAsia="仿宋" w:cs="仿宋"/>
          <w:color w:val="auto"/>
          <w:sz w:val="24"/>
          <w:szCs w:val="28"/>
          <w:highlight w:val="none"/>
        </w:rPr>
        <w:t>交易需求：详见交易文件</w:t>
      </w:r>
    </w:p>
    <w:p w14:paraId="0FAD6D04">
      <w:pPr>
        <w:spacing w:line="360" w:lineRule="auto"/>
        <w:ind w:firstLine="480"/>
        <w:rPr>
          <w:rFonts w:ascii="仿宋" w:hAnsi="仿宋" w:eastAsia="仿宋" w:cs="仿宋"/>
          <w:bCs/>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color w:val="auto"/>
          <w:sz w:val="24"/>
          <w:szCs w:val="28"/>
          <w:highlight w:val="none"/>
        </w:rPr>
        <w:t>按交易文件要求</w:t>
      </w:r>
    </w:p>
    <w:p w14:paraId="4B8697E4">
      <w:pPr>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本项目是否接受联合体交易：（ ）是，（√）否</w:t>
      </w:r>
      <w:r>
        <w:rPr>
          <w:rFonts w:hint="eastAsia" w:ascii="仿宋" w:hAnsi="仿宋" w:eastAsia="仿宋" w:cs="仿宋"/>
          <w:color w:val="auto"/>
          <w:kern w:val="0"/>
          <w:sz w:val="24"/>
          <w:highlight w:val="none"/>
        </w:rPr>
        <w:t>。</w:t>
      </w:r>
    </w:p>
    <w:p w14:paraId="7A6AEAA7">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合同履行期限：详见交易文件</w:t>
      </w:r>
    </w:p>
    <w:p w14:paraId="279F52B7">
      <w:pPr>
        <w:pStyle w:val="3"/>
        <w:ind w:firstLine="480" w:firstLineChars="200"/>
        <w:jc w:val="both"/>
        <w:rPr>
          <w:b w:val="0"/>
          <w:bCs/>
          <w:color w:val="auto"/>
          <w:highlight w:val="none"/>
        </w:rPr>
      </w:pPr>
      <w:r>
        <w:rPr>
          <w:rFonts w:hint="eastAsia" w:cs="仿宋"/>
          <w:b w:val="0"/>
          <w:bCs/>
          <w:color w:val="auto"/>
          <w:sz w:val="24"/>
          <w:szCs w:val="28"/>
          <w:highlight w:val="none"/>
        </w:rPr>
        <w:t>交易方式：公开交易</w:t>
      </w:r>
    </w:p>
    <w:p w14:paraId="762B6FDD">
      <w:pPr>
        <w:pStyle w:val="2"/>
        <w:numPr>
          <w:ilvl w:val="0"/>
          <w:numId w:val="0"/>
        </w:numPr>
        <w:rPr>
          <w:rFonts w:ascii="仿宋" w:eastAsia="仿宋" w:cs="仿宋"/>
          <w:color w:val="auto"/>
          <w:sz w:val="24"/>
          <w:szCs w:val="28"/>
          <w:highlight w:val="none"/>
        </w:rPr>
      </w:pPr>
      <w:r>
        <w:rPr>
          <w:rFonts w:hint="eastAsia" w:ascii="仿宋" w:eastAsia="仿宋" w:cs="仿宋"/>
          <w:color w:val="auto"/>
          <w:sz w:val="24"/>
          <w:szCs w:val="28"/>
          <w:highlight w:val="none"/>
        </w:rPr>
        <w:t>二、</w:t>
      </w:r>
      <w:bookmarkStart w:id="16" w:name="_Toc35393622"/>
      <w:bookmarkStart w:id="17" w:name="_Toc35393791"/>
      <w:bookmarkStart w:id="18" w:name="_Toc28359080"/>
      <w:bookmarkStart w:id="19" w:name="_Toc28359003"/>
      <w:r>
        <w:rPr>
          <w:rFonts w:hint="eastAsia" w:ascii="仿宋" w:eastAsia="仿宋" w:cs="仿宋"/>
          <w:color w:val="auto"/>
          <w:sz w:val="24"/>
          <w:szCs w:val="28"/>
          <w:highlight w:val="none"/>
        </w:rPr>
        <w:t>申请人的资格要求：</w:t>
      </w:r>
      <w:bookmarkEnd w:id="16"/>
      <w:bookmarkEnd w:id="17"/>
      <w:bookmarkEnd w:id="18"/>
      <w:bookmarkEnd w:id="19"/>
    </w:p>
    <w:p w14:paraId="038FB468">
      <w:pPr>
        <w:spacing w:line="360" w:lineRule="auto"/>
        <w:ind w:firstLine="480"/>
        <w:rPr>
          <w:rFonts w:hint="eastAsia" w:ascii="仿宋" w:hAnsi="仿宋" w:eastAsia="仿宋" w:cs="仿宋"/>
          <w:snapToGrid w:val="0"/>
          <w:color w:val="auto"/>
          <w:kern w:val="28"/>
          <w:sz w:val="24"/>
          <w:szCs w:val="20"/>
          <w:highlight w:val="none"/>
        </w:rPr>
      </w:pPr>
      <w:bookmarkStart w:id="20" w:name="_Toc35393623"/>
      <w:bookmarkStart w:id="21" w:name="_Toc35393792"/>
      <w:bookmarkStart w:id="22" w:name="_Toc28359081"/>
      <w:bookmarkStart w:id="23" w:name="_Toc28359004"/>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D2D0321">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2.以联合体形式投标的，提供联合协议(本项目不接受联合体投标或者投标人不以联合体形式投标的，则不需要提供)；</w:t>
      </w:r>
    </w:p>
    <w:p w14:paraId="258525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sdt>
        <w:sdtPr>
          <w:rPr>
            <w:rFonts w:hint="eastAsia" w:ascii="仿宋" w:hAnsi="仿宋" w:eastAsia="仿宋" w:cs="仿宋"/>
            <w:color w:val="auto"/>
            <w:kern w:val="0"/>
            <w:sz w:val="24"/>
            <w:highlight w:val="none"/>
          </w:rPr>
          <w:id w:val="-53951437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无；</w:t>
      </w:r>
    </w:p>
    <w:p w14:paraId="3352522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160711229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无</w:t>
      </w:r>
      <w:r>
        <w:rPr>
          <w:rFonts w:hint="eastAsia" w:ascii="仿宋" w:hAnsi="仿宋" w:eastAsia="仿宋" w:cs="仿宋"/>
          <w:color w:val="auto"/>
          <w:sz w:val="24"/>
          <w:highlight w:val="none"/>
        </w:rPr>
        <w:t>；</w:t>
      </w:r>
    </w:p>
    <w:p w14:paraId="5BABB5C1">
      <w:pPr>
        <w:pStyle w:val="2"/>
        <w:numPr>
          <w:ilvl w:val="0"/>
          <w:numId w:val="0"/>
        </w:numPr>
        <w:ind w:firstLine="482" w:firstLineChars="200"/>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w:t>
      </w:r>
      <w:r>
        <w:rPr>
          <w:rFonts w:hint="eastAsia" w:ascii="仿宋" w:eastAsia="仿宋" w:cs="仿宋"/>
          <w:color w:val="auto"/>
          <w:sz w:val="24"/>
          <w:highlight w:val="none"/>
          <w:lang w:eastAsia="zh-CN"/>
        </w:rPr>
        <w:t>。</w:t>
      </w:r>
    </w:p>
    <w:p w14:paraId="244D85B9">
      <w:pPr>
        <w:pStyle w:val="2"/>
        <w:numPr>
          <w:ilvl w:val="0"/>
          <w:numId w:val="0"/>
        </w:numPr>
        <w:rPr>
          <w:rFonts w:ascii="仿宋" w:eastAsia="仿宋" w:cs="仿宋"/>
          <w:color w:val="auto"/>
          <w:sz w:val="24"/>
          <w:szCs w:val="28"/>
          <w:highlight w:val="none"/>
        </w:rPr>
      </w:pPr>
      <w:r>
        <w:rPr>
          <w:rFonts w:hint="eastAsia" w:ascii="仿宋" w:eastAsia="仿宋" w:cs="仿宋"/>
          <w:color w:val="auto"/>
          <w:sz w:val="24"/>
          <w:szCs w:val="28"/>
          <w:highlight w:val="none"/>
        </w:rPr>
        <w:t>三、获取</w:t>
      </w:r>
      <w:bookmarkEnd w:id="20"/>
      <w:bookmarkEnd w:id="21"/>
      <w:bookmarkEnd w:id="22"/>
      <w:bookmarkEnd w:id="23"/>
      <w:r>
        <w:rPr>
          <w:rFonts w:hint="eastAsia" w:ascii="仿宋" w:eastAsia="仿宋" w:cs="仿宋"/>
          <w:color w:val="auto"/>
          <w:sz w:val="24"/>
          <w:szCs w:val="28"/>
          <w:highlight w:val="none"/>
        </w:rPr>
        <w:t>交易文件</w:t>
      </w:r>
    </w:p>
    <w:p w14:paraId="00BDD6F2">
      <w:pPr>
        <w:spacing w:line="360" w:lineRule="auto"/>
        <w:ind w:firstLine="482" w:firstLineChars="200"/>
        <w:rPr>
          <w:rFonts w:ascii="仿宋" w:hAnsi="仿宋" w:eastAsia="仿宋" w:cs="仿宋"/>
          <w:color w:val="auto"/>
          <w:sz w:val="24"/>
          <w:highlight w:val="none"/>
        </w:rPr>
      </w:pPr>
      <w:bookmarkStart w:id="24" w:name="_Toc28359005"/>
      <w:bookmarkStart w:id="25" w:name="_Toc28359082"/>
      <w:bookmarkStart w:id="26" w:name="_Toc35393793"/>
      <w:bookmarkStart w:id="27" w:name="_Toc35393624"/>
      <w:r>
        <w:rPr>
          <w:rFonts w:hint="eastAsia" w:ascii="仿宋" w:hAnsi="仿宋" w:eastAsia="仿宋" w:cs="仿宋"/>
          <w:b/>
          <w:color w:val="auto"/>
          <w:sz w:val="24"/>
          <w:highlight w:val="none"/>
        </w:rPr>
        <w:t>时间：</w:t>
      </w:r>
      <w:r>
        <w:rPr>
          <w:rFonts w:hint="eastAsia" w:ascii="仿宋" w:hAnsi="仿宋" w:eastAsia="仿宋" w:cs="仿宋"/>
          <w:b/>
          <w:color w:val="auto"/>
          <w:sz w:val="24"/>
          <w:highlight w:val="none"/>
          <w:lang w:val="en-US" w:eastAsia="zh-CN"/>
        </w:rPr>
        <w:t>公告发布之日起</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 xml:space="preserve"> 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642D7C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乐采云（萧采云）平台（https://www.zcygov.cn/） </w:t>
      </w:r>
    </w:p>
    <w:p w14:paraId="036F9B4B">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供应商登录乐采云（萧采云）平台https://www.zcygov.cn/在线申请获取交易文件（进入“项目交易”应用，在获取交易文件菜单中选择项目，申请获取交易文件）。 </w:t>
      </w:r>
    </w:p>
    <w:p w14:paraId="4497BBB2">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B4286A8">
      <w:pPr>
        <w:pStyle w:val="2"/>
        <w:numPr>
          <w:ilvl w:val="0"/>
          <w:numId w:val="0"/>
        </w:numPr>
        <w:rPr>
          <w:rFonts w:ascii="仿宋" w:eastAsia="仿宋" w:cs="仿宋"/>
          <w:color w:val="auto"/>
          <w:sz w:val="24"/>
          <w:szCs w:val="28"/>
          <w:highlight w:val="none"/>
        </w:rPr>
      </w:pPr>
      <w:r>
        <w:rPr>
          <w:rFonts w:hint="eastAsia" w:ascii="仿宋" w:eastAsia="仿宋" w:cs="仿宋"/>
          <w:color w:val="auto"/>
          <w:sz w:val="24"/>
          <w:szCs w:val="28"/>
          <w:highlight w:val="none"/>
        </w:rPr>
        <w:t>四、提交</w:t>
      </w:r>
      <w:bookmarkEnd w:id="24"/>
      <w:bookmarkEnd w:id="25"/>
      <w:r>
        <w:rPr>
          <w:rFonts w:hint="eastAsia" w:ascii="仿宋" w:eastAsia="仿宋" w:cs="仿宋"/>
          <w:color w:val="auto"/>
          <w:sz w:val="24"/>
          <w:szCs w:val="28"/>
          <w:highlight w:val="none"/>
        </w:rPr>
        <w:t>响应文件截止时间、交易时间和地点</w:t>
      </w:r>
      <w:bookmarkEnd w:id="26"/>
      <w:bookmarkEnd w:id="27"/>
    </w:p>
    <w:p w14:paraId="6E0FA50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提交响应文件截止时间：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64AF8244">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交易时间：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14:paraId="17B47BE7">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交易地点：</w:t>
      </w:r>
      <w:r>
        <w:rPr>
          <w:rFonts w:hint="eastAsia" w:ascii="仿宋" w:hAnsi="仿宋" w:eastAsia="仿宋" w:cs="仿宋"/>
          <w:color w:val="auto"/>
          <w:sz w:val="24"/>
          <w:highlight w:val="none"/>
        </w:rPr>
        <w:t>乐采云（萧采云）</w:t>
      </w:r>
      <w:r>
        <w:rPr>
          <w:rFonts w:hint="eastAsia" w:ascii="仿宋_GB2312" w:hAnsi="仿宋" w:eastAsia="仿宋_GB2312"/>
          <w:color w:val="auto"/>
          <w:sz w:val="24"/>
          <w:highlight w:val="none"/>
        </w:rPr>
        <w:t>平台（https://www.zcygov.cn/）</w:t>
      </w:r>
      <w:r>
        <w:rPr>
          <w:rFonts w:hint="eastAsia" w:ascii="仿宋" w:hAnsi="仿宋" w:eastAsia="仿宋"/>
          <w:color w:val="auto"/>
          <w:sz w:val="24"/>
          <w:szCs w:val="28"/>
          <w:highlight w:val="none"/>
          <w:u w:val="single"/>
        </w:rPr>
        <w:t>[</w:t>
      </w:r>
      <w:r>
        <w:rPr>
          <w:rFonts w:hint="eastAsia" w:ascii="仿宋" w:hAnsi="仿宋" w:eastAsia="仿宋" w:cs="仿宋"/>
          <w:color w:val="auto"/>
          <w:sz w:val="24"/>
          <w:szCs w:val="24"/>
          <w:highlight w:val="none"/>
        </w:rPr>
        <w:t>杭州市萧山区教育</w:t>
      </w:r>
      <w:r>
        <w:rPr>
          <w:rFonts w:hint="eastAsia" w:ascii="仿宋" w:hAnsi="仿宋" w:eastAsia="仿宋" w:cs="仿宋"/>
          <w:color w:val="auto"/>
          <w:sz w:val="24"/>
          <w:szCs w:val="24"/>
          <w:highlight w:val="none"/>
          <w:lang w:val="en-US" w:eastAsia="zh-CN"/>
        </w:rPr>
        <w:t>服务中心1</w:t>
      </w:r>
      <w:r>
        <w:rPr>
          <w:rFonts w:hint="eastAsia" w:ascii="仿宋" w:hAnsi="仿宋" w:eastAsia="仿宋" w:cs="仿宋"/>
          <w:color w:val="auto"/>
          <w:sz w:val="24"/>
          <w:szCs w:val="24"/>
          <w:highlight w:val="none"/>
          <w:lang w:val="en-US"/>
        </w:rPr>
        <w:t>楼会议室</w:t>
      </w:r>
      <w:r>
        <w:rPr>
          <w:rFonts w:hint="eastAsia" w:ascii="仿宋" w:hAnsi="仿宋" w:eastAsia="仿宋"/>
          <w:color w:val="auto"/>
          <w:sz w:val="24"/>
          <w:szCs w:val="28"/>
          <w:highlight w:val="none"/>
          <w:u w:val="single"/>
        </w:rPr>
        <w:t>]</w:t>
      </w:r>
      <w:r>
        <w:rPr>
          <w:rFonts w:hint="eastAsia" w:ascii="仿宋_GB2312" w:hAnsi="仿宋" w:eastAsia="仿宋_GB2312"/>
          <w:b/>
          <w:color w:val="auto"/>
          <w:sz w:val="24"/>
          <w:highlight w:val="none"/>
        </w:rPr>
        <w:t xml:space="preserve"> </w:t>
      </w:r>
      <w:r>
        <w:rPr>
          <w:rFonts w:hint="eastAsia" w:ascii="仿宋_GB2312" w:hAnsi="仿宋" w:eastAsia="仿宋_GB2312"/>
          <w:color w:val="auto"/>
          <w:sz w:val="24"/>
          <w:highlight w:val="none"/>
        </w:rPr>
        <w:t xml:space="preserve">  </w:t>
      </w:r>
    </w:p>
    <w:p w14:paraId="169F7995">
      <w:pPr>
        <w:pStyle w:val="2"/>
        <w:numPr>
          <w:ilvl w:val="0"/>
          <w:numId w:val="0"/>
        </w:numPr>
        <w:rPr>
          <w:rFonts w:ascii="仿宋" w:eastAsia="仿宋" w:cs="仿宋"/>
          <w:color w:val="auto"/>
          <w:sz w:val="24"/>
          <w:highlight w:val="none"/>
        </w:rPr>
      </w:pPr>
      <w:bookmarkStart w:id="28" w:name="_Toc35393626"/>
      <w:bookmarkStart w:id="29" w:name="_Toc35393795"/>
      <w:r>
        <w:rPr>
          <w:rFonts w:hint="eastAsia" w:ascii="仿宋" w:eastAsia="仿宋" w:cs="仿宋"/>
          <w:color w:val="auto"/>
          <w:sz w:val="24"/>
          <w:szCs w:val="28"/>
          <w:highlight w:val="none"/>
        </w:rPr>
        <w:t>五、其他补充事宜</w:t>
      </w:r>
      <w:bookmarkEnd w:id="28"/>
      <w:bookmarkEnd w:id="29"/>
      <w:bookmarkStart w:id="30" w:name="_Toc35393627"/>
      <w:bookmarkStart w:id="31" w:name="_Toc28359085"/>
      <w:bookmarkStart w:id="32" w:name="_Toc35393796"/>
      <w:bookmarkStart w:id="33" w:name="_Toc28359008"/>
    </w:p>
    <w:p w14:paraId="071489C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1.供应商认为招标文件使自己的权益受到损害的，可以自获取招标文件之日起3个工作日内，以书面形式向采购人和采购代理机构提出质疑。</w:t>
      </w:r>
    </w:p>
    <w:p w14:paraId="5C7AAE83">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2.电子招投标的说明：</w:t>
      </w:r>
      <w:r>
        <w:rPr>
          <w:rFonts w:hint="eastAsia" w:ascii="仿宋_GB2312" w:hAnsi="仿宋" w:eastAsia="仿宋_GB2312" w:cs="仿宋_GB2312"/>
          <w:color w:val="auto"/>
          <w:sz w:val="24"/>
          <w:highlight w:val="none"/>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投标文件的制作：在“政采云电子交易客户端”中完成“填写基本信息”、“导入投标文件”、“标书关联”、“标书检查”、“公章”、“生成电子标书”等操作。</w:t>
      </w:r>
      <w:r>
        <w:rPr>
          <w:rFonts w:hint="eastAsia" w:ascii="仿宋_GB2312" w:hAnsi="仿宋" w:eastAsia="仿宋_GB2312"/>
          <w:color w:val="auto"/>
          <w:sz w:val="24"/>
          <w:highlight w:val="none"/>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color w:val="auto"/>
          <w:sz w:val="24"/>
          <w:highlight w:val="none"/>
        </w:rPr>
        <w:t>8）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olor w:val="auto"/>
          <w:sz w:val="24"/>
          <w:highlight w:val="none"/>
        </w:rPr>
        <w:t>9）</w:t>
      </w:r>
      <w:r>
        <w:rPr>
          <w:rFonts w:hint="eastAsia" w:ascii="仿宋_GB2312" w:hAnsi="仿宋" w:eastAsia="仿宋_GB2312" w:cs="仿宋_GB2312"/>
          <w:color w:val="auto"/>
          <w:sz w:val="24"/>
          <w:highlight w:val="none"/>
        </w:rPr>
        <w:t>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政采云平台“服务中心-帮助文档-项目采购-操作流程-电子招投标-政府采购项目电子交易管理操作指南-供应商”。</w:t>
      </w:r>
    </w:p>
    <w:p w14:paraId="391A317C">
      <w:pPr>
        <w:pStyle w:val="2"/>
        <w:numPr>
          <w:ilvl w:val="0"/>
          <w:numId w:val="0"/>
        </w:numPr>
        <w:rPr>
          <w:rFonts w:ascii="仿宋" w:eastAsia="仿宋" w:cs="仿宋"/>
          <w:color w:val="auto"/>
          <w:sz w:val="24"/>
          <w:szCs w:val="28"/>
          <w:highlight w:val="none"/>
        </w:rPr>
      </w:pPr>
      <w:r>
        <w:rPr>
          <w:rFonts w:hint="eastAsia" w:ascii="仿宋" w:eastAsia="仿宋" w:cs="仿宋"/>
          <w:color w:val="auto"/>
          <w:sz w:val="24"/>
          <w:szCs w:val="28"/>
          <w:highlight w:val="none"/>
        </w:rPr>
        <w:t>六、对本次招标提出询问，请按以下方式联系。</w:t>
      </w:r>
      <w:bookmarkEnd w:id="30"/>
      <w:bookmarkEnd w:id="31"/>
      <w:bookmarkEnd w:id="32"/>
      <w:bookmarkEnd w:id="33"/>
    </w:p>
    <w:p w14:paraId="6C130A0C">
      <w:pPr>
        <w:widowControl/>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1.交易发起人信息</w:t>
      </w:r>
    </w:p>
    <w:p w14:paraId="4AE07CB5">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称：杭州市萧山区教育局</w:t>
      </w:r>
    </w:p>
    <w:p w14:paraId="5F52B251">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地址：杭州市萧山区教育</w:t>
      </w:r>
      <w:r>
        <w:rPr>
          <w:rFonts w:hint="eastAsia" w:ascii="仿宋" w:hAnsi="仿宋" w:eastAsia="仿宋" w:cs="仿宋"/>
          <w:color w:val="auto"/>
          <w:sz w:val="24"/>
          <w:szCs w:val="28"/>
          <w:highlight w:val="none"/>
          <w:lang w:val="en-US" w:eastAsia="zh-CN"/>
        </w:rPr>
        <w:t>服务中心</w:t>
      </w:r>
    </w:p>
    <w:p w14:paraId="029595DF">
      <w:pP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杨老师</w:t>
      </w:r>
    </w:p>
    <w:p w14:paraId="59C71B77">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项目联系方式（询问）：0571-82370213</w:t>
      </w:r>
    </w:p>
    <w:p w14:paraId="104FAC0A">
      <w:pPr>
        <w:widowControl/>
        <w:spacing w:line="360" w:lineRule="auto"/>
        <w:jc w:val="left"/>
        <w:rPr>
          <w:rFonts w:ascii="仿宋" w:hAnsi="仿宋" w:eastAsia="仿宋" w:cs="仿宋"/>
          <w:color w:val="auto"/>
          <w:sz w:val="24"/>
          <w:szCs w:val="28"/>
          <w:highlight w:val="none"/>
        </w:rPr>
      </w:pPr>
      <w:bookmarkStart w:id="34" w:name="_Toc28359086"/>
      <w:bookmarkStart w:id="35" w:name="_Toc28359009"/>
      <w:r>
        <w:rPr>
          <w:rFonts w:hint="eastAsia" w:ascii="仿宋" w:hAnsi="仿宋" w:eastAsia="仿宋" w:cs="仿宋"/>
          <w:color w:val="auto"/>
          <w:sz w:val="24"/>
          <w:szCs w:val="28"/>
          <w:highlight w:val="none"/>
        </w:rPr>
        <w:t>2.交易代理机构信息</w:t>
      </w:r>
      <w:bookmarkEnd w:id="34"/>
      <w:bookmarkEnd w:id="35"/>
    </w:p>
    <w:p w14:paraId="6E28158F">
      <w:pPr>
        <w:wordWrap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名称：中冠工程管理咨询有限公司</w:t>
      </w:r>
    </w:p>
    <w:p w14:paraId="00E16165">
      <w:pPr>
        <w:wordWrap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地址：杭州钱塘区义蓬街道义蓬路114号</w:t>
      </w:r>
    </w:p>
    <w:p w14:paraId="7A964B57">
      <w:pPr>
        <w:wordWrap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（询问）</w:t>
      </w:r>
      <w:r>
        <w:rPr>
          <w:rFonts w:hint="eastAsia" w:ascii="仿宋" w:hAnsi="仿宋" w:eastAsia="仿宋" w:cs="仿宋"/>
          <w:color w:val="auto"/>
          <w:sz w:val="24"/>
          <w:highlight w:val="none"/>
        </w:rPr>
        <w:t>：张丽珊</w:t>
      </w:r>
    </w:p>
    <w:p w14:paraId="6F301366">
      <w:pPr>
        <w:wordWrap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电话（询问）：18367198295</w:t>
      </w:r>
    </w:p>
    <w:p w14:paraId="10CDBDB6">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若对项目交易电子交易系统操作有疑问，可登录政采云（https://www.zcygov.cn/），点击右侧咨询小采，获取采小蜜智能服务管家帮助，或拨打政采云服务热线400-881-7190获取热线服务帮助。       </w:t>
      </w:r>
    </w:p>
    <w:p w14:paraId="7F1365E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1798264">
      <w:pPr>
        <w:pStyle w:val="57"/>
        <w:jc w:val="both"/>
        <w:rPr>
          <w:rFonts w:ascii="仿宋" w:hAnsi="仿宋" w:eastAsia="仿宋" w:cs="仿宋"/>
          <w:color w:val="auto"/>
          <w:highlight w:val="none"/>
          <w:lang w:val="en-US"/>
        </w:rPr>
      </w:pPr>
    </w:p>
    <w:p w14:paraId="526E97D2">
      <w:pPr>
        <w:pStyle w:val="3"/>
        <w:rPr>
          <w:rFonts w:cs="仿宋"/>
          <w:color w:val="auto"/>
          <w:highlight w:val="none"/>
        </w:rPr>
      </w:pPr>
      <w:r>
        <w:rPr>
          <w:rFonts w:hint="eastAsia" w:cs="仿宋"/>
          <w:color w:val="auto"/>
          <w:highlight w:val="none"/>
        </w:rPr>
        <w:br w:type="page"/>
      </w:r>
      <w:r>
        <w:rPr>
          <w:rFonts w:hint="eastAsia" w:cs="仿宋"/>
          <w:color w:val="auto"/>
          <w:highlight w:val="none"/>
        </w:rPr>
        <w:t>第二部分</w:t>
      </w:r>
      <w:bookmarkEnd w:id="8"/>
      <w:r>
        <w:rPr>
          <w:rFonts w:hint="eastAsia" w:cs="仿宋"/>
          <w:color w:val="auto"/>
          <w:highlight w:val="none"/>
        </w:rPr>
        <w:t xml:space="preserve"> 响应人须知</w:t>
      </w:r>
      <w:bookmarkEnd w:id="9"/>
    </w:p>
    <w:p w14:paraId="5A9868A5">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bookmarkEnd w:id="10"/>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06468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C892FDA">
            <w:pPr>
              <w:snapToGrid w:val="0"/>
              <w:spacing w:line="360" w:lineRule="auto"/>
              <w:jc w:val="center"/>
              <w:rPr>
                <w:rFonts w:ascii="仿宋" w:hAnsi="仿宋" w:eastAsia="仿宋" w:cs="仿宋_GB2312"/>
                <w:b/>
                <w:color w:val="auto"/>
                <w:sz w:val="24"/>
                <w:highlight w:val="none"/>
              </w:rPr>
            </w:pPr>
            <w:bookmarkStart w:id="36" w:name="_Toc164416483"/>
            <w:bookmarkStart w:id="37" w:name="第三部分"/>
            <w:r>
              <w:rPr>
                <w:rFonts w:hint="eastAsia" w:ascii="仿宋" w:hAnsi="仿宋" w:eastAsia="仿宋" w:cs="仿宋_GB2312"/>
                <w:b/>
                <w:color w:val="auto"/>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1FA3A8AE">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75D85481">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14:paraId="0A4FF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47A8CAE">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6AE75550">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215BD54A">
            <w:pPr>
              <w:snapToGrid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olor w:val="auto"/>
                <w:kern w:val="0"/>
                <w:sz w:val="24"/>
                <w:highlight w:val="none"/>
                <w:lang w:val="zh-CN"/>
              </w:rPr>
              <w:t>有关本项目开展所需的</w:t>
            </w:r>
            <w:r>
              <w:rPr>
                <w:rFonts w:hint="eastAsia" w:ascii="仿宋" w:hAnsi="仿宋" w:eastAsia="仿宋"/>
                <w:color w:val="auto"/>
                <w:sz w:val="24"/>
                <w:highlight w:val="none"/>
              </w:rPr>
              <w:t>所有</w:t>
            </w:r>
            <w:r>
              <w:rPr>
                <w:rFonts w:hint="eastAsia" w:ascii="仿宋" w:hAnsi="仿宋" w:eastAsia="仿宋"/>
                <w:color w:val="auto"/>
                <w:kern w:val="0"/>
                <w:sz w:val="24"/>
                <w:highlight w:val="none"/>
                <w:lang w:val="zh-CN"/>
              </w:rPr>
              <w:t>费用均计入报价。</w:t>
            </w:r>
            <w:r>
              <w:rPr>
                <w:rFonts w:hint="eastAsia" w:ascii="仿宋" w:hAnsi="仿宋" w:eastAsia="仿宋"/>
                <w:color w:val="auto"/>
                <w:sz w:val="24"/>
                <w:highlight w:val="none"/>
              </w:rPr>
              <w:t>《响应（交易）一览表》是报价的唯一载体</w:t>
            </w:r>
            <w:r>
              <w:rPr>
                <w:rFonts w:hint="eastAsia" w:ascii="仿宋" w:hAnsi="仿宋" w:eastAsia="仿宋" w:cs="仿宋_GB2312"/>
                <w:color w:val="auto"/>
                <w:kern w:val="0"/>
                <w:sz w:val="24"/>
                <w:highlight w:val="none"/>
                <w:lang w:val="zh-CN"/>
              </w:rPr>
              <w:t>。响应文件中价格全部采用人民币报价。交易文件未列明，而响应人认为必需的费用也需列入报价。</w:t>
            </w:r>
          </w:p>
          <w:p w14:paraId="6457D712">
            <w:pPr>
              <w:snapToGrid w:val="0"/>
              <w:spacing w:line="360" w:lineRule="auto"/>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响应报价出现下列情形的，投标无效：</w:t>
            </w:r>
          </w:p>
          <w:p w14:paraId="0E09D15A">
            <w:pPr>
              <w:snapToGrid w:val="0"/>
              <w:spacing w:line="360" w:lineRule="auto"/>
              <w:jc w:val="left"/>
              <w:rPr>
                <w:rFonts w:ascii="仿宋" w:hAnsi="仿宋" w:eastAsia="仿宋" w:cs="仿宋_GB2312"/>
                <w:b/>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kern w:val="0"/>
                <w:sz w:val="24"/>
                <w:highlight w:val="none"/>
                <w:lang w:val="zh-CN"/>
              </w:rPr>
              <w:t>响应文件出现不是唯一的、有选择性响应报价的；</w:t>
            </w:r>
          </w:p>
          <w:p w14:paraId="7C846E0C">
            <w:pPr>
              <w:snapToGrid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响应报价高于本项目采购预算或者最高限价的;</w:t>
            </w:r>
          </w:p>
          <w:p w14:paraId="1FFDC3DF">
            <w:pPr>
              <w:spacing w:line="360" w:lineRule="auto"/>
              <w:rPr>
                <w:rFonts w:ascii="仿宋" w:hAnsi="仿宋" w:eastAsia="仿宋" w:cs="仿宋_GB2312"/>
                <w:b/>
                <w:color w:val="auto"/>
                <w:sz w:val="24"/>
                <w:highlight w:val="none"/>
              </w:rPr>
            </w:pPr>
            <w:r>
              <w:rPr>
                <w:rFonts w:hint="eastAsia" w:ascii="仿宋" w:hAnsi="仿宋" w:eastAsia="仿宋"/>
                <w:b/>
                <w:color w:val="auto"/>
                <w:sz w:val="24"/>
                <w:highlight w:val="none"/>
              </w:rPr>
              <w:t>▲</w:t>
            </w:r>
            <w:r>
              <w:rPr>
                <w:rFonts w:hint="eastAsia" w:ascii="仿宋" w:hAnsi="仿宋" w:eastAsia="仿宋" w:cs="Arial"/>
                <w:b/>
                <w:color w:val="auto"/>
                <w:kern w:val="0"/>
                <w:sz w:val="24"/>
                <w:highlight w:val="none"/>
              </w:rPr>
              <w:t>报价明显低于其他通过符合性审查响应人的报价，有可能影响产品质量或者不能诚信履约的，未能按要求提供书面说明或者提交相关证明材料，不能证明其报价合理性的</w:t>
            </w:r>
            <w:r>
              <w:rPr>
                <w:rFonts w:hint="eastAsia" w:ascii="仿宋" w:hAnsi="仿宋" w:eastAsia="仿宋" w:cs="仿宋_GB2312"/>
                <w:b/>
                <w:color w:val="auto"/>
                <w:sz w:val="24"/>
                <w:szCs w:val="21"/>
                <w:highlight w:val="none"/>
              </w:rPr>
              <w:t>;</w:t>
            </w:r>
          </w:p>
          <w:p w14:paraId="48CCED68">
            <w:pPr>
              <w:spacing w:line="360" w:lineRule="auto"/>
              <w:rPr>
                <w:rFonts w:ascii="仿宋" w:hAnsi="仿宋" w:eastAsia="仿宋" w:cs="仿宋_GB2312"/>
                <w:color w:val="auto"/>
                <w:sz w:val="24"/>
                <w:szCs w:val="21"/>
                <w:highlight w:val="none"/>
              </w:rPr>
            </w:pPr>
            <w:r>
              <w:rPr>
                <w:rFonts w:hint="eastAsia" w:ascii="仿宋" w:hAnsi="仿宋" w:eastAsia="仿宋"/>
                <w:b/>
                <w:color w:val="auto"/>
                <w:sz w:val="24"/>
                <w:highlight w:val="none"/>
              </w:rPr>
              <w:t>▲《响应（交易）一览表》填写不完整或字迹不能辨认或有漏项的；</w:t>
            </w:r>
          </w:p>
          <w:p w14:paraId="718F01D7">
            <w:pPr>
              <w:spacing w:line="360" w:lineRule="auto"/>
              <w:rPr>
                <w:rFonts w:ascii="仿宋" w:hAnsi="仿宋" w:eastAsia="仿宋"/>
                <w:b/>
                <w:color w:val="auto"/>
                <w:sz w:val="24"/>
                <w:highlight w:val="none"/>
              </w:rPr>
            </w:pPr>
            <w:r>
              <w:rPr>
                <w:rFonts w:hint="eastAsia" w:ascii="仿宋" w:hAnsi="仿宋" w:eastAsia="仿宋" w:cs="Arial"/>
                <w:b/>
                <w:color w:val="auto"/>
                <w:kern w:val="0"/>
                <w:sz w:val="24"/>
                <w:highlight w:val="none"/>
              </w:rPr>
              <w:t>▲响应人对根据修正原则修正后的报价不确认的</w:t>
            </w:r>
            <w:r>
              <w:rPr>
                <w:rFonts w:hint="eastAsia" w:ascii="仿宋" w:hAnsi="仿宋" w:eastAsia="仿宋"/>
                <w:b/>
                <w:color w:val="auto"/>
                <w:sz w:val="24"/>
                <w:highlight w:val="none"/>
              </w:rPr>
              <w:t>。</w:t>
            </w:r>
          </w:p>
          <w:p w14:paraId="72B69138">
            <w:pPr>
              <w:spacing w:line="360" w:lineRule="auto"/>
              <w:rPr>
                <w:rFonts w:ascii="仿宋" w:hAnsi="仿宋" w:eastAsia="仿宋"/>
                <w:color w:val="auto"/>
                <w:sz w:val="24"/>
                <w:highlight w:val="none"/>
              </w:rPr>
            </w:pPr>
            <w:r>
              <w:rPr>
                <w:rFonts w:hint="eastAsia" w:ascii="仿宋" w:hAnsi="仿宋" w:eastAsia="仿宋" w:cs="Arial"/>
                <w:b/>
                <w:color w:val="auto"/>
                <w:kern w:val="0"/>
                <w:sz w:val="24"/>
                <w:highlight w:val="none"/>
              </w:rPr>
              <w:t>▲资格文件、商务技术文件与报价文件未分开制作</w:t>
            </w:r>
            <w:r>
              <w:rPr>
                <w:rFonts w:hint="eastAsia" w:ascii="仿宋" w:hAnsi="仿宋" w:eastAsia="仿宋"/>
                <w:b/>
                <w:color w:val="auto"/>
                <w:sz w:val="24"/>
                <w:highlight w:val="none"/>
              </w:rPr>
              <w:t>。</w:t>
            </w:r>
          </w:p>
        </w:tc>
      </w:tr>
      <w:tr w14:paraId="54824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EDF55CB">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67B1014F">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2BA02D1F">
            <w:pPr>
              <w:snapToGrid w:val="0"/>
              <w:spacing w:line="360" w:lineRule="auto"/>
              <w:rPr>
                <w:rFonts w:ascii="仿宋" w:hAnsi="仿宋" w:eastAsia="仿宋" w:cs="仿宋_GB2312"/>
                <w:color w:val="auto"/>
                <w:sz w:val="24"/>
                <w:highlight w:val="none"/>
              </w:rPr>
            </w:pPr>
            <w:r>
              <w:rPr>
                <w:rFonts w:hint="eastAsia" w:ascii="仿宋_GB2312" w:hAnsi="仿宋" w:eastAsia="仿宋_GB2312"/>
                <w:b/>
                <w:color w:val="auto"/>
                <w:sz w:val="24"/>
                <w:highlight w:val="none"/>
              </w:rPr>
              <w:t>（√）</w:t>
            </w:r>
            <w:r>
              <w:rPr>
                <w:rFonts w:hint="eastAsia" w:ascii="仿宋_GB2312" w:hAnsi="仿宋" w:eastAsia="仿宋_GB2312" w:cs="Arial"/>
                <w:color w:val="auto"/>
                <w:kern w:val="0"/>
                <w:sz w:val="24"/>
                <w:highlight w:val="none"/>
              </w:rPr>
              <w:t>B</w:t>
            </w:r>
            <w:r>
              <w:rPr>
                <w:rFonts w:hint="eastAsia" w:ascii="仿宋_GB2312" w:hAnsi="仿宋" w:eastAsia="仿宋_GB2312"/>
                <w:color w:val="auto"/>
                <w:sz w:val="24"/>
                <w:highlight w:val="none"/>
              </w:rPr>
              <w:t>不同意分包。</w:t>
            </w:r>
          </w:p>
        </w:tc>
      </w:tr>
      <w:tr w14:paraId="00E77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E3446EF">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7D0954B8">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210923D3">
            <w:pPr>
              <w:numPr>
                <w:ilvl w:val="0"/>
                <w:numId w:val="7"/>
              </w:numPr>
              <w:spacing w:line="360" w:lineRule="auto"/>
              <w:jc w:val="left"/>
              <w:rPr>
                <w:rFonts w:ascii="仿宋" w:hAnsi="仿宋" w:eastAsia="仿宋" w:cs="仿宋_GB2312"/>
                <w:color w:val="auto"/>
                <w:sz w:val="24"/>
                <w:highlight w:val="none"/>
              </w:rPr>
            </w:pPr>
            <w:r>
              <w:rPr>
                <w:rFonts w:hint="eastAsia" w:ascii="仿宋" w:hAnsi="仿宋" w:eastAsia="仿宋"/>
                <w:color w:val="auto"/>
                <w:sz w:val="24"/>
                <w:highlight w:val="none"/>
              </w:rPr>
              <w:t>资格证明文件：</w:t>
            </w:r>
            <w:r>
              <w:rPr>
                <w:rFonts w:hint="eastAsia" w:ascii="仿宋_GB2312" w:hAnsi="仿宋" w:eastAsia="仿宋_GB2312"/>
                <w:color w:val="auto"/>
                <w:kern w:val="0"/>
                <w:sz w:val="24"/>
                <w:highlight w:val="none"/>
              </w:rPr>
              <w:t>见交易文件第二部分</w:t>
            </w:r>
            <w:r>
              <w:rPr>
                <w:rFonts w:hint="eastAsia" w:ascii="仿宋_GB2312" w:hAnsi="仿宋" w:eastAsia="仿宋_GB2312" w:cs="仿宋_GB2312"/>
                <w:color w:val="auto"/>
                <w:kern w:val="0"/>
                <w:sz w:val="24"/>
                <w:highlight w:val="none"/>
              </w:rPr>
              <w:t>11.1。</w:t>
            </w:r>
          </w:p>
          <w:p w14:paraId="45224BB8">
            <w:pPr>
              <w:numPr>
                <w:ilvl w:val="0"/>
                <w:numId w:val="7"/>
              </w:numPr>
              <w:spacing w:line="360" w:lineRule="auto"/>
              <w:rPr>
                <w:rFonts w:ascii="仿宋" w:hAnsi="仿宋" w:eastAsia="仿宋"/>
                <w:color w:val="auto"/>
                <w:sz w:val="24"/>
                <w:highlight w:val="none"/>
              </w:rPr>
            </w:pPr>
            <w:r>
              <w:rPr>
                <w:rFonts w:hint="eastAsia" w:ascii="仿宋" w:hAnsi="仿宋" w:eastAsia="仿宋"/>
                <w:color w:val="auto"/>
                <w:sz w:val="24"/>
                <w:highlight w:val="none"/>
              </w:rPr>
              <w:t>资信证明文件：</w:t>
            </w:r>
            <w:r>
              <w:rPr>
                <w:rFonts w:hint="eastAsia" w:ascii="仿宋_GB2312" w:hAnsi="仿宋" w:eastAsia="仿宋_GB2312"/>
                <w:color w:val="auto"/>
                <w:sz w:val="24"/>
                <w:highlight w:val="none"/>
              </w:rPr>
              <w:t>根据交易文件第四部分评标标准提供。</w:t>
            </w:r>
          </w:p>
          <w:p w14:paraId="6A2BECC2">
            <w:pPr>
              <w:spacing w:line="360" w:lineRule="auto"/>
              <w:rPr>
                <w:rFonts w:ascii="仿宋" w:hAnsi="仿宋" w:eastAsia="仿宋"/>
                <w:color w:val="auto"/>
                <w:kern w:val="0"/>
                <w:sz w:val="24"/>
                <w:highlight w:val="none"/>
              </w:rPr>
            </w:pPr>
            <w:r>
              <w:rPr>
                <w:rFonts w:hint="eastAsia" w:ascii="仿宋" w:hAnsi="仿宋" w:eastAsia="仿宋"/>
                <w:color w:val="auto"/>
                <w:sz w:val="24"/>
                <w:highlight w:val="none"/>
              </w:rPr>
              <w:t>▲</w:t>
            </w:r>
            <w:r>
              <w:rPr>
                <w:rFonts w:hint="eastAsia" w:ascii="仿宋" w:hAnsi="仿宋" w:eastAsia="仿宋" w:cs="仿宋_GB2312"/>
                <w:b/>
                <w:color w:val="auto"/>
                <w:sz w:val="24"/>
                <w:highlight w:val="none"/>
              </w:rPr>
              <w:t>响应人未提供（1）的有效的资格证明文件的，视为响应人不具备交易文件中规定的资格要求，响应无效。</w:t>
            </w:r>
          </w:p>
        </w:tc>
      </w:tr>
      <w:tr w14:paraId="1A75D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05F22F4">
            <w:pPr>
              <w:snapToGrid w:val="0"/>
              <w:spacing w:line="360" w:lineRule="auto"/>
              <w:ind w:firstLine="240" w:firstLineChars="100"/>
              <w:rPr>
                <w:rFonts w:ascii="仿宋" w:hAnsi="仿宋" w:eastAsia="仿宋" w:cs="仿宋_GB2312"/>
                <w:color w:val="auto"/>
                <w:sz w:val="24"/>
                <w:highlight w:val="none"/>
              </w:rPr>
            </w:pPr>
            <w:r>
              <w:rPr>
                <w:rFonts w:ascii="仿宋" w:hAnsi="仿宋" w:eastAsia="仿宋" w:cs="仿宋_GB2312"/>
                <w:color w:val="auto"/>
                <w:sz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330AF0D7">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5F18ED81">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w:t>
            </w:r>
            <w:r>
              <w:rPr>
                <w:rFonts w:hint="eastAsia"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tc>
      </w:tr>
      <w:tr w14:paraId="42157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E020281">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7F4D4005">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00779FA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）A不要求提供。</w:t>
            </w:r>
          </w:p>
          <w:p w14:paraId="33278C8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（√）B要求提供</w:t>
            </w:r>
          </w:p>
          <w:p w14:paraId="5FA0E11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1、样品提供：</w:t>
            </w:r>
            <w:r>
              <w:rPr>
                <w:rFonts w:hint="eastAsia" w:ascii="宋体" w:hAnsi="宋体" w:eastAsia="宋体" w:cs="宋体"/>
                <w:sz w:val="24"/>
                <w:szCs w:val="24"/>
                <w:highlight w:val="none"/>
                <w:u w:val="single"/>
                <w:lang w:val="en-US" w:eastAsia="zh-CN"/>
              </w:rPr>
              <w:t>礼堂椅</w:t>
            </w:r>
            <w:r>
              <w:rPr>
                <w:rFonts w:hint="eastAsia" w:ascii="宋体" w:hAnsi="宋体" w:eastAsia="宋体" w:cs="宋体"/>
                <w:sz w:val="24"/>
                <w:szCs w:val="24"/>
                <w:highlight w:val="none"/>
              </w:rPr>
              <w:t>（标注投标人名称），样品提供人员如为法定代表人签到时须提供身份证原件、营业执照复印件（加盖公章）；人员如为授权代表签到时须提供身份证原件、授权委托书原件；否则不予签到，视为放弃样品提供。</w:t>
            </w:r>
          </w:p>
          <w:p w14:paraId="3EAB3CA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2、签到时间：</w:t>
            </w:r>
            <w:r>
              <w:rPr>
                <w:rFonts w:hint="eastAsia" w:ascii="宋体" w:hAnsi="宋体" w:eastAsia="宋体" w:cs="宋体"/>
                <w:sz w:val="24"/>
                <w:szCs w:val="24"/>
                <w:highlight w:val="none"/>
                <w:u w:val="single"/>
              </w:rPr>
              <w:t>开标当天08:30至09:30</w:t>
            </w:r>
            <w:r>
              <w:rPr>
                <w:rFonts w:hint="eastAsia" w:ascii="宋体" w:hAnsi="宋体" w:eastAsia="宋体" w:cs="宋体"/>
                <w:sz w:val="24"/>
                <w:szCs w:val="24"/>
                <w:highlight w:val="none"/>
              </w:rPr>
              <w:t>，样品在签到前递交，否则不予签到，签到截止时间同提交投标文件截止时间（开标时间），逾期签到视为放弃样品提供。</w:t>
            </w:r>
          </w:p>
          <w:p w14:paraId="0AFD7B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3、签到地点：</w:t>
            </w:r>
            <w:r>
              <w:rPr>
                <w:rFonts w:hint="eastAsia" w:ascii="宋体" w:hAnsi="宋体" w:eastAsia="宋体" w:cs="宋体"/>
                <w:sz w:val="24"/>
                <w:szCs w:val="24"/>
                <w:highlight w:val="none"/>
                <w:u w:val="single"/>
              </w:rPr>
              <w:t>杭州市萧山区教育</w:t>
            </w:r>
            <w:r>
              <w:rPr>
                <w:rFonts w:hint="eastAsia" w:ascii="宋体" w:hAnsi="宋体" w:eastAsia="宋体" w:cs="宋体"/>
                <w:sz w:val="24"/>
                <w:szCs w:val="24"/>
                <w:highlight w:val="none"/>
                <w:u w:val="single"/>
                <w:lang w:val="en-US" w:eastAsia="zh-CN"/>
              </w:rPr>
              <w:t>服务中心1</w:t>
            </w:r>
            <w:r>
              <w:rPr>
                <w:rFonts w:hint="eastAsia" w:ascii="宋体" w:hAnsi="宋体" w:eastAsia="宋体" w:cs="宋体"/>
                <w:sz w:val="24"/>
                <w:szCs w:val="24"/>
                <w:highlight w:val="none"/>
                <w:u w:val="single"/>
                <w:lang w:val="en-US"/>
              </w:rPr>
              <w:t>楼</w:t>
            </w:r>
            <w:r>
              <w:rPr>
                <w:rFonts w:hint="eastAsia" w:ascii="宋体" w:hAnsi="宋体" w:eastAsia="宋体" w:cs="宋体"/>
                <w:sz w:val="24"/>
                <w:szCs w:val="24"/>
                <w:highlight w:val="none"/>
                <w:u w:val="single"/>
                <w:lang w:val="en-US" w:eastAsia="zh-CN"/>
              </w:rPr>
              <w:t>（萧山区体育路200号）</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现场放置地点工作人员指引</w:t>
            </w:r>
            <w:r>
              <w:rPr>
                <w:rFonts w:hint="eastAsia" w:ascii="宋体" w:hAnsi="宋体" w:eastAsia="宋体" w:cs="宋体"/>
                <w:sz w:val="24"/>
                <w:szCs w:val="24"/>
                <w:highlight w:val="none"/>
              </w:rPr>
              <w:t>。</w:t>
            </w:r>
          </w:p>
          <w:p w14:paraId="517D7F3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4、采购活动结束后，对于未</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人提供的样品，采购代理机构将通知未</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人在规定的时间内取回，逾期未取回的，采购人、采购代理机构不负保管义务；对于</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人提供的样品，采购人将进行保管、封存，并作为履约验收的参考。</w:t>
            </w:r>
          </w:p>
          <w:p w14:paraId="0B2F1DDC">
            <w:pPr>
              <w:spacing w:line="360" w:lineRule="auto"/>
              <w:rPr>
                <w:rFonts w:ascii="仿宋" w:hAnsi="仿宋" w:eastAsia="仿宋"/>
                <w:color w:val="auto"/>
                <w:sz w:val="24"/>
                <w:highlight w:val="none"/>
              </w:rPr>
            </w:pPr>
            <w:r>
              <w:rPr>
                <w:rFonts w:hint="eastAsia" w:ascii="宋体" w:hAnsi="宋体" w:eastAsia="宋体" w:cs="宋体"/>
                <w:b/>
                <w:bCs/>
                <w:sz w:val="24"/>
                <w:szCs w:val="24"/>
                <w:highlight w:val="none"/>
              </w:rPr>
              <w:t>5、未提供样品的供应商，投标无效。</w:t>
            </w:r>
          </w:p>
        </w:tc>
      </w:tr>
      <w:tr w14:paraId="220CF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F5847FC">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2735EB5B">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响应文件</w:t>
            </w:r>
          </w:p>
          <w:p w14:paraId="31A3C18F">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00C525DB">
            <w:pPr>
              <w:pStyle w:val="31"/>
              <w:snapToGrid w:val="0"/>
              <w:spacing w:before="120" w:after="120" w:line="360" w:lineRule="auto"/>
              <w:rPr>
                <w:rFonts w:ascii="仿宋" w:hAnsi="仿宋" w:eastAsia="仿宋"/>
                <w:color w:val="auto"/>
                <w:sz w:val="24"/>
                <w:highlight w:val="none"/>
              </w:rPr>
            </w:pPr>
            <w:r>
              <w:rPr>
                <w:rFonts w:ascii="仿宋" w:hAnsi="仿宋" w:eastAsia="仿宋"/>
                <w:color w:val="auto"/>
                <w:sz w:val="24"/>
                <w:highlight w:val="none"/>
              </w:rPr>
              <w:t>本项目实行</w:t>
            </w:r>
            <w:r>
              <w:rPr>
                <w:rFonts w:hint="eastAsia" w:ascii="仿宋" w:hAnsi="仿宋" w:eastAsia="仿宋"/>
                <w:color w:val="auto"/>
                <w:sz w:val="24"/>
                <w:highlight w:val="none"/>
              </w:rPr>
              <w:t>电子投标。</w:t>
            </w:r>
          </w:p>
          <w:p w14:paraId="31759F0C">
            <w:pPr>
              <w:pStyle w:val="31"/>
              <w:snapToGrid w:val="0"/>
              <w:spacing w:before="120" w:after="120"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供应商应准备电子响应文件参与交易：</w:t>
            </w:r>
          </w:p>
          <w:p w14:paraId="7B6A3DC2">
            <w:pPr>
              <w:pStyle w:val="31"/>
              <w:numPr>
                <w:ilvl w:val="0"/>
                <w:numId w:val="8"/>
              </w:numPr>
              <w:snapToGrid w:val="0"/>
              <w:spacing w:before="120" w:after="120" w:line="360" w:lineRule="auto"/>
              <w:rPr>
                <w:rFonts w:ascii="仿宋" w:hAnsi="仿宋" w:eastAsia="仿宋"/>
                <w:color w:val="auto"/>
                <w:sz w:val="24"/>
                <w:highlight w:val="none"/>
              </w:rPr>
            </w:pPr>
            <w:r>
              <w:rPr>
                <w:rFonts w:hint="eastAsia" w:ascii="仿宋" w:hAnsi="仿宋" w:eastAsia="仿宋"/>
                <w:color w:val="auto"/>
                <w:sz w:val="24"/>
                <w:highlight w:val="none"/>
              </w:rPr>
              <w:t>电子响应文件，按政采云平台</w:t>
            </w:r>
            <w:r>
              <w:rPr>
                <w:rFonts w:ascii="仿宋" w:hAnsi="仿宋" w:eastAsia="仿宋"/>
                <w:color w:val="auto"/>
                <w:sz w:val="24"/>
                <w:highlight w:val="none"/>
              </w:rPr>
              <w:t>项目采购-电子</w:t>
            </w:r>
            <w:r>
              <w:rPr>
                <w:rFonts w:hint="eastAsia" w:ascii="仿宋" w:hAnsi="仿宋" w:eastAsia="仿宋"/>
                <w:color w:val="auto"/>
                <w:sz w:val="24"/>
                <w:highlight w:val="none"/>
              </w:rPr>
              <w:t>招投标</w:t>
            </w:r>
            <w:r>
              <w:rPr>
                <w:rFonts w:ascii="仿宋" w:hAnsi="仿宋" w:eastAsia="仿宋"/>
                <w:color w:val="auto"/>
                <w:sz w:val="24"/>
                <w:highlight w:val="none"/>
              </w:rPr>
              <w:t>操作指南</w:t>
            </w:r>
            <w:r>
              <w:rPr>
                <w:rFonts w:hint="eastAsia" w:ascii="仿宋" w:hAnsi="仿宋" w:eastAsia="仿宋"/>
                <w:color w:val="auto"/>
                <w:sz w:val="24"/>
                <w:highlight w:val="none"/>
              </w:rPr>
              <w:t>及本交易文件要求递交</w:t>
            </w:r>
            <w:r>
              <w:rPr>
                <w:rFonts w:ascii="仿宋" w:hAnsi="仿宋" w:eastAsia="仿宋"/>
                <w:color w:val="auto"/>
                <w:sz w:val="24"/>
                <w:highlight w:val="none"/>
              </w:rPr>
              <w:t>。</w:t>
            </w:r>
          </w:p>
          <w:p w14:paraId="0CFEF1A9">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▲未传输递交电子响应文件的，投标无效。</w:t>
            </w:r>
          </w:p>
          <w:p w14:paraId="61DE8DB4">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▲未在系统解密时间内完成解密的，视为响应人自行放弃交易响应无效。</w:t>
            </w:r>
          </w:p>
          <w:p w14:paraId="3658BE12">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本项目备份投标文件：不提供</w:t>
            </w:r>
          </w:p>
        </w:tc>
      </w:tr>
      <w:tr w14:paraId="5257C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2D9DEC6">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220C81C5">
            <w:pPr>
              <w:spacing w:line="360" w:lineRule="auto"/>
              <w:jc w:val="center"/>
              <w:rPr>
                <w:rFonts w:ascii="仿宋" w:hAnsi="仿宋" w:eastAsia="仿宋" w:cs="仿宋_GB2312"/>
                <w:bCs/>
                <w:color w:val="auto"/>
                <w:sz w:val="24"/>
                <w:highlight w:val="none"/>
              </w:rPr>
            </w:pPr>
            <w:r>
              <w:rPr>
                <w:rFonts w:hint="eastAsia" w:ascii="仿宋" w:hAnsi="仿宋" w:eastAsia="仿宋"/>
                <w:b/>
                <w:color w:val="auto"/>
                <w:sz w:val="24"/>
                <w:highlight w:val="none"/>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26266E92">
            <w:pPr>
              <w:spacing w:line="360" w:lineRule="auto"/>
              <w:rPr>
                <w:rFonts w:ascii="仿宋" w:hAnsi="仿宋" w:eastAsia="仿宋"/>
                <w:color w:val="auto"/>
                <w:sz w:val="24"/>
                <w:highlight w:val="none"/>
              </w:rPr>
            </w:pPr>
            <w:r>
              <w:rPr>
                <w:rFonts w:hint="eastAsia" w:ascii="仿宋" w:hAnsi="仿宋" w:eastAsia="仿宋"/>
                <w:color w:val="auto"/>
                <w:sz w:val="24"/>
                <w:highlight w:val="none"/>
              </w:rPr>
              <w:t>（√）A不组织。</w:t>
            </w:r>
          </w:p>
        </w:tc>
      </w:tr>
      <w:tr w14:paraId="21147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2833ECC">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5407AF74">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采购机构</w:t>
            </w:r>
          </w:p>
          <w:p w14:paraId="554C1C3E">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065F17F1">
            <w:pPr>
              <w:pStyle w:val="15"/>
              <w:spacing w:line="360" w:lineRule="auto"/>
              <w:ind w:firstLine="0"/>
              <w:rPr>
                <w:rFonts w:hAnsi="宋体" w:cs="宋体"/>
                <w:b/>
                <w:bCs/>
                <w:color w:val="auto"/>
                <w:sz w:val="24"/>
                <w:highlight w:val="none"/>
              </w:rPr>
            </w:pPr>
            <w:r>
              <w:rPr>
                <w:rFonts w:hint="eastAsia" w:ascii="仿宋" w:hAnsi="仿宋" w:eastAsia="仿宋" w:cs="仿宋_GB2312"/>
                <w:color w:val="auto"/>
                <w:sz w:val="24"/>
                <w:highlight w:val="none"/>
              </w:rPr>
              <w:t>代理服务费和专家评审费由交易发起人支付。</w:t>
            </w:r>
          </w:p>
        </w:tc>
      </w:tr>
      <w:tr w14:paraId="3377D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6A9CE85">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378F78CA">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响应保证金</w:t>
            </w:r>
          </w:p>
          <w:p w14:paraId="424279CA">
            <w:pPr>
              <w:spacing w:line="360" w:lineRule="auto"/>
              <w:jc w:val="center"/>
              <w:rPr>
                <w:rFonts w:ascii="仿宋" w:hAnsi="仿宋" w:eastAsia="仿宋" w:cs="仿宋_GB2312"/>
                <w:b/>
                <w:color w:val="auto"/>
                <w:sz w:val="24"/>
                <w:highlight w:val="none"/>
              </w:rPr>
            </w:pPr>
            <w:r>
              <w:rPr>
                <w:rFonts w:ascii="仿宋" w:hAnsi="仿宋" w:eastAsia="仿宋"/>
                <w:b/>
                <w:color w:val="auto"/>
                <w:sz w:val="24"/>
                <w:highlight w:val="none"/>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046803DB">
            <w:pPr>
              <w:pStyle w:val="15"/>
              <w:spacing w:line="360" w:lineRule="auto"/>
              <w:ind w:firstLine="0"/>
              <w:rPr>
                <w:rFonts w:ascii="仿宋" w:hAnsi="仿宋" w:eastAsia="仿宋" w:cs="仿宋_GB2312"/>
                <w:color w:val="auto"/>
                <w:sz w:val="24"/>
                <w:highlight w:val="none"/>
              </w:rPr>
            </w:pPr>
            <w:r>
              <w:rPr>
                <w:rFonts w:hint="eastAsia" w:ascii="仿宋" w:hAnsi="仿宋" w:eastAsia="仿宋" w:cs="仿宋_GB2312"/>
                <w:color w:val="auto"/>
                <w:sz w:val="24"/>
                <w:highlight w:val="none"/>
              </w:rPr>
              <w:t>响应保证金：不收取。</w:t>
            </w:r>
          </w:p>
          <w:p w14:paraId="19D2A788">
            <w:pPr>
              <w:pStyle w:val="15"/>
              <w:spacing w:line="360" w:lineRule="auto"/>
              <w:ind w:firstLine="0"/>
              <w:rPr>
                <w:rFonts w:ascii="仿宋" w:hAnsi="仿宋" w:eastAsia="仿宋" w:cs="仿宋_GB2312"/>
                <w:color w:val="auto"/>
                <w:sz w:val="24"/>
                <w:highlight w:val="none"/>
              </w:rPr>
            </w:pPr>
            <w:r>
              <w:rPr>
                <w:rFonts w:ascii="仿宋" w:hAnsi="仿宋" w:eastAsia="仿宋" w:cs="仿宋_GB2312"/>
                <w:color w:val="auto"/>
                <w:sz w:val="24"/>
                <w:highlight w:val="none"/>
              </w:rPr>
              <w:t>履约保证金</w:t>
            </w:r>
            <w:r>
              <w:rPr>
                <w:rFonts w:hint="eastAsia" w:ascii="仿宋" w:hAnsi="仿宋" w:eastAsia="仿宋" w:cs="仿宋_GB2312"/>
                <w:color w:val="auto"/>
                <w:sz w:val="24"/>
                <w:highlight w:val="none"/>
              </w:rPr>
              <w:t>：1%</w:t>
            </w:r>
          </w:p>
          <w:p w14:paraId="13B868D1">
            <w:pPr>
              <w:pStyle w:val="15"/>
              <w:spacing w:line="360" w:lineRule="auto"/>
              <w:ind w:firstLine="0"/>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供应商应当以支票、汇票</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转账</w:t>
            </w:r>
            <w:r>
              <w:rPr>
                <w:rFonts w:hint="eastAsia" w:ascii="仿宋" w:hAnsi="仿宋" w:eastAsia="仿宋" w:cs="仿宋_GB2312"/>
                <w:color w:val="auto"/>
                <w:sz w:val="24"/>
                <w:highlight w:val="none"/>
              </w:rPr>
              <w:t>等形式提交。</w:t>
            </w:r>
          </w:p>
        </w:tc>
      </w:tr>
      <w:tr w14:paraId="181BA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87D510C">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790AD879">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资格</w:t>
            </w:r>
            <w:r>
              <w:rPr>
                <w:rFonts w:ascii="仿宋" w:hAnsi="仿宋" w:eastAsia="仿宋"/>
                <w:b/>
                <w:color w:val="auto"/>
                <w:sz w:val="24"/>
                <w:highlight w:val="none"/>
              </w:rPr>
              <w:t>审查</w:t>
            </w:r>
            <w:r>
              <w:rPr>
                <w:rFonts w:hint="eastAsia" w:ascii="仿宋" w:hAnsi="仿宋" w:eastAsia="仿宋"/>
                <w:b/>
                <w:color w:val="auto"/>
                <w:sz w:val="24"/>
                <w:highlight w:val="none"/>
              </w:rPr>
              <w:t>及</w:t>
            </w:r>
            <w:r>
              <w:rPr>
                <w:rFonts w:ascii="仿宋" w:hAnsi="仿宋" w:eastAsia="仿宋"/>
                <w:b/>
                <w:color w:val="auto"/>
                <w:sz w:val="24"/>
                <w:highlight w:val="none"/>
              </w:rPr>
              <w:t>信用信息</w:t>
            </w:r>
            <w:r>
              <w:rPr>
                <w:rFonts w:hint="eastAsia" w:ascii="仿宋" w:hAnsi="仿宋" w:eastAsia="仿宋"/>
                <w:b/>
                <w:color w:val="auto"/>
                <w:sz w:val="24"/>
                <w:highlight w:val="none"/>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44035762">
            <w:pPr>
              <w:pStyle w:val="15"/>
              <w:spacing w:line="360" w:lineRule="auto"/>
              <w:ind w:firstLine="0"/>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w:t>
            </w:r>
            <w:r>
              <w:rPr>
                <w:rFonts w:ascii="仿宋" w:hAnsi="仿宋" w:eastAsia="仿宋" w:cs="仿宋_GB2312"/>
                <w:color w:val="auto"/>
                <w:sz w:val="24"/>
                <w:highlight w:val="none"/>
              </w:rPr>
              <w:t>由</w:t>
            </w:r>
            <w:r>
              <w:rPr>
                <w:rFonts w:hint="eastAsia" w:ascii="仿宋" w:hAnsi="仿宋" w:eastAsia="仿宋" w:cs="仿宋_GB2312"/>
                <w:color w:val="auto"/>
                <w:sz w:val="24"/>
                <w:highlight w:val="none"/>
              </w:rPr>
              <w:t>交易发起</w:t>
            </w:r>
            <w:r>
              <w:rPr>
                <w:rFonts w:ascii="仿宋" w:hAnsi="仿宋" w:eastAsia="仿宋" w:cs="仿宋_GB2312"/>
                <w:color w:val="auto"/>
                <w:sz w:val="24"/>
                <w:highlight w:val="none"/>
              </w:rPr>
              <w:t>人</w:t>
            </w:r>
            <w:r>
              <w:rPr>
                <w:rFonts w:hint="eastAsia" w:ascii="仿宋" w:hAnsi="仿宋" w:eastAsia="仿宋" w:cs="仿宋_GB2312"/>
                <w:color w:val="auto"/>
                <w:sz w:val="24"/>
                <w:highlight w:val="none"/>
              </w:rPr>
              <w:t>进行</w:t>
            </w:r>
            <w:r>
              <w:rPr>
                <w:rFonts w:ascii="仿宋" w:hAnsi="仿宋" w:eastAsia="仿宋" w:cs="仿宋_GB2312"/>
                <w:color w:val="auto"/>
                <w:sz w:val="24"/>
                <w:highlight w:val="none"/>
              </w:rPr>
              <w:t>资格文件</w:t>
            </w:r>
            <w:r>
              <w:rPr>
                <w:rFonts w:hint="eastAsia" w:ascii="仿宋" w:hAnsi="仿宋" w:eastAsia="仿宋" w:cs="仿宋_GB2312"/>
                <w:color w:val="auto"/>
                <w:sz w:val="24"/>
                <w:highlight w:val="none"/>
              </w:rPr>
              <w:t>及</w:t>
            </w:r>
            <w:r>
              <w:rPr>
                <w:rFonts w:ascii="仿宋" w:hAnsi="仿宋" w:eastAsia="仿宋" w:cs="仿宋_GB2312"/>
                <w:color w:val="auto"/>
                <w:sz w:val="24"/>
                <w:highlight w:val="none"/>
              </w:rPr>
              <w:t>信用信息</w:t>
            </w:r>
            <w:r>
              <w:rPr>
                <w:rFonts w:hint="eastAsia" w:ascii="仿宋" w:hAnsi="仿宋" w:eastAsia="仿宋" w:cs="仿宋_GB2312"/>
                <w:color w:val="auto"/>
                <w:sz w:val="24"/>
                <w:highlight w:val="none"/>
              </w:rPr>
              <w:t>查询</w:t>
            </w:r>
            <w:r>
              <w:rPr>
                <w:rFonts w:ascii="仿宋" w:hAnsi="仿宋" w:eastAsia="仿宋" w:cs="仿宋_GB2312"/>
                <w:color w:val="auto"/>
                <w:sz w:val="24"/>
                <w:highlight w:val="none"/>
              </w:rPr>
              <w:t>。</w:t>
            </w:r>
          </w:p>
        </w:tc>
      </w:tr>
      <w:tr w14:paraId="58AE1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F9DA870">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204906C5">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4BB89045">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本项目为</w:t>
            </w:r>
            <w:r>
              <w:rPr>
                <w:rFonts w:hint="eastAsia" w:ascii="仿宋" w:hAnsi="仿宋" w:eastAsia="仿宋"/>
                <w:color w:val="auto"/>
                <w:sz w:val="24"/>
                <w:highlight w:val="none"/>
                <w:u w:val="single"/>
              </w:rPr>
              <w:t>货物类</w:t>
            </w:r>
            <w:r>
              <w:rPr>
                <w:rFonts w:hint="eastAsia" w:ascii="仿宋" w:hAnsi="仿宋" w:eastAsia="仿宋"/>
                <w:color w:val="auto"/>
                <w:sz w:val="24"/>
                <w:highlight w:val="none"/>
              </w:rPr>
              <w:t>采购项目</w:t>
            </w:r>
          </w:p>
        </w:tc>
      </w:tr>
      <w:tr w14:paraId="5973B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C6EAE8F">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32B6CBEA">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061DE55D">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u w:val="single"/>
              </w:rPr>
              <w:t>标项一</w:t>
            </w:r>
            <w:r>
              <w:rPr>
                <w:rFonts w:hint="eastAsia" w:ascii="仿宋" w:hAnsi="仿宋" w:eastAsia="仿宋"/>
                <w:color w:val="auto"/>
                <w:sz w:val="24"/>
                <w:highlight w:val="none"/>
              </w:rPr>
              <w:t>为</w:t>
            </w:r>
            <w:r>
              <w:rPr>
                <w:rFonts w:hint="eastAsia" w:ascii="仿宋" w:hAnsi="仿宋" w:eastAsia="仿宋"/>
                <w:color w:val="auto"/>
                <w:sz w:val="24"/>
                <w:highlight w:val="none"/>
                <w:u w:val="single"/>
              </w:rPr>
              <w:t>综合评估法</w:t>
            </w:r>
            <w:r>
              <w:rPr>
                <w:rFonts w:hint="eastAsia" w:ascii="仿宋" w:hAnsi="仿宋" w:eastAsia="仿宋"/>
                <w:color w:val="auto"/>
                <w:sz w:val="24"/>
                <w:highlight w:val="none"/>
              </w:rPr>
              <w:t>采购项目</w:t>
            </w:r>
          </w:p>
        </w:tc>
      </w:tr>
    </w:tbl>
    <w:p w14:paraId="424B6C71">
      <w:pPr>
        <w:rPr>
          <w:rFonts w:ascii="仿宋" w:hAnsi="仿宋" w:eastAsia="仿宋" w:cs="仿宋"/>
          <w:color w:val="auto"/>
          <w:highlight w:val="none"/>
        </w:rPr>
      </w:pPr>
      <w:r>
        <w:rPr>
          <w:rFonts w:hint="eastAsia" w:ascii="仿宋" w:hAnsi="仿宋" w:eastAsia="仿宋"/>
          <w:b/>
          <w:color w:val="auto"/>
          <w:sz w:val="24"/>
          <w:highlight w:val="none"/>
        </w:rPr>
        <w:t>注</w:t>
      </w:r>
      <w:r>
        <w:rPr>
          <w:rFonts w:ascii="仿宋" w:hAnsi="仿宋" w:eastAsia="仿宋"/>
          <w:b/>
          <w:color w:val="auto"/>
          <w:sz w:val="24"/>
          <w:highlight w:val="none"/>
        </w:rPr>
        <w:t>：</w:t>
      </w:r>
      <w:r>
        <w:rPr>
          <w:rFonts w:hint="eastAsia" w:ascii="仿宋" w:hAnsi="仿宋" w:eastAsia="仿宋"/>
          <w:b/>
          <w:color w:val="auto"/>
          <w:sz w:val="24"/>
          <w:highlight w:val="none"/>
        </w:rPr>
        <w:t>本项目</w:t>
      </w:r>
      <w:r>
        <w:rPr>
          <w:rFonts w:ascii="仿宋" w:hAnsi="仿宋" w:eastAsia="仿宋"/>
          <w:b/>
          <w:color w:val="auto"/>
          <w:sz w:val="24"/>
          <w:highlight w:val="none"/>
        </w:rPr>
        <w:t>通用</w:t>
      </w:r>
      <w:r>
        <w:rPr>
          <w:rFonts w:hint="eastAsia" w:ascii="仿宋" w:hAnsi="仿宋" w:eastAsia="仿宋"/>
          <w:b/>
          <w:color w:val="auto"/>
          <w:sz w:val="24"/>
          <w:highlight w:val="none"/>
        </w:rPr>
        <w:t>总则</w:t>
      </w:r>
      <w:r>
        <w:rPr>
          <w:rFonts w:ascii="仿宋" w:hAnsi="仿宋" w:eastAsia="仿宋"/>
          <w:b/>
          <w:color w:val="auto"/>
          <w:sz w:val="24"/>
          <w:highlight w:val="none"/>
        </w:rPr>
        <w:t>条款与前附表等专</w:t>
      </w:r>
      <w:r>
        <w:rPr>
          <w:rFonts w:hint="eastAsia" w:ascii="仿宋" w:hAnsi="仿宋" w:eastAsia="仿宋"/>
          <w:b/>
          <w:color w:val="auto"/>
          <w:sz w:val="24"/>
          <w:highlight w:val="none"/>
        </w:rPr>
        <w:t>用</w:t>
      </w:r>
      <w:r>
        <w:rPr>
          <w:rFonts w:ascii="仿宋" w:hAnsi="仿宋" w:eastAsia="仿宋"/>
          <w:b/>
          <w:color w:val="auto"/>
          <w:sz w:val="24"/>
          <w:highlight w:val="none"/>
        </w:rPr>
        <w:t>特别规定有冲突之处，以专用条款（</w:t>
      </w:r>
      <w:r>
        <w:rPr>
          <w:rFonts w:hint="eastAsia" w:ascii="仿宋" w:hAnsi="仿宋" w:eastAsia="仿宋"/>
          <w:b/>
          <w:color w:val="auto"/>
          <w:sz w:val="24"/>
          <w:highlight w:val="none"/>
        </w:rPr>
        <w:t>特别规定</w:t>
      </w:r>
      <w:r>
        <w:rPr>
          <w:rFonts w:ascii="仿宋" w:hAnsi="仿宋" w:eastAsia="仿宋"/>
          <w:b/>
          <w:color w:val="auto"/>
          <w:sz w:val="24"/>
          <w:highlight w:val="none"/>
        </w:rPr>
        <w:t>）</w:t>
      </w:r>
      <w:r>
        <w:rPr>
          <w:rFonts w:hint="eastAsia" w:ascii="仿宋" w:hAnsi="仿宋" w:eastAsia="仿宋"/>
          <w:b/>
          <w:color w:val="auto"/>
          <w:sz w:val="24"/>
          <w:highlight w:val="none"/>
        </w:rPr>
        <w:t>为准</w:t>
      </w:r>
    </w:p>
    <w:p w14:paraId="460157CA">
      <w:pPr>
        <w:rPr>
          <w:rFonts w:ascii="仿宋" w:hAnsi="仿宋" w:eastAsia="仿宋" w:cs="仿宋"/>
          <w:color w:val="auto"/>
          <w:highlight w:val="none"/>
        </w:rPr>
      </w:pPr>
    </w:p>
    <w:p w14:paraId="1F87E8E3">
      <w:pPr>
        <w:adjustRightInd/>
        <w:spacing w:line="360" w:lineRule="auto"/>
        <w:ind w:firstLine="3845" w:firstLineChars="1197"/>
        <w:outlineLvl w:val="0"/>
        <w:rPr>
          <w:rFonts w:ascii="仿宋" w:hAnsi="仿宋" w:eastAsia="仿宋" w:cs="仿宋"/>
          <w:b/>
          <w:color w:val="auto"/>
          <w:sz w:val="32"/>
          <w:szCs w:val="20"/>
          <w:highlight w:val="none"/>
        </w:rPr>
      </w:pPr>
    </w:p>
    <w:p w14:paraId="266C5204">
      <w:pPr>
        <w:adjustRightInd/>
        <w:spacing w:line="360" w:lineRule="auto"/>
        <w:ind w:firstLine="3845" w:firstLineChars="1197"/>
        <w:outlineLvl w:val="0"/>
        <w:rPr>
          <w:rFonts w:ascii="仿宋" w:hAnsi="仿宋" w:eastAsia="仿宋" w:cs="仿宋"/>
          <w:b/>
          <w:color w:val="auto"/>
          <w:sz w:val="32"/>
          <w:szCs w:val="20"/>
          <w:highlight w:val="none"/>
        </w:rPr>
      </w:pPr>
    </w:p>
    <w:p w14:paraId="49E137C8">
      <w:pPr>
        <w:pStyle w:val="5"/>
        <w:numPr>
          <w:ilvl w:val="3"/>
          <w:numId w:val="0"/>
        </w:numPr>
        <w:rPr>
          <w:color w:val="auto"/>
          <w:highlight w:val="none"/>
        </w:rPr>
      </w:pPr>
    </w:p>
    <w:p w14:paraId="685C3FE4">
      <w:pPr>
        <w:rPr>
          <w:color w:val="auto"/>
          <w:highlight w:val="none"/>
        </w:rPr>
      </w:pPr>
    </w:p>
    <w:p w14:paraId="70AB8C38">
      <w:pPr>
        <w:pStyle w:val="3"/>
        <w:rPr>
          <w:color w:val="auto"/>
          <w:highlight w:val="none"/>
        </w:rPr>
      </w:pPr>
    </w:p>
    <w:p w14:paraId="06898B07">
      <w:pPr>
        <w:rPr>
          <w:color w:val="auto"/>
          <w:highlight w:val="none"/>
        </w:rPr>
      </w:pPr>
    </w:p>
    <w:p w14:paraId="26C193F9">
      <w:pPr>
        <w:adjustRightInd/>
        <w:spacing w:line="360" w:lineRule="auto"/>
        <w:outlineLvl w:val="0"/>
        <w:rPr>
          <w:rFonts w:ascii="仿宋" w:hAnsi="仿宋" w:eastAsia="仿宋" w:cs="仿宋"/>
          <w:b/>
          <w:color w:val="auto"/>
          <w:sz w:val="32"/>
          <w:szCs w:val="20"/>
          <w:highlight w:val="none"/>
        </w:rPr>
      </w:pPr>
    </w:p>
    <w:p w14:paraId="4A33D058">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14E88A6">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5E0EF3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本交易文件适用于该项目的响应、交易、资格审查及信用信息查询、评标、定标、合同、验收等行为（法律、法规另有规定的，从其规定）。</w:t>
      </w:r>
    </w:p>
    <w:p w14:paraId="2C8FF14E">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437C403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“交易发起人”系指交易公告中载明的本项目的交易发起人。</w:t>
      </w:r>
    </w:p>
    <w:p w14:paraId="4406F8F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“采购机构”系指交易公告中载明的本项目的采购机构。</w:t>
      </w:r>
    </w:p>
    <w:p w14:paraId="676F8E6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“供应商”系指是指响应招标、参加投标竞争的法人、其他组织或者自然人。</w:t>
      </w:r>
    </w:p>
    <w:p w14:paraId="36BF5CE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717EA7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4）。</w:t>
      </w:r>
    </w:p>
    <w:p w14:paraId="388F9FB3">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2.6“电子交易平台”是指本项目采购活动所依托的政府采购云平台（https://www.zcygov.cn/）。</w:t>
      </w:r>
    </w:p>
    <w:p w14:paraId="4820AA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14:paraId="35C7FD8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 xml:space="preserve"> 询问、质疑、投诉</w:t>
      </w:r>
    </w:p>
    <w:p w14:paraId="3C291FF2">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.1供应商询问</w:t>
      </w:r>
    </w:p>
    <w:p w14:paraId="39F47E87">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18066B29">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.2供应商质疑</w:t>
      </w:r>
    </w:p>
    <w:p w14:paraId="0D75C2DF">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.1提出质疑的供应商应当是参与所质疑项目采购活动的供应商。潜在供应商已依法获取其可质疑的交易文件的，可以对该文件提出质疑。</w:t>
      </w:r>
    </w:p>
    <w:p w14:paraId="203EF9C5">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2供应商认为交易文件、采购过程和成交结果使自己的权益受到损害的，可以在知道或者应知其权益受到损害之日起七个工作日内，以书面形式向交易发起人或者采购机构提出质疑，否则，交易发起人或者采购机构不予受理：</w:t>
      </w:r>
    </w:p>
    <w:p w14:paraId="66AA8D5A">
      <w:pPr>
        <w:pStyle w:val="1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3.2.2.1对交易文件提出质疑的，质疑期限为供应商获得交易文件之日或者交易文件公告期限届满之日起计算。</w:t>
      </w:r>
    </w:p>
    <w:p w14:paraId="0AED393A">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3.2.2.2对交易过程提出质疑的，质疑期限为各采购程序环节结束之日起计算。对同一采购程序环节的质疑，供应商须一次性提出。</w:t>
      </w:r>
    </w:p>
    <w:p w14:paraId="67BC27BC">
      <w:pPr>
        <w:pStyle w:val="31"/>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3.2.2.3对采购结果提出质疑的，质疑期限自采购结果公告期限届满之日起计算。</w:t>
      </w:r>
    </w:p>
    <w:p w14:paraId="31080DF5">
      <w:pPr>
        <w:pStyle w:val="31"/>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w:t>
      </w:r>
      <w:r>
        <w:rPr>
          <w:rFonts w:hint="eastAsia" w:ascii="仿宋" w:hAnsi="仿宋" w:eastAsia="仿宋" w:cs="仿宋"/>
          <w:color w:val="auto"/>
          <w:sz w:val="24"/>
          <w:highlight w:val="none"/>
        </w:rPr>
        <w:t>供应商提出质疑应当提交质疑函和必要的证明材料。质疑函应当包括下列内容：</w:t>
      </w:r>
    </w:p>
    <w:p w14:paraId="2BF7B362">
      <w:pPr>
        <w:pStyle w:val="31"/>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.2.3.1供应商的姓名或者名称、地址、邮编、联系人及联系电话；</w:t>
      </w:r>
    </w:p>
    <w:p w14:paraId="512FD44D">
      <w:pPr>
        <w:pStyle w:val="31"/>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.2.3.2质疑项目的名称、编号；</w:t>
      </w:r>
    </w:p>
    <w:p w14:paraId="52B33250">
      <w:pPr>
        <w:pStyle w:val="31"/>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.2.3.3具体、明确的质疑事项和与质疑事项相关的请求；</w:t>
      </w:r>
    </w:p>
    <w:p w14:paraId="06E284D9">
      <w:pPr>
        <w:pStyle w:val="31"/>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.2.3.4事实依据；</w:t>
      </w:r>
    </w:p>
    <w:p w14:paraId="267539D4">
      <w:pPr>
        <w:pStyle w:val="31"/>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.2.3.5必要的法律依据；</w:t>
      </w:r>
    </w:p>
    <w:p w14:paraId="003E8EAC">
      <w:pPr>
        <w:pStyle w:val="31"/>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.2.3.6提出质疑的日期。</w:t>
      </w:r>
    </w:p>
    <w:p w14:paraId="5D4D8479">
      <w:pPr>
        <w:pStyle w:val="615"/>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60F2E9">
      <w:pPr>
        <w:pStyle w:val="615"/>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3841455">
      <w:pPr>
        <w:pStyle w:val="615"/>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.2</w:t>
      </w:r>
      <w:r>
        <w:rPr>
          <w:rFonts w:hint="eastAsia" w:ascii="仿宋" w:hAnsi="仿宋" w:eastAsia="仿宋" w:cs="仿宋"/>
          <w:color w:val="auto"/>
          <w:highlight w:val="none"/>
        </w:rPr>
        <w:t>.4交易发起人或者采购机构应当在收到供应商的书面质疑后七个工作日内作出答复，并以书面形式通知质疑供应商和其他与质疑处理结果有利害关系的采购当事人，但答复的内容不得涉及商业秘密。</w:t>
      </w:r>
    </w:p>
    <w:p w14:paraId="57A11C02">
      <w:pPr>
        <w:pStyle w:val="615"/>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.2</w:t>
      </w:r>
      <w:r>
        <w:rPr>
          <w:rFonts w:hint="eastAsia" w:ascii="仿宋" w:hAnsi="仿宋" w:eastAsia="仿宋" w:cs="仿宋"/>
          <w:color w:val="auto"/>
          <w:highlight w:val="none"/>
        </w:rPr>
        <w:t>.5询问或者质疑事项可能影响采购结果的，交易发起人应当暂停签订合同，已经签订合同的，应当中止履行合同。</w:t>
      </w:r>
    </w:p>
    <w:p w14:paraId="51E60969">
      <w:pPr>
        <w:pStyle w:val="615"/>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.3供应商投诉</w:t>
      </w:r>
    </w:p>
    <w:p w14:paraId="53D2758E">
      <w:pPr>
        <w:pStyle w:val="615"/>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3.3.1质疑供应商对交易发起人、采购机构的答复不满意或者交易发起人、采购机构未在规定的时间内作出答复的，可以在答复期满后十五个工作日内向同级采购监督管理部门提出投诉。</w:t>
      </w:r>
    </w:p>
    <w:p w14:paraId="20F1ABC3">
      <w:pPr>
        <w:pStyle w:val="615"/>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3.3.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67D9D124">
      <w:pPr>
        <w:pStyle w:val="615"/>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3.3.3供应商投诉应当有明确的请求和必要的证明材料。</w:t>
      </w:r>
    </w:p>
    <w:p w14:paraId="51FEEA16">
      <w:pPr>
        <w:pStyle w:val="615"/>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3.3.5 以联合体形式参加采购活动的，其投诉应当由组成联合体的所有供应商共同提出。</w:t>
      </w:r>
    </w:p>
    <w:p w14:paraId="23D87973">
      <w:pPr>
        <w:pStyle w:val="615"/>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8A5B0BC">
      <w:pPr>
        <w:pStyle w:val="218"/>
        <w:snapToGrid w:val="0"/>
        <w:spacing w:before="0"/>
        <w:ind w:firstLine="360"/>
        <w:rPr>
          <w:rFonts w:ascii="仿宋" w:hAnsi="仿宋" w:eastAsia="仿宋" w:cs="仿宋"/>
          <w:color w:val="auto"/>
          <w:sz w:val="18"/>
          <w:szCs w:val="18"/>
          <w:highlight w:val="none"/>
        </w:rPr>
      </w:pPr>
    </w:p>
    <w:p w14:paraId="0A1600A5">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二、交易文件的构成、澄清、修改</w:t>
      </w:r>
    </w:p>
    <w:p w14:paraId="3055EFF7">
      <w:pPr>
        <w:pStyle w:val="31"/>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4．交易文件的构成</w:t>
      </w:r>
    </w:p>
    <w:p w14:paraId="0C0D7A3B">
      <w:pPr>
        <w:pStyle w:val="31"/>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 交易文件包括下列文件及附件：</w:t>
      </w:r>
    </w:p>
    <w:p w14:paraId="275CB883">
      <w:pPr>
        <w:pStyle w:val="31"/>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4.1.1交易公告；</w:t>
      </w:r>
    </w:p>
    <w:p w14:paraId="65FFBE0B">
      <w:pPr>
        <w:pStyle w:val="31"/>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4.1.2供应商须知；</w:t>
      </w:r>
    </w:p>
    <w:p w14:paraId="158E1AED">
      <w:pPr>
        <w:pStyle w:val="31"/>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4.1.3采购需求；</w:t>
      </w:r>
    </w:p>
    <w:p w14:paraId="19FD4A50">
      <w:pPr>
        <w:pStyle w:val="31"/>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4.1.4交易办法；</w:t>
      </w:r>
    </w:p>
    <w:p w14:paraId="0B7DC772">
      <w:pPr>
        <w:pStyle w:val="31"/>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4.1.5拟签订的合同文本；</w:t>
      </w:r>
    </w:p>
    <w:p w14:paraId="3CC2FC9A">
      <w:pPr>
        <w:pStyle w:val="31"/>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4.1.6</w:t>
      </w:r>
      <w:r>
        <w:rPr>
          <w:rFonts w:hint="eastAsia" w:ascii="仿宋" w:hAnsi="仿宋" w:eastAsia="仿宋" w:cs="仿宋"/>
          <w:color w:val="auto"/>
          <w:sz w:val="24"/>
          <w:szCs w:val="24"/>
          <w:highlight w:val="none"/>
        </w:rPr>
        <w:t>应提交的有关格式范例。</w:t>
      </w:r>
    </w:p>
    <w:p w14:paraId="734779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4.2与本项目有关的</w:t>
      </w:r>
      <w:r>
        <w:rPr>
          <w:rFonts w:hint="eastAsia" w:ascii="仿宋" w:hAnsi="仿宋" w:eastAsia="仿宋" w:cs="仿宋"/>
          <w:bCs/>
          <w:color w:val="auto"/>
          <w:sz w:val="24"/>
          <w:highlight w:val="none"/>
        </w:rPr>
        <w:t>澄清或者修改的内容为交易文件的组成部分</w:t>
      </w:r>
      <w:r>
        <w:rPr>
          <w:rFonts w:hint="eastAsia" w:ascii="仿宋" w:hAnsi="仿宋" w:eastAsia="仿宋" w:cs="仿宋"/>
          <w:color w:val="auto"/>
          <w:sz w:val="24"/>
          <w:highlight w:val="none"/>
        </w:rPr>
        <w:t>。</w:t>
      </w:r>
    </w:p>
    <w:p w14:paraId="318020BF">
      <w:pPr>
        <w:pStyle w:val="31"/>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 交易文件的澄清、修改</w:t>
      </w:r>
    </w:p>
    <w:p w14:paraId="07EF08FA">
      <w:pPr>
        <w:pStyle w:val="21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5.1已获取交易文件的潜在供应商，若有问题需要澄清，应于投标截止时间前，以书面形式向采购机构提出。</w:t>
      </w:r>
    </w:p>
    <w:p w14:paraId="1FD6AFE0">
      <w:pPr>
        <w:pStyle w:val="21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75112F93">
      <w:pPr>
        <w:pStyle w:val="22"/>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24155EB1">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三、交易</w:t>
      </w:r>
    </w:p>
    <w:p w14:paraId="0E1BFA09">
      <w:pPr>
        <w:pStyle w:val="31"/>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交易文件的获取</w:t>
      </w:r>
    </w:p>
    <w:p w14:paraId="5947059F">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详见交易公告中获取交易文件的时间期限、地点、方式及交易文件售价。</w:t>
      </w:r>
    </w:p>
    <w:p w14:paraId="2749BCE0">
      <w:pPr>
        <w:pStyle w:val="31"/>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7.交易前答疑会或现场考察</w:t>
      </w:r>
    </w:p>
    <w:p w14:paraId="10AB5F8C">
      <w:pPr>
        <w:pStyle w:val="31"/>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交易发起人组织潜在供应商现场考察或者召开交易前答疑会的，潜在供应商按第二部分供应商须知前附表的规定参加现场考察或者交易前答疑会。</w:t>
      </w:r>
    </w:p>
    <w:p w14:paraId="1D741644">
      <w:pPr>
        <w:pStyle w:val="31"/>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8.交易保证金</w:t>
      </w:r>
    </w:p>
    <w:p w14:paraId="7D2159C3">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本项目不需缴纳交易保证金。</w:t>
      </w:r>
    </w:p>
    <w:p w14:paraId="6B90AA6A">
      <w:pPr>
        <w:pStyle w:val="31"/>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9. 响应文件的语言</w:t>
      </w:r>
    </w:p>
    <w:p w14:paraId="31446718">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14:paraId="2A927603">
      <w:pPr>
        <w:pStyle w:val="31"/>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响应文件的组成</w:t>
      </w:r>
    </w:p>
    <w:p w14:paraId="19BFF69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9037A5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10.1.1符合参加采购活动应当具备的一般条件的承诺函；</w:t>
      </w:r>
    </w:p>
    <w:p w14:paraId="1F62D30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10.1.2本项目的特定资格要求。</w:t>
      </w:r>
    </w:p>
    <w:p w14:paraId="3CE7C7AF">
      <w:pPr>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0</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3B685C8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10.2.1交易函；</w:t>
      </w:r>
      <w:r>
        <w:rPr>
          <w:rFonts w:hint="eastAsia" w:ascii="仿宋" w:hAnsi="仿宋" w:eastAsia="仿宋" w:cs="仿宋"/>
          <w:color w:val="auto"/>
          <w:sz w:val="24"/>
          <w:highlight w:val="none"/>
          <w:lang w:val="zh-CN"/>
        </w:rPr>
        <w:t xml:space="preserve"> </w:t>
      </w:r>
    </w:p>
    <w:p w14:paraId="4733608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10.2.2授权委托书或法定代表人（单位负责人、自然人本人）身份证明；</w:t>
      </w:r>
    </w:p>
    <w:p w14:paraId="772D951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10.2.3符合性审查资料；</w:t>
      </w:r>
    </w:p>
    <w:p w14:paraId="6BA2F03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10.2.4评标标准相应的商务技术资料；</w:t>
      </w:r>
    </w:p>
    <w:p w14:paraId="31E674C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10.2.5响应标的清单；</w:t>
      </w:r>
    </w:p>
    <w:p w14:paraId="79B7841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10.2.6商务技术偏离表；</w:t>
      </w:r>
    </w:p>
    <w:p w14:paraId="67E0DE8A">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10.2.7</w:t>
      </w:r>
      <w:r>
        <w:rPr>
          <w:rFonts w:hint="eastAsia" w:ascii="仿宋" w:hAnsi="仿宋" w:eastAsia="仿宋" w:cs="仿宋"/>
          <w:color w:val="auto"/>
          <w:sz w:val="24"/>
          <w:highlight w:val="none"/>
          <w:lang w:val="zh-CN"/>
        </w:rPr>
        <w:t>采购供应商廉洁自律承诺书；</w:t>
      </w:r>
    </w:p>
    <w:p w14:paraId="0883FFD0">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57D7E6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10.3.1交易一览表（报价表）；</w:t>
      </w:r>
    </w:p>
    <w:p w14:paraId="708178FB">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响应文件含有交易发起人不能接受的附加条件的，交易无效；</w:t>
      </w:r>
    </w:p>
    <w:p w14:paraId="0915B106">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供应商提供虚假材料投标的，交易无效。</w:t>
      </w:r>
    </w:p>
    <w:p w14:paraId="663AB7DD">
      <w:pPr>
        <w:pStyle w:val="218"/>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11</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响应文件的编制</w:t>
      </w:r>
    </w:p>
    <w:p w14:paraId="5A28B00C">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2A1A679A">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.2供应商进行电子投标应安装客户端软件—“政采云电子交易客户端”，并按照交易文件和电子交易平台的要求编制并加密响应文件。供应商未按规定加密的响应文件，电子交易平台将拒收并提示。</w:t>
      </w:r>
    </w:p>
    <w:p w14:paraId="510A49C9">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5F73215C">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12.响应文件的签署、盖章</w:t>
      </w:r>
    </w:p>
    <w:p w14:paraId="1BC3C23E">
      <w:pPr>
        <w:pStyle w:val="218"/>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12.1响应文件按照交易文件第六部分格式要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▲供应商的响应文件未按照交易文件要求签署、盖章的，其交易无效</w:t>
      </w:r>
      <w:r>
        <w:rPr>
          <w:rFonts w:hint="eastAsia" w:ascii="仿宋" w:hAnsi="仿宋" w:eastAsia="仿宋" w:cs="仿宋"/>
          <w:color w:val="auto"/>
          <w:szCs w:val="24"/>
          <w:highlight w:val="none"/>
        </w:rPr>
        <w:t>。</w:t>
      </w:r>
    </w:p>
    <w:p w14:paraId="47A5D1AC">
      <w:pPr>
        <w:pStyle w:val="21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12.2为确保网上操作合法、有效和安全，供应商应当在投标截止时间前完成在“政府采购云平台”的身份认证，确保在电子投标过程中能够对相关数据电文进行加密和使用电子签名。</w:t>
      </w:r>
    </w:p>
    <w:p w14:paraId="7E9DF635">
      <w:pPr>
        <w:pStyle w:val="218"/>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12.3交易文件对响应文件签署、盖章的要求适用于电子签名。</w:t>
      </w:r>
    </w:p>
    <w:p w14:paraId="168D5798">
      <w:pPr>
        <w:pStyle w:val="21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13. 响应文件的提交、补充、修改、撤回</w:t>
      </w:r>
    </w:p>
    <w:p w14:paraId="1B83F57F">
      <w:pPr>
        <w:pStyle w:val="218"/>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2294FE34">
      <w:pPr>
        <w:pStyle w:val="218"/>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13.2电子交易平台收到响应文件，将妥善保存并即时向供应商发出确认回执通知。在投标截止时间前，除供应商补充、修改或者撤回响应文件外，任何单位和个人不得解密或提取响应文件。</w:t>
      </w:r>
    </w:p>
    <w:p w14:paraId="51428FF1">
      <w:pPr>
        <w:pStyle w:val="218"/>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13.3交易发起人、采购机构可以视情况延长响应文件提交的截止时间。在上述情况下，采购机构与供应商以前在投标截止期方面的全部权利、责任和义务，将适用于延长至新的投标截止期。</w:t>
      </w:r>
    </w:p>
    <w:p w14:paraId="5B0AD737">
      <w:pPr>
        <w:pStyle w:val="31"/>
        <w:numPr>
          <w:ilvl w:val="0"/>
          <w:numId w:val="9"/>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备份响应文件</w:t>
      </w:r>
    </w:p>
    <w:p w14:paraId="0111E393">
      <w:pPr>
        <w:pStyle w:val="31"/>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不收取备份响应文件</w:t>
      </w:r>
    </w:p>
    <w:p w14:paraId="0AD5C228">
      <w:pPr>
        <w:pStyle w:val="21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15.响应文件的无效处理</w:t>
      </w:r>
    </w:p>
    <w:p w14:paraId="0B7792CA">
      <w:pPr>
        <w:pStyle w:val="23"/>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有交易文件第四部分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的情形之一的，交易无效：</w:t>
      </w:r>
    </w:p>
    <w:p w14:paraId="7EE9CA3B">
      <w:pPr>
        <w:pStyle w:val="21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16.交易有效期</w:t>
      </w:r>
    </w:p>
    <w:p w14:paraId="4D73DBD3">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16.1交易有效期为从提交响应文件的截止之日起90天。▲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诺的交易有效期少于交易文件中载明的交易有效期的，交易无效。</w:t>
      </w:r>
    </w:p>
    <w:p w14:paraId="767EAE56">
      <w:pPr>
        <w:pStyle w:val="218"/>
        <w:spacing w:before="0"/>
        <w:ind w:firstLine="480"/>
        <w:rPr>
          <w:rFonts w:ascii="仿宋" w:hAnsi="仿宋" w:eastAsia="仿宋" w:cs="仿宋"/>
          <w:color w:val="auto"/>
          <w:highlight w:val="none"/>
        </w:rPr>
      </w:pPr>
      <w:r>
        <w:rPr>
          <w:rFonts w:hint="eastAsia" w:ascii="仿宋" w:hAnsi="仿宋" w:eastAsia="仿宋" w:cs="仿宋"/>
          <w:color w:val="auto"/>
          <w:highlight w:val="none"/>
        </w:rPr>
        <w:t>16.2响应文件合格投递后，自投标截止日期起，在交易有效期内有效。</w:t>
      </w:r>
    </w:p>
    <w:p w14:paraId="2046F45E">
      <w:pPr>
        <w:pStyle w:val="218"/>
        <w:spacing w:before="0"/>
        <w:ind w:firstLine="480"/>
        <w:rPr>
          <w:rFonts w:ascii="仿宋" w:hAnsi="仿宋" w:eastAsia="仿宋" w:cs="仿宋"/>
          <w:color w:val="auto"/>
          <w:highlight w:val="none"/>
        </w:rPr>
      </w:pPr>
      <w:r>
        <w:rPr>
          <w:rFonts w:hint="eastAsia" w:ascii="仿宋" w:hAnsi="仿宋" w:eastAsia="仿宋" w:cs="仿宋"/>
          <w:color w:val="auto"/>
          <w:highlight w:val="none"/>
        </w:rPr>
        <w:t>16.3在原定交易有效期满之前，如果出现特殊情况，采购机构可以以书面形式通知供应商延长交易有效期。供应商同意延长的，不得要求或被允许修改其响应文件，供应商拒绝延长的，其交易无效。</w:t>
      </w:r>
    </w:p>
    <w:p w14:paraId="0B005831">
      <w:pPr>
        <w:pStyle w:val="218"/>
        <w:spacing w:before="0"/>
        <w:ind w:firstLine="643"/>
        <w:rPr>
          <w:rFonts w:ascii="仿宋" w:hAnsi="仿宋" w:eastAsia="仿宋" w:cs="仿宋"/>
          <w:b/>
          <w:color w:val="auto"/>
          <w:sz w:val="32"/>
          <w:highlight w:val="none"/>
        </w:rPr>
      </w:pPr>
    </w:p>
    <w:p w14:paraId="21190709">
      <w:pPr>
        <w:pStyle w:val="218"/>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四、交易、资格审查</w:t>
      </w:r>
    </w:p>
    <w:p w14:paraId="6E627109">
      <w:pPr>
        <w:pStyle w:val="498"/>
        <w:spacing w:before="0" w:line="360" w:lineRule="auto"/>
        <w:ind w:left="0" w:firstLine="241" w:firstLineChars="100"/>
        <w:contextualSpacing/>
        <w:rPr>
          <w:rFonts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 xml:space="preserve">17.交易 </w:t>
      </w:r>
    </w:p>
    <w:p w14:paraId="66301BB7">
      <w:pPr>
        <w:pStyle w:val="498"/>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17.1采购机构按照交易文件规定的时间通过电子交易平台组织交易，所有供应商均应当准时在线参加。供应商不足3家的，不得交易。</w:t>
      </w:r>
    </w:p>
    <w:p w14:paraId="0A792E4A">
      <w:pPr>
        <w:pStyle w:val="498"/>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17.2交易时，电子交易平台按交易时间自动提取所有响应文件。采购机构依托电子交易平台发起开始解密指令，供应商按照平台提示和交易文件的规定在半小时内完成在线解密。</w:t>
      </w:r>
    </w:p>
    <w:p w14:paraId="52F9B5D1">
      <w:pPr>
        <w:pStyle w:val="498"/>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17.3</w:t>
      </w:r>
      <w:r>
        <w:rPr>
          <w:rFonts w:hint="eastAsia" w:ascii="仿宋" w:hAnsi="仿宋" w:eastAsia="仿宋" w:cs="仿宋"/>
          <w:b/>
          <w:color w:val="auto"/>
          <w:sz w:val="24"/>
          <w:highlight w:val="none"/>
        </w:rPr>
        <w:t>响应文件未按时解密，供应商提供了备份响应文件的，以备份响应文件作为依据，否则视为响应文件撤回。响应文件已按时解密的，备份响应文件自动失效。</w:t>
      </w:r>
    </w:p>
    <w:p w14:paraId="5C7E056D">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18、资格审查</w:t>
      </w:r>
    </w:p>
    <w:p w14:paraId="5DB73CCF">
      <w:pPr>
        <w:pStyle w:val="21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18.1交易后，交易发起人或采购机构将依法对供应商的资格进行审查。</w:t>
      </w:r>
    </w:p>
    <w:p w14:paraId="2377022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18.2</w:t>
      </w:r>
      <w:r>
        <w:rPr>
          <w:rFonts w:hint="eastAsia" w:ascii="仿宋" w:hAnsi="仿宋" w:eastAsia="仿宋" w:cs="仿宋"/>
          <w:color w:val="auto"/>
          <w:sz w:val="24"/>
          <w:highlight w:val="none"/>
        </w:rPr>
        <w:t>交易发起人或采购机构依据法律法规和交易文件的规定，对供应商的基本资格条件、特定资格条件进行审查。</w:t>
      </w:r>
    </w:p>
    <w:p w14:paraId="7A8EE8CF">
      <w:pPr>
        <w:pStyle w:val="21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18.3供应商未按照交易文件要求提供与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供应商不具备交易文件中规定的资格要求，其交易无效。</w:t>
      </w:r>
    </w:p>
    <w:p w14:paraId="37387E58">
      <w:pPr>
        <w:pStyle w:val="21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18.</w:t>
      </w:r>
      <w:r>
        <w:rPr>
          <w:rFonts w:hint="eastAsia" w:ascii="仿宋" w:hAnsi="仿宋" w:eastAsia="仿宋" w:cs="仿宋"/>
          <w:color w:val="auto"/>
          <w:highlight w:val="none"/>
        </w:rPr>
        <w:t>4对未通过资格审查的供应商，交易发起人或采购机构告知其未通过的原因。</w:t>
      </w:r>
    </w:p>
    <w:p w14:paraId="2CF6EDA8">
      <w:pPr>
        <w:pStyle w:val="21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18.</w:t>
      </w:r>
      <w:r>
        <w:rPr>
          <w:rFonts w:hint="eastAsia" w:ascii="仿宋" w:hAnsi="仿宋" w:eastAsia="仿宋" w:cs="仿宋"/>
          <w:color w:val="auto"/>
          <w:highlight w:val="none"/>
        </w:rPr>
        <w:t>5合格供应商不足3家的，不再评标。</w:t>
      </w:r>
    </w:p>
    <w:p w14:paraId="7492A97A">
      <w:pPr>
        <w:pStyle w:val="218"/>
        <w:spacing w:before="0"/>
        <w:ind w:firstLine="0" w:firstLineChars="0"/>
        <w:rPr>
          <w:rFonts w:ascii="仿宋" w:hAnsi="仿宋" w:eastAsia="仿宋" w:cs="仿宋"/>
          <w:color w:val="auto"/>
          <w:kern w:val="0"/>
          <w:szCs w:val="24"/>
          <w:highlight w:val="none"/>
        </w:rPr>
      </w:pPr>
    </w:p>
    <w:p w14:paraId="7021264E">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五、评审</w:t>
      </w:r>
    </w:p>
    <w:p w14:paraId="2DF80F21">
      <w:pPr>
        <w:spacing w:line="360" w:lineRule="auto"/>
        <w:rPr>
          <w:rFonts w:ascii="仿宋" w:hAnsi="仿宋" w:eastAsia="仿宋" w:cs="仿宋"/>
          <w:b/>
          <w:color w:val="auto"/>
          <w:sz w:val="24"/>
          <w:highlight w:val="none"/>
        </w:rPr>
      </w:pPr>
      <w:bookmarkStart w:id="38" w:name="_Toc91899903"/>
      <w:r>
        <w:rPr>
          <w:rFonts w:hint="eastAsia" w:ascii="仿宋" w:hAnsi="仿宋" w:eastAsia="仿宋" w:cs="仿宋"/>
          <w:b/>
          <w:color w:val="auto"/>
          <w:sz w:val="24"/>
          <w:highlight w:val="none"/>
        </w:rPr>
        <w:t>19.</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color w:val="auto"/>
          <w:sz w:val="24"/>
          <w:highlight w:val="none"/>
        </w:rPr>
        <w:t>详见交易文件第四部分交易办法。</w:t>
      </w:r>
    </w:p>
    <w:p w14:paraId="65322BCD">
      <w:pPr>
        <w:spacing w:line="360" w:lineRule="auto"/>
        <w:rPr>
          <w:rFonts w:ascii="仿宋" w:hAnsi="仿宋" w:eastAsia="仿宋" w:cs="仿宋"/>
          <w:b/>
          <w:color w:val="auto"/>
          <w:sz w:val="24"/>
          <w:highlight w:val="none"/>
        </w:rPr>
      </w:pPr>
    </w:p>
    <w:p w14:paraId="6FDB5675">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3D85BB7">
      <w:pPr>
        <w:pStyle w:val="23"/>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20. 确定成交供应商</w:t>
      </w:r>
    </w:p>
    <w:p w14:paraId="3CCCC6C4">
      <w:pPr>
        <w:pStyle w:val="218"/>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交易发起人将自收到评审报告之日起5个工作日内通过电子交易平台在评审报告推荐的成交候选人中按顺序确定成交供应商。</w:t>
      </w:r>
    </w:p>
    <w:p w14:paraId="1C3FC382">
      <w:pPr>
        <w:pStyle w:val="218"/>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21. 成交通知与成交结果公告</w:t>
      </w:r>
    </w:p>
    <w:p w14:paraId="35831E3E">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21.1自成交人确定之日起2个工作日内，采购机构通过电子交易平台向成交人发出成交通知书，同时编制发布采购结果公告。采购机构也可以以纸质形式进行成交通知。</w:t>
      </w:r>
    </w:p>
    <w:p w14:paraId="309A00B8">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21.2成交结果公告内容包括交易发起人及其委托的采购机构的名称、地址、联系方式，项目名称和项目编号，成交人名称、地址和成交金额，主要成交标的的名称、规格型号、数量、单价、服务要求、成交公告期限以及评审专家名单、评分汇总及明细。</w:t>
      </w:r>
    </w:p>
    <w:p w14:paraId="2D503BF4">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21.3公告期限为1个工作日。</w:t>
      </w:r>
    </w:p>
    <w:p w14:paraId="63D69566">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E17C464">
      <w:pPr>
        <w:pStyle w:val="23"/>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22. </w:t>
      </w:r>
      <w:r>
        <w:rPr>
          <w:rFonts w:hint="eastAsia" w:ascii="仿宋" w:hAnsi="仿宋" w:eastAsia="仿宋" w:cs="仿宋"/>
          <w:color w:val="auto"/>
          <w:highlight w:val="none"/>
        </w:rPr>
        <w:t>合同主要条款详见第五部分拟签订的合同文本。</w:t>
      </w:r>
    </w:p>
    <w:p w14:paraId="176FA999">
      <w:pPr>
        <w:pStyle w:val="23"/>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23. 合同的签订</w:t>
      </w:r>
    </w:p>
    <w:p w14:paraId="1011506A">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kern w:val="0"/>
          <w:sz w:val="24"/>
          <w:highlight w:val="none"/>
        </w:rPr>
        <w:t xml:space="preserve"> 交易发起人与成交人应当通过电子交易平台在成交通知书发出之日起三十日内，按照交易文件确定的事项签订采购合同，并在合同签订之日起2个工作日内依法发布合同公告。</w:t>
      </w:r>
    </w:p>
    <w:p w14:paraId="627947EF">
      <w:pPr>
        <w:pStyle w:val="218"/>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47A31575">
      <w:pPr>
        <w:pStyle w:val="21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23.3如签订合同并生效后，供应商无故拒绝或延期，除按照合同条款处理外，列入不良行为记录一次，并给予通报。</w:t>
      </w:r>
    </w:p>
    <w:p w14:paraId="71BA5A61">
      <w:pPr>
        <w:pStyle w:val="21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23.4成交供应商拒绝与交易发起人签订合同的，交易发起人可以按照评审报告推荐的成交或者成交候选人名单排序，确定下一候选人为成交供应商，也可以重新开展采购活动。</w:t>
      </w:r>
    </w:p>
    <w:p w14:paraId="31D381CA">
      <w:pPr>
        <w:pStyle w:val="218"/>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23.5采购合同由交易发起人与成交供应商根据交易文件、响应文件等内容通过政府采购电子交易平台在线签订，自动备案。</w:t>
      </w:r>
    </w:p>
    <w:p w14:paraId="25C5A331">
      <w:pPr>
        <w:pStyle w:val="23"/>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24.履约保证金</w:t>
      </w:r>
    </w:p>
    <w:p w14:paraId="40ABBE15">
      <w:pPr>
        <w:tabs>
          <w:tab w:val="left" w:pos="0"/>
        </w:tabs>
        <w:spacing w:line="360" w:lineRule="auto"/>
        <w:ind w:firstLine="482"/>
        <w:rPr>
          <w:rFonts w:ascii="仿宋" w:hAnsi="仿宋" w:eastAsia="仿宋" w:cs="仿宋"/>
          <w:b/>
          <w:color w:val="auto"/>
          <w:sz w:val="32"/>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。履约保证金的数额不得超过采购合同金额的1%。鼓励和支持供应商以银行、保险公司出具的保函形式提供履约保证金。</w:t>
      </w:r>
    </w:p>
    <w:p w14:paraId="12FCD81D">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84EAACA">
      <w:pPr>
        <w:pStyle w:val="218"/>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color w:val="auto"/>
          <w:szCs w:val="24"/>
          <w:highlight w:val="none"/>
        </w:rPr>
        <w:t>5.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672EFC18">
      <w:pPr>
        <w:pStyle w:val="21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25.1电子交易平台发生故障而无法登录访问的； </w:t>
      </w:r>
    </w:p>
    <w:p w14:paraId="7DDC8EDB">
      <w:pPr>
        <w:pStyle w:val="21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25.2电子交易平台应用或数据库出现错误，不能进行正常操作的；</w:t>
      </w:r>
    </w:p>
    <w:p w14:paraId="65CEBA5A">
      <w:pPr>
        <w:pStyle w:val="21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25.3电子交易平台发现严重安全漏洞，有潜在泄密危险的；</w:t>
      </w:r>
    </w:p>
    <w:p w14:paraId="2B9FEFC0">
      <w:pPr>
        <w:pStyle w:val="21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25.4病毒发作导致不能进行正常操作的； </w:t>
      </w:r>
    </w:p>
    <w:p w14:paraId="242185B7">
      <w:pPr>
        <w:pStyle w:val="21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25.5其他无法保证电子交易的公平、公正和安全的情况。</w:t>
      </w:r>
    </w:p>
    <w:p w14:paraId="6AAB6FD0">
      <w:pPr>
        <w:pStyle w:val="218"/>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2994CF1C">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E05CD7B">
      <w:pPr>
        <w:pStyle w:val="23"/>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27.验收</w:t>
      </w:r>
    </w:p>
    <w:p w14:paraId="27AB5E45">
      <w:pPr>
        <w:tabs>
          <w:tab w:val="left" w:pos="0"/>
        </w:tabs>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27.1交易发起人应当组织对供应商履约的验收。验收采用交易发起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00DF9058">
      <w:pPr>
        <w:tabs>
          <w:tab w:val="left" w:pos="0"/>
        </w:tabs>
        <w:spacing w:line="360" w:lineRule="auto"/>
        <w:ind w:firstLine="480"/>
        <w:rPr>
          <w:rFonts w:ascii="仿宋" w:hAnsi="仿宋" w:eastAsia="仿宋" w:cs="仿宋"/>
          <w:b/>
          <w:color w:val="auto"/>
          <w:sz w:val="32"/>
          <w:szCs w:val="20"/>
          <w:highlight w:val="none"/>
        </w:rPr>
      </w:pPr>
      <w:r>
        <w:rPr>
          <w:rFonts w:hint="eastAsia" w:ascii="仿宋" w:hAnsi="仿宋" w:eastAsia="仿宋" w:cs="仿宋"/>
          <w:color w:val="auto"/>
          <w:kern w:val="0"/>
          <w:sz w:val="24"/>
          <w:highlight w:val="none"/>
        </w:rPr>
        <w:t>27.2交易发起人组织对供应商履约的验收。除27.1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3C9502CD">
      <w:pPr>
        <w:pStyle w:val="3"/>
        <w:jc w:val="both"/>
        <w:rPr>
          <w:rFonts w:cs="仿宋"/>
          <w:color w:val="auto"/>
          <w:highlight w:val="none"/>
        </w:rPr>
      </w:pPr>
      <w:bookmarkStart w:id="39" w:name="第四部分"/>
    </w:p>
    <w:p w14:paraId="621D4B27">
      <w:pPr>
        <w:pStyle w:val="3"/>
        <w:rPr>
          <w:rFonts w:cs="仿宋"/>
          <w:color w:val="auto"/>
          <w:highlight w:val="none"/>
        </w:rPr>
      </w:pPr>
    </w:p>
    <w:p w14:paraId="4AFCACC7">
      <w:pPr>
        <w:pStyle w:val="60"/>
        <w:ind w:left="0" w:leftChars="0" w:firstLine="0" w:firstLineChars="0"/>
        <w:rPr>
          <w:rFonts w:ascii="仿宋" w:hAnsi="仿宋" w:eastAsia="仿宋" w:cs="仿宋"/>
          <w:color w:val="auto"/>
          <w:highlight w:val="none"/>
        </w:rPr>
      </w:pPr>
    </w:p>
    <w:p w14:paraId="4A09B69E">
      <w:pPr>
        <w:pStyle w:val="3"/>
        <w:rPr>
          <w:rFonts w:cs="仿宋"/>
          <w:color w:val="auto"/>
          <w:highlight w:val="none"/>
        </w:rPr>
      </w:pPr>
      <w:r>
        <w:rPr>
          <w:rFonts w:hint="eastAsia" w:cs="仿宋"/>
          <w:color w:val="auto"/>
          <w:highlight w:val="none"/>
        </w:rPr>
        <w:t>第三部分   交易需求</w:t>
      </w:r>
    </w:p>
    <w:p w14:paraId="6B1B5921">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54AF2636">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“★”系产品交易项目中单一产品或核心产品。</w:t>
      </w:r>
    </w:p>
    <w:p w14:paraId="43E445DC">
      <w:pPr>
        <w:pStyle w:val="2"/>
        <w:numPr>
          <w:ilvl w:val="0"/>
          <w:numId w:val="10"/>
        </w:numPr>
        <w:jc w:val="center"/>
        <w:rPr>
          <w:rFonts w:hint="eastAsia" w:cs="仿宋" w:asciiTheme="majorEastAsia" w:hAnsiTheme="majorEastAsia" w:eastAsiaTheme="majorEastAsia"/>
          <w:color w:val="auto"/>
          <w:highlight w:val="none"/>
        </w:rPr>
      </w:pPr>
      <w:r>
        <w:rPr>
          <w:rFonts w:asciiTheme="majorEastAsia" w:hAnsiTheme="majorEastAsia" w:eastAsiaTheme="majorEastAsia"/>
          <w:color w:val="auto"/>
          <w:highlight w:val="none"/>
        </w:rPr>
        <w:t>招标一览表</w:t>
      </w:r>
    </w:p>
    <w:tbl>
      <w:tblPr>
        <w:tblStyle w:val="61"/>
        <w:tblpPr w:leftFromText="180" w:rightFromText="180" w:vertAnchor="text" w:horzAnchor="margin" w:tblpX="-367" w:tblpY="63"/>
        <w:tblOverlap w:val="never"/>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5"/>
        <w:gridCol w:w="2745"/>
        <w:gridCol w:w="1023"/>
        <w:gridCol w:w="1017"/>
        <w:gridCol w:w="2595"/>
        <w:gridCol w:w="1107"/>
      </w:tblGrid>
      <w:tr w14:paraId="330F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1" w:hRule="atLeast"/>
        </w:trPr>
        <w:tc>
          <w:tcPr>
            <w:tcW w:w="885" w:type="dxa"/>
            <w:tcMar>
              <w:top w:w="15" w:type="dxa"/>
              <w:left w:w="15" w:type="dxa"/>
              <w:bottom w:w="0" w:type="dxa"/>
              <w:right w:w="15" w:type="dxa"/>
            </w:tcMar>
            <w:vAlign w:val="center"/>
          </w:tcPr>
          <w:p w14:paraId="2758D221">
            <w:pPr>
              <w:tabs>
                <w:tab w:val="left" w:pos="0"/>
              </w:tabs>
              <w:snapToGrid w:val="0"/>
              <w:spacing w:line="312" w:lineRule="auto"/>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序号</w:t>
            </w:r>
          </w:p>
        </w:tc>
        <w:tc>
          <w:tcPr>
            <w:tcW w:w="2745" w:type="dxa"/>
            <w:tcMar>
              <w:top w:w="15" w:type="dxa"/>
              <w:left w:w="15" w:type="dxa"/>
              <w:bottom w:w="0" w:type="dxa"/>
              <w:right w:w="15" w:type="dxa"/>
            </w:tcMar>
            <w:vAlign w:val="center"/>
          </w:tcPr>
          <w:p w14:paraId="1582013A">
            <w:pPr>
              <w:tabs>
                <w:tab w:val="left" w:pos="0"/>
              </w:tabs>
              <w:snapToGrid w:val="0"/>
              <w:spacing w:line="312" w:lineRule="auto"/>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名称</w:t>
            </w:r>
          </w:p>
        </w:tc>
        <w:tc>
          <w:tcPr>
            <w:tcW w:w="1023" w:type="dxa"/>
            <w:tcMar>
              <w:top w:w="15" w:type="dxa"/>
              <w:left w:w="15" w:type="dxa"/>
              <w:bottom w:w="0" w:type="dxa"/>
              <w:right w:w="15" w:type="dxa"/>
            </w:tcMar>
            <w:vAlign w:val="center"/>
          </w:tcPr>
          <w:p w14:paraId="3775BB41">
            <w:pPr>
              <w:tabs>
                <w:tab w:val="left" w:pos="0"/>
              </w:tabs>
              <w:snapToGrid w:val="0"/>
              <w:spacing w:line="312" w:lineRule="auto"/>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数量</w:t>
            </w:r>
          </w:p>
        </w:tc>
        <w:tc>
          <w:tcPr>
            <w:tcW w:w="1017" w:type="dxa"/>
            <w:tcMar>
              <w:top w:w="15" w:type="dxa"/>
              <w:left w:w="15" w:type="dxa"/>
              <w:bottom w:w="0" w:type="dxa"/>
              <w:right w:w="15" w:type="dxa"/>
            </w:tcMar>
            <w:vAlign w:val="center"/>
          </w:tcPr>
          <w:p w14:paraId="3A9D7465">
            <w:pPr>
              <w:tabs>
                <w:tab w:val="left" w:pos="0"/>
              </w:tabs>
              <w:snapToGrid w:val="0"/>
              <w:spacing w:line="312" w:lineRule="auto"/>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单位</w:t>
            </w:r>
          </w:p>
        </w:tc>
        <w:tc>
          <w:tcPr>
            <w:tcW w:w="2595" w:type="dxa"/>
            <w:vAlign w:val="center"/>
          </w:tcPr>
          <w:p w14:paraId="458720FB">
            <w:pPr>
              <w:tabs>
                <w:tab w:val="left" w:pos="0"/>
              </w:tabs>
              <w:snapToGrid w:val="0"/>
              <w:spacing w:line="312" w:lineRule="auto"/>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简要规格描述或基本情况介绍</w:t>
            </w:r>
          </w:p>
        </w:tc>
        <w:tc>
          <w:tcPr>
            <w:tcW w:w="1107" w:type="dxa"/>
            <w:vAlign w:val="center"/>
          </w:tcPr>
          <w:p w14:paraId="6C09124D">
            <w:pPr>
              <w:tabs>
                <w:tab w:val="left" w:pos="0"/>
              </w:tabs>
              <w:snapToGrid w:val="0"/>
              <w:spacing w:line="312" w:lineRule="auto"/>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w:t>
            </w:r>
          </w:p>
        </w:tc>
      </w:tr>
      <w:tr w14:paraId="45C9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885" w:type="dxa"/>
            <w:tcMar>
              <w:top w:w="15" w:type="dxa"/>
              <w:left w:w="15" w:type="dxa"/>
              <w:bottom w:w="0" w:type="dxa"/>
              <w:right w:w="15" w:type="dxa"/>
            </w:tcMar>
            <w:vAlign w:val="center"/>
          </w:tcPr>
          <w:p w14:paraId="071CFF8D">
            <w:pPr>
              <w:tabs>
                <w:tab w:val="left" w:pos="0"/>
              </w:tabs>
              <w:spacing w:line="312" w:lineRule="auto"/>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2745" w:type="dxa"/>
            <w:tcMar>
              <w:top w:w="15" w:type="dxa"/>
              <w:left w:w="15" w:type="dxa"/>
              <w:bottom w:w="0" w:type="dxa"/>
              <w:right w:w="15" w:type="dxa"/>
            </w:tcMar>
            <w:vAlign w:val="center"/>
          </w:tcPr>
          <w:p w14:paraId="7E8481CF">
            <w:pPr>
              <w:spacing w:line="312" w:lineRule="auto"/>
              <w:jc w:val="center"/>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高桥初中礼堂椅采购项目</w:t>
            </w:r>
          </w:p>
        </w:tc>
        <w:tc>
          <w:tcPr>
            <w:tcW w:w="1023" w:type="dxa"/>
            <w:tcMar>
              <w:top w:w="15" w:type="dxa"/>
              <w:left w:w="15" w:type="dxa"/>
              <w:bottom w:w="0" w:type="dxa"/>
              <w:right w:w="15" w:type="dxa"/>
            </w:tcMar>
            <w:vAlign w:val="center"/>
          </w:tcPr>
          <w:p w14:paraId="3C74EE3E">
            <w:pPr>
              <w:spacing w:line="312" w:lineRule="auto"/>
              <w:jc w:val="center"/>
              <w:textAlignment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650</w:t>
            </w:r>
          </w:p>
        </w:tc>
        <w:tc>
          <w:tcPr>
            <w:tcW w:w="1017" w:type="dxa"/>
            <w:tcMar>
              <w:top w:w="15" w:type="dxa"/>
              <w:left w:w="15" w:type="dxa"/>
              <w:bottom w:w="0" w:type="dxa"/>
              <w:right w:w="15" w:type="dxa"/>
            </w:tcMar>
            <w:vAlign w:val="center"/>
          </w:tcPr>
          <w:p w14:paraId="6CE486BB">
            <w:pPr>
              <w:spacing w:line="312" w:lineRule="auto"/>
              <w:jc w:val="center"/>
              <w:textAlignment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把</w:t>
            </w:r>
          </w:p>
        </w:tc>
        <w:tc>
          <w:tcPr>
            <w:tcW w:w="2595" w:type="dxa"/>
            <w:vAlign w:val="center"/>
          </w:tcPr>
          <w:p w14:paraId="16119558">
            <w:pPr>
              <w:tabs>
                <w:tab w:val="left" w:pos="0"/>
              </w:tabs>
              <w:spacing w:line="312" w:lineRule="auto"/>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详见采购需求</w:t>
            </w:r>
          </w:p>
        </w:tc>
        <w:tc>
          <w:tcPr>
            <w:tcW w:w="1107" w:type="dxa"/>
            <w:vAlign w:val="center"/>
          </w:tcPr>
          <w:p w14:paraId="3B9B098A">
            <w:pPr>
              <w:spacing w:line="312" w:lineRule="auto"/>
              <w:jc w:val="center"/>
              <w:textAlignment w:val="center"/>
              <w:rPr>
                <w:rFonts w:hint="eastAsia" w:cs="仿宋" w:asciiTheme="majorEastAsia" w:hAnsiTheme="majorEastAsia" w:eastAsiaTheme="majorEastAsia"/>
                <w:color w:val="auto"/>
                <w:sz w:val="24"/>
                <w:highlight w:val="none"/>
              </w:rPr>
            </w:pPr>
          </w:p>
        </w:tc>
      </w:tr>
    </w:tbl>
    <w:p w14:paraId="7DE8AF9D">
      <w:pPr>
        <w:pStyle w:val="4"/>
        <w:numPr>
          <w:ilvl w:val="2"/>
          <w:numId w:val="0"/>
        </w:numPr>
        <w:spacing w:before="0" w:after="0" w:line="240" w:lineRule="auto"/>
        <w:rPr>
          <w:color w:val="auto"/>
          <w:highlight w:val="none"/>
        </w:rPr>
      </w:pPr>
    </w:p>
    <w:p w14:paraId="62A602DC">
      <w:pPr>
        <w:pStyle w:val="2"/>
        <w:numPr>
          <w:ilvl w:val="0"/>
          <w:numId w:val="10"/>
        </w:numPr>
        <w:jc w:val="center"/>
        <w:rPr>
          <w:rFonts w:hint="eastAsia"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采购需求</w:t>
      </w:r>
    </w:p>
    <w:p w14:paraId="4A5301C0">
      <w:pPr>
        <w:numPr>
          <w:ilvl w:val="0"/>
          <w:numId w:val="11"/>
        </w:numPr>
        <w:rPr>
          <w:color w:val="auto"/>
          <w:sz w:val="21"/>
          <w:szCs w:val="21"/>
          <w:highlight w:val="none"/>
        </w:rPr>
      </w:pPr>
      <w:r>
        <w:rPr>
          <w:rFonts w:hint="eastAsia" w:cs="仿宋" w:asciiTheme="majorEastAsia" w:hAnsiTheme="majorEastAsia" w:eastAsiaTheme="majorEastAsia"/>
          <w:b/>
          <w:bCs/>
          <w:color w:val="auto"/>
          <w:sz w:val="24"/>
          <w:highlight w:val="none"/>
        </w:rPr>
        <w:t>采购清单：</w:t>
      </w:r>
    </w:p>
    <w:tbl>
      <w:tblPr>
        <w:tblStyle w:val="62"/>
        <w:tblW w:w="9375"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61"/>
        <w:gridCol w:w="2227"/>
        <w:gridCol w:w="4275"/>
        <w:gridCol w:w="1050"/>
      </w:tblGrid>
      <w:tr w14:paraId="3AB1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14:paraId="6D77116B">
            <w:pPr>
              <w:widowControl/>
              <w:jc w:val="center"/>
              <w:textAlignment w:val="center"/>
              <w:rPr>
                <w:color w:val="auto"/>
                <w:highlight w:val="none"/>
              </w:rPr>
            </w:pPr>
            <w:r>
              <w:rPr>
                <w:rFonts w:hint="eastAsia" w:ascii="微软雅黑" w:hAnsi="微软雅黑" w:eastAsia="微软雅黑" w:cs="微软雅黑"/>
                <w:b/>
                <w:bCs/>
                <w:color w:val="auto"/>
                <w:kern w:val="0"/>
                <w:sz w:val="20"/>
                <w:szCs w:val="20"/>
                <w:highlight w:val="none"/>
                <w:lang w:bidi="ar"/>
              </w:rPr>
              <w:t>序号</w:t>
            </w:r>
          </w:p>
        </w:tc>
        <w:tc>
          <w:tcPr>
            <w:tcW w:w="861" w:type="dxa"/>
            <w:vAlign w:val="center"/>
          </w:tcPr>
          <w:p w14:paraId="0BE41A94">
            <w:pPr>
              <w:widowControl/>
              <w:jc w:val="center"/>
              <w:textAlignment w:val="center"/>
              <w:rPr>
                <w:color w:val="auto"/>
                <w:highlight w:val="none"/>
              </w:rPr>
            </w:pPr>
            <w:r>
              <w:rPr>
                <w:rFonts w:hint="eastAsia" w:ascii="微软雅黑" w:hAnsi="微软雅黑" w:eastAsia="微软雅黑" w:cs="微软雅黑"/>
                <w:b/>
                <w:bCs/>
                <w:color w:val="auto"/>
                <w:kern w:val="0"/>
                <w:sz w:val="20"/>
                <w:szCs w:val="20"/>
                <w:highlight w:val="none"/>
                <w:lang w:bidi="ar"/>
              </w:rPr>
              <w:t>品名</w:t>
            </w:r>
          </w:p>
        </w:tc>
        <w:tc>
          <w:tcPr>
            <w:tcW w:w="2227" w:type="dxa"/>
            <w:vAlign w:val="center"/>
          </w:tcPr>
          <w:p w14:paraId="48DC5809">
            <w:pPr>
              <w:widowControl/>
              <w:jc w:val="center"/>
              <w:textAlignment w:val="center"/>
              <w:rPr>
                <w:color w:val="auto"/>
                <w:highlight w:val="none"/>
              </w:rPr>
            </w:pPr>
            <w:r>
              <w:rPr>
                <w:rFonts w:hint="eastAsia" w:ascii="微软雅黑" w:hAnsi="微软雅黑" w:eastAsia="微软雅黑" w:cs="微软雅黑"/>
                <w:b/>
                <w:bCs/>
                <w:color w:val="auto"/>
                <w:kern w:val="0"/>
                <w:sz w:val="20"/>
                <w:szCs w:val="20"/>
                <w:highlight w:val="none"/>
                <w:lang w:bidi="ar"/>
              </w:rPr>
              <w:t>产品图片</w:t>
            </w:r>
          </w:p>
        </w:tc>
        <w:tc>
          <w:tcPr>
            <w:tcW w:w="4275" w:type="dxa"/>
            <w:vAlign w:val="center"/>
          </w:tcPr>
          <w:p w14:paraId="482A3AEB">
            <w:pPr>
              <w:widowControl/>
              <w:jc w:val="center"/>
              <w:textAlignment w:val="center"/>
              <w:rPr>
                <w:color w:val="auto"/>
                <w:highlight w:val="none"/>
              </w:rPr>
            </w:pPr>
            <w:r>
              <w:rPr>
                <w:rFonts w:hint="eastAsia" w:ascii="微软雅黑" w:hAnsi="微软雅黑" w:eastAsia="微软雅黑" w:cs="微软雅黑"/>
                <w:b/>
                <w:bCs/>
                <w:color w:val="auto"/>
                <w:kern w:val="0"/>
                <w:sz w:val="20"/>
                <w:szCs w:val="20"/>
                <w:highlight w:val="none"/>
                <w:lang w:bidi="ar"/>
              </w:rPr>
              <w:t>材质说明</w:t>
            </w:r>
          </w:p>
        </w:tc>
        <w:tc>
          <w:tcPr>
            <w:tcW w:w="1050" w:type="dxa"/>
            <w:vAlign w:val="center"/>
          </w:tcPr>
          <w:p w14:paraId="1723278F">
            <w:pPr>
              <w:widowControl/>
              <w:jc w:val="center"/>
              <w:textAlignment w:val="center"/>
              <w:rPr>
                <w:color w:val="auto"/>
                <w:highlight w:val="none"/>
              </w:rPr>
            </w:pPr>
            <w:r>
              <w:rPr>
                <w:rFonts w:hint="eastAsia" w:ascii="微软雅黑" w:hAnsi="微软雅黑" w:eastAsia="微软雅黑" w:cs="微软雅黑"/>
                <w:b/>
                <w:bCs/>
                <w:color w:val="auto"/>
                <w:kern w:val="0"/>
                <w:sz w:val="20"/>
                <w:szCs w:val="20"/>
                <w:highlight w:val="none"/>
                <w:lang w:bidi="ar"/>
              </w:rPr>
              <w:t>数量</w:t>
            </w:r>
          </w:p>
        </w:tc>
      </w:tr>
      <w:tr w14:paraId="7B6A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962" w:type="dxa"/>
            <w:vAlign w:val="center"/>
          </w:tcPr>
          <w:p w14:paraId="40A80DEE">
            <w:pPr>
              <w:tabs>
                <w:tab w:val="left" w:pos="0"/>
              </w:tabs>
              <w:spacing w:line="312" w:lineRule="auto"/>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861" w:type="dxa"/>
            <w:vAlign w:val="center"/>
          </w:tcPr>
          <w:p w14:paraId="0A2B476B">
            <w:pPr>
              <w:tabs>
                <w:tab w:val="left" w:pos="0"/>
              </w:tabs>
              <w:spacing w:line="312" w:lineRule="auto"/>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礼堂椅</w:t>
            </w:r>
          </w:p>
        </w:tc>
        <w:tc>
          <w:tcPr>
            <w:tcW w:w="2227" w:type="dxa"/>
            <w:vAlign w:val="center"/>
          </w:tcPr>
          <w:p w14:paraId="395F9330">
            <w:pPr>
              <w:tabs>
                <w:tab w:val="left" w:pos="0"/>
              </w:tabs>
              <w:spacing w:line="312" w:lineRule="auto"/>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drawing>
                <wp:inline distT="0" distB="0" distL="114300" distR="114300">
                  <wp:extent cx="1400810" cy="1071245"/>
                  <wp:effectExtent l="0" t="0" r="1270" b="1079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6"/>
                          <a:stretch>
                            <a:fillRect/>
                          </a:stretch>
                        </pic:blipFill>
                        <pic:spPr>
                          <a:xfrm>
                            <a:off x="0" y="0"/>
                            <a:ext cx="1400810" cy="1071245"/>
                          </a:xfrm>
                          <a:prstGeom prst="rect">
                            <a:avLst/>
                          </a:prstGeom>
                          <a:noFill/>
                          <a:ln w="9525">
                            <a:noFill/>
                          </a:ln>
                        </pic:spPr>
                      </pic:pic>
                    </a:graphicData>
                  </a:graphic>
                </wp:inline>
              </w:drawing>
            </w:r>
          </w:p>
        </w:tc>
        <w:tc>
          <w:tcPr>
            <w:tcW w:w="4275" w:type="dxa"/>
          </w:tcPr>
          <w:p w14:paraId="229E5E93">
            <w:pPr>
              <w:tabs>
                <w:tab w:val="left" w:pos="0"/>
              </w:tabs>
              <w:spacing w:line="360" w:lineRule="auto"/>
              <w:jc w:val="left"/>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中心距：580mm，扶手宽：58mm，椅高：1020mm，扶手高：640mm，座高：</w:t>
            </w:r>
            <w:r>
              <w:rPr>
                <w:rFonts w:hint="eastAsia" w:cs="仿宋" w:asciiTheme="majorEastAsia" w:hAnsiTheme="majorEastAsia" w:eastAsiaTheme="majorEastAsia"/>
                <w:color w:val="auto"/>
                <w:szCs w:val="21"/>
                <w:highlight w:val="none"/>
              </w:rPr>
              <w:t xml:space="preserve"> </w:t>
            </w:r>
            <w:r>
              <w:rPr>
                <w:rFonts w:hint="eastAsia" w:cs="仿宋" w:asciiTheme="majorEastAsia" w:hAnsiTheme="majorEastAsia" w:eastAsiaTheme="majorEastAsia"/>
                <w:color w:val="auto"/>
                <w:szCs w:val="21"/>
                <w:highlight w:val="none"/>
              </w:rPr>
              <w:t>460mm，座深：460mm。</w:t>
            </w:r>
          </w:p>
          <w:p w14:paraId="309EE17B">
            <w:pPr>
              <w:tabs>
                <w:tab w:val="left" w:pos="0"/>
              </w:tabs>
              <w:spacing w:line="360" w:lineRule="auto"/>
              <w:ind w:firstLine="420" w:firstLineChars="200"/>
              <w:jc w:val="left"/>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1.背绵：采用冷发泡高回弹定型PU阻燃海绵一体发泡成型，密度高达55Kg/m3；</w:t>
            </w:r>
          </w:p>
          <w:p w14:paraId="5A3CE860">
            <w:pPr>
              <w:tabs>
                <w:tab w:val="left" w:pos="0"/>
              </w:tabs>
              <w:spacing w:line="360" w:lineRule="auto"/>
              <w:ind w:firstLine="420" w:firstLineChars="200"/>
              <w:jc w:val="left"/>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2.座绵：采用冷发泡高回弹定型PU阻燃海绵一体发泡成型，密度60kg/m3。长时间使用不易变形；座绵内置1.5mm加厚钢架，采用黑色无纺布作隔层，座包不易变形，持久耐用；</w:t>
            </w:r>
          </w:p>
          <w:p w14:paraId="6DAB89A8">
            <w:pPr>
              <w:tabs>
                <w:tab w:val="left" w:pos="0"/>
              </w:tabs>
              <w:spacing w:line="360" w:lineRule="auto"/>
              <w:ind w:firstLine="420" w:firstLineChars="200"/>
              <w:jc w:val="left"/>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3.座、背外壳：采用优质PP(聚丙烯)多元素复合材质注塑成型；造型采用自然仿生学装饰搭配作为形态美学设计。</w:t>
            </w:r>
          </w:p>
          <w:p w14:paraId="68CCE99D">
            <w:pPr>
              <w:tabs>
                <w:tab w:val="left" w:pos="0"/>
              </w:tabs>
              <w:spacing w:line="360" w:lineRule="auto"/>
              <w:ind w:firstLine="420" w:firstLineChars="200"/>
              <w:jc w:val="left"/>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4.阻燃纺织品面料：采用优质麻绒面料；椅背拉线定位并加垫丝光绵；</w:t>
            </w:r>
          </w:p>
          <w:p w14:paraId="182B2858">
            <w:pPr>
              <w:tabs>
                <w:tab w:val="left" w:pos="0"/>
              </w:tabs>
              <w:spacing w:line="360" w:lineRule="auto"/>
              <w:ind w:firstLine="420" w:firstLineChars="200"/>
              <w:jc w:val="left"/>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5.椅脚：站脚采用优质铝合金，经一次性压铸成型，椅脚高度640mm,宽度55mm，扶手外部无减料槽做成完美的整体造型，增添线条美感，站脚底部有多条竖向加强筋，扶手后端左右两面采用木制品装饰侧板，外贴高级面料及并覆厚度3mm棉布扪制而成独特设计造型；</w:t>
            </w:r>
          </w:p>
          <w:p w14:paraId="4AB7788E">
            <w:pPr>
              <w:tabs>
                <w:tab w:val="left" w:pos="0"/>
              </w:tabs>
              <w:spacing w:line="360" w:lineRule="auto"/>
              <w:ind w:firstLine="420" w:firstLineChars="200"/>
              <w:jc w:val="left"/>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6.写字板含机构：采用优质铝合金旋转机构，可旋转式写字板支撑架采用加长型（最大长度为250mm），支撑力度更大书写更稳定，整体旋转顺畅自如，写字板面板为旋转式隐藏ABS材质写字板：长365*宽265*厚10mm，带笔槽（规格170*15mm）、带杯槽(φ75mm),便于放置书写笔和水杯；</w:t>
            </w:r>
          </w:p>
          <w:p w14:paraId="7B98CF73">
            <w:pPr>
              <w:tabs>
                <w:tab w:val="left" w:pos="0"/>
              </w:tabs>
              <w:spacing w:line="360" w:lineRule="auto"/>
              <w:ind w:firstLine="420" w:firstLineChars="200"/>
              <w:jc w:val="left"/>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7.扶手盖：采用优质原木经5次抛光，水性漆封漆而成；</w:t>
            </w:r>
          </w:p>
          <w:p w14:paraId="305B7640">
            <w:pPr>
              <w:tabs>
                <w:tab w:val="left" w:pos="0"/>
              </w:tabs>
              <w:spacing w:line="360" w:lineRule="auto"/>
              <w:ind w:firstLine="420" w:firstLineChars="200"/>
              <w:jc w:val="left"/>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8.回复功能：采用弹簧加阻尼回复机构，座包采用了以上回复机构使得座包在回复时匀速运动而又无噪音，从而提升了椅子的档次；</w:t>
            </w:r>
          </w:p>
          <w:p w14:paraId="4B811E58">
            <w:pPr>
              <w:tabs>
                <w:tab w:val="left" w:pos="0"/>
              </w:tabs>
              <w:spacing w:line="360" w:lineRule="auto"/>
              <w:ind w:firstLine="420" w:firstLineChars="200"/>
              <w:jc w:val="left"/>
              <w:rPr>
                <w:rFonts w:hint="eastAsia" w:cs="仿宋" w:asciiTheme="majorEastAsia" w:hAnsiTheme="majorEastAsia" w:eastAsiaTheme="majorEastAsia"/>
                <w:color w:val="auto"/>
                <w:szCs w:val="21"/>
                <w:highlight w:val="none"/>
              </w:rPr>
            </w:pPr>
            <w:r>
              <w:rPr>
                <w:rFonts w:hint="eastAsia" w:cs="仿宋" w:asciiTheme="majorEastAsia" w:hAnsiTheme="majorEastAsia" w:eastAsiaTheme="majorEastAsia"/>
                <w:color w:val="auto"/>
                <w:szCs w:val="21"/>
                <w:highlight w:val="none"/>
              </w:rPr>
              <w:t>9.地爆螺钉：采用国标内六角圆柱头螺钉与镀彩锌膨胀螺母。</w:t>
            </w:r>
          </w:p>
          <w:p w14:paraId="4C728168">
            <w:pPr>
              <w:tabs>
                <w:tab w:val="left" w:pos="0"/>
              </w:tabs>
              <w:jc w:val="left"/>
              <w:rPr>
                <w:color w:val="auto"/>
                <w:highlight w:val="none"/>
              </w:rPr>
            </w:pPr>
            <w:r>
              <w:rPr>
                <w:rFonts w:hint="eastAsia" w:cs="仿宋" w:asciiTheme="majorEastAsia" w:hAnsiTheme="majorEastAsia" w:eastAsiaTheme="majorEastAsia"/>
                <w:color w:val="auto"/>
                <w:szCs w:val="21"/>
                <w:highlight w:val="none"/>
              </w:rPr>
              <w:t>注：座椅尺寸允许公差范围±5mm</w:t>
            </w:r>
          </w:p>
        </w:tc>
        <w:tc>
          <w:tcPr>
            <w:tcW w:w="1050" w:type="dxa"/>
          </w:tcPr>
          <w:p w14:paraId="5FDB614D">
            <w:pPr>
              <w:tabs>
                <w:tab w:val="left" w:pos="0"/>
              </w:tabs>
              <w:spacing w:line="312" w:lineRule="auto"/>
              <w:jc w:val="center"/>
              <w:rPr>
                <w:color w:val="auto"/>
                <w:highlight w:val="none"/>
              </w:rPr>
            </w:pPr>
          </w:p>
          <w:p w14:paraId="7E309DBC">
            <w:pPr>
              <w:tabs>
                <w:tab w:val="left" w:pos="0"/>
              </w:tabs>
              <w:spacing w:line="312" w:lineRule="auto"/>
              <w:jc w:val="center"/>
              <w:rPr>
                <w:color w:val="auto"/>
                <w:highlight w:val="none"/>
              </w:rPr>
            </w:pPr>
          </w:p>
          <w:p w14:paraId="2A20428A">
            <w:pPr>
              <w:tabs>
                <w:tab w:val="left" w:pos="0"/>
              </w:tabs>
              <w:spacing w:line="312" w:lineRule="auto"/>
              <w:jc w:val="center"/>
              <w:rPr>
                <w:color w:val="auto"/>
                <w:highlight w:val="none"/>
              </w:rPr>
            </w:pPr>
          </w:p>
          <w:p w14:paraId="32A56ABF">
            <w:pPr>
              <w:tabs>
                <w:tab w:val="left" w:pos="0"/>
              </w:tabs>
              <w:spacing w:line="312" w:lineRule="auto"/>
              <w:jc w:val="center"/>
              <w:rPr>
                <w:color w:val="auto"/>
                <w:highlight w:val="none"/>
              </w:rPr>
            </w:pPr>
          </w:p>
          <w:p w14:paraId="0EFCE739">
            <w:pPr>
              <w:tabs>
                <w:tab w:val="left" w:pos="0"/>
              </w:tabs>
              <w:spacing w:line="312" w:lineRule="auto"/>
              <w:jc w:val="center"/>
              <w:rPr>
                <w:color w:val="auto"/>
                <w:highlight w:val="none"/>
              </w:rPr>
            </w:pPr>
          </w:p>
          <w:p w14:paraId="173F3446">
            <w:pPr>
              <w:tabs>
                <w:tab w:val="left" w:pos="0"/>
              </w:tabs>
              <w:spacing w:line="312" w:lineRule="auto"/>
              <w:jc w:val="center"/>
              <w:rPr>
                <w:color w:val="auto"/>
                <w:highlight w:val="none"/>
              </w:rPr>
            </w:pPr>
          </w:p>
          <w:p w14:paraId="6EC52E9A">
            <w:pPr>
              <w:tabs>
                <w:tab w:val="left" w:pos="0"/>
              </w:tabs>
              <w:spacing w:line="312" w:lineRule="auto"/>
              <w:jc w:val="center"/>
              <w:rPr>
                <w:color w:val="auto"/>
                <w:highlight w:val="none"/>
              </w:rPr>
            </w:pPr>
          </w:p>
          <w:p w14:paraId="1D99CD99">
            <w:pPr>
              <w:tabs>
                <w:tab w:val="left" w:pos="0"/>
              </w:tabs>
              <w:spacing w:line="312" w:lineRule="auto"/>
              <w:jc w:val="center"/>
              <w:rPr>
                <w:color w:val="auto"/>
                <w:highlight w:val="none"/>
              </w:rPr>
            </w:pPr>
          </w:p>
          <w:p w14:paraId="30711F9B">
            <w:pPr>
              <w:tabs>
                <w:tab w:val="left" w:pos="0"/>
              </w:tabs>
              <w:spacing w:line="312" w:lineRule="auto"/>
              <w:jc w:val="center"/>
              <w:rPr>
                <w:color w:val="auto"/>
                <w:highlight w:val="none"/>
              </w:rPr>
            </w:pPr>
          </w:p>
          <w:p w14:paraId="7ED6398C">
            <w:pPr>
              <w:tabs>
                <w:tab w:val="left" w:pos="0"/>
              </w:tabs>
              <w:spacing w:line="312" w:lineRule="auto"/>
              <w:jc w:val="center"/>
              <w:rPr>
                <w:color w:val="auto"/>
                <w:highlight w:val="none"/>
              </w:rPr>
            </w:pPr>
            <w:r>
              <w:rPr>
                <w:rFonts w:hint="eastAsia" w:cs="仿宋" w:asciiTheme="majorEastAsia" w:hAnsiTheme="majorEastAsia" w:eastAsiaTheme="majorEastAsia"/>
                <w:color w:val="auto"/>
                <w:sz w:val="24"/>
                <w:highlight w:val="none"/>
              </w:rPr>
              <w:t>650</w:t>
            </w:r>
          </w:p>
        </w:tc>
      </w:tr>
    </w:tbl>
    <w:p w14:paraId="472AA4F9">
      <w:pPr>
        <w:rPr>
          <w:rFonts w:hint="eastAsia" w:cs="仿宋" w:asciiTheme="majorEastAsia" w:hAnsiTheme="majorEastAsia" w:eastAsiaTheme="majorEastAsia"/>
          <w:b/>
          <w:bCs/>
          <w:color w:val="auto"/>
          <w:sz w:val="24"/>
          <w:highlight w:val="none"/>
        </w:rPr>
      </w:pPr>
    </w:p>
    <w:p w14:paraId="4A07BF32">
      <w:pPr>
        <w:pStyle w:val="2"/>
        <w:ind w:left="210" w:leftChars="100" w:firstLine="240" w:firstLineChars="1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注：</w:t>
      </w:r>
    </w:p>
    <w:p w14:paraId="263EB9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1、附图仅作参考。</w:t>
      </w:r>
    </w:p>
    <w:p w14:paraId="4F6809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2、响应报价包括货物、运输、安装及服务等所有费用。</w:t>
      </w:r>
    </w:p>
    <w:p w14:paraId="653715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3、成交人所提供的货物、服务须与响应承诺一致，不得以次充好、偷工减料，若在项目验收中发现有上述情况，将向有关部门举报，根据相关规定进行处理。</w:t>
      </w:r>
    </w:p>
    <w:p w14:paraId="0D41572D">
      <w:pPr>
        <w:rPr>
          <w:rFonts w:hint="eastAsia" w:cs="仿宋" w:asciiTheme="majorEastAsia" w:hAnsiTheme="majorEastAsia" w:eastAsiaTheme="majorEastAsia"/>
          <w:b/>
          <w:bCs/>
          <w:color w:val="auto"/>
          <w:sz w:val="24"/>
          <w:highlight w:val="none"/>
        </w:rPr>
      </w:pPr>
    </w:p>
    <w:p w14:paraId="1EBA143E">
      <w:pPr>
        <w:rPr>
          <w:rFonts w:hint="eastAsia"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2、商务需求：</w:t>
      </w:r>
    </w:p>
    <w:p w14:paraId="63A75F85">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2.1.交货时间及地点：</w:t>
      </w:r>
    </w:p>
    <w:p w14:paraId="270858B8">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2.1.1</w:t>
      </w:r>
      <w:r>
        <w:rPr>
          <w:rFonts w:hint="eastAsia" w:ascii="宋体" w:hAnsi="宋体" w:cs="宋体"/>
          <w:b/>
          <w:color w:val="auto"/>
          <w:sz w:val="24"/>
          <w:highlight w:val="none"/>
        </w:rPr>
        <w:t>▲</w:t>
      </w:r>
      <w:r>
        <w:rPr>
          <w:rFonts w:hint="eastAsia" w:ascii="宋体" w:hAnsi="宋体" w:cs="宋体"/>
          <w:b/>
          <w:bCs/>
          <w:color w:val="auto"/>
          <w:sz w:val="24"/>
          <w:highlight w:val="none"/>
        </w:rPr>
        <w:t>服务期限：合同签订后30日历天安装调试完毕（具体以采购方实际要求为准）。</w:t>
      </w:r>
    </w:p>
    <w:p w14:paraId="064057CD">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交货地点：采购人指定地点。</w:t>
      </w:r>
    </w:p>
    <w:p w14:paraId="6D74F57D">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2.1.2成交人提供的中标物品，必须符合本采购文件要求、原包装送达采购单位；如有不符，采购人可以无条件退货，所造成的损失由成交人承担。更换后的零部件质保期按更换日起顺延。</w:t>
      </w:r>
    </w:p>
    <w:p w14:paraId="3AFAA815">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2.2.质保期及售后技术服务要求：</w:t>
      </w:r>
    </w:p>
    <w:p w14:paraId="3D0F0838">
      <w:pPr>
        <w:adjustRightInd/>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▲2.2.1质保期：2年。</w:t>
      </w:r>
    </w:p>
    <w:p w14:paraId="04BB16FA">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2.2.2质量保证期内提供免费上门维护、升级服务，如设备出现故障，供货单位在接到电话后，2小时内响应，12小时以内到现场处理，24小时内修复，现场不能修复的，必须采取无偿提供采购物品的备用件或整机等措施，保证用户单位的正常使用。</w:t>
      </w:r>
    </w:p>
    <w:p w14:paraId="186D2500">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2.2.3成交人应提供技术支持方案，内容由成交人根据实际选择以下要点：服务机构（维保点）的地址、人员状况、维修能力、联系方式、营业执照、公司资质材料、相关案例等。</w:t>
      </w:r>
    </w:p>
    <w:p w14:paraId="2E3142F9">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2.2.4完整准确地表述原厂家的标准售后服务承诺（范围、标准及期限等）、成交人可能增加的服务承诺等。</w:t>
      </w:r>
    </w:p>
    <w:p w14:paraId="32E3195C">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2.2.5明示服务承诺可能涉及的前提设定和费用，否则将被认为是无条件和免费的。</w:t>
      </w:r>
    </w:p>
    <w:p w14:paraId="4D509C2A">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2.3.项目实施计划</w:t>
      </w:r>
    </w:p>
    <w:p w14:paraId="2883C483">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项目实施的组织工作方案：工作时间进度表、工作程序或步骤、管理和协调方法、送货方案等。</w:t>
      </w:r>
    </w:p>
    <w:p w14:paraId="621693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2.4.▲付款方式：</w:t>
      </w:r>
      <w:r>
        <w:rPr>
          <w:rFonts w:hint="eastAsia" w:ascii="宋体" w:hAnsi="宋体" w:cs="宋体"/>
          <w:color w:val="auto"/>
          <w:sz w:val="24"/>
          <w:highlight w:val="none"/>
        </w:rPr>
        <w:t>合同签订后采购人支付合同价的30%为预付款，所有设备安装、调试后、经相关部门验收合格后至支付100%。</w:t>
      </w:r>
    </w:p>
    <w:p w14:paraId="1A2E6A16">
      <w:pPr>
        <w:spacing w:line="360" w:lineRule="auto"/>
        <w:rPr>
          <w:rFonts w:eastAsia="仿宋"/>
          <w:color w:val="auto"/>
          <w:highlight w:val="none"/>
        </w:rPr>
      </w:pPr>
      <w:r>
        <w:rPr>
          <w:rFonts w:hint="eastAsia" w:ascii="宋体" w:hAnsi="宋体" w:cs="宋体"/>
          <w:color w:val="auto"/>
          <w:sz w:val="24"/>
          <w:highlight w:val="none"/>
        </w:rPr>
        <w:t>2.5</w:t>
      </w:r>
      <w:r>
        <w:rPr>
          <w:rFonts w:hint="eastAsia" w:ascii="宋体" w:hAnsi="宋体" w:cs="宋体"/>
          <w:b/>
          <w:color w:val="auto"/>
          <w:sz w:val="24"/>
          <w:highlight w:val="none"/>
        </w:rPr>
        <w:t>▲</w:t>
      </w:r>
      <w:r>
        <w:rPr>
          <w:rFonts w:hint="eastAsia" w:ascii="宋体" w:hAnsi="宋体" w:cs="宋体"/>
          <w:color w:val="auto"/>
          <w:sz w:val="24"/>
          <w:highlight w:val="none"/>
        </w:rPr>
        <w:t>其他要求：</w:t>
      </w:r>
      <w:r>
        <w:rPr>
          <w:rFonts w:hint="eastAsia" w:ascii="宋体" w:hAnsi="宋体" w:cs="宋体"/>
          <w:b/>
          <w:color w:val="auto"/>
          <w:sz w:val="24"/>
          <w:highlight w:val="none"/>
        </w:rPr>
        <w:t>供应商报价低于项目预算50%的，应当在报价文件中详细阐述不影响产品质量或者诚信履约的具体原因，未做阐述说明的，投标无效。</w:t>
      </w:r>
    </w:p>
    <w:p w14:paraId="74F9305E">
      <w:pPr>
        <w:snapToGrid w:val="0"/>
        <w:spacing w:line="360" w:lineRule="auto"/>
        <w:rPr>
          <w:rFonts w:ascii="仿宋" w:hAnsi="仿宋" w:eastAsia="仿宋" w:cs="仿宋"/>
          <w:b/>
          <w:color w:val="auto"/>
          <w:sz w:val="32"/>
          <w:highlight w:val="none"/>
        </w:rPr>
      </w:pPr>
      <w:r>
        <w:rPr>
          <w:rFonts w:hint="eastAsia" w:ascii="仿宋" w:hAnsi="仿宋" w:eastAsia="仿宋" w:cs="仿宋"/>
          <w:color w:val="auto"/>
          <w:highlight w:val="none"/>
        </w:rPr>
        <w:br w:type="page"/>
      </w:r>
    </w:p>
    <w:p w14:paraId="7FA769D1">
      <w:pPr>
        <w:snapToGrid w:val="0"/>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40" w:name="_Toc184314434"/>
      <w:bookmarkEnd w:id="40"/>
      <w:bookmarkStart w:id="41" w:name="_Toc184308094"/>
      <w:bookmarkEnd w:id="41"/>
      <w:bookmarkStart w:id="42" w:name="_Toc184314454"/>
      <w:bookmarkEnd w:id="42"/>
      <w:bookmarkStart w:id="43" w:name="_Toc184314465"/>
      <w:bookmarkEnd w:id="43"/>
      <w:bookmarkStart w:id="44" w:name="_Toc184313257"/>
      <w:bookmarkEnd w:id="44"/>
      <w:bookmarkStart w:id="45" w:name="_Toc184310320"/>
      <w:bookmarkEnd w:id="45"/>
      <w:bookmarkStart w:id="46" w:name="_Toc184313244"/>
      <w:bookmarkEnd w:id="46"/>
      <w:bookmarkStart w:id="47" w:name="_Toc184313292"/>
      <w:bookmarkEnd w:id="47"/>
      <w:bookmarkStart w:id="48" w:name="_Toc184310317"/>
      <w:bookmarkEnd w:id="48"/>
      <w:bookmarkStart w:id="49" w:name="_Toc184313277"/>
      <w:bookmarkEnd w:id="49"/>
      <w:bookmarkStart w:id="50" w:name="_Toc184310332"/>
      <w:bookmarkEnd w:id="50"/>
      <w:bookmarkStart w:id="51" w:name="_Toc184314411"/>
      <w:bookmarkEnd w:id="51"/>
      <w:bookmarkStart w:id="52" w:name="_Toc184308044"/>
      <w:bookmarkEnd w:id="52"/>
      <w:bookmarkStart w:id="53" w:name="_Toc184310329"/>
      <w:bookmarkEnd w:id="53"/>
      <w:bookmarkStart w:id="54" w:name="_Toc184313268"/>
      <w:bookmarkEnd w:id="54"/>
      <w:bookmarkStart w:id="55" w:name="_Toc184310295"/>
      <w:bookmarkEnd w:id="55"/>
      <w:bookmarkStart w:id="56" w:name="_Toc184313285"/>
      <w:bookmarkEnd w:id="56"/>
      <w:bookmarkStart w:id="57" w:name="_Toc184314477"/>
      <w:bookmarkEnd w:id="57"/>
      <w:bookmarkStart w:id="58" w:name="_Toc184312135"/>
      <w:bookmarkEnd w:id="58"/>
      <w:bookmarkStart w:id="59" w:name="_Toc184312111"/>
      <w:bookmarkEnd w:id="59"/>
      <w:bookmarkStart w:id="60" w:name="_Toc184310334"/>
      <w:bookmarkEnd w:id="60"/>
      <w:bookmarkStart w:id="61" w:name="_Toc184312137"/>
      <w:bookmarkEnd w:id="61"/>
      <w:bookmarkStart w:id="62" w:name="_Toc184310314"/>
      <w:bookmarkEnd w:id="62"/>
      <w:bookmarkStart w:id="63" w:name="_Toc184308078"/>
      <w:bookmarkEnd w:id="63"/>
      <w:bookmarkStart w:id="64" w:name="_Toc184314458"/>
      <w:bookmarkEnd w:id="64"/>
      <w:bookmarkStart w:id="65" w:name="_Toc184314469"/>
      <w:bookmarkEnd w:id="65"/>
      <w:bookmarkStart w:id="66" w:name="_Toc184310307"/>
      <w:bookmarkEnd w:id="66"/>
      <w:bookmarkStart w:id="67" w:name="_Toc184314479"/>
      <w:bookmarkEnd w:id="67"/>
      <w:bookmarkStart w:id="68" w:name="_Toc184314437"/>
      <w:bookmarkEnd w:id="68"/>
      <w:bookmarkStart w:id="69" w:name="_Toc184312080"/>
      <w:bookmarkEnd w:id="69"/>
      <w:bookmarkStart w:id="70" w:name="_Toc184314468"/>
      <w:bookmarkEnd w:id="70"/>
      <w:bookmarkStart w:id="71" w:name="_Toc184308103"/>
      <w:bookmarkEnd w:id="71"/>
      <w:bookmarkStart w:id="72" w:name="_Toc184310330"/>
      <w:bookmarkEnd w:id="72"/>
      <w:bookmarkStart w:id="73" w:name="_Toc184313280"/>
      <w:bookmarkEnd w:id="73"/>
      <w:bookmarkStart w:id="74" w:name="_Toc184308087"/>
      <w:bookmarkEnd w:id="74"/>
      <w:bookmarkStart w:id="75" w:name="_Toc184313289"/>
      <w:bookmarkEnd w:id="75"/>
      <w:bookmarkStart w:id="76" w:name="_Toc184310291"/>
      <w:bookmarkEnd w:id="76"/>
      <w:bookmarkStart w:id="77" w:name="_Toc184308051"/>
      <w:bookmarkEnd w:id="77"/>
      <w:bookmarkStart w:id="78" w:name="_Toc184308102"/>
      <w:bookmarkEnd w:id="78"/>
      <w:bookmarkStart w:id="79" w:name="_Toc184313253"/>
      <w:bookmarkEnd w:id="79"/>
      <w:bookmarkStart w:id="80" w:name="_Toc184310309"/>
      <w:bookmarkEnd w:id="80"/>
      <w:bookmarkStart w:id="81" w:name="_Toc184314416"/>
      <w:bookmarkEnd w:id="81"/>
      <w:bookmarkStart w:id="82" w:name="_Toc184313284"/>
      <w:bookmarkEnd w:id="82"/>
      <w:bookmarkStart w:id="83" w:name="_Toc184308054"/>
      <w:bookmarkEnd w:id="83"/>
      <w:bookmarkStart w:id="84" w:name="_Toc184310286"/>
      <w:bookmarkEnd w:id="84"/>
      <w:bookmarkStart w:id="85" w:name="_Toc184310276"/>
      <w:bookmarkEnd w:id="85"/>
      <w:bookmarkStart w:id="86" w:name="_Toc184310304"/>
      <w:bookmarkEnd w:id="86"/>
      <w:bookmarkStart w:id="87" w:name="_Toc184313269"/>
      <w:bookmarkEnd w:id="87"/>
      <w:bookmarkStart w:id="88" w:name="_Toc184310310"/>
      <w:bookmarkEnd w:id="88"/>
      <w:bookmarkStart w:id="89" w:name="_Toc184312138"/>
      <w:bookmarkEnd w:id="89"/>
      <w:bookmarkStart w:id="90" w:name="_Toc184313278"/>
      <w:bookmarkEnd w:id="90"/>
      <w:bookmarkStart w:id="91" w:name="_Toc184312126"/>
      <w:bookmarkEnd w:id="91"/>
      <w:bookmarkStart w:id="92" w:name="_Toc184308085"/>
      <w:bookmarkEnd w:id="92"/>
      <w:bookmarkStart w:id="93" w:name="_Toc184314467"/>
      <w:bookmarkEnd w:id="93"/>
      <w:bookmarkStart w:id="94" w:name="_Toc184308043"/>
      <w:bookmarkEnd w:id="94"/>
      <w:bookmarkStart w:id="95" w:name="_Toc184314427"/>
      <w:bookmarkEnd w:id="95"/>
      <w:bookmarkStart w:id="96" w:name="_Toc184313271"/>
      <w:bookmarkEnd w:id="96"/>
      <w:bookmarkStart w:id="97" w:name="_Toc184313267"/>
      <w:bookmarkEnd w:id="97"/>
      <w:bookmarkStart w:id="98" w:name="_Toc184308084"/>
      <w:bookmarkEnd w:id="98"/>
      <w:bookmarkStart w:id="99" w:name="_Toc184314448"/>
      <w:bookmarkEnd w:id="99"/>
      <w:bookmarkStart w:id="100" w:name="_Toc184314422"/>
      <w:bookmarkEnd w:id="100"/>
      <w:bookmarkStart w:id="101" w:name="_Toc184310288"/>
      <w:bookmarkEnd w:id="101"/>
      <w:bookmarkStart w:id="102" w:name="_Toc184313251"/>
      <w:bookmarkEnd w:id="102"/>
      <w:bookmarkStart w:id="103" w:name="_Toc184314433"/>
      <w:bookmarkEnd w:id="103"/>
      <w:bookmarkStart w:id="104" w:name="_Toc184312081"/>
      <w:bookmarkEnd w:id="104"/>
      <w:bookmarkStart w:id="105" w:name="_Toc184312115"/>
      <w:bookmarkEnd w:id="105"/>
      <w:bookmarkStart w:id="106" w:name="_Toc184308081"/>
      <w:bookmarkEnd w:id="106"/>
      <w:bookmarkStart w:id="107" w:name="_Toc184312095"/>
      <w:bookmarkEnd w:id="107"/>
      <w:bookmarkStart w:id="108" w:name="_Toc184314432"/>
      <w:bookmarkEnd w:id="108"/>
      <w:bookmarkStart w:id="109" w:name="_Toc184310274"/>
      <w:bookmarkEnd w:id="109"/>
      <w:bookmarkStart w:id="110" w:name="_Toc184314414"/>
      <w:bookmarkEnd w:id="110"/>
      <w:bookmarkStart w:id="111" w:name="_Toc184314440"/>
      <w:bookmarkEnd w:id="111"/>
      <w:bookmarkStart w:id="112" w:name="_Toc184313301"/>
      <w:bookmarkEnd w:id="112"/>
      <w:bookmarkStart w:id="113" w:name="_Toc184308106"/>
      <w:bookmarkEnd w:id="113"/>
      <w:bookmarkStart w:id="114" w:name="_Toc184310298"/>
      <w:bookmarkEnd w:id="114"/>
      <w:bookmarkStart w:id="115" w:name="_Toc184312128"/>
      <w:bookmarkEnd w:id="115"/>
      <w:bookmarkStart w:id="116" w:name="_Toc184310337"/>
      <w:bookmarkEnd w:id="116"/>
      <w:bookmarkStart w:id="117" w:name="_Toc184313308"/>
      <w:bookmarkEnd w:id="117"/>
      <w:bookmarkStart w:id="118" w:name="_Toc184313259"/>
      <w:bookmarkEnd w:id="118"/>
      <w:bookmarkStart w:id="119" w:name="_Toc184308052"/>
      <w:bookmarkEnd w:id="119"/>
      <w:bookmarkStart w:id="120" w:name="_Toc184314480"/>
      <w:bookmarkEnd w:id="120"/>
      <w:bookmarkStart w:id="121" w:name="_Toc184314464"/>
      <w:bookmarkEnd w:id="121"/>
      <w:bookmarkStart w:id="122" w:name="_Toc184314474"/>
      <w:bookmarkEnd w:id="122"/>
      <w:bookmarkStart w:id="123" w:name="_Toc184310322"/>
      <w:bookmarkEnd w:id="123"/>
      <w:bookmarkStart w:id="124" w:name="_Toc184313307"/>
      <w:bookmarkEnd w:id="124"/>
      <w:bookmarkStart w:id="125" w:name="_Toc184310273"/>
      <w:bookmarkEnd w:id="125"/>
      <w:bookmarkStart w:id="126" w:name="_Toc184308058"/>
      <w:bookmarkEnd w:id="126"/>
      <w:bookmarkStart w:id="127" w:name="_Toc184314482"/>
      <w:bookmarkEnd w:id="127"/>
      <w:bookmarkStart w:id="128" w:name="_Toc184313298"/>
      <w:bookmarkEnd w:id="128"/>
      <w:bookmarkStart w:id="129" w:name="_Toc184313295"/>
      <w:bookmarkEnd w:id="129"/>
      <w:bookmarkStart w:id="130" w:name="_Toc184313281"/>
      <w:bookmarkEnd w:id="130"/>
      <w:bookmarkStart w:id="131" w:name="_Toc184310313"/>
      <w:bookmarkEnd w:id="131"/>
      <w:bookmarkStart w:id="132" w:name="_Toc184313261"/>
      <w:bookmarkEnd w:id="132"/>
      <w:bookmarkStart w:id="133" w:name="_Toc184314410"/>
      <w:bookmarkEnd w:id="133"/>
      <w:bookmarkStart w:id="134" w:name="_Toc184314472"/>
      <w:bookmarkEnd w:id="134"/>
      <w:bookmarkStart w:id="135" w:name="_Toc184310283"/>
      <w:bookmarkEnd w:id="135"/>
      <w:bookmarkStart w:id="136" w:name="_Toc184312070"/>
      <w:bookmarkEnd w:id="136"/>
      <w:bookmarkStart w:id="137" w:name="_Toc184312132"/>
      <w:bookmarkEnd w:id="137"/>
      <w:bookmarkStart w:id="138" w:name="_Toc184314435"/>
      <w:bookmarkEnd w:id="138"/>
      <w:bookmarkStart w:id="139" w:name="_Toc184313294"/>
      <w:bookmarkEnd w:id="139"/>
      <w:bookmarkStart w:id="140" w:name="_Toc184314442"/>
      <w:bookmarkEnd w:id="140"/>
      <w:bookmarkStart w:id="141" w:name="_Toc184310305"/>
      <w:bookmarkEnd w:id="141"/>
      <w:bookmarkStart w:id="142" w:name="_Toc184313304"/>
      <w:bookmarkEnd w:id="142"/>
      <w:bookmarkStart w:id="143" w:name="_Toc184310301"/>
      <w:bookmarkEnd w:id="143"/>
      <w:bookmarkStart w:id="144" w:name="_Toc184313272"/>
      <w:bookmarkEnd w:id="144"/>
      <w:bookmarkStart w:id="145" w:name="_Toc184314481"/>
      <w:bookmarkEnd w:id="145"/>
      <w:bookmarkStart w:id="146" w:name="_Toc184314453"/>
      <w:bookmarkEnd w:id="146"/>
      <w:bookmarkStart w:id="147" w:name="_Toc184312107"/>
      <w:bookmarkEnd w:id="147"/>
      <w:bookmarkStart w:id="148" w:name="_Toc184312108"/>
      <w:bookmarkEnd w:id="148"/>
      <w:bookmarkStart w:id="149" w:name="_Toc184308075"/>
      <w:bookmarkEnd w:id="149"/>
      <w:bookmarkStart w:id="150" w:name="_Toc184310323"/>
      <w:bookmarkEnd w:id="150"/>
      <w:bookmarkStart w:id="151" w:name="_Toc184312134"/>
      <w:bookmarkEnd w:id="151"/>
      <w:bookmarkStart w:id="152" w:name="_Toc184308080"/>
      <w:bookmarkEnd w:id="152"/>
      <w:bookmarkStart w:id="153" w:name="_Toc184308060"/>
      <w:bookmarkEnd w:id="153"/>
      <w:bookmarkStart w:id="154" w:name="_Toc184310312"/>
      <w:bookmarkEnd w:id="154"/>
      <w:bookmarkStart w:id="155" w:name="_Toc184312109"/>
      <w:bookmarkEnd w:id="155"/>
      <w:bookmarkStart w:id="156" w:name="_Toc184312104"/>
      <w:bookmarkEnd w:id="156"/>
      <w:bookmarkStart w:id="157" w:name="_Toc184314471"/>
      <w:bookmarkEnd w:id="157"/>
      <w:bookmarkStart w:id="158" w:name="_Toc184310282"/>
      <w:bookmarkEnd w:id="158"/>
      <w:bookmarkStart w:id="159" w:name="_Toc184313241"/>
      <w:bookmarkEnd w:id="159"/>
      <w:bookmarkStart w:id="160" w:name="_Toc184310331"/>
      <w:bookmarkEnd w:id="160"/>
      <w:bookmarkStart w:id="161" w:name="_Toc184310281"/>
      <w:bookmarkEnd w:id="161"/>
      <w:bookmarkStart w:id="162" w:name="_Toc184314476"/>
      <w:bookmarkEnd w:id="162"/>
      <w:bookmarkStart w:id="163" w:name="_Toc184313283"/>
      <w:bookmarkEnd w:id="163"/>
      <w:bookmarkStart w:id="164" w:name="_Toc184314426"/>
      <w:bookmarkEnd w:id="164"/>
      <w:bookmarkStart w:id="165" w:name="_Toc184312072"/>
      <w:bookmarkEnd w:id="165"/>
      <w:bookmarkStart w:id="166" w:name="_Toc184308089"/>
      <w:bookmarkEnd w:id="166"/>
      <w:bookmarkStart w:id="167" w:name="_Toc184314425"/>
      <w:bookmarkEnd w:id="167"/>
      <w:bookmarkStart w:id="168" w:name="_Toc184312098"/>
      <w:bookmarkEnd w:id="168"/>
      <w:bookmarkStart w:id="169" w:name="_Toc184312139"/>
      <w:bookmarkEnd w:id="169"/>
      <w:bookmarkStart w:id="170" w:name="_Toc184312075"/>
      <w:bookmarkEnd w:id="170"/>
      <w:bookmarkStart w:id="171" w:name="_Toc184310308"/>
      <w:bookmarkEnd w:id="171"/>
      <w:bookmarkStart w:id="172" w:name="_Toc184312125"/>
      <w:bookmarkEnd w:id="172"/>
      <w:bookmarkStart w:id="173" w:name="_Toc184310285"/>
      <w:bookmarkEnd w:id="173"/>
      <w:bookmarkStart w:id="174" w:name="_Toc184310272"/>
      <w:bookmarkEnd w:id="174"/>
      <w:bookmarkStart w:id="175" w:name="_Toc184312073"/>
      <w:bookmarkEnd w:id="175"/>
      <w:bookmarkStart w:id="176" w:name="_Toc184312105"/>
      <w:bookmarkEnd w:id="176"/>
      <w:bookmarkStart w:id="177" w:name="_Toc184313263"/>
      <w:bookmarkEnd w:id="177"/>
      <w:bookmarkStart w:id="178" w:name="_Toc184310277"/>
      <w:bookmarkEnd w:id="178"/>
      <w:bookmarkStart w:id="179" w:name="_Toc184308036"/>
      <w:bookmarkEnd w:id="179"/>
      <w:bookmarkStart w:id="180" w:name="_Toc184313273"/>
      <w:bookmarkEnd w:id="180"/>
      <w:bookmarkStart w:id="181" w:name="_Toc184314475"/>
      <w:bookmarkEnd w:id="181"/>
      <w:bookmarkStart w:id="182" w:name="_Toc184312113"/>
      <w:bookmarkEnd w:id="182"/>
      <w:bookmarkStart w:id="183" w:name="_Toc184313306"/>
      <w:bookmarkEnd w:id="183"/>
      <w:bookmarkStart w:id="184" w:name="_Toc184312136"/>
      <w:bookmarkEnd w:id="184"/>
      <w:bookmarkStart w:id="185" w:name="_Toc184313303"/>
      <w:bookmarkEnd w:id="185"/>
      <w:bookmarkStart w:id="186" w:name="_Toc184308049"/>
      <w:bookmarkEnd w:id="186"/>
      <w:bookmarkStart w:id="187" w:name="_Toc184312068"/>
      <w:bookmarkEnd w:id="187"/>
      <w:bookmarkStart w:id="188" w:name="_Toc184313248"/>
      <w:bookmarkEnd w:id="188"/>
      <w:bookmarkStart w:id="189" w:name="_Toc184314445"/>
      <w:bookmarkEnd w:id="189"/>
      <w:bookmarkStart w:id="190" w:name="_Toc184312087"/>
      <w:bookmarkEnd w:id="190"/>
      <w:bookmarkStart w:id="191" w:name="_Toc184312127"/>
      <w:bookmarkEnd w:id="191"/>
      <w:bookmarkStart w:id="192" w:name="_Toc184310302"/>
      <w:bookmarkEnd w:id="192"/>
      <w:bookmarkStart w:id="193" w:name="_Toc184314439"/>
      <w:bookmarkEnd w:id="193"/>
      <w:bookmarkStart w:id="194" w:name="_Toc184313260"/>
      <w:bookmarkEnd w:id="194"/>
      <w:bookmarkStart w:id="195" w:name="_Toc184314461"/>
      <w:bookmarkEnd w:id="195"/>
      <w:bookmarkStart w:id="196" w:name="_Toc184308045"/>
      <w:bookmarkEnd w:id="196"/>
      <w:bookmarkStart w:id="197" w:name="_Toc184310299"/>
      <w:bookmarkEnd w:id="197"/>
      <w:bookmarkStart w:id="198" w:name="_Toc184308088"/>
      <w:bookmarkEnd w:id="198"/>
      <w:bookmarkStart w:id="199" w:name="_Toc184310278"/>
      <w:bookmarkEnd w:id="199"/>
      <w:bookmarkStart w:id="200" w:name="_Toc184310319"/>
      <w:bookmarkEnd w:id="200"/>
      <w:bookmarkStart w:id="201" w:name="_Toc184314460"/>
      <w:bookmarkEnd w:id="201"/>
      <w:bookmarkStart w:id="202" w:name="_Toc184308107"/>
      <w:bookmarkEnd w:id="202"/>
      <w:bookmarkStart w:id="203" w:name="_Toc184314443"/>
      <w:bookmarkEnd w:id="203"/>
      <w:bookmarkStart w:id="204" w:name="_Toc184313275"/>
      <w:bookmarkEnd w:id="204"/>
      <w:bookmarkStart w:id="205" w:name="_Toc184308065"/>
      <w:bookmarkEnd w:id="205"/>
      <w:bookmarkStart w:id="206" w:name="_Toc184312120"/>
      <w:bookmarkEnd w:id="206"/>
      <w:bookmarkStart w:id="207" w:name="_Toc184310341"/>
      <w:bookmarkEnd w:id="207"/>
      <w:bookmarkStart w:id="208" w:name="_Toc184313305"/>
      <w:bookmarkEnd w:id="208"/>
      <w:bookmarkStart w:id="209" w:name="_Toc184314447"/>
      <w:bookmarkEnd w:id="209"/>
      <w:bookmarkStart w:id="210" w:name="_Toc184310325"/>
      <w:bookmarkEnd w:id="210"/>
      <w:bookmarkStart w:id="211" w:name="_Toc184312102"/>
      <w:bookmarkEnd w:id="211"/>
      <w:bookmarkStart w:id="212" w:name="_Toc184308042"/>
      <w:bookmarkEnd w:id="212"/>
      <w:bookmarkStart w:id="213" w:name="_Toc184314478"/>
      <w:bookmarkEnd w:id="213"/>
      <w:bookmarkStart w:id="214" w:name="_Toc184312067"/>
      <w:bookmarkEnd w:id="214"/>
      <w:bookmarkStart w:id="215" w:name="_Toc184310318"/>
      <w:bookmarkEnd w:id="215"/>
      <w:bookmarkStart w:id="216" w:name="_Toc184308066"/>
      <w:bookmarkEnd w:id="216"/>
      <w:bookmarkStart w:id="217" w:name="_Toc184310336"/>
      <w:bookmarkEnd w:id="217"/>
      <w:bookmarkStart w:id="218" w:name="_Toc184313249"/>
      <w:bookmarkEnd w:id="218"/>
      <w:bookmarkStart w:id="219" w:name="_Toc184312100"/>
      <w:bookmarkEnd w:id="219"/>
      <w:bookmarkStart w:id="220" w:name="_Toc184312094"/>
      <w:bookmarkEnd w:id="220"/>
      <w:bookmarkStart w:id="221" w:name="_Toc184314441"/>
      <w:bookmarkEnd w:id="221"/>
      <w:bookmarkStart w:id="222" w:name="_Toc184313242"/>
      <w:bookmarkEnd w:id="222"/>
      <w:bookmarkStart w:id="223" w:name="_Toc184314424"/>
      <w:bookmarkEnd w:id="223"/>
      <w:bookmarkStart w:id="224" w:name="_Toc184313291"/>
      <w:bookmarkEnd w:id="224"/>
      <w:bookmarkStart w:id="225" w:name="_Toc184313266"/>
      <w:bookmarkEnd w:id="225"/>
      <w:bookmarkStart w:id="226" w:name="_Toc184314451"/>
      <w:bookmarkEnd w:id="226"/>
      <w:bookmarkStart w:id="227" w:name="_Toc184314466"/>
      <w:bookmarkEnd w:id="227"/>
      <w:bookmarkStart w:id="228" w:name="_Toc184308076"/>
      <w:bookmarkEnd w:id="228"/>
      <w:bookmarkStart w:id="229" w:name="_Toc184313302"/>
      <w:bookmarkEnd w:id="229"/>
      <w:bookmarkStart w:id="230" w:name="_Toc184314446"/>
      <w:bookmarkEnd w:id="230"/>
      <w:bookmarkStart w:id="231" w:name="_Toc184314449"/>
      <w:bookmarkEnd w:id="231"/>
      <w:bookmarkStart w:id="232" w:name="_Toc184310326"/>
      <w:bookmarkEnd w:id="232"/>
      <w:bookmarkStart w:id="233" w:name="_Toc184314455"/>
      <w:bookmarkEnd w:id="233"/>
      <w:bookmarkStart w:id="234" w:name="_Toc184308050"/>
      <w:bookmarkEnd w:id="234"/>
      <w:bookmarkStart w:id="235" w:name="_Toc184313276"/>
      <w:bookmarkEnd w:id="235"/>
      <w:bookmarkStart w:id="236" w:name="_Toc184313256"/>
      <w:bookmarkEnd w:id="236"/>
      <w:bookmarkStart w:id="237" w:name="_Toc184312099"/>
      <w:bookmarkEnd w:id="237"/>
      <w:bookmarkStart w:id="238" w:name="_Toc184310311"/>
      <w:bookmarkEnd w:id="238"/>
      <w:bookmarkStart w:id="239" w:name="_Toc184312106"/>
      <w:bookmarkEnd w:id="239"/>
      <w:bookmarkStart w:id="240" w:name="_Toc184308108"/>
      <w:bookmarkEnd w:id="240"/>
      <w:bookmarkStart w:id="241" w:name="_Toc184314421"/>
      <w:bookmarkEnd w:id="241"/>
      <w:bookmarkStart w:id="242" w:name="_Toc184312093"/>
      <w:bookmarkEnd w:id="242"/>
      <w:bookmarkStart w:id="243" w:name="_Toc184308057"/>
      <w:bookmarkEnd w:id="243"/>
      <w:bookmarkStart w:id="244" w:name="_Toc184312124"/>
      <w:bookmarkEnd w:id="244"/>
      <w:bookmarkStart w:id="245" w:name="_Toc184314436"/>
      <w:bookmarkEnd w:id="245"/>
      <w:bookmarkStart w:id="246" w:name="_Toc184312086"/>
      <w:bookmarkEnd w:id="246"/>
      <w:bookmarkStart w:id="247" w:name="_Toc184310324"/>
      <w:bookmarkEnd w:id="247"/>
      <w:bookmarkStart w:id="248" w:name="_Toc184313240"/>
      <w:bookmarkEnd w:id="248"/>
      <w:bookmarkStart w:id="249" w:name="_Toc184314423"/>
      <w:bookmarkEnd w:id="249"/>
      <w:bookmarkStart w:id="250" w:name="_Toc184312116"/>
      <w:bookmarkEnd w:id="250"/>
      <w:bookmarkStart w:id="251" w:name="_Toc184310315"/>
      <w:bookmarkEnd w:id="251"/>
      <w:bookmarkStart w:id="252" w:name="_Toc184310293"/>
      <w:bookmarkEnd w:id="252"/>
      <w:bookmarkStart w:id="253" w:name="_Toc184312082"/>
      <w:bookmarkEnd w:id="253"/>
      <w:bookmarkStart w:id="254" w:name="_Toc184312114"/>
      <w:bookmarkEnd w:id="254"/>
      <w:bookmarkStart w:id="255" w:name="_Toc184314431"/>
      <w:bookmarkEnd w:id="255"/>
      <w:bookmarkStart w:id="256" w:name="_Toc184310289"/>
      <w:bookmarkEnd w:id="256"/>
      <w:bookmarkStart w:id="257" w:name="_Toc184313245"/>
      <w:bookmarkEnd w:id="257"/>
      <w:bookmarkStart w:id="258" w:name="_Toc184308093"/>
      <w:bookmarkEnd w:id="258"/>
      <w:bookmarkStart w:id="259" w:name="_Toc184313247"/>
      <w:bookmarkEnd w:id="259"/>
      <w:bookmarkStart w:id="260" w:name="_Toc184312074"/>
      <w:bookmarkEnd w:id="260"/>
      <w:bookmarkStart w:id="261" w:name="_Toc184312077"/>
      <w:bookmarkEnd w:id="261"/>
      <w:bookmarkStart w:id="262" w:name="_Toc184308077"/>
      <w:bookmarkEnd w:id="262"/>
      <w:bookmarkStart w:id="263" w:name="_Toc184310280"/>
      <w:bookmarkEnd w:id="263"/>
      <w:bookmarkStart w:id="264" w:name="_Toc184310292"/>
      <w:bookmarkEnd w:id="264"/>
      <w:bookmarkStart w:id="265" w:name="_Toc184310343"/>
      <w:bookmarkEnd w:id="265"/>
      <w:bookmarkStart w:id="266" w:name="_Toc184313252"/>
      <w:bookmarkEnd w:id="266"/>
      <w:bookmarkStart w:id="267" w:name="_Toc184314417"/>
      <w:bookmarkEnd w:id="267"/>
      <w:bookmarkStart w:id="268" w:name="_Toc184313250"/>
      <w:bookmarkEnd w:id="268"/>
      <w:bookmarkStart w:id="269" w:name="_Toc184314412"/>
      <w:bookmarkEnd w:id="269"/>
      <w:bookmarkStart w:id="270" w:name="_Toc184308082"/>
      <w:bookmarkEnd w:id="270"/>
      <w:bookmarkStart w:id="271" w:name="_Toc184308067"/>
      <w:bookmarkEnd w:id="271"/>
      <w:bookmarkStart w:id="272" w:name="_Toc184313262"/>
      <w:bookmarkEnd w:id="272"/>
      <w:bookmarkStart w:id="273" w:name="_Toc184312097"/>
      <w:bookmarkEnd w:id="273"/>
      <w:bookmarkStart w:id="274" w:name="_Toc184310340"/>
      <w:bookmarkEnd w:id="274"/>
      <w:bookmarkStart w:id="275" w:name="_Toc184308068"/>
      <w:bookmarkEnd w:id="275"/>
      <w:bookmarkStart w:id="276" w:name="_Toc184312069"/>
      <w:bookmarkEnd w:id="276"/>
      <w:bookmarkStart w:id="277" w:name="_Toc184310328"/>
      <w:bookmarkEnd w:id="277"/>
      <w:bookmarkStart w:id="278" w:name="_Toc184310294"/>
      <w:bookmarkEnd w:id="278"/>
      <w:bookmarkStart w:id="279" w:name="_Toc184312076"/>
      <w:bookmarkEnd w:id="279"/>
      <w:bookmarkStart w:id="280" w:name="_Toc184313299"/>
      <w:bookmarkEnd w:id="280"/>
      <w:bookmarkStart w:id="281" w:name="_Toc184313297"/>
      <w:bookmarkEnd w:id="281"/>
      <w:bookmarkStart w:id="282" w:name="_Toc184314450"/>
      <w:bookmarkEnd w:id="282"/>
      <w:bookmarkStart w:id="283" w:name="_Toc184312092"/>
      <w:bookmarkEnd w:id="283"/>
      <w:bookmarkStart w:id="284" w:name="_Toc184308061"/>
      <w:bookmarkEnd w:id="284"/>
      <w:bookmarkStart w:id="285" w:name="_Toc184312083"/>
      <w:bookmarkEnd w:id="285"/>
      <w:bookmarkStart w:id="286" w:name="_Toc184308047"/>
      <w:bookmarkEnd w:id="286"/>
      <w:bookmarkStart w:id="287" w:name="_Toc184312101"/>
      <w:bookmarkEnd w:id="287"/>
      <w:bookmarkStart w:id="288" w:name="_Toc184313287"/>
      <w:bookmarkEnd w:id="288"/>
      <w:bookmarkStart w:id="289" w:name="_Toc184308040"/>
      <w:bookmarkEnd w:id="289"/>
      <w:bookmarkStart w:id="290" w:name="_Toc184308104"/>
      <w:bookmarkEnd w:id="290"/>
      <w:bookmarkStart w:id="291" w:name="_Toc184308039"/>
      <w:bookmarkEnd w:id="291"/>
      <w:bookmarkStart w:id="292" w:name="_Toc184310339"/>
      <w:bookmarkEnd w:id="292"/>
      <w:bookmarkStart w:id="293" w:name="_Toc184312117"/>
      <w:bookmarkEnd w:id="293"/>
      <w:bookmarkStart w:id="294" w:name="_Toc184308079"/>
      <w:bookmarkEnd w:id="294"/>
      <w:bookmarkStart w:id="295" w:name="_Toc184314438"/>
      <w:bookmarkEnd w:id="295"/>
      <w:bookmarkStart w:id="296" w:name="_Toc184308069"/>
      <w:bookmarkEnd w:id="296"/>
      <w:bookmarkStart w:id="297" w:name="_Toc184308101"/>
      <w:bookmarkEnd w:id="297"/>
      <w:bookmarkStart w:id="298" w:name="_Toc184313296"/>
      <w:bookmarkEnd w:id="298"/>
      <w:bookmarkStart w:id="299" w:name="_Toc184310297"/>
      <w:bookmarkEnd w:id="299"/>
      <w:bookmarkStart w:id="300" w:name="_Toc184310321"/>
      <w:bookmarkEnd w:id="300"/>
      <w:bookmarkStart w:id="301" w:name="_Toc184312091"/>
      <w:bookmarkEnd w:id="301"/>
      <w:bookmarkStart w:id="302" w:name="_Toc184312088"/>
      <w:bookmarkEnd w:id="302"/>
      <w:bookmarkStart w:id="303" w:name="_Toc184313274"/>
      <w:bookmarkEnd w:id="303"/>
      <w:bookmarkStart w:id="304" w:name="_Toc184312118"/>
      <w:bookmarkEnd w:id="304"/>
      <w:bookmarkStart w:id="305" w:name="_Toc184312085"/>
      <w:bookmarkEnd w:id="305"/>
      <w:bookmarkStart w:id="306" w:name="_Toc184313279"/>
      <w:bookmarkEnd w:id="306"/>
      <w:bookmarkStart w:id="307" w:name="_Toc184308056"/>
      <w:bookmarkEnd w:id="307"/>
      <w:bookmarkStart w:id="308" w:name="_Toc184310284"/>
      <w:bookmarkEnd w:id="308"/>
      <w:bookmarkStart w:id="309" w:name="_Toc184308070"/>
      <w:bookmarkEnd w:id="309"/>
      <w:bookmarkStart w:id="310" w:name="_Toc184310279"/>
      <w:bookmarkEnd w:id="310"/>
      <w:bookmarkStart w:id="311" w:name="_Toc184313255"/>
      <w:bookmarkEnd w:id="311"/>
      <w:bookmarkStart w:id="312" w:name="_Toc184308064"/>
      <w:bookmarkEnd w:id="312"/>
      <w:bookmarkStart w:id="313" w:name="_Toc184313270"/>
      <w:bookmarkEnd w:id="313"/>
      <w:bookmarkStart w:id="314" w:name="_Toc184308041"/>
      <w:bookmarkEnd w:id="314"/>
      <w:bookmarkStart w:id="315" w:name="_Toc184312123"/>
      <w:bookmarkEnd w:id="315"/>
      <w:bookmarkStart w:id="316" w:name="_Toc184313254"/>
      <w:bookmarkEnd w:id="316"/>
      <w:bookmarkStart w:id="317" w:name="_Toc184310287"/>
      <w:bookmarkEnd w:id="317"/>
      <w:bookmarkStart w:id="318" w:name="_Toc184312096"/>
      <w:bookmarkEnd w:id="318"/>
      <w:bookmarkStart w:id="319" w:name="_Toc184308053"/>
      <w:bookmarkEnd w:id="319"/>
      <w:bookmarkStart w:id="320" w:name="_Toc184308048"/>
      <w:bookmarkEnd w:id="320"/>
      <w:bookmarkStart w:id="321" w:name="_Toc184308100"/>
      <w:bookmarkEnd w:id="321"/>
      <w:bookmarkStart w:id="322" w:name="_Toc184308099"/>
      <w:bookmarkEnd w:id="322"/>
      <w:bookmarkStart w:id="323" w:name="_Toc184314420"/>
      <w:bookmarkEnd w:id="323"/>
      <w:bookmarkStart w:id="324" w:name="_Toc184308055"/>
      <w:bookmarkEnd w:id="324"/>
      <w:bookmarkStart w:id="325" w:name="_Toc184310333"/>
      <w:bookmarkEnd w:id="325"/>
      <w:bookmarkStart w:id="326" w:name="_Toc184308095"/>
      <w:bookmarkEnd w:id="326"/>
      <w:bookmarkStart w:id="327" w:name="_Toc184308097"/>
      <w:bookmarkEnd w:id="327"/>
      <w:bookmarkStart w:id="328" w:name="_Toc184308073"/>
      <w:bookmarkEnd w:id="328"/>
      <w:bookmarkStart w:id="329" w:name="_Toc184308105"/>
      <w:bookmarkEnd w:id="329"/>
      <w:bookmarkStart w:id="330" w:name="_Toc184308083"/>
      <w:bookmarkEnd w:id="330"/>
      <w:bookmarkStart w:id="331" w:name="_Toc184313243"/>
      <w:bookmarkEnd w:id="331"/>
      <w:bookmarkStart w:id="332" w:name="_Toc184308038"/>
      <w:bookmarkEnd w:id="332"/>
      <w:bookmarkStart w:id="333" w:name="_Toc184308092"/>
      <w:bookmarkEnd w:id="333"/>
      <w:bookmarkStart w:id="334" w:name="_Toc184310327"/>
      <w:bookmarkEnd w:id="334"/>
      <w:bookmarkStart w:id="335" w:name="_Toc184312078"/>
      <w:bookmarkEnd w:id="335"/>
      <w:bookmarkStart w:id="336" w:name="_Toc184308090"/>
      <w:bookmarkEnd w:id="336"/>
      <w:bookmarkStart w:id="337" w:name="_Toc184310344"/>
      <w:bookmarkEnd w:id="337"/>
      <w:bookmarkStart w:id="338" w:name="_Toc184310290"/>
      <w:bookmarkEnd w:id="338"/>
      <w:bookmarkStart w:id="339" w:name="_Toc184313288"/>
      <w:bookmarkEnd w:id="339"/>
      <w:bookmarkStart w:id="340" w:name="_Toc184313309"/>
      <w:bookmarkEnd w:id="340"/>
      <w:bookmarkStart w:id="341" w:name="_Toc184312071"/>
      <w:bookmarkEnd w:id="341"/>
      <w:bookmarkStart w:id="342" w:name="_Toc184308086"/>
      <w:bookmarkEnd w:id="342"/>
      <w:bookmarkStart w:id="343" w:name="_Toc184312122"/>
      <w:bookmarkEnd w:id="343"/>
      <w:bookmarkStart w:id="344" w:name="_Toc184314444"/>
      <w:bookmarkEnd w:id="344"/>
      <w:bookmarkStart w:id="345" w:name="_Toc184312110"/>
      <w:bookmarkEnd w:id="345"/>
      <w:bookmarkStart w:id="346" w:name="_Toc184312112"/>
      <w:bookmarkEnd w:id="346"/>
      <w:bookmarkStart w:id="347" w:name="_Toc184313239"/>
      <w:bookmarkEnd w:id="347"/>
      <w:bookmarkStart w:id="348" w:name="_Toc184312131"/>
      <w:bookmarkEnd w:id="348"/>
      <w:bookmarkStart w:id="349" w:name="_Toc184310300"/>
      <w:bookmarkEnd w:id="349"/>
      <w:bookmarkStart w:id="350" w:name="_Toc184312133"/>
      <w:bookmarkEnd w:id="350"/>
      <w:bookmarkStart w:id="351" w:name="_Toc184308098"/>
      <w:bookmarkEnd w:id="351"/>
      <w:bookmarkStart w:id="352" w:name="_Toc184308063"/>
      <w:bookmarkEnd w:id="352"/>
      <w:bookmarkStart w:id="353" w:name="_Toc184314418"/>
      <w:bookmarkEnd w:id="353"/>
      <w:bookmarkStart w:id="354" w:name="_Toc184308037"/>
      <w:bookmarkEnd w:id="354"/>
      <w:bookmarkStart w:id="355" w:name="_Toc184313282"/>
      <w:bookmarkEnd w:id="355"/>
      <w:bookmarkStart w:id="356" w:name="_Toc184308071"/>
      <w:bookmarkEnd w:id="356"/>
      <w:bookmarkStart w:id="357" w:name="_Toc184312084"/>
      <w:bookmarkEnd w:id="357"/>
      <w:bookmarkStart w:id="358" w:name="_Toc184312079"/>
      <w:bookmarkEnd w:id="358"/>
      <w:bookmarkStart w:id="359" w:name="_Toc184314463"/>
      <w:bookmarkEnd w:id="359"/>
      <w:bookmarkStart w:id="360" w:name="_Toc184312119"/>
      <w:bookmarkEnd w:id="360"/>
      <w:bookmarkStart w:id="361" w:name="_Toc184314473"/>
      <w:bookmarkEnd w:id="361"/>
      <w:bookmarkStart w:id="362" w:name="_Toc184308074"/>
      <w:bookmarkEnd w:id="362"/>
      <w:bookmarkStart w:id="363" w:name="_Toc184313258"/>
      <w:bookmarkEnd w:id="363"/>
      <w:bookmarkStart w:id="364" w:name="_Toc184312089"/>
      <w:bookmarkEnd w:id="364"/>
      <w:bookmarkStart w:id="365" w:name="_Toc184312121"/>
      <w:bookmarkEnd w:id="365"/>
      <w:bookmarkStart w:id="366" w:name="_Toc184314457"/>
      <w:bookmarkEnd w:id="366"/>
      <w:bookmarkStart w:id="367" w:name="_Toc184308091"/>
      <w:bookmarkEnd w:id="367"/>
      <w:bookmarkStart w:id="368" w:name="_Toc184313290"/>
      <w:bookmarkEnd w:id="368"/>
      <w:bookmarkStart w:id="369" w:name="_Toc184314415"/>
      <w:bookmarkEnd w:id="369"/>
      <w:bookmarkStart w:id="370" w:name="_Toc184313293"/>
      <w:bookmarkEnd w:id="370"/>
      <w:bookmarkStart w:id="371" w:name="_Toc184314452"/>
      <w:bookmarkEnd w:id="371"/>
      <w:bookmarkStart w:id="372" w:name="_Toc184314429"/>
      <w:bookmarkEnd w:id="372"/>
      <w:bookmarkStart w:id="373" w:name="_Toc184313264"/>
      <w:bookmarkEnd w:id="373"/>
      <w:bookmarkStart w:id="374" w:name="_Toc184310303"/>
      <w:bookmarkEnd w:id="374"/>
      <w:bookmarkStart w:id="375" w:name="_Toc184314470"/>
      <w:bookmarkEnd w:id="375"/>
      <w:bookmarkStart w:id="376" w:name="_Toc184308072"/>
      <w:bookmarkEnd w:id="376"/>
      <w:bookmarkStart w:id="377" w:name="_Toc184313238"/>
      <w:bookmarkEnd w:id="377"/>
      <w:bookmarkStart w:id="378" w:name="_Toc184308096"/>
      <w:bookmarkEnd w:id="378"/>
      <w:bookmarkStart w:id="379" w:name="_Toc184313246"/>
      <w:bookmarkEnd w:id="379"/>
      <w:bookmarkStart w:id="380" w:name="_Toc184310338"/>
      <w:bookmarkEnd w:id="380"/>
      <w:bookmarkStart w:id="381" w:name="_Toc184312129"/>
      <w:bookmarkEnd w:id="381"/>
      <w:bookmarkStart w:id="382" w:name="_Toc184314428"/>
      <w:bookmarkEnd w:id="382"/>
      <w:bookmarkStart w:id="383" w:name="_Toc184310316"/>
      <w:bookmarkEnd w:id="383"/>
      <w:bookmarkStart w:id="384" w:name="_Toc184313265"/>
      <w:bookmarkEnd w:id="384"/>
      <w:bookmarkStart w:id="385" w:name="_Toc184312103"/>
      <w:bookmarkEnd w:id="385"/>
      <w:bookmarkStart w:id="386" w:name="_Toc184313310"/>
      <w:bookmarkEnd w:id="386"/>
      <w:bookmarkStart w:id="387" w:name="_Toc184312090"/>
      <w:bookmarkEnd w:id="387"/>
      <w:bookmarkStart w:id="388" w:name="_Toc184314456"/>
      <w:bookmarkEnd w:id="388"/>
      <w:bookmarkStart w:id="389" w:name="_Toc184314462"/>
      <w:bookmarkEnd w:id="389"/>
      <w:bookmarkStart w:id="390" w:name="_Toc184310342"/>
      <w:bookmarkEnd w:id="390"/>
      <w:bookmarkStart w:id="391" w:name="_Toc184314419"/>
      <w:bookmarkEnd w:id="391"/>
      <w:bookmarkStart w:id="392" w:name="_Toc184314430"/>
      <w:bookmarkEnd w:id="392"/>
      <w:bookmarkStart w:id="393" w:name="_Toc184310275"/>
      <w:bookmarkEnd w:id="393"/>
      <w:bookmarkStart w:id="394" w:name="_Toc184314459"/>
      <w:bookmarkEnd w:id="394"/>
      <w:bookmarkStart w:id="395" w:name="_Toc184313286"/>
      <w:bookmarkEnd w:id="395"/>
      <w:bookmarkStart w:id="396" w:name="_Toc184310296"/>
      <w:bookmarkEnd w:id="396"/>
      <w:bookmarkStart w:id="397" w:name="_Toc184308062"/>
      <w:bookmarkEnd w:id="397"/>
      <w:bookmarkStart w:id="398" w:name="_Toc184308046"/>
      <w:bookmarkEnd w:id="398"/>
      <w:bookmarkStart w:id="399" w:name="_Toc184310306"/>
      <w:bookmarkEnd w:id="399"/>
      <w:bookmarkStart w:id="400" w:name="_Toc184312130"/>
      <w:bookmarkEnd w:id="400"/>
      <w:bookmarkStart w:id="401" w:name="_Toc184313300"/>
      <w:bookmarkEnd w:id="401"/>
      <w:bookmarkStart w:id="402" w:name="_Toc184308059"/>
      <w:bookmarkEnd w:id="402"/>
      <w:bookmarkStart w:id="403" w:name="_Toc184314413"/>
      <w:bookmarkEnd w:id="403"/>
      <w:bookmarkStart w:id="404" w:name="_Toc184310335"/>
      <w:bookmarkEnd w:id="404"/>
      <w:r>
        <w:rPr>
          <w:rFonts w:hint="eastAsia" w:ascii="仿宋" w:hAnsi="仿宋" w:eastAsia="仿宋" w:cs="仿宋"/>
          <w:b/>
          <w:color w:val="auto"/>
          <w:sz w:val="36"/>
          <w:szCs w:val="36"/>
          <w:highlight w:val="none"/>
        </w:rPr>
        <w:t>交易办法</w:t>
      </w:r>
    </w:p>
    <w:p w14:paraId="00ECB917">
      <w:pPr>
        <w:pStyle w:val="60"/>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1、商务技术评分表（70分）</w:t>
      </w:r>
    </w:p>
    <w:p w14:paraId="383610EB">
      <w:pPr>
        <w:pStyle w:val="639"/>
        <w:snapToGrid w:val="0"/>
        <w:ind w:firstLine="0" w:firstLineChars="0"/>
        <w:rPr>
          <w:rFonts w:ascii="仿宋" w:hAnsi="仿宋" w:eastAsia="仿宋" w:cs="仿宋"/>
          <w:b/>
          <w:color w:val="auto"/>
          <w:kern w:val="0"/>
          <w:sz w:val="24"/>
          <w:szCs w:val="24"/>
          <w:highlight w:val="none"/>
          <w:lang w:val="en-GB"/>
        </w:rPr>
      </w:pPr>
    </w:p>
    <w:tbl>
      <w:tblPr>
        <w:tblStyle w:val="61"/>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633"/>
        <w:gridCol w:w="675"/>
        <w:gridCol w:w="863"/>
        <w:gridCol w:w="1075"/>
      </w:tblGrid>
      <w:tr w14:paraId="6054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861" w:type="dxa"/>
            <w:vAlign w:val="center"/>
          </w:tcPr>
          <w:p w14:paraId="3B4D9C4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5633" w:type="dxa"/>
            <w:vAlign w:val="center"/>
          </w:tcPr>
          <w:p w14:paraId="21B4BD6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评标标准</w:t>
            </w:r>
          </w:p>
        </w:tc>
        <w:tc>
          <w:tcPr>
            <w:tcW w:w="675" w:type="dxa"/>
            <w:vAlign w:val="center"/>
          </w:tcPr>
          <w:p w14:paraId="09F1E75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最高</w:t>
            </w:r>
          </w:p>
          <w:p w14:paraId="24EE1FD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分值</w:t>
            </w:r>
          </w:p>
        </w:tc>
        <w:tc>
          <w:tcPr>
            <w:tcW w:w="863" w:type="dxa"/>
            <w:vAlign w:val="center"/>
          </w:tcPr>
          <w:p w14:paraId="510ED36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p w14:paraId="22B8E6CA">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客观分属性</w:t>
            </w:r>
          </w:p>
        </w:tc>
        <w:tc>
          <w:tcPr>
            <w:tcW w:w="1075" w:type="dxa"/>
          </w:tcPr>
          <w:p w14:paraId="459A38B5">
            <w:pPr>
              <w:snapToGrid w:val="0"/>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75A8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861" w:type="dxa"/>
            <w:vAlign w:val="center"/>
          </w:tcPr>
          <w:p w14:paraId="763B0F94">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5633" w:type="dxa"/>
            <w:vAlign w:val="top"/>
          </w:tcPr>
          <w:p w14:paraId="48AD417E">
            <w:pPr>
              <w:rPr>
                <w:rFonts w:hint="eastAsia" w:ascii="宋体" w:hAnsi="宋体" w:cs="宋体"/>
                <w:color w:val="auto"/>
                <w:sz w:val="24"/>
                <w:highlight w:val="none"/>
              </w:rPr>
            </w:pPr>
            <w:r>
              <w:rPr>
                <w:rFonts w:hint="eastAsia" w:ascii="宋体" w:hAnsi="宋体" w:cs="宋体"/>
                <w:color w:val="auto"/>
                <w:sz w:val="24"/>
                <w:highlight w:val="none"/>
              </w:rPr>
              <w:t>投标人自2022年1月1日（含）以来（以合同签订时间为准）承担过类似项目。须同时提供合同扫描件、合格验收报告相关证明材料。每提供一个成功案例得1分，最高得2分。</w:t>
            </w:r>
          </w:p>
        </w:tc>
        <w:tc>
          <w:tcPr>
            <w:tcW w:w="675" w:type="dxa"/>
            <w:vAlign w:val="center"/>
          </w:tcPr>
          <w:p w14:paraId="3D4C2C55">
            <w:pPr>
              <w:adjustRightInd/>
              <w:spacing w:line="312"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2</w:t>
            </w:r>
          </w:p>
        </w:tc>
        <w:tc>
          <w:tcPr>
            <w:tcW w:w="863" w:type="dxa"/>
            <w:vAlign w:val="center"/>
          </w:tcPr>
          <w:p w14:paraId="6EC2D27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1075" w:type="dxa"/>
            <w:vAlign w:val="center"/>
          </w:tcPr>
          <w:p w14:paraId="7E206F2C">
            <w:pPr>
              <w:adjustRightInd/>
              <w:spacing w:line="312" w:lineRule="auto"/>
              <w:jc w:val="center"/>
              <w:rPr>
                <w:rFonts w:hint="eastAsia" w:ascii="宋体" w:hAnsi="宋体" w:cs="宋体"/>
                <w:bCs/>
                <w:color w:val="auto"/>
                <w:sz w:val="24"/>
                <w:highlight w:val="none"/>
              </w:rPr>
            </w:pPr>
            <w:r>
              <w:rPr>
                <w:rFonts w:hint="eastAsia" w:ascii="宋体" w:hAnsi="宋体" w:cs="宋体"/>
                <w:color w:val="auto"/>
                <w:sz w:val="24"/>
                <w:highlight w:val="none"/>
              </w:rPr>
              <w:t>类似项目实施业绩</w:t>
            </w:r>
          </w:p>
        </w:tc>
      </w:tr>
      <w:tr w14:paraId="5C6E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861" w:type="dxa"/>
            <w:vAlign w:val="center"/>
          </w:tcPr>
          <w:p w14:paraId="1BE0854C">
            <w:pPr>
              <w:adjustRightInd/>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2</w:t>
            </w:r>
          </w:p>
        </w:tc>
        <w:tc>
          <w:tcPr>
            <w:tcW w:w="5633" w:type="dxa"/>
            <w:vAlign w:val="center"/>
          </w:tcPr>
          <w:p w14:paraId="1A951D29">
            <w:pPr>
              <w:spacing w:line="240" w:lineRule="auto"/>
              <w:rPr>
                <w:rFonts w:hint="eastAsia" w:ascii="宋体" w:hAnsi="宋体" w:cs="宋体"/>
                <w:color w:val="auto"/>
                <w:sz w:val="24"/>
                <w:highlight w:val="none"/>
              </w:rPr>
            </w:pPr>
            <w:r>
              <w:rPr>
                <w:rFonts w:hint="eastAsia" w:ascii="宋体" w:hAnsi="宋体" w:cs="宋体"/>
                <w:color w:val="auto"/>
                <w:sz w:val="24"/>
                <w:highlight w:val="none"/>
              </w:rPr>
              <w:t>1、投标人具有有效期内的中国环境标志产品认证证书，认证单元产品需包含：礼堂椅。提供符合的得2分，不提供不得分。</w:t>
            </w:r>
          </w:p>
          <w:p w14:paraId="5A957979">
            <w:pPr>
              <w:spacing w:line="240" w:lineRule="auto"/>
              <w:rPr>
                <w:rFonts w:hint="eastAsia" w:ascii="宋体" w:hAnsi="宋体" w:cs="宋体"/>
                <w:color w:val="auto"/>
                <w:sz w:val="24"/>
                <w:highlight w:val="none"/>
              </w:rPr>
            </w:pPr>
            <w:r>
              <w:rPr>
                <w:rFonts w:hint="eastAsia" w:ascii="宋体" w:hAnsi="宋体" w:cs="宋体"/>
                <w:color w:val="auto"/>
                <w:sz w:val="24"/>
                <w:highlight w:val="none"/>
              </w:rPr>
              <w:t>2、投标人具有有效期内的家具耐久性认证证书，认证产品包含：椅凳类。提供符合的得2分，不提供不得分。</w:t>
            </w:r>
          </w:p>
          <w:p w14:paraId="7E76FFD1">
            <w:pPr>
              <w:spacing w:line="240" w:lineRule="auto"/>
              <w:rPr>
                <w:rFonts w:hint="eastAsia" w:ascii="宋体" w:hAnsi="宋体" w:cs="宋体"/>
                <w:color w:val="auto"/>
                <w:sz w:val="24"/>
                <w:highlight w:val="none"/>
              </w:rPr>
            </w:pPr>
            <w:r>
              <w:rPr>
                <w:rFonts w:hint="eastAsia" w:ascii="宋体" w:hAnsi="宋体" w:cs="宋体"/>
                <w:color w:val="auto"/>
                <w:sz w:val="24"/>
                <w:highlight w:val="none"/>
              </w:rPr>
              <w:t>3、投标人具有有效期内的家具卫生安全证书，认证单元包含：布艺软体家具（椅类）。提供符合的得2分，不提供不得分。</w:t>
            </w:r>
          </w:p>
          <w:p w14:paraId="7FAA1DAA">
            <w:pPr>
              <w:spacing w:line="240" w:lineRule="auto"/>
              <w:rPr>
                <w:rFonts w:hint="eastAsia" w:ascii="宋体" w:hAnsi="宋体" w:cs="宋体"/>
                <w:color w:val="auto"/>
                <w:sz w:val="24"/>
                <w:highlight w:val="none"/>
              </w:rPr>
            </w:pPr>
            <w:r>
              <w:rPr>
                <w:rFonts w:hint="eastAsia" w:ascii="宋体" w:hAnsi="宋体" w:cs="宋体"/>
                <w:color w:val="auto"/>
                <w:sz w:val="24"/>
                <w:highlight w:val="none"/>
              </w:rPr>
              <w:t>4、投标人具有有效期内的家具阻燃等级认证证书，认证产品包含：软体家具。提供符合的得2分，不提供不得分。</w:t>
            </w:r>
          </w:p>
          <w:p w14:paraId="34645D85">
            <w:pPr>
              <w:spacing w:line="240" w:lineRule="auto"/>
              <w:rPr>
                <w:rFonts w:hint="eastAsia" w:ascii="宋体" w:hAnsi="宋体" w:cs="宋体"/>
                <w:color w:val="auto"/>
                <w:sz w:val="24"/>
                <w:highlight w:val="none"/>
              </w:rPr>
            </w:pPr>
            <w:r>
              <w:rPr>
                <w:rFonts w:hint="eastAsia" w:ascii="宋体" w:hAnsi="宋体" w:cs="宋体"/>
                <w:b/>
                <w:bCs/>
                <w:color w:val="auto"/>
                <w:sz w:val="24"/>
                <w:highlight w:val="none"/>
              </w:rPr>
              <w:t>（投标文件中提供证书复印件及国家认监委网站（www.cnca.gov.cn）查询截图加盖投标人公章，否则不得分）。</w:t>
            </w:r>
          </w:p>
        </w:tc>
        <w:tc>
          <w:tcPr>
            <w:tcW w:w="675" w:type="dxa"/>
            <w:vAlign w:val="center"/>
          </w:tcPr>
          <w:p w14:paraId="05A74508">
            <w:pPr>
              <w:adjustRightInd/>
              <w:spacing w:line="312"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8</w:t>
            </w:r>
          </w:p>
        </w:tc>
        <w:tc>
          <w:tcPr>
            <w:tcW w:w="863" w:type="dxa"/>
            <w:vAlign w:val="center"/>
          </w:tcPr>
          <w:p w14:paraId="74633C4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1075" w:type="dxa"/>
            <w:vAlign w:val="center"/>
          </w:tcPr>
          <w:p w14:paraId="26D4F415">
            <w:pPr>
              <w:adjustRightInd/>
              <w:spacing w:line="312" w:lineRule="auto"/>
              <w:jc w:val="center"/>
              <w:rPr>
                <w:rFonts w:hint="eastAsia" w:ascii="宋体" w:hAnsi="宋体" w:cs="宋体"/>
                <w:bCs/>
                <w:color w:val="auto"/>
                <w:sz w:val="24"/>
                <w:highlight w:val="none"/>
              </w:rPr>
            </w:pPr>
            <w:r>
              <w:rPr>
                <w:rFonts w:hint="eastAsia" w:ascii="宋体" w:hAnsi="宋体" w:cs="宋体"/>
                <w:color w:val="auto"/>
                <w:sz w:val="24"/>
                <w:highlight w:val="none"/>
              </w:rPr>
              <w:t>认证证书</w:t>
            </w:r>
          </w:p>
        </w:tc>
      </w:tr>
      <w:tr w14:paraId="2DEE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vAlign w:val="center"/>
          </w:tcPr>
          <w:p w14:paraId="583C5E8E">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633" w:type="dxa"/>
            <w:vAlign w:val="center"/>
          </w:tcPr>
          <w:p w14:paraId="125A8C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1、投标人具有有效期内的质量管理体系认证证书, 且证书覆盖范围应至少包含：座椅家具、公共场所用家具的设计开发、生产（组装）、销售、售后服务（安装、维修），证书内容提供齐全得1分，缺项不得分。</w:t>
            </w:r>
          </w:p>
          <w:p w14:paraId="788A95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2、投标人具有有效期内的环境管理体系认证证书, 且证书覆盖范围应至少包含：座椅家具、公共场所用家具的设计开发、生产（组装）、销售、售后服务（安装、维修），证书内容提供齐全得1分，缺项不得分。</w:t>
            </w:r>
          </w:p>
          <w:p w14:paraId="515A37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3、投标人具有有效期内的职业健康安全管理体系认证证书, 且证书覆盖范围应至少包含：座椅家具、公共场所用家具的设计开发、生产（组装）、销售、售后服务（安装、维修），证书内容提供齐全得1分，缺项不得分。</w:t>
            </w:r>
          </w:p>
          <w:p w14:paraId="3ACE678C">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（投标文件中提供证书复印件及国家认监委网站（www.cnca.gov.cn）查询截图加盖投标人公章，否则不得分）。</w:t>
            </w:r>
          </w:p>
        </w:tc>
        <w:tc>
          <w:tcPr>
            <w:tcW w:w="675" w:type="dxa"/>
            <w:vAlign w:val="center"/>
          </w:tcPr>
          <w:p w14:paraId="6E78F825">
            <w:pPr>
              <w:adjustRightInd/>
              <w:spacing w:line="312"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3</w:t>
            </w:r>
          </w:p>
        </w:tc>
        <w:tc>
          <w:tcPr>
            <w:tcW w:w="863" w:type="dxa"/>
            <w:vAlign w:val="center"/>
          </w:tcPr>
          <w:p w14:paraId="02167BDB">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1075" w:type="dxa"/>
            <w:vAlign w:val="center"/>
          </w:tcPr>
          <w:p w14:paraId="65675232">
            <w:pPr>
              <w:adjustRightInd/>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rPr>
              <w:t>体系认证证书</w:t>
            </w:r>
          </w:p>
        </w:tc>
      </w:tr>
      <w:tr w14:paraId="3D7E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vAlign w:val="center"/>
          </w:tcPr>
          <w:p w14:paraId="488EF3DB">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633" w:type="dxa"/>
            <w:vAlign w:val="center"/>
          </w:tcPr>
          <w:p w14:paraId="67C70330">
            <w:pPr>
              <w:spacing w:line="240" w:lineRule="auto"/>
              <w:rPr>
                <w:rFonts w:hint="eastAsia" w:cs="宋体"/>
                <w:color w:val="auto"/>
                <w:highlight w:val="none"/>
              </w:rPr>
            </w:pPr>
            <w:r>
              <w:rPr>
                <w:rFonts w:hint="eastAsia" w:ascii="宋体" w:hAnsi="宋体" w:cs="宋体"/>
                <w:color w:val="auto"/>
                <w:sz w:val="24"/>
                <w:highlight w:val="none"/>
              </w:rPr>
              <w:t>所有指标均满足采购文件技术参数等要求的，得基本分5分。其它指标负偏离或未响应的，每项扣1分，扣完为止。</w:t>
            </w:r>
          </w:p>
        </w:tc>
        <w:tc>
          <w:tcPr>
            <w:tcW w:w="675" w:type="dxa"/>
            <w:vAlign w:val="center"/>
          </w:tcPr>
          <w:p w14:paraId="7A843CA1">
            <w:pPr>
              <w:adjustRightInd/>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863" w:type="dxa"/>
            <w:vAlign w:val="center"/>
          </w:tcPr>
          <w:p w14:paraId="595689FF">
            <w:pPr>
              <w:snapToGrid w:val="0"/>
              <w:jc w:val="center"/>
              <w:rPr>
                <w:rFonts w:hint="eastAsia" w:ascii="宋体" w:hAnsi="宋体" w:cs="宋体"/>
                <w:bCs/>
                <w:color w:val="auto"/>
                <w:sz w:val="24"/>
                <w:highlight w:val="none"/>
              </w:rPr>
            </w:pPr>
          </w:p>
          <w:p w14:paraId="0A747C2D">
            <w:pPr>
              <w:snapToGrid w:val="0"/>
              <w:jc w:val="both"/>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1075" w:type="dxa"/>
            <w:vAlign w:val="center"/>
          </w:tcPr>
          <w:p w14:paraId="3A8A1F9B">
            <w:pPr>
              <w:adjustRightInd/>
              <w:jc w:val="center"/>
              <w:rPr>
                <w:rFonts w:hint="eastAsia" w:ascii="宋体" w:hAnsi="宋体" w:cs="宋体"/>
                <w:color w:val="auto"/>
                <w:sz w:val="24"/>
                <w:highlight w:val="none"/>
              </w:rPr>
            </w:pPr>
            <w:r>
              <w:rPr>
                <w:rFonts w:hint="eastAsia" w:ascii="宋体" w:hAnsi="宋体" w:cs="宋体"/>
                <w:color w:val="auto"/>
                <w:sz w:val="24"/>
                <w:highlight w:val="none"/>
              </w:rPr>
              <w:t>技术参数分</w:t>
            </w:r>
          </w:p>
        </w:tc>
      </w:tr>
      <w:tr w14:paraId="34A0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6EFC00AC">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5633" w:type="dxa"/>
          </w:tcPr>
          <w:p w14:paraId="2FEACA69">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成品检测报告：提供本项目自2022年1月1日以后具备CMA检测资质的第三方检测机构出具的成品抽样检验或委托抽样检测报告：</w:t>
            </w:r>
          </w:p>
          <w:p w14:paraId="245EEAB2">
            <w:pPr>
              <w:numPr>
                <w:ilvl w:val="0"/>
                <w:numId w:val="12"/>
              </w:num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礼堂椅：检测依据</w:t>
            </w:r>
          </w:p>
          <w:p w14:paraId="0211C1A6">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①QB/T 2602-2013，检测项目包含外观、结构、用料、理化性能、力学性能；检测报告完全符合得1分，项目缺少不得分。</w:t>
            </w:r>
          </w:p>
          <w:p w14:paraId="418D4F67">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②GB/T 38794-2020，</w:t>
            </w:r>
            <w:r>
              <w:rPr>
                <w:rFonts w:hint="eastAsia" w:ascii="宋体" w:hAnsi="宋体" w:cs="宋体"/>
                <w:color w:val="auto"/>
                <w:sz w:val="24"/>
                <w:highlight w:val="none"/>
              </w:rPr>
              <w:t>检测项目包含甲醛释放量，甲醛释放量≤0.05mg/m</w:t>
            </w:r>
            <w:r>
              <w:rPr>
                <w:rFonts w:hint="eastAsia" w:ascii="宋体" w:hAnsi="宋体" w:cs="宋体"/>
                <w:color w:val="auto"/>
                <w:sz w:val="24"/>
                <w:highlight w:val="none"/>
                <w:vertAlign w:val="superscript"/>
              </w:rPr>
              <w:t>3</w:t>
            </w:r>
            <w:r>
              <w:rPr>
                <w:rFonts w:hint="eastAsia" w:ascii="宋体" w:hAnsi="宋体" w:cs="宋体"/>
                <w:color w:val="auto"/>
                <w:sz w:val="24"/>
                <w:highlight w:val="none"/>
              </w:rPr>
              <w:t>；</w:t>
            </w:r>
            <w:r>
              <w:rPr>
                <w:rFonts w:hint="eastAsia" w:ascii="宋体" w:hAnsi="宋体" w:cs="宋体"/>
                <w:color w:val="auto"/>
                <w:sz w:val="24"/>
                <w:highlight w:val="none"/>
              </w:rPr>
              <w:t>检测报告完全符合得1分，项目缺少不得分。</w:t>
            </w:r>
          </w:p>
          <w:p w14:paraId="30345C74">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③</w:t>
            </w:r>
            <w:r>
              <w:rPr>
                <w:rFonts w:hint="eastAsia" w:ascii="宋体" w:hAnsi="宋体" w:cs="宋体"/>
                <w:color w:val="auto"/>
                <w:sz w:val="24"/>
                <w:highlight w:val="none"/>
              </w:rPr>
              <w:t>GB/T 31762-2015，检测项目包含苯酚，检测结果为未检出；检测报告完全符合得1分，项目缺少不得分。</w:t>
            </w:r>
          </w:p>
          <w:p w14:paraId="05E52DD7">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④GB/T 27717-2011，检测项目包含</w:t>
            </w:r>
            <w:r>
              <w:rPr>
                <w:rFonts w:hint="eastAsia" w:ascii="宋体" w:hAnsi="宋体" w:cs="宋体"/>
                <w:color w:val="auto"/>
                <w:sz w:val="24"/>
                <w:highlight w:val="none"/>
              </w:rPr>
              <w:t>富马酸二甲酯，检测结果为未检出；</w:t>
            </w:r>
            <w:r>
              <w:rPr>
                <w:rFonts w:hint="eastAsia" w:ascii="宋体" w:hAnsi="宋体" w:cs="宋体"/>
                <w:color w:val="auto"/>
                <w:sz w:val="24"/>
                <w:highlight w:val="none"/>
              </w:rPr>
              <w:t>检测报告完全符合得1分，项目缺少不得分。</w:t>
            </w:r>
          </w:p>
          <w:p w14:paraId="5EE2B2A3">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⑤</w:t>
            </w:r>
            <w:r>
              <w:rPr>
                <w:rFonts w:hint="eastAsia" w:ascii="宋体" w:hAnsi="宋体" w:cs="宋体"/>
                <w:color w:val="auto"/>
                <w:sz w:val="24"/>
                <w:highlight w:val="none"/>
              </w:rPr>
              <w:t>GB/T 36021-2018，检测项目包含</w:t>
            </w:r>
            <w:r>
              <w:rPr>
                <w:rFonts w:hint="eastAsia" w:ascii="宋体" w:hAnsi="宋体" w:cs="宋体"/>
                <w:color w:val="auto"/>
                <w:sz w:val="24"/>
                <w:highlight w:val="none"/>
              </w:rPr>
              <w:t>重金属锑、砷、钡、硒、六价铬，检测结果为未检出；</w:t>
            </w:r>
            <w:r>
              <w:rPr>
                <w:rFonts w:hint="eastAsia" w:ascii="宋体" w:hAnsi="宋体" w:cs="宋体"/>
                <w:color w:val="auto"/>
                <w:sz w:val="24"/>
                <w:highlight w:val="none"/>
              </w:rPr>
              <w:t>检测报告完全符合得1分，项目缺少不得分。</w:t>
            </w:r>
          </w:p>
          <w:p w14:paraId="2C0C5686">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⑥</w:t>
            </w:r>
            <w:r>
              <w:rPr>
                <w:rFonts w:hint="eastAsia" w:ascii="宋体" w:hAnsi="宋体" w:cs="宋体"/>
                <w:color w:val="auto"/>
                <w:sz w:val="24"/>
                <w:highlight w:val="none"/>
              </w:rPr>
              <w:t>GB/T 40907-2021，检测项目包含</w:t>
            </w:r>
            <w:r>
              <w:rPr>
                <w:rFonts w:hint="eastAsia" w:ascii="宋体" w:hAnsi="宋体" w:cs="宋体"/>
                <w:color w:val="auto"/>
                <w:sz w:val="24"/>
                <w:highlight w:val="none"/>
              </w:rPr>
              <w:t>2,4-二氨基甲苯、4,4'-二氨基二苯甲烷，检测结果为未检出；</w:t>
            </w:r>
            <w:r>
              <w:rPr>
                <w:rFonts w:hint="eastAsia" w:ascii="宋体" w:hAnsi="宋体" w:cs="宋体"/>
                <w:color w:val="auto"/>
                <w:sz w:val="24"/>
                <w:highlight w:val="none"/>
              </w:rPr>
              <w:t>检测报告完全符合得1分，项目缺少不得分。</w:t>
            </w:r>
          </w:p>
          <w:p w14:paraId="0D6CC19F">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⑦</w:t>
            </w:r>
            <w:r>
              <w:rPr>
                <w:rFonts w:hint="eastAsia" w:ascii="宋体" w:hAnsi="宋体" w:cs="宋体"/>
                <w:color w:val="auto"/>
                <w:sz w:val="24"/>
                <w:highlight w:val="none"/>
              </w:rPr>
              <w:t>GB/T 40906-2021，检测项目包含</w:t>
            </w:r>
            <w:r>
              <w:rPr>
                <w:rFonts w:hint="eastAsia" w:ascii="宋体" w:hAnsi="宋体" w:cs="宋体"/>
                <w:color w:val="auto"/>
                <w:sz w:val="24"/>
                <w:highlight w:val="none"/>
              </w:rPr>
              <w:t>邻苯二甲酸酯，检测结果为未检出；</w:t>
            </w:r>
            <w:r>
              <w:rPr>
                <w:rFonts w:hint="eastAsia" w:ascii="宋体" w:hAnsi="宋体" w:cs="宋体"/>
                <w:color w:val="auto"/>
                <w:sz w:val="24"/>
                <w:highlight w:val="none"/>
              </w:rPr>
              <w:t>检测报告完全符合得1分，项目缺少不得分。</w:t>
            </w:r>
          </w:p>
          <w:p w14:paraId="774A36B9">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⑧</w:t>
            </w:r>
            <w:r>
              <w:rPr>
                <w:rFonts w:hint="eastAsia" w:ascii="宋体" w:hAnsi="宋体" w:cs="宋体"/>
                <w:color w:val="auto"/>
                <w:sz w:val="24"/>
                <w:highlight w:val="none"/>
              </w:rPr>
              <w:t>GB/T 40904-2021，检测项目包含偶氮染料，检测结果为未检出;检测报告完全符合得1分，项目缺少不得分。</w:t>
            </w:r>
          </w:p>
          <w:p w14:paraId="4844F53E">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⑨QB/T 4371-2012</w:t>
            </w:r>
            <w:r>
              <w:rPr>
                <w:rFonts w:hint="eastAsia" w:ascii="宋体" w:hAnsi="宋体" w:cs="宋体"/>
                <w:color w:val="auto"/>
                <w:sz w:val="24"/>
                <w:highlight w:val="none"/>
              </w:rPr>
              <w:t>，检测项目包含至少2个菌种抑菌率≥99%;</w:t>
            </w:r>
            <w:r>
              <w:rPr>
                <w:rFonts w:hint="eastAsia" w:ascii="宋体" w:hAnsi="宋体" w:cs="宋体"/>
                <w:color w:val="auto"/>
                <w:sz w:val="24"/>
                <w:highlight w:val="none"/>
              </w:rPr>
              <w:t>检测报告完全符合得1分，项目缺少不得分。</w:t>
            </w:r>
          </w:p>
          <w:p w14:paraId="64EED341">
            <w:pPr>
              <w:spacing w:line="400" w:lineRule="exact"/>
              <w:jc w:val="left"/>
              <w:rPr>
                <w:rFonts w:hint="eastAsia" w:ascii="宋体" w:hAnsi="宋体" w:cs="宋体"/>
                <w:color w:val="auto"/>
                <w:sz w:val="24"/>
                <w:highlight w:val="none"/>
              </w:rPr>
            </w:pPr>
            <w:r>
              <w:rPr>
                <w:rFonts w:hint="eastAsia" w:ascii="宋体" w:hAnsi="宋体" w:cs="宋体"/>
                <w:b/>
                <w:bCs/>
                <w:color w:val="auto"/>
                <w:sz w:val="24"/>
                <w:highlight w:val="none"/>
              </w:rPr>
              <w:t>以上报告需由具备CMA检测资质的第三方检测机构出具，同个产品的检测项目需在一份报告中体现，检测标准不同不得分，项目缺少不得分，检测报告需同时提供在</w:t>
            </w:r>
            <w:r>
              <w:rPr>
                <w:rFonts w:hint="eastAsia" w:ascii="宋体" w:hAnsi="宋体" w:cs="宋体"/>
                <w:b/>
                <w:bCs/>
                <w:color w:val="auto"/>
                <w:sz w:val="24"/>
                <w:highlight w:val="none"/>
              </w:rPr>
              <w:t>国家市场监督管理总局网站的</w:t>
            </w:r>
            <w:r>
              <w:rPr>
                <w:rFonts w:hint="eastAsia" w:ascii="宋体" w:hAnsi="宋体" w:cs="宋体"/>
                <w:b/>
                <w:bCs/>
                <w:color w:val="auto"/>
                <w:sz w:val="24"/>
                <w:highlight w:val="none"/>
              </w:rPr>
              <w:t>查询截图，并</w:t>
            </w:r>
            <w:r>
              <w:rPr>
                <w:rFonts w:hint="eastAsia" w:ascii="宋体" w:hAnsi="宋体" w:cs="宋体"/>
                <w:b/>
                <w:bCs/>
                <w:color w:val="auto"/>
                <w:sz w:val="24"/>
                <w:highlight w:val="none"/>
              </w:rPr>
              <w:t>加盖投标人公章。</w:t>
            </w:r>
          </w:p>
        </w:tc>
        <w:tc>
          <w:tcPr>
            <w:tcW w:w="675" w:type="dxa"/>
            <w:vAlign w:val="center"/>
          </w:tcPr>
          <w:p w14:paraId="08AE7DB3">
            <w:pPr>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863" w:type="dxa"/>
            <w:vAlign w:val="center"/>
          </w:tcPr>
          <w:p w14:paraId="368724D2">
            <w:pPr>
              <w:snapToGrid w:val="0"/>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客观分</w:t>
            </w:r>
          </w:p>
        </w:tc>
        <w:tc>
          <w:tcPr>
            <w:tcW w:w="1075" w:type="dxa"/>
            <w:vAlign w:val="center"/>
          </w:tcPr>
          <w:p w14:paraId="2F8A81B8">
            <w:pPr>
              <w:adjustRightInd/>
              <w:spacing w:line="312" w:lineRule="auto"/>
              <w:jc w:val="center"/>
              <w:rPr>
                <w:rFonts w:hint="eastAsia" w:ascii="宋体" w:hAnsi="宋体" w:cs="宋体"/>
                <w:color w:val="auto"/>
                <w:kern w:val="0"/>
                <w:sz w:val="24"/>
                <w:highlight w:val="none"/>
              </w:rPr>
            </w:pPr>
            <w:r>
              <w:rPr>
                <w:rFonts w:hint="eastAsia" w:ascii="宋体" w:hAnsi="宋体" w:cs="宋体"/>
                <w:color w:val="auto"/>
                <w:sz w:val="24"/>
                <w:highlight w:val="none"/>
              </w:rPr>
              <w:t>投标产品获得的成品检测报告</w:t>
            </w:r>
          </w:p>
        </w:tc>
      </w:tr>
      <w:tr w14:paraId="36D5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5AFD8F1F">
            <w:pPr>
              <w:spacing w:line="360" w:lineRule="auto"/>
              <w:jc w:val="center"/>
              <w:rPr>
                <w:rFonts w:hint="eastAsia" w:ascii="宋体" w:hAnsi="宋体" w:cs="宋体"/>
                <w:color w:val="auto"/>
                <w:sz w:val="24"/>
                <w:highlight w:val="none"/>
                <w:lang w:val="en-US" w:eastAsia="zh-CN"/>
              </w:rPr>
            </w:pPr>
          </w:p>
          <w:p w14:paraId="0F0BF84D">
            <w:pPr>
              <w:spacing w:line="360" w:lineRule="auto"/>
              <w:jc w:val="center"/>
              <w:rPr>
                <w:rFonts w:hint="eastAsia" w:ascii="宋体" w:hAnsi="宋体" w:cs="宋体"/>
                <w:color w:val="auto"/>
                <w:sz w:val="24"/>
                <w:highlight w:val="none"/>
                <w:lang w:val="en-US" w:eastAsia="zh-CN"/>
              </w:rPr>
            </w:pPr>
          </w:p>
          <w:p w14:paraId="1134E9D7">
            <w:pPr>
              <w:spacing w:line="360" w:lineRule="auto"/>
              <w:jc w:val="center"/>
              <w:rPr>
                <w:rFonts w:hint="eastAsia" w:ascii="宋体" w:hAnsi="宋体" w:cs="宋体"/>
                <w:color w:val="auto"/>
                <w:sz w:val="24"/>
                <w:highlight w:val="none"/>
                <w:lang w:val="en-US" w:eastAsia="zh-CN"/>
              </w:rPr>
            </w:pPr>
          </w:p>
          <w:p w14:paraId="6D0AAD6E">
            <w:pPr>
              <w:spacing w:line="360" w:lineRule="auto"/>
              <w:jc w:val="center"/>
              <w:rPr>
                <w:rFonts w:hint="eastAsia" w:ascii="宋体" w:hAnsi="宋体" w:cs="宋体"/>
                <w:color w:val="auto"/>
                <w:sz w:val="24"/>
                <w:highlight w:val="none"/>
                <w:lang w:val="en-US" w:eastAsia="zh-CN"/>
              </w:rPr>
            </w:pPr>
          </w:p>
          <w:p w14:paraId="3EDF0D06">
            <w:pPr>
              <w:spacing w:line="360" w:lineRule="auto"/>
              <w:jc w:val="center"/>
              <w:rPr>
                <w:rFonts w:hint="eastAsia" w:ascii="宋体" w:hAnsi="宋体" w:cs="宋体"/>
                <w:color w:val="auto"/>
                <w:sz w:val="24"/>
                <w:highlight w:val="none"/>
                <w:lang w:val="en-US" w:eastAsia="zh-CN"/>
              </w:rPr>
            </w:pPr>
          </w:p>
          <w:p w14:paraId="49D25E7E">
            <w:pPr>
              <w:spacing w:line="360" w:lineRule="auto"/>
              <w:jc w:val="center"/>
              <w:rPr>
                <w:rFonts w:hint="eastAsia" w:ascii="宋体" w:hAnsi="宋体" w:cs="宋体"/>
                <w:color w:val="auto"/>
                <w:sz w:val="24"/>
                <w:highlight w:val="none"/>
                <w:lang w:val="en-US" w:eastAsia="zh-CN"/>
              </w:rPr>
            </w:pPr>
          </w:p>
          <w:p w14:paraId="11126BEF">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5633" w:type="dxa"/>
          </w:tcPr>
          <w:p w14:paraId="187F8D92">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原材料检测报告：提供本项目2022年1月1日以后具备CMA检测资质的第三方检测机构出具的原材料检测报告：</w:t>
            </w:r>
          </w:p>
          <w:p w14:paraId="315ED79D">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1、泡沫塑料：检测依据QB/T 4370-2012，包含外观和感官、回弹率、拉伸强度、75%压缩永久变形、干热老化后拉伸强度、干热老化后拉伸强度变化率、湿热老化后拉伸强度、湿热老化后拉伸强度变化率等项目，检测结果符合标准要求。检测报告完全符合得1.5分，项目缺少不得分。</w:t>
            </w:r>
          </w:p>
          <w:p w14:paraId="51949EB1">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2、阻燃纺织品面料：符合GB 18401-2010、GB 8624-2012、GB/T 24253-2009、GB/T20944.1-2007检测依据。（1）.甲醛含量未检出；</w:t>
            </w:r>
            <w:r>
              <w:rPr>
                <w:rFonts w:hint="eastAsia" w:ascii="宋体" w:hAnsi="宋体" w:cs="宋体"/>
                <w:color w:val="auto"/>
                <w:sz w:val="24"/>
                <w:highlight w:val="none"/>
              </w:rPr>
              <w:t>（2）.pH值4.0～6.5；（3）.可分解致癌芳香胺染料未检出；（4）.耐水色牢度≥3-4级、耐酸汗渍色牢度≥3-4级；（5）.耐碱汗渍色牢度≥3-4级；（6）.耐干摩擦色牢度≥4级；（7）.无异味；（8）.燃烧性能B1级；（9）.防螨性能（驱避率）≥75%；（10）.痤疮丙酸杆菌、枯草芽孢杆菌、嗜麦芽糖寡养单胞菌、甲型副伤寒沙门氏菌、嗜肺军团菌；抗菌性能抑菌带宽度0-1mm效果好。检测报告完全符合得1.5分，项目缺少不得分。</w:t>
            </w:r>
          </w:p>
          <w:p w14:paraId="5161DBEC">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3、阻燃海绵：检测依据GB/T 10802-2006、QB/T1952.1-2012、QB/T2280-2016、GB 8624-2012、GB/T 9345.1-2008、GB/T 31402-2015，其中撕裂强度≥9N/cm、拉伸强度≥150kPa、75%压缩永久变形≤4%、回弹率≥45%、伸长率≥180%、干热老化后拉伸强度≥120kPa、湿热老化后拉伸强度≥120kPa、恒定负荷反复压陷疲劳后40%压陷硬度损失值≤20%、表观密度座面≥40kg/m3、甲醛释放量≤0.005mg/㎡h、TVOC未检出、燃烧性能B1级合格、灰分≤10%、表皮葡萄球菌、白色假丝酵母菌、变形杆菌、藤黄微球菌抗菌率≥99.8%。检测报告完全符合得1.5分，项目缺少不得分。</w:t>
            </w:r>
          </w:p>
          <w:p w14:paraId="3E57D97F">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4、水性漆：检测依据GB 18581-2020、HJ 2537-2014、GB/T 21866-2008、GB/T 1741-2020、GB/T 21609-2008，其中VOC含量 ≤50g/L、甲醛含量≤10mg/kg、总铅(Pb)含量未检出、可溶性重金属（镉、铬、汞）未检出、乙二醇醚及醚酯总和含量未检出、苯系物总和含量未检出、烷基酚聚氧乙烯醚总和含量未检出、挥发性有机化合物(VOC)、肺炎克雷伯氏菌、乙型溶血性链球菌、鲍曼不动杆菌、粪肠球菌抗菌率均≥99.8%、宛氏拟青霉、出芽短梗霉、土曲霉、绳状青霉、球毛壳霉、帚状曲霉耐霉菌性等级均不低于0级、急性眼刺激试验结果为轻微刺激性。检测报告完全符合得1.5分，项目缺少不得分。</w:t>
            </w:r>
          </w:p>
          <w:p w14:paraId="7FC0CF74">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5、背板：符合GB/T 22350-2017、GB/T 35601-2017、GB 18580-2017、GB/T 39600-2021、LY/T 3230-2020标准的抽样合格检测报告，其中抗压性能、点抗压性能符合标准要求，甲醛达到E0级、TVOC、苯、甲苯、二甲苯达到I级，重金属含量未检出。检测报告完全符合得1.5分，项目缺少不得分。</w:t>
            </w:r>
          </w:p>
          <w:p w14:paraId="34331411">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6、铝合金椅脚：依据GB/T 10125-2021、GB/T 6461-2002标准，项目至少包括240h中性盐雾、240h乙酸盐雾、240h铜加速乙酸盐雾，中性盐雾、乙酸盐雾、铜加速乙酸盐雾保护评级（Rp）均大于9级。检测报告完全符合得1.5分，项目缺少不得分。</w:t>
            </w:r>
          </w:p>
          <w:p w14:paraId="60679797">
            <w:pPr>
              <w:spacing w:line="400" w:lineRule="exact"/>
              <w:jc w:val="left"/>
              <w:rPr>
                <w:rFonts w:hint="eastAsia" w:ascii="宋体" w:hAnsi="宋体" w:cs="宋体"/>
                <w:color w:val="auto"/>
                <w:sz w:val="24"/>
                <w:highlight w:val="none"/>
              </w:rPr>
            </w:pPr>
            <w:r>
              <w:rPr>
                <w:rFonts w:hint="eastAsia" w:ascii="宋体" w:hAnsi="宋体" w:cs="宋体"/>
                <w:b/>
                <w:bCs/>
                <w:color w:val="auto"/>
                <w:sz w:val="24"/>
                <w:highlight w:val="none"/>
              </w:rPr>
              <w:t>以上报告需由具备CMA检测资质的第三方检测机构出具，同个产品的检测项目需在一份报告中体现，检测标准不同不得分，项目缺少不得分，检测报告需同时提供在国家市场监督管理总局网站的查询截图，并加盖投标人公章。</w:t>
            </w:r>
          </w:p>
        </w:tc>
        <w:tc>
          <w:tcPr>
            <w:tcW w:w="675" w:type="dxa"/>
            <w:vAlign w:val="center"/>
          </w:tcPr>
          <w:p w14:paraId="24CCD0E3">
            <w:pPr>
              <w:jc w:val="center"/>
              <w:rPr>
                <w:rFonts w:hint="eastAsia" w:ascii="宋体" w:hAnsi="宋体" w:cs="宋体"/>
                <w:color w:val="auto"/>
                <w:sz w:val="24"/>
                <w:highlight w:val="none"/>
              </w:rPr>
            </w:pPr>
          </w:p>
          <w:p w14:paraId="67293505">
            <w:pPr>
              <w:jc w:val="center"/>
              <w:rPr>
                <w:rFonts w:hint="eastAsia" w:ascii="宋体" w:hAnsi="宋体" w:cs="宋体"/>
                <w:color w:val="auto"/>
                <w:sz w:val="24"/>
                <w:highlight w:val="none"/>
              </w:rPr>
            </w:pPr>
          </w:p>
          <w:p w14:paraId="1723F934">
            <w:pPr>
              <w:jc w:val="center"/>
              <w:rPr>
                <w:rFonts w:hint="eastAsia" w:ascii="宋体" w:hAnsi="宋体" w:cs="宋体"/>
                <w:color w:val="auto"/>
                <w:sz w:val="24"/>
                <w:highlight w:val="none"/>
              </w:rPr>
            </w:pPr>
          </w:p>
          <w:p w14:paraId="1F6BB292">
            <w:pPr>
              <w:jc w:val="center"/>
              <w:rPr>
                <w:rFonts w:hint="eastAsia" w:ascii="宋体" w:hAnsi="宋体" w:cs="宋体"/>
                <w:color w:val="auto"/>
                <w:sz w:val="24"/>
                <w:highlight w:val="none"/>
              </w:rPr>
            </w:pPr>
          </w:p>
          <w:p w14:paraId="32533C92">
            <w:pPr>
              <w:jc w:val="center"/>
              <w:rPr>
                <w:rFonts w:hint="eastAsia" w:ascii="宋体" w:hAnsi="宋体" w:cs="宋体"/>
                <w:color w:val="auto"/>
                <w:sz w:val="24"/>
                <w:highlight w:val="none"/>
              </w:rPr>
            </w:pPr>
          </w:p>
          <w:p w14:paraId="39CD4A97">
            <w:pPr>
              <w:jc w:val="center"/>
              <w:rPr>
                <w:rFonts w:hint="eastAsia" w:ascii="宋体" w:hAnsi="宋体" w:cs="宋体"/>
                <w:color w:val="auto"/>
                <w:sz w:val="24"/>
                <w:highlight w:val="none"/>
              </w:rPr>
            </w:pPr>
          </w:p>
          <w:p w14:paraId="0FCD6A4A">
            <w:pPr>
              <w:jc w:val="center"/>
              <w:rPr>
                <w:rFonts w:hint="eastAsia" w:ascii="宋体" w:hAnsi="宋体" w:cs="宋体"/>
                <w:color w:val="auto"/>
                <w:sz w:val="24"/>
                <w:highlight w:val="none"/>
              </w:rPr>
            </w:pPr>
          </w:p>
          <w:p w14:paraId="4F24EEB8">
            <w:pPr>
              <w:jc w:val="center"/>
              <w:rPr>
                <w:rFonts w:hint="eastAsia" w:ascii="宋体" w:hAnsi="宋体" w:cs="宋体"/>
                <w:color w:val="auto"/>
                <w:sz w:val="24"/>
                <w:highlight w:val="none"/>
              </w:rPr>
            </w:pPr>
          </w:p>
          <w:p w14:paraId="0A47AE25">
            <w:pPr>
              <w:jc w:val="center"/>
              <w:rPr>
                <w:rFonts w:hint="eastAsia" w:ascii="宋体" w:hAnsi="宋体" w:cs="宋体"/>
                <w:color w:val="auto"/>
                <w:sz w:val="24"/>
                <w:highlight w:val="none"/>
              </w:rPr>
            </w:pPr>
          </w:p>
          <w:p w14:paraId="2831664A">
            <w:pPr>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863" w:type="dxa"/>
            <w:vAlign w:val="center"/>
          </w:tcPr>
          <w:p w14:paraId="14E28B31">
            <w:pPr>
              <w:snapToGrid w:val="0"/>
              <w:jc w:val="center"/>
              <w:rPr>
                <w:rFonts w:hint="eastAsia" w:ascii="宋体" w:hAnsi="宋体" w:cs="宋体"/>
                <w:bCs/>
                <w:color w:val="auto"/>
                <w:sz w:val="24"/>
                <w:highlight w:val="none"/>
              </w:rPr>
            </w:pPr>
          </w:p>
          <w:p w14:paraId="3A552977">
            <w:pPr>
              <w:snapToGrid w:val="0"/>
              <w:jc w:val="center"/>
              <w:rPr>
                <w:rFonts w:hint="eastAsia" w:ascii="宋体" w:hAnsi="宋体" w:cs="宋体"/>
                <w:bCs/>
                <w:color w:val="auto"/>
                <w:sz w:val="24"/>
                <w:highlight w:val="none"/>
              </w:rPr>
            </w:pPr>
          </w:p>
          <w:p w14:paraId="6B6781D4">
            <w:pPr>
              <w:snapToGrid w:val="0"/>
              <w:jc w:val="center"/>
              <w:rPr>
                <w:rFonts w:hint="eastAsia" w:ascii="宋体" w:hAnsi="宋体" w:cs="宋体"/>
                <w:bCs/>
                <w:color w:val="auto"/>
                <w:sz w:val="24"/>
                <w:highlight w:val="none"/>
              </w:rPr>
            </w:pPr>
          </w:p>
          <w:p w14:paraId="5FD150EB">
            <w:pPr>
              <w:snapToGrid w:val="0"/>
              <w:jc w:val="center"/>
              <w:rPr>
                <w:rFonts w:hint="eastAsia" w:ascii="宋体" w:hAnsi="宋体" w:cs="宋体"/>
                <w:bCs/>
                <w:color w:val="auto"/>
                <w:sz w:val="24"/>
                <w:highlight w:val="none"/>
              </w:rPr>
            </w:pPr>
          </w:p>
          <w:p w14:paraId="688E2A68">
            <w:pPr>
              <w:snapToGrid w:val="0"/>
              <w:jc w:val="center"/>
              <w:rPr>
                <w:rFonts w:hint="eastAsia" w:ascii="宋体" w:hAnsi="宋体" w:cs="宋体"/>
                <w:bCs/>
                <w:color w:val="auto"/>
                <w:sz w:val="24"/>
                <w:highlight w:val="none"/>
              </w:rPr>
            </w:pPr>
          </w:p>
          <w:p w14:paraId="164B421A">
            <w:pPr>
              <w:snapToGrid w:val="0"/>
              <w:jc w:val="center"/>
              <w:rPr>
                <w:rFonts w:hint="eastAsia" w:ascii="宋体" w:hAnsi="宋体" w:cs="宋体"/>
                <w:bCs/>
                <w:color w:val="auto"/>
                <w:sz w:val="24"/>
                <w:highlight w:val="none"/>
              </w:rPr>
            </w:pPr>
          </w:p>
          <w:p w14:paraId="57DE266B">
            <w:pPr>
              <w:snapToGrid w:val="0"/>
              <w:jc w:val="center"/>
              <w:rPr>
                <w:rFonts w:hint="eastAsia" w:ascii="宋体" w:hAnsi="宋体" w:cs="宋体"/>
                <w:bCs/>
                <w:color w:val="auto"/>
                <w:sz w:val="24"/>
                <w:highlight w:val="none"/>
              </w:rPr>
            </w:pPr>
          </w:p>
          <w:p w14:paraId="1DD2D10D">
            <w:pPr>
              <w:snapToGrid w:val="0"/>
              <w:jc w:val="center"/>
              <w:rPr>
                <w:rFonts w:hint="eastAsia" w:ascii="宋体" w:hAnsi="宋体" w:cs="宋体"/>
                <w:bCs/>
                <w:color w:val="auto"/>
                <w:sz w:val="24"/>
                <w:highlight w:val="none"/>
              </w:rPr>
            </w:pPr>
          </w:p>
          <w:p w14:paraId="6A7A8F4A">
            <w:pPr>
              <w:snapToGrid w:val="0"/>
              <w:jc w:val="center"/>
              <w:rPr>
                <w:rFonts w:hint="eastAsia" w:ascii="宋体" w:hAnsi="宋体" w:cs="宋体"/>
                <w:bCs/>
                <w:color w:val="auto"/>
                <w:sz w:val="24"/>
                <w:highlight w:val="none"/>
              </w:rPr>
            </w:pPr>
          </w:p>
          <w:p w14:paraId="785F31DA">
            <w:pPr>
              <w:snapToGrid w:val="0"/>
              <w:jc w:val="center"/>
              <w:rPr>
                <w:rFonts w:hint="eastAsia" w:ascii="宋体" w:hAnsi="宋体" w:cs="宋体"/>
                <w:color w:val="auto"/>
                <w:sz w:val="24"/>
                <w:highlight w:val="none"/>
              </w:rPr>
            </w:pPr>
            <w:r>
              <w:rPr>
                <w:rFonts w:hint="eastAsia" w:ascii="宋体" w:hAnsi="宋体" w:cs="宋体"/>
                <w:bCs/>
                <w:color w:val="auto"/>
                <w:sz w:val="24"/>
                <w:highlight w:val="none"/>
              </w:rPr>
              <w:t>客观分</w:t>
            </w:r>
          </w:p>
        </w:tc>
        <w:tc>
          <w:tcPr>
            <w:tcW w:w="1075" w:type="dxa"/>
            <w:vAlign w:val="center"/>
          </w:tcPr>
          <w:p w14:paraId="0DD55615">
            <w:pPr>
              <w:adjustRightInd/>
              <w:spacing w:line="312" w:lineRule="auto"/>
              <w:jc w:val="center"/>
              <w:rPr>
                <w:rFonts w:hint="eastAsia" w:ascii="宋体" w:hAnsi="宋体" w:cs="宋体"/>
                <w:color w:val="auto"/>
                <w:sz w:val="24"/>
                <w:highlight w:val="none"/>
              </w:rPr>
            </w:pPr>
          </w:p>
          <w:p w14:paraId="1C80AC3E">
            <w:pPr>
              <w:adjustRightInd/>
              <w:spacing w:line="312" w:lineRule="auto"/>
              <w:jc w:val="center"/>
              <w:rPr>
                <w:rFonts w:hint="eastAsia" w:ascii="宋体" w:hAnsi="宋体" w:cs="宋体"/>
                <w:color w:val="auto"/>
                <w:sz w:val="24"/>
                <w:highlight w:val="none"/>
              </w:rPr>
            </w:pPr>
          </w:p>
          <w:p w14:paraId="64FA3447">
            <w:pPr>
              <w:adjustRightInd/>
              <w:spacing w:line="312" w:lineRule="auto"/>
              <w:jc w:val="center"/>
              <w:rPr>
                <w:rFonts w:hint="eastAsia" w:ascii="宋体" w:hAnsi="宋体" w:cs="宋体"/>
                <w:color w:val="auto"/>
                <w:sz w:val="24"/>
                <w:highlight w:val="none"/>
              </w:rPr>
            </w:pPr>
          </w:p>
          <w:p w14:paraId="1F114BF0">
            <w:pPr>
              <w:adjustRightInd/>
              <w:spacing w:line="312" w:lineRule="auto"/>
              <w:jc w:val="center"/>
              <w:rPr>
                <w:rFonts w:hint="eastAsia" w:ascii="宋体" w:hAnsi="宋体" w:cs="宋体"/>
                <w:color w:val="auto"/>
                <w:sz w:val="24"/>
                <w:highlight w:val="none"/>
              </w:rPr>
            </w:pPr>
          </w:p>
          <w:p w14:paraId="7A97E3AE">
            <w:pPr>
              <w:adjustRightInd/>
              <w:spacing w:line="312" w:lineRule="auto"/>
              <w:jc w:val="center"/>
              <w:rPr>
                <w:rFonts w:hint="eastAsia" w:ascii="宋体" w:hAnsi="宋体" w:cs="宋体"/>
                <w:color w:val="auto"/>
                <w:sz w:val="24"/>
                <w:highlight w:val="none"/>
              </w:rPr>
            </w:pPr>
          </w:p>
          <w:p w14:paraId="4CC95052">
            <w:pPr>
              <w:adjustRightInd/>
              <w:spacing w:line="312" w:lineRule="auto"/>
              <w:jc w:val="center"/>
              <w:rPr>
                <w:rFonts w:hint="eastAsia" w:ascii="宋体" w:hAnsi="宋体" w:cs="宋体"/>
                <w:color w:val="auto"/>
                <w:sz w:val="24"/>
                <w:highlight w:val="none"/>
              </w:rPr>
            </w:pPr>
          </w:p>
          <w:p w14:paraId="71DE95E0">
            <w:pPr>
              <w:adjustRightInd/>
              <w:spacing w:line="312" w:lineRule="auto"/>
              <w:jc w:val="center"/>
              <w:rPr>
                <w:rFonts w:hint="eastAsia" w:ascii="宋体" w:hAnsi="宋体" w:cs="宋体"/>
                <w:color w:val="auto"/>
                <w:kern w:val="0"/>
                <w:sz w:val="24"/>
                <w:highlight w:val="none"/>
              </w:rPr>
            </w:pPr>
            <w:r>
              <w:rPr>
                <w:rFonts w:hint="eastAsia" w:ascii="宋体" w:hAnsi="宋体" w:cs="宋体"/>
                <w:color w:val="auto"/>
                <w:sz w:val="24"/>
                <w:highlight w:val="none"/>
              </w:rPr>
              <w:t>投标产品主要材料获得的检测报告</w:t>
            </w:r>
          </w:p>
        </w:tc>
      </w:tr>
      <w:tr w14:paraId="5355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588C79F3">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5633" w:type="dxa"/>
          </w:tcPr>
          <w:p w14:paraId="259E5511">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投标人提供的核心专业生产设备，设备提供齐全的得4分，每缺一台设备扣0.5分。</w:t>
            </w:r>
          </w:p>
          <w:p w14:paraId="2EE8C9B4">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核心生产设备按品类，具体要求如下：加工中心、数控钻孔中心、水帘式喷房、立卧带式砂光机、环保设备中央除尘系统、环保设备无尘油漆房、坐具座面冲击测试机、海绵落球回弹试验仪等。</w:t>
            </w:r>
          </w:p>
          <w:p w14:paraId="089C13A0">
            <w:pPr>
              <w:spacing w:line="400" w:lineRule="exact"/>
              <w:jc w:val="left"/>
              <w:rPr>
                <w:rFonts w:hint="eastAsia" w:ascii="宋体" w:hAnsi="宋体" w:cs="宋体"/>
                <w:color w:val="auto"/>
                <w:sz w:val="24"/>
                <w:highlight w:val="none"/>
              </w:rPr>
            </w:pPr>
            <w:r>
              <w:rPr>
                <w:rFonts w:hint="eastAsia" w:ascii="宋体" w:hAnsi="宋体" w:cs="宋体"/>
                <w:b/>
                <w:bCs/>
                <w:color w:val="auto"/>
                <w:sz w:val="24"/>
                <w:highlight w:val="none"/>
              </w:rPr>
              <w:t>证明材料：</w:t>
            </w:r>
            <w:r>
              <w:rPr>
                <w:rFonts w:hint="eastAsia" w:ascii="宋体" w:hAnsi="宋体" w:cs="宋体"/>
                <w:b/>
                <w:bCs/>
                <w:color w:val="auto"/>
                <w:sz w:val="24"/>
                <w:highlight w:val="none"/>
                <w:lang w:val="zh-CN"/>
              </w:rPr>
              <w:t>提供</w:t>
            </w:r>
            <w:r>
              <w:rPr>
                <w:rFonts w:hint="eastAsia" w:ascii="宋体" w:hAnsi="宋体" w:cs="宋体"/>
                <w:b/>
                <w:bCs/>
                <w:color w:val="auto"/>
                <w:sz w:val="24"/>
                <w:highlight w:val="none"/>
              </w:rPr>
              <w:t>生产</w:t>
            </w:r>
            <w:r>
              <w:rPr>
                <w:rFonts w:hint="eastAsia" w:ascii="宋体" w:hAnsi="宋体" w:cs="宋体"/>
                <w:b/>
                <w:bCs/>
                <w:color w:val="auto"/>
                <w:sz w:val="24"/>
                <w:highlight w:val="none"/>
                <w:lang w:val="zh-CN"/>
              </w:rPr>
              <w:t>设备照片</w:t>
            </w:r>
            <w:r>
              <w:rPr>
                <w:rFonts w:hint="eastAsia" w:ascii="宋体" w:hAnsi="宋体" w:cs="宋体"/>
                <w:b/>
                <w:bCs/>
                <w:color w:val="auto"/>
                <w:sz w:val="24"/>
                <w:highlight w:val="none"/>
              </w:rPr>
              <w:t>及</w:t>
            </w:r>
            <w:r>
              <w:rPr>
                <w:rFonts w:hint="eastAsia" w:ascii="宋体" w:hAnsi="宋体" w:cs="宋体"/>
                <w:b/>
                <w:bCs/>
                <w:color w:val="auto"/>
                <w:sz w:val="24"/>
                <w:highlight w:val="none"/>
                <w:lang w:val="zh-CN"/>
              </w:rPr>
              <w:t>购置或租赁发票扫描件。</w:t>
            </w:r>
          </w:p>
        </w:tc>
        <w:tc>
          <w:tcPr>
            <w:tcW w:w="675" w:type="dxa"/>
            <w:vAlign w:val="center"/>
          </w:tcPr>
          <w:p w14:paraId="57D4BE89">
            <w:pPr>
              <w:adjustRightInd/>
              <w:spacing w:line="312"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863" w:type="dxa"/>
            <w:vAlign w:val="center"/>
          </w:tcPr>
          <w:p w14:paraId="2DF5CE5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客观分</w:t>
            </w:r>
          </w:p>
        </w:tc>
        <w:tc>
          <w:tcPr>
            <w:tcW w:w="1075" w:type="dxa"/>
            <w:vAlign w:val="center"/>
          </w:tcPr>
          <w:p w14:paraId="2AF7E041">
            <w:pPr>
              <w:adjustRightInd/>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rPr>
              <w:t>生产设备</w:t>
            </w:r>
          </w:p>
        </w:tc>
      </w:tr>
      <w:tr w14:paraId="5973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1B263990">
            <w:pPr>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lang w:val="en-US" w:eastAsia="zh-CN"/>
              </w:rPr>
              <w:t>8</w:t>
            </w:r>
          </w:p>
        </w:tc>
        <w:tc>
          <w:tcPr>
            <w:tcW w:w="5633" w:type="dxa"/>
          </w:tcPr>
          <w:p w14:paraId="219F427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提出合理的项目整体实施方案，能按照项目分解节点，并可跟踪实施。根据供应商提供方案的合理性、可行性以及与采购需求的满足程度，完全满足得2分、基本满足得1分、不满足得0分。</w:t>
            </w:r>
          </w:p>
        </w:tc>
        <w:tc>
          <w:tcPr>
            <w:tcW w:w="675" w:type="dxa"/>
            <w:vAlign w:val="center"/>
          </w:tcPr>
          <w:p w14:paraId="04DF2DD6">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863" w:type="dxa"/>
            <w:vAlign w:val="center"/>
          </w:tcPr>
          <w:p w14:paraId="65C0B452">
            <w:pPr>
              <w:snapToGrid w:val="0"/>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075" w:type="dxa"/>
            <w:vAlign w:val="center"/>
          </w:tcPr>
          <w:p w14:paraId="65EED55B">
            <w:pPr>
              <w:adjustRightInd/>
              <w:spacing w:line="312" w:lineRule="auto"/>
              <w:jc w:val="center"/>
              <w:rPr>
                <w:rFonts w:hint="eastAsia" w:ascii="宋体" w:hAnsi="宋体" w:cs="宋体"/>
                <w:color w:val="auto"/>
                <w:kern w:val="0"/>
                <w:sz w:val="24"/>
                <w:highlight w:val="none"/>
              </w:rPr>
            </w:pPr>
            <w:r>
              <w:rPr>
                <w:rFonts w:hint="eastAsia" w:ascii="宋体" w:hAnsi="宋体" w:cs="宋体"/>
                <w:color w:val="auto"/>
                <w:sz w:val="24"/>
                <w:highlight w:val="none"/>
              </w:rPr>
              <w:t>项目实施规划方案</w:t>
            </w:r>
          </w:p>
        </w:tc>
      </w:tr>
      <w:tr w14:paraId="34C5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467AA77F">
            <w:pPr>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lang w:val="en-US" w:eastAsia="zh-CN"/>
              </w:rPr>
              <w:t>9</w:t>
            </w:r>
          </w:p>
        </w:tc>
        <w:tc>
          <w:tcPr>
            <w:tcW w:w="5633" w:type="dxa"/>
          </w:tcPr>
          <w:p w14:paraId="46ED6FE7">
            <w:pPr>
              <w:spacing w:line="360" w:lineRule="auto"/>
              <w:rPr>
                <w:rFonts w:hint="eastAsia" w:ascii="宋体" w:hAnsi="宋体" w:cs="宋体"/>
                <w:color w:val="auto"/>
                <w:sz w:val="24"/>
                <w:highlight w:val="none"/>
              </w:rPr>
            </w:pPr>
            <w:r>
              <w:rPr>
                <w:rFonts w:hint="eastAsia" w:ascii="宋体" w:hAnsi="宋体" w:cs="宋体"/>
                <w:color w:val="auto"/>
                <w:sz w:val="24"/>
                <w:highlight w:val="none"/>
              </w:rPr>
              <w:t>要具备生产能力，在规定的时间内有计划地完成项目需求产品的生产装配。根据供应商提供方案的合理性、可行性以及与采购需求的满足程度，完全满足得2分、基本满足得1分、不满足得0分。</w:t>
            </w:r>
          </w:p>
        </w:tc>
        <w:tc>
          <w:tcPr>
            <w:tcW w:w="675" w:type="dxa"/>
            <w:vAlign w:val="center"/>
          </w:tcPr>
          <w:p w14:paraId="4DED1996">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863" w:type="dxa"/>
            <w:vAlign w:val="center"/>
          </w:tcPr>
          <w:p w14:paraId="5CA4F945">
            <w:pPr>
              <w:snapToGrid w:val="0"/>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075" w:type="dxa"/>
            <w:vAlign w:val="center"/>
          </w:tcPr>
          <w:p w14:paraId="397663AF">
            <w:pPr>
              <w:adjustRightInd/>
              <w:jc w:val="center"/>
              <w:rPr>
                <w:rFonts w:hint="eastAsia" w:ascii="宋体" w:hAnsi="宋体" w:cs="宋体"/>
                <w:color w:val="auto"/>
                <w:kern w:val="0"/>
                <w:sz w:val="24"/>
                <w:highlight w:val="none"/>
              </w:rPr>
            </w:pPr>
            <w:r>
              <w:rPr>
                <w:rFonts w:hint="eastAsia" w:ascii="宋体" w:hAnsi="宋体" w:cs="宋体"/>
                <w:color w:val="auto"/>
                <w:sz w:val="24"/>
                <w:highlight w:val="none"/>
              </w:rPr>
              <w:t>生产实施方案</w:t>
            </w:r>
          </w:p>
        </w:tc>
      </w:tr>
      <w:tr w14:paraId="1472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61" w:type="dxa"/>
            <w:vAlign w:val="center"/>
          </w:tcPr>
          <w:p w14:paraId="2AB03381">
            <w:pPr>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10</w:t>
            </w:r>
          </w:p>
        </w:tc>
        <w:tc>
          <w:tcPr>
            <w:tcW w:w="5633" w:type="dxa"/>
          </w:tcPr>
          <w:p w14:paraId="2084AC1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有独立品管部门和专门品管人员，确保产品生产过程中的质量控制完善。根据供应商提供方案的合理性、可行性以及与采购需求的满足程度，完全满足得2分、基本满足得1分、不满足得0分。</w:t>
            </w:r>
          </w:p>
        </w:tc>
        <w:tc>
          <w:tcPr>
            <w:tcW w:w="675" w:type="dxa"/>
            <w:vAlign w:val="center"/>
          </w:tcPr>
          <w:p w14:paraId="091BBDBA">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863" w:type="dxa"/>
            <w:vAlign w:val="center"/>
          </w:tcPr>
          <w:p w14:paraId="39247923">
            <w:pPr>
              <w:snapToGrid w:val="0"/>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075" w:type="dxa"/>
            <w:vAlign w:val="center"/>
          </w:tcPr>
          <w:p w14:paraId="4968AFCC">
            <w:pPr>
              <w:adjustRightInd/>
              <w:jc w:val="center"/>
              <w:rPr>
                <w:rFonts w:hint="eastAsia" w:ascii="宋体" w:hAnsi="宋体" w:cs="宋体"/>
                <w:color w:val="auto"/>
                <w:kern w:val="0"/>
                <w:sz w:val="24"/>
                <w:highlight w:val="none"/>
              </w:rPr>
            </w:pPr>
            <w:r>
              <w:rPr>
                <w:rFonts w:hint="eastAsia" w:ascii="宋体" w:hAnsi="宋体" w:cs="宋体"/>
                <w:color w:val="auto"/>
                <w:sz w:val="24"/>
                <w:highlight w:val="none"/>
              </w:rPr>
              <w:t>品质管理管控方案</w:t>
            </w:r>
          </w:p>
        </w:tc>
      </w:tr>
      <w:tr w14:paraId="56BD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861" w:type="dxa"/>
            <w:vAlign w:val="center"/>
          </w:tcPr>
          <w:p w14:paraId="2315D5F3">
            <w:pPr>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5633" w:type="dxa"/>
          </w:tcPr>
          <w:p w14:paraId="18E50A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安装方案的制定，根据货物交付时间节点，落实送货安装时间和人员安排，确保按期交付使用。根据供应商提供方案的合理性、可行性以及与采购需求的满足程度，完全满足得2分、基本满足得1分、不满足得0分。</w:t>
            </w:r>
          </w:p>
        </w:tc>
        <w:tc>
          <w:tcPr>
            <w:tcW w:w="675" w:type="dxa"/>
            <w:vAlign w:val="center"/>
          </w:tcPr>
          <w:p w14:paraId="41F05222">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863" w:type="dxa"/>
            <w:vAlign w:val="center"/>
          </w:tcPr>
          <w:p w14:paraId="0940D4D7">
            <w:pPr>
              <w:snapToGrid w:val="0"/>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075" w:type="dxa"/>
            <w:vAlign w:val="center"/>
          </w:tcPr>
          <w:p w14:paraId="0A1DBF8C">
            <w:pPr>
              <w:adjustRightInd/>
              <w:jc w:val="center"/>
              <w:rPr>
                <w:rFonts w:hint="eastAsia" w:ascii="宋体" w:hAnsi="宋体" w:cs="宋体"/>
                <w:color w:val="auto"/>
                <w:sz w:val="24"/>
                <w:highlight w:val="none"/>
              </w:rPr>
            </w:pPr>
            <w:r>
              <w:rPr>
                <w:rFonts w:hint="eastAsia" w:ascii="宋体" w:hAnsi="宋体" w:cs="宋体"/>
                <w:color w:val="auto"/>
                <w:sz w:val="24"/>
                <w:highlight w:val="none"/>
              </w:rPr>
              <w:t>安装服务实施方案</w:t>
            </w:r>
          </w:p>
        </w:tc>
      </w:tr>
      <w:tr w14:paraId="015A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61" w:type="dxa"/>
            <w:vAlign w:val="center"/>
          </w:tcPr>
          <w:p w14:paraId="58DF6843">
            <w:pPr>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p>
        </w:tc>
        <w:tc>
          <w:tcPr>
            <w:tcW w:w="5633" w:type="dxa"/>
          </w:tcPr>
          <w:p w14:paraId="0D7DBAC4">
            <w:pPr>
              <w:spacing w:line="360" w:lineRule="auto"/>
              <w:rPr>
                <w:rFonts w:hint="eastAsia" w:ascii="宋体" w:hAnsi="宋体" w:cs="宋体"/>
                <w:color w:val="auto"/>
                <w:sz w:val="24"/>
                <w:highlight w:val="none"/>
              </w:rPr>
            </w:pPr>
            <w:r>
              <w:rPr>
                <w:rFonts w:hint="eastAsia" w:ascii="宋体" w:hAnsi="宋体" w:cs="宋体"/>
                <w:color w:val="auto"/>
                <w:sz w:val="24"/>
                <w:highlight w:val="none"/>
              </w:rPr>
              <w:t>验收方案的制定，根据采购需求配合采购人实施验收。根据供应商提供方案的合理性、可行性以及与采购需求的满足程度，完全满足得2分、基本满足得1分、不满足得0分。</w:t>
            </w:r>
          </w:p>
        </w:tc>
        <w:tc>
          <w:tcPr>
            <w:tcW w:w="675" w:type="dxa"/>
            <w:vAlign w:val="center"/>
          </w:tcPr>
          <w:p w14:paraId="6FB04B28">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863" w:type="dxa"/>
            <w:vAlign w:val="center"/>
          </w:tcPr>
          <w:p w14:paraId="3883BAFF">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075" w:type="dxa"/>
            <w:vAlign w:val="center"/>
          </w:tcPr>
          <w:p w14:paraId="0B58727C">
            <w:pPr>
              <w:adjustRightInd/>
              <w:jc w:val="center"/>
              <w:rPr>
                <w:rFonts w:hint="eastAsia" w:ascii="宋体" w:hAnsi="宋体" w:cs="宋体"/>
                <w:color w:val="auto"/>
                <w:sz w:val="24"/>
                <w:highlight w:val="none"/>
              </w:rPr>
            </w:pPr>
            <w:r>
              <w:rPr>
                <w:rFonts w:hint="eastAsia" w:ascii="宋体" w:hAnsi="宋体" w:cs="宋体"/>
                <w:color w:val="auto"/>
                <w:sz w:val="24"/>
                <w:highlight w:val="none"/>
              </w:rPr>
              <w:t>验收方案</w:t>
            </w:r>
          </w:p>
        </w:tc>
      </w:tr>
      <w:tr w14:paraId="62BA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61" w:type="dxa"/>
            <w:vMerge w:val="restart"/>
            <w:vAlign w:val="center"/>
          </w:tcPr>
          <w:p w14:paraId="58D58703">
            <w:pPr>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13</w:t>
            </w:r>
          </w:p>
        </w:tc>
        <w:tc>
          <w:tcPr>
            <w:tcW w:w="5633" w:type="dxa"/>
          </w:tcPr>
          <w:p w14:paraId="382FDF04">
            <w:pPr>
              <w:pStyle w:val="19"/>
              <w:spacing w:line="360" w:lineRule="auto"/>
              <w:rPr>
                <w:rFonts w:hint="eastAsia" w:ascii="宋体" w:hAnsi="宋体" w:cs="宋体"/>
                <w:color w:val="auto"/>
                <w:sz w:val="24"/>
                <w:highlight w:val="none"/>
              </w:rPr>
            </w:pPr>
            <w:r>
              <w:rPr>
                <w:rFonts w:hint="eastAsia" w:ascii="宋体" w:hAnsi="宋体" w:cs="宋体"/>
                <w:color w:val="auto"/>
                <w:sz w:val="24"/>
                <w:highlight w:val="none"/>
              </w:rPr>
              <w:t>1、备品备件：礼堂椅配套专业备品备件工具，根据投标单位提供的备品备件清单评分，写明数量等相关信息。提供清单得2分，不提供不得分。</w:t>
            </w:r>
          </w:p>
          <w:p w14:paraId="3C49330A">
            <w:pPr>
              <w:pStyle w:val="19"/>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2、在满足招标文件的要求下，每延长1年质保期，加0.5分，最多加1分。需提供承诺书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格式自拟，不提供不得分。</w:t>
            </w:r>
          </w:p>
        </w:tc>
        <w:tc>
          <w:tcPr>
            <w:tcW w:w="675" w:type="dxa"/>
            <w:vAlign w:val="center"/>
          </w:tcPr>
          <w:p w14:paraId="70E7B16D">
            <w:pPr>
              <w:adjustRightInd/>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863" w:type="dxa"/>
            <w:vAlign w:val="center"/>
          </w:tcPr>
          <w:p w14:paraId="68D81633">
            <w:pPr>
              <w:snapToGrid w:val="0"/>
              <w:jc w:val="center"/>
              <w:rPr>
                <w:rFonts w:hint="eastAsia" w:ascii="宋体" w:hAnsi="宋体" w:cs="宋体"/>
                <w:color w:val="auto"/>
                <w:sz w:val="24"/>
                <w:highlight w:val="none"/>
              </w:rPr>
            </w:pPr>
            <w:r>
              <w:rPr>
                <w:rFonts w:hint="eastAsia" w:ascii="宋体" w:hAnsi="宋体" w:cs="宋体"/>
                <w:bCs/>
                <w:color w:val="auto"/>
                <w:sz w:val="24"/>
                <w:highlight w:val="none"/>
              </w:rPr>
              <w:t>客观分</w:t>
            </w:r>
          </w:p>
        </w:tc>
        <w:tc>
          <w:tcPr>
            <w:tcW w:w="1075" w:type="dxa"/>
            <w:vAlign w:val="center"/>
          </w:tcPr>
          <w:p w14:paraId="2327F1DA">
            <w:pPr>
              <w:adjustRightInd/>
              <w:jc w:val="center"/>
              <w:rPr>
                <w:rFonts w:hint="eastAsia" w:ascii="宋体" w:hAnsi="宋体" w:cs="宋体"/>
                <w:color w:val="auto"/>
                <w:kern w:val="0"/>
                <w:sz w:val="24"/>
                <w:highlight w:val="none"/>
              </w:rPr>
            </w:pPr>
            <w:r>
              <w:rPr>
                <w:rFonts w:hint="eastAsia" w:ascii="宋体" w:hAnsi="宋体" w:cs="宋体"/>
                <w:color w:val="auto"/>
                <w:sz w:val="24"/>
                <w:highlight w:val="none"/>
              </w:rPr>
              <w:t>售后服务方案一</w:t>
            </w:r>
          </w:p>
        </w:tc>
      </w:tr>
      <w:tr w14:paraId="2ED0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1" w:type="dxa"/>
            <w:vMerge w:val="continue"/>
          </w:tcPr>
          <w:p w14:paraId="252F9598">
            <w:pPr>
              <w:spacing w:line="360" w:lineRule="auto"/>
              <w:jc w:val="center"/>
              <w:rPr>
                <w:rFonts w:hint="eastAsia" w:ascii="宋体" w:hAnsi="宋体" w:cs="宋体"/>
                <w:color w:val="auto"/>
                <w:kern w:val="0"/>
                <w:sz w:val="24"/>
                <w:highlight w:val="none"/>
              </w:rPr>
            </w:pPr>
          </w:p>
        </w:tc>
        <w:tc>
          <w:tcPr>
            <w:tcW w:w="5633" w:type="dxa"/>
          </w:tcPr>
          <w:p w14:paraId="3AB8E805">
            <w:pPr>
              <w:pStyle w:val="19"/>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投标人提供</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详细完整的“三包”措施及售后服务措施。</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承诺在此保证期内，如在正常使用过程中出现的质量问题，供应商对所供礼堂椅实行终身维修。</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供应商需承诺在接到电话后2小时内响应，4小时内到达现场解决问题，最迟在1个工作日内修复，如不能修复免费调换。</w:t>
            </w:r>
            <w:r>
              <w:rPr>
                <w:rFonts w:hint="eastAsia" w:ascii="宋体" w:hAnsi="宋体" w:cs="宋体"/>
                <w:color w:val="auto"/>
                <w:sz w:val="24"/>
                <w:highlight w:val="none"/>
                <w:lang w:val="en-US" w:eastAsia="zh-CN"/>
              </w:rPr>
              <w:t>提供承诺函，格式自拟，不提供不得分。</w:t>
            </w:r>
          </w:p>
          <w:p w14:paraId="1CAE61B2">
            <w:pPr>
              <w:pStyle w:val="19"/>
              <w:spacing w:line="360" w:lineRule="auto"/>
              <w:rPr>
                <w:rFonts w:hint="eastAsia" w:ascii="宋体" w:hAnsi="宋体" w:cs="宋体"/>
                <w:color w:val="auto"/>
                <w:sz w:val="24"/>
                <w:highlight w:val="none"/>
              </w:rPr>
            </w:pPr>
            <w:r>
              <w:rPr>
                <w:rFonts w:hint="eastAsia" w:ascii="宋体" w:hAnsi="宋体" w:cs="宋体"/>
                <w:color w:val="auto"/>
                <w:sz w:val="24"/>
                <w:highlight w:val="none"/>
              </w:rPr>
              <w:t>全部承诺得2分，</w:t>
            </w:r>
            <w:r>
              <w:rPr>
                <w:rFonts w:hint="eastAsia" w:ascii="宋体" w:hAnsi="宋体" w:cs="宋体"/>
                <w:color w:val="auto"/>
                <w:sz w:val="24"/>
                <w:highlight w:val="none"/>
                <w:lang w:val="en-US" w:eastAsia="zh-CN"/>
              </w:rPr>
              <w:t>少项</w:t>
            </w:r>
            <w:r>
              <w:rPr>
                <w:rFonts w:hint="eastAsia" w:ascii="宋体" w:hAnsi="宋体" w:cs="宋体"/>
                <w:color w:val="auto"/>
                <w:sz w:val="24"/>
                <w:highlight w:val="none"/>
              </w:rPr>
              <w:t>扣1分，此项最高2分。</w:t>
            </w:r>
          </w:p>
        </w:tc>
        <w:tc>
          <w:tcPr>
            <w:tcW w:w="675" w:type="dxa"/>
            <w:vAlign w:val="center"/>
          </w:tcPr>
          <w:p w14:paraId="74541614">
            <w:pPr>
              <w:adjustRightInd/>
              <w:spacing w:line="312"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863" w:type="dxa"/>
            <w:vAlign w:val="center"/>
          </w:tcPr>
          <w:p w14:paraId="01145F65">
            <w:pPr>
              <w:snapToGrid w:val="0"/>
              <w:jc w:val="center"/>
              <w:rPr>
                <w:rFonts w:hint="eastAsia" w:ascii="宋体" w:hAnsi="宋体" w:cs="宋体"/>
                <w:bCs/>
                <w:color w:val="auto"/>
                <w:sz w:val="24"/>
                <w:highlight w:val="none"/>
              </w:rPr>
            </w:pPr>
          </w:p>
          <w:p w14:paraId="49A90A54">
            <w:pPr>
              <w:snapToGrid w:val="0"/>
              <w:jc w:val="center"/>
              <w:rPr>
                <w:rFonts w:hint="eastAsia" w:ascii="宋体" w:hAnsi="宋体" w:cs="宋体"/>
                <w:bCs/>
                <w:color w:val="auto"/>
                <w:sz w:val="24"/>
                <w:highlight w:val="none"/>
              </w:rPr>
            </w:pPr>
          </w:p>
          <w:p w14:paraId="1DFC2A4D">
            <w:pPr>
              <w:snapToGrid w:val="0"/>
              <w:jc w:val="center"/>
              <w:rPr>
                <w:rFonts w:hint="eastAsia" w:ascii="宋体" w:hAnsi="宋体" w:cs="宋体"/>
                <w:bCs/>
                <w:color w:val="auto"/>
                <w:sz w:val="24"/>
                <w:highlight w:val="none"/>
              </w:rPr>
            </w:pPr>
          </w:p>
          <w:p w14:paraId="29BEDAEA">
            <w:pPr>
              <w:snapToGrid w:val="0"/>
              <w:jc w:val="center"/>
              <w:rPr>
                <w:rFonts w:hint="eastAsia" w:ascii="宋体" w:hAnsi="宋体" w:cs="宋体"/>
                <w:bCs/>
                <w:color w:val="auto"/>
                <w:sz w:val="24"/>
                <w:highlight w:val="none"/>
              </w:rPr>
            </w:pPr>
          </w:p>
          <w:p w14:paraId="786DA42A">
            <w:pPr>
              <w:snapToGrid w:val="0"/>
              <w:jc w:val="center"/>
              <w:rPr>
                <w:rFonts w:hint="eastAsia" w:ascii="宋体" w:hAnsi="宋体" w:cs="宋体"/>
                <w:bCs/>
                <w:color w:val="auto"/>
                <w:sz w:val="24"/>
                <w:highlight w:val="none"/>
              </w:rPr>
            </w:pPr>
          </w:p>
          <w:p w14:paraId="559D327A">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客</w:t>
            </w:r>
            <w:r>
              <w:rPr>
                <w:rFonts w:hint="eastAsia" w:ascii="宋体" w:hAnsi="宋体" w:cs="宋体"/>
                <w:bCs/>
                <w:color w:val="auto"/>
                <w:sz w:val="24"/>
                <w:highlight w:val="none"/>
              </w:rPr>
              <w:t>观分</w:t>
            </w:r>
          </w:p>
        </w:tc>
        <w:tc>
          <w:tcPr>
            <w:tcW w:w="1075" w:type="dxa"/>
            <w:vAlign w:val="center"/>
          </w:tcPr>
          <w:p w14:paraId="1E93345A">
            <w:pPr>
              <w:adjustRightInd/>
              <w:spacing w:line="312" w:lineRule="auto"/>
              <w:jc w:val="center"/>
              <w:rPr>
                <w:rFonts w:hint="eastAsia" w:ascii="宋体" w:hAnsi="宋体" w:cs="宋体"/>
                <w:color w:val="auto"/>
                <w:sz w:val="24"/>
                <w:highlight w:val="none"/>
              </w:rPr>
            </w:pPr>
          </w:p>
          <w:p w14:paraId="37EA068F">
            <w:pPr>
              <w:adjustRightInd/>
              <w:spacing w:line="312" w:lineRule="auto"/>
              <w:jc w:val="center"/>
              <w:rPr>
                <w:rFonts w:hint="eastAsia" w:ascii="宋体" w:hAnsi="宋体" w:cs="宋体"/>
                <w:color w:val="auto"/>
                <w:sz w:val="24"/>
                <w:highlight w:val="none"/>
              </w:rPr>
            </w:pPr>
          </w:p>
          <w:p w14:paraId="177FE2EA">
            <w:pPr>
              <w:adjustRightInd/>
              <w:spacing w:line="312" w:lineRule="auto"/>
              <w:jc w:val="center"/>
              <w:rPr>
                <w:rFonts w:hint="eastAsia" w:ascii="宋体" w:hAnsi="宋体" w:cs="宋体"/>
                <w:color w:val="auto"/>
                <w:sz w:val="24"/>
                <w:highlight w:val="none"/>
              </w:rPr>
            </w:pPr>
          </w:p>
          <w:p w14:paraId="400A9FB0">
            <w:pPr>
              <w:adjustRightInd/>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rPr>
              <w:t>售后服务方案二</w:t>
            </w:r>
          </w:p>
        </w:tc>
      </w:tr>
      <w:tr w14:paraId="6C76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861" w:type="dxa"/>
            <w:vAlign w:val="center"/>
          </w:tcPr>
          <w:p w14:paraId="046DDE3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5633" w:type="dxa"/>
            <w:vAlign w:val="center"/>
          </w:tcPr>
          <w:p w14:paraId="6D0A355D">
            <w:pPr>
              <w:numPr>
                <w:ilvl w:val="0"/>
                <w:numId w:val="13"/>
              </w:numPr>
              <w:snapToGrid w:val="0"/>
              <w:spacing w:line="240" w:lineRule="auto"/>
              <w:jc w:val="left"/>
              <w:rPr>
                <w:rFonts w:hint="eastAsia" w:ascii="宋体" w:hAnsi="宋体" w:cs="宋体"/>
                <w:color w:val="auto"/>
                <w:sz w:val="24"/>
                <w:highlight w:val="none"/>
              </w:rPr>
            </w:pPr>
            <w:r>
              <w:rPr>
                <w:rFonts w:hint="eastAsia" w:ascii="宋体" w:hAnsi="宋体" w:cs="宋体"/>
                <w:b/>
                <w:bCs/>
                <w:color w:val="auto"/>
                <w:sz w:val="24"/>
                <w:highlight w:val="none"/>
              </w:rPr>
              <w:t>产品主要尺寸</w:t>
            </w:r>
            <w:r>
              <w:rPr>
                <w:rFonts w:hint="eastAsia" w:ascii="宋体" w:hAnsi="宋体" w:cs="宋体"/>
                <w:b/>
                <w:bCs/>
                <w:color w:val="auto"/>
                <w:sz w:val="24"/>
                <w:highlight w:val="none"/>
                <w:lang w:eastAsia="zh-CN"/>
              </w:rPr>
              <w:t>（中心距、扶手宽、椅高、扶手高、座高、座深）</w:t>
            </w:r>
            <w:r>
              <w:rPr>
                <w:rFonts w:hint="eastAsia" w:ascii="宋体" w:hAnsi="宋体" w:cs="宋体"/>
                <w:b/>
                <w:bCs/>
                <w:color w:val="auto"/>
                <w:sz w:val="24"/>
                <w:highlight w:val="none"/>
              </w:rPr>
              <w:t>、形状及位置公差（0-6分）：</w:t>
            </w:r>
            <w:r>
              <w:rPr>
                <w:rFonts w:hint="eastAsia" w:ascii="宋体" w:hAnsi="宋体" w:cs="宋体"/>
                <w:color w:val="auto"/>
                <w:sz w:val="24"/>
                <w:highlight w:val="none"/>
              </w:rPr>
              <w:t xml:space="preserve"> </w:t>
            </w:r>
          </w:p>
          <w:p w14:paraId="10A161FB">
            <w:pPr>
              <w:numPr>
                <w:ilvl w:val="0"/>
                <w:numId w:val="13"/>
              </w:num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(测量工具：0～3m钢卷尺,精度5mm)：</w:t>
            </w:r>
          </w:p>
          <w:p w14:paraId="2AEDE945">
            <w:pPr>
              <w:snapToGrid w:val="0"/>
              <w:spacing w:line="240" w:lineRule="auto"/>
              <w:jc w:val="left"/>
              <w:rPr>
                <w:rFonts w:hint="eastAsia" w:ascii="宋体" w:hAnsi="宋体" w:cs="宋体"/>
                <w:color w:val="auto"/>
                <w:sz w:val="24"/>
                <w:highlight w:val="none"/>
              </w:rPr>
            </w:pPr>
            <w:r>
              <w:rPr>
                <w:rFonts w:hint="eastAsia" w:ascii="宋体" w:hAnsi="宋体" w:cs="宋体"/>
                <w:b/>
                <w:bCs/>
                <w:color w:val="auto"/>
                <w:sz w:val="24"/>
                <w:highlight w:val="none"/>
              </w:rPr>
              <w:t>二、功能性及安全要求（0-3分）：</w:t>
            </w:r>
            <w:r>
              <w:rPr>
                <w:rFonts w:hint="eastAsia" w:ascii="宋体" w:hAnsi="宋体" w:cs="宋体"/>
                <w:color w:val="auto"/>
                <w:sz w:val="24"/>
                <w:highlight w:val="none"/>
              </w:rPr>
              <w:t xml:space="preserve"> </w:t>
            </w:r>
          </w:p>
          <w:p w14:paraId="532BF330">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1、整体是否牢固，坐感是否舒适；</w:t>
            </w:r>
          </w:p>
          <w:p w14:paraId="43240316">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2、是否符合人体工效学进行设计制造；</w:t>
            </w:r>
          </w:p>
          <w:p w14:paraId="73B67E45">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3、整体曲线圆滑柔和，极具美感；</w:t>
            </w:r>
          </w:p>
          <w:p w14:paraId="19E7318D">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4、整体操作使用是否合理安全；</w:t>
            </w:r>
          </w:p>
          <w:p w14:paraId="0F754CD0">
            <w:pPr>
              <w:snapToGrid w:val="0"/>
              <w:spacing w:line="24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 xml:space="preserve">三、外观要求（0-3分）： </w:t>
            </w:r>
          </w:p>
          <w:p w14:paraId="145BDFBF">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1、焊接处应无脱焊、虚焊、焊穿、错位，焊接处应无夹渣、气孔、焊瘤、焊丝头、咬边、飞溅，焊接处表面波纹应均匀； </w:t>
            </w:r>
          </w:p>
          <w:p w14:paraId="29CE87C8">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2、冲压件应无脱层、裂缝； </w:t>
            </w:r>
          </w:p>
          <w:p w14:paraId="29712D9F">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3、不应有明显色差，包覆的面料应无破损、严重划痕、色污、油污，应平服饱满，松紧均匀，不应有明显皱折，对称工艺性皱折应匀称，层次分明； </w:t>
            </w:r>
          </w:p>
          <w:p w14:paraId="5FE62740">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4、外表应无干花、湿花,内表干花、无明显划痕、压痕、无明显色差。</w:t>
            </w:r>
          </w:p>
          <w:p w14:paraId="0EE59BBE">
            <w:pPr>
              <w:snapToGrid w:val="0"/>
              <w:spacing w:line="240" w:lineRule="auto"/>
              <w:jc w:val="left"/>
              <w:rPr>
                <w:rFonts w:hint="eastAsia" w:ascii="宋体" w:hAnsi="宋体" w:cs="宋体"/>
                <w:color w:val="auto"/>
                <w:sz w:val="24"/>
                <w:highlight w:val="none"/>
              </w:rPr>
            </w:pPr>
            <w:r>
              <w:rPr>
                <w:rFonts w:hint="eastAsia" w:ascii="宋体" w:hAnsi="宋体" w:cs="宋体"/>
                <w:b/>
                <w:bCs/>
                <w:color w:val="auto"/>
                <w:sz w:val="24"/>
                <w:highlight w:val="none"/>
              </w:rPr>
              <w:t>四、制作工艺（0-3分）：</w:t>
            </w:r>
            <w:r>
              <w:rPr>
                <w:rFonts w:hint="eastAsia" w:ascii="宋体" w:hAnsi="宋体" w:cs="宋体"/>
                <w:color w:val="auto"/>
                <w:sz w:val="24"/>
                <w:highlight w:val="none"/>
              </w:rPr>
              <w:t xml:space="preserve"> </w:t>
            </w:r>
          </w:p>
          <w:p w14:paraId="62831C57">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1、塑料部件的非交接面应进行光滑处理； </w:t>
            </w:r>
          </w:p>
          <w:p w14:paraId="2EE1AE75">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2、部件的外表应光滑，倒棱、圆角、圆线应均匀一致；  </w:t>
            </w:r>
          </w:p>
          <w:p w14:paraId="73FE7728">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3、零部件的结合应严密、牢固； </w:t>
            </w:r>
          </w:p>
          <w:p w14:paraId="3A9AB3C7">
            <w:pPr>
              <w:snapToGri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4、各种配件特别是连接件的安装应严密、平整、端正、牢固，结合处应无开裂或松动；  </w:t>
            </w:r>
          </w:p>
        </w:tc>
        <w:tc>
          <w:tcPr>
            <w:tcW w:w="675" w:type="dxa"/>
            <w:vAlign w:val="center"/>
          </w:tcPr>
          <w:p w14:paraId="14388527">
            <w:pPr>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sz w:val="24"/>
                <w:highlight w:val="none"/>
              </w:rPr>
              <w:t>15</w:t>
            </w:r>
          </w:p>
        </w:tc>
        <w:tc>
          <w:tcPr>
            <w:tcW w:w="863" w:type="dxa"/>
            <w:vAlign w:val="center"/>
          </w:tcPr>
          <w:p w14:paraId="4755AE70">
            <w:pPr>
              <w:snapToGrid w:val="0"/>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075" w:type="dxa"/>
            <w:vAlign w:val="center"/>
          </w:tcPr>
          <w:p w14:paraId="3B54A586">
            <w:pPr>
              <w:snapToGrid w:val="0"/>
              <w:spacing w:line="360" w:lineRule="auto"/>
              <w:jc w:val="center"/>
              <w:rPr>
                <w:rFonts w:hint="eastAsia" w:ascii="宋体" w:hAnsi="宋体" w:cs="宋体"/>
                <w:color w:val="auto"/>
                <w:kern w:val="0"/>
                <w:sz w:val="24"/>
                <w:highlight w:val="none"/>
              </w:rPr>
            </w:pPr>
            <w:r>
              <w:rPr>
                <w:rFonts w:hint="eastAsia" w:ascii="宋体" w:hAnsi="宋体" w:cs="宋体"/>
                <w:bCs/>
                <w:color w:val="auto"/>
                <w:sz w:val="24"/>
                <w:highlight w:val="none"/>
              </w:rPr>
              <w:t>样品分</w:t>
            </w:r>
          </w:p>
        </w:tc>
      </w:tr>
    </w:tbl>
    <w:p w14:paraId="0B21FFDC">
      <w:pPr>
        <w:widowControl/>
        <w:spacing w:line="360" w:lineRule="auto"/>
        <w:rPr>
          <w:rFonts w:ascii="仿宋" w:hAnsi="仿宋" w:eastAsia="仿宋" w:cs="仿宋"/>
          <w:color w:val="auto"/>
          <w:sz w:val="20"/>
          <w:szCs w:val="20"/>
          <w:highlight w:val="none"/>
        </w:rPr>
      </w:pPr>
    </w:p>
    <w:p w14:paraId="29AAE367">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注：1）若交易发起人对供应商提供的证明资料要求为原件的，另行提出。</w:t>
      </w:r>
    </w:p>
    <w:p w14:paraId="6EFB3FCE">
      <w:pPr>
        <w:spacing w:line="440" w:lineRule="exact"/>
        <w:ind w:firstLine="482" w:firstLineChars="200"/>
        <w:rPr>
          <w:color w:val="auto"/>
          <w:highlight w:val="none"/>
        </w:rPr>
      </w:pPr>
      <w:r>
        <w:rPr>
          <w:rFonts w:hint="eastAsia" w:ascii="仿宋" w:hAnsi="仿宋" w:eastAsia="仿宋" w:cs="仿宋"/>
          <w:b/>
          <w:color w:val="auto"/>
          <w:sz w:val="24"/>
          <w:highlight w:val="none"/>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0EE93DBF">
      <w:pPr>
        <w:pStyle w:val="639"/>
        <w:snapToGrid w:val="0"/>
        <w:ind w:firstLine="480"/>
        <w:outlineLvl w:val="1"/>
        <w:rPr>
          <w:rFonts w:ascii="仿宋" w:hAnsi="仿宋" w:eastAsia="仿宋" w:cs="仿宋"/>
          <w:color w:val="auto"/>
          <w:sz w:val="24"/>
          <w:szCs w:val="28"/>
          <w:highlight w:val="none"/>
        </w:rPr>
      </w:pPr>
    </w:p>
    <w:p w14:paraId="555A741F">
      <w:pPr>
        <w:pStyle w:val="639"/>
        <w:snapToGrid w:val="0"/>
        <w:ind w:firstLine="480"/>
        <w:outlineLvl w:val="1"/>
        <w:rPr>
          <w:rFonts w:ascii="仿宋" w:hAnsi="仿宋" w:eastAsia="仿宋" w:cs="仿宋"/>
          <w:color w:val="auto"/>
          <w:sz w:val="24"/>
          <w:szCs w:val="24"/>
          <w:highlight w:val="none"/>
        </w:rPr>
      </w:pPr>
      <w:r>
        <w:rPr>
          <w:rFonts w:hint="eastAsia" w:ascii="仿宋" w:hAnsi="仿宋" w:eastAsia="仿宋" w:cs="仿宋"/>
          <w:color w:val="auto"/>
          <w:sz w:val="24"/>
          <w:szCs w:val="28"/>
          <w:highlight w:val="none"/>
        </w:rPr>
        <w:t>2、价格分（30分）</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76B1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60FE208B">
            <w:pPr>
              <w:widowControl/>
              <w:snapToGrid w:val="0"/>
              <w:spacing w:line="360" w:lineRule="auto"/>
              <w:ind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55CEA1B6">
            <w:pPr>
              <w:widowControl/>
              <w:snapToGrid w:val="0"/>
              <w:spacing w:line="360" w:lineRule="auto"/>
              <w:ind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78E9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4F0FEEBF">
            <w:pPr>
              <w:widowControl/>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价格权值=0.3</w:t>
            </w:r>
          </w:p>
        </w:tc>
        <w:tc>
          <w:tcPr>
            <w:tcW w:w="6599" w:type="dxa"/>
            <w:tcBorders>
              <w:top w:val="single" w:color="auto" w:sz="4" w:space="0"/>
              <w:left w:val="single" w:color="auto" w:sz="4" w:space="0"/>
              <w:bottom w:val="single" w:color="auto" w:sz="4" w:space="0"/>
              <w:right w:val="single" w:color="auto" w:sz="4" w:space="0"/>
            </w:tcBorders>
            <w:noWrap/>
            <w:vAlign w:val="center"/>
          </w:tcPr>
          <w:p w14:paraId="1BB8504E">
            <w:pPr>
              <w:widowControl/>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最低有效响应价格为评审基准价</w:t>
            </w:r>
          </w:p>
          <w:p w14:paraId="10EA1442">
            <w:pPr>
              <w:widowControl/>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响应报价得分=(评审基准价／响应报价)×价格权值×100</w:t>
            </w:r>
          </w:p>
          <w:p w14:paraId="2DE7A5D4">
            <w:pPr>
              <w:widowControl/>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14:paraId="374F7C7C">
      <w:pPr>
        <w:snapToGrid w:val="0"/>
        <w:spacing w:line="570" w:lineRule="exact"/>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一、交易方法</w:t>
      </w:r>
    </w:p>
    <w:p w14:paraId="5551A8B5">
      <w:pPr>
        <w:adjustRightInd/>
        <w:spacing w:line="570" w:lineRule="exact"/>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1.本项目采用综合评估法。</w:t>
      </w:r>
      <w:r>
        <w:rPr>
          <w:rFonts w:hint="eastAsia" w:ascii="仿宋" w:hAnsi="仿宋" w:eastAsia="仿宋" w:cs="仿宋"/>
          <w:color w:val="auto"/>
          <w:kern w:val="0"/>
          <w:sz w:val="24"/>
          <w:highlight w:val="none"/>
        </w:rPr>
        <w:t>综合评估法，是指响应文件满足交易文件全部实质性要求，且按照评审因素评审得分最高的供应商为成交候选人的评审方法。</w:t>
      </w:r>
    </w:p>
    <w:p w14:paraId="285107B5">
      <w:pPr>
        <w:adjustRightInd/>
        <w:spacing w:line="570" w:lineRule="exact"/>
        <w:rPr>
          <w:rFonts w:ascii="仿宋" w:hAnsi="仿宋" w:eastAsia="仿宋" w:cs="仿宋"/>
          <w:color w:val="auto"/>
          <w:kern w:val="0"/>
          <w:sz w:val="24"/>
          <w:highlight w:val="none"/>
        </w:rPr>
      </w:pPr>
      <w:r>
        <w:rPr>
          <w:rFonts w:hint="eastAsia" w:ascii="仿宋" w:hAnsi="仿宋" w:eastAsia="仿宋" w:cs="仿宋"/>
          <w:b/>
          <w:color w:val="auto"/>
          <w:sz w:val="32"/>
          <w:highlight w:val="none"/>
        </w:rPr>
        <w:t>二、交易标准</w:t>
      </w:r>
    </w:p>
    <w:p w14:paraId="2EF96B44">
      <w:pPr>
        <w:spacing w:line="570" w:lineRule="exact"/>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评审标准：</w:t>
      </w:r>
      <w:r>
        <w:rPr>
          <w:rFonts w:hint="eastAsia" w:ascii="仿宋" w:hAnsi="仿宋" w:eastAsia="仿宋" w:cs="仿宋"/>
          <w:color w:val="auto"/>
          <w:kern w:val="0"/>
          <w:sz w:val="24"/>
          <w:highlight w:val="none"/>
        </w:rPr>
        <w:t>见交易办法前附表。</w:t>
      </w:r>
    </w:p>
    <w:p w14:paraId="2603EDAE">
      <w:pPr>
        <w:spacing w:line="570" w:lineRule="exact"/>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w:t>
      </w:r>
      <w:r>
        <w:rPr>
          <w:rFonts w:hint="eastAsia" w:ascii="仿宋" w:hAnsi="仿宋" w:eastAsia="仿宋" w:cs="仿宋"/>
          <w:b/>
          <w:color w:val="auto"/>
          <w:sz w:val="32"/>
          <w:highlight w:val="none"/>
        </w:rPr>
        <w:t>交易程序</w:t>
      </w:r>
    </w:p>
    <w:p w14:paraId="37AF5A2D">
      <w:pPr>
        <w:spacing w:line="570" w:lineRule="exact"/>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评标委员会应当对符合资格的供应商的响应文件进行符合性审查，以确定其是否满足交易文件的实质性要求。不满足交易文件的实质性要求的，交易无效。</w:t>
      </w:r>
    </w:p>
    <w:p w14:paraId="0775616F">
      <w:pPr>
        <w:spacing w:line="570" w:lineRule="exact"/>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评标委员会应当按照交易文件中规定的评标方法和标准，对符合性审查合格的响应文件进行商务和技术评估，综合比较与评价。</w:t>
      </w:r>
    </w:p>
    <w:p w14:paraId="3E133387">
      <w:pPr>
        <w:spacing w:line="570" w:lineRule="exact"/>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评标委员会各成员应当独立对每个供应商的商务和技术文件进行评价，并汇总商务技术得分情况。</w:t>
      </w:r>
    </w:p>
    <w:p w14:paraId="3AD744AF">
      <w:pPr>
        <w:spacing w:line="570" w:lineRule="exact"/>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DB0C450">
      <w:pPr>
        <w:pStyle w:val="218"/>
        <w:spacing w:before="0" w:line="570" w:lineRule="exact"/>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3.4.1响应文件报价出现前后不一致的，按照下列规定修正：</w:t>
      </w:r>
    </w:p>
    <w:p w14:paraId="1BFEA91C">
      <w:pPr>
        <w:pStyle w:val="218"/>
        <w:spacing w:before="0" w:line="570" w:lineRule="exact"/>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3.4.1.1响应文件中交易一览表(报价表)内容与响应文件中相应内容不一致的，以交易一览表(报价表)为准；</w:t>
      </w:r>
    </w:p>
    <w:p w14:paraId="30936ED6">
      <w:pPr>
        <w:pStyle w:val="218"/>
        <w:spacing w:before="0" w:line="570" w:lineRule="exact"/>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49D9A35">
      <w:pPr>
        <w:pStyle w:val="218"/>
        <w:spacing w:before="0" w:line="570" w:lineRule="exact"/>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3.4.1.3单价金额小数点或者百分比有明显错位的，以交易一览表的总价为准，并修改单价;</w:t>
      </w:r>
    </w:p>
    <w:p w14:paraId="6C72D1C8">
      <w:pPr>
        <w:pStyle w:val="218"/>
        <w:spacing w:before="0" w:line="570" w:lineRule="exact"/>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C73816B">
      <w:pPr>
        <w:pStyle w:val="218"/>
        <w:spacing w:before="0" w:line="570" w:lineRule="exact"/>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58D8781D">
      <w:pPr>
        <w:snapToGrid w:val="0"/>
        <w:spacing w:line="57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3.4.2响应文件出现不是唯一的、有选择性交易报价的，交易无效。</w:t>
      </w:r>
    </w:p>
    <w:p w14:paraId="553CD961">
      <w:pPr>
        <w:snapToGrid w:val="0"/>
        <w:spacing w:line="57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3.4.3交易报价超过交易文件中规定的预算金额或者最高限价的，交易无效。</w:t>
      </w:r>
    </w:p>
    <w:p w14:paraId="5E6D1236">
      <w:pPr>
        <w:pStyle w:val="218"/>
        <w:spacing w:before="0" w:line="570" w:lineRule="exact"/>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6C2DF5B3">
      <w:pPr>
        <w:spacing w:line="570" w:lineRule="exact"/>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估法的，评标结果按评审后得分由高到低顺序排列。得分相同的，按交易报价由低到高顺序排列。得分且交易报价相同的并列。响应文件满足交易文件全部实质性要求，且按照评审因素的量评审得分最高的供应商为排名第一的成交候选人。</w:t>
      </w:r>
    </w:p>
    <w:p w14:paraId="258AECB3">
      <w:pPr>
        <w:spacing w:line="570" w:lineRule="exact"/>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6E98895F">
      <w:pPr>
        <w:spacing w:line="570" w:lineRule="exact"/>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CB7A62">
      <w:pPr>
        <w:widowControl/>
        <w:shd w:val="clear" w:color="auto" w:fill="FFFFFF"/>
        <w:adjustRightInd/>
        <w:spacing w:after="225" w:line="570" w:lineRule="exac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EF0AB4A">
      <w:pPr>
        <w:pStyle w:val="218"/>
        <w:spacing w:before="0" w:line="570" w:lineRule="exact"/>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999A8E9">
      <w:pPr>
        <w:pStyle w:val="23"/>
        <w:spacing w:line="570" w:lineRule="exact"/>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4.2交易无效。</w:t>
      </w:r>
      <w:r>
        <w:rPr>
          <w:rFonts w:hint="eastAsia" w:ascii="仿宋" w:hAnsi="仿宋" w:eastAsia="仿宋" w:cs="仿宋"/>
          <w:color w:val="auto"/>
          <w:szCs w:val="21"/>
          <w:highlight w:val="none"/>
        </w:rPr>
        <w:t>有下列情形之一的，交易无效：</w:t>
      </w:r>
    </w:p>
    <w:p w14:paraId="7421DA80">
      <w:pPr>
        <w:spacing w:line="57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4.2.1供应商不具备交易文件中规定的资格要求的（供应商未提供有效的资格文件的，视为供应商不具备交易文件中规定的资格要求）；</w:t>
      </w:r>
    </w:p>
    <w:p w14:paraId="717730C5">
      <w:pPr>
        <w:spacing w:line="57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4.2.2响应文件未按照交易文件要求签署、盖章的；</w:t>
      </w:r>
    </w:p>
    <w:p w14:paraId="5740FF79">
      <w:pPr>
        <w:spacing w:line="57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4.2.3交易发起人拟采购的产品属于政府强制采购的节能产品品目清单范围的，供应商未按交易文件要求提供国家确定的认证机构出具的、处于有效期之内的节能产品认证证书的；</w:t>
      </w:r>
    </w:p>
    <w:p w14:paraId="261F194C">
      <w:pPr>
        <w:spacing w:line="57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4.2.4响应文件含有交易发起人不能接受的附加条件的；</w:t>
      </w:r>
    </w:p>
    <w:p w14:paraId="3B5A33C4">
      <w:pPr>
        <w:spacing w:line="57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4.2.5响应文件中承诺的交易有效期少于交易文件中载明的交易有效期的；</w:t>
      </w:r>
    </w:p>
    <w:p w14:paraId="624917F1">
      <w:pPr>
        <w:snapToGrid w:val="0"/>
        <w:spacing w:line="570" w:lineRule="exact"/>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4.2.6响应文件出现不是唯一的、有选择性交易报价的;</w:t>
      </w:r>
    </w:p>
    <w:p w14:paraId="1977AAF2">
      <w:pPr>
        <w:spacing w:line="57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4.2.7交易报价超过交易文件中规定的预算金额或者最高限价的;</w:t>
      </w:r>
    </w:p>
    <w:p w14:paraId="78E7C6CF">
      <w:pPr>
        <w:spacing w:line="57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4B61A0AF">
      <w:pPr>
        <w:spacing w:line="57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14:paraId="67210FF3">
      <w:pPr>
        <w:spacing w:line="57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4.2.10供应商提供虚假材料投标的；</w:t>
      </w:r>
    </w:p>
    <w:p w14:paraId="62C83B70">
      <w:pPr>
        <w:spacing w:line="570" w:lineRule="exact"/>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4.2.11供应商有恶意串通、妨碍其他供应商的竞争行为、损害交易发起人或者其他供应商的合法权益情形的；</w:t>
      </w:r>
    </w:p>
    <w:p w14:paraId="50E8EAFB">
      <w:pPr>
        <w:spacing w:line="57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4.2.12供应商仅提交备份响应文件，未在电子交易平台传输递交响应文件的，交易无效；</w:t>
      </w:r>
    </w:p>
    <w:p w14:paraId="004AF358">
      <w:pPr>
        <w:pStyle w:val="2"/>
        <w:spacing w:line="570" w:lineRule="exact"/>
        <w:ind w:left="430"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响应文件不满足交易文件的其它实质性要求的；</w:t>
      </w:r>
    </w:p>
    <w:p w14:paraId="08077338">
      <w:pPr>
        <w:spacing w:line="57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2CDCFEDD">
      <w:pPr>
        <w:pStyle w:val="23"/>
        <w:snapToGrid w:val="0"/>
        <w:spacing w:line="570" w:lineRule="exact"/>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EB9FA60">
      <w:pPr>
        <w:pStyle w:val="23"/>
        <w:snapToGrid w:val="0"/>
        <w:spacing w:line="570" w:lineRule="exact"/>
        <w:rPr>
          <w:rFonts w:ascii="仿宋" w:hAnsi="仿宋" w:eastAsia="仿宋" w:cs="仿宋"/>
          <w:color w:val="auto"/>
          <w:highlight w:val="none"/>
        </w:rPr>
      </w:pPr>
      <w:r>
        <w:rPr>
          <w:rFonts w:hint="eastAsia" w:ascii="仿宋" w:hAnsi="仿宋" w:eastAsia="仿宋" w:cs="仿宋"/>
          <w:color w:val="auto"/>
          <w:highlight w:val="none"/>
        </w:rPr>
        <w:t>5.1符合专业条件的供应商或者对交易文件作实质响应的供应商不足3家的；</w:t>
      </w:r>
    </w:p>
    <w:p w14:paraId="2D6DE2BE">
      <w:pPr>
        <w:pStyle w:val="23"/>
        <w:snapToGrid w:val="0"/>
        <w:spacing w:line="570" w:lineRule="exact"/>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623C2C1">
      <w:pPr>
        <w:pStyle w:val="23"/>
        <w:snapToGrid w:val="0"/>
        <w:spacing w:line="570" w:lineRule="exact"/>
        <w:rPr>
          <w:rFonts w:ascii="仿宋" w:hAnsi="仿宋" w:eastAsia="仿宋" w:cs="仿宋"/>
          <w:color w:val="auto"/>
          <w:highlight w:val="none"/>
        </w:rPr>
      </w:pPr>
      <w:r>
        <w:rPr>
          <w:rFonts w:hint="eastAsia" w:ascii="仿宋" w:hAnsi="仿宋" w:eastAsia="仿宋" w:cs="仿宋"/>
          <w:color w:val="auto"/>
          <w:highlight w:val="none"/>
        </w:rPr>
        <w:t>5.3供应商的报价均超过了采购预算，交易发起人不能支付的；</w:t>
      </w:r>
    </w:p>
    <w:p w14:paraId="1FAE8F8A">
      <w:pPr>
        <w:pStyle w:val="23"/>
        <w:snapToGrid w:val="0"/>
        <w:spacing w:line="570" w:lineRule="exact"/>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9DCB71E">
      <w:pPr>
        <w:pStyle w:val="23"/>
        <w:snapToGrid w:val="0"/>
        <w:spacing w:line="570" w:lineRule="exact"/>
        <w:rPr>
          <w:rFonts w:ascii="仿宋" w:hAnsi="仿宋" w:eastAsia="仿宋" w:cs="仿宋"/>
          <w:color w:val="auto"/>
          <w:highlight w:val="none"/>
        </w:rPr>
      </w:pPr>
      <w:r>
        <w:rPr>
          <w:rFonts w:hint="eastAsia" w:ascii="仿宋" w:hAnsi="仿宋" w:eastAsia="仿宋" w:cs="仿宋"/>
          <w:color w:val="auto"/>
          <w:highlight w:val="none"/>
        </w:rPr>
        <w:t>废标后，采购机构应当将废标理由通知所有供应商。</w:t>
      </w:r>
    </w:p>
    <w:p w14:paraId="2760B414">
      <w:pPr>
        <w:pStyle w:val="23"/>
        <w:snapToGrid w:val="0"/>
        <w:spacing w:line="570" w:lineRule="exact"/>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6.修改交易文件，重新组织采购活动。</w:t>
      </w:r>
      <w:r>
        <w:rPr>
          <w:rFonts w:hint="eastAsia" w:ascii="仿宋" w:hAnsi="仿宋" w:eastAsia="仿宋" w:cs="仿宋"/>
          <w:color w:val="auto"/>
          <w:highlight w:val="none"/>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22FFE78F">
      <w:pPr>
        <w:pStyle w:val="23"/>
        <w:snapToGrid w:val="0"/>
        <w:spacing w:line="570" w:lineRule="exact"/>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有政府采购法第七十一条、第七十二条规定的违法行为之一，影响或者可能影响成交、成交结果的，依照下列规定处理：</w:t>
      </w:r>
    </w:p>
    <w:p w14:paraId="5A38B552">
      <w:pPr>
        <w:pStyle w:val="23"/>
        <w:snapToGrid w:val="0"/>
        <w:spacing w:line="570" w:lineRule="exact"/>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7.1未确定成交或者成交人的，终止本次政府采购活动，重新开展政府采购活动。</w:t>
      </w:r>
    </w:p>
    <w:p w14:paraId="7CE33018">
      <w:pPr>
        <w:pStyle w:val="23"/>
        <w:snapToGrid w:val="0"/>
        <w:spacing w:line="570" w:lineRule="exact"/>
        <w:ind w:firstLine="600" w:firstLineChars="250"/>
        <w:rPr>
          <w:rFonts w:ascii="仿宋" w:hAnsi="仿宋" w:eastAsia="仿宋" w:cs="仿宋"/>
          <w:color w:val="auto"/>
          <w:highlight w:val="none"/>
        </w:rPr>
      </w:pPr>
      <w:r>
        <w:rPr>
          <w:rFonts w:hint="eastAsia" w:ascii="仿宋" w:hAnsi="仿宋" w:eastAsia="仿宋" w:cs="仿宋"/>
          <w:color w:val="auto"/>
          <w:highlight w:val="none"/>
        </w:rPr>
        <w:t>7.2已确定成交或者成交人但尚未签订政府采购合同的，成交或者成交结果无效，从合格的成交或者成交候选人中另行确定成交或者成交人；没有合格的成交或者成交候选人的，重新开展政府采购活动。</w:t>
      </w:r>
    </w:p>
    <w:p w14:paraId="03F41CDD">
      <w:pPr>
        <w:pStyle w:val="23"/>
        <w:snapToGrid w:val="0"/>
        <w:spacing w:line="570" w:lineRule="exact"/>
        <w:ind w:firstLine="600" w:firstLineChars="250"/>
        <w:rPr>
          <w:rFonts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7.3采购合同已签订但尚未履行的，撤销合同，从合格的成交或者成交候选人中另行确定成交或者成交人；没有合格的成交或者成交候选人的，重新开展政府采购活动。</w:t>
      </w:r>
    </w:p>
    <w:p w14:paraId="1E40EA9B">
      <w:pPr>
        <w:pStyle w:val="23"/>
        <w:snapToGrid w:val="0"/>
        <w:spacing w:line="570" w:lineRule="exact"/>
        <w:rPr>
          <w:rFonts w:ascii="仿宋" w:hAnsi="仿宋" w:eastAsia="仿宋" w:cs="仿宋"/>
          <w:color w:val="auto"/>
          <w:highlight w:val="none"/>
        </w:rPr>
      </w:pPr>
      <w:r>
        <w:rPr>
          <w:rFonts w:hint="eastAsia" w:ascii="仿宋" w:hAnsi="仿宋" w:eastAsia="仿宋" w:cs="仿宋"/>
          <w:color w:val="auto"/>
          <w:highlight w:val="none"/>
        </w:rPr>
        <w:t>7.4采购合同已经履行，给交易发起人、供应商造成损失的，由责任人承担赔偿责任。</w:t>
      </w:r>
    </w:p>
    <w:p w14:paraId="4E786A91">
      <w:pPr>
        <w:pStyle w:val="23"/>
        <w:snapToGrid w:val="0"/>
        <w:spacing w:line="570" w:lineRule="exact"/>
        <w:rPr>
          <w:rFonts w:ascii="仿宋" w:hAnsi="仿宋" w:eastAsia="仿宋" w:cs="仿宋"/>
          <w:color w:val="auto"/>
          <w:highlight w:val="none"/>
        </w:rPr>
      </w:pPr>
      <w:r>
        <w:rPr>
          <w:rFonts w:hint="eastAsia" w:ascii="仿宋" w:hAnsi="仿宋" w:eastAsia="仿宋" w:cs="仿宋"/>
          <w:color w:val="auto"/>
          <w:highlight w:val="none"/>
        </w:rPr>
        <w:t>7.5采购当事人有其他违反政府采购法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的行为，经改正后仍然影响或者可能影响成交、成交结果或者依法被认定为成交、成交无效的，依照7.1-7.4规定处理。</w:t>
      </w:r>
    </w:p>
    <w:p w14:paraId="422F9A94">
      <w:pPr>
        <w:widowControl/>
        <w:spacing w:line="360" w:lineRule="auto"/>
        <w:rPr>
          <w:rFonts w:ascii="仿宋" w:hAnsi="仿宋" w:eastAsia="仿宋" w:cs="仿宋"/>
          <w:color w:val="auto"/>
          <w:sz w:val="24"/>
          <w:highlight w:val="none"/>
        </w:rPr>
      </w:pPr>
    </w:p>
    <w:p w14:paraId="6EF47596">
      <w:pPr>
        <w:widowControl/>
        <w:adjustRightInd/>
        <w:jc w:val="left"/>
        <w:rPr>
          <w:rFonts w:ascii="仿宋" w:hAnsi="仿宋" w:eastAsia="仿宋" w:cs="仿宋"/>
          <w:b/>
          <w:color w:val="auto"/>
          <w:sz w:val="32"/>
          <w:highlight w:val="none"/>
        </w:rPr>
      </w:pPr>
    </w:p>
    <w:bookmarkEnd w:id="39"/>
    <w:p w14:paraId="50AC4C23">
      <w:pPr>
        <w:spacing w:line="360" w:lineRule="auto"/>
        <w:ind w:left="720" w:leftChars="343" w:firstLine="1084" w:firstLineChars="300"/>
        <w:outlineLvl w:val="0"/>
        <w:rPr>
          <w:rFonts w:ascii="仿宋" w:hAnsi="仿宋" w:eastAsia="仿宋" w:cs="仿宋"/>
          <w:b/>
          <w:color w:val="auto"/>
          <w:sz w:val="36"/>
          <w:szCs w:val="36"/>
          <w:highlight w:val="none"/>
        </w:rPr>
      </w:pPr>
    </w:p>
    <w:p w14:paraId="29EB2946">
      <w:pPr>
        <w:spacing w:line="360" w:lineRule="auto"/>
        <w:ind w:left="720" w:leftChars="343" w:firstLine="1084" w:firstLineChars="300"/>
        <w:outlineLvl w:val="0"/>
        <w:rPr>
          <w:rFonts w:ascii="仿宋" w:hAnsi="仿宋" w:eastAsia="仿宋" w:cs="仿宋"/>
          <w:b/>
          <w:color w:val="auto"/>
          <w:sz w:val="36"/>
          <w:szCs w:val="36"/>
          <w:highlight w:val="none"/>
        </w:rPr>
      </w:pPr>
    </w:p>
    <w:p w14:paraId="00A8FBDD">
      <w:pPr>
        <w:spacing w:line="360" w:lineRule="auto"/>
        <w:ind w:left="720" w:leftChars="343" w:firstLine="1084" w:firstLineChars="300"/>
        <w:outlineLvl w:val="0"/>
        <w:rPr>
          <w:rFonts w:ascii="仿宋" w:hAnsi="仿宋" w:eastAsia="仿宋" w:cs="仿宋"/>
          <w:b/>
          <w:color w:val="auto"/>
          <w:sz w:val="36"/>
          <w:szCs w:val="36"/>
          <w:highlight w:val="none"/>
        </w:rPr>
      </w:pPr>
    </w:p>
    <w:p w14:paraId="3E8FAE62">
      <w:pPr>
        <w:spacing w:line="360" w:lineRule="auto"/>
        <w:ind w:left="720" w:leftChars="343" w:firstLine="1084" w:firstLineChars="300"/>
        <w:outlineLvl w:val="0"/>
        <w:rPr>
          <w:rFonts w:ascii="仿宋" w:hAnsi="仿宋" w:eastAsia="仿宋" w:cs="仿宋"/>
          <w:b/>
          <w:color w:val="auto"/>
          <w:sz w:val="36"/>
          <w:szCs w:val="36"/>
          <w:highlight w:val="none"/>
        </w:rPr>
      </w:pPr>
    </w:p>
    <w:p w14:paraId="0EBD7942">
      <w:pPr>
        <w:spacing w:line="360" w:lineRule="auto"/>
        <w:ind w:left="720" w:leftChars="343" w:firstLine="1084" w:firstLineChars="300"/>
        <w:outlineLvl w:val="0"/>
        <w:rPr>
          <w:rFonts w:ascii="仿宋" w:hAnsi="仿宋" w:eastAsia="仿宋" w:cs="仿宋"/>
          <w:b/>
          <w:color w:val="auto"/>
          <w:sz w:val="36"/>
          <w:szCs w:val="36"/>
          <w:highlight w:val="none"/>
        </w:rPr>
      </w:pPr>
    </w:p>
    <w:p w14:paraId="68E6FD4C">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F5A3884">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076988C1">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DA7AB7D">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388B424">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81E7F13">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2A25A54D">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D1E560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（货物类样本）</w:t>
      </w:r>
    </w:p>
    <w:p w14:paraId="0B8D5520">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合同编号：</w:t>
      </w:r>
    </w:p>
    <w:p w14:paraId="3F90BD29">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签订地点：                                  签订时间：20* 年  月  日</w:t>
      </w:r>
    </w:p>
    <w:p w14:paraId="3771B528">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项目名称：</w:t>
      </w:r>
    </w:p>
    <w:p w14:paraId="03B6CC3A">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 xml:space="preserve">甲方（需方）：                                     </w:t>
      </w:r>
    </w:p>
    <w:p w14:paraId="5E7C823D">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 xml:space="preserve">乙方（供方）：                                     </w:t>
      </w:r>
    </w:p>
    <w:p w14:paraId="50135D73">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 xml:space="preserve">供、需双方根据杭州市萧山区                             项目（招标编号  </w:t>
      </w:r>
    </w:p>
    <w:p w14:paraId="0C80B553">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 xml:space="preserve">  -  -  ）交易结果和公开竞争文件的要求，并经双方协调一致，订立本采购合同。</w:t>
      </w:r>
    </w:p>
    <w:p w14:paraId="552C3FF6">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一、合同文件：</w:t>
      </w:r>
    </w:p>
    <w:p w14:paraId="7896A669">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1、合同条款。</w:t>
      </w:r>
    </w:p>
    <w:p w14:paraId="3CBBD057">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2、成交通知书。</w:t>
      </w:r>
    </w:p>
    <w:p w14:paraId="085A094A">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3、公开竞争文件。</w:t>
      </w:r>
    </w:p>
    <w:p w14:paraId="0A6B9F68">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4、更正公告。</w:t>
      </w:r>
    </w:p>
    <w:p w14:paraId="36F7B747">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5、成交单位响应文件。</w:t>
      </w:r>
    </w:p>
    <w:p w14:paraId="33E11747">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6、其他。</w:t>
      </w:r>
    </w:p>
    <w:p w14:paraId="465CB1AD">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二、合同金额:合同金额为(大写)_________________元（￥　　　　元）人民币。</w:t>
      </w:r>
    </w:p>
    <w:p w14:paraId="74C6A7F1">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 xml:space="preserve">附《采购项目清单内容》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14:paraId="5999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56D2C36">
            <w:pPr>
              <w:pStyle w:val="23"/>
              <w:snapToGrid w:val="0"/>
              <w:spacing w:line="360" w:lineRule="auto"/>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05C05D5E">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36FC8BD7">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08DE6D99">
            <w:pPr>
              <w:pStyle w:val="23"/>
              <w:snapToGrid w:val="0"/>
              <w:spacing w:line="360" w:lineRule="auto"/>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6EA43072">
            <w:pPr>
              <w:pStyle w:val="23"/>
              <w:snapToGrid w:val="0"/>
              <w:spacing w:line="360" w:lineRule="auto"/>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数量</w:t>
            </w:r>
          </w:p>
        </w:tc>
        <w:tc>
          <w:tcPr>
            <w:tcW w:w="1532" w:type="dxa"/>
            <w:tcBorders>
              <w:top w:val="single" w:color="auto" w:sz="4" w:space="0"/>
              <w:left w:val="single" w:color="auto" w:sz="4" w:space="0"/>
              <w:bottom w:val="single" w:color="auto" w:sz="4" w:space="0"/>
              <w:right w:val="single" w:color="auto" w:sz="4" w:space="0"/>
            </w:tcBorders>
            <w:vAlign w:val="center"/>
          </w:tcPr>
          <w:p w14:paraId="3555BB8E">
            <w:pPr>
              <w:pStyle w:val="23"/>
              <w:snapToGrid w:val="0"/>
              <w:spacing w:line="360" w:lineRule="auto"/>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成交总价（元）</w:t>
            </w:r>
          </w:p>
        </w:tc>
      </w:tr>
      <w:tr w14:paraId="0339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0A79CB2">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14:paraId="3B5F4DF2">
            <w:pPr>
              <w:pStyle w:val="23"/>
              <w:snapToGrid w:val="0"/>
              <w:spacing w:line="360" w:lineRule="auto"/>
              <w:rPr>
                <w:rFonts w:ascii="仿宋" w:hAnsi="仿宋" w:eastAsia="仿宋" w:cs="仿宋_GB2312"/>
                <w:color w:val="auto"/>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9A86C82">
            <w:pPr>
              <w:pStyle w:val="23"/>
              <w:snapToGrid w:val="0"/>
              <w:spacing w:line="360" w:lineRule="auto"/>
              <w:rPr>
                <w:rFonts w:ascii="仿宋" w:hAnsi="仿宋" w:eastAsia="仿宋" w:cs="仿宋_GB2312"/>
                <w:color w:val="auto"/>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568AFD67">
            <w:pPr>
              <w:pStyle w:val="23"/>
              <w:snapToGrid w:val="0"/>
              <w:spacing w:line="360" w:lineRule="auto"/>
              <w:rPr>
                <w:rFonts w:ascii="仿宋" w:hAnsi="仿宋" w:eastAsia="仿宋" w:cs="仿宋_GB2312"/>
                <w:color w:val="auto"/>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5E4965FA">
            <w:pPr>
              <w:pStyle w:val="23"/>
              <w:snapToGrid w:val="0"/>
              <w:spacing w:line="360" w:lineRule="auto"/>
              <w:rPr>
                <w:rFonts w:ascii="仿宋" w:hAnsi="仿宋" w:eastAsia="仿宋" w:cs="仿宋_GB2312"/>
                <w:color w:val="auto"/>
                <w:highlight w:val="none"/>
              </w:rPr>
            </w:pPr>
          </w:p>
        </w:tc>
        <w:tc>
          <w:tcPr>
            <w:tcW w:w="1532" w:type="dxa"/>
            <w:tcBorders>
              <w:top w:val="single" w:color="auto" w:sz="4" w:space="0"/>
              <w:left w:val="single" w:color="auto" w:sz="4" w:space="0"/>
              <w:bottom w:val="single" w:color="auto" w:sz="4" w:space="0"/>
              <w:right w:val="single" w:color="auto" w:sz="4" w:space="0"/>
            </w:tcBorders>
          </w:tcPr>
          <w:p w14:paraId="0494CE78">
            <w:pPr>
              <w:pStyle w:val="23"/>
              <w:snapToGrid w:val="0"/>
              <w:spacing w:line="360" w:lineRule="auto"/>
              <w:rPr>
                <w:rFonts w:ascii="仿宋" w:hAnsi="仿宋" w:eastAsia="仿宋" w:cs="仿宋_GB2312"/>
                <w:color w:val="auto"/>
                <w:highlight w:val="none"/>
              </w:rPr>
            </w:pPr>
          </w:p>
        </w:tc>
      </w:tr>
    </w:tbl>
    <w:p w14:paraId="7568B446">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三、质量要求及供方对质量负责条件和期限：</w:t>
      </w:r>
    </w:p>
    <w:p w14:paraId="6768976C">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供方提供的货物必须是现货、全新，符合交易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14:paraId="7EC87CA0">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2、供方在维保期内接到用户单位的电话后，在**小时内响应，**小时以内到现场，**小时以内解决问题，不能修复的，必须采取无偿提供备品、备件或备机等措施，以保证用户单位的正常使用。</w:t>
      </w:r>
    </w:p>
    <w:p w14:paraId="669E2B75">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四、工期时间__________________________</w:t>
      </w:r>
    </w:p>
    <w:p w14:paraId="6573E574">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 xml:space="preserve">交货地点：                                                               </w:t>
      </w:r>
    </w:p>
    <w:p w14:paraId="091B8CAE">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五、货款支付</w:t>
      </w:r>
    </w:p>
    <w:p w14:paraId="04477CAC">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付款方式：合同签订后采购人支付合同价的30%为预付款，所有设备安装、调试后、经相关部门验收合格后至支付100%。</w:t>
      </w:r>
    </w:p>
    <w:p w14:paraId="6C37F17B">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六、履约保证金</w:t>
      </w:r>
    </w:p>
    <w:p w14:paraId="29EC44B6">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1、履约保证金：为保证采购项目合同的顺利执行，供方在本合同签订之前，其成交价的1%作为履约保证金（银行汇票形式）交付采购人。待项目验收合格后，由采购人将履约保证金无息退还供方。</w:t>
      </w:r>
    </w:p>
    <w:p w14:paraId="6CA21B56">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七、违约责任</w:t>
      </w:r>
    </w:p>
    <w:p w14:paraId="6219D831">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1、甲方无正当理由拒收货物的，甲方向乙方偿付拒收货款总值的百分之 五 违约金。</w:t>
      </w:r>
    </w:p>
    <w:p w14:paraId="77B51F7E">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2、乙方逾期交付货物的，乙方应按逾期交付货款总额每日千分之 六  向甲方支付违约金，由甲方从待付货款中扣除。逾期超过约定日期 10 个工作日不能交货的，甲方可解除本合同，履约保证金不予退还，如造成甲方损失超过履约保证金的，超出部分由乙方继续承担赔偿责任。</w:t>
      </w:r>
    </w:p>
    <w:p w14:paraId="6A339A88">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14:paraId="634FBA84">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4、因需方原因逾期支付合同款，自逾期之日起，向供方每日偿付合同总价千分之 二的滞纳金；需方无正当理由拒付货款的，应向供方偿付合同总价百分之五的违约金。</w:t>
      </w:r>
    </w:p>
    <w:p w14:paraId="6C9529A2">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5、如发现乙方违反招投标文件和合同的有关规定，甲方有权根据约定和《杭州市政府采购供应商合同履行和售后服务考核暂行办法》，对乙方进行处罚，并有权提前终止合同。</w:t>
      </w:r>
    </w:p>
    <w:p w14:paraId="501E1DA7">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八、调试和验收</w:t>
      </w:r>
    </w:p>
    <w:p w14:paraId="5534E441">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九、争议的解决</w:t>
      </w:r>
    </w:p>
    <w:p w14:paraId="75AFCD74">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因本合同引起的或与本合同有关的任何争议，合同双方应首先通过协商解决，达成书面协议，如协商不成，可选择下列第      种方式解决。</w:t>
      </w:r>
    </w:p>
    <w:p w14:paraId="13940392">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（1）提请杭州仲裁委员会按照该会仲裁规则进行仲裁，仲裁裁决是终局的，对合同双方均有约束力。</w:t>
      </w:r>
    </w:p>
    <w:p w14:paraId="5BF64618">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（2）向有管辖权的人民法院提起诉讼。</w:t>
      </w:r>
    </w:p>
    <w:p w14:paraId="73798738">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十、合同生效</w:t>
      </w:r>
    </w:p>
    <w:p w14:paraId="3F51CF30">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1、成交方持中标通知书作为与需方签订合同的凭证。</w:t>
      </w:r>
    </w:p>
    <w:p w14:paraId="7B11AB8D">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2、本合同经需、供双方法定代表人（符合浙财采监【2013】24号第六条规定的为负责人）或其授权委托人签名并加盖单位公章后生效。</w:t>
      </w:r>
    </w:p>
    <w:p w14:paraId="484670DF">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需方（加盖公章）：                  供方（加盖公章）：</w:t>
      </w:r>
    </w:p>
    <w:p w14:paraId="231F0074">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地址：                             地址：</w:t>
      </w:r>
    </w:p>
    <w:p w14:paraId="1CFEC305">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法定代表人（或委托代理人）签名：   法定代表人（或委托代理人）签名：</w:t>
      </w:r>
    </w:p>
    <w:p w14:paraId="1BBE7450">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 xml:space="preserve">                     </w:t>
      </w:r>
    </w:p>
    <w:p w14:paraId="7563DBC6">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联系电话：                         联系电话：</w:t>
      </w:r>
    </w:p>
    <w:p w14:paraId="29CD8730">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邮政编码：                         邮政编码：</w:t>
      </w:r>
    </w:p>
    <w:p w14:paraId="1310B51F">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 xml:space="preserve">开户银行：                         开户银行：   </w:t>
      </w:r>
    </w:p>
    <w:p w14:paraId="1E5FD934">
      <w:pPr>
        <w:pStyle w:val="23"/>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帐号：                             帐号：</w:t>
      </w:r>
    </w:p>
    <w:p w14:paraId="3700E982">
      <w:pPr>
        <w:spacing w:line="400" w:lineRule="exact"/>
        <w:ind w:firstLine="480" w:firstLineChars="200"/>
        <w:rPr>
          <w:rFonts w:ascii="仿宋" w:hAnsi="仿宋" w:eastAsia="仿宋" w:cs="仿宋"/>
          <w:color w:val="auto"/>
          <w:sz w:val="24"/>
          <w:highlight w:val="none"/>
        </w:rPr>
      </w:pPr>
    </w:p>
    <w:p w14:paraId="6019AA71">
      <w:pPr>
        <w:rPr>
          <w:rFonts w:ascii="仿宋" w:hAnsi="仿宋" w:eastAsia="仿宋" w:cs="仿宋"/>
          <w:color w:val="auto"/>
          <w:highlight w:val="none"/>
        </w:rPr>
      </w:pPr>
    </w:p>
    <w:p w14:paraId="09BC2A1B">
      <w:pPr>
        <w:pStyle w:val="4"/>
        <w:numPr>
          <w:ilvl w:val="2"/>
          <w:numId w:val="0"/>
        </w:numPr>
        <w:ind w:left="180"/>
        <w:rPr>
          <w:color w:val="auto"/>
          <w:highlight w:val="none"/>
        </w:rPr>
      </w:pPr>
    </w:p>
    <w:p w14:paraId="6A20D36E">
      <w:pPr>
        <w:rPr>
          <w:color w:val="auto"/>
          <w:highlight w:val="none"/>
        </w:rPr>
      </w:pPr>
    </w:p>
    <w:p w14:paraId="02F314BF">
      <w:pPr>
        <w:pStyle w:val="4"/>
        <w:numPr>
          <w:ilvl w:val="2"/>
          <w:numId w:val="0"/>
        </w:numPr>
        <w:ind w:left="180"/>
        <w:rPr>
          <w:color w:val="auto"/>
          <w:highlight w:val="none"/>
        </w:rPr>
      </w:pPr>
    </w:p>
    <w:p w14:paraId="7B204F27">
      <w:pPr>
        <w:rPr>
          <w:color w:val="auto"/>
          <w:highlight w:val="none"/>
        </w:rPr>
      </w:pPr>
    </w:p>
    <w:p w14:paraId="598627C6">
      <w:pPr>
        <w:rPr>
          <w:rFonts w:ascii="仿宋" w:hAnsi="仿宋" w:eastAsia="仿宋" w:cs="仿宋"/>
          <w:color w:val="auto"/>
          <w:highlight w:val="none"/>
        </w:rPr>
      </w:pPr>
    </w:p>
    <w:p w14:paraId="7AAEB1B5">
      <w:pPr>
        <w:rPr>
          <w:rFonts w:ascii="仿宋" w:hAnsi="仿宋" w:eastAsia="仿宋" w:cs="仿宋"/>
          <w:color w:val="auto"/>
          <w:highlight w:val="none"/>
        </w:rPr>
      </w:pPr>
    </w:p>
    <w:p w14:paraId="46306784">
      <w:pPr>
        <w:rPr>
          <w:rFonts w:ascii="仿宋" w:hAnsi="仿宋" w:eastAsia="仿宋" w:cs="仿宋"/>
          <w:color w:val="auto"/>
          <w:highlight w:val="none"/>
        </w:rPr>
      </w:pPr>
    </w:p>
    <w:p w14:paraId="4473DC83">
      <w:pPr>
        <w:spacing w:line="360" w:lineRule="auto"/>
        <w:ind w:left="720" w:firstLine="723" w:firstLineChars="200"/>
        <w:outlineLvl w:val="0"/>
        <w:rPr>
          <w:rFonts w:ascii="仿宋" w:hAnsi="仿宋" w:eastAsia="仿宋" w:cs="仿宋"/>
          <w:b/>
          <w:color w:val="auto"/>
          <w:sz w:val="36"/>
          <w:szCs w:val="20"/>
          <w:highlight w:val="none"/>
        </w:rPr>
      </w:pPr>
    </w:p>
    <w:p w14:paraId="3FB06F28">
      <w:pPr>
        <w:pStyle w:val="4"/>
        <w:numPr>
          <w:ilvl w:val="2"/>
          <w:numId w:val="0"/>
        </w:numPr>
        <w:ind w:left="180"/>
        <w:rPr>
          <w:rFonts w:ascii="仿宋" w:hAnsi="仿宋" w:eastAsia="仿宋" w:cs="仿宋"/>
          <w:color w:val="auto"/>
          <w:sz w:val="36"/>
          <w:szCs w:val="20"/>
          <w:highlight w:val="none"/>
        </w:rPr>
      </w:pPr>
    </w:p>
    <w:p w14:paraId="74CF74C2">
      <w:pPr>
        <w:rPr>
          <w:rFonts w:ascii="仿宋" w:hAnsi="仿宋" w:eastAsia="仿宋" w:cs="仿宋"/>
          <w:b/>
          <w:color w:val="auto"/>
          <w:sz w:val="36"/>
          <w:szCs w:val="20"/>
          <w:highlight w:val="none"/>
        </w:rPr>
      </w:pPr>
    </w:p>
    <w:p w14:paraId="22EDF80A">
      <w:pPr>
        <w:spacing w:line="360" w:lineRule="auto"/>
        <w:outlineLvl w:val="0"/>
        <w:rPr>
          <w:rFonts w:ascii="仿宋" w:hAnsi="仿宋" w:eastAsia="仿宋" w:cs="仿宋"/>
          <w:b/>
          <w:color w:val="auto"/>
          <w:sz w:val="36"/>
          <w:szCs w:val="20"/>
          <w:highlight w:val="none"/>
        </w:rPr>
      </w:pPr>
    </w:p>
    <w:p w14:paraId="0DA3A5A9">
      <w:pPr>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14:paraId="2ADBD949">
      <w:pPr>
        <w:spacing w:line="360" w:lineRule="auto"/>
        <w:jc w:val="center"/>
        <w:outlineLvl w:val="0"/>
        <w:rPr>
          <w:rFonts w:ascii="仿宋" w:hAnsi="仿宋" w:eastAsia="仿宋" w:cs="仿宋"/>
          <w:b/>
          <w:color w:val="auto"/>
          <w:kern w:val="0"/>
          <w:sz w:val="36"/>
          <w:szCs w:val="36"/>
          <w:highlight w:val="none"/>
        </w:rPr>
      </w:pPr>
    </w:p>
    <w:p w14:paraId="7BFB3BAE">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E000B6C">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558183F">
      <w:pPr>
        <w:spacing w:line="360" w:lineRule="auto"/>
        <w:jc w:val="center"/>
        <w:outlineLvl w:val="0"/>
        <w:rPr>
          <w:rFonts w:ascii="仿宋" w:hAnsi="仿宋" w:eastAsia="仿宋" w:cs="仿宋"/>
          <w:b/>
          <w:color w:val="auto"/>
          <w:kern w:val="0"/>
          <w:sz w:val="36"/>
          <w:szCs w:val="36"/>
          <w:highlight w:val="none"/>
        </w:rPr>
      </w:pPr>
    </w:p>
    <w:p w14:paraId="0E4EA9A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6F2B32A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（2）本项目的特定资格要求………………………………………………（页码）</w:t>
      </w:r>
    </w:p>
    <w:p w14:paraId="1B97F15A">
      <w:pPr>
        <w:snapToGrid w:val="0"/>
        <w:spacing w:line="360" w:lineRule="auto"/>
        <w:ind w:firstLine="480" w:firstLineChars="200"/>
        <w:rPr>
          <w:rFonts w:ascii="仿宋" w:hAnsi="仿宋" w:eastAsia="仿宋" w:cs="仿宋"/>
          <w:color w:val="auto"/>
          <w:sz w:val="24"/>
          <w:highlight w:val="none"/>
        </w:rPr>
      </w:pPr>
    </w:p>
    <w:p w14:paraId="6BDADA1C">
      <w:pPr>
        <w:spacing w:line="360" w:lineRule="auto"/>
        <w:ind w:firstLine="480" w:firstLineChars="200"/>
        <w:rPr>
          <w:rFonts w:ascii="仿宋" w:hAnsi="仿宋" w:eastAsia="仿宋" w:cs="仿宋"/>
          <w:color w:val="auto"/>
          <w:sz w:val="24"/>
          <w:highlight w:val="none"/>
        </w:rPr>
      </w:pPr>
    </w:p>
    <w:p w14:paraId="4B795890">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符合参加采购活动应当具备的一般条件的承诺函</w:t>
      </w:r>
    </w:p>
    <w:p w14:paraId="135B94C2">
      <w:pPr>
        <w:snapToGrid w:val="0"/>
        <w:spacing w:line="360" w:lineRule="auto"/>
        <w:rPr>
          <w:rFonts w:ascii="仿宋" w:hAnsi="仿宋" w:eastAsia="仿宋" w:cs="仿宋"/>
          <w:color w:val="auto"/>
          <w:sz w:val="24"/>
          <w:highlight w:val="none"/>
        </w:rPr>
      </w:pPr>
    </w:p>
    <w:p w14:paraId="0DDDDD49">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（交易发起人）、（采购代理机构）：</w:t>
      </w:r>
    </w:p>
    <w:p w14:paraId="0EF5264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（项目名称）【交易编号：】</w:t>
      </w:r>
      <w:r>
        <w:rPr>
          <w:rFonts w:hint="eastAsia" w:ascii="仿宋" w:hAnsi="仿宋" w:eastAsia="仿宋" w:cs="仿宋"/>
          <w:color w:val="auto"/>
          <w:sz w:val="24"/>
          <w:highlight w:val="none"/>
        </w:rPr>
        <w:t>采购活动，郑重承诺：</w:t>
      </w:r>
    </w:p>
    <w:p w14:paraId="05C99207">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（一）具备以下条件：</w:t>
      </w:r>
    </w:p>
    <w:p w14:paraId="6DF016E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475510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BAA85D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E148F9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23DCA0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14:paraId="68FABE5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4EF0B1B">
      <w:pPr>
        <w:snapToGrid w:val="0"/>
        <w:spacing w:line="360" w:lineRule="auto"/>
        <w:ind w:firstLine="5520" w:firstLineChars="2300"/>
        <w:rPr>
          <w:rFonts w:ascii="仿宋" w:hAnsi="仿宋" w:eastAsia="仿宋" w:cs="仿宋"/>
          <w:color w:val="auto"/>
          <w:kern w:val="0"/>
          <w:sz w:val="24"/>
          <w:highlight w:val="none"/>
          <w:lang w:val="zh-CN"/>
        </w:rPr>
      </w:pPr>
    </w:p>
    <w:p w14:paraId="074972C3">
      <w:pPr>
        <w:snapToGrid w:val="0"/>
        <w:spacing w:line="360" w:lineRule="auto"/>
        <w:ind w:firstLine="5520" w:firstLineChars="2300"/>
        <w:rPr>
          <w:rFonts w:ascii="仿宋" w:hAnsi="仿宋" w:eastAsia="仿宋" w:cs="仿宋"/>
          <w:color w:val="auto"/>
          <w:kern w:val="0"/>
          <w:sz w:val="24"/>
          <w:highlight w:val="none"/>
          <w:lang w:val="zh-CN"/>
        </w:rPr>
      </w:pPr>
    </w:p>
    <w:p w14:paraId="0AA8A9DE">
      <w:pPr>
        <w:snapToGrid w:val="0"/>
        <w:spacing w:line="360" w:lineRule="auto"/>
        <w:ind w:firstLine="5520" w:firstLineChars="2300"/>
        <w:rPr>
          <w:rFonts w:ascii="仿宋" w:hAnsi="仿宋" w:eastAsia="仿宋" w:cs="仿宋"/>
          <w:color w:val="auto"/>
          <w:kern w:val="0"/>
          <w:sz w:val="24"/>
          <w:highlight w:val="none"/>
          <w:lang w:val="zh-CN"/>
        </w:rPr>
      </w:pPr>
    </w:p>
    <w:p w14:paraId="730D923D">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5011640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070A1F5">
      <w:pPr>
        <w:snapToGrid w:val="0"/>
        <w:spacing w:line="360" w:lineRule="auto"/>
        <w:ind w:right="480"/>
        <w:jc w:val="center"/>
        <w:rPr>
          <w:rFonts w:ascii="仿宋" w:hAnsi="仿宋" w:eastAsia="仿宋" w:cs="仿宋"/>
          <w:b/>
          <w:color w:val="auto"/>
          <w:kern w:val="0"/>
          <w:sz w:val="32"/>
          <w:szCs w:val="32"/>
          <w:highlight w:val="none"/>
        </w:rPr>
      </w:pPr>
    </w:p>
    <w:p w14:paraId="551AF695">
      <w:pPr>
        <w:snapToGrid w:val="0"/>
        <w:spacing w:line="360" w:lineRule="auto"/>
        <w:ind w:right="480"/>
        <w:jc w:val="center"/>
        <w:rPr>
          <w:rFonts w:ascii="仿宋" w:hAnsi="仿宋" w:eastAsia="仿宋" w:cs="仿宋"/>
          <w:b/>
          <w:color w:val="auto"/>
          <w:kern w:val="0"/>
          <w:sz w:val="32"/>
          <w:szCs w:val="32"/>
          <w:highlight w:val="none"/>
        </w:rPr>
      </w:pPr>
    </w:p>
    <w:p w14:paraId="00846BA8">
      <w:pPr>
        <w:snapToGrid w:val="0"/>
        <w:spacing w:line="360" w:lineRule="auto"/>
        <w:ind w:right="480"/>
        <w:jc w:val="center"/>
        <w:rPr>
          <w:rFonts w:ascii="仿宋" w:hAnsi="仿宋" w:eastAsia="仿宋" w:cs="仿宋"/>
          <w:b/>
          <w:color w:val="auto"/>
          <w:kern w:val="0"/>
          <w:sz w:val="32"/>
          <w:szCs w:val="32"/>
          <w:highlight w:val="none"/>
        </w:rPr>
      </w:pPr>
    </w:p>
    <w:p w14:paraId="3BDA28A3">
      <w:pPr>
        <w:rPr>
          <w:rFonts w:ascii="仿宋" w:hAnsi="仿宋" w:eastAsia="仿宋" w:cs="仿宋"/>
          <w:color w:val="auto"/>
          <w:highlight w:val="none"/>
        </w:rPr>
      </w:pPr>
    </w:p>
    <w:p w14:paraId="2DFE81F0">
      <w:pPr>
        <w:rPr>
          <w:rFonts w:ascii="仿宋" w:hAnsi="仿宋" w:eastAsia="仿宋" w:cs="仿宋"/>
          <w:b/>
          <w:color w:val="auto"/>
          <w:kern w:val="0"/>
          <w:sz w:val="32"/>
          <w:szCs w:val="32"/>
          <w:highlight w:val="none"/>
        </w:rPr>
      </w:pPr>
    </w:p>
    <w:p w14:paraId="23C3739D">
      <w:pPr>
        <w:widowControl/>
        <w:spacing w:line="360" w:lineRule="auto"/>
        <w:ind w:left="150"/>
        <w:jc w:val="center"/>
        <w:rPr>
          <w:rFonts w:ascii="仿宋" w:hAnsi="仿宋" w:eastAsia="仿宋" w:cs="仿宋"/>
          <w:b/>
          <w:color w:val="auto"/>
          <w:kern w:val="0"/>
          <w:sz w:val="32"/>
          <w:szCs w:val="32"/>
          <w:highlight w:val="none"/>
        </w:rPr>
      </w:pPr>
    </w:p>
    <w:p w14:paraId="2DD9C270">
      <w:pPr>
        <w:widowControl/>
        <w:spacing w:line="360" w:lineRule="auto"/>
        <w:ind w:left="150"/>
        <w:jc w:val="center"/>
        <w:rPr>
          <w:rFonts w:ascii="仿宋" w:hAnsi="仿宋" w:eastAsia="仿宋" w:cs="仿宋"/>
          <w:b/>
          <w:color w:val="auto"/>
          <w:kern w:val="0"/>
          <w:sz w:val="32"/>
          <w:szCs w:val="32"/>
          <w:highlight w:val="none"/>
        </w:rPr>
      </w:pPr>
    </w:p>
    <w:p w14:paraId="0D083419">
      <w:pPr>
        <w:widowControl/>
        <w:spacing w:line="360" w:lineRule="auto"/>
        <w:ind w:left="150"/>
        <w:jc w:val="center"/>
        <w:rPr>
          <w:rFonts w:ascii="仿宋" w:hAnsi="仿宋" w:eastAsia="仿宋" w:cs="仿宋"/>
          <w:b/>
          <w:color w:val="auto"/>
          <w:kern w:val="0"/>
          <w:sz w:val="32"/>
          <w:szCs w:val="32"/>
          <w:highlight w:val="none"/>
        </w:rPr>
      </w:pPr>
    </w:p>
    <w:p w14:paraId="3F728A0D">
      <w:pPr>
        <w:widowControl/>
        <w:spacing w:line="360" w:lineRule="auto"/>
        <w:ind w:left="150"/>
        <w:jc w:val="center"/>
        <w:rPr>
          <w:rFonts w:ascii="仿宋" w:hAnsi="仿宋" w:eastAsia="仿宋" w:cs="仿宋"/>
          <w:b/>
          <w:color w:val="auto"/>
          <w:kern w:val="0"/>
          <w:sz w:val="32"/>
          <w:szCs w:val="32"/>
          <w:highlight w:val="none"/>
        </w:rPr>
      </w:pPr>
    </w:p>
    <w:p w14:paraId="6EB5A444">
      <w:pPr>
        <w:widowControl/>
        <w:spacing w:line="360" w:lineRule="auto"/>
        <w:ind w:left="150"/>
        <w:jc w:val="center"/>
        <w:rPr>
          <w:rFonts w:ascii="仿宋" w:hAnsi="仿宋" w:eastAsia="仿宋" w:cs="仿宋"/>
          <w:b/>
          <w:color w:val="auto"/>
          <w:kern w:val="0"/>
          <w:sz w:val="32"/>
          <w:szCs w:val="32"/>
          <w:highlight w:val="none"/>
        </w:rPr>
      </w:pPr>
    </w:p>
    <w:p w14:paraId="05997CA8">
      <w:pPr>
        <w:widowControl/>
        <w:spacing w:line="360" w:lineRule="auto"/>
        <w:ind w:left="150"/>
        <w:jc w:val="center"/>
        <w:rPr>
          <w:rFonts w:ascii="仿宋" w:hAnsi="仿宋" w:eastAsia="仿宋" w:cs="仿宋"/>
          <w:b/>
          <w:color w:val="auto"/>
          <w:kern w:val="0"/>
          <w:sz w:val="32"/>
          <w:szCs w:val="32"/>
          <w:highlight w:val="none"/>
        </w:rPr>
      </w:pPr>
    </w:p>
    <w:p w14:paraId="64A9FCE2">
      <w:pPr>
        <w:widowControl/>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二、本项目的特定资格要求</w:t>
      </w:r>
    </w:p>
    <w:p w14:paraId="448661E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（根据交易公告本项目的特定资格要求提供相应的材料；未要求的，无需提供）</w:t>
      </w:r>
    </w:p>
    <w:p w14:paraId="4A704729">
      <w:pPr>
        <w:spacing w:line="360" w:lineRule="auto"/>
        <w:jc w:val="center"/>
        <w:rPr>
          <w:rFonts w:ascii="仿宋" w:hAnsi="仿宋" w:eastAsia="仿宋" w:cs="仿宋"/>
          <w:color w:val="auto"/>
          <w:kern w:val="0"/>
          <w:sz w:val="24"/>
          <w:highlight w:val="none"/>
          <w:lang w:val="zh-CN"/>
        </w:rPr>
      </w:pPr>
    </w:p>
    <w:p w14:paraId="7C1DE990">
      <w:pPr>
        <w:widowControl/>
        <w:spacing w:line="360" w:lineRule="auto"/>
        <w:ind w:left="150"/>
        <w:jc w:val="center"/>
        <w:rPr>
          <w:rFonts w:ascii="仿宋" w:hAnsi="仿宋" w:eastAsia="仿宋" w:cs="仿宋"/>
          <w:b/>
          <w:color w:val="auto"/>
          <w:kern w:val="0"/>
          <w:sz w:val="32"/>
          <w:szCs w:val="32"/>
          <w:highlight w:val="none"/>
        </w:rPr>
      </w:pPr>
    </w:p>
    <w:p w14:paraId="6E43AB5A">
      <w:pPr>
        <w:rPr>
          <w:rFonts w:ascii="仿宋" w:hAnsi="仿宋" w:eastAsia="仿宋" w:cs="仿宋"/>
          <w:color w:val="auto"/>
          <w:highlight w:val="none"/>
        </w:rPr>
      </w:pPr>
    </w:p>
    <w:p w14:paraId="0B6B124B">
      <w:pPr>
        <w:snapToGrid w:val="0"/>
        <w:spacing w:line="360" w:lineRule="auto"/>
        <w:ind w:right="480"/>
        <w:jc w:val="center"/>
        <w:rPr>
          <w:rFonts w:ascii="仿宋" w:hAnsi="仿宋" w:eastAsia="仿宋" w:cs="仿宋"/>
          <w:b/>
          <w:color w:val="auto"/>
          <w:kern w:val="0"/>
          <w:sz w:val="32"/>
          <w:szCs w:val="32"/>
          <w:highlight w:val="none"/>
        </w:rPr>
      </w:pPr>
    </w:p>
    <w:p w14:paraId="6D9FE7F3">
      <w:pPr>
        <w:snapToGrid w:val="0"/>
        <w:spacing w:line="360" w:lineRule="auto"/>
        <w:ind w:right="480"/>
        <w:jc w:val="center"/>
        <w:rPr>
          <w:rFonts w:ascii="仿宋" w:hAnsi="仿宋" w:eastAsia="仿宋" w:cs="仿宋"/>
          <w:b/>
          <w:color w:val="auto"/>
          <w:kern w:val="0"/>
          <w:sz w:val="32"/>
          <w:szCs w:val="32"/>
          <w:highlight w:val="none"/>
        </w:rPr>
      </w:pPr>
    </w:p>
    <w:p w14:paraId="5D1BD762">
      <w:pPr>
        <w:snapToGrid w:val="0"/>
        <w:spacing w:line="360" w:lineRule="auto"/>
        <w:ind w:right="480"/>
        <w:jc w:val="center"/>
        <w:rPr>
          <w:rFonts w:ascii="仿宋" w:hAnsi="仿宋" w:eastAsia="仿宋" w:cs="仿宋"/>
          <w:b/>
          <w:color w:val="auto"/>
          <w:kern w:val="0"/>
          <w:sz w:val="32"/>
          <w:szCs w:val="32"/>
          <w:highlight w:val="none"/>
        </w:rPr>
      </w:pPr>
    </w:p>
    <w:p w14:paraId="3DD200AD">
      <w:pPr>
        <w:snapToGrid w:val="0"/>
        <w:spacing w:line="360" w:lineRule="auto"/>
        <w:ind w:right="480"/>
        <w:jc w:val="center"/>
        <w:rPr>
          <w:rFonts w:ascii="仿宋" w:hAnsi="仿宋" w:eastAsia="仿宋" w:cs="仿宋"/>
          <w:b/>
          <w:color w:val="auto"/>
          <w:kern w:val="0"/>
          <w:sz w:val="32"/>
          <w:szCs w:val="32"/>
          <w:highlight w:val="none"/>
        </w:rPr>
      </w:pPr>
    </w:p>
    <w:p w14:paraId="1D7BCC50">
      <w:pPr>
        <w:snapToGrid w:val="0"/>
        <w:spacing w:line="360" w:lineRule="auto"/>
        <w:ind w:right="480"/>
        <w:jc w:val="center"/>
        <w:rPr>
          <w:rFonts w:ascii="仿宋" w:hAnsi="仿宋" w:eastAsia="仿宋" w:cs="仿宋"/>
          <w:b/>
          <w:color w:val="auto"/>
          <w:kern w:val="0"/>
          <w:sz w:val="32"/>
          <w:szCs w:val="32"/>
          <w:highlight w:val="none"/>
        </w:rPr>
      </w:pPr>
    </w:p>
    <w:p w14:paraId="1FAF2DBA">
      <w:pPr>
        <w:snapToGrid w:val="0"/>
        <w:spacing w:line="360" w:lineRule="auto"/>
        <w:ind w:right="480"/>
        <w:jc w:val="center"/>
        <w:rPr>
          <w:rFonts w:ascii="仿宋" w:hAnsi="仿宋" w:eastAsia="仿宋" w:cs="仿宋"/>
          <w:b/>
          <w:color w:val="auto"/>
          <w:kern w:val="0"/>
          <w:sz w:val="32"/>
          <w:szCs w:val="32"/>
          <w:highlight w:val="none"/>
        </w:rPr>
      </w:pPr>
    </w:p>
    <w:p w14:paraId="2D780BED">
      <w:pPr>
        <w:spacing w:line="360" w:lineRule="auto"/>
        <w:jc w:val="center"/>
        <w:outlineLvl w:val="0"/>
        <w:rPr>
          <w:rFonts w:ascii="仿宋" w:hAnsi="仿宋" w:eastAsia="仿宋" w:cs="仿宋"/>
          <w:b/>
          <w:color w:val="auto"/>
          <w:kern w:val="0"/>
          <w:sz w:val="36"/>
          <w:szCs w:val="36"/>
          <w:highlight w:val="none"/>
        </w:rPr>
      </w:pPr>
    </w:p>
    <w:p w14:paraId="2F7A8CB3">
      <w:pPr>
        <w:snapToGrid w:val="0"/>
        <w:spacing w:line="360" w:lineRule="auto"/>
        <w:ind w:right="480"/>
        <w:jc w:val="center"/>
        <w:rPr>
          <w:rFonts w:ascii="仿宋" w:hAnsi="仿宋" w:eastAsia="仿宋" w:cs="仿宋"/>
          <w:b/>
          <w:color w:val="auto"/>
          <w:kern w:val="0"/>
          <w:sz w:val="32"/>
          <w:szCs w:val="32"/>
          <w:highlight w:val="none"/>
        </w:rPr>
      </w:pPr>
    </w:p>
    <w:p w14:paraId="20330655">
      <w:pPr>
        <w:spacing w:line="360" w:lineRule="auto"/>
        <w:jc w:val="center"/>
        <w:outlineLvl w:val="0"/>
        <w:rPr>
          <w:rFonts w:ascii="仿宋" w:hAnsi="仿宋" w:eastAsia="仿宋" w:cs="仿宋"/>
          <w:b/>
          <w:color w:val="auto"/>
          <w:kern w:val="0"/>
          <w:sz w:val="36"/>
          <w:szCs w:val="36"/>
          <w:highlight w:val="none"/>
        </w:rPr>
      </w:pPr>
    </w:p>
    <w:p w14:paraId="7205B842">
      <w:pPr>
        <w:snapToGrid w:val="0"/>
        <w:spacing w:line="360" w:lineRule="auto"/>
        <w:ind w:right="480"/>
        <w:jc w:val="center"/>
        <w:rPr>
          <w:rFonts w:ascii="仿宋" w:hAnsi="仿宋" w:eastAsia="仿宋" w:cs="仿宋"/>
          <w:b/>
          <w:color w:val="auto"/>
          <w:kern w:val="0"/>
          <w:sz w:val="32"/>
          <w:szCs w:val="32"/>
          <w:highlight w:val="none"/>
        </w:rPr>
      </w:pPr>
    </w:p>
    <w:p w14:paraId="407A11C5">
      <w:pPr>
        <w:spacing w:line="360" w:lineRule="auto"/>
        <w:jc w:val="center"/>
        <w:outlineLvl w:val="0"/>
        <w:rPr>
          <w:rFonts w:ascii="仿宋" w:hAnsi="仿宋" w:eastAsia="仿宋" w:cs="仿宋"/>
          <w:b/>
          <w:color w:val="auto"/>
          <w:kern w:val="0"/>
          <w:sz w:val="36"/>
          <w:szCs w:val="36"/>
          <w:highlight w:val="none"/>
        </w:rPr>
      </w:pPr>
    </w:p>
    <w:p w14:paraId="19D17122">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F550D28">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9A767AC">
      <w:pPr>
        <w:spacing w:line="360" w:lineRule="auto"/>
        <w:jc w:val="center"/>
        <w:outlineLvl w:val="0"/>
        <w:rPr>
          <w:rFonts w:ascii="仿宋" w:hAnsi="仿宋" w:eastAsia="仿宋" w:cs="仿宋"/>
          <w:b/>
          <w:color w:val="auto"/>
          <w:kern w:val="0"/>
          <w:sz w:val="24"/>
          <w:highlight w:val="none"/>
        </w:rPr>
      </w:pPr>
    </w:p>
    <w:p w14:paraId="4BB1AC2D">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6847707">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（1）交易函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E8F7DAA">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highlight w:val="none"/>
        </w:rPr>
        <w:t>………………………………………………………………………（页码）</w:t>
      </w:r>
    </w:p>
    <w:p w14:paraId="69AD1DC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7EC101C3">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（5）响应标的清单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4E8EA669">
      <w:pPr>
        <w:snapToGrid w:val="0"/>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（6）商务技术偏离表</w:t>
      </w:r>
      <w:r>
        <w:rPr>
          <w:rFonts w:hint="eastAsia" w:ascii="仿宋" w:hAnsi="仿宋" w:eastAsia="仿宋" w:cs="仿宋"/>
          <w:color w:val="auto"/>
          <w:highlight w:val="none"/>
        </w:rPr>
        <w:t>………………………………………………………………………（页码）</w:t>
      </w:r>
    </w:p>
    <w:p w14:paraId="1E420BEF">
      <w:pPr>
        <w:snapToGrid w:val="0"/>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highlight w:val="none"/>
        </w:rPr>
        <w:t>…………………………………………………（页码）</w:t>
      </w:r>
    </w:p>
    <w:p w14:paraId="2B0D2934">
      <w:pPr>
        <w:snapToGrid w:val="0"/>
        <w:spacing w:line="360" w:lineRule="auto"/>
        <w:jc w:val="center"/>
        <w:rPr>
          <w:rFonts w:ascii="仿宋" w:hAnsi="仿宋" w:eastAsia="仿宋" w:cs="仿宋"/>
          <w:b/>
          <w:color w:val="auto"/>
          <w:kern w:val="0"/>
          <w:sz w:val="32"/>
          <w:szCs w:val="32"/>
          <w:highlight w:val="none"/>
          <w:lang w:val="zh-CN"/>
        </w:rPr>
      </w:pPr>
    </w:p>
    <w:p w14:paraId="62CD731B">
      <w:pPr>
        <w:snapToGrid w:val="0"/>
        <w:spacing w:line="360" w:lineRule="auto"/>
        <w:jc w:val="center"/>
        <w:rPr>
          <w:rFonts w:ascii="仿宋" w:hAnsi="仿宋" w:eastAsia="仿宋" w:cs="仿宋"/>
          <w:b/>
          <w:color w:val="auto"/>
          <w:kern w:val="0"/>
          <w:sz w:val="32"/>
          <w:szCs w:val="32"/>
          <w:highlight w:val="none"/>
          <w:lang w:val="zh-CN"/>
        </w:rPr>
      </w:pPr>
    </w:p>
    <w:p w14:paraId="48AD5E9C">
      <w:pPr>
        <w:snapToGrid w:val="0"/>
        <w:spacing w:line="360" w:lineRule="auto"/>
        <w:jc w:val="center"/>
        <w:rPr>
          <w:rFonts w:ascii="仿宋" w:hAnsi="仿宋" w:eastAsia="仿宋" w:cs="仿宋"/>
          <w:b/>
          <w:color w:val="auto"/>
          <w:kern w:val="0"/>
          <w:sz w:val="32"/>
          <w:szCs w:val="32"/>
          <w:highlight w:val="none"/>
          <w:lang w:val="zh-CN"/>
        </w:rPr>
      </w:pPr>
    </w:p>
    <w:p w14:paraId="3CCF60D1">
      <w:pPr>
        <w:snapToGrid w:val="0"/>
        <w:spacing w:line="360" w:lineRule="auto"/>
        <w:jc w:val="center"/>
        <w:rPr>
          <w:rFonts w:ascii="仿宋" w:hAnsi="仿宋" w:eastAsia="仿宋" w:cs="仿宋"/>
          <w:b/>
          <w:color w:val="auto"/>
          <w:kern w:val="0"/>
          <w:sz w:val="32"/>
          <w:szCs w:val="32"/>
          <w:highlight w:val="none"/>
          <w:lang w:val="zh-CN"/>
        </w:rPr>
      </w:pPr>
    </w:p>
    <w:p w14:paraId="19504EED">
      <w:pPr>
        <w:snapToGrid w:val="0"/>
        <w:spacing w:line="360" w:lineRule="auto"/>
        <w:jc w:val="center"/>
        <w:rPr>
          <w:rFonts w:ascii="仿宋" w:hAnsi="仿宋" w:eastAsia="仿宋" w:cs="仿宋"/>
          <w:b/>
          <w:color w:val="auto"/>
          <w:kern w:val="0"/>
          <w:sz w:val="32"/>
          <w:szCs w:val="32"/>
          <w:highlight w:val="none"/>
          <w:lang w:val="zh-CN"/>
        </w:rPr>
      </w:pPr>
    </w:p>
    <w:p w14:paraId="36AB92EB">
      <w:pPr>
        <w:snapToGrid w:val="0"/>
        <w:spacing w:line="360" w:lineRule="auto"/>
        <w:jc w:val="center"/>
        <w:outlineLvl w:val="0"/>
        <w:rPr>
          <w:rFonts w:ascii="仿宋" w:hAnsi="仿宋" w:eastAsia="仿宋" w:cs="仿宋"/>
          <w:b/>
          <w:color w:val="auto"/>
          <w:kern w:val="0"/>
          <w:sz w:val="32"/>
          <w:szCs w:val="32"/>
          <w:highlight w:val="none"/>
        </w:rPr>
      </w:pPr>
    </w:p>
    <w:p w14:paraId="37FB0FB2">
      <w:pPr>
        <w:snapToGrid w:val="0"/>
        <w:spacing w:line="360" w:lineRule="auto"/>
        <w:jc w:val="center"/>
        <w:outlineLvl w:val="0"/>
        <w:rPr>
          <w:rFonts w:ascii="仿宋" w:hAnsi="仿宋" w:eastAsia="仿宋" w:cs="仿宋"/>
          <w:b/>
          <w:color w:val="auto"/>
          <w:kern w:val="0"/>
          <w:sz w:val="32"/>
          <w:szCs w:val="32"/>
          <w:highlight w:val="none"/>
        </w:rPr>
      </w:pPr>
    </w:p>
    <w:p w14:paraId="3F9766CE">
      <w:pPr>
        <w:rPr>
          <w:rFonts w:ascii="仿宋" w:hAnsi="仿宋" w:eastAsia="仿宋" w:cs="仿宋"/>
          <w:color w:val="auto"/>
          <w:highlight w:val="none"/>
        </w:rPr>
      </w:pPr>
    </w:p>
    <w:p w14:paraId="35666560">
      <w:pPr>
        <w:snapToGrid w:val="0"/>
        <w:spacing w:line="360" w:lineRule="auto"/>
        <w:outlineLvl w:val="0"/>
        <w:rPr>
          <w:rFonts w:ascii="仿宋" w:hAnsi="仿宋" w:eastAsia="仿宋" w:cs="仿宋"/>
          <w:b/>
          <w:color w:val="auto"/>
          <w:kern w:val="0"/>
          <w:sz w:val="32"/>
          <w:szCs w:val="32"/>
          <w:highlight w:val="none"/>
        </w:rPr>
      </w:pPr>
    </w:p>
    <w:p w14:paraId="4EE69D5F">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2E685F0">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一、交易函</w:t>
      </w:r>
    </w:p>
    <w:p w14:paraId="57CD183D">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（交易发起人）、（采购代理机构）：</w:t>
      </w:r>
    </w:p>
    <w:p w14:paraId="628E2875">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（项目名称）【交易编号：】</w:t>
      </w:r>
      <w:r>
        <w:rPr>
          <w:rFonts w:hint="eastAsia" w:ascii="仿宋" w:hAnsi="仿宋" w:eastAsia="仿宋" w:cs="仿宋"/>
          <w:color w:val="auto"/>
          <w:sz w:val="24"/>
          <w:highlight w:val="none"/>
        </w:rPr>
        <w:t>招标的有关活动，并对此项目进行投标。为此：</w:t>
      </w:r>
    </w:p>
    <w:p w14:paraId="2F85CA35">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1、我方承诺交易有效期从提交响应文件的截止之日起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本响应文件在交易有效期满之前均具有约束力。</w:t>
      </w:r>
    </w:p>
    <w:p w14:paraId="602A9337">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094FFDCB">
      <w:pPr>
        <w:snapToGrid w:val="0"/>
        <w:spacing w:line="44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ACA7CB0">
      <w:pPr>
        <w:snapToGrid w:val="0"/>
        <w:spacing w:line="44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7F48C481">
      <w:pPr>
        <w:snapToGrid w:val="0"/>
        <w:spacing w:line="44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2.1.2本项目的特定资格要求（如果有）。</w:t>
      </w:r>
    </w:p>
    <w:p w14:paraId="0E987C33">
      <w:pPr>
        <w:snapToGrid w:val="0"/>
        <w:spacing w:line="440" w:lineRule="exact"/>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2B81B9C">
      <w:pPr>
        <w:snapToGrid w:val="0"/>
        <w:spacing w:line="44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2.2.1交易函；</w:t>
      </w:r>
      <w:r>
        <w:rPr>
          <w:rFonts w:hint="eastAsia" w:ascii="仿宋" w:hAnsi="仿宋" w:eastAsia="仿宋" w:cs="仿宋"/>
          <w:color w:val="auto"/>
          <w:sz w:val="24"/>
          <w:highlight w:val="none"/>
          <w:lang w:val="zh-CN"/>
        </w:rPr>
        <w:t xml:space="preserve"> </w:t>
      </w:r>
    </w:p>
    <w:p w14:paraId="35E43C16">
      <w:pPr>
        <w:snapToGrid w:val="0"/>
        <w:spacing w:line="44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420DC22">
      <w:pPr>
        <w:snapToGrid w:val="0"/>
        <w:spacing w:line="44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2.2.3符合性审查资料；</w:t>
      </w:r>
    </w:p>
    <w:p w14:paraId="61C7F3EA">
      <w:pPr>
        <w:snapToGrid w:val="0"/>
        <w:spacing w:line="440" w:lineRule="exact"/>
        <w:ind w:left="420" w:lef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2.2.4评标标准相应的商务技术资料；</w:t>
      </w:r>
    </w:p>
    <w:p w14:paraId="13EB2189">
      <w:pPr>
        <w:snapToGrid w:val="0"/>
        <w:spacing w:line="44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2.2.5响应标的清单；</w:t>
      </w:r>
    </w:p>
    <w:p w14:paraId="6F914B28">
      <w:pPr>
        <w:snapToGrid w:val="0"/>
        <w:spacing w:line="44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6BA456EE">
      <w:pPr>
        <w:snapToGrid w:val="0"/>
        <w:spacing w:line="44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w:t>
      </w:r>
      <w:r>
        <w:rPr>
          <w:rFonts w:hint="eastAsia" w:ascii="仿宋" w:hAnsi="仿宋" w:eastAsia="仿宋" w:cs="仿宋"/>
          <w:color w:val="auto"/>
          <w:sz w:val="24"/>
          <w:highlight w:val="none"/>
          <w:lang w:val="zh-CN"/>
        </w:rPr>
        <w:t>采购供应商廉洁自律承诺书</w:t>
      </w:r>
    </w:p>
    <w:p w14:paraId="231C456D">
      <w:pPr>
        <w:snapToGrid w:val="0"/>
        <w:spacing w:line="44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0222818">
      <w:pPr>
        <w:snapToGrid w:val="0"/>
        <w:spacing w:line="44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2.3.1交易一览表（报价表）；</w:t>
      </w:r>
    </w:p>
    <w:p w14:paraId="20B2158C">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3、我方承诺除商务技术偏离表列出的偏离外，我方响应交易文件的全部要求。</w:t>
      </w:r>
    </w:p>
    <w:p w14:paraId="1E92E125">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7FDDFABD">
      <w:pPr>
        <w:snapToGrid w:val="0"/>
        <w:spacing w:line="44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742ABD44">
      <w:pPr>
        <w:snapToGrid w:val="0"/>
        <w:spacing w:line="44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402DFDE">
      <w:pPr>
        <w:snapToGrid w:val="0"/>
        <w:spacing w:line="44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4.3按照交易文件要求提交履约保证金； </w:t>
      </w:r>
    </w:p>
    <w:p w14:paraId="5F52EA43">
      <w:pPr>
        <w:snapToGrid w:val="0"/>
        <w:spacing w:line="44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CAD1F06">
      <w:pPr>
        <w:snapToGrid w:val="0"/>
        <w:spacing w:line="44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E449DB">
      <w:pPr>
        <w:spacing w:line="44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354DE9DE">
      <w:pPr>
        <w:spacing w:line="440" w:lineRule="exact"/>
        <w:jc w:val="center"/>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日期：  年   月   日</w:t>
      </w:r>
    </w:p>
    <w:p w14:paraId="3DA5D4D9">
      <w:pPr>
        <w:rPr>
          <w:rFonts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rPr>
        <w:t>注：按本格式和要求提供。</w:t>
      </w:r>
    </w:p>
    <w:p w14:paraId="0668D93C">
      <w:pPr>
        <w:jc w:val="center"/>
        <w:rPr>
          <w:rFonts w:ascii="仿宋" w:hAnsi="仿宋" w:eastAsia="仿宋" w:cs="仿宋"/>
          <w:b/>
          <w:color w:val="auto"/>
          <w:kern w:val="0"/>
          <w:sz w:val="32"/>
          <w:szCs w:val="32"/>
          <w:highlight w:val="none"/>
          <w:lang w:val="zh-CN"/>
        </w:rPr>
      </w:pPr>
    </w:p>
    <w:p w14:paraId="54716142">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AA23E8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8F46E4C">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r>
        <w:rPr>
          <w:rFonts w:hint="eastAsia" w:ascii="仿宋" w:hAnsi="仿宋" w:eastAsia="仿宋" w:cs="仿宋"/>
          <w:color w:val="auto"/>
          <w:highlight w:val="none"/>
        </w:rPr>
        <w:t xml:space="preserve">                               </w:t>
      </w:r>
    </w:p>
    <w:p w14:paraId="0723695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（交易发起人）、（采购代理机构）</w:t>
      </w:r>
      <w:r>
        <w:rPr>
          <w:rFonts w:hint="eastAsia" w:ascii="仿宋" w:hAnsi="仿宋" w:eastAsia="仿宋" w:cs="仿宋"/>
          <w:color w:val="auto"/>
          <w:kern w:val="0"/>
          <w:sz w:val="24"/>
          <w:highlight w:val="none"/>
          <w:lang w:val="zh-CN"/>
        </w:rPr>
        <w:t>：</w:t>
      </w:r>
    </w:p>
    <w:p w14:paraId="232A27FF">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（项目名称）【交易编号：（采购编号）】</w:t>
      </w:r>
      <w:r>
        <w:rPr>
          <w:rFonts w:hint="eastAsia" w:ascii="仿宋" w:hAnsi="仿宋" w:eastAsia="仿宋" w:cs="仿宋"/>
          <w:color w:val="auto"/>
          <w:kern w:val="0"/>
          <w:sz w:val="24"/>
          <w:highlight w:val="none"/>
          <w:lang w:val="zh-CN"/>
        </w:rPr>
        <w:t>采购投标的一切事项，其法律后果由我方承担。</w:t>
      </w:r>
    </w:p>
    <w:p w14:paraId="7D57519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095094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2298F4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3BE4CFFC">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47DA914">
      <w:pPr>
        <w:snapToGrid w:val="0"/>
        <w:spacing w:line="360" w:lineRule="auto"/>
        <w:rPr>
          <w:rFonts w:ascii="仿宋" w:hAnsi="仿宋" w:eastAsia="仿宋" w:cs="仿宋"/>
          <w:color w:val="auto"/>
          <w:sz w:val="24"/>
          <w:highlight w:val="none"/>
        </w:rPr>
      </w:pPr>
    </w:p>
    <w:p w14:paraId="13F15FAC">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14:paraId="06EE823D">
      <w:pPr>
        <w:autoSpaceDE w:val="0"/>
        <w:autoSpaceDN w:val="0"/>
        <w:spacing w:line="360" w:lineRule="auto"/>
        <w:jc w:val="center"/>
        <w:rPr>
          <w:rFonts w:ascii="仿宋" w:hAnsi="仿宋" w:eastAsia="仿宋" w:cs="仿宋"/>
          <w:b/>
          <w:color w:val="auto"/>
          <w:kern w:val="0"/>
          <w:sz w:val="32"/>
          <w:szCs w:val="32"/>
          <w:highlight w:val="none"/>
          <w:lang w:val="zh-CN"/>
        </w:rPr>
      </w:pPr>
    </w:p>
    <w:p w14:paraId="1B076684">
      <w:pPr>
        <w:autoSpaceDE w:val="0"/>
        <w:autoSpaceDN w:val="0"/>
        <w:spacing w:line="360" w:lineRule="auto"/>
        <w:jc w:val="center"/>
        <w:rPr>
          <w:rFonts w:ascii="仿宋" w:hAnsi="仿宋" w:eastAsia="仿宋" w:cs="仿宋"/>
          <w:b/>
          <w:color w:val="auto"/>
          <w:kern w:val="0"/>
          <w:sz w:val="32"/>
          <w:szCs w:val="32"/>
          <w:highlight w:val="none"/>
          <w:lang w:val="zh-CN"/>
        </w:rPr>
      </w:pPr>
    </w:p>
    <w:p w14:paraId="5A091229">
      <w:pPr>
        <w:autoSpaceDE w:val="0"/>
        <w:autoSpaceDN w:val="0"/>
        <w:spacing w:line="360" w:lineRule="auto"/>
        <w:jc w:val="center"/>
        <w:rPr>
          <w:rFonts w:ascii="仿宋" w:hAnsi="仿宋" w:eastAsia="仿宋" w:cs="仿宋"/>
          <w:b/>
          <w:color w:val="auto"/>
          <w:kern w:val="0"/>
          <w:sz w:val="32"/>
          <w:szCs w:val="32"/>
          <w:highlight w:val="none"/>
          <w:lang w:val="zh-CN"/>
        </w:rPr>
      </w:pPr>
    </w:p>
    <w:p w14:paraId="6208285C">
      <w:pPr>
        <w:autoSpaceDE w:val="0"/>
        <w:autoSpaceDN w:val="0"/>
        <w:spacing w:line="360" w:lineRule="auto"/>
        <w:jc w:val="center"/>
        <w:rPr>
          <w:rFonts w:ascii="仿宋" w:hAnsi="仿宋" w:eastAsia="仿宋" w:cs="仿宋"/>
          <w:b/>
          <w:color w:val="auto"/>
          <w:kern w:val="0"/>
          <w:sz w:val="32"/>
          <w:szCs w:val="32"/>
          <w:highlight w:val="none"/>
          <w:lang w:val="zh-CN"/>
        </w:rPr>
      </w:pPr>
    </w:p>
    <w:p w14:paraId="0D3BBAE3">
      <w:pPr>
        <w:autoSpaceDE w:val="0"/>
        <w:autoSpaceDN w:val="0"/>
        <w:spacing w:line="360" w:lineRule="auto"/>
        <w:jc w:val="center"/>
        <w:rPr>
          <w:rFonts w:ascii="仿宋" w:hAnsi="仿宋" w:eastAsia="仿宋" w:cs="仿宋"/>
          <w:b/>
          <w:color w:val="auto"/>
          <w:kern w:val="0"/>
          <w:sz w:val="32"/>
          <w:szCs w:val="32"/>
          <w:highlight w:val="none"/>
          <w:lang w:val="zh-CN"/>
        </w:rPr>
      </w:pPr>
    </w:p>
    <w:p w14:paraId="09E2D1DB">
      <w:pPr>
        <w:autoSpaceDE w:val="0"/>
        <w:autoSpaceDN w:val="0"/>
        <w:spacing w:line="360" w:lineRule="auto"/>
        <w:jc w:val="center"/>
        <w:rPr>
          <w:rFonts w:ascii="仿宋" w:hAnsi="仿宋" w:eastAsia="仿宋" w:cs="仿宋"/>
          <w:b/>
          <w:color w:val="auto"/>
          <w:kern w:val="0"/>
          <w:sz w:val="32"/>
          <w:szCs w:val="32"/>
          <w:highlight w:val="none"/>
          <w:lang w:val="zh-CN"/>
        </w:rPr>
      </w:pPr>
    </w:p>
    <w:p w14:paraId="17D5DE05">
      <w:pPr>
        <w:autoSpaceDE w:val="0"/>
        <w:autoSpaceDN w:val="0"/>
        <w:spacing w:line="360" w:lineRule="auto"/>
        <w:jc w:val="center"/>
        <w:rPr>
          <w:rFonts w:ascii="仿宋" w:hAnsi="仿宋" w:eastAsia="仿宋" w:cs="仿宋"/>
          <w:b/>
          <w:color w:val="auto"/>
          <w:kern w:val="0"/>
          <w:sz w:val="32"/>
          <w:szCs w:val="32"/>
          <w:highlight w:val="none"/>
          <w:lang w:val="zh-CN"/>
        </w:rPr>
      </w:pPr>
    </w:p>
    <w:p w14:paraId="1B9EDDC1">
      <w:pPr>
        <w:autoSpaceDE w:val="0"/>
        <w:autoSpaceDN w:val="0"/>
        <w:spacing w:line="360" w:lineRule="auto"/>
        <w:jc w:val="center"/>
        <w:rPr>
          <w:rFonts w:ascii="仿宋" w:hAnsi="仿宋" w:eastAsia="仿宋" w:cs="仿宋"/>
          <w:b/>
          <w:color w:val="auto"/>
          <w:kern w:val="0"/>
          <w:sz w:val="32"/>
          <w:szCs w:val="32"/>
          <w:highlight w:val="none"/>
          <w:lang w:val="zh-CN"/>
        </w:rPr>
      </w:pPr>
    </w:p>
    <w:p w14:paraId="115C7D8C">
      <w:pPr>
        <w:autoSpaceDE w:val="0"/>
        <w:autoSpaceDN w:val="0"/>
        <w:spacing w:line="360" w:lineRule="auto"/>
        <w:jc w:val="center"/>
        <w:rPr>
          <w:rFonts w:ascii="仿宋" w:hAnsi="仿宋" w:eastAsia="仿宋" w:cs="仿宋"/>
          <w:b/>
          <w:color w:val="auto"/>
          <w:kern w:val="0"/>
          <w:sz w:val="32"/>
          <w:szCs w:val="32"/>
          <w:highlight w:val="none"/>
          <w:lang w:val="zh-CN"/>
        </w:rPr>
      </w:pPr>
    </w:p>
    <w:p w14:paraId="14BBE2AD">
      <w:pPr>
        <w:autoSpaceDE w:val="0"/>
        <w:autoSpaceDN w:val="0"/>
        <w:spacing w:line="360" w:lineRule="auto"/>
        <w:jc w:val="center"/>
        <w:rPr>
          <w:rFonts w:ascii="仿宋" w:hAnsi="仿宋" w:eastAsia="仿宋" w:cs="仿宋"/>
          <w:b/>
          <w:color w:val="auto"/>
          <w:kern w:val="0"/>
          <w:sz w:val="32"/>
          <w:szCs w:val="32"/>
          <w:highlight w:val="none"/>
          <w:lang w:val="zh-CN"/>
        </w:rPr>
      </w:pPr>
    </w:p>
    <w:p w14:paraId="004AC927">
      <w:pPr>
        <w:autoSpaceDE w:val="0"/>
        <w:autoSpaceDN w:val="0"/>
        <w:spacing w:line="360" w:lineRule="auto"/>
        <w:jc w:val="center"/>
        <w:rPr>
          <w:rFonts w:ascii="仿宋" w:hAnsi="仿宋" w:eastAsia="仿宋" w:cs="仿宋"/>
          <w:b/>
          <w:color w:val="auto"/>
          <w:kern w:val="0"/>
          <w:sz w:val="32"/>
          <w:szCs w:val="32"/>
          <w:highlight w:val="none"/>
          <w:lang w:val="zh-CN"/>
        </w:rPr>
      </w:pPr>
    </w:p>
    <w:p w14:paraId="4A1F71B5">
      <w:pPr>
        <w:autoSpaceDE w:val="0"/>
        <w:autoSpaceDN w:val="0"/>
        <w:spacing w:line="360" w:lineRule="auto"/>
        <w:jc w:val="center"/>
        <w:rPr>
          <w:rFonts w:ascii="仿宋" w:hAnsi="仿宋" w:eastAsia="仿宋" w:cs="仿宋"/>
          <w:b/>
          <w:color w:val="auto"/>
          <w:kern w:val="0"/>
          <w:sz w:val="32"/>
          <w:szCs w:val="32"/>
          <w:highlight w:val="none"/>
          <w:lang w:val="zh-CN"/>
        </w:rPr>
      </w:pPr>
    </w:p>
    <w:p w14:paraId="3990D1A9">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的身份证明（适用于法定代表人、单位负责人或者自然人本人代表供应商参加投标）</w:t>
      </w:r>
    </w:p>
    <w:p w14:paraId="66600A9D">
      <w:pPr>
        <w:pStyle w:val="61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7F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7" w:hRule="atLeast"/>
          <w:jc w:val="center"/>
        </w:trPr>
        <w:tc>
          <w:tcPr>
            <w:tcW w:w="9207" w:type="dxa"/>
          </w:tcPr>
          <w:p w14:paraId="3DAA17E7">
            <w:pPr>
              <w:pStyle w:val="618"/>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962992C">
            <w:pPr>
              <w:pStyle w:val="618"/>
              <w:adjustRightInd w:val="0"/>
              <w:spacing w:line="360" w:lineRule="auto"/>
              <w:rPr>
                <w:rFonts w:ascii="仿宋" w:hAnsi="仿宋" w:eastAsia="仿宋" w:cs="仿宋"/>
                <w:bCs/>
                <w:color w:val="auto"/>
                <w:sz w:val="24"/>
                <w:highlight w:val="none"/>
              </w:rPr>
            </w:pPr>
          </w:p>
        </w:tc>
      </w:tr>
    </w:tbl>
    <w:p w14:paraId="08BE9851">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FD8EE95">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026F1DD1">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65C5EBD">
      <w:pPr>
        <w:jc w:val="center"/>
        <w:rPr>
          <w:rFonts w:ascii="仿宋" w:hAnsi="仿宋" w:eastAsia="仿宋" w:cs="仿宋"/>
          <w:b/>
          <w:color w:val="auto"/>
          <w:kern w:val="0"/>
          <w:sz w:val="32"/>
          <w:szCs w:val="32"/>
          <w:highlight w:val="none"/>
        </w:rPr>
      </w:pPr>
    </w:p>
    <w:p w14:paraId="2E7DF4B5">
      <w:pPr>
        <w:jc w:val="center"/>
        <w:rPr>
          <w:rFonts w:ascii="仿宋" w:hAnsi="仿宋" w:eastAsia="仿宋" w:cs="仿宋"/>
          <w:b/>
          <w:color w:val="auto"/>
          <w:kern w:val="0"/>
          <w:sz w:val="32"/>
          <w:szCs w:val="32"/>
          <w:highlight w:val="none"/>
        </w:rPr>
      </w:pPr>
    </w:p>
    <w:p w14:paraId="39C8D284">
      <w:pPr>
        <w:jc w:val="center"/>
        <w:rPr>
          <w:rFonts w:ascii="仿宋" w:hAnsi="仿宋" w:eastAsia="仿宋" w:cs="仿宋"/>
          <w:b/>
          <w:color w:val="auto"/>
          <w:kern w:val="0"/>
          <w:sz w:val="32"/>
          <w:szCs w:val="32"/>
          <w:highlight w:val="none"/>
        </w:rPr>
      </w:pPr>
    </w:p>
    <w:p w14:paraId="367EAA64">
      <w:pPr>
        <w:jc w:val="center"/>
        <w:rPr>
          <w:rFonts w:ascii="仿宋" w:hAnsi="仿宋" w:eastAsia="仿宋" w:cs="仿宋"/>
          <w:b/>
          <w:color w:val="auto"/>
          <w:kern w:val="0"/>
          <w:sz w:val="32"/>
          <w:szCs w:val="32"/>
          <w:highlight w:val="none"/>
        </w:rPr>
      </w:pPr>
    </w:p>
    <w:p w14:paraId="5A6B38B4">
      <w:pPr>
        <w:jc w:val="center"/>
        <w:rPr>
          <w:rFonts w:ascii="仿宋" w:hAnsi="仿宋" w:eastAsia="仿宋" w:cs="仿宋"/>
          <w:b/>
          <w:color w:val="auto"/>
          <w:kern w:val="0"/>
          <w:sz w:val="32"/>
          <w:szCs w:val="32"/>
          <w:highlight w:val="none"/>
        </w:rPr>
      </w:pPr>
    </w:p>
    <w:p w14:paraId="7E0C8640">
      <w:pPr>
        <w:jc w:val="center"/>
        <w:rPr>
          <w:rFonts w:ascii="仿宋" w:hAnsi="仿宋" w:eastAsia="仿宋" w:cs="仿宋"/>
          <w:b/>
          <w:color w:val="auto"/>
          <w:kern w:val="0"/>
          <w:sz w:val="32"/>
          <w:szCs w:val="32"/>
          <w:highlight w:val="none"/>
        </w:rPr>
      </w:pPr>
    </w:p>
    <w:p w14:paraId="100A6553">
      <w:pPr>
        <w:jc w:val="center"/>
        <w:rPr>
          <w:rFonts w:ascii="仿宋" w:hAnsi="仿宋" w:eastAsia="仿宋" w:cs="仿宋"/>
          <w:b/>
          <w:color w:val="auto"/>
          <w:kern w:val="0"/>
          <w:sz w:val="32"/>
          <w:szCs w:val="32"/>
          <w:highlight w:val="none"/>
        </w:rPr>
      </w:pPr>
    </w:p>
    <w:p w14:paraId="7F2E7AC8">
      <w:pPr>
        <w:jc w:val="center"/>
        <w:rPr>
          <w:rFonts w:ascii="仿宋" w:hAnsi="仿宋" w:eastAsia="仿宋" w:cs="仿宋"/>
          <w:b/>
          <w:color w:val="auto"/>
          <w:kern w:val="0"/>
          <w:sz w:val="32"/>
          <w:szCs w:val="32"/>
          <w:highlight w:val="none"/>
        </w:rPr>
      </w:pPr>
    </w:p>
    <w:p w14:paraId="2458E641">
      <w:pPr>
        <w:jc w:val="center"/>
        <w:rPr>
          <w:rFonts w:ascii="仿宋" w:hAnsi="仿宋" w:eastAsia="仿宋" w:cs="仿宋"/>
          <w:b/>
          <w:color w:val="auto"/>
          <w:kern w:val="0"/>
          <w:sz w:val="32"/>
          <w:szCs w:val="32"/>
          <w:highlight w:val="none"/>
        </w:rPr>
      </w:pPr>
    </w:p>
    <w:p w14:paraId="312D7D3F">
      <w:pPr>
        <w:jc w:val="center"/>
        <w:rPr>
          <w:rFonts w:ascii="仿宋" w:hAnsi="仿宋" w:eastAsia="仿宋" w:cs="仿宋"/>
          <w:b/>
          <w:color w:val="auto"/>
          <w:kern w:val="0"/>
          <w:sz w:val="32"/>
          <w:szCs w:val="32"/>
          <w:highlight w:val="none"/>
        </w:rPr>
      </w:pPr>
    </w:p>
    <w:p w14:paraId="69143180">
      <w:pPr>
        <w:jc w:val="center"/>
        <w:rPr>
          <w:rFonts w:ascii="仿宋" w:hAnsi="仿宋" w:eastAsia="仿宋" w:cs="仿宋"/>
          <w:b/>
          <w:color w:val="auto"/>
          <w:kern w:val="0"/>
          <w:sz w:val="32"/>
          <w:szCs w:val="32"/>
          <w:highlight w:val="none"/>
        </w:rPr>
      </w:pPr>
    </w:p>
    <w:p w14:paraId="7D978508">
      <w:pPr>
        <w:jc w:val="center"/>
        <w:rPr>
          <w:rFonts w:ascii="仿宋" w:hAnsi="仿宋" w:eastAsia="仿宋" w:cs="仿宋"/>
          <w:b/>
          <w:color w:val="auto"/>
          <w:kern w:val="0"/>
          <w:sz w:val="32"/>
          <w:szCs w:val="32"/>
          <w:highlight w:val="none"/>
        </w:rPr>
      </w:pPr>
    </w:p>
    <w:p w14:paraId="12B6116B">
      <w:pPr>
        <w:jc w:val="center"/>
        <w:rPr>
          <w:rFonts w:ascii="仿宋" w:hAnsi="仿宋" w:eastAsia="仿宋" w:cs="仿宋"/>
          <w:b/>
          <w:color w:val="auto"/>
          <w:kern w:val="0"/>
          <w:sz w:val="32"/>
          <w:szCs w:val="32"/>
          <w:highlight w:val="none"/>
        </w:rPr>
      </w:pPr>
    </w:p>
    <w:p w14:paraId="323FAD1F">
      <w:pPr>
        <w:jc w:val="center"/>
        <w:rPr>
          <w:rFonts w:ascii="仿宋" w:hAnsi="仿宋" w:eastAsia="仿宋" w:cs="仿宋"/>
          <w:b/>
          <w:color w:val="auto"/>
          <w:kern w:val="0"/>
          <w:sz w:val="32"/>
          <w:szCs w:val="32"/>
          <w:highlight w:val="none"/>
        </w:rPr>
      </w:pPr>
    </w:p>
    <w:p w14:paraId="53AD294D">
      <w:pPr>
        <w:jc w:val="center"/>
        <w:rPr>
          <w:rFonts w:ascii="仿宋" w:hAnsi="仿宋" w:eastAsia="仿宋" w:cs="仿宋"/>
          <w:b/>
          <w:color w:val="auto"/>
          <w:kern w:val="0"/>
          <w:sz w:val="32"/>
          <w:szCs w:val="32"/>
          <w:highlight w:val="none"/>
        </w:rPr>
      </w:pPr>
    </w:p>
    <w:p w14:paraId="5F654D38">
      <w:pPr>
        <w:jc w:val="center"/>
        <w:rPr>
          <w:rFonts w:ascii="仿宋" w:hAnsi="仿宋" w:eastAsia="仿宋" w:cs="仿宋"/>
          <w:b/>
          <w:color w:val="auto"/>
          <w:kern w:val="0"/>
          <w:sz w:val="32"/>
          <w:szCs w:val="32"/>
          <w:highlight w:val="none"/>
        </w:rPr>
      </w:pPr>
    </w:p>
    <w:p w14:paraId="50D34251">
      <w:pPr>
        <w:jc w:val="center"/>
        <w:rPr>
          <w:rFonts w:ascii="仿宋" w:hAnsi="仿宋" w:eastAsia="仿宋" w:cs="仿宋"/>
          <w:b/>
          <w:color w:val="auto"/>
          <w:kern w:val="0"/>
          <w:sz w:val="32"/>
          <w:szCs w:val="32"/>
          <w:highlight w:val="none"/>
        </w:rPr>
      </w:pPr>
    </w:p>
    <w:p w14:paraId="2E91516B">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w:t>
      </w:r>
    </w:p>
    <w:p w14:paraId="48779C86">
      <w:pPr>
        <w:jc w:val="center"/>
        <w:rPr>
          <w:rFonts w:ascii="仿宋" w:hAnsi="仿宋" w:eastAsia="仿宋" w:cs="仿宋"/>
          <w:b/>
          <w:color w:val="auto"/>
          <w:kern w:val="0"/>
          <w:sz w:val="32"/>
          <w:szCs w:val="32"/>
          <w:highlight w:val="none"/>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2778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2359D1">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976" w:type="dxa"/>
            <w:vAlign w:val="center"/>
          </w:tcPr>
          <w:p w14:paraId="6E86262B">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566" w:type="dxa"/>
            <w:vAlign w:val="center"/>
          </w:tcPr>
          <w:p w14:paraId="3BC315A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ACEADDE">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17B8B3AE">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C11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9FB2C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976" w:type="dxa"/>
            <w:vAlign w:val="center"/>
          </w:tcPr>
          <w:p w14:paraId="7C9DB60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响应文件按照交易文件要求签署、盖章。</w:t>
            </w:r>
          </w:p>
        </w:tc>
        <w:tc>
          <w:tcPr>
            <w:tcW w:w="3566" w:type="dxa"/>
            <w:vAlign w:val="center"/>
          </w:tcPr>
          <w:p w14:paraId="146FD67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20D0C612">
            <w:pPr>
              <w:jc w:val="center"/>
              <w:rPr>
                <w:rFonts w:ascii="仿宋" w:hAnsi="仿宋" w:eastAsia="仿宋" w:cs="仿宋"/>
                <w:color w:val="auto"/>
                <w:sz w:val="24"/>
                <w:highlight w:val="none"/>
              </w:rPr>
            </w:pPr>
          </w:p>
          <w:p w14:paraId="5C6381A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5BA30B47">
            <w:pPr>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83F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46D4B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976" w:type="dxa"/>
            <w:vAlign w:val="center"/>
          </w:tcPr>
          <w:p w14:paraId="298C7A7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响应文件中承诺的交易有效期不少于交易文件中载明的交易有效期。</w:t>
            </w:r>
          </w:p>
        </w:tc>
        <w:tc>
          <w:tcPr>
            <w:tcW w:w="3566" w:type="dxa"/>
            <w:vAlign w:val="center"/>
          </w:tcPr>
          <w:p w14:paraId="3977E2E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交易函</w:t>
            </w:r>
          </w:p>
        </w:tc>
        <w:tc>
          <w:tcPr>
            <w:tcW w:w="1418" w:type="dxa"/>
            <w:vAlign w:val="center"/>
          </w:tcPr>
          <w:p w14:paraId="26F4AF18">
            <w:pPr>
              <w:jc w:val="center"/>
              <w:rPr>
                <w:rFonts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C33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34E33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976" w:type="dxa"/>
            <w:vAlign w:val="center"/>
          </w:tcPr>
          <w:p w14:paraId="157BD54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响应文件满足交易文件的其它实质性要求。</w:t>
            </w:r>
          </w:p>
        </w:tc>
        <w:tc>
          <w:tcPr>
            <w:tcW w:w="3566" w:type="dxa"/>
            <w:vAlign w:val="center"/>
          </w:tcPr>
          <w:p w14:paraId="50D0DF7D">
            <w:pPr>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交易文件其它实质性要求相应的材料（“▲” 系指实质性要求条款，交易文件无其它实质性要求的，无需提供）</w:t>
            </w:r>
          </w:p>
        </w:tc>
        <w:tc>
          <w:tcPr>
            <w:tcW w:w="1418" w:type="dxa"/>
            <w:vAlign w:val="center"/>
          </w:tcPr>
          <w:p w14:paraId="261D4B4B">
            <w:pPr>
              <w:jc w:val="center"/>
              <w:rPr>
                <w:rFonts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6E2FC3C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133A8A7">
      <w:pPr>
        <w:jc w:val="center"/>
        <w:rPr>
          <w:rFonts w:ascii="仿宋" w:hAnsi="仿宋" w:eastAsia="仿宋" w:cs="仿宋"/>
          <w:b/>
          <w:color w:val="auto"/>
          <w:kern w:val="0"/>
          <w:sz w:val="32"/>
          <w:szCs w:val="32"/>
          <w:highlight w:val="none"/>
        </w:rPr>
      </w:pPr>
    </w:p>
    <w:p w14:paraId="4B947936">
      <w:pPr>
        <w:jc w:val="center"/>
        <w:rPr>
          <w:rFonts w:ascii="仿宋" w:hAnsi="仿宋" w:eastAsia="仿宋" w:cs="仿宋"/>
          <w:b/>
          <w:color w:val="auto"/>
          <w:kern w:val="0"/>
          <w:sz w:val="32"/>
          <w:szCs w:val="32"/>
          <w:highlight w:val="none"/>
        </w:rPr>
      </w:pPr>
    </w:p>
    <w:p w14:paraId="74DA9CF0">
      <w:pPr>
        <w:jc w:val="center"/>
        <w:rPr>
          <w:rFonts w:ascii="仿宋" w:hAnsi="仿宋" w:eastAsia="仿宋" w:cs="仿宋"/>
          <w:b/>
          <w:color w:val="auto"/>
          <w:kern w:val="0"/>
          <w:sz w:val="32"/>
          <w:szCs w:val="32"/>
          <w:highlight w:val="none"/>
        </w:rPr>
      </w:pPr>
    </w:p>
    <w:p w14:paraId="4DC9F839">
      <w:pPr>
        <w:jc w:val="center"/>
        <w:rPr>
          <w:rFonts w:ascii="仿宋" w:hAnsi="仿宋" w:eastAsia="仿宋" w:cs="仿宋"/>
          <w:b/>
          <w:color w:val="auto"/>
          <w:kern w:val="0"/>
          <w:sz w:val="32"/>
          <w:szCs w:val="32"/>
          <w:highlight w:val="none"/>
        </w:rPr>
      </w:pPr>
    </w:p>
    <w:p w14:paraId="2309C766">
      <w:pPr>
        <w:jc w:val="center"/>
        <w:rPr>
          <w:rFonts w:ascii="仿宋" w:hAnsi="仿宋" w:eastAsia="仿宋" w:cs="仿宋"/>
          <w:b/>
          <w:color w:val="auto"/>
          <w:kern w:val="0"/>
          <w:sz w:val="32"/>
          <w:szCs w:val="32"/>
          <w:highlight w:val="none"/>
        </w:rPr>
      </w:pPr>
    </w:p>
    <w:p w14:paraId="016DE189">
      <w:pPr>
        <w:jc w:val="center"/>
        <w:rPr>
          <w:rFonts w:ascii="仿宋" w:hAnsi="仿宋" w:eastAsia="仿宋" w:cs="仿宋"/>
          <w:b/>
          <w:color w:val="auto"/>
          <w:kern w:val="0"/>
          <w:sz w:val="32"/>
          <w:szCs w:val="32"/>
          <w:highlight w:val="none"/>
        </w:rPr>
      </w:pPr>
    </w:p>
    <w:p w14:paraId="0BAC8122">
      <w:pPr>
        <w:jc w:val="center"/>
        <w:rPr>
          <w:rFonts w:ascii="仿宋" w:hAnsi="仿宋" w:eastAsia="仿宋" w:cs="仿宋"/>
          <w:b/>
          <w:color w:val="auto"/>
          <w:kern w:val="0"/>
          <w:sz w:val="32"/>
          <w:szCs w:val="32"/>
          <w:highlight w:val="none"/>
        </w:rPr>
      </w:pPr>
    </w:p>
    <w:p w14:paraId="387E91AF">
      <w:pPr>
        <w:jc w:val="center"/>
        <w:rPr>
          <w:rFonts w:ascii="仿宋" w:hAnsi="仿宋" w:eastAsia="仿宋" w:cs="仿宋"/>
          <w:b/>
          <w:color w:val="auto"/>
          <w:kern w:val="0"/>
          <w:sz w:val="32"/>
          <w:szCs w:val="32"/>
          <w:highlight w:val="none"/>
        </w:rPr>
      </w:pPr>
    </w:p>
    <w:p w14:paraId="76CFEF23">
      <w:pPr>
        <w:jc w:val="center"/>
        <w:rPr>
          <w:rFonts w:ascii="仿宋" w:hAnsi="仿宋" w:eastAsia="仿宋" w:cs="仿宋"/>
          <w:b/>
          <w:color w:val="auto"/>
          <w:kern w:val="0"/>
          <w:sz w:val="32"/>
          <w:szCs w:val="32"/>
          <w:highlight w:val="none"/>
        </w:rPr>
      </w:pPr>
    </w:p>
    <w:p w14:paraId="3BA2A0CF">
      <w:pPr>
        <w:jc w:val="center"/>
        <w:rPr>
          <w:rFonts w:ascii="仿宋" w:hAnsi="仿宋" w:eastAsia="仿宋" w:cs="仿宋"/>
          <w:b/>
          <w:color w:val="auto"/>
          <w:kern w:val="0"/>
          <w:sz w:val="32"/>
          <w:szCs w:val="32"/>
          <w:highlight w:val="none"/>
        </w:rPr>
      </w:pPr>
    </w:p>
    <w:p w14:paraId="3BE05D63">
      <w:pPr>
        <w:jc w:val="center"/>
        <w:rPr>
          <w:rFonts w:ascii="仿宋" w:hAnsi="仿宋" w:eastAsia="仿宋" w:cs="仿宋"/>
          <w:b/>
          <w:color w:val="auto"/>
          <w:kern w:val="0"/>
          <w:sz w:val="32"/>
          <w:szCs w:val="32"/>
          <w:highlight w:val="none"/>
        </w:rPr>
      </w:pPr>
    </w:p>
    <w:p w14:paraId="0FE509D9">
      <w:pPr>
        <w:jc w:val="center"/>
        <w:rPr>
          <w:rFonts w:ascii="仿宋" w:hAnsi="仿宋" w:eastAsia="仿宋" w:cs="仿宋"/>
          <w:b/>
          <w:color w:val="auto"/>
          <w:kern w:val="0"/>
          <w:sz w:val="32"/>
          <w:szCs w:val="32"/>
          <w:highlight w:val="none"/>
        </w:rPr>
      </w:pPr>
    </w:p>
    <w:p w14:paraId="3A866F05">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四、评标标准相应的商务技术资料</w:t>
      </w:r>
    </w:p>
    <w:p w14:paraId="1AA41233">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（按交易文件第四部分交易办法前附表中“响应文件中评标标准相应的商务技术资料目录”提供资料。）</w:t>
      </w:r>
    </w:p>
    <w:p w14:paraId="364DF418">
      <w:pPr>
        <w:jc w:val="center"/>
        <w:rPr>
          <w:rFonts w:ascii="仿宋" w:hAnsi="仿宋" w:eastAsia="仿宋" w:cs="仿宋"/>
          <w:b/>
          <w:color w:val="auto"/>
          <w:kern w:val="0"/>
          <w:sz w:val="32"/>
          <w:szCs w:val="32"/>
          <w:highlight w:val="none"/>
        </w:rPr>
      </w:pPr>
    </w:p>
    <w:p w14:paraId="3DFC8B4A">
      <w:pPr>
        <w:jc w:val="center"/>
        <w:rPr>
          <w:rFonts w:ascii="仿宋" w:hAnsi="仿宋" w:eastAsia="仿宋" w:cs="仿宋"/>
          <w:b/>
          <w:color w:val="auto"/>
          <w:kern w:val="0"/>
          <w:sz w:val="32"/>
          <w:szCs w:val="32"/>
          <w:highlight w:val="none"/>
        </w:rPr>
      </w:pPr>
    </w:p>
    <w:p w14:paraId="6EE6B2DB">
      <w:pPr>
        <w:jc w:val="center"/>
        <w:rPr>
          <w:rFonts w:ascii="仿宋" w:hAnsi="仿宋" w:eastAsia="仿宋" w:cs="仿宋"/>
          <w:b/>
          <w:color w:val="auto"/>
          <w:kern w:val="0"/>
          <w:sz w:val="32"/>
          <w:szCs w:val="32"/>
          <w:highlight w:val="none"/>
        </w:rPr>
      </w:pPr>
    </w:p>
    <w:p w14:paraId="0CD9830C">
      <w:pPr>
        <w:jc w:val="center"/>
        <w:rPr>
          <w:rFonts w:ascii="仿宋" w:hAnsi="仿宋" w:eastAsia="仿宋" w:cs="仿宋"/>
          <w:b/>
          <w:color w:val="auto"/>
          <w:kern w:val="0"/>
          <w:sz w:val="32"/>
          <w:szCs w:val="32"/>
          <w:highlight w:val="none"/>
        </w:rPr>
      </w:pPr>
    </w:p>
    <w:p w14:paraId="51915B7A">
      <w:pPr>
        <w:rPr>
          <w:rFonts w:ascii="仿宋" w:hAnsi="仿宋" w:eastAsia="仿宋" w:cs="仿宋"/>
          <w:b/>
          <w:color w:val="auto"/>
          <w:kern w:val="0"/>
          <w:sz w:val="32"/>
          <w:szCs w:val="32"/>
          <w:highlight w:val="none"/>
        </w:rPr>
      </w:pPr>
    </w:p>
    <w:p w14:paraId="578ABCDE">
      <w:pPr>
        <w:ind w:firstLine="2891" w:firstLineChars="900"/>
        <w:rPr>
          <w:rFonts w:ascii="仿宋" w:hAnsi="仿宋" w:eastAsia="仿宋" w:cs="仿宋"/>
          <w:b/>
          <w:color w:val="auto"/>
          <w:kern w:val="0"/>
          <w:sz w:val="32"/>
          <w:szCs w:val="32"/>
          <w:highlight w:val="none"/>
        </w:rPr>
      </w:pPr>
    </w:p>
    <w:p w14:paraId="3FB68A08">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五、响应标的清单</w:t>
      </w:r>
    </w:p>
    <w:tbl>
      <w:tblPr>
        <w:tblStyle w:val="6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12FC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41764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27F945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55A90B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3BA138B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783CC23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2054765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6D682C1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57B0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B125D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07F1075">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2A9EFFB">
            <w:pPr>
              <w:snapToGrid w:val="0"/>
              <w:spacing w:line="360" w:lineRule="auto"/>
              <w:jc w:val="center"/>
              <w:rPr>
                <w:rFonts w:ascii="仿宋" w:hAnsi="仿宋" w:eastAsia="仿宋" w:cs="仿宋"/>
                <w:color w:val="auto"/>
                <w:sz w:val="24"/>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01628D4C">
            <w:pPr>
              <w:snapToGrid w:val="0"/>
              <w:spacing w:line="360" w:lineRule="auto"/>
              <w:jc w:val="center"/>
              <w:rPr>
                <w:rFonts w:ascii="仿宋" w:hAnsi="仿宋" w:eastAsia="仿宋" w:cs="仿宋"/>
                <w:color w:val="auto"/>
                <w:sz w:val="24"/>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350F1D81">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005C355">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BEDCF69">
            <w:pPr>
              <w:spacing w:line="360" w:lineRule="auto"/>
              <w:jc w:val="center"/>
              <w:rPr>
                <w:rFonts w:ascii="仿宋" w:hAnsi="仿宋" w:eastAsia="仿宋" w:cs="仿宋"/>
                <w:color w:val="auto"/>
                <w:sz w:val="24"/>
                <w:highlight w:val="none"/>
              </w:rPr>
            </w:pPr>
          </w:p>
        </w:tc>
      </w:tr>
      <w:tr w14:paraId="2E5D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FFAA2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DC3ACD5">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FC8E90">
            <w:pPr>
              <w:snapToGrid w:val="0"/>
              <w:spacing w:line="360" w:lineRule="auto"/>
              <w:jc w:val="center"/>
              <w:rPr>
                <w:rFonts w:ascii="仿宋" w:hAnsi="仿宋" w:eastAsia="仿宋" w:cs="仿宋"/>
                <w:color w:val="auto"/>
                <w:sz w:val="24"/>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0F9EF0B3">
            <w:pPr>
              <w:snapToGrid w:val="0"/>
              <w:spacing w:line="360" w:lineRule="auto"/>
              <w:jc w:val="center"/>
              <w:rPr>
                <w:rFonts w:ascii="仿宋" w:hAnsi="仿宋" w:eastAsia="仿宋" w:cs="仿宋"/>
                <w:color w:val="auto"/>
                <w:sz w:val="24"/>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17065F56">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9928DC2">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3FBAB4">
            <w:pPr>
              <w:spacing w:line="360" w:lineRule="auto"/>
              <w:jc w:val="center"/>
              <w:rPr>
                <w:rFonts w:ascii="仿宋" w:hAnsi="仿宋" w:eastAsia="仿宋" w:cs="仿宋"/>
                <w:color w:val="auto"/>
                <w:sz w:val="24"/>
                <w:highlight w:val="none"/>
              </w:rPr>
            </w:pPr>
          </w:p>
        </w:tc>
      </w:tr>
      <w:tr w14:paraId="2296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76D8F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9A011B0">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21B3DC">
            <w:pPr>
              <w:snapToGrid w:val="0"/>
              <w:spacing w:line="360" w:lineRule="auto"/>
              <w:jc w:val="center"/>
              <w:rPr>
                <w:rFonts w:ascii="仿宋" w:hAnsi="仿宋" w:eastAsia="仿宋" w:cs="仿宋"/>
                <w:color w:val="auto"/>
                <w:sz w:val="24"/>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5807E923">
            <w:pPr>
              <w:snapToGrid w:val="0"/>
              <w:spacing w:line="360" w:lineRule="auto"/>
              <w:jc w:val="center"/>
              <w:rPr>
                <w:rFonts w:ascii="仿宋" w:hAnsi="仿宋" w:eastAsia="仿宋" w:cs="仿宋"/>
                <w:color w:val="auto"/>
                <w:sz w:val="24"/>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1CD47603">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806FD76">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343A3A">
            <w:pPr>
              <w:spacing w:line="360" w:lineRule="auto"/>
              <w:jc w:val="center"/>
              <w:rPr>
                <w:rFonts w:ascii="仿宋" w:hAnsi="仿宋" w:eastAsia="仿宋" w:cs="仿宋"/>
                <w:color w:val="auto"/>
                <w:sz w:val="24"/>
                <w:highlight w:val="none"/>
              </w:rPr>
            </w:pPr>
          </w:p>
        </w:tc>
      </w:tr>
    </w:tbl>
    <w:p w14:paraId="1ED3650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A24D59D">
      <w:pPr>
        <w:jc w:val="center"/>
        <w:rPr>
          <w:rFonts w:ascii="仿宋" w:hAnsi="仿宋" w:eastAsia="仿宋" w:cs="仿宋"/>
          <w:b/>
          <w:color w:val="auto"/>
          <w:kern w:val="0"/>
          <w:sz w:val="32"/>
          <w:szCs w:val="32"/>
          <w:highlight w:val="none"/>
        </w:rPr>
      </w:pPr>
    </w:p>
    <w:p w14:paraId="39A711AE">
      <w:pPr>
        <w:jc w:val="center"/>
        <w:rPr>
          <w:rFonts w:ascii="仿宋" w:hAnsi="仿宋" w:eastAsia="仿宋" w:cs="仿宋"/>
          <w:b/>
          <w:color w:val="auto"/>
          <w:kern w:val="0"/>
          <w:sz w:val="32"/>
          <w:szCs w:val="32"/>
          <w:highlight w:val="none"/>
        </w:rPr>
      </w:pPr>
    </w:p>
    <w:p w14:paraId="664B59DD">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727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8E2F1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239DD02">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交易文件章节及具体内容</w:t>
            </w:r>
          </w:p>
        </w:tc>
        <w:tc>
          <w:tcPr>
            <w:tcW w:w="3546" w:type="dxa"/>
          </w:tcPr>
          <w:p w14:paraId="2A81D8F4">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2FC50910">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D5D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E99B6C">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100B9C5">
            <w:pPr>
              <w:jc w:val="center"/>
              <w:rPr>
                <w:rFonts w:ascii="仿宋" w:hAnsi="仿宋" w:eastAsia="仿宋" w:cs="仿宋"/>
                <w:b/>
                <w:color w:val="auto"/>
                <w:kern w:val="0"/>
                <w:sz w:val="32"/>
                <w:szCs w:val="32"/>
                <w:highlight w:val="none"/>
              </w:rPr>
            </w:pPr>
          </w:p>
        </w:tc>
        <w:tc>
          <w:tcPr>
            <w:tcW w:w="3546" w:type="dxa"/>
          </w:tcPr>
          <w:p w14:paraId="30A2791F">
            <w:pPr>
              <w:jc w:val="center"/>
              <w:rPr>
                <w:rFonts w:ascii="仿宋" w:hAnsi="仿宋" w:eastAsia="仿宋" w:cs="仿宋"/>
                <w:b/>
                <w:color w:val="auto"/>
                <w:kern w:val="0"/>
                <w:sz w:val="32"/>
                <w:szCs w:val="32"/>
                <w:highlight w:val="none"/>
              </w:rPr>
            </w:pPr>
          </w:p>
        </w:tc>
        <w:tc>
          <w:tcPr>
            <w:tcW w:w="1276" w:type="dxa"/>
          </w:tcPr>
          <w:p w14:paraId="5DCA8A22">
            <w:pPr>
              <w:jc w:val="center"/>
              <w:rPr>
                <w:rFonts w:ascii="仿宋" w:hAnsi="仿宋" w:eastAsia="仿宋" w:cs="仿宋"/>
                <w:b/>
                <w:color w:val="auto"/>
                <w:kern w:val="0"/>
                <w:sz w:val="32"/>
                <w:szCs w:val="32"/>
                <w:highlight w:val="none"/>
              </w:rPr>
            </w:pPr>
          </w:p>
        </w:tc>
      </w:tr>
      <w:tr w14:paraId="4B64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87388D">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A97A407">
            <w:pPr>
              <w:jc w:val="center"/>
              <w:rPr>
                <w:rFonts w:ascii="仿宋" w:hAnsi="仿宋" w:eastAsia="仿宋" w:cs="仿宋"/>
                <w:b/>
                <w:color w:val="auto"/>
                <w:kern w:val="0"/>
                <w:sz w:val="32"/>
                <w:szCs w:val="32"/>
                <w:highlight w:val="none"/>
              </w:rPr>
            </w:pPr>
          </w:p>
        </w:tc>
        <w:tc>
          <w:tcPr>
            <w:tcW w:w="3546" w:type="dxa"/>
          </w:tcPr>
          <w:p w14:paraId="7B2241F4">
            <w:pPr>
              <w:jc w:val="center"/>
              <w:rPr>
                <w:rFonts w:ascii="仿宋" w:hAnsi="仿宋" w:eastAsia="仿宋" w:cs="仿宋"/>
                <w:b/>
                <w:color w:val="auto"/>
                <w:kern w:val="0"/>
                <w:sz w:val="32"/>
                <w:szCs w:val="32"/>
                <w:highlight w:val="none"/>
              </w:rPr>
            </w:pPr>
          </w:p>
        </w:tc>
        <w:tc>
          <w:tcPr>
            <w:tcW w:w="1276" w:type="dxa"/>
          </w:tcPr>
          <w:p w14:paraId="5F4B8AF5">
            <w:pPr>
              <w:jc w:val="center"/>
              <w:rPr>
                <w:rFonts w:ascii="仿宋" w:hAnsi="仿宋" w:eastAsia="仿宋" w:cs="仿宋"/>
                <w:b/>
                <w:color w:val="auto"/>
                <w:kern w:val="0"/>
                <w:sz w:val="32"/>
                <w:szCs w:val="32"/>
                <w:highlight w:val="none"/>
              </w:rPr>
            </w:pPr>
          </w:p>
        </w:tc>
      </w:tr>
      <w:tr w14:paraId="714C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AC253D">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452C37E5">
            <w:pPr>
              <w:jc w:val="center"/>
              <w:rPr>
                <w:rFonts w:ascii="仿宋" w:hAnsi="仿宋" w:eastAsia="仿宋" w:cs="仿宋"/>
                <w:b/>
                <w:color w:val="auto"/>
                <w:kern w:val="0"/>
                <w:sz w:val="32"/>
                <w:szCs w:val="32"/>
                <w:highlight w:val="none"/>
              </w:rPr>
            </w:pPr>
          </w:p>
        </w:tc>
        <w:tc>
          <w:tcPr>
            <w:tcW w:w="3546" w:type="dxa"/>
          </w:tcPr>
          <w:p w14:paraId="1B6A2B6A">
            <w:pPr>
              <w:jc w:val="center"/>
              <w:rPr>
                <w:rFonts w:ascii="仿宋" w:hAnsi="仿宋" w:eastAsia="仿宋" w:cs="仿宋"/>
                <w:b/>
                <w:color w:val="auto"/>
                <w:kern w:val="0"/>
                <w:sz w:val="32"/>
                <w:szCs w:val="32"/>
                <w:highlight w:val="none"/>
              </w:rPr>
            </w:pPr>
          </w:p>
        </w:tc>
        <w:tc>
          <w:tcPr>
            <w:tcW w:w="1276" w:type="dxa"/>
          </w:tcPr>
          <w:p w14:paraId="2E4FC22F">
            <w:pPr>
              <w:jc w:val="center"/>
              <w:rPr>
                <w:rFonts w:ascii="仿宋" w:hAnsi="仿宋" w:eastAsia="仿宋" w:cs="仿宋"/>
                <w:b/>
                <w:color w:val="auto"/>
                <w:kern w:val="0"/>
                <w:sz w:val="32"/>
                <w:szCs w:val="32"/>
                <w:highlight w:val="none"/>
              </w:rPr>
            </w:pPr>
          </w:p>
        </w:tc>
      </w:tr>
    </w:tbl>
    <w:p w14:paraId="69D4F1BE">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供应商保证：除商务技术偏离表列出的偏离外，供应商响应交易文件的全部要求</w:t>
      </w:r>
    </w:p>
    <w:p w14:paraId="0DB6EA67">
      <w:pPr>
        <w:jc w:val="center"/>
        <w:rPr>
          <w:rFonts w:ascii="仿宋" w:hAnsi="仿宋" w:eastAsia="仿宋" w:cs="仿宋"/>
          <w:b/>
          <w:color w:val="auto"/>
          <w:kern w:val="0"/>
          <w:sz w:val="32"/>
          <w:szCs w:val="32"/>
          <w:highlight w:val="none"/>
        </w:rPr>
      </w:pPr>
    </w:p>
    <w:p w14:paraId="4EC46D85">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9E65821">
      <w:pPr>
        <w:jc w:val="center"/>
        <w:rPr>
          <w:rFonts w:ascii="仿宋" w:hAnsi="仿宋" w:eastAsia="仿宋" w:cs="仿宋"/>
          <w:b/>
          <w:color w:val="auto"/>
          <w:kern w:val="0"/>
          <w:sz w:val="32"/>
          <w:szCs w:val="32"/>
          <w:highlight w:val="none"/>
        </w:rPr>
      </w:pPr>
    </w:p>
    <w:p w14:paraId="76FE854F">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BC6D6AC">
      <w:pPr>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57AF26B2">
      <w:pPr>
        <w:snapToGrid w:val="0"/>
        <w:spacing w:line="360" w:lineRule="auto"/>
        <w:rPr>
          <w:rFonts w:ascii="仿宋" w:hAnsi="仿宋" w:eastAsia="仿宋" w:cs="仿宋"/>
          <w:color w:val="auto"/>
          <w:sz w:val="24"/>
          <w:highlight w:val="none"/>
        </w:rPr>
      </w:pPr>
    </w:p>
    <w:p w14:paraId="60B2D95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（交易发起人）、（采购代理机构）</w:t>
      </w:r>
      <w:r>
        <w:rPr>
          <w:rFonts w:hint="eastAsia" w:ascii="仿宋" w:hAnsi="仿宋" w:eastAsia="仿宋" w:cs="仿宋"/>
          <w:color w:val="auto"/>
          <w:kern w:val="0"/>
          <w:sz w:val="24"/>
          <w:highlight w:val="none"/>
          <w:lang w:val="zh-CN"/>
        </w:rPr>
        <w:t>：</w:t>
      </w:r>
    </w:p>
    <w:p w14:paraId="48D01741">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w:t>
      </w:r>
      <w:r>
        <w:rPr>
          <w:rFonts w:hint="eastAsia" w:ascii="仿宋" w:hAnsi="仿宋" w:eastAsia="仿宋" w:cs="仿宋"/>
          <w:color w:val="auto"/>
          <w:kern w:val="0"/>
          <w:sz w:val="24"/>
          <w:highlight w:val="none"/>
        </w:rPr>
        <w:t>交易</w:t>
      </w:r>
      <w:r>
        <w:rPr>
          <w:rFonts w:hint="eastAsia" w:ascii="仿宋" w:hAnsi="仿宋" w:eastAsia="仿宋" w:cs="仿宋"/>
          <w:color w:val="auto"/>
          <w:kern w:val="0"/>
          <w:sz w:val="24"/>
          <w:highlight w:val="none"/>
          <w:lang w:val="zh-CN"/>
        </w:rPr>
        <w:t>要求参加</w:t>
      </w:r>
      <w:r>
        <w:rPr>
          <w:rFonts w:hint="eastAsia" w:ascii="仿宋" w:hAnsi="仿宋" w:eastAsia="仿宋" w:cs="仿宋"/>
          <w:color w:val="auto"/>
          <w:kern w:val="0"/>
          <w:sz w:val="24"/>
          <w:highlight w:val="none"/>
        </w:rPr>
        <w:t>交易</w:t>
      </w:r>
      <w:r>
        <w:rPr>
          <w:rFonts w:hint="eastAsia" w:ascii="仿宋" w:hAnsi="仿宋" w:eastAsia="仿宋" w:cs="仿宋"/>
          <w:color w:val="auto"/>
          <w:kern w:val="0"/>
          <w:sz w:val="24"/>
          <w:highlight w:val="none"/>
          <w:lang w:val="zh-CN"/>
        </w:rPr>
        <w:t>。在这次</w:t>
      </w:r>
      <w:r>
        <w:rPr>
          <w:rFonts w:hint="eastAsia" w:ascii="仿宋" w:hAnsi="仿宋" w:eastAsia="仿宋" w:cs="仿宋"/>
          <w:color w:val="auto"/>
          <w:kern w:val="0"/>
          <w:sz w:val="24"/>
          <w:highlight w:val="none"/>
        </w:rPr>
        <w:t>交易</w:t>
      </w:r>
      <w:r>
        <w:rPr>
          <w:rFonts w:hint="eastAsia" w:ascii="仿宋" w:hAnsi="仿宋" w:eastAsia="仿宋" w:cs="仿宋"/>
          <w:color w:val="auto"/>
          <w:kern w:val="0"/>
          <w:sz w:val="24"/>
          <w:highlight w:val="none"/>
          <w:lang w:val="zh-CN"/>
        </w:rPr>
        <w:t>过程中和成交后，我们将严格遵守国家法律法规要求，并郑重承诺：</w:t>
      </w:r>
    </w:p>
    <w:p w14:paraId="06F27A15">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A88944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B06168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6F428E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40A2A02">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0C70493">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A4B726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六、严格遵守相关法律法规，诚实守信，合法经营，坚决抵制各种违法违纪行为。 </w:t>
      </w:r>
    </w:p>
    <w:p w14:paraId="3DB9B154">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w:t>
      </w:r>
      <w:r>
        <w:rPr>
          <w:rFonts w:hint="eastAsia" w:ascii="仿宋" w:hAnsi="仿宋" w:eastAsia="仿宋" w:cs="仿宋"/>
          <w:color w:val="auto"/>
          <w:kern w:val="0"/>
          <w:sz w:val="24"/>
          <w:highlight w:val="none"/>
        </w:rPr>
        <w:t>交易</w:t>
      </w:r>
      <w:r>
        <w:rPr>
          <w:rFonts w:hint="eastAsia" w:ascii="仿宋" w:hAnsi="仿宋" w:eastAsia="仿宋" w:cs="仿宋"/>
          <w:color w:val="auto"/>
          <w:kern w:val="0"/>
          <w:sz w:val="24"/>
          <w:highlight w:val="none"/>
          <w:lang w:val="zh-CN"/>
        </w:rPr>
        <w:t>、成交或在建项目的建设资格，有权拒绝我单位在一定时期内进入你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B3EE6A1">
      <w:pPr>
        <w:autoSpaceDE w:val="0"/>
        <w:autoSpaceDN w:val="0"/>
        <w:spacing w:line="360" w:lineRule="auto"/>
        <w:jc w:val="left"/>
        <w:rPr>
          <w:rFonts w:ascii="仿宋" w:hAnsi="仿宋" w:eastAsia="仿宋" w:cs="仿宋"/>
          <w:color w:val="auto"/>
          <w:kern w:val="0"/>
          <w:sz w:val="24"/>
          <w:highlight w:val="none"/>
          <w:lang w:val="zh-CN"/>
        </w:rPr>
      </w:pPr>
    </w:p>
    <w:p w14:paraId="47152968">
      <w:pPr>
        <w:autoSpaceDE w:val="0"/>
        <w:autoSpaceDN w:val="0"/>
        <w:spacing w:line="360" w:lineRule="auto"/>
        <w:ind w:left="2"/>
        <w:jc w:val="left"/>
        <w:rPr>
          <w:rFonts w:ascii="仿宋" w:hAnsi="仿宋" w:eastAsia="仿宋" w:cs="仿宋"/>
          <w:color w:val="auto"/>
          <w:kern w:val="0"/>
          <w:sz w:val="24"/>
          <w:highlight w:val="none"/>
          <w:lang w:val="zh-CN"/>
        </w:rPr>
      </w:pPr>
    </w:p>
    <w:p w14:paraId="51044045">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33DA222">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633E2C9">
      <w:pPr>
        <w:spacing w:line="360" w:lineRule="auto"/>
        <w:jc w:val="center"/>
        <w:rPr>
          <w:rFonts w:ascii="仿宋" w:hAnsi="仿宋" w:eastAsia="仿宋" w:cs="仿宋"/>
          <w:b/>
          <w:bCs/>
          <w:color w:val="auto"/>
          <w:sz w:val="24"/>
          <w:highlight w:val="none"/>
        </w:rPr>
      </w:pPr>
    </w:p>
    <w:p w14:paraId="5159380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540D415">
      <w:pPr>
        <w:spacing w:line="360" w:lineRule="auto"/>
        <w:jc w:val="center"/>
        <w:rPr>
          <w:rFonts w:ascii="仿宋" w:hAnsi="仿宋" w:eastAsia="仿宋" w:cs="仿宋"/>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6C804949">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0842C09">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AF769CE">
      <w:pPr>
        <w:spacing w:line="360" w:lineRule="auto"/>
        <w:jc w:val="center"/>
        <w:outlineLvl w:val="0"/>
        <w:rPr>
          <w:rFonts w:ascii="仿宋" w:hAnsi="仿宋" w:eastAsia="仿宋" w:cs="仿宋"/>
          <w:b/>
          <w:color w:val="auto"/>
          <w:kern w:val="0"/>
          <w:sz w:val="36"/>
          <w:szCs w:val="36"/>
          <w:highlight w:val="none"/>
        </w:rPr>
      </w:pPr>
    </w:p>
    <w:p w14:paraId="7C049C9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（1）交易一览表（报价表）………………………………………………………（页码）</w:t>
      </w:r>
    </w:p>
    <w:p w14:paraId="321CFC9E">
      <w:pPr>
        <w:snapToGrid w:val="0"/>
        <w:spacing w:line="360" w:lineRule="auto"/>
        <w:ind w:right="480"/>
        <w:jc w:val="center"/>
        <w:rPr>
          <w:rFonts w:ascii="仿宋" w:hAnsi="仿宋" w:eastAsia="仿宋" w:cs="仿宋"/>
          <w:b/>
          <w:color w:val="auto"/>
          <w:kern w:val="0"/>
          <w:sz w:val="32"/>
          <w:szCs w:val="32"/>
          <w:highlight w:val="none"/>
        </w:rPr>
      </w:pPr>
    </w:p>
    <w:p w14:paraId="08FD8571">
      <w:pPr>
        <w:snapToGrid w:val="0"/>
        <w:spacing w:line="360" w:lineRule="auto"/>
        <w:ind w:right="480"/>
        <w:jc w:val="center"/>
        <w:rPr>
          <w:rFonts w:ascii="仿宋" w:hAnsi="仿宋" w:eastAsia="仿宋" w:cs="仿宋"/>
          <w:b/>
          <w:color w:val="auto"/>
          <w:kern w:val="0"/>
          <w:sz w:val="32"/>
          <w:szCs w:val="32"/>
          <w:highlight w:val="none"/>
        </w:rPr>
      </w:pPr>
    </w:p>
    <w:p w14:paraId="530739D9">
      <w:pPr>
        <w:snapToGrid w:val="0"/>
        <w:spacing w:line="360" w:lineRule="auto"/>
        <w:ind w:right="480"/>
        <w:jc w:val="center"/>
        <w:rPr>
          <w:rFonts w:ascii="仿宋" w:hAnsi="仿宋" w:eastAsia="仿宋" w:cs="仿宋"/>
          <w:b/>
          <w:color w:val="auto"/>
          <w:kern w:val="0"/>
          <w:sz w:val="32"/>
          <w:szCs w:val="32"/>
          <w:highlight w:val="none"/>
        </w:rPr>
      </w:pPr>
    </w:p>
    <w:p w14:paraId="6FF2814D">
      <w:pPr>
        <w:snapToGrid w:val="0"/>
        <w:spacing w:line="360" w:lineRule="auto"/>
        <w:ind w:right="480"/>
        <w:jc w:val="center"/>
        <w:rPr>
          <w:rFonts w:ascii="仿宋" w:hAnsi="仿宋" w:eastAsia="仿宋" w:cs="仿宋"/>
          <w:b/>
          <w:color w:val="auto"/>
          <w:kern w:val="0"/>
          <w:sz w:val="32"/>
          <w:szCs w:val="32"/>
          <w:highlight w:val="none"/>
        </w:rPr>
      </w:pPr>
    </w:p>
    <w:p w14:paraId="20A645C4">
      <w:pPr>
        <w:snapToGrid w:val="0"/>
        <w:spacing w:line="360" w:lineRule="auto"/>
        <w:ind w:right="480"/>
        <w:jc w:val="center"/>
        <w:rPr>
          <w:rFonts w:ascii="仿宋" w:hAnsi="仿宋" w:eastAsia="仿宋" w:cs="仿宋"/>
          <w:b/>
          <w:color w:val="auto"/>
          <w:kern w:val="0"/>
          <w:sz w:val="32"/>
          <w:szCs w:val="32"/>
          <w:highlight w:val="none"/>
        </w:rPr>
      </w:pPr>
    </w:p>
    <w:p w14:paraId="040BFD87">
      <w:pPr>
        <w:snapToGrid w:val="0"/>
        <w:spacing w:line="360" w:lineRule="auto"/>
        <w:ind w:right="480"/>
        <w:jc w:val="center"/>
        <w:rPr>
          <w:rFonts w:ascii="仿宋" w:hAnsi="仿宋" w:eastAsia="仿宋" w:cs="仿宋"/>
          <w:b/>
          <w:color w:val="auto"/>
          <w:kern w:val="0"/>
          <w:sz w:val="32"/>
          <w:szCs w:val="32"/>
          <w:highlight w:val="none"/>
        </w:rPr>
      </w:pPr>
    </w:p>
    <w:p w14:paraId="578E354A">
      <w:pPr>
        <w:snapToGrid w:val="0"/>
        <w:spacing w:line="360" w:lineRule="auto"/>
        <w:ind w:right="480"/>
        <w:jc w:val="center"/>
        <w:rPr>
          <w:rFonts w:ascii="仿宋" w:hAnsi="仿宋" w:eastAsia="仿宋" w:cs="仿宋"/>
          <w:b/>
          <w:color w:val="auto"/>
          <w:kern w:val="0"/>
          <w:sz w:val="32"/>
          <w:szCs w:val="32"/>
          <w:highlight w:val="none"/>
        </w:rPr>
      </w:pPr>
    </w:p>
    <w:p w14:paraId="318D0924">
      <w:pPr>
        <w:snapToGrid w:val="0"/>
        <w:spacing w:line="360" w:lineRule="auto"/>
        <w:ind w:right="480"/>
        <w:jc w:val="center"/>
        <w:rPr>
          <w:rFonts w:ascii="仿宋" w:hAnsi="仿宋" w:eastAsia="仿宋" w:cs="仿宋"/>
          <w:b/>
          <w:color w:val="auto"/>
          <w:kern w:val="0"/>
          <w:sz w:val="32"/>
          <w:szCs w:val="32"/>
          <w:highlight w:val="none"/>
        </w:rPr>
      </w:pPr>
    </w:p>
    <w:p w14:paraId="7EB088FD">
      <w:pPr>
        <w:snapToGrid w:val="0"/>
        <w:spacing w:line="360" w:lineRule="auto"/>
        <w:ind w:right="480"/>
        <w:jc w:val="center"/>
        <w:rPr>
          <w:rFonts w:ascii="仿宋" w:hAnsi="仿宋" w:eastAsia="仿宋" w:cs="仿宋"/>
          <w:b/>
          <w:color w:val="auto"/>
          <w:kern w:val="0"/>
          <w:sz w:val="32"/>
          <w:szCs w:val="32"/>
          <w:highlight w:val="none"/>
        </w:rPr>
      </w:pPr>
    </w:p>
    <w:p w14:paraId="6DEDC599">
      <w:pPr>
        <w:snapToGrid w:val="0"/>
        <w:spacing w:line="360" w:lineRule="auto"/>
        <w:ind w:right="480"/>
        <w:jc w:val="center"/>
        <w:rPr>
          <w:rFonts w:ascii="仿宋" w:hAnsi="仿宋" w:eastAsia="仿宋" w:cs="仿宋"/>
          <w:b/>
          <w:color w:val="auto"/>
          <w:kern w:val="0"/>
          <w:sz w:val="32"/>
          <w:szCs w:val="32"/>
          <w:highlight w:val="none"/>
        </w:rPr>
      </w:pPr>
    </w:p>
    <w:p w14:paraId="1F57F006">
      <w:pPr>
        <w:snapToGrid w:val="0"/>
        <w:spacing w:line="360" w:lineRule="auto"/>
        <w:ind w:right="480"/>
        <w:jc w:val="center"/>
        <w:rPr>
          <w:rFonts w:ascii="仿宋" w:hAnsi="仿宋" w:eastAsia="仿宋" w:cs="仿宋"/>
          <w:b/>
          <w:color w:val="auto"/>
          <w:kern w:val="0"/>
          <w:sz w:val="32"/>
          <w:szCs w:val="32"/>
          <w:highlight w:val="none"/>
        </w:rPr>
      </w:pPr>
    </w:p>
    <w:p w14:paraId="644EA4C2">
      <w:pPr>
        <w:snapToGrid w:val="0"/>
        <w:spacing w:line="360" w:lineRule="auto"/>
        <w:ind w:right="480"/>
        <w:jc w:val="center"/>
        <w:rPr>
          <w:rFonts w:ascii="仿宋" w:hAnsi="仿宋" w:eastAsia="仿宋" w:cs="仿宋"/>
          <w:b/>
          <w:color w:val="auto"/>
          <w:kern w:val="0"/>
          <w:sz w:val="32"/>
          <w:szCs w:val="32"/>
          <w:highlight w:val="none"/>
        </w:rPr>
      </w:pPr>
    </w:p>
    <w:p w14:paraId="69A7E1D3">
      <w:pPr>
        <w:snapToGrid w:val="0"/>
        <w:spacing w:line="360" w:lineRule="auto"/>
        <w:ind w:right="480"/>
        <w:rPr>
          <w:rFonts w:ascii="仿宋" w:hAnsi="仿宋" w:eastAsia="仿宋" w:cs="仿宋"/>
          <w:b/>
          <w:color w:val="auto"/>
          <w:kern w:val="0"/>
          <w:sz w:val="32"/>
          <w:szCs w:val="32"/>
          <w:highlight w:val="none"/>
        </w:rPr>
      </w:pPr>
    </w:p>
    <w:p w14:paraId="4F90E236">
      <w:pPr>
        <w:pStyle w:val="597"/>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18758CF">
      <w:pPr>
        <w:pStyle w:val="597"/>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一、交易一览表（报价表）</w:t>
      </w:r>
    </w:p>
    <w:p w14:paraId="668CC02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（交易发起人）、（采购代理机构）</w:t>
      </w:r>
      <w:r>
        <w:rPr>
          <w:rFonts w:hint="eastAsia" w:ascii="仿宋" w:hAnsi="仿宋" w:eastAsia="仿宋" w:cs="仿宋"/>
          <w:color w:val="auto"/>
          <w:kern w:val="0"/>
          <w:sz w:val="24"/>
          <w:highlight w:val="none"/>
          <w:lang w:val="zh-CN"/>
        </w:rPr>
        <w:t>：</w:t>
      </w:r>
    </w:p>
    <w:p w14:paraId="22C56DD1">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按你方交易文件要求，我们，本响应文件签字方，谨此向你方发出要约如下：如你方接受本投标，我方承诺按照如下响应一览表（报价表）的价格完成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u w:val="single"/>
          <w:lang w:val="zh-CN"/>
        </w:rPr>
        <w:t>【交易编号：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3F78FAF8">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响应(交易)一览表</w:t>
      </w:r>
    </w:p>
    <w:tbl>
      <w:tblPr>
        <w:tblStyle w:val="61"/>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3827"/>
        <w:gridCol w:w="2622"/>
        <w:gridCol w:w="1842"/>
        <w:gridCol w:w="1915"/>
        <w:gridCol w:w="2996"/>
      </w:tblGrid>
      <w:tr w14:paraId="4F5F85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14:paraId="63C7097D">
            <w:pPr>
              <w:pStyle w:val="621"/>
              <w:spacing w:line="400" w:lineRule="exact"/>
              <w:jc w:val="cente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标项</w:t>
            </w:r>
          </w:p>
        </w:tc>
        <w:tc>
          <w:tcPr>
            <w:tcW w:w="3827" w:type="dxa"/>
            <w:tcBorders>
              <w:left w:val="single" w:color="auto" w:sz="4" w:space="0"/>
              <w:right w:val="single" w:color="auto" w:sz="4" w:space="0"/>
            </w:tcBorders>
            <w:vAlign w:val="center"/>
          </w:tcPr>
          <w:p w14:paraId="3A8A281E">
            <w:pPr>
              <w:pStyle w:val="621"/>
              <w:spacing w:line="400" w:lineRule="exact"/>
              <w:jc w:val="cente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名称</w:t>
            </w:r>
          </w:p>
        </w:tc>
        <w:tc>
          <w:tcPr>
            <w:tcW w:w="2622" w:type="dxa"/>
            <w:tcBorders>
              <w:left w:val="single" w:color="auto" w:sz="4" w:space="0"/>
              <w:right w:val="single" w:color="auto" w:sz="4" w:space="0"/>
            </w:tcBorders>
            <w:vAlign w:val="center"/>
          </w:tcPr>
          <w:p w14:paraId="572EB025">
            <w:pPr>
              <w:pStyle w:val="621"/>
              <w:spacing w:line="400" w:lineRule="exact"/>
              <w:jc w:val="cente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规格型号参数</w:t>
            </w:r>
          </w:p>
        </w:tc>
        <w:tc>
          <w:tcPr>
            <w:tcW w:w="1842" w:type="dxa"/>
            <w:tcBorders>
              <w:left w:val="single" w:color="auto" w:sz="4" w:space="0"/>
              <w:right w:val="single" w:color="auto" w:sz="4" w:space="0"/>
            </w:tcBorders>
            <w:vAlign w:val="center"/>
          </w:tcPr>
          <w:p w14:paraId="7482D640">
            <w:pPr>
              <w:pStyle w:val="621"/>
              <w:spacing w:line="400" w:lineRule="exact"/>
              <w:jc w:val="cente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数量</w:t>
            </w:r>
          </w:p>
        </w:tc>
        <w:tc>
          <w:tcPr>
            <w:tcW w:w="1915" w:type="dxa"/>
            <w:tcBorders>
              <w:left w:val="single" w:color="auto" w:sz="4" w:space="0"/>
              <w:right w:val="single" w:color="auto" w:sz="4" w:space="0"/>
            </w:tcBorders>
            <w:vAlign w:val="center"/>
          </w:tcPr>
          <w:p w14:paraId="5D69B468">
            <w:pPr>
              <w:pStyle w:val="621"/>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单价</w:t>
            </w:r>
          </w:p>
        </w:tc>
        <w:tc>
          <w:tcPr>
            <w:tcW w:w="2996" w:type="dxa"/>
            <w:tcBorders>
              <w:left w:val="single" w:color="auto" w:sz="4" w:space="0"/>
              <w:right w:val="single" w:color="auto" w:sz="4" w:space="0"/>
            </w:tcBorders>
            <w:vAlign w:val="center"/>
          </w:tcPr>
          <w:p w14:paraId="04E2610F">
            <w:pPr>
              <w:pStyle w:val="621"/>
              <w:spacing w:line="400" w:lineRule="exact"/>
              <w:jc w:val="cente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总价</w:t>
            </w:r>
          </w:p>
        </w:tc>
      </w:tr>
      <w:tr w14:paraId="760704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1A705709">
            <w:pPr>
              <w:spacing w:line="360" w:lineRule="auto"/>
              <w:jc w:val="center"/>
              <w:rPr>
                <w:rFonts w:ascii="仿宋" w:hAnsi="仿宋" w:eastAsia="仿宋" w:cs="仿宋"/>
                <w:color w:val="auto"/>
                <w:sz w:val="24"/>
                <w:highlight w:val="none"/>
              </w:rPr>
            </w:pPr>
          </w:p>
        </w:tc>
        <w:tc>
          <w:tcPr>
            <w:tcW w:w="3827" w:type="dxa"/>
            <w:tcBorders>
              <w:left w:val="single" w:color="auto" w:sz="4" w:space="0"/>
              <w:right w:val="single" w:color="auto" w:sz="4" w:space="0"/>
            </w:tcBorders>
            <w:vAlign w:val="center"/>
          </w:tcPr>
          <w:p w14:paraId="5FB4E195">
            <w:pPr>
              <w:spacing w:line="360" w:lineRule="exact"/>
              <w:jc w:val="center"/>
              <w:rPr>
                <w:rFonts w:ascii="仿宋" w:hAnsi="仿宋" w:eastAsia="仿宋" w:cs="仿宋"/>
                <w:color w:val="auto"/>
                <w:sz w:val="24"/>
                <w:highlight w:val="none"/>
              </w:rPr>
            </w:pPr>
          </w:p>
        </w:tc>
        <w:tc>
          <w:tcPr>
            <w:tcW w:w="2622" w:type="dxa"/>
            <w:tcBorders>
              <w:left w:val="single" w:color="auto" w:sz="4" w:space="0"/>
              <w:right w:val="single" w:color="auto" w:sz="4" w:space="0"/>
            </w:tcBorders>
            <w:vAlign w:val="center"/>
          </w:tcPr>
          <w:p w14:paraId="5D41B305">
            <w:pPr>
              <w:pStyle w:val="621"/>
              <w:spacing w:line="400" w:lineRule="exact"/>
              <w:jc w:val="center"/>
              <w:rPr>
                <w:rFonts w:ascii="仿宋" w:hAnsi="仿宋" w:eastAsia="仿宋" w:cs="仿宋"/>
                <w:color w:val="auto"/>
                <w:sz w:val="24"/>
                <w:highlight w:val="none"/>
              </w:rPr>
            </w:pPr>
          </w:p>
        </w:tc>
        <w:tc>
          <w:tcPr>
            <w:tcW w:w="1842" w:type="dxa"/>
            <w:tcBorders>
              <w:left w:val="single" w:color="auto" w:sz="4" w:space="0"/>
              <w:right w:val="single" w:color="auto" w:sz="4" w:space="0"/>
            </w:tcBorders>
            <w:vAlign w:val="center"/>
          </w:tcPr>
          <w:p w14:paraId="5536FB5E">
            <w:pPr>
              <w:pStyle w:val="621"/>
              <w:spacing w:line="400" w:lineRule="exact"/>
              <w:jc w:val="center"/>
              <w:rPr>
                <w:rFonts w:ascii="仿宋" w:hAnsi="仿宋" w:eastAsia="仿宋" w:cs="仿宋"/>
                <w:color w:val="auto"/>
                <w:sz w:val="24"/>
                <w:szCs w:val="24"/>
                <w:highlight w:val="none"/>
              </w:rPr>
            </w:pPr>
          </w:p>
        </w:tc>
        <w:tc>
          <w:tcPr>
            <w:tcW w:w="1915" w:type="dxa"/>
            <w:tcBorders>
              <w:left w:val="single" w:color="auto" w:sz="4" w:space="0"/>
              <w:right w:val="single" w:color="auto" w:sz="4" w:space="0"/>
            </w:tcBorders>
            <w:vAlign w:val="center"/>
          </w:tcPr>
          <w:p w14:paraId="5F367F4A">
            <w:pPr>
              <w:pStyle w:val="621"/>
              <w:spacing w:line="400" w:lineRule="exact"/>
              <w:jc w:val="center"/>
              <w:rPr>
                <w:rFonts w:ascii="仿宋" w:hAnsi="仿宋" w:eastAsia="仿宋" w:cs="仿宋"/>
                <w:color w:val="auto"/>
                <w:sz w:val="24"/>
                <w:szCs w:val="24"/>
                <w:highlight w:val="none"/>
              </w:rPr>
            </w:pPr>
          </w:p>
        </w:tc>
        <w:tc>
          <w:tcPr>
            <w:tcW w:w="2996" w:type="dxa"/>
            <w:tcBorders>
              <w:left w:val="single" w:color="auto" w:sz="4" w:space="0"/>
              <w:right w:val="single" w:color="auto" w:sz="4" w:space="0"/>
            </w:tcBorders>
            <w:vAlign w:val="center"/>
          </w:tcPr>
          <w:p w14:paraId="05A4311B">
            <w:pPr>
              <w:pStyle w:val="621"/>
              <w:spacing w:line="400" w:lineRule="exact"/>
              <w:jc w:val="center"/>
              <w:rPr>
                <w:rFonts w:ascii="仿宋" w:hAnsi="仿宋" w:eastAsia="仿宋" w:cs="仿宋"/>
                <w:color w:val="auto"/>
                <w:sz w:val="24"/>
                <w:szCs w:val="24"/>
                <w:highlight w:val="none"/>
              </w:rPr>
            </w:pPr>
          </w:p>
        </w:tc>
      </w:tr>
      <w:tr w14:paraId="57CD1C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323FC913">
            <w:pPr>
              <w:spacing w:line="360" w:lineRule="auto"/>
              <w:jc w:val="center"/>
              <w:rPr>
                <w:rFonts w:ascii="仿宋" w:hAnsi="仿宋" w:eastAsia="仿宋" w:cs="仿宋"/>
                <w:color w:val="auto"/>
                <w:sz w:val="24"/>
                <w:highlight w:val="none"/>
              </w:rPr>
            </w:pPr>
          </w:p>
        </w:tc>
        <w:tc>
          <w:tcPr>
            <w:tcW w:w="3827" w:type="dxa"/>
            <w:tcBorders>
              <w:left w:val="single" w:color="auto" w:sz="4" w:space="0"/>
              <w:right w:val="single" w:color="auto" w:sz="4" w:space="0"/>
            </w:tcBorders>
            <w:vAlign w:val="center"/>
          </w:tcPr>
          <w:p w14:paraId="46FED3D4">
            <w:pPr>
              <w:spacing w:line="360" w:lineRule="exact"/>
              <w:jc w:val="center"/>
              <w:rPr>
                <w:rFonts w:ascii="仿宋" w:hAnsi="仿宋" w:eastAsia="仿宋" w:cs="仿宋"/>
                <w:color w:val="auto"/>
                <w:sz w:val="24"/>
                <w:highlight w:val="none"/>
              </w:rPr>
            </w:pPr>
          </w:p>
        </w:tc>
        <w:tc>
          <w:tcPr>
            <w:tcW w:w="2622" w:type="dxa"/>
            <w:tcBorders>
              <w:left w:val="single" w:color="auto" w:sz="4" w:space="0"/>
              <w:right w:val="single" w:color="auto" w:sz="4" w:space="0"/>
            </w:tcBorders>
            <w:vAlign w:val="center"/>
          </w:tcPr>
          <w:p w14:paraId="5B61BC79">
            <w:pPr>
              <w:pStyle w:val="621"/>
              <w:spacing w:line="400" w:lineRule="exact"/>
              <w:jc w:val="center"/>
              <w:rPr>
                <w:rFonts w:ascii="仿宋" w:hAnsi="仿宋" w:eastAsia="仿宋" w:cs="仿宋"/>
                <w:color w:val="auto"/>
                <w:sz w:val="24"/>
                <w:highlight w:val="none"/>
              </w:rPr>
            </w:pPr>
          </w:p>
        </w:tc>
        <w:tc>
          <w:tcPr>
            <w:tcW w:w="1842" w:type="dxa"/>
            <w:tcBorders>
              <w:left w:val="single" w:color="auto" w:sz="4" w:space="0"/>
              <w:right w:val="single" w:color="auto" w:sz="4" w:space="0"/>
            </w:tcBorders>
            <w:vAlign w:val="center"/>
          </w:tcPr>
          <w:p w14:paraId="6DD09134">
            <w:pPr>
              <w:pStyle w:val="621"/>
              <w:spacing w:line="400" w:lineRule="exact"/>
              <w:jc w:val="center"/>
              <w:rPr>
                <w:rFonts w:ascii="仿宋" w:hAnsi="仿宋" w:eastAsia="仿宋" w:cs="仿宋"/>
                <w:color w:val="auto"/>
                <w:sz w:val="24"/>
                <w:szCs w:val="24"/>
                <w:highlight w:val="none"/>
              </w:rPr>
            </w:pPr>
          </w:p>
        </w:tc>
        <w:tc>
          <w:tcPr>
            <w:tcW w:w="1915" w:type="dxa"/>
            <w:tcBorders>
              <w:left w:val="single" w:color="auto" w:sz="4" w:space="0"/>
              <w:right w:val="single" w:color="auto" w:sz="4" w:space="0"/>
            </w:tcBorders>
            <w:vAlign w:val="center"/>
          </w:tcPr>
          <w:p w14:paraId="6F18D827">
            <w:pPr>
              <w:pStyle w:val="621"/>
              <w:spacing w:line="400" w:lineRule="exact"/>
              <w:jc w:val="center"/>
              <w:rPr>
                <w:rFonts w:ascii="仿宋" w:hAnsi="仿宋" w:eastAsia="仿宋" w:cs="仿宋"/>
                <w:color w:val="auto"/>
                <w:sz w:val="24"/>
                <w:szCs w:val="24"/>
                <w:highlight w:val="none"/>
              </w:rPr>
            </w:pPr>
          </w:p>
        </w:tc>
        <w:tc>
          <w:tcPr>
            <w:tcW w:w="2996" w:type="dxa"/>
            <w:tcBorders>
              <w:left w:val="single" w:color="auto" w:sz="4" w:space="0"/>
              <w:right w:val="single" w:color="auto" w:sz="4" w:space="0"/>
            </w:tcBorders>
            <w:vAlign w:val="center"/>
          </w:tcPr>
          <w:p w14:paraId="607BCF4D">
            <w:pPr>
              <w:pStyle w:val="621"/>
              <w:spacing w:line="400" w:lineRule="exact"/>
              <w:jc w:val="center"/>
              <w:rPr>
                <w:rFonts w:ascii="仿宋" w:hAnsi="仿宋" w:eastAsia="仿宋" w:cs="仿宋"/>
                <w:color w:val="auto"/>
                <w:sz w:val="24"/>
                <w:szCs w:val="24"/>
                <w:highlight w:val="none"/>
              </w:rPr>
            </w:pPr>
          </w:p>
        </w:tc>
      </w:tr>
    </w:tbl>
    <w:p w14:paraId="270B2DE1">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8C916E2">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1、响应人需按本表格式填写，不得自行更改。</w:t>
      </w:r>
    </w:p>
    <w:p w14:paraId="08B8B6C1">
      <w:pPr>
        <w:snapToGrid w:val="0"/>
        <w:spacing w:line="360" w:lineRule="auto"/>
        <w:ind w:left="480"/>
        <w:rPr>
          <w:rFonts w:ascii="仿宋_GB2312" w:hAnsi="仿宋" w:eastAsia="仿宋_GB2312"/>
          <w:b/>
          <w:color w:val="auto"/>
          <w:kern w:val="0"/>
          <w:sz w:val="24"/>
          <w:highlight w:val="none"/>
        </w:rPr>
      </w:pPr>
      <w:r>
        <w:rPr>
          <w:rFonts w:hint="eastAsia" w:ascii="仿宋_GB2312" w:hAnsi="仿宋" w:eastAsia="仿宋_GB2312" w:cs="仿宋_GB2312"/>
          <w:color w:val="auto"/>
          <w:kern w:val="0"/>
          <w:sz w:val="24"/>
          <w:highlight w:val="none"/>
          <w:lang w:val="zh-CN"/>
        </w:rPr>
        <w:t>2、有关本项目实施所涉及的一切费用均计入报价。</w:t>
      </w:r>
    </w:p>
    <w:p w14:paraId="63EF4222">
      <w:pPr>
        <w:spacing w:line="360" w:lineRule="auto"/>
        <w:ind w:firstLine="480" w:firstLineChars="200"/>
        <w:jc w:val="center"/>
        <w:rPr>
          <w:rFonts w:ascii="仿宋_GB2312" w:hAnsi="仿宋" w:eastAsia="仿宋_GB2312" w:cs="仿宋_GB2312"/>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r>
        <w:rPr>
          <w:rFonts w:hint="eastAsia" w:ascii="仿宋_GB2312" w:hAnsi="仿宋" w:eastAsia="仿宋_GB2312" w:cs="仿宋_GB2312"/>
          <w:color w:val="auto"/>
          <w:sz w:val="24"/>
          <w:highlight w:val="none"/>
        </w:rPr>
        <w:t xml:space="preserve">                                                                               </w:t>
      </w:r>
    </w:p>
    <w:p w14:paraId="289A418A">
      <w:pPr>
        <w:spacing w:line="360" w:lineRule="auto"/>
        <w:ind w:firstLine="480" w:firstLineChars="200"/>
        <w:jc w:val="center"/>
        <w:rPr>
          <w:color w:val="auto"/>
          <w:highlight w:val="none"/>
        </w:rPr>
      </w:pPr>
      <w:r>
        <w:rPr>
          <w:rFonts w:hint="eastAsia" w:ascii="仿宋_GB2312" w:hAnsi="仿宋" w:eastAsia="仿宋_GB2312" w:cs="仿宋_GB2312"/>
          <w:color w:val="auto"/>
          <w:sz w:val="24"/>
          <w:highlight w:val="none"/>
        </w:rPr>
        <w:t xml:space="preserve">                                                              日期：  年   月   日</w:t>
      </w:r>
    </w:p>
    <w:sectPr>
      <w:headerReference r:id="rId12" w:type="first"/>
      <w:footerReference r:id="rId14" w:type="first"/>
      <w:headerReference r:id="rId11" w:type="default"/>
      <w:footerReference r:id="rId13" w:type="default"/>
      <w:pgSz w:w="16838" w:h="11906" w:orient="landscape"/>
      <w:pgMar w:top="1418" w:right="1247" w:bottom="1418"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49B80">
    <w:pPr>
      <w:pStyle w:val="37"/>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B0AF5">
                          <w:pPr>
                            <w:pStyle w:val="3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90B0AF5">
                    <w:pPr>
                      <w:pStyle w:val="37"/>
                    </w:pPr>
                    <w:r>
                      <w:fldChar w:fldCharType="begin"/>
                    </w:r>
                    <w:r>
                      <w:instrText xml:space="preserve"> PAGE  \* MERGEFORMAT </w:instrText>
                    </w:r>
                    <w:r>
                      <w:fldChar w:fldCharType="separate"/>
                    </w:r>
                    <w:r>
                      <w:t>29</w:t>
                    </w:r>
                    <w:r>
                      <w:fldChar w:fldCharType="end"/>
                    </w:r>
                  </w:p>
                </w:txbxContent>
              </v:textbox>
            </v:shape>
          </w:pict>
        </mc:Fallback>
      </mc:AlternateContent>
    </w:r>
  </w:p>
  <w:p w14:paraId="3D6758F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004E1">
    <w:pPr>
      <w:pStyle w:val="37"/>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4B303">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614B303">
                    <w:pPr>
                      <w:pStyle w:val="37"/>
                    </w:pPr>
                    <w:r>
                      <w:fldChar w:fldCharType="begin"/>
                    </w:r>
                    <w:r>
                      <w:instrText xml:space="preserve"> PAGE  \* MERGEFORMAT </w:instrText>
                    </w:r>
                    <w:r>
                      <w:fldChar w:fldCharType="separate"/>
                    </w:r>
                    <w:r>
                      <w:t>1</w:t>
                    </w:r>
                    <w:r>
                      <w:fldChar w:fldCharType="end"/>
                    </w:r>
                  </w:p>
                </w:txbxContent>
              </v:textbox>
            </v:shape>
          </w:pict>
        </mc:Fallback>
      </mc:AlternateContent>
    </w:r>
  </w:p>
  <w:p w14:paraId="5C2E3FA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A0DE4">
    <w:pPr>
      <w:pStyle w:val="37"/>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A32CD">
                          <w:pPr>
                            <w:pStyle w:val="3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FFA32CD">
                    <w:pPr>
                      <w:pStyle w:val="37"/>
                    </w:pPr>
                    <w:r>
                      <w:fldChar w:fldCharType="begin"/>
                    </w:r>
                    <w:r>
                      <w:instrText xml:space="preserve"> PAGE  \* MERGEFORMAT </w:instrText>
                    </w:r>
                    <w:r>
                      <w:fldChar w:fldCharType="separate"/>
                    </w:r>
                    <w:r>
                      <w:t>52</w:t>
                    </w:r>
                    <w:r>
                      <w:fldChar w:fldCharType="end"/>
                    </w:r>
                  </w:p>
                </w:txbxContent>
              </v:textbox>
            </v:shape>
          </w:pict>
        </mc:Fallback>
      </mc:AlternateContent>
    </w:r>
  </w:p>
  <w:p w14:paraId="0E4672F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99339">
    <w:pPr>
      <w:pStyle w:val="37"/>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36DD6">
                          <w:pPr>
                            <w:pStyle w:val="3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AF36DD6">
                    <w:pPr>
                      <w:pStyle w:val="37"/>
                    </w:pPr>
                    <w:r>
                      <w:fldChar w:fldCharType="begin"/>
                    </w:r>
                    <w:r>
                      <w:instrText xml:space="preserve"> PAGE  \* MERGEFORMAT </w:instrText>
                    </w:r>
                    <w:r>
                      <w:fldChar w:fldCharType="separate"/>
                    </w:r>
                    <w:r>
                      <w:t>48</w:t>
                    </w:r>
                    <w:r>
                      <w:fldChar w:fldCharType="end"/>
                    </w:r>
                  </w:p>
                </w:txbxContent>
              </v:textbox>
            </v:shape>
          </w:pict>
        </mc:Fallback>
      </mc:AlternateContent>
    </w:r>
  </w:p>
  <w:p w14:paraId="33D9590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4D855">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05DF0">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bookmarkStart w:id="405" w:name="_Toc91899912"/>
    <w:bookmarkStart w:id="406" w:name="_Toc164085800"/>
    <w:bookmarkStart w:id="407" w:name="_Toc36110187"/>
    <w:bookmarkStart w:id="408" w:name="_Toc131845147"/>
    <w:r>
      <w:rPr>
        <w:rFonts w:hint="eastAsia" w:ascii="仿宋_GB2312" w:eastAsia="仿宋_GB2312"/>
        <w:kern w:val="0"/>
        <w:szCs w:val="21"/>
      </w:rPr>
      <w:t xml:space="preserve"> 页</w:t>
    </w:r>
    <w:bookmarkEnd w:id="405"/>
    <w:bookmarkEnd w:id="406"/>
    <w:bookmarkEnd w:id="407"/>
    <w:bookmarkEnd w:id="40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35E24">
    <w:pPr>
      <w:pStyle w:val="39"/>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EDCDC">
    <w:pPr>
      <w:pStyle w:val="39"/>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8B5D7">
    <w:pPr>
      <w:pStyle w:val="3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C5578">
    <w:pPr>
      <w:pStyle w:val="3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DB2E6">
    <w:pPr>
      <w:pStyle w:val="39"/>
      <w:rPr>
        <w:rFonts w:ascii="仿宋_GB2312" w:eastAsia="仿宋_GB2312"/>
        <w:b/>
        <w:i/>
        <w:iCs/>
        <w:u w:val="single"/>
      </w:rPr>
    </w:pPr>
    <w:r>
      <w:rPr>
        <w:rFonts w:hint="eastAsia"/>
      </w:rPr>
      <w:t xml:space="preserve">                                                                          萧山区政府交易公开招标文件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59457">
    <w:pPr>
      <w:pStyle w:val="39"/>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A5B11"/>
    <w:multiLevelType w:val="singleLevel"/>
    <w:tmpl w:val="ACDA5B11"/>
    <w:lvl w:ilvl="0" w:tentative="0">
      <w:start w:val="1"/>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2"/>
      <w:lvlText w:val=""/>
      <w:lvlJc w:val="left"/>
      <w:pPr>
        <w:tabs>
          <w:tab w:val="left" w:pos="840"/>
        </w:tabs>
        <w:ind w:left="840" w:hanging="420"/>
      </w:pPr>
      <w:rPr>
        <w:rFonts w:hint="default" w:ascii="Wingdings" w:hAnsi="Wingdings"/>
      </w:rPr>
    </w:lvl>
    <w:lvl w:ilvl="1" w:tentative="0">
      <w:start w:val="1"/>
      <w:numFmt w:val="bullet"/>
      <w:pStyle w:val="329"/>
      <w:lvlText w:val=""/>
      <w:lvlJc w:val="left"/>
      <w:pPr>
        <w:tabs>
          <w:tab w:val="left" w:pos="1260"/>
        </w:tabs>
        <w:ind w:left="1260" w:hanging="420"/>
      </w:pPr>
      <w:rPr>
        <w:rFonts w:hint="default" w:ascii="Wingdings" w:hAnsi="Wingdings"/>
      </w:rPr>
    </w:lvl>
    <w:lvl w:ilvl="2" w:tentative="0">
      <w:start w:val="1"/>
      <w:numFmt w:val="bullet"/>
      <w:pStyle w:val="310"/>
      <w:lvlText w:val=""/>
      <w:lvlJc w:val="left"/>
      <w:pPr>
        <w:tabs>
          <w:tab w:val="left" w:pos="1680"/>
        </w:tabs>
        <w:ind w:left="1680" w:hanging="420"/>
      </w:pPr>
      <w:rPr>
        <w:rFonts w:hint="default" w:ascii="Wingdings" w:hAnsi="Wingdings"/>
      </w:rPr>
    </w:lvl>
    <w:lvl w:ilvl="3" w:tentative="0">
      <w:start w:val="1"/>
      <w:numFmt w:val="bullet"/>
      <w:pStyle w:val="327"/>
      <w:lvlText w:val=""/>
      <w:lvlJc w:val="left"/>
      <w:pPr>
        <w:tabs>
          <w:tab w:val="left" w:pos="2100"/>
        </w:tabs>
        <w:ind w:left="2100" w:hanging="420"/>
      </w:pPr>
      <w:rPr>
        <w:rFonts w:hint="default" w:ascii="Wingdings" w:hAnsi="Wingdings"/>
      </w:rPr>
    </w:lvl>
    <w:lvl w:ilvl="4" w:tentative="0">
      <w:start w:val="1"/>
      <w:numFmt w:val="bullet"/>
      <w:pStyle w:val="394"/>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4D894CF"/>
    <w:multiLevelType w:val="singleLevel"/>
    <w:tmpl w:val="04D894CF"/>
    <w:lvl w:ilvl="0" w:tentative="0">
      <w:start w:val="1"/>
      <w:numFmt w:val="decimal"/>
      <w:suff w:val="nothing"/>
      <w:lvlText w:val="%1、"/>
      <w:lvlJc w:val="left"/>
    </w:lvl>
  </w:abstractNum>
  <w:abstractNum w:abstractNumId="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34CA0FB"/>
    <w:multiLevelType w:val="singleLevel"/>
    <w:tmpl w:val="434CA0FB"/>
    <w:lvl w:ilvl="0" w:tentative="0">
      <w:start w:val="14"/>
      <w:numFmt w:val="decimal"/>
      <w:lvlText w:val="%1."/>
      <w:lvlJc w:val="left"/>
      <w:pPr>
        <w:tabs>
          <w:tab w:val="left" w:pos="312"/>
        </w:tabs>
      </w:pPr>
    </w:lvl>
  </w:abstractNum>
  <w:abstractNum w:abstractNumId="8">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8"/>
      <w:lvlText w:val="%1.%2.%3.%4.%5"/>
      <w:lvlJc w:val="left"/>
      <w:pPr>
        <w:tabs>
          <w:tab w:val="left" w:pos="1080"/>
        </w:tabs>
        <w:ind w:left="1080" w:hanging="1080"/>
      </w:pPr>
      <w:rPr>
        <w:rFonts w:hint="default"/>
      </w:rPr>
    </w:lvl>
    <w:lvl w:ilvl="5" w:tentative="0">
      <w:start w:val="1"/>
      <w:numFmt w:val="decimal"/>
      <w:pStyle w:val="4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694EC573"/>
    <w:multiLevelType w:val="singleLevel"/>
    <w:tmpl w:val="694EC573"/>
    <w:lvl w:ilvl="0" w:tentative="0">
      <w:start w:val="1"/>
      <w:numFmt w:val="decimal"/>
      <w:suff w:val="nothing"/>
      <w:lvlText w:val="%1、"/>
      <w:lvlJc w:val="left"/>
    </w:lvl>
  </w:abstractNum>
  <w:abstractNum w:abstractNumId="11">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5"/>
  </w:num>
  <w:num w:numId="3">
    <w:abstractNumId w:val="1"/>
  </w:num>
  <w:num w:numId="4">
    <w:abstractNumId w:val="2"/>
  </w:num>
  <w:num w:numId="5">
    <w:abstractNumId w:val="9"/>
  </w:num>
  <w:num w:numId="6">
    <w:abstractNumId w:val="12"/>
  </w:num>
  <w:num w:numId="7">
    <w:abstractNumId w:val="11"/>
  </w:num>
  <w:num w:numId="8">
    <w:abstractNumId w:val="8"/>
  </w:num>
  <w:num w:numId="9">
    <w:abstractNumId w:val="7"/>
  </w:num>
  <w:num w:numId="10">
    <w:abstractNumId w:val="6"/>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MmVmMTlhOTNhYmZhZDlkZmM0MDE4NGMxMzgxYzcifQ=="/>
    <w:docVar w:name="KSO_WPS_MARK_KEY" w:val="86048c24-4004-4d5d-92a1-184199550a5e"/>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654"/>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073"/>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6BA4"/>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4F75"/>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594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467256"/>
    <w:rsid w:val="034E29DE"/>
    <w:rsid w:val="03CC21CB"/>
    <w:rsid w:val="03DD35E4"/>
    <w:rsid w:val="04163446"/>
    <w:rsid w:val="0438160E"/>
    <w:rsid w:val="043D4E77"/>
    <w:rsid w:val="04F96FF0"/>
    <w:rsid w:val="05720B50"/>
    <w:rsid w:val="05D629CD"/>
    <w:rsid w:val="065A6178"/>
    <w:rsid w:val="06E710CA"/>
    <w:rsid w:val="076055F7"/>
    <w:rsid w:val="07BD70D6"/>
    <w:rsid w:val="081050AA"/>
    <w:rsid w:val="082029DB"/>
    <w:rsid w:val="08395058"/>
    <w:rsid w:val="084E7652"/>
    <w:rsid w:val="088E7B6F"/>
    <w:rsid w:val="08E7715F"/>
    <w:rsid w:val="09000221"/>
    <w:rsid w:val="09D626AE"/>
    <w:rsid w:val="09F977A7"/>
    <w:rsid w:val="0A5B7E63"/>
    <w:rsid w:val="0B1A13AD"/>
    <w:rsid w:val="0B332B30"/>
    <w:rsid w:val="0BCE1AFB"/>
    <w:rsid w:val="0C707798"/>
    <w:rsid w:val="0C833643"/>
    <w:rsid w:val="0C87121B"/>
    <w:rsid w:val="0CD305D5"/>
    <w:rsid w:val="0D86163D"/>
    <w:rsid w:val="0DF702FE"/>
    <w:rsid w:val="0E3C4511"/>
    <w:rsid w:val="0E6A4ABA"/>
    <w:rsid w:val="0E990EFC"/>
    <w:rsid w:val="0EDF3FAC"/>
    <w:rsid w:val="0F816ACD"/>
    <w:rsid w:val="0F860D9B"/>
    <w:rsid w:val="0FDA17CC"/>
    <w:rsid w:val="0FF050F3"/>
    <w:rsid w:val="0FF705D0"/>
    <w:rsid w:val="104233D7"/>
    <w:rsid w:val="10725009"/>
    <w:rsid w:val="10F90651"/>
    <w:rsid w:val="10FC16EA"/>
    <w:rsid w:val="110F7B9B"/>
    <w:rsid w:val="112E1DCF"/>
    <w:rsid w:val="115B2DE0"/>
    <w:rsid w:val="118963A1"/>
    <w:rsid w:val="127723A9"/>
    <w:rsid w:val="12E576FC"/>
    <w:rsid w:val="13072A44"/>
    <w:rsid w:val="13AE64CC"/>
    <w:rsid w:val="13E3327F"/>
    <w:rsid w:val="13F35552"/>
    <w:rsid w:val="142A23DE"/>
    <w:rsid w:val="14887356"/>
    <w:rsid w:val="14B41917"/>
    <w:rsid w:val="15F63117"/>
    <w:rsid w:val="16B72855"/>
    <w:rsid w:val="18274E24"/>
    <w:rsid w:val="18291542"/>
    <w:rsid w:val="18912E67"/>
    <w:rsid w:val="19BB08C0"/>
    <w:rsid w:val="19CD0F22"/>
    <w:rsid w:val="1A564531"/>
    <w:rsid w:val="1AF20BEF"/>
    <w:rsid w:val="1B2A271F"/>
    <w:rsid w:val="1B900ADB"/>
    <w:rsid w:val="1C631F5D"/>
    <w:rsid w:val="1D266CE1"/>
    <w:rsid w:val="1D383FD6"/>
    <w:rsid w:val="1D3963AF"/>
    <w:rsid w:val="1E5B7150"/>
    <w:rsid w:val="1E5F672D"/>
    <w:rsid w:val="1E714A66"/>
    <w:rsid w:val="1E766B63"/>
    <w:rsid w:val="1E85324A"/>
    <w:rsid w:val="1F0B7BF4"/>
    <w:rsid w:val="1F46704B"/>
    <w:rsid w:val="1F574CD6"/>
    <w:rsid w:val="1F6317DE"/>
    <w:rsid w:val="1F6D61B8"/>
    <w:rsid w:val="1F9D27DB"/>
    <w:rsid w:val="1FE868A9"/>
    <w:rsid w:val="20911673"/>
    <w:rsid w:val="210F4F38"/>
    <w:rsid w:val="213276BA"/>
    <w:rsid w:val="214A2CC0"/>
    <w:rsid w:val="219C0FD7"/>
    <w:rsid w:val="21EF55AB"/>
    <w:rsid w:val="21F961C3"/>
    <w:rsid w:val="22032E04"/>
    <w:rsid w:val="222D46CD"/>
    <w:rsid w:val="22A04A18"/>
    <w:rsid w:val="23433333"/>
    <w:rsid w:val="23531B69"/>
    <w:rsid w:val="2403533D"/>
    <w:rsid w:val="242157C3"/>
    <w:rsid w:val="247B4ED4"/>
    <w:rsid w:val="24A87C93"/>
    <w:rsid w:val="24BE60D3"/>
    <w:rsid w:val="24CA5757"/>
    <w:rsid w:val="25111243"/>
    <w:rsid w:val="25707998"/>
    <w:rsid w:val="25932478"/>
    <w:rsid w:val="25CB3688"/>
    <w:rsid w:val="265956E8"/>
    <w:rsid w:val="2762298B"/>
    <w:rsid w:val="27B5694E"/>
    <w:rsid w:val="280A0330"/>
    <w:rsid w:val="28EA3250"/>
    <w:rsid w:val="29160ADD"/>
    <w:rsid w:val="29E51041"/>
    <w:rsid w:val="29F008B0"/>
    <w:rsid w:val="2A3F4B4F"/>
    <w:rsid w:val="2C0E2AD1"/>
    <w:rsid w:val="2D391DD0"/>
    <w:rsid w:val="2D3E1194"/>
    <w:rsid w:val="2D412DF8"/>
    <w:rsid w:val="2D457B2F"/>
    <w:rsid w:val="2DD15014"/>
    <w:rsid w:val="2E2959A0"/>
    <w:rsid w:val="2E8F473D"/>
    <w:rsid w:val="2F9061DA"/>
    <w:rsid w:val="2F983071"/>
    <w:rsid w:val="2FD25781"/>
    <w:rsid w:val="2FD45DE0"/>
    <w:rsid w:val="2FEA6BBC"/>
    <w:rsid w:val="302A3B86"/>
    <w:rsid w:val="319C6071"/>
    <w:rsid w:val="31B41A25"/>
    <w:rsid w:val="326F1DF0"/>
    <w:rsid w:val="32FF13C6"/>
    <w:rsid w:val="334B0167"/>
    <w:rsid w:val="33650639"/>
    <w:rsid w:val="33902CC3"/>
    <w:rsid w:val="342E63AB"/>
    <w:rsid w:val="358A766C"/>
    <w:rsid w:val="359C73A0"/>
    <w:rsid w:val="35E058EF"/>
    <w:rsid w:val="363B0967"/>
    <w:rsid w:val="364F3BB1"/>
    <w:rsid w:val="364F4412"/>
    <w:rsid w:val="365302AE"/>
    <w:rsid w:val="37654A50"/>
    <w:rsid w:val="37B207B5"/>
    <w:rsid w:val="38052650"/>
    <w:rsid w:val="38074E65"/>
    <w:rsid w:val="384C6E11"/>
    <w:rsid w:val="38C00A50"/>
    <w:rsid w:val="38D40BFF"/>
    <w:rsid w:val="391A2AB5"/>
    <w:rsid w:val="3993063E"/>
    <w:rsid w:val="3A561EB2"/>
    <w:rsid w:val="3A6C177A"/>
    <w:rsid w:val="3B3F4A55"/>
    <w:rsid w:val="3B974089"/>
    <w:rsid w:val="3C5E715D"/>
    <w:rsid w:val="3C5F6722"/>
    <w:rsid w:val="3C5F759A"/>
    <w:rsid w:val="3D6F0164"/>
    <w:rsid w:val="3DBC05DF"/>
    <w:rsid w:val="3DD6455A"/>
    <w:rsid w:val="3E06185A"/>
    <w:rsid w:val="3E0F28DF"/>
    <w:rsid w:val="3E524A9F"/>
    <w:rsid w:val="3E817E4A"/>
    <w:rsid w:val="3E9A1FA2"/>
    <w:rsid w:val="3EC84D62"/>
    <w:rsid w:val="3F20694C"/>
    <w:rsid w:val="3FE80680"/>
    <w:rsid w:val="4032456E"/>
    <w:rsid w:val="4135362C"/>
    <w:rsid w:val="41771E1A"/>
    <w:rsid w:val="41B11ADD"/>
    <w:rsid w:val="41C757A4"/>
    <w:rsid w:val="42E1381E"/>
    <w:rsid w:val="43665590"/>
    <w:rsid w:val="4396542E"/>
    <w:rsid w:val="43F565F9"/>
    <w:rsid w:val="4434545B"/>
    <w:rsid w:val="446A484A"/>
    <w:rsid w:val="44817E8C"/>
    <w:rsid w:val="45AD6A5F"/>
    <w:rsid w:val="460C2E66"/>
    <w:rsid w:val="4690085B"/>
    <w:rsid w:val="473C7EF9"/>
    <w:rsid w:val="47561EEC"/>
    <w:rsid w:val="47973F6B"/>
    <w:rsid w:val="47F507DC"/>
    <w:rsid w:val="48895BD3"/>
    <w:rsid w:val="498D6C20"/>
    <w:rsid w:val="49D83CDF"/>
    <w:rsid w:val="4A2059A3"/>
    <w:rsid w:val="4A2319E6"/>
    <w:rsid w:val="4AAB5B1D"/>
    <w:rsid w:val="4AC40AD3"/>
    <w:rsid w:val="4B4C32F5"/>
    <w:rsid w:val="4C7B78B7"/>
    <w:rsid w:val="4CF82CB6"/>
    <w:rsid w:val="4DA041C9"/>
    <w:rsid w:val="4DB52230"/>
    <w:rsid w:val="4DD74AC4"/>
    <w:rsid w:val="4E6C4202"/>
    <w:rsid w:val="4F2C4FC8"/>
    <w:rsid w:val="4F6939F7"/>
    <w:rsid w:val="4FD531A2"/>
    <w:rsid w:val="50586B5C"/>
    <w:rsid w:val="51287D75"/>
    <w:rsid w:val="51A0432A"/>
    <w:rsid w:val="51B541DD"/>
    <w:rsid w:val="52033164"/>
    <w:rsid w:val="52A96B6F"/>
    <w:rsid w:val="547630C2"/>
    <w:rsid w:val="54C3004D"/>
    <w:rsid w:val="550764A4"/>
    <w:rsid w:val="55320D2F"/>
    <w:rsid w:val="55AD2460"/>
    <w:rsid w:val="55C0633B"/>
    <w:rsid w:val="56A71A30"/>
    <w:rsid w:val="579D76DE"/>
    <w:rsid w:val="582157B7"/>
    <w:rsid w:val="584A6390"/>
    <w:rsid w:val="58AE4F0C"/>
    <w:rsid w:val="595F1267"/>
    <w:rsid w:val="59D16D68"/>
    <w:rsid w:val="5A0F3C8E"/>
    <w:rsid w:val="5A2A7C7B"/>
    <w:rsid w:val="5A4A60F8"/>
    <w:rsid w:val="5A6125B0"/>
    <w:rsid w:val="5A667854"/>
    <w:rsid w:val="5B1647AE"/>
    <w:rsid w:val="5B231846"/>
    <w:rsid w:val="5B41386F"/>
    <w:rsid w:val="5B9157AD"/>
    <w:rsid w:val="5BF55428"/>
    <w:rsid w:val="5C683A36"/>
    <w:rsid w:val="5C80234E"/>
    <w:rsid w:val="5D681792"/>
    <w:rsid w:val="5E0914D1"/>
    <w:rsid w:val="5E261785"/>
    <w:rsid w:val="5EDF01CA"/>
    <w:rsid w:val="5F011E9E"/>
    <w:rsid w:val="5F1529A6"/>
    <w:rsid w:val="5F512DCE"/>
    <w:rsid w:val="5FCC5339"/>
    <w:rsid w:val="61054A27"/>
    <w:rsid w:val="611829F1"/>
    <w:rsid w:val="611D2366"/>
    <w:rsid w:val="616D55C9"/>
    <w:rsid w:val="61C16CD6"/>
    <w:rsid w:val="62885958"/>
    <w:rsid w:val="63BF6DD5"/>
    <w:rsid w:val="63E61662"/>
    <w:rsid w:val="64C319A4"/>
    <w:rsid w:val="64CE2EAA"/>
    <w:rsid w:val="64DB3DFA"/>
    <w:rsid w:val="656F7D43"/>
    <w:rsid w:val="662E75B1"/>
    <w:rsid w:val="66342C2E"/>
    <w:rsid w:val="663E784C"/>
    <w:rsid w:val="665C1DC1"/>
    <w:rsid w:val="66977CD4"/>
    <w:rsid w:val="678C2521"/>
    <w:rsid w:val="67A27F96"/>
    <w:rsid w:val="69456BF2"/>
    <w:rsid w:val="6958521B"/>
    <w:rsid w:val="69652C93"/>
    <w:rsid w:val="69684F4F"/>
    <w:rsid w:val="6A94614A"/>
    <w:rsid w:val="6B0A032C"/>
    <w:rsid w:val="6B517D09"/>
    <w:rsid w:val="6BED1D9C"/>
    <w:rsid w:val="6C1D7BEB"/>
    <w:rsid w:val="6C7F759F"/>
    <w:rsid w:val="6D2C27DC"/>
    <w:rsid w:val="6D75048C"/>
    <w:rsid w:val="6DF818E5"/>
    <w:rsid w:val="6E276AFF"/>
    <w:rsid w:val="6E5F273D"/>
    <w:rsid w:val="6E6E55BC"/>
    <w:rsid w:val="6E8E12EF"/>
    <w:rsid w:val="6F467459"/>
    <w:rsid w:val="704E619F"/>
    <w:rsid w:val="70BF3967"/>
    <w:rsid w:val="7120378C"/>
    <w:rsid w:val="71AD7C63"/>
    <w:rsid w:val="71B21F4E"/>
    <w:rsid w:val="71D43752"/>
    <w:rsid w:val="71E116BB"/>
    <w:rsid w:val="71EC2BF4"/>
    <w:rsid w:val="72097D64"/>
    <w:rsid w:val="72F24B59"/>
    <w:rsid w:val="732F7275"/>
    <w:rsid w:val="73DA4614"/>
    <w:rsid w:val="73E94E79"/>
    <w:rsid w:val="740F6B94"/>
    <w:rsid w:val="74465FA5"/>
    <w:rsid w:val="746815A4"/>
    <w:rsid w:val="746E713D"/>
    <w:rsid w:val="749C4185"/>
    <w:rsid w:val="755D1591"/>
    <w:rsid w:val="757E71D5"/>
    <w:rsid w:val="75DA2C18"/>
    <w:rsid w:val="760A11E0"/>
    <w:rsid w:val="768E2C61"/>
    <w:rsid w:val="77705F3A"/>
    <w:rsid w:val="777A4144"/>
    <w:rsid w:val="779571D0"/>
    <w:rsid w:val="77AD2147"/>
    <w:rsid w:val="7A0B340F"/>
    <w:rsid w:val="7A3F3423"/>
    <w:rsid w:val="7A4D5B40"/>
    <w:rsid w:val="7A5B4B3C"/>
    <w:rsid w:val="7A67303B"/>
    <w:rsid w:val="7A8F31CB"/>
    <w:rsid w:val="7AAB1D04"/>
    <w:rsid w:val="7ABA4368"/>
    <w:rsid w:val="7ADF7BC1"/>
    <w:rsid w:val="7AF97A75"/>
    <w:rsid w:val="7B257FFD"/>
    <w:rsid w:val="7C591016"/>
    <w:rsid w:val="7C9B5288"/>
    <w:rsid w:val="7CBE7304"/>
    <w:rsid w:val="7CEC7892"/>
    <w:rsid w:val="7D1A42B5"/>
    <w:rsid w:val="7D5176F5"/>
    <w:rsid w:val="7DFC2BC5"/>
    <w:rsid w:val="7EB72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3"/>
    <w:autoRedefine/>
    <w:qFormat/>
    <w:uiPriority w:val="0"/>
    <w:pPr>
      <w:adjustRightInd/>
      <w:spacing w:line="360" w:lineRule="auto"/>
      <w:jc w:val="center"/>
      <w:outlineLvl w:val="0"/>
    </w:pPr>
    <w:rPr>
      <w:rFonts w:ascii="仿宋" w:hAnsi="仿宋" w:eastAsia="仿宋" w:cs="仿宋_GB2312"/>
      <w:b/>
      <w:color w:val="000000"/>
      <w:sz w:val="36"/>
      <w:szCs w:val="36"/>
    </w:rPr>
  </w:style>
  <w:style w:type="paragraph" w:styleId="2">
    <w:name w:val="heading 2"/>
    <w:basedOn w:val="1"/>
    <w:next w:val="1"/>
    <w:autoRedefine/>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3"/>
    <w:autoRedefine/>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6"/>
    <w:autoRedefine/>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1"/>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7"/>
    <w:autoRedefine/>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1"/>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4"/>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247"/>
    <w:autoRedefine/>
    <w:qFormat/>
    <w:uiPriority w:val="99"/>
    <w:pPr>
      <w:jc w:val="left"/>
    </w:pPr>
  </w:style>
  <w:style w:type="paragraph" w:styleId="20">
    <w:name w:val="Salutation"/>
    <w:basedOn w:val="1"/>
    <w:next w:val="1"/>
    <w:link w:val="212"/>
    <w:autoRedefine/>
    <w:qFormat/>
    <w:uiPriority w:val="0"/>
    <w:rPr>
      <w:rFonts w:ascii="仿宋_GB2312" w:eastAsia="仿宋_GB2312"/>
      <w:sz w:val="28"/>
      <w:szCs w:val="20"/>
    </w:rPr>
  </w:style>
  <w:style w:type="paragraph" w:styleId="21">
    <w:name w:val="Body Text 3"/>
    <w:basedOn w:val="1"/>
    <w:link w:val="185"/>
    <w:autoRedefine/>
    <w:qFormat/>
    <w:uiPriority w:val="0"/>
    <w:pPr>
      <w:jc w:val="center"/>
    </w:pPr>
    <w:rPr>
      <w:szCs w:val="20"/>
    </w:rPr>
  </w:style>
  <w:style w:type="paragraph" w:styleId="22">
    <w:name w:val="Body Text"/>
    <w:basedOn w:val="1"/>
    <w:next w:val="1"/>
    <w:link w:val="121"/>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102"/>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74"/>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223"/>
    <w:autoRedefine/>
    <w:qFormat/>
    <w:uiPriority w:val="0"/>
    <w:rPr>
      <w:rFonts w:ascii="宋体" w:hAnsi="Courier New"/>
      <w:szCs w:val="20"/>
    </w:rPr>
  </w:style>
  <w:style w:type="paragraph" w:styleId="32">
    <w:name w:val="List Number 4"/>
    <w:basedOn w:val="1"/>
    <w:autoRedefine/>
    <w:qFormat/>
    <w:uiPriority w:val="0"/>
    <w:pPr>
      <w:numPr>
        <w:ilvl w:val="0"/>
        <w:numId w:val="4"/>
      </w:numPr>
      <w:autoSpaceDE w:val="0"/>
      <w:autoSpaceDN w:val="0"/>
      <w:spacing w:line="360" w:lineRule="atLeast"/>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210"/>
    <w:autoRedefine/>
    <w:qFormat/>
    <w:uiPriority w:val="0"/>
    <w:pPr>
      <w:ind w:left="100" w:leftChars="2500"/>
    </w:pPr>
    <w:rPr>
      <w:rFonts w:ascii="宋体"/>
      <w:sz w:val="24"/>
      <w:szCs w:val="21"/>
      <w:lang w:val="zh-CN"/>
    </w:rPr>
  </w:style>
  <w:style w:type="paragraph" w:styleId="35">
    <w:name w:val="Body Text Indent 2"/>
    <w:basedOn w:val="1"/>
    <w:link w:val="82"/>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248"/>
    <w:autoRedefine/>
    <w:semiHidden/>
    <w:qFormat/>
    <w:uiPriority w:val="0"/>
    <w:rPr>
      <w:sz w:val="18"/>
      <w:szCs w:val="18"/>
    </w:rPr>
  </w:style>
  <w:style w:type="paragraph" w:styleId="37">
    <w:name w:val="footer"/>
    <w:basedOn w:val="1"/>
    <w:link w:val="630"/>
    <w:autoRedefine/>
    <w:qFormat/>
    <w:uiPriority w:val="99"/>
    <w:pPr>
      <w:tabs>
        <w:tab w:val="center" w:pos="4153"/>
        <w:tab w:val="right" w:pos="8306"/>
      </w:tabs>
      <w:snapToGrid w:val="0"/>
      <w:jc w:val="left"/>
    </w:pPr>
    <w:rPr>
      <w:sz w:val="18"/>
      <w:szCs w:val="18"/>
    </w:rPr>
  </w:style>
  <w:style w:type="paragraph" w:styleId="38">
    <w:name w:val="envelope return"/>
    <w:basedOn w:val="1"/>
    <w:autoRedefine/>
    <w:unhideWhenUsed/>
    <w:qFormat/>
    <w:uiPriority w:val="99"/>
    <w:pPr>
      <w:snapToGrid w:val="0"/>
    </w:pPr>
    <w:rPr>
      <w:rFonts w:ascii="Arial" w:hAnsi="Arial"/>
    </w:rPr>
  </w:style>
  <w:style w:type="paragraph" w:styleId="39">
    <w:name w:val="header"/>
    <w:basedOn w:val="1"/>
    <w:link w:val="631"/>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8"/>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10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5"/>
    <w:link w:val="237"/>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194"/>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1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w:basedOn w:val="22"/>
    <w:next w:val="49"/>
    <w:link w:val="134"/>
    <w:autoRedefine/>
    <w:qFormat/>
    <w:uiPriority w:val="0"/>
    <w:pPr>
      <w:ind w:firstLine="420"/>
    </w:pPr>
    <w:rPr>
      <w:szCs w:val="20"/>
    </w:rPr>
  </w:style>
  <w:style w:type="paragraph" w:styleId="60">
    <w:name w:val="Body Text First Indent 2"/>
    <w:basedOn w:val="23"/>
    <w:link w:val="245"/>
    <w:autoRedefine/>
    <w:qFormat/>
    <w:uiPriority w:val="0"/>
    <w:pPr>
      <w:adjustRightInd/>
      <w:spacing w:after="120" w:line="240" w:lineRule="auto"/>
      <w:ind w:left="420" w:leftChars="200" w:firstLine="210"/>
    </w:pPr>
    <w:rPr>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rPr>
      <w:rFonts w:ascii="Arial" w:hAnsi="Arial" w:eastAsia="黑体" w:cs="Arial"/>
      <w:snapToGrid w:val="0"/>
      <w:kern w:val="0"/>
      <w:szCs w:val="21"/>
    </w:rPr>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rPr>
      <w:rFonts w:ascii="Arial" w:hAnsi="Arial" w:eastAsia="黑体" w:cs="Arial"/>
      <w:snapToGrid w:val="0"/>
      <w:kern w:val="0"/>
      <w:szCs w:val="21"/>
    </w:rPr>
  </w:style>
  <w:style w:type="character" w:styleId="69">
    <w:name w:val="Hyperlink"/>
    <w:autoRedefine/>
    <w:qFormat/>
    <w:uiPriority w:val="99"/>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3">
    <w:name w:val="solutionfonts"/>
    <w:autoRedefine/>
    <w:qFormat/>
    <w:uiPriority w:val="0"/>
  </w:style>
  <w:style w:type="character" w:customStyle="1" w:styleId="74">
    <w:name w:val="Font Style82"/>
    <w:autoRedefine/>
    <w:qFormat/>
    <w:uiPriority w:val="99"/>
    <w:rPr>
      <w:rFonts w:ascii="宋体" w:eastAsia="宋体" w:cs="宋体"/>
      <w:color w:val="000000"/>
      <w:sz w:val="14"/>
      <w:szCs w:val="14"/>
    </w:rPr>
  </w:style>
  <w:style w:type="character" w:customStyle="1" w:styleId="75">
    <w:name w:val="此正文 Char"/>
    <w:link w:val="76"/>
    <w:autoRedefine/>
    <w:qFormat/>
    <w:uiPriority w:val="0"/>
    <w:rPr>
      <w:kern w:val="2"/>
      <w:sz w:val="24"/>
      <w:szCs w:val="24"/>
    </w:rPr>
  </w:style>
  <w:style w:type="paragraph" w:customStyle="1" w:styleId="76">
    <w:name w:val="此正文"/>
    <w:basedOn w:val="1"/>
    <w:link w:val="75"/>
    <w:autoRedefine/>
    <w:qFormat/>
    <w:uiPriority w:val="0"/>
    <w:pPr>
      <w:adjustRightInd/>
      <w:spacing w:line="360" w:lineRule="auto"/>
      <w:ind w:firstLine="200" w:firstLineChars="200"/>
    </w:pPr>
    <w:rPr>
      <w:sz w:val="24"/>
    </w:rPr>
  </w:style>
  <w:style w:type="character" w:customStyle="1" w:styleId="77">
    <w:name w:val="Char Char10"/>
    <w:autoRedefine/>
    <w:semiHidden/>
    <w:qFormat/>
    <w:uiPriority w:val="0"/>
    <w:rPr>
      <w:rFonts w:ascii="宋体" w:hAnsi="宋体"/>
      <w:kern w:val="2"/>
      <w:sz w:val="21"/>
      <w:szCs w:val="24"/>
      <w:lang w:val="en-US" w:eastAsia="zh-CN"/>
    </w:rPr>
  </w:style>
  <w:style w:type="character" w:customStyle="1" w:styleId="78">
    <w:name w:val="h Char Char"/>
    <w:autoRedefine/>
    <w:qFormat/>
    <w:uiPriority w:val="0"/>
    <w:rPr>
      <w:rFonts w:eastAsia="宋体"/>
      <w:kern w:val="2"/>
      <w:sz w:val="18"/>
      <w:lang w:val="en-US" w:eastAsia="zh-CN" w:bidi="ar-SA"/>
    </w:rPr>
  </w:style>
  <w:style w:type="character" w:customStyle="1" w:styleId="79">
    <w:name w:val="Bold"/>
    <w:autoRedefine/>
    <w:qFormat/>
    <w:uiPriority w:val="0"/>
    <w:rPr>
      <w:rFonts w:ascii="Arial" w:hAnsi="Arial" w:eastAsia="黑体" w:cs="Times New Roman"/>
      <w:b/>
      <w:kern w:val="2"/>
      <w:sz w:val="32"/>
      <w:szCs w:val="32"/>
      <w:lang w:val="en-US" w:eastAsia="zh-CN" w:bidi="ar-SA"/>
    </w:rPr>
  </w:style>
  <w:style w:type="character" w:customStyle="1" w:styleId="80">
    <w:name w:val="Ò³Ã¼ Char Char"/>
    <w:autoRedefine/>
    <w:qFormat/>
    <w:uiPriority w:val="0"/>
    <w:rPr>
      <w:rFonts w:eastAsia="宋体"/>
      <w:kern w:val="2"/>
      <w:sz w:val="18"/>
      <w:lang w:val="en-US" w:eastAsia="zh-CN" w:bidi="ar-SA"/>
    </w:rPr>
  </w:style>
  <w:style w:type="character" w:customStyle="1" w:styleId="81">
    <w:name w:val="标准正文格式 Char"/>
    <w:autoRedefine/>
    <w:qFormat/>
    <w:uiPriority w:val="0"/>
    <w:rPr>
      <w:rFonts w:ascii="宋体" w:eastAsia="仿宋_GB2312" w:cs="宋体"/>
      <w:color w:val="000000"/>
      <w:sz w:val="24"/>
      <w:lang w:val="en-US" w:eastAsia="zh-CN" w:bidi="ar-SA"/>
    </w:rPr>
  </w:style>
  <w:style w:type="character" w:customStyle="1" w:styleId="82">
    <w:name w:val="正文文本缩进 2 Char"/>
    <w:link w:val="35"/>
    <w:autoRedefine/>
    <w:qFormat/>
    <w:uiPriority w:val="0"/>
    <w:rPr>
      <w:rFonts w:ascii="宋体"/>
      <w:sz w:val="28"/>
    </w:rPr>
  </w:style>
  <w:style w:type="character" w:customStyle="1" w:styleId="83">
    <w:name w:val="Char Char8"/>
    <w:autoRedefine/>
    <w:qFormat/>
    <w:uiPriority w:val="0"/>
    <w:rPr>
      <w:rFonts w:eastAsia="宋体"/>
      <w:b/>
      <w:sz w:val="24"/>
      <w:lang w:val="en-GB" w:eastAsia="zh-CN"/>
    </w:rPr>
  </w:style>
  <w:style w:type="character" w:customStyle="1" w:styleId="84">
    <w:name w:val="No Spacing Char"/>
    <w:link w:val="85"/>
    <w:autoRedefine/>
    <w:qFormat/>
    <w:uiPriority w:val="1"/>
    <w:rPr>
      <w:rFonts w:ascii="Calibri" w:hAnsi="Calibri"/>
      <w:sz w:val="22"/>
      <w:szCs w:val="22"/>
      <w:lang w:val="en-US" w:eastAsia="zh-CN" w:bidi="ar-SA"/>
    </w:rPr>
  </w:style>
  <w:style w:type="paragraph" w:customStyle="1" w:styleId="85">
    <w:name w:val="无间隔1"/>
    <w:link w:val="84"/>
    <w:autoRedefine/>
    <w:qFormat/>
    <w:uiPriority w:val="1"/>
    <w:rPr>
      <w:rFonts w:ascii="Calibri" w:hAnsi="Calibri" w:eastAsia="宋体" w:cs="Times New Roman"/>
      <w:sz w:val="22"/>
      <w:szCs w:val="22"/>
      <w:lang w:val="en-US" w:eastAsia="zh-CN" w:bidi="ar-SA"/>
    </w:rPr>
  </w:style>
  <w:style w:type="character" w:customStyle="1" w:styleId="86">
    <w:name w:val="blue1"/>
    <w:basedOn w:val="63"/>
    <w:autoRedefine/>
    <w:qFormat/>
    <w:uiPriority w:val="0"/>
    <w:rPr>
      <w:rFonts w:ascii="Arial" w:hAnsi="Arial" w:eastAsia="黑体" w:cs="Arial"/>
      <w:snapToGrid w:val="0"/>
      <w:kern w:val="0"/>
      <w:szCs w:val="21"/>
    </w:rPr>
  </w:style>
  <w:style w:type="character" w:customStyle="1" w:styleId="87">
    <w:name w:val="highlight1"/>
    <w:autoRedefine/>
    <w:qFormat/>
    <w:uiPriority w:val="0"/>
    <w:rPr>
      <w:rFonts w:ascii="仿宋_GB2312" w:eastAsia="微软雅黑"/>
      <w:b/>
      <w:kern w:val="2"/>
      <w:sz w:val="23"/>
      <w:szCs w:val="23"/>
      <w:lang w:val="en-US" w:eastAsia="zh-CN" w:bidi="ar-SA"/>
    </w:rPr>
  </w:style>
  <w:style w:type="character" w:customStyle="1" w:styleId="88">
    <w:name w:val="ca-131"/>
    <w:autoRedefine/>
    <w:qFormat/>
    <w:uiPriority w:val="0"/>
    <w:rPr>
      <w:rFonts w:hint="eastAsia" w:ascii="仿宋_GB2312" w:eastAsia="仿宋_GB2312"/>
      <w:b/>
      <w:bCs/>
      <w:color w:val="000000"/>
      <w:spacing w:val="-20"/>
      <w:sz w:val="24"/>
      <w:szCs w:val="24"/>
    </w:rPr>
  </w:style>
  <w:style w:type="character" w:customStyle="1" w:styleId="89">
    <w:name w:val="h3 Char"/>
    <w:autoRedefine/>
    <w:qFormat/>
    <w:uiPriority w:val="0"/>
    <w:rPr>
      <w:rFonts w:eastAsia="宋体"/>
      <w:b/>
      <w:kern w:val="2"/>
      <w:sz w:val="32"/>
      <w:lang w:val="en-US" w:eastAsia="zh-CN" w:bidi="ar-SA"/>
    </w:rPr>
  </w:style>
  <w:style w:type="character" w:customStyle="1" w:styleId="90">
    <w:name w:val="Char Char12"/>
    <w:autoRedefine/>
    <w:qFormat/>
    <w:uiPriority w:val="0"/>
    <w:rPr>
      <w:rFonts w:ascii="仿宋_GB2312" w:eastAsia="仿宋_GB2312"/>
      <w:b/>
      <w:bCs/>
      <w:kern w:val="2"/>
      <w:sz w:val="24"/>
      <w:szCs w:val="24"/>
      <w:lang w:val="zh-CN" w:eastAsia="zh-CN" w:bidi="ar-SA"/>
    </w:rPr>
  </w:style>
  <w:style w:type="character" w:customStyle="1" w:styleId="91">
    <w:name w:val="Comment Text Char"/>
    <w:autoRedefine/>
    <w:semiHidden/>
    <w:qFormat/>
    <w:locked/>
    <w:uiPriority w:val="0"/>
    <w:rPr>
      <w:rFonts w:ascii="宋体" w:hAnsi="宋体" w:eastAsia="宋体"/>
      <w:kern w:val="2"/>
      <w:sz w:val="24"/>
      <w:lang w:val="en-US" w:eastAsia="zh-CN" w:bidi="ar-SA"/>
    </w:rPr>
  </w:style>
  <w:style w:type="character" w:customStyle="1" w:styleId="92">
    <w:name w:val="批注文字 Char"/>
    <w:autoRedefine/>
    <w:qFormat/>
    <w:uiPriority w:val="99"/>
    <w:rPr>
      <w:kern w:val="2"/>
      <w:sz w:val="21"/>
      <w:szCs w:val="24"/>
    </w:rPr>
  </w:style>
  <w:style w:type="character" w:customStyle="1" w:styleId="93">
    <w:name w:val="仿宋正文 Char"/>
    <w:link w:val="94"/>
    <w:autoRedefine/>
    <w:qFormat/>
    <w:uiPriority w:val="0"/>
    <w:rPr>
      <w:rFonts w:ascii="仿宋_GB2312" w:eastAsia="仿宋_GB2312"/>
      <w:kern w:val="2"/>
      <w:sz w:val="24"/>
      <w:lang w:val="en-US" w:eastAsia="zh-CN" w:bidi="ar-SA"/>
    </w:rPr>
  </w:style>
  <w:style w:type="paragraph" w:customStyle="1" w:styleId="94">
    <w:name w:val="仿宋正文"/>
    <w:basedOn w:val="1"/>
    <w:link w:val="93"/>
    <w:autoRedefine/>
    <w:qFormat/>
    <w:uiPriority w:val="0"/>
    <w:pPr>
      <w:adjustRightInd/>
      <w:spacing w:line="360" w:lineRule="auto"/>
      <w:ind w:firstLine="480" w:firstLineChars="200"/>
    </w:pPr>
    <w:rPr>
      <w:rFonts w:ascii="仿宋_GB2312" w:eastAsia="仿宋_GB2312"/>
      <w:sz w:val="24"/>
      <w:szCs w:val="20"/>
    </w:rPr>
  </w:style>
  <w:style w:type="character" w:customStyle="1" w:styleId="95">
    <w:name w:val="style91"/>
    <w:autoRedefine/>
    <w:qFormat/>
    <w:uiPriority w:val="0"/>
    <w:rPr>
      <w:color w:val="333333"/>
    </w:rPr>
  </w:style>
  <w:style w:type="character" w:customStyle="1" w:styleId="96">
    <w:name w:val="Char Char4"/>
    <w:autoRedefine/>
    <w:qFormat/>
    <w:uiPriority w:val="0"/>
    <w:rPr>
      <w:rFonts w:eastAsia="宋体"/>
      <w:b/>
      <w:sz w:val="24"/>
      <w:lang w:val="en-GB" w:eastAsia="zh-CN" w:bidi="ar-SA"/>
    </w:rPr>
  </w:style>
  <w:style w:type="character" w:customStyle="1" w:styleId="97">
    <w:name w:val="Char Char2"/>
    <w:autoRedefine/>
    <w:qFormat/>
    <w:uiPriority w:val="0"/>
    <w:rPr>
      <w:rFonts w:eastAsia="宋体"/>
      <w:b/>
      <w:bCs/>
      <w:kern w:val="2"/>
      <w:sz w:val="21"/>
      <w:szCs w:val="24"/>
      <w:lang w:val="en-US" w:eastAsia="zh-CN" w:bidi="ar-SA"/>
    </w:rPr>
  </w:style>
  <w:style w:type="character" w:customStyle="1" w:styleId="98">
    <w:name w:val="正文 项目2 Char"/>
    <w:basedOn w:val="99"/>
    <w:autoRedefine/>
    <w:qFormat/>
    <w:uiPriority w:val="0"/>
    <w:rPr>
      <w:rFonts w:ascii="仿宋_GB2312" w:hAnsi="仿宋_GB2312" w:eastAsia="仿宋_GB2312"/>
      <w:kern w:val="2"/>
      <w:sz w:val="24"/>
      <w:lang w:bidi="ar-SA"/>
    </w:rPr>
  </w:style>
  <w:style w:type="character" w:customStyle="1" w:styleId="99">
    <w:name w:val="正文 项目 Char"/>
    <w:autoRedefine/>
    <w:qFormat/>
    <w:uiPriority w:val="0"/>
    <w:rPr>
      <w:rFonts w:ascii="仿宋_GB2312" w:hAnsi="仿宋_GB2312" w:eastAsia="仿宋_GB2312"/>
      <w:kern w:val="2"/>
      <w:sz w:val="24"/>
      <w:lang w:bidi="ar-SA"/>
    </w:rPr>
  </w:style>
  <w:style w:type="character" w:customStyle="1" w:styleId="100">
    <w:name w:val="页眉 Char1"/>
    <w:autoRedefine/>
    <w:qFormat/>
    <w:uiPriority w:val="0"/>
    <w:rPr>
      <w:rFonts w:eastAsia="宋体"/>
      <w:kern w:val="2"/>
      <w:sz w:val="18"/>
      <w:szCs w:val="18"/>
      <w:lang w:val="en-US" w:eastAsia="zh-CN" w:bidi="ar-SA"/>
    </w:rPr>
  </w:style>
  <w:style w:type="character" w:customStyle="1" w:styleId="101">
    <w:name w:val="副标题 Char"/>
    <w:link w:val="45"/>
    <w:autoRedefine/>
    <w:qFormat/>
    <w:uiPriority w:val="0"/>
    <w:rPr>
      <w:rFonts w:ascii="Arial" w:hAnsi="Arial" w:eastAsia="隶书"/>
      <w:b/>
      <w:bCs/>
      <w:kern w:val="28"/>
      <w:sz w:val="44"/>
      <w:szCs w:val="32"/>
      <w:lang w:val="en-US" w:eastAsia="zh-CN" w:bidi="ar-SA"/>
    </w:rPr>
  </w:style>
  <w:style w:type="character" w:customStyle="1" w:styleId="102">
    <w:name w:val="正文文本缩进 Char1"/>
    <w:link w:val="23"/>
    <w:autoRedefine/>
    <w:qFormat/>
    <w:uiPriority w:val="0"/>
    <w:rPr>
      <w:rFonts w:ascii="宋体" w:hAnsi="宋体"/>
      <w:kern w:val="2"/>
      <w:sz w:val="24"/>
      <w:szCs w:val="24"/>
    </w:rPr>
  </w:style>
  <w:style w:type="character" w:customStyle="1" w:styleId="103">
    <w:name w:val="big1"/>
    <w:autoRedefine/>
    <w:qFormat/>
    <w:uiPriority w:val="0"/>
    <w:rPr>
      <w:rFonts w:hint="eastAsia" w:ascii="宋体" w:hAnsi="宋体" w:eastAsia="宋体"/>
      <w:color w:val="333333"/>
      <w:sz w:val="22"/>
      <w:szCs w:val="22"/>
    </w:rPr>
  </w:style>
  <w:style w:type="character" w:customStyle="1" w:styleId="104">
    <w:name w:val="h Char Char1"/>
    <w:autoRedefine/>
    <w:qFormat/>
    <w:uiPriority w:val="0"/>
    <w:rPr>
      <w:rFonts w:eastAsia="宋体"/>
      <w:kern w:val="2"/>
      <w:sz w:val="18"/>
      <w:szCs w:val="18"/>
      <w:lang w:val="en-US" w:eastAsia="zh-CN" w:bidi="ar-SA"/>
    </w:rPr>
  </w:style>
  <w:style w:type="character" w:customStyle="1" w:styleId="105">
    <w:name w:val="样式8 Char"/>
    <w:autoRedefine/>
    <w:qFormat/>
    <w:uiPriority w:val="0"/>
    <w:rPr>
      <w:rFonts w:ascii="仿宋_GB2312" w:hAnsi="宋体" w:eastAsia="仿宋_GB2312"/>
      <w:b/>
      <w:bCs/>
      <w:kern w:val="2"/>
      <w:sz w:val="24"/>
      <w:szCs w:val="24"/>
    </w:rPr>
  </w:style>
  <w:style w:type="character" w:customStyle="1" w:styleId="106">
    <w:name w:val="HTML 预设格式 Char"/>
    <w:link w:val="55"/>
    <w:autoRedefine/>
    <w:qFormat/>
    <w:uiPriority w:val="0"/>
    <w:rPr>
      <w:rFonts w:ascii="黑体" w:hAnsi="Courier New" w:eastAsia="黑体"/>
    </w:rPr>
  </w:style>
  <w:style w:type="character" w:customStyle="1" w:styleId="107">
    <w:name w:val="页脚 Char1"/>
    <w:autoRedefine/>
    <w:qFormat/>
    <w:uiPriority w:val="0"/>
    <w:rPr>
      <w:rFonts w:eastAsia="宋体"/>
      <w:kern w:val="2"/>
      <w:sz w:val="18"/>
      <w:szCs w:val="18"/>
      <w:lang w:val="en-US" w:eastAsia="zh-CN" w:bidi="ar-SA"/>
    </w:rPr>
  </w:style>
  <w:style w:type="character" w:customStyle="1" w:styleId="108">
    <w:name w:val="myp11"/>
    <w:autoRedefine/>
    <w:qFormat/>
    <w:uiPriority w:val="0"/>
    <w:rPr>
      <w:rFonts w:ascii="仿宋_GB2312" w:eastAsia="微软雅黑"/>
      <w:b/>
      <w:kern w:val="2"/>
      <w:sz w:val="32"/>
      <w:szCs w:val="32"/>
      <w:lang w:val="en-US" w:eastAsia="zh-CN" w:bidi="ar-SA"/>
    </w:rPr>
  </w:style>
  <w:style w:type="character" w:customStyle="1" w:styleId="109">
    <w:name w:val="正文文本 2 Char"/>
    <w:autoRedefine/>
    <w:qFormat/>
    <w:uiPriority w:val="0"/>
    <w:rPr>
      <w:rFonts w:eastAsia="宋体"/>
      <w:kern w:val="2"/>
      <w:sz w:val="21"/>
      <w:szCs w:val="24"/>
      <w:lang w:val="en-US" w:eastAsia="zh-CN" w:bidi="ar-SA"/>
    </w:rPr>
  </w:style>
  <w:style w:type="character" w:customStyle="1" w:styleId="110">
    <w:name w:val="tw4winTerm"/>
    <w:autoRedefine/>
    <w:qFormat/>
    <w:uiPriority w:val="0"/>
    <w:rPr>
      <w:color w:val="0000FF"/>
    </w:rPr>
  </w:style>
  <w:style w:type="character" w:customStyle="1" w:styleId="111">
    <w:name w:val="标题 8 Char"/>
    <w:link w:val="9"/>
    <w:autoRedefine/>
    <w:qFormat/>
    <w:uiPriority w:val="0"/>
    <w:rPr>
      <w:rFonts w:ascii="Arial" w:hAnsi="Arial" w:eastAsia="黑体"/>
      <w:kern w:val="2"/>
      <w:sz w:val="24"/>
      <w:szCs w:val="24"/>
    </w:rPr>
  </w:style>
  <w:style w:type="character" w:customStyle="1" w:styleId="1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113">
    <w:name w:val="hei16b1"/>
    <w:autoRedefine/>
    <w:qFormat/>
    <w:uiPriority w:val="0"/>
    <w:rPr>
      <w:rFonts w:hint="default" w:ascii="Arial" w:hAnsi="Arial" w:cs="Arial"/>
      <w:b/>
      <w:bCs/>
      <w:color w:val="000000"/>
      <w:sz w:val="24"/>
      <w:szCs w:val="24"/>
    </w:rPr>
  </w:style>
  <w:style w:type="character" w:customStyle="1" w:styleId="114">
    <w:name w:val="Heading 7 Char"/>
    <w:autoRedefine/>
    <w:qFormat/>
    <w:locked/>
    <w:uiPriority w:val="0"/>
    <w:rPr>
      <w:rFonts w:ascii="宋体" w:hAnsi="宋体" w:eastAsia="宋体"/>
      <w:b/>
      <w:bCs/>
      <w:kern w:val="2"/>
      <w:sz w:val="24"/>
      <w:szCs w:val="24"/>
      <w:lang w:val="en-US" w:eastAsia="zh-CN" w:bidi="ar-SA"/>
    </w:rPr>
  </w:style>
  <w:style w:type="character" w:customStyle="1" w:styleId="115">
    <w:name w:val="Char Char6"/>
    <w:autoRedefine/>
    <w:qFormat/>
    <w:uiPriority w:val="0"/>
    <w:rPr>
      <w:rFonts w:eastAsia="宋体"/>
      <w:kern w:val="2"/>
      <w:sz w:val="21"/>
      <w:szCs w:val="24"/>
      <w:lang w:val="en-US" w:eastAsia="zh-CN" w:bidi="ar-SA"/>
    </w:rPr>
  </w:style>
  <w:style w:type="character" w:customStyle="1" w:styleId="116">
    <w:name w:val="哈哈正文 Char"/>
    <w:link w:val="117"/>
    <w:autoRedefine/>
    <w:qFormat/>
    <w:uiPriority w:val="0"/>
    <w:rPr>
      <w:rFonts w:ascii="宋体" w:hAnsi="宋体" w:eastAsia="宋体"/>
      <w:kern w:val="2"/>
      <w:sz w:val="24"/>
      <w:lang w:bidi="ar-SA"/>
    </w:rPr>
  </w:style>
  <w:style w:type="paragraph" w:customStyle="1" w:styleId="117">
    <w:name w:val="哈哈正文"/>
    <w:basedOn w:val="1"/>
    <w:link w:val="116"/>
    <w:autoRedefine/>
    <w:qFormat/>
    <w:uiPriority w:val="0"/>
    <w:pPr>
      <w:adjustRightInd/>
      <w:spacing w:line="360" w:lineRule="auto"/>
      <w:ind w:firstLine="200" w:firstLineChars="200"/>
    </w:pPr>
    <w:rPr>
      <w:rFonts w:ascii="宋体" w:hAnsi="宋体"/>
      <w:sz w:val="24"/>
      <w:szCs w:val="20"/>
    </w:rPr>
  </w:style>
  <w:style w:type="character" w:customStyle="1" w:styleId="118">
    <w:name w:val="pt141"/>
    <w:autoRedefine/>
    <w:qFormat/>
    <w:uiPriority w:val="0"/>
    <w:rPr>
      <w:color w:val="330066"/>
      <w:sz w:val="22"/>
      <w:szCs w:val="22"/>
    </w:rPr>
  </w:style>
  <w:style w:type="character" w:customStyle="1" w:styleId="119">
    <w:name w:val="普通文字 Char3"/>
    <w:autoRedefine/>
    <w:qFormat/>
    <w:uiPriority w:val="0"/>
    <w:rPr>
      <w:rFonts w:ascii="宋体" w:hAnsi="Courier New" w:eastAsia="宋体"/>
      <w:kern w:val="2"/>
      <w:sz w:val="21"/>
      <w:lang w:val="en-US" w:eastAsia="zh-CN" w:bidi="ar-SA"/>
    </w:rPr>
  </w:style>
  <w:style w:type="character" w:customStyle="1" w:styleId="120">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1">
    <w:name w:val="正文文本 Char1"/>
    <w:link w:val="22"/>
    <w:autoRedefine/>
    <w:semiHidden/>
    <w:qFormat/>
    <w:uiPriority w:val="0"/>
    <w:rPr>
      <w:rFonts w:ascii="宋体" w:hAnsi="Arial" w:eastAsia="宋体" w:cs="Arial"/>
      <w:snapToGrid w:val="0"/>
      <w:kern w:val="2"/>
      <w:sz w:val="24"/>
      <w:szCs w:val="21"/>
      <w:lang w:val="zh-CN" w:eastAsia="zh-CN" w:bidi="ar-SA"/>
    </w:rPr>
  </w:style>
  <w:style w:type="character" w:customStyle="1" w:styleId="122">
    <w:name w:val="正文2 Char"/>
    <w:autoRedefine/>
    <w:qFormat/>
    <w:uiPriority w:val="0"/>
    <w:rPr>
      <w:rFonts w:eastAsia="宋体"/>
      <w:kern w:val="2"/>
      <w:sz w:val="24"/>
      <w:lang w:val="en-US" w:eastAsia="zh-CN" w:bidi="ar-SA"/>
    </w:rPr>
  </w:style>
  <w:style w:type="character" w:customStyle="1" w:styleId="123">
    <w:name w:val="普通文字 Char1"/>
    <w:autoRedefine/>
    <w:qFormat/>
    <w:uiPriority w:val="0"/>
    <w:rPr>
      <w:rFonts w:ascii="宋体" w:hAnsi="Courier New" w:eastAsia="宋体"/>
      <w:kern w:val="2"/>
      <w:sz w:val="21"/>
      <w:lang w:val="en-US" w:eastAsia="zh-CN"/>
    </w:rPr>
  </w:style>
  <w:style w:type="character" w:customStyle="1" w:styleId="124">
    <w:name w:val="标题 9 Char"/>
    <w:link w:val="10"/>
    <w:autoRedefine/>
    <w:qFormat/>
    <w:uiPriority w:val="0"/>
    <w:rPr>
      <w:rFonts w:ascii="Arial" w:hAnsi="Arial" w:eastAsia="黑体"/>
      <w:kern w:val="2"/>
      <w:sz w:val="21"/>
      <w:szCs w:val="21"/>
    </w:rPr>
  </w:style>
  <w:style w:type="character" w:customStyle="1" w:styleId="125">
    <w:name w:val="Header Char"/>
    <w:autoRedefine/>
    <w:semiHidden/>
    <w:qFormat/>
    <w:locked/>
    <w:uiPriority w:val="0"/>
    <w:rPr>
      <w:rFonts w:eastAsia="宋体"/>
      <w:kern w:val="2"/>
      <w:sz w:val="18"/>
      <w:szCs w:val="18"/>
      <w:lang w:val="en-US" w:eastAsia="zh-CN" w:bidi="ar-SA"/>
    </w:rPr>
  </w:style>
  <w:style w:type="character" w:customStyle="1" w:styleId="126">
    <w:name w:val="Footer-Even Char1"/>
    <w:autoRedefine/>
    <w:qFormat/>
    <w:uiPriority w:val="0"/>
    <w:rPr>
      <w:rFonts w:eastAsia="宋体"/>
      <w:kern w:val="2"/>
      <w:sz w:val="18"/>
      <w:szCs w:val="18"/>
      <w:lang w:val="en-US" w:eastAsia="zh-CN" w:bidi="ar-SA"/>
    </w:rPr>
  </w:style>
  <w:style w:type="character" w:customStyle="1" w:styleId="127">
    <w:name w:val="unnamed31"/>
    <w:autoRedefine/>
    <w:qFormat/>
    <w:uiPriority w:val="0"/>
    <w:rPr>
      <w:rFonts w:ascii="Tahoma" w:hAnsi="Tahoma" w:eastAsia="宋体"/>
      <w:b/>
      <w:kern w:val="2"/>
      <w:sz w:val="24"/>
      <w:szCs w:val="32"/>
      <w:u w:val="none"/>
      <w:lang w:val="en-US" w:eastAsia="zh-CN" w:bidi="ar-SA"/>
    </w:rPr>
  </w:style>
  <w:style w:type="character" w:customStyle="1" w:styleId="128">
    <w:name w:val="纯文本 Char Char Char"/>
    <w:autoRedefine/>
    <w:qFormat/>
    <w:uiPriority w:val="0"/>
    <w:rPr>
      <w:rFonts w:ascii="宋体" w:hAnsi="Courier New" w:eastAsia="宋体"/>
      <w:kern w:val="2"/>
      <w:sz w:val="21"/>
      <w:lang w:val="en-US" w:eastAsia="zh-CN" w:bidi="ar-SA"/>
    </w:rPr>
  </w:style>
  <w:style w:type="character" w:customStyle="1" w:styleId="129">
    <w:name w:val="Body Text(ch) Char Char"/>
    <w:autoRedefine/>
    <w:qFormat/>
    <w:uiPriority w:val="0"/>
    <w:rPr>
      <w:rFonts w:ascii="宋体"/>
      <w:kern w:val="2"/>
      <w:sz w:val="24"/>
      <w:szCs w:val="21"/>
      <w:lang w:val="zh-CN"/>
    </w:rPr>
  </w:style>
  <w:style w:type="character" w:customStyle="1" w:styleId="130">
    <w:name w:val="插图说明 Char"/>
    <w:autoRedefine/>
    <w:qFormat/>
    <w:uiPriority w:val="0"/>
    <w:rPr>
      <w:rFonts w:eastAsia="黑体"/>
      <w:sz w:val="24"/>
      <w:lang w:val="en-US" w:eastAsia="zh-CN"/>
    </w:rPr>
  </w:style>
  <w:style w:type="character" w:customStyle="1" w:styleId="131">
    <w:name w:val="tw4winExternal"/>
    <w:autoRedefine/>
    <w:qFormat/>
    <w:uiPriority w:val="0"/>
    <w:rPr>
      <w:rFonts w:ascii="Courier New" w:hAnsi="Courier New" w:cs="Courier New"/>
      <w:color w:val="808080"/>
      <w:lang w:val="en-US" w:eastAsia="zh-CN"/>
    </w:rPr>
  </w:style>
  <w:style w:type="character" w:customStyle="1" w:styleId="132">
    <w:name w:val="font21"/>
    <w:autoRedefine/>
    <w:qFormat/>
    <w:uiPriority w:val="0"/>
    <w:rPr>
      <w:rFonts w:hint="eastAsia" w:ascii="宋体" w:hAnsi="宋体" w:eastAsia="宋体"/>
      <w:kern w:val="2"/>
      <w:sz w:val="28"/>
      <w:szCs w:val="28"/>
      <w:lang w:val="en-US" w:eastAsia="zh-CN" w:bidi="ar-SA"/>
    </w:rPr>
  </w:style>
  <w:style w:type="character" w:customStyle="1" w:styleId="133">
    <w:name w:val="标书正文格式 Char"/>
    <w:autoRedefine/>
    <w:qFormat/>
    <w:uiPriority w:val="0"/>
    <w:rPr>
      <w:rFonts w:eastAsia="楷体_GB2312"/>
      <w:kern w:val="2"/>
      <w:sz w:val="24"/>
      <w:szCs w:val="24"/>
      <w:lang w:bidi="ar-SA"/>
    </w:rPr>
  </w:style>
  <w:style w:type="character" w:customStyle="1" w:styleId="134">
    <w:name w:val="正文首行缩进 Char"/>
    <w:link w:val="59"/>
    <w:autoRedefine/>
    <w:qFormat/>
    <w:uiPriority w:val="0"/>
    <w:rPr>
      <w:rFonts w:ascii="宋体"/>
      <w:kern w:val="2"/>
      <w:sz w:val="24"/>
      <w:lang w:val="zh-CN"/>
    </w:rPr>
  </w:style>
  <w:style w:type="character" w:customStyle="1" w:styleId="135">
    <w:name w:val="javascript"/>
    <w:autoRedefine/>
    <w:qFormat/>
    <w:uiPriority w:val="0"/>
  </w:style>
  <w:style w:type="character" w:customStyle="1" w:styleId="136">
    <w:name w:val="Balloon Text Char"/>
    <w:autoRedefine/>
    <w:semiHidden/>
    <w:qFormat/>
    <w:locked/>
    <w:uiPriority w:val="0"/>
    <w:rPr>
      <w:rFonts w:eastAsia="宋体"/>
      <w:kern w:val="2"/>
      <w:sz w:val="18"/>
      <w:szCs w:val="18"/>
      <w:lang w:val="en-US" w:eastAsia="zh-CN" w:bidi="ar-SA"/>
    </w:rPr>
  </w:style>
  <w:style w:type="character" w:customStyle="1" w:styleId="137">
    <w:name w:val="Char Char5"/>
    <w:autoRedefine/>
    <w:qFormat/>
    <w:uiPriority w:val="0"/>
    <w:rPr>
      <w:rFonts w:ascii="宋体" w:hAnsi="Courier New" w:eastAsia="宋体"/>
      <w:kern w:val="2"/>
      <w:sz w:val="21"/>
      <w:lang w:val="en-US" w:eastAsia="zh-CN"/>
    </w:rPr>
  </w:style>
  <w:style w:type="character" w:customStyle="1" w:styleId="138">
    <w:name w:val="Char Char"/>
    <w:autoRedefine/>
    <w:qFormat/>
    <w:uiPriority w:val="0"/>
    <w:rPr>
      <w:rFonts w:ascii="宋体" w:hAnsi="Courier New" w:eastAsia="宋体"/>
      <w:kern w:val="2"/>
      <w:sz w:val="21"/>
      <w:lang w:val="en-US" w:eastAsia="zh-CN" w:bidi="ar-SA"/>
    </w:rPr>
  </w:style>
  <w:style w:type="character" w:customStyle="1" w:styleId="139">
    <w:name w:val="mdeck"/>
    <w:autoRedefine/>
    <w:qFormat/>
    <w:uiPriority w:val="0"/>
    <w:rPr>
      <w:rFonts w:ascii="仿宋_GB2312" w:eastAsia="微软雅黑"/>
      <w:b/>
      <w:kern w:val="2"/>
      <w:sz w:val="32"/>
      <w:szCs w:val="32"/>
      <w:lang w:val="en-US" w:eastAsia="zh-CN" w:bidi="ar-SA"/>
    </w:rPr>
  </w:style>
  <w:style w:type="character" w:customStyle="1" w:styleId="140">
    <w:name w:val="content"/>
    <w:autoRedefine/>
    <w:qFormat/>
    <w:uiPriority w:val="0"/>
  </w:style>
  <w:style w:type="character" w:customStyle="1" w:styleId="141">
    <w:name w:val="Char Char3"/>
    <w:autoRedefine/>
    <w:qFormat/>
    <w:uiPriority w:val="0"/>
    <w:rPr>
      <w:rFonts w:eastAsia="宋体"/>
      <w:kern w:val="2"/>
      <w:sz w:val="21"/>
      <w:szCs w:val="24"/>
      <w:lang w:val="en-US" w:eastAsia="zh-CN" w:bidi="ar-SA"/>
    </w:rPr>
  </w:style>
  <w:style w:type="character" w:customStyle="1" w:styleId="142">
    <w:name w:val="Char Char81"/>
    <w:autoRedefine/>
    <w:qFormat/>
    <w:uiPriority w:val="6"/>
    <w:rPr>
      <w:rFonts w:eastAsia="宋体"/>
      <w:b/>
      <w:sz w:val="24"/>
      <w:lang w:val="en-GB" w:eastAsia="zh-CN"/>
    </w:rPr>
  </w:style>
  <w:style w:type="character" w:customStyle="1" w:styleId="143">
    <w:name w:val="标题 1 Char"/>
    <w:link w:val="3"/>
    <w:autoRedefine/>
    <w:qFormat/>
    <w:uiPriority w:val="0"/>
    <w:rPr>
      <w:rFonts w:ascii="仿宋" w:hAnsi="仿宋" w:eastAsia="仿宋" w:cs="仿宋_GB2312"/>
      <w:b/>
      <w:color w:val="000000"/>
      <w:kern w:val="2"/>
      <w:sz w:val="36"/>
      <w:szCs w:val="36"/>
    </w:rPr>
  </w:style>
  <w:style w:type="character" w:customStyle="1" w:styleId="144">
    <w:name w:val="页眉 Char"/>
    <w:autoRedefine/>
    <w:qFormat/>
    <w:uiPriority w:val="99"/>
    <w:rPr>
      <w:rFonts w:eastAsia="仿宋_GB2312"/>
      <w:kern w:val="2"/>
      <w:sz w:val="18"/>
      <w:lang w:val="en-US" w:eastAsia="zh-CN"/>
    </w:rPr>
  </w:style>
  <w:style w:type="character" w:customStyle="1" w:styleId="145">
    <w:name w:val="b11_01b Char"/>
    <w:link w:val="146"/>
    <w:autoRedefine/>
    <w:qFormat/>
    <w:uiPriority w:val="0"/>
    <w:rPr>
      <w:rFonts w:ascii="Verdana" w:hAnsi="Verdana"/>
      <w:b/>
      <w:bCs/>
      <w:color w:val="4A82CA"/>
      <w:sz w:val="17"/>
      <w:szCs w:val="17"/>
    </w:rPr>
  </w:style>
  <w:style w:type="paragraph" w:customStyle="1" w:styleId="146">
    <w:name w:val="b11_01b"/>
    <w:basedOn w:val="1"/>
    <w:next w:val="1"/>
    <w:link w:val="14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7">
    <w:name w:val="标题4-dyf Char"/>
    <w:link w:val="148"/>
    <w:autoRedefine/>
    <w:qFormat/>
    <w:uiPriority w:val="0"/>
    <w:rPr>
      <w:rFonts w:ascii="Cambria" w:hAnsi="Cambria"/>
      <w:b/>
      <w:bCs/>
      <w:color w:val="000000"/>
      <w:kern w:val="2"/>
      <w:sz w:val="21"/>
      <w:szCs w:val="21"/>
    </w:rPr>
  </w:style>
  <w:style w:type="paragraph" w:customStyle="1" w:styleId="148">
    <w:name w:val="标题4-dyf"/>
    <w:basedOn w:val="5"/>
    <w:link w:val="147"/>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9">
    <w:name w:val="批注主题 Char"/>
    <w:autoRedefine/>
    <w:qFormat/>
    <w:uiPriority w:val="0"/>
    <w:rPr>
      <w:rFonts w:eastAsia="宋体"/>
      <w:b/>
      <w:bCs/>
      <w:kern w:val="2"/>
      <w:sz w:val="21"/>
      <w:szCs w:val="24"/>
      <w:lang w:val="en-US" w:eastAsia="zh-CN" w:bidi="ar-SA"/>
    </w:rPr>
  </w:style>
  <w:style w:type="character" w:customStyle="1" w:styleId="15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51">
    <w:name w:val="标题 3 Char2"/>
    <w:autoRedefine/>
    <w:qFormat/>
    <w:uiPriority w:val="0"/>
    <w:rPr>
      <w:rFonts w:eastAsia="宋体"/>
      <w:b/>
      <w:bCs/>
      <w:kern w:val="2"/>
      <w:sz w:val="32"/>
      <w:szCs w:val="32"/>
      <w:lang w:val="en-US" w:eastAsia="zh-CN" w:bidi="ar-SA"/>
    </w:rPr>
  </w:style>
  <w:style w:type="character" w:customStyle="1" w:styleId="152">
    <w:name w:val="gray6"/>
    <w:basedOn w:val="63"/>
    <w:autoRedefine/>
    <w:qFormat/>
    <w:uiPriority w:val="0"/>
    <w:rPr>
      <w:rFonts w:ascii="Arial" w:hAnsi="Arial" w:eastAsia="黑体" w:cs="Arial"/>
      <w:snapToGrid w:val="0"/>
      <w:kern w:val="0"/>
      <w:szCs w:val="21"/>
    </w:rPr>
  </w:style>
  <w:style w:type="character" w:customStyle="1" w:styleId="153">
    <w:name w:val="正文首行缩进两字 Char"/>
    <w:autoRedefine/>
    <w:qFormat/>
    <w:uiPriority w:val="0"/>
    <w:rPr>
      <w:sz w:val="24"/>
      <w:szCs w:val="24"/>
      <w:lang w:val="en-US" w:eastAsia="zh-CN" w:bidi="ar-SA"/>
    </w:rPr>
  </w:style>
  <w:style w:type="character" w:customStyle="1" w:styleId="154">
    <w:name w:val="Char Char51"/>
    <w:autoRedefine/>
    <w:qFormat/>
    <w:uiPriority w:val="0"/>
    <w:rPr>
      <w:rFonts w:ascii="宋体" w:hAnsi="Courier New" w:eastAsia="宋体"/>
      <w:kern w:val="2"/>
      <w:sz w:val="21"/>
      <w:lang w:val="en-US" w:eastAsia="zh-CN"/>
    </w:rPr>
  </w:style>
  <w:style w:type="character" w:customStyle="1" w:styleId="155">
    <w:name w:val="带编号样式 Char"/>
    <w:autoRedefine/>
    <w:qFormat/>
    <w:uiPriority w:val="0"/>
    <w:rPr>
      <w:rFonts w:ascii="仿宋_GB2312" w:eastAsia="仿宋_GB2312"/>
      <w:color w:val="000000"/>
      <w:sz w:val="24"/>
      <w:lang w:bidi="ar-SA"/>
    </w:rPr>
  </w:style>
  <w:style w:type="character" w:customStyle="1" w:styleId="156">
    <w:name w:val="Footer-Even Char"/>
    <w:autoRedefine/>
    <w:qFormat/>
    <w:uiPriority w:val="0"/>
    <w:rPr>
      <w:rFonts w:eastAsia="宋体"/>
      <w:kern w:val="2"/>
      <w:sz w:val="18"/>
      <w:lang w:val="en-US" w:eastAsia="zh-CN" w:bidi="ar-SA"/>
    </w:rPr>
  </w:style>
  <w:style w:type="character" w:customStyle="1" w:styleId="157">
    <w:name w:val="样式4 Char"/>
    <w:autoRedefine/>
    <w:qFormat/>
    <w:uiPriority w:val="0"/>
    <w:rPr>
      <w:rFonts w:ascii="仿宋_GB2312" w:hAnsi="仿宋" w:eastAsia="仿宋_GB2312"/>
      <w:b/>
      <w:kern w:val="2"/>
      <w:sz w:val="32"/>
      <w:szCs w:val="32"/>
      <w:lang w:bidi="ar-SA"/>
    </w:rPr>
  </w:style>
  <w:style w:type="character" w:customStyle="1" w:styleId="158">
    <w:name w:val="样式 标题 4h4H4Fab-4T5Ref Heading 1rh1Heading sqlsect 1.2.3.... Char"/>
    <w:link w:val="159"/>
    <w:autoRedefine/>
    <w:qFormat/>
    <w:uiPriority w:val="0"/>
    <w:rPr>
      <w:rFonts w:ascii="微软雅黑" w:hAnsi="微软雅黑" w:eastAsia="微软雅黑"/>
      <w:b/>
      <w:bCs/>
      <w:kern w:val="2"/>
      <w:sz w:val="24"/>
      <w:szCs w:val="28"/>
    </w:rPr>
  </w:style>
  <w:style w:type="paragraph" w:customStyle="1" w:styleId="159">
    <w:name w:val="样式 标题 4h4H4Fab-4T5Ref Heading 1rh1Heading sqlsect 1.2.3...."/>
    <w:basedOn w:val="5"/>
    <w:link w:val="158"/>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0">
    <w:name w:val="dandyren_title1"/>
    <w:autoRedefine/>
    <w:qFormat/>
    <w:uiPriority w:val="0"/>
    <w:rPr>
      <w:b/>
      <w:bCs/>
      <w:color w:val="FF6633"/>
      <w:sz w:val="18"/>
      <w:szCs w:val="18"/>
    </w:rPr>
  </w:style>
  <w:style w:type="character" w:customStyle="1" w:styleId="161">
    <w:name w:val="普通文字 Char Char1"/>
    <w:autoRedefine/>
    <w:qFormat/>
    <w:uiPriority w:val="0"/>
    <w:rPr>
      <w:rFonts w:ascii="宋体" w:hAnsi="Courier New"/>
      <w:kern w:val="2"/>
      <w:sz w:val="21"/>
    </w:rPr>
  </w:style>
  <w:style w:type="character" w:customStyle="1" w:styleId="162">
    <w:name w:val="PI Char"/>
    <w:autoRedefine/>
    <w:qFormat/>
    <w:uiPriority w:val="0"/>
    <w:rPr>
      <w:rFonts w:ascii="宋体" w:hAnsi="宋体" w:eastAsia="宋体"/>
      <w:kern w:val="2"/>
      <w:sz w:val="24"/>
      <w:szCs w:val="24"/>
      <w:lang w:val="en-US" w:eastAsia="zh-CN" w:bidi="ar-SA"/>
    </w:rPr>
  </w:style>
  <w:style w:type="character" w:customStyle="1" w:styleId="163">
    <w:name w:val="Char Char11"/>
    <w:autoRedefine/>
    <w:qFormat/>
    <w:locked/>
    <w:uiPriority w:val="0"/>
    <w:rPr>
      <w:rFonts w:ascii="宋体" w:hAnsi="宋体" w:eastAsia="宋体"/>
      <w:b/>
      <w:kern w:val="2"/>
      <w:sz w:val="24"/>
      <w:szCs w:val="24"/>
      <w:lang w:val="en-US" w:eastAsia="zh-CN" w:bidi="ar-SA"/>
    </w:rPr>
  </w:style>
  <w:style w:type="character" w:customStyle="1" w:styleId="16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65">
    <w:name w:val="Document Map Char"/>
    <w:autoRedefine/>
    <w:semiHidden/>
    <w:qFormat/>
    <w:locked/>
    <w:uiPriority w:val="0"/>
    <w:rPr>
      <w:rFonts w:eastAsia="宋体"/>
      <w:kern w:val="2"/>
      <w:sz w:val="21"/>
      <w:szCs w:val="24"/>
      <w:lang w:val="en-US" w:eastAsia="zh-CN" w:bidi="ar-SA"/>
    </w:rPr>
  </w:style>
  <w:style w:type="character" w:customStyle="1" w:styleId="166">
    <w:name w:val="正文文本缩进 Char"/>
    <w:autoRedefine/>
    <w:qFormat/>
    <w:uiPriority w:val="0"/>
    <w:rPr>
      <w:rFonts w:ascii="宋体" w:hAnsi="宋体"/>
      <w:kern w:val="2"/>
      <w:sz w:val="24"/>
      <w:szCs w:val="24"/>
    </w:rPr>
  </w:style>
  <w:style w:type="character" w:customStyle="1" w:styleId="167">
    <w:name w:val="文本正文 Char Char"/>
    <w:autoRedefine/>
    <w:qFormat/>
    <w:locked/>
    <w:uiPriority w:val="0"/>
    <w:rPr>
      <w:sz w:val="24"/>
      <w:lang w:bidi="ar-SA"/>
    </w:rPr>
  </w:style>
  <w:style w:type="character" w:customStyle="1" w:styleId="168">
    <w:name w:val="样式7 Char"/>
    <w:autoRedefine/>
    <w:qFormat/>
    <w:uiPriority w:val="0"/>
    <w:rPr>
      <w:rFonts w:ascii="仿宋_GB2312" w:hAnsi="仿宋" w:eastAsia="仿宋_GB2312"/>
      <w:b/>
      <w:kern w:val="2"/>
      <w:sz w:val="24"/>
      <w:szCs w:val="24"/>
    </w:rPr>
  </w:style>
  <w:style w:type="character" w:customStyle="1" w:styleId="169">
    <w:name w:val="样式3 Char"/>
    <w:basedOn w:val="170"/>
    <w:autoRedefine/>
    <w:qFormat/>
    <w:uiPriority w:val="0"/>
    <w:rPr>
      <w:rFonts w:ascii="仿宋_GB2312" w:hAnsi="仿宋" w:eastAsia="仿宋_GB2312" w:cs="仿宋_GB2312"/>
      <w:sz w:val="32"/>
      <w:szCs w:val="30"/>
      <w:lang w:val="zh-CN"/>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72">
    <w:name w:val="Table Text Char1"/>
    <w:autoRedefine/>
    <w:qFormat/>
    <w:uiPriority w:val="0"/>
    <w:rPr>
      <w:rFonts w:eastAsia="宋体"/>
      <w:sz w:val="24"/>
      <w:szCs w:val="24"/>
      <w:lang w:val="en-US" w:eastAsia="zh-CN" w:bidi="ar-SA"/>
    </w:rPr>
  </w:style>
  <w:style w:type="character" w:customStyle="1" w:styleId="173">
    <w:name w:val="shadow11"/>
    <w:autoRedefine/>
    <w:qFormat/>
    <w:uiPriority w:val="0"/>
    <w:rPr>
      <w:color w:val="000000"/>
      <w:sz w:val="21"/>
    </w:rPr>
  </w:style>
  <w:style w:type="character" w:customStyle="1" w:styleId="174">
    <w:name w:val="HTML 地址 Char"/>
    <w:link w:val="28"/>
    <w:autoRedefine/>
    <w:qFormat/>
    <w:uiPriority w:val="0"/>
    <w:rPr>
      <w:rFonts w:ascii="宋体" w:hAnsi="宋体"/>
      <w:i/>
      <w:iCs/>
      <w:sz w:val="24"/>
      <w:szCs w:val="24"/>
    </w:rPr>
  </w:style>
  <w:style w:type="character" w:customStyle="1" w:styleId="175">
    <w:name w:val="Char Char21"/>
    <w:autoRedefine/>
    <w:qFormat/>
    <w:uiPriority w:val="0"/>
    <w:rPr>
      <w:rFonts w:eastAsia="宋体"/>
      <w:b/>
      <w:bCs/>
      <w:kern w:val="2"/>
      <w:sz w:val="21"/>
      <w:szCs w:val="24"/>
      <w:lang w:val="en-US" w:eastAsia="zh-CN" w:bidi="ar-SA"/>
    </w:rPr>
  </w:style>
  <w:style w:type="character" w:customStyle="1" w:styleId="176">
    <w:name w:val="标题 5 Char"/>
    <w:link w:val="6"/>
    <w:autoRedefine/>
    <w:qFormat/>
    <w:uiPriority w:val="0"/>
    <w:rPr>
      <w:b/>
      <w:bCs/>
      <w:kern w:val="2"/>
      <w:sz w:val="28"/>
      <w:szCs w:val="28"/>
    </w:rPr>
  </w:style>
  <w:style w:type="character" w:customStyle="1" w:styleId="177">
    <w:name w:val="h3 Char1"/>
    <w:autoRedefine/>
    <w:qFormat/>
    <w:uiPriority w:val="0"/>
    <w:rPr>
      <w:rFonts w:eastAsia="宋体"/>
      <w:b/>
      <w:bCs/>
      <w:kern w:val="2"/>
      <w:sz w:val="32"/>
      <w:szCs w:val="32"/>
      <w:lang w:bidi="ar-SA"/>
    </w:rPr>
  </w:style>
  <w:style w:type="character" w:customStyle="1" w:styleId="178">
    <w:name w:val="FA正文 Char Char"/>
    <w:autoRedefine/>
    <w:qFormat/>
    <w:uiPriority w:val="0"/>
    <w:rPr>
      <w:rFonts w:hAnsi="宋体"/>
      <w:kern w:val="2"/>
      <w:sz w:val="24"/>
      <w:lang w:bidi="ar-SA"/>
    </w:rPr>
  </w:style>
  <w:style w:type="character" w:customStyle="1" w:styleId="179">
    <w:name w:val="首行缩进 Char"/>
    <w:autoRedefine/>
    <w:qFormat/>
    <w:uiPriority w:val="0"/>
    <w:rPr>
      <w:rFonts w:ascii="宋体" w:eastAsia="宋体"/>
      <w:kern w:val="2"/>
      <w:sz w:val="24"/>
      <w:lang w:val="en-US" w:eastAsia="zh-CN" w:bidi="ar-SA"/>
    </w:rPr>
  </w:style>
  <w:style w:type="character" w:customStyle="1" w:styleId="180">
    <w:name w:val="Char Char7"/>
    <w:autoRedefine/>
    <w:semiHidden/>
    <w:qFormat/>
    <w:uiPriority w:val="0"/>
    <w:rPr>
      <w:rFonts w:eastAsia="宋体"/>
      <w:kern w:val="2"/>
      <w:sz w:val="21"/>
      <w:szCs w:val="24"/>
      <w:lang w:val="en-US" w:eastAsia="zh-CN" w:bidi="ar-SA"/>
    </w:rPr>
  </w:style>
  <w:style w:type="character" w:customStyle="1" w:styleId="181">
    <w:name w:val="hui"/>
    <w:basedOn w:val="63"/>
    <w:autoRedefine/>
    <w:qFormat/>
    <w:uiPriority w:val="0"/>
    <w:rPr>
      <w:rFonts w:ascii="Arial" w:hAnsi="Arial" w:eastAsia="黑体" w:cs="Arial"/>
      <w:snapToGrid w:val="0"/>
      <w:kern w:val="0"/>
      <w:szCs w:val="21"/>
    </w:rPr>
  </w:style>
  <w:style w:type="character" w:customStyle="1" w:styleId="182">
    <w:name w:val="正文缩进 Char"/>
    <w:autoRedefine/>
    <w:qFormat/>
    <w:uiPriority w:val="0"/>
    <w:rPr>
      <w:rFonts w:eastAsia="宋体"/>
      <w:kern w:val="2"/>
      <w:sz w:val="21"/>
      <w:lang w:val="en-US" w:eastAsia="zh-CN"/>
    </w:rPr>
  </w:style>
  <w:style w:type="character" w:customStyle="1" w:styleId="183">
    <w:name w:val="正文1 Char"/>
    <w:autoRedefine/>
    <w:qFormat/>
    <w:uiPriority w:val="0"/>
    <w:rPr>
      <w:rFonts w:ascii="宋体" w:eastAsia="宋体"/>
      <w:snapToGrid w:val="0"/>
      <w:color w:val="000000"/>
      <w:kern w:val="28"/>
      <w:sz w:val="28"/>
      <w:lang w:val="en-US" w:eastAsia="zh-CN" w:bidi="ar-SA"/>
    </w:rPr>
  </w:style>
  <w:style w:type="character" w:customStyle="1" w:styleId="184">
    <w:name w:val="Char Char61"/>
    <w:autoRedefine/>
    <w:qFormat/>
    <w:uiPriority w:val="0"/>
    <w:rPr>
      <w:rFonts w:eastAsia="宋体"/>
      <w:kern w:val="2"/>
      <w:sz w:val="21"/>
      <w:szCs w:val="24"/>
      <w:lang w:val="en-US" w:eastAsia="zh-CN" w:bidi="ar-SA"/>
    </w:rPr>
  </w:style>
  <w:style w:type="character" w:customStyle="1" w:styleId="185">
    <w:name w:val="正文文本 3 Char"/>
    <w:link w:val="21"/>
    <w:autoRedefine/>
    <w:qFormat/>
    <w:uiPriority w:val="0"/>
    <w:rPr>
      <w:kern w:val="2"/>
      <w:sz w:val="21"/>
    </w:rPr>
  </w:style>
  <w:style w:type="character" w:customStyle="1" w:styleId="186">
    <w:name w:val="message1"/>
    <w:autoRedefine/>
    <w:qFormat/>
    <w:uiPriority w:val="0"/>
    <w:rPr>
      <w:rFonts w:hint="default" w:ascii="Tahoma" w:hAnsi="Tahoma" w:cs="Tahoma"/>
      <w:sz w:val="18"/>
      <w:szCs w:val="18"/>
    </w:rPr>
  </w:style>
  <w:style w:type="character" w:customStyle="1" w:styleId="187">
    <w:name w:val="Heading 2 Hidden Char"/>
    <w:autoRedefine/>
    <w:qFormat/>
    <w:uiPriority w:val="0"/>
    <w:rPr>
      <w:rFonts w:ascii="仿宋_GB2312" w:eastAsia="仿宋_GB2312"/>
      <w:b/>
      <w:bCs/>
      <w:kern w:val="2"/>
      <w:sz w:val="24"/>
      <w:szCs w:val="24"/>
      <w:lang w:val="zh-CN" w:eastAsia="zh-CN" w:bidi="ar-SA"/>
    </w:rPr>
  </w:style>
  <w:style w:type="character" w:customStyle="1" w:styleId="188">
    <w:name w:val="DO_NOT_TRANSLATE"/>
    <w:autoRedefine/>
    <w:qFormat/>
    <w:uiPriority w:val="0"/>
    <w:rPr>
      <w:rFonts w:ascii="Courier New" w:hAnsi="Courier New" w:cs="Courier New"/>
      <w:color w:val="800000"/>
      <w:lang w:val="en-US" w:eastAsia="zh-CN"/>
    </w:rPr>
  </w:style>
  <w:style w:type="character" w:customStyle="1" w:styleId="189">
    <w:name w:val="unnamed11"/>
    <w:autoRedefine/>
    <w:qFormat/>
    <w:uiPriority w:val="0"/>
    <w:rPr>
      <w:sz w:val="20"/>
      <w:szCs w:val="20"/>
    </w:rPr>
  </w:style>
  <w:style w:type="character" w:customStyle="1" w:styleId="190">
    <w:name w:val="tw4winInternal"/>
    <w:autoRedefine/>
    <w:qFormat/>
    <w:uiPriority w:val="0"/>
    <w:rPr>
      <w:rFonts w:ascii="Courier New" w:hAnsi="Courier New" w:cs="Courier New"/>
      <w:color w:val="FF0000"/>
      <w:lang w:val="en-US" w:eastAsia="zh-CN"/>
    </w:rPr>
  </w:style>
  <w:style w:type="character" w:customStyle="1" w:styleId="191">
    <w:name w:val="正文（缩进2汉字） Char"/>
    <w:link w:val="192"/>
    <w:autoRedefine/>
    <w:qFormat/>
    <w:uiPriority w:val="0"/>
    <w:rPr>
      <w:rFonts w:ascii="宋体"/>
    </w:rPr>
  </w:style>
  <w:style w:type="paragraph" w:customStyle="1" w:styleId="192">
    <w:name w:val="正文（缩进2汉字）"/>
    <w:basedOn w:val="1"/>
    <w:link w:val="19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3">
    <w:name w:val="页脚 Char"/>
    <w:autoRedefine/>
    <w:qFormat/>
    <w:uiPriority w:val="99"/>
    <w:rPr>
      <w:rFonts w:eastAsia="仿宋_GB2312"/>
      <w:kern w:val="2"/>
      <w:sz w:val="18"/>
      <w:lang w:val="en-US" w:eastAsia="zh-CN"/>
    </w:rPr>
  </w:style>
  <w:style w:type="character" w:customStyle="1" w:styleId="194">
    <w:name w:val="正文文本缩进 3 Char"/>
    <w:link w:val="51"/>
    <w:autoRedefine/>
    <w:qFormat/>
    <w:uiPriority w:val="0"/>
    <w:rPr>
      <w:kern w:val="2"/>
      <w:sz w:val="24"/>
    </w:rPr>
  </w:style>
  <w:style w:type="character" w:customStyle="1" w:styleId="195">
    <w:name w:val="正文缩进 Char1"/>
    <w:autoRedefine/>
    <w:qFormat/>
    <w:uiPriority w:val="0"/>
    <w:rPr>
      <w:rFonts w:ascii="宋体" w:eastAsia="宋体"/>
      <w:snapToGrid w:val="0"/>
      <w:color w:val="000000"/>
      <w:kern w:val="28"/>
      <w:sz w:val="28"/>
      <w:lang w:val="en-US" w:eastAsia="zh-CN" w:bidi="ar-SA"/>
    </w:rPr>
  </w:style>
  <w:style w:type="character" w:customStyle="1" w:styleId="196">
    <w:name w:val="正文文本 Char"/>
    <w:autoRedefine/>
    <w:qFormat/>
    <w:uiPriority w:val="0"/>
    <w:rPr>
      <w:rFonts w:eastAsia="宋体"/>
      <w:kern w:val="2"/>
      <w:sz w:val="24"/>
      <w:szCs w:val="24"/>
      <w:lang w:val="en-US" w:eastAsia="zh-CN" w:bidi="ar-SA"/>
    </w:rPr>
  </w:style>
  <w:style w:type="character" w:customStyle="1" w:styleId="197">
    <w:name w:val="style36"/>
    <w:basedOn w:val="63"/>
    <w:autoRedefine/>
    <w:qFormat/>
    <w:uiPriority w:val="0"/>
    <w:rPr>
      <w:rFonts w:ascii="Arial" w:hAnsi="Arial" w:eastAsia="黑体" w:cs="Arial"/>
      <w:snapToGrid w:val="0"/>
      <w:kern w:val="0"/>
      <w:szCs w:val="21"/>
    </w:rPr>
  </w:style>
  <w:style w:type="character" w:customStyle="1" w:styleId="198">
    <w:name w:val="hui3"/>
    <w:autoRedefine/>
    <w:qFormat/>
    <w:uiPriority w:val="0"/>
    <w:rPr>
      <w:color w:val="333333"/>
    </w:rPr>
  </w:style>
  <w:style w:type="character" w:customStyle="1" w:styleId="199">
    <w:name w:val="方案正文 Char"/>
    <w:autoRedefine/>
    <w:qFormat/>
    <w:uiPriority w:val="0"/>
    <w:rPr>
      <w:rFonts w:ascii="仿宋_GB2312" w:eastAsia="仿宋_GB2312"/>
      <w:b/>
      <w:color w:val="000000"/>
      <w:kern w:val="2"/>
      <w:sz w:val="24"/>
      <w:lang w:val="en-US" w:eastAsia="zh-CN" w:bidi="ar-SA"/>
    </w:rPr>
  </w:style>
  <w:style w:type="character" w:customStyle="1" w:styleId="200">
    <w:name w:val="apple-converted-space"/>
    <w:autoRedefine/>
    <w:qFormat/>
    <w:uiPriority w:val="0"/>
  </w:style>
  <w:style w:type="character" w:customStyle="1" w:styleId="201">
    <w:name w:val="文档结构图 Char"/>
    <w:autoRedefine/>
    <w:qFormat/>
    <w:uiPriority w:val="0"/>
    <w:rPr>
      <w:rFonts w:eastAsia="宋体"/>
      <w:kern w:val="2"/>
      <w:sz w:val="21"/>
      <w:szCs w:val="24"/>
      <w:lang w:val="en-US" w:eastAsia="zh-CN" w:bidi="ar-SA"/>
    </w:rPr>
  </w:style>
  <w:style w:type="character" w:customStyle="1" w:styleId="202">
    <w:name w:val="正文非缩进 Char3"/>
    <w:autoRedefine/>
    <w:qFormat/>
    <w:uiPriority w:val="0"/>
    <w:rPr>
      <w:rFonts w:ascii="宋体" w:eastAsia="宋体"/>
      <w:snapToGrid w:val="0"/>
      <w:color w:val="000000"/>
      <w:kern w:val="28"/>
      <w:sz w:val="28"/>
      <w:lang w:val="en-US" w:eastAsia="zh-CN" w:bidi="ar-SA"/>
    </w:rPr>
  </w:style>
  <w:style w:type="character" w:customStyle="1" w:styleId="203">
    <w:name w:val="dectext1"/>
    <w:autoRedefine/>
    <w:qFormat/>
    <w:uiPriority w:val="0"/>
    <w:rPr>
      <w:rFonts w:ascii="宋体" w:hAnsi="宋体" w:eastAsia="宋体"/>
      <w:color w:val="333333"/>
      <w:sz w:val="21"/>
      <w:szCs w:val="21"/>
      <w:u w:val="none"/>
    </w:rPr>
  </w:style>
  <w:style w:type="character" w:customStyle="1" w:styleId="204">
    <w:name w:val="t21"/>
    <w:autoRedefine/>
    <w:qFormat/>
    <w:uiPriority w:val="0"/>
    <w:rPr>
      <w:rFonts w:ascii="仿宋_GB2312" w:eastAsia="微软雅黑"/>
      <w:b/>
      <w:kern w:val="2"/>
      <w:sz w:val="23"/>
      <w:szCs w:val="23"/>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px14"/>
    <w:autoRedefine/>
    <w:qFormat/>
    <w:uiPriority w:val="0"/>
    <w:rPr>
      <w:rFonts w:ascii="仿宋_GB2312" w:eastAsia="微软雅黑" w:cs="Times New Roman"/>
      <w:b/>
      <w:kern w:val="2"/>
      <w:sz w:val="32"/>
      <w:szCs w:val="32"/>
      <w:lang w:val="en-US" w:eastAsia="zh-CN" w:bidi="ar-SA"/>
    </w:rPr>
  </w:style>
  <w:style w:type="character" w:customStyle="1" w:styleId="207">
    <w:name w:val="标题 7 Char"/>
    <w:link w:val="8"/>
    <w:autoRedefine/>
    <w:qFormat/>
    <w:uiPriority w:val="0"/>
    <w:rPr>
      <w:b/>
      <w:bCs/>
      <w:kern w:val="2"/>
      <w:sz w:val="24"/>
      <w:szCs w:val="24"/>
    </w:rPr>
  </w:style>
  <w:style w:type="character" w:customStyle="1" w:styleId="208">
    <w:name w:val="Normal Indent Char Char"/>
    <w:autoRedefine/>
    <w:qFormat/>
    <w:uiPriority w:val="0"/>
    <w:rPr>
      <w:rFonts w:eastAsia="宋体"/>
      <w:kern w:val="2"/>
      <w:sz w:val="21"/>
      <w:lang w:val="en-US" w:eastAsia="zh-CN" w:bidi="ar-SA"/>
    </w:rPr>
  </w:style>
  <w:style w:type="character" w:customStyle="1" w:styleId="209">
    <w:name w:val="f141"/>
    <w:autoRedefine/>
    <w:qFormat/>
    <w:uiPriority w:val="0"/>
    <w:rPr>
      <w:rFonts w:ascii="Tahoma" w:hAnsi="Tahoma" w:eastAsia="宋体"/>
      <w:b/>
      <w:kern w:val="2"/>
      <w:sz w:val="21"/>
      <w:szCs w:val="21"/>
      <w:lang w:val="en-US" w:eastAsia="zh-CN" w:bidi="ar-SA"/>
    </w:rPr>
  </w:style>
  <w:style w:type="character" w:customStyle="1" w:styleId="210">
    <w:name w:val="日期 Char"/>
    <w:link w:val="34"/>
    <w:qFormat/>
    <w:uiPriority w:val="0"/>
    <w:rPr>
      <w:rFonts w:ascii="宋体"/>
      <w:kern w:val="2"/>
      <w:sz w:val="24"/>
      <w:szCs w:val="21"/>
      <w:lang w:val="zh-CN"/>
    </w:rPr>
  </w:style>
  <w:style w:type="character" w:customStyle="1" w:styleId="211">
    <w:name w:val="myp1111"/>
    <w:autoRedefine/>
    <w:qFormat/>
    <w:uiPriority w:val="0"/>
    <w:rPr>
      <w:rFonts w:hint="default" w:ascii="ˎ̥" w:hAnsi="ˎ̥"/>
      <w:color w:val="000000"/>
      <w:sz w:val="20"/>
      <w:szCs w:val="20"/>
      <w:u w:val="none"/>
    </w:rPr>
  </w:style>
  <w:style w:type="character" w:customStyle="1" w:styleId="212">
    <w:name w:val="称呼 Char"/>
    <w:link w:val="20"/>
    <w:qFormat/>
    <w:uiPriority w:val="0"/>
    <w:rPr>
      <w:rFonts w:ascii="仿宋_GB2312" w:eastAsia="仿宋_GB2312"/>
      <w:kern w:val="2"/>
      <w:sz w:val="28"/>
    </w:rPr>
  </w:style>
  <w:style w:type="character" w:customStyle="1" w:styleId="213">
    <w:name w:val="标题 4 Char"/>
    <w:link w:val="5"/>
    <w:autoRedefine/>
    <w:qFormat/>
    <w:uiPriority w:val="0"/>
    <w:rPr>
      <w:rFonts w:ascii="Arial" w:hAnsi="Arial" w:eastAsia="黑体"/>
      <w:b/>
      <w:bCs/>
      <w:kern w:val="2"/>
      <w:sz w:val="28"/>
      <w:szCs w:val="28"/>
      <w:lang w:val="zh-CN"/>
    </w:rPr>
  </w:style>
  <w:style w:type="character" w:customStyle="1" w:styleId="214">
    <w:name w:val="标书1 Char"/>
    <w:autoRedefine/>
    <w:qFormat/>
    <w:uiPriority w:val="0"/>
    <w:rPr>
      <w:rFonts w:eastAsia="宋体"/>
      <w:b/>
      <w:bCs/>
      <w:kern w:val="44"/>
      <w:sz w:val="44"/>
      <w:szCs w:val="44"/>
      <w:lang w:val="en-US" w:eastAsia="zh-CN" w:bidi="ar-SA"/>
    </w:rPr>
  </w:style>
  <w:style w:type="character" w:customStyle="1" w:styleId="215">
    <w:name w:val="链接"/>
    <w:qFormat/>
    <w:uiPriority w:val="0"/>
    <w:rPr>
      <w:color w:val="0000FF"/>
      <w:sz w:val="21"/>
      <w:szCs w:val="21"/>
      <w:u w:val="single"/>
    </w:rPr>
  </w:style>
  <w:style w:type="character" w:customStyle="1" w:styleId="216">
    <w:name w:val="正文首行缩进 Char Char Char Char Char Char"/>
    <w:autoRedefine/>
    <w:qFormat/>
    <w:uiPriority w:val="0"/>
    <w:rPr>
      <w:rFonts w:ascii="宋体" w:eastAsia="宋体"/>
      <w:kern w:val="2"/>
      <w:sz w:val="24"/>
      <w:lang w:val="zh-CN" w:bidi="ar-SA"/>
    </w:rPr>
  </w:style>
  <w:style w:type="character" w:customStyle="1" w:styleId="217">
    <w:name w:val="正文2 Char Char"/>
    <w:link w:val="218"/>
    <w:autoRedefine/>
    <w:qFormat/>
    <w:uiPriority w:val="0"/>
    <w:rPr>
      <w:rFonts w:eastAsia="宋体"/>
      <w:kern w:val="2"/>
      <w:sz w:val="24"/>
      <w:lang w:val="en-US" w:eastAsia="zh-CN" w:bidi="ar-SA"/>
    </w:rPr>
  </w:style>
  <w:style w:type="paragraph" w:customStyle="1" w:styleId="218">
    <w:name w:val="正文2"/>
    <w:basedOn w:val="1"/>
    <w:link w:val="217"/>
    <w:qFormat/>
    <w:uiPriority w:val="0"/>
    <w:pPr>
      <w:spacing w:before="156" w:line="360" w:lineRule="auto"/>
      <w:ind w:firstLine="510" w:firstLineChars="200"/>
    </w:pPr>
    <w:rPr>
      <w:sz w:val="24"/>
      <w:szCs w:val="20"/>
    </w:rPr>
  </w:style>
  <w:style w:type="character" w:customStyle="1" w:styleId="219">
    <w:name w:val="tw4winError"/>
    <w:autoRedefine/>
    <w:qFormat/>
    <w:uiPriority w:val="0"/>
    <w:rPr>
      <w:rFonts w:ascii="Courier New" w:hAnsi="Courier New" w:cs="Courier New"/>
      <w:color w:val="00FF00"/>
      <w:sz w:val="40"/>
      <w:szCs w:val="40"/>
    </w:rPr>
  </w:style>
  <w:style w:type="character" w:customStyle="1" w:styleId="220">
    <w:name w:val="正文1 Char1"/>
    <w:autoRedefine/>
    <w:qFormat/>
    <w:uiPriority w:val="0"/>
    <w:rPr>
      <w:rFonts w:ascii="仿宋_GB2312" w:hAnsi="Courier New" w:eastAsia="仿宋_GB2312"/>
      <w:kern w:val="28"/>
      <w:sz w:val="24"/>
      <w:szCs w:val="24"/>
      <w:lang w:val="en-US" w:eastAsia="zh-CN"/>
    </w:rPr>
  </w:style>
  <w:style w:type="character" w:customStyle="1" w:styleId="221">
    <w:name w:val="Used by Word for text of Help footnotes Char Char"/>
    <w:semiHidden/>
    <w:qFormat/>
    <w:uiPriority w:val="0"/>
    <w:rPr>
      <w:rFonts w:ascii="Times New Roman" w:hAnsi="Times New Roman" w:eastAsia="宋体" w:cs="Times New Roman"/>
      <w:sz w:val="20"/>
      <w:szCs w:val="20"/>
    </w:rPr>
  </w:style>
  <w:style w:type="character" w:customStyle="1" w:styleId="222">
    <w:name w:val="c7 style3"/>
    <w:autoRedefine/>
    <w:qFormat/>
    <w:uiPriority w:val="0"/>
  </w:style>
  <w:style w:type="character" w:customStyle="1" w:styleId="223">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22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5">
    <w:name w:val="表正文 Char"/>
    <w:qFormat/>
    <w:uiPriority w:val="0"/>
    <w:rPr>
      <w:rFonts w:ascii="宋体" w:eastAsia="宋体"/>
      <w:snapToGrid w:val="0"/>
      <w:color w:val="000000"/>
      <w:kern w:val="28"/>
      <w:sz w:val="28"/>
      <w:lang w:val="en-US" w:eastAsia="zh-CN" w:bidi="ar-SA"/>
    </w:rPr>
  </w:style>
  <w:style w:type="character" w:customStyle="1" w:styleId="226">
    <w:name w:val="普通文字 Char1 Char"/>
    <w:autoRedefine/>
    <w:qFormat/>
    <w:uiPriority w:val="0"/>
    <w:rPr>
      <w:rFonts w:ascii="宋体" w:hAnsi="Courier New" w:eastAsia="宋体"/>
      <w:kern w:val="2"/>
      <w:sz w:val="21"/>
      <w:szCs w:val="24"/>
      <w:lang w:val="en-US" w:eastAsia="zh-CN" w:bidi="ar-SA"/>
    </w:rPr>
  </w:style>
  <w:style w:type="character" w:customStyle="1" w:styleId="227">
    <w:name w:val="pt9"/>
    <w:qFormat/>
    <w:uiPriority w:val="0"/>
    <w:rPr>
      <w:rFonts w:ascii="仿宋_GB2312" w:eastAsia="微软雅黑"/>
      <w:b/>
      <w:kern w:val="2"/>
      <w:sz w:val="32"/>
      <w:szCs w:val="32"/>
      <w:lang w:val="en-US" w:eastAsia="zh-CN" w:bidi="ar-SA"/>
    </w:rPr>
  </w:style>
  <w:style w:type="character" w:customStyle="1" w:styleId="228">
    <w:name w:val="表正文 Char1"/>
    <w:qFormat/>
    <w:uiPriority w:val="0"/>
    <w:rPr>
      <w:rFonts w:ascii="宋体" w:eastAsia="宋体"/>
      <w:snapToGrid w:val="0"/>
      <w:color w:val="000000"/>
      <w:kern w:val="28"/>
      <w:sz w:val="28"/>
    </w:rPr>
  </w:style>
  <w:style w:type="character" w:customStyle="1" w:styleId="229">
    <w:name w:val="正文非缩进 Char"/>
    <w:qFormat/>
    <w:uiPriority w:val="0"/>
    <w:rPr>
      <w:rFonts w:ascii="宋体" w:eastAsia="宋体"/>
      <w:snapToGrid w:val="0"/>
      <w:color w:val="000000"/>
      <w:kern w:val="28"/>
      <w:sz w:val="28"/>
      <w:lang w:val="en-US" w:eastAsia="zh-CN" w:bidi="ar-SA"/>
    </w:rPr>
  </w:style>
  <w:style w:type="character" w:customStyle="1" w:styleId="230">
    <w:name w:val="冯广丽 Char"/>
    <w:link w:val="231"/>
    <w:autoRedefine/>
    <w:qFormat/>
    <w:uiPriority w:val="0"/>
    <w:rPr>
      <w:rFonts w:ascii="宋体" w:hAnsi="宋体"/>
      <w:kern w:val="2"/>
      <w:sz w:val="24"/>
      <w:szCs w:val="22"/>
    </w:rPr>
  </w:style>
  <w:style w:type="paragraph" w:customStyle="1" w:styleId="231">
    <w:name w:val="冯广丽"/>
    <w:basedOn w:val="1"/>
    <w:link w:val="230"/>
    <w:autoRedefine/>
    <w:qFormat/>
    <w:uiPriority w:val="0"/>
    <w:pPr>
      <w:adjustRightInd/>
      <w:spacing w:line="360" w:lineRule="auto"/>
      <w:ind w:firstLine="480" w:firstLineChars="200"/>
    </w:pPr>
    <w:rPr>
      <w:rFonts w:ascii="宋体" w:hAnsi="宋体"/>
      <w:sz w:val="24"/>
      <w:szCs w:val="22"/>
    </w:rPr>
  </w:style>
  <w:style w:type="character" w:customStyle="1" w:styleId="232">
    <w:name w:val="large1"/>
    <w:autoRedefine/>
    <w:qFormat/>
    <w:uiPriority w:val="0"/>
    <w:rPr>
      <w:rFonts w:hint="eastAsia" w:ascii="宋体" w:hAnsi="宋体" w:eastAsia="宋体"/>
      <w:sz w:val="21"/>
      <w:szCs w:val="21"/>
    </w:rPr>
  </w:style>
  <w:style w:type="character" w:customStyle="1" w:styleId="233">
    <w:name w:val="样式 样式 标题 4h4H4Fab-4T5Ref Heading 1rh1Heading sqlsect 1.2.3.... +... Char"/>
    <w:link w:val="234"/>
    <w:qFormat/>
    <w:uiPriority w:val="0"/>
    <w:rPr>
      <w:rFonts w:ascii="微软雅黑" w:hAnsi="微软雅黑" w:eastAsia="微软雅黑"/>
      <w:b/>
      <w:bCs/>
      <w:kern w:val="2"/>
      <w:sz w:val="24"/>
      <w:szCs w:val="28"/>
    </w:rPr>
  </w:style>
  <w:style w:type="paragraph" w:customStyle="1" w:styleId="234">
    <w:name w:val="样式 样式 标题 4h4H4Fab-4T5Ref Heading 1rh1Heading sqlsect 1.2.3.... +..."/>
    <w:basedOn w:val="159"/>
    <w:link w:val="233"/>
    <w:autoRedefine/>
    <w:qFormat/>
    <w:uiPriority w:val="0"/>
  </w:style>
  <w:style w:type="character" w:customStyle="1" w:styleId="235">
    <w:name w:val="标题 1 Char Char"/>
    <w:autoRedefine/>
    <w:qFormat/>
    <w:uiPriority w:val="0"/>
    <w:rPr>
      <w:rFonts w:hint="eastAsia" w:ascii="宋体" w:hAnsi="宋体" w:eastAsia="宋体"/>
      <w:b/>
      <w:spacing w:val="-2"/>
      <w:sz w:val="24"/>
      <w:lang w:val="en-US" w:eastAsia="zh-CN" w:bidi="ar-SA"/>
    </w:rPr>
  </w:style>
  <w:style w:type="character" w:customStyle="1" w:styleId="236">
    <w:name w:val="标题 4 Char1"/>
    <w:autoRedefine/>
    <w:semiHidden/>
    <w:qFormat/>
    <w:uiPriority w:val="9"/>
    <w:rPr>
      <w:rFonts w:ascii="Cambria" w:hAnsi="Cambria" w:eastAsia="宋体" w:cs="Times New Roman"/>
      <w:b/>
      <w:bCs/>
      <w:kern w:val="2"/>
      <w:sz w:val="28"/>
      <w:szCs w:val="28"/>
    </w:rPr>
  </w:style>
  <w:style w:type="character" w:customStyle="1" w:styleId="237">
    <w:name w:val="脚注文本 Char"/>
    <w:link w:val="48"/>
    <w:autoRedefine/>
    <w:qFormat/>
    <w:uiPriority w:val="0"/>
    <w:rPr>
      <w:color w:val="0000FF"/>
      <w:sz w:val="21"/>
    </w:rPr>
  </w:style>
  <w:style w:type="character" w:customStyle="1" w:styleId="238">
    <w:name w:val="zbggmain style9"/>
    <w:autoRedefine/>
    <w:qFormat/>
    <w:uiPriority w:val="0"/>
  </w:style>
  <w:style w:type="character" w:customStyle="1" w:styleId="239">
    <w:name w:val="tw4winMark"/>
    <w:autoRedefine/>
    <w:qFormat/>
    <w:uiPriority w:val="0"/>
    <w:rPr>
      <w:rFonts w:ascii="Courier New" w:hAnsi="Courier New" w:cs="Courier New"/>
      <w:vanish/>
      <w:color w:val="800080"/>
      <w:sz w:val="24"/>
      <w:szCs w:val="24"/>
      <w:vertAlign w:val="subscript"/>
    </w:rPr>
  </w:style>
  <w:style w:type="character" w:customStyle="1" w:styleId="240">
    <w:name w:val="tw4winPopup"/>
    <w:autoRedefine/>
    <w:qFormat/>
    <w:uiPriority w:val="0"/>
    <w:rPr>
      <w:rFonts w:ascii="Courier New" w:hAnsi="Courier New" w:cs="Courier New"/>
      <w:color w:val="008000"/>
      <w:lang w:val="en-US" w:eastAsia="zh-CN"/>
    </w:rPr>
  </w:style>
  <w:style w:type="character" w:customStyle="1" w:styleId="241">
    <w:name w:val="标题 6 Char"/>
    <w:link w:val="7"/>
    <w:autoRedefine/>
    <w:qFormat/>
    <w:uiPriority w:val="0"/>
    <w:rPr>
      <w:rFonts w:ascii="Arial" w:hAnsi="Arial" w:eastAsia="黑体"/>
      <w:b/>
      <w:bCs/>
      <w:kern w:val="2"/>
      <w:sz w:val="24"/>
      <w:szCs w:val="24"/>
    </w:rPr>
  </w:style>
  <w:style w:type="character" w:customStyle="1" w:styleId="242">
    <w:name w:val="样式 宋体"/>
    <w:autoRedefine/>
    <w:qFormat/>
    <w:uiPriority w:val="0"/>
    <w:rPr>
      <w:rFonts w:ascii="宋体" w:hAnsi="宋体"/>
      <w:sz w:val="24"/>
    </w:rPr>
  </w:style>
  <w:style w:type="character" w:customStyle="1" w:styleId="243">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244">
    <w:name w:val="标题 Char"/>
    <w:autoRedefine/>
    <w:qFormat/>
    <w:uiPriority w:val="0"/>
    <w:rPr>
      <w:rFonts w:eastAsia="宋体"/>
      <w:b/>
      <w:sz w:val="24"/>
      <w:lang w:val="en-GB" w:eastAsia="zh-CN" w:bidi="ar-SA"/>
    </w:rPr>
  </w:style>
  <w:style w:type="character" w:customStyle="1" w:styleId="245">
    <w:name w:val="正文首行缩进 2 Char"/>
    <w:link w:val="60"/>
    <w:autoRedefine/>
    <w:qFormat/>
    <w:uiPriority w:val="0"/>
    <w:rPr>
      <w:rFonts w:ascii="宋体" w:hAnsi="宋体"/>
      <w:kern w:val="2"/>
      <w:sz w:val="21"/>
      <w:szCs w:val="24"/>
    </w:rPr>
  </w:style>
  <w:style w:type="character" w:customStyle="1" w:styleId="246">
    <w:name w:val="正文 编号 Char"/>
    <w:autoRedefine/>
    <w:qFormat/>
    <w:uiPriority w:val="0"/>
    <w:rPr>
      <w:rFonts w:ascii="仿宋_GB2312" w:hAnsi="仿宋_GB2312" w:eastAsia="仿宋_GB2312"/>
      <w:kern w:val="2"/>
      <w:sz w:val="24"/>
      <w:lang w:bidi="ar-SA"/>
    </w:rPr>
  </w:style>
  <w:style w:type="character" w:customStyle="1" w:styleId="247">
    <w:name w:val="批注文字 Char1"/>
    <w:link w:val="19"/>
    <w:autoRedefine/>
    <w:qFormat/>
    <w:uiPriority w:val="0"/>
    <w:rPr>
      <w:kern w:val="2"/>
      <w:sz w:val="21"/>
      <w:szCs w:val="24"/>
    </w:rPr>
  </w:style>
  <w:style w:type="character" w:customStyle="1" w:styleId="248">
    <w:name w:val="批注框文本 Char"/>
    <w:link w:val="36"/>
    <w:autoRedefine/>
    <w:semiHidden/>
    <w:qFormat/>
    <w:uiPriority w:val="0"/>
    <w:rPr>
      <w:kern w:val="2"/>
      <w:sz w:val="18"/>
      <w:szCs w:val="18"/>
    </w:rPr>
  </w:style>
  <w:style w:type="character" w:customStyle="1" w:styleId="249">
    <w:name w:val="公文正文 Char"/>
    <w:autoRedefine/>
    <w:qFormat/>
    <w:uiPriority w:val="0"/>
    <w:rPr>
      <w:rFonts w:ascii="仿宋_GB2312" w:eastAsia="仿宋_GB2312"/>
      <w:kern w:val="2"/>
      <w:sz w:val="24"/>
      <w:szCs w:val="24"/>
      <w:lang w:val="en-US" w:eastAsia="zh-CN" w:bidi="ar-SA"/>
    </w:rPr>
  </w:style>
  <w:style w:type="character" w:customStyle="1" w:styleId="250">
    <w:name w:val="Footer Char"/>
    <w:autoRedefine/>
    <w:qFormat/>
    <w:locked/>
    <w:uiPriority w:val="0"/>
    <w:rPr>
      <w:rFonts w:eastAsia="宋体"/>
      <w:kern w:val="2"/>
      <w:sz w:val="18"/>
      <w:lang w:val="en-US" w:eastAsia="zh-CN" w:bidi="ar-SA"/>
    </w:rPr>
  </w:style>
  <w:style w:type="character" w:customStyle="1" w:styleId="251">
    <w:name w:val="标题 2 Char"/>
    <w:autoRedefine/>
    <w:qFormat/>
    <w:uiPriority w:val="0"/>
    <w:rPr>
      <w:rFonts w:ascii="Arial" w:hAnsi="Arial" w:eastAsia="黑体"/>
      <w:b/>
      <w:kern w:val="2"/>
      <w:sz w:val="32"/>
      <w:lang w:val="en-US" w:eastAsia="zh-CN"/>
    </w:rPr>
  </w:style>
  <w:style w:type="character" w:customStyle="1" w:styleId="252">
    <w:name w:val="Char Char41"/>
    <w:autoRedefine/>
    <w:qFormat/>
    <w:uiPriority w:val="0"/>
    <w:rPr>
      <w:rFonts w:eastAsia="宋体"/>
      <w:b/>
      <w:sz w:val="24"/>
      <w:lang w:val="en-GB" w:eastAsia="zh-CN" w:bidi="ar-SA"/>
    </w:rPr>
  </w:style>
  <w:style w:type="character" w:customStyle="1" w:styleId="253">
    <w:name w:val="Char Char91"/>
    <w:autoRedefine/>
    <w:qFormat/>
    <w:uiPriority w:val="0"/>
    <w:rPr>
      <w:rFonts w:eastAsia="宋体"/>
      <w:kern w:val="2"/>
      <w:sz w:val="18"/>
      <w:szCs w:val="18"/>
      <w:lang w:val="en-US" w:eastAsia="zh-CN" w:bidi="ar-SA"/>
    </w:rPr>
  </w:style>
  <w:style w:type="character" w:customStyle="1" w:styleId="254">
    <w:name w:val="列出段落 Char"/>
    <w:autoRedefine/>
    <w:qFormat/>
    <w:uiPriority w:val="34"/>
    <w:rPr>
      <w:rFonts w:eastAsia="楷体_GB2312" w:cs="Lucida Sans"/>
      <w:kern w:val="2"/>
      <w:sz w:val="24"/>
      <w:szCs w:val="24"/>
      <w:lang w:val="en-US" w:eastAsia="zh-CN" w:bidi="ar-SA"/>
    </w:rPr>
  </w:style>
  <w:style w:type="character" w:customStyle="1" w:styleId="255">
    <w:name w:val="gf正文1 Char"/>
    <w:autoRedefine/>
    <w:qFormat/>
    <w:uiPriority w:val="0"/>
    <w:rPr>
      <w:rFonts w:ascii="宋体" w:hAnsi="宋体" w:eastAsia="宋体" w:cs="宋体"/>
      <w:kern w:val="2"/>
      <w:sz w:val="24"/>
      <w:szCs w:val="24"/>
      <w:lang w:val="en-US" w:eastAsia="zh-CN" w:bidi="ar-SA"/>
    </w:rPr>
  </w:style>
  <w:style w:type="character" w:customStyle="1" w:styleId="256">
    <w:name w:val="标书表格字体格式 Char"/>
    <w:autoRedefine/>
    <w:qFormat/>
    <w:uiPriority w:val="0"/>
    <w:rPr>
      <w:kern w:val="2"/>
      <w:sz w:val="21"/>
      <w:szCs w:val="24"/>
      <w:lang w:bidi="ar-SA"/>
    </w:rPr>
  </w:style>
  <w:style w:type="character" w:customStyle="1" w:styleId="257">
    <w:name w:val="样式6 Char"/>
    <w:autoRedefine/>
    <w:qFormat/>
    <w:uiPriority w:val="0"/>
    <w:rPr>
      <w:rFonts w:ascii="仿宋_GB2312" w:hAnsi="宋体" w:eastAsia="仿宋_GB2312"/>
      <w:b/>
      <w:bCs/>
      <w:kern w:val="2"/>
      <w:sz w:val="24"/>
      <w:szCs w:val="24"/>
      <w:lang w:val="en-US" w:eastAsia="zh-CN" w:bidi="ar-SA"/>
    </w:rPr>
  </w:style>
  <w:style w:type="character" w:customStyle="1" w:styleId="258">
    <w:name w:val="签名 Char"/>
    <w:link w:val="40"/>
    <w:autoRedefine/>
    <w:qFormat/>
    <w:uiPriority w:val="0"/>
    <w:rPr>
      <w:rFonts w:eastAsia="仿宋_GB2312"/>
      <w:sz w:val="24"/>
    </w:rPr>
  </w:style>
  <w:style w:type="character" w:customStyle="1" w:styleId="259">
    <w:name w:val="冯 Char"/>
    <w:link w:val="260"/>
    <w:autoRedefine/>
    <w:qFormat/>
    <w:uiPriority w:val="0"/>
    <w:rPr>
      <w:rFonts w:ascii="宋体" w:hAnsi="宋体"/>
      <w:color w:val="000000"/>
      <w:sz w:val="24"/>
      <w:szCs w:val="24"/>
    </w:rPr>
  </w:style>
  <w:style w:type="paragraph" w:customStyle="1" w:styleId="260">
    <w:name w:val="冯"/>
    <w:basedOn w:val="1"/>
    <w:link w:val="25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md"/>
    <w:basedOn w:val="63"/>
    <w:autoRedefine/>
    <w:qFormat/>
    <w:uiPriority w:val="0"/>
    <w:rPr>
      <w:rFonts w:ascii="Arial" w:hAnsi="Arial" w:eastAsia="黑体" w:cs="Arial"/>
      <w:snapToGrid w:val="0"/>
      <w:kern w:val="0"/>
      <w:szCs w:val="21"/>
    </w:rPr>
  </w:style>
  <w:style w:type="character" w:customStyle="1" w:styleId="263">
    <w:name w:val="样式5 Char"/>
    <w:autoRedefine/>
    <w:qFormat/>
    <w:uiPriority w:val="0"/>
    <w:rPr>
      <w:rFonts w:ascii="仿宋_GB2312" w:hAnsi="仿宋" w:eastAsia="仿宋_GB2312"/>
      <w:kern w:val="2"/>
      <w:sz w:val="24"/>
      <w:szCs w:val="24"/>
    </w:rPr>
  </w:style>
  <w:style w:type="character" w:customStyle="1" w:styleId="264">
    <w:name w:val="表格 Char Char"/>
    <w:autoRedefine/>
    <w:qFormat/>
    <w:uiPriority w:val="0"/>
    <w:rPr>
      <w:rFonts w:ascii="宋体" w:hAnsi="宋体" w:eastAsia="宋体"/>
      <w:lang w:bidi="ar-SA"/>
    </w:rPr>
  </w:style>
  <w:style w:type="character" w:customStyle="1" w:styleId="265">
    <w:name w:val="font12gray1"/>
    <w:autoRedefine/>
    <w:qFormat/>
    <w:uiPriority w:val="0"/>
    <w:rPr>
      <w:rFonts w:ascii="仿宋_GB2312" w:eastAsia="微软雅黑"/>
      <w:b/>
      <w:spacing w:val="300"/>
      <w:kern w:val="2"/>
      <w:sz w:val="18"/>
      <w:szCs w:val="18"/>
      <w:lang w:val="en-US" w:eastAsia="zh-CN" w:bidi="ar-SA"/>
    </w:rPr>
  </w:style>
  <w:style w:type="character" w:customStyle="1" w:styleId="266">
    <w:name w:val="txt"/>
    <w:autoRedefine/>
    <w:qFormat/>
    <w:uiPriority w:val="0"/>
    <w:rPr>
      <w:rFonts w:ascii="仿宋_GB2312" w:eastAsia="微软雅黑"/>
      <w:b/>
      <w:kern w:val="2"/>
      <w:sz w:val="32"/>
      <w:szCs w:val="32"/>
      <w:lang w:val="en-US" w:eastAsia="zh-CN" w:bidi="ar-SA"/>
    </w:rPr>
  </w:style>
  <w:style w:type="character" w:customStyle="1" w:styleId="267">
    <w:name w:val="tw4winJump"/>
    <w:autoRedefine/>
    <w:qFormat/>
    <w:uiPriority w:val="0"/>
    <w:rPr>
      <w:rFonts w:ascii="Courier New" w:hAnsi="Courier New" w:cs="Courier New"/>
      <w:color w:val="008080"/>
      <w:lang w:val="en-US" w:eastAsia="zh-CN"/>
    </w:rPr>
  </w:style>
  <w:style w:type="character" w:customStyle="1" w:styleId="268">
    <w:name w:val="Item List Char"/>
    <w:link w:val="269"/>
    <w:autoRedefine/>
    <w:qFormat/>
    <w:uiPriority w:val="0"/>
    <w:rPr>
      <w:rFonts w:ascii="Arial"/>
      <w:bCs/>
      <w:sz w:val="21"/>
      <w:szCs w:val="21"/>
      <w:lang w:val="en-US" w:eastAsia="zh-CN" w:bidi="ar-SA"/>
    </w:rPr>
  </w:style>
  <w:style w:type="paragraph" w:customStyle="1" w:styleId="269">
    <w:name w:val="Item List"/>
    <w:link w:val="26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0">
    <w:name w:val="Char Char121"/>
    <w:autoRedefine/>
    <w:qFormat/>
    <w:uiPriority w:val="0"/>
    <w:rPr>
      <w:rFonts w:ascii="仿宋_GB2312" w:eastAsia="仿宋_GB2312"/>
      <w:b/>
      <w:bCs/>
      <w:kern w:val="2"/>
      <w:sz w:val="24"/>
      <w:szCs w:val="24"/>
      <w:lang w:val="zh-CN" w:eastAsia="zh-CN" w:bidi="ar-SA"/>
    </w:rPr>
  </w:style>
  <w:style w:type="paragraph" w:customStyle="1" w:styleId="27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2">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273">
    <w:name w:val="4"/>
    <w:basedOn w:val="1"/>
    <w:next w:val="35"/>
    <w:autoRedefine/>
    <w:qFormat/>
    <w:uiPriority w:val="0"/>
    <w:pPr>
      <w:spacing w:after="120" w:line="480" w:lineRule="auto"/>
      <w:ind w:left="420" w:leftChars="200"/>
    </w:pPr>
    <w:rPr>
      <w:sz w:val="24"/>
      <w:szCs w:val="20"/>
    </w:rPr>
  </w:style>
  <w:style w:type="paragraph" w:customStyle="1" w:styleId="274">
    <w:name w:val="Char Char1"/>
    <w:basedOn w:val="1"/>
    <w:autoRedefine/>
    <w:qFormat/>
    <w:uiPriority w:val="0"/>
    <w:pPr>
      <w:widowControl/>
      <w:spacing w:after="160" w:line="240" w:lineRule="exact"/>
      <w:jc w:val="left"/>
    </w:pPr>
    <w:rPr>
      <w:rFonts w:eastAsia="仿宋_GB2312"/>
      <w:sz w:val="28"/>
    </w:rPr>
  </w:style>
  <w:style w:type="paragraph" w:customStyle="1" w:styleId="27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6">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7">
    <w:name w:val="默认段落样式"/>
    <w:basedOn w:val="218"/>
    <w:autoRedefine/>
    <w:qFormat/>
    <w:uiPriority w:val="0"/>
    <w:pPr>
      <w:spacing w:before="0"/>
      <w:ind w:firstLine="480"/>
      <w:outlineLvl w:val="2"/>
    </w:pPr>
    <w:rPr>
      <w:rFonts w:ascii="仿宋_GB2312" w:hAnsi="宋体" w:eastAsia="仿宋_GB2312"/>
      <w:color w:val="000000"/>
      <w:szCs w:val="24"/>
    </w:rPr>
  </w:style>
  <w:style w:type="paragraph" w:customStyle="1" w:styleId="278">
    <w:name w:val="Char Char1 Char Char Char Char Char Char"/>
    <w:basedOn w:val="1"/>
    <w:autoRedefine/>
    <w:qFormat/>
    <w:uiPriority w:val="0"/>
    <w:rPr>
      <w:rFonts w:ascii="仿宋_GB2312" w:eastAsia="仿宋_GB2312"/>
      <w:b/>
      <w:sz w:val="32"/>
      <w:szCs w:val="20"/>
    </w:rPr>
  </w:style>
  <w:style w:type="paragraph" w:customStyle="1" w:styleId="27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280">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1">
    <w:name w:val="文本正文 Char"/>
    <w:basedOn w:val="1"/>
    <w:autoRedefine/>
    <w:qFormat/>
    <w:uiPriority w:val="0"/>
    <w:pPr>
      <w:spacing w:line="360" w:lineRule="auto"/>
      <w:ind w:firstLine="200" w:firstLineChars="200"/>
    </w:pPr>
    <w:rPr>
      <w:kern w:val="0"/>
      <w:sz w:val="24"/>
      <w:szCs w:val="20"/>
    </w:rPr>
  </w:style>
  <w:style w:type="paragraph" w:customStyle="1" w:styleId="2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8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文章标题"/>
    <w:next w:val="28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86">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7">
    <w:name w:val="默认段落字体 Para Char Char Char Char Char Char Char"/>
    <w:basedOn w:val="1"/>
    <w:autoRedefine/>
    <w:qFormat/>
    <w:uiPriority w:val="0"/>
    <w:rPr>
      <w:rFonts w:eastAsia="仿宋_GB2312"/>
      <w:sz w:val="28"/>
      <w:szCs w:val="20"/>
    </w:rPr>
  </w:style>
  <w:style w:type="paragraph" w:customStyle="1" w:styleId="28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89">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0">
    <w:name w:val="trademark"/>
    <w:autoRedefine/>
    <w:qFormat/>
    <w:uiPriority w:val="0"/>
    <w:pPr>
      <w:spacing w:after="60"/>
    </w:pPr>
    <w:rPr>
      <w:rFonts w:ascii="Futura Bk" w:hAnsi="Futura Bk" w:eastAsia="宋体" w:cs="Times New Roman"/>
      <w:sz w:val="15"/>
      <w:lang w:val="en-US" w:eastAsia="en-US" w:bidi="ar-SA"/>
    </w:rPr>
  </w:style>
  <w:style w:type="paragraph" w:customStyle="1" w:styleId="29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2">
    <w:name w:val="Char3"/>
    <w:basedOn w:val="1"/>
    <w:autoRedefine/>
    <w:qFormat/>
    <w:uiPriority w:val="0"/>
    <w:pPr>
      <w:adjustRightInd/>
    </w:pPr>
    <w:rPr>
      <w:rFonts w:ascii="仿宋_GB2312" w:eastAsia="仿宋_GB2312"/>
      <w:b/>
      <w:sz w:val="32"/>
      <w:szCs w:val="32"/>
    </w:rPr>
  </w:style>
  <w:style w:type="paragraph" w:customStyle="1" w:styleId="293">
    <w:name w:val="默认段落字体 Para Char"/>
    <w:basedOn w:val="1"/>
    <w:autoRedefine/>
    <w:qFormat/>
    <w:uiPriority w:val="0"/>
    <w:rPr>
      <w:rFonts w:ascii="Tahoma" w:hAnsi="Tahoma"/>
      <w:sz w:val="24"/>
      <w:szCs w:val="20"/>
    </w:rPr>
  </w:style>
  <w:style w:type="paragraph" w:customStyle="1" w:styleId="29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Char Char Char Char Char Char Char Char Char Char Char Char1 Char"/>
    <w:basedOn w:val="1"/>
    <w:autoRedefine/>
    <w:qFormat/>
    <w:uiPriority w:val="0"/>
    <w:rPr>
      <w:rFonts w:ascii="Tahoma" w:hAnsi="Tahoma" w:cs="仿宋_GB2312"/>
      <w:sz w:val="24"/>
      <w:szCs w:val="20"/>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29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29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00">
    <w:name w:val="Char Char11 Char Char Char Char Char Char Char Char Char"/>
    <w:basedOn w:val="1"/>
    <w:autoRedefine/>
    <w:qFormat/>
    <w:uiPriority w:val="0"/>
    <w:pPr>
      <w:spacing w:line="360" w:lineRule="auto"/>
    </w:pPr>
    <w:rPr>
      <w:szCs w:val="20"/>
    </w:rPr>
  </w:style>
  <w:style w:type="paragraph" w:customStyle="1" w:styleId="30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02">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3">
    <w:name w:val="左对齐表格文字"/>
    <w:basedOn w:val="1"/>
    <w:autoRedefine/>
    <w:qFormat/>
    <w:uiPriority w:val="0"/>
    <w:pPr>
      <w:adjustRightInd/>
      <w:ind w:firstLine="200" w:firstLineChars="200"/>
      <w:jc w:val="right"/>
    </w:pPr>
  </w:style>
  <w:style w:type="paragraph" w:customStyle="1" w:styleId="304">
    <w:name w:val="Char31"/>
    <w:basedOn w:val="1"/>
    <w:autoRedefine/>
    <w:qFormat/>
    <w:uiPriority w:val="0"/>
    <w:pPr>
      <w:adjustRightInd/>
      <w:ind w:firstLine="200" w:firstLineChars="200"/>
    </w:pPr>
    <w:rPr>
      <w:rFonts w:ascii="Tahoma" w:hAnsi="Tahoma"/>
      <w:sz w:val="24"/>
      <w:szCs w:val="20"/>
    </w:rPr>
  </w:style>
  <w:style w:type="paragraph" w:customStyle="1" w:styleId="30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8">
    <w:name w:val="彩色列表 - 强调文字颜色 11"/>
    <w:basedOn w:val="1"/>
    <w:autoRedefine/>
    <w:qFormat/>
    <w:uiPriority w:val="0"/>
    <w:pPr>
      <w:adjustRightInd/>
      <w:ind w:firstLine="420" w:firstLineChars="200"/>
    </w:pPr>
    <w:rPr>
      <w:rFonts w:ascii="Calibri" w:hAnsi="Calibri"/>
      <w:szCs w:val="22"/>
    </w:rPr>
  </w:style>
  <w:style w:type="paragraph" w:customStyle="1" w:styleId="30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310">
    <w:name w:val="MM Topic 3"/>
    <w:basedOn w:val="4"/>
    <w:autoRedefine/>
    <w:qFormat/>
    <w:uiPriority w:val="0"/>
    <w:pPr>
      <w:numPr>
        <w:numId w:val="4"/>
      </w:numPr>
      <w:tabs>
        <w:tab w:val="left" w:pos="1680"/>
      </w:tabs>
      <w:adjustRightInd/>
    </w:pPr>
  </w:style>
  <w:style w:type="paragraph" w:customStyle="1" w:styleId="311">
    <w:name w:val="Normal0"/>
    <w:autoRedefine/>
    <w:qFormat/>
    <w:uiPriority w:val="0"/>
    <w:rPr>
      <w:rFonts w:ascii="Times New Roman" w:hAnsi="Times New Roman" w:eastAsia="宋体" w:cs="Times New Roman"/>
      <w:lang w:val="en-US" w:eastAsia="en-US" w:bidi="ar-SA"/>
    </w:rPr>
  </w:style>
  <w:style w:type="paragraph" w:customStyle="1" w:styleId="312">
    <w:name w:val="Char Char Char Char Char Char Char"/>
    <w:basedOn w:val="1"/>
    <w:autoRedefine/>
    <w:qFormat/>
    <w:uiPriority w:val="0"/>
    <w:rPr>
      <w:rFonts w:ascii="仿宋_GB2312" w:eastAsia="仿宋_GB2312"/>
      <w:b/>
      <w:sz w:val="32"/>
      <w:szCs w:val="32"/>
    </w:rPr>
  </w:style>
  <w:style w:type="paragraph" w:customStyle="1" w:styleId="31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1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6">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9">
    <w:name w:val="Char2"/>
    <w:basedOn w:val="1"/>
    <w:autoRedefine/>
    <w:qFormat/>
    <w:uiPriority w:val="0"/>
    <w:rPr>
      <w:rFonts w:ascii="仿宋_GB2312" w:eastAsia="仿宋_GB2312"/>
      <w:b/>
      <w:sz w:val="32"/>
      <w:szCs w:val="32"/>
    </w:rPr>
  </w:style>
  <w:style w:type="paragraph" w:customStyle="1" w:styleId="32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32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2">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323">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26">
    <w:name w:val="Char Char Char"/>
    <w:basedOn w:val="1"/>
    <w:autoRedefine/>
    <w:qFormat/>
    <w:uiPriority w:val="0"/>
    <w:rPr>
      <w:rFonts w:ascii="Tahoma" w:hAnsi="Tahoma"/>
      <w:sz w:val="24"/>
      <w:szCs w:val="20"/>
    </w:rPr>
  </w:style>
  <w:style w:type="paragraph" w:customStyle="1" w:styleId="327">
    <w:name w:val="MM Topic 4"/>
    <w:basedOn w:val="5"/>
    <w:autoRedefine/>
    <w:qFormat/>
    <w:uiPriority w:val="0"/>
    <w:pPr>
      <w:numPr>
        <w:numId w:val="4"/>
      </w:numPr>
      <w:tabs>
        <w:tab w:val="left" w:pos="2100"/>
      </w:tabs>
      <w:adjustRightInd/>
    </w:pPr>
    <w:rPr>
      <w:lang w:val="en-US"/>
    </w:rPr>
  </w:style>
  <w:style w:type="paragraph" w:customStyle="1" w:styleId="328">
    <w:name w:val="标准小四"/>
    <w:basedOn w:val="1"/>
    <w:autoRedefine/>
    <w:qFormat/>
    <w:uiPriority w:val="0"/>
    <w:pPr>
      <w:spacing w:line="360" w:lineRule="auto"/>
      <w:ind w:firstLine="480" w:firstLineChars="200"/>
    </w:pPr>
    <w:rPr>
      <w:rFonts w:ascii="Arial" w:hAnsi="Arial"/>
      <w:sz w:val="24"/>
      <w:szCs w:val="21"/>
    </w:rPr>
  </w:style>
  <w:style w:type="paragraph" w:customStyle="1" w:styleId="329">
    <w:name w:val="MM Topic 2"/>
    <w:basedOn w:val="2"/>
    <w:autoRedefine/>
    <w:qFormat/>
    <w:uiPriority w:val="0"/>
    <w:pPr>
      <w:numPr>
        <w:ilvl w:val="1"/>
        <w:numId w:val="4"/>
      </w:numPr>
    </w:pPr>
    <w:rPr>
      <w:rFonts w:ascii="Arial" w:hAnsi="Arial" w:eastAsia="黑体"/>
      <w:lang w:val="en-US"/>
    </w:rPr>
  </w:style>
  <w:style w:type="paragraph" w:customStyle="1" w:styleId="330">
    <w:name w:val="表格标题2"/>
    <w:basedOn w:val="331"/>
    <w:autoRedefine/>
    <w:qFormat/>
    <w:uiPriority w:val="0"/>
    <w:rPr>
      <w:b/>
    </w:rPr>
  </w:style>
  <w:style w:type="paragraph" w:customStyle="1" w:styleId="331">
    <w:name w:val="表格内文"/>
    <w:basedOn w:val="1"/>
    <w:autoRedefine/>
    <w:qFormat/>
    <w:uiPriority w:val="0"/>
    <w:pPr>
      <w:adjustRightInd/>
      <w:spacing w:line="360" w:lineRule="auto"/>
    </w:pPr>
    <w:rPr>
      <w:rFonts w:ascii="宋体" w:hAnsi="宋体" w:cs="宋体"/>
      <w:color w:val="000000"/>
      <w:szCs w:val="20"/>
    </w:rPr>
  </w:style>
  <w:style w:type="paragraph" w:customStyle="1" w:styleId="33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4">
    <w:name w:val="Char Char11 Char Char Char Char Char Char Char Char Char1"/>
    <w:basedOn w:val="1"/>
    <w:autoRedefine/>
    <w:qFormat/>
    <w:uiPriority w:val="0"/>
    <w:pPr>
      <w:spacing w:line="360" w:lineRule="auto"/>
    </w:pPr>
    <w:rPr>
      <w:szCs w:val="20"/>
    </w:rPr>
  </w:style>
  <w:style w:type="paragraph" w:customStyle="1" w:styleId="335">
    <w:name w:val="Char Char Char Char Char Char Char Char Char Char Char1 Char"/>
    <w:basedOn w:val="1"/>
    <w:autoRedefine/>
    <w:qFormat/>
    <w:uiPriority w:val="0"/>
    <w:pPr>
      <w:adjustRightInd/>
    </w:pPr>
    <w:rPr>
      <w:rFonts w:ascii="Tahoma" w:hAnsi="Tahoma"/>
      <w:sz w:val="24"/>
    </w:rPr>
  </w:style>
  <w:style w:type="paragraph" w:customStyle="1" w:styleId="33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7">
    <w:name w:val="a1"/>
    <w:basedOn w:val="1"/>
    <w:autoRedefine/>
    <w:qFormat/>
    <w:uiPriority w:val="0"/>
    <w:pPr>
      <w:widowControl/>
      <w:spacing w:line="300" w:lineRule="atLeast"/>
      <w:jc w:val="left"/>
    </w:pPr>
    <w:rPr>
      <w:rFonts w:ascii="宋体" w:hAnsi="宋体"/>
      <w:kern w:val="0"/>
      <w:sz w:val="18"/>
      <w:szCs w:val="20"/>
    </w:rPr>
  </w:style>
  <w:style w:type="paragraph" w:customStyle="1" w:styleId="33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39">
    <w:name w:val="Char"/>
    <w:basedOn w:val="1"/>
    <w:autoRedefine/>
    <w:qFormat/>
    <w:uiPriority w:val="0"/>
    <w:rPr>
      <w:rFonts w:ascii="仿宋_GB2312" w:eastAsia="仿宋_GB2312"/>
      <w:b/>
      <w:sz w:val="32"/>
      <w:szCs w:val="32"/>
    </w:rPr>
  </w:style>
  <w:style w:type="paragraph" w:customStyle="1" w:styleId="340">
    <w:name w:val="!大节"/>
    <w:basedOn w:val="2"/>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341">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2">
    <w:name w:val="TOC 标题1"/>
    <w:basedOn w:val="3"/>
    <w:next w:val="1"/>
    <w:autoRedefine/>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3">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4">
    <w:name w:val="Char3 Char Char Char"/>
    <w:basedOn w:val="1"/>
    <w:autoRedefine/>
    <w:qFormat/>
    <w:uiPriority w:val="0"/>
    <w:pPr>
      <w:widowControl/>
      <w:adjustRightInd/>
      <w:spacing w:after="160" w:line="240" w:lineRule="exact"/>
      <w:jc w:val="left"/>
    </w:pPr>
    <w:rPr>
      <w:szCs w:val="20"/>
    </w:rPr>
  </w:style>
  <w:style w:type="paragraph" w:customStyle="1" w:styleId="34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34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0">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35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3">
    <w:name w:val="Char Char1 Char Char1 Char Char1"/>
    <w:basedOn w:val="1"/>
    <w:autoRedefine/>
    <w:qFormat/>
    <w:uiPriority w:val="0"/>
    <w:pPr>
      <w:tabs>
        <w:tab w:val="left" w:pos="840"/>
      </w:tabs>
      <w:ind w:left="840" w:hanging="420"/>
    </w:pPr>
    <w:rPr>
      <w:rFonts w:ascii="Tahoma" w:hAnsi="Tahoma"/>
      <w:sz w:val="24"/>
    </w:rPr>
  </w:style>
  <w:style w:type="paragraph" w:customStyle="1" w:styleId="35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5">
    <w:name w:val="样式 标题 2H2h2Underrubrik1prop2l2Chapter Titlesect 1.2DO NO..."/>
    <w:basedOn w:val="2"/>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6">
    <w:name w:val="默认段落字体 Para Char Char Char Char"/>
    <w:basedOn w:val="1"/>
    <w:autoRedefine/>
    <w:qFormat/>
    <w:uiPriority w:val="0"/>
    <w:pPr>
      <w:spacing w:line="360" w:lineRule="auto"/>
    </w:pPr>
    <w:rPr>
      <w:szCs w:val="20"/>
    </w:rPr>
  </w:style>
  <w:style w:type="paragraph" w:customStyle="1" w:styleId="357">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35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6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1">
    <w:name w:val="正文21"/>
    <w:basedOn w:val="1"/>
    <w:autoRedefine/>
    <w:qFormat/>
    <w:uiPriority w:val="0"/>
    <w:pPr>
      <w:adjustRightInd/>
      <w:spacing w:before="156" w:line="360" w:lineRule="auto"/>
      <w:ind w:firstLine="510" w:firstLineChars="200"/>
    </w:pPr>
    <w:rPr>
      <w:sz w:val="24"/>
      <w:szCs w:val="20"/>
    </w:rPr>
  </w:style>
  <w:style w:type="paragraph" w:customStyle="1" w:styleId="362">
    <w:name w:val="列出段落2"/>
    <w:basedOn w:val="1"/>
    <w:autoRedefine/>
    <w:qFormat/>
    <w:uiPriority w:val="0"/>
    <w:pPr>
      <w:adjustRightInd/>
      <w:ind w:firstLine="420" w:firstLineChars="200"/>
    </w:pPr>
    <w:rPr>
      <w:rFonts w:ascii="宋体" w:hAnsi="宋体"/>
      <w:sz w:val="24"/>
    </w:rPr>
  </w:style>
  <w:style w:type="paragraph" w:customStyle="1" w:styleId="36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4">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6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367">
    <w:name w:val="Char Char1 Char Char Char Char Char Char1"/>
    <w:basedOn w:val="1"/>
    <w:autoRedefine/>
    <w:qFormat/>
    <w:uiPriority w:val="0"/>
    <w:rPr>
      <w:rFonts w:ascii="仿宋_GB2312" w:eastAsia="仿宋_GB2312"/>
      <w:b/>
      <w:sz w:val="32"/>
      <w:szCs w:val="20"/>
    </w:rPr>
  </w:style>
  <w:style w:type="paragraph" w:customStyle="1" w:styleId="36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36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37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71">
    <w:name w:val="正文（首行缩进2字符）"/>
    <w:basedOn w:val="1"/>
    <w:autoRedefine/>
    <w:qFormat/>
    <w:uiPriority w:val="0"/>
    <w:pPr>
      <w:adjustRightInd/>
      <w:spacing w:line="360" w:lineRule="auto"/>
      <w:ind w:firstLine="480" w:firstLineChars="200"/>
    </w:pPr>
    <w:rPr>
      <w:sz w:val="24"/>
      <w:szCs w:val="20"/>
    </w:rPr>
  </w:style>
  <w:style w:type="paragraph" w:customStyle="1" w:styleId="37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3">
    <w:name w:val="表文字"/>
    <w:autoRedefine/>
    <w:qFormat/>
    <w:uiPriority w:val="0"/>
    <w:rPr>
      <w:rFonts w:ascii="宋体" w:hAnsi="Times New Roman" w:eastAsia="宋体" w:cs="Times New Roman"/>
      <w:kern w:val="2"/>
      <w:lang w:val="en-US" w:eastAsia="zh-CN" w:bidi="ar-SA"/>
    </w:rPr>
  </w:style>
  <w:style w:type="paragraph" w:customStyle="1" w:styleId="37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377">
    <w:name w:val="有符号正文"/>
    <w:basedOn w:val="1"/>
    <w:autoRedefine/>
    <w:qFormat/>
    <w:uiPriority w:val="0"/>
    <w:pPr>
      <w:adjustRightInd/>
      <w:spacing w:line="400" w:lineRule="exact"/>
      <w:ind w:firstLine="200" w:firstLineChars="200"/>
    </w:pPr>
    <w:rPr>
      <w:rFonts w:ascii="Arial" w:hAnsi="Arial"/>
    </w:rPr>
  </w:style>
  <w:style w:type="paragraph" w:customStyle="1" w:styleId="378">
    <w:name w:val="数字标题5"/>
    <w:basedOn w:val="6"/>
    <w:next w:val="1"/>
    <w:autoRedefine/>
    <w:qFormat/>
    <w:uiPriority w:val="0"/>
    <w:pPr>
      <w:numPr>
        <w:numId w:val="5"/>
      </w:numPr>
      <w:tabs>
        <w:tab w:val="left" w:pos="1080"/>
      </w:tabs>
    </w:pPr>
  </w:style>
  <w:style w:type="paragraph" w:customStyle="1" w:styleId="379">
    <w:name w:val="Char12"/>
    <w:basedOn w:val="1"/>
    <w:autoRedefine/>
    <w:qFormat/>
    <w:uiPriority w:val="0"/>
    <w:rPr>
      <w:rFonts w:ascii="仿宋_GB2312" w:eastAsia="仿宋_GB2312"/>
      <w:b/>
      <w:sz w:val="32"/>
      <w:szCs w:val="32"/>
    </w:rPr>
  </w:style>
  <w:style w:type="paragraph" w:customStyle="1" w:styleId="38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38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38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383">
    <w:name w:val="Char Char11 Char Char Char"/>
    <w:basedOn w:val="1"/>
    <w:autoRedefine/>
    <w:qFormat/>
    <w:uiPriority w:val="0"/>
    <w:pPr>
      <w:spacing w:line="360" w:lineRule="auto"/>
    </w:pPr>
    <w:rPr>
      <w:szCs w:val="20"/>
    </w:rPr>
  </w:style>
  <w:style w:type="paragraph" w:customStyle="1" w:styleId="384">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5">
    <w:name w:val="Char Char111"/>
    <w:basedOn w:val="1"/>
    <w:autoRedefine/>
    <w:qFormat/>
    <w:uiPriority w:val="0"/>
    <w:pPr>
      <w:spacing w:line="360" w:lineRule="auto"/>
    </w:pPr>
    <w:rPr>
      <w:szCs w:val="20"/>
    </w:rPr>
  </w:style>
  <w:style w:type="paragraph" w:customStyle="1" w:styleId="386">
    <w:name w:val="文档正文"/>
    <w:basedOn w:val="1"/>
    <w:autoRedefine/>
    <w:qFormat/>
    <w:uiPriority w:val="0"/>
    <w:pPr>
      <w:spacing w:line="480" w:lineRule="atLeast"/>
      <w:ind w:firstLine="567"/>
      <w:textAlignment w:val="baseline"/>
    </w:pPr>
    <w:rPr>
      <w:kern w:val="0"/>
      <w:sz w:val="24"/>
      <w:szCs w:val="20"/>
    </w:rPr>
  </w:style>
  <w:style w:type="paragraph" w:customStyle="1" w:styleId="38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Char1 Char Char Char3"/>
    <w:basedOn w:val="1"/>
    <w:autoRedefine/>
    <w:qFormat/>
    <w:uiPriority w:val="0"/>
    <w:pPr>
      <w:adjustRightInd/>
      <w:ind w:firstLine="200" w:firstLineChars="200"/>
    </w:pPr>
    <w:rPr>
      <w:rFonts w:ascii="Tahoma" w:hAnsi="Tahoma"/>
      <w:sz w:val="24"/>
      <w:szCs w:val="20"/>
    </w:rPr>
  </w:style>
  <w:style w:type="paragraph" w:customStyle="1" w:styleId="39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392">
    <w:name w:val="Char2 Char Char Char"/>
    <w:basedOn w:val="1"/>
    <w:autoRedefine/>
    <w:qFormat/>
    <w:uiPriority w:val="0"/>
    <w:rPr>
      <w:rFonts w:ascii="仿宋_GB2312" w:eastAsia="仿宋_GB2312"/>
      <w:b/>
      <w:sz w:val="32"/>
      <w:szCs w:val="32"/>
    </w:rPr>
  </w:style>
  <w:style w:type="paragraph" w:customStyle="1" w:styleId="39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4">
    <w:name w:val="MM Topic 5"/>
    <w:basedOn w:val="6"/>
    <w:autoRedefine/>
    <w:qFormat/>
    <w:uiPriority w:val="0"/>
    <w:pPr>
      <w:numPr>
        <w:numId w:val="4"/>
      </w:numPr>
      <w:tabs>
        <w:tab w:val="left" w:pos="2520"/>
      </w:tabs>
      <w:adjustRightInd/>
    </w:pPr>
  </w:style>
  <w:style w:type="paragraph" w:customStyle="1" w:styleId="39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398">
    <w:name w:val="Char1 Char Char Char2"/>
    <w:basedOn w:val="1"/>
    <w:autoRedefine/>
    <w:qFormat/>
    <w:uiPriority w:val="0"/>
    <w:pPr>
      <w:adjustRightInd/>
      <w:ind w:firstLine="200" w:firstLineChars="200"/>
    </w:pPr>
    <w:rPr>
      <w:rFonts w:ascii="Tahoma" w:hAnsi="Tahoma"/>
      <w:sz w:val="24"/>
      <w:szCs w:val="20"/>
    </w:rPr>
  </w:style>
  <w:style w:type="paragraph" w:customStyle="1" w:styleId="399">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400">
    <w:name w:val="Char1 Char Char Char"/>
    <w:basedOn w:val="1"/>
    <w:autoRedefine/>
    <w:qFormat/>
    <w:uiPriority w:val="0"/>
    <w:rPr>
      <w:rFonts w:ascii="Tahoma" w:hAnsi="Tahoma"/>
      <w:sz w:val="24"/>
      <w:szCs w:val="20"/>
    </w:rPr>
  </w:style>
  <w:style w:type="paragraph" w:customStyle="1" w:styleId="40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autoRedefine/>
    <w:qFormat/>
    <w:uiPriority w:val="0"/>
    <w:rPr>
      <w:rFonts w:ascii="仿宋_GB2312" w:eastAsia="仿宋_GB2312"/>
      <w:b/>
      <w:sz w:val="32"/>
      <w:szCs w:val="32"/>
    </w:rPr>
  </w:style>
  <w:style w:type="paragraph" w:customStyle="1" w:styleId="404">
    <w:name w:val="Char2 Char Char Char1"/>
    <w:basedOn w:val="1"/>
    <w:autoRedefine/>
    <w:qFormat/>
    <w:uiPriority w:val="0"/>
    <w:rPr>
      <w:rFonts w:ascii="仿宋_GB2312" w:eastAsia="仿宋_GB2312"/>
      <w:b/>
      <w:sz w:val="32"/>
      <w:szCs w:val="32"/>
    </w:rPr>
  </w:style>
  <w:style w:type="paragraph" w:customStyle="1" w:styleId="40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406">
    <w:name w:val="0"/>
    <w:basedOn w:val="1"/>
    <w:autoRedefine/>
    <w:qFormat/>
    <w:uiPriority w:val="0"/>
    <w:pPr>
      <w:widowControl/>
    </w:pPr>
    <w:rPr>
      <w:kern w:val="0"/>
      <w:sz w:val="24"/>
      <w:szCs w:val="20"/>
    </w:rPr>
  </w:style>
  <w:style w:type="paragraph" w:customStyle="1" w:styleId="407">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40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10">
    <w:name w:val="默认段落字体 Para Char Char Char1 Char"/>
    <w:basedOn w:val="1"/>
    <w:autoRedefine/>
    <w:qFormat/>
    <w:uiPriority w:val="0"/>
    <w:pPr>
      <w:spacing w:line="240" w:lineRule="atLeast"/>
      <w:ind w:left="420" w:firstLine="420"/>
    </w:pPr>
    <w:rPr>
      <w:sz w:val="24"/>
    </w:rPr>
  </w:style>
  <w:style w:type="paragraph" w:customStyle="1" w:styleId="41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12">
    <w:name w:val="标书标题2"/>
    <w:basedOn w:val="2"/>
    <w:autoRedefine/>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3">
    <w:name w:val="表格"/>
    <w:basedOn w:val="1"/>
    <w:autoRedefine/>
    <w:qFormat/>
    <w:uiPriority w:val="0"/>
    <w:pPr>
      <w:snapToGrid w:val="0"/>
      <w:ind w:firstLine="42" w:firstLineChars="21"/>
    </w:pPr>
    <w:rPr>
      <w:rFonts w:ascii="宋体" w:hAnsi="宋体"/>
      <w:kern w:val="0"/>
      <w:sz w:val="20"/>
      <w:szCs w:val="20"/>
    </w:rPr>
  </w:style>
  <w:style w:type="paragraph" w:customStyle="1" w:styleId="41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数字标题6"/>
    <w:basedOn w:val="7"/>
    <w:next w:val="1"/>
    <w:autoRedefine/>
    <w:qFormat/>
    <w:uiPriority w:val="0"/>
    <w:pPr>
      <w:numPr>
        <w:numId w:val="5"/>
      </w:numPr>
      <w:tabs>
        <w:tab w:val="left" w:pos="1080"/>
      </w:tabs>
    </w:pPr>
    <w:rPr>
      <w:rFonts w:ascii="Times New Roman" w:hAnsi="Times New Roman" w:eastAsia="宋体"/>
      <w:i/>
    </w:rPr>
  </w:style>
  <w:style w:type="paragraph" w:customStyle="1" w:styleId="4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8">
    <w:name w:val="P1"/>
    <w:basedOn w:val="1"/>
    <w:autoRedefine/>
    <w:qFormat/>
    <w:uiPriority w:val="0"/>
    <w:pPr>
      <w:adjustRightInd/>
      <w:spacing w:line="288" w:lineRule="auto"/>
      <w:ind w:firstLine="425" w:firstLineChars="200"/>
    </w:pPr>
  </w:style>
  <w:style w:type="paragraph" w:customStyle="1" w:styleId="41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2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1">
    <w:name w:val="正文文字 2"/>
    <w:basedOn w:val="422"/>
    <w:next w:val="422"/>
    <w:autoRedefine/>
    <w:qFormat/>
    <w:uiPriority w:val="0"/>
    <w:rPr>
      <w:rFonts w:ascii="宋体" w:eastAsia="宋体" w:cs="Times New Roman"/>
      <w:color w:val="auto"/>
    </w:rPr>
  </w:style>
  <w:style w:type="paragraph" w:customStyle="1" w:styleId="42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autoRedefine/>
    <w:qFormat/>
    <w:uiPriority w:val="0"/>
    <w:pPr>
      <w:widowControl/>
      <w:adjustRightInd/>
      <w:spacing w:after="160" w:line="240" w:lineRule="exact"/>
      <w:jc w:val="left"/>
    </w:pPr>
  </w:style>
  <w:style w:type="paragraph" w:customStyle="1" w:styleId="42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autoRedefine/>
    <w:qFormat/>
    <w:uiPriority w:val="0"/>
    <w:pPr>
      <w:snapToGrid w:val="0"/>
      <w:spacing w:line="360" w:lineRule="auto"/>
    </w:pPr>
  </w:style>
  <w:style w:type="paragraph" w:customStyle="1" w:styleId="427">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autoRedefine/>
    <w:qFormat/>
    <w:uiPriority w:val="0"/>
    <w:rPr>
      <w:rFonts w:ascii="仿宋_GB2312" w:eastAsia="仿宋_GB2312"/>
      <w:b/>
      <w:sz w:val="32"/>
      <w:szCs w:val="32"/>
    </w:rPr>
  </w:style>
  <w:style w:type="paragraph" w:customStyle="1" w:styleId="429">
    <w:name w:val="Char2 Char Char"/>
    <w:basedOn w:val="1"/>
    <w:autoRedefine/>
    <w:qFormat/>
    <w:uiPriority w:val="0"/>
    <w:pPr>
      <w:adjustRightInd/>
    </w:pPr>
    <w:rPr>
      <w:rFonts w:ascii="Tahoma" w:hAnsi="Tahoma"/>
      <w:sz w:val="24"/>
      <w:szCs w:val="20"/>
    </w:rPr>
  </w:style>
  <w:style w:type="paragraph" w:customStyle="1" w:styleId="43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autoRedefine/>
    <w:qFormat/>
    <w:uiPriority w:val="0"/>
    <w:pPr>
      <w:adjustRightInd/>
    </w:pPr>
  </w:style>
  <w:style w:type="paragraph" w:customStyle="1" w:styleId="432">
    <w:name w:val="正文表标题"/>
    <w:next w:val="34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autoRedefine/>
    <w:qFormat/>
    <w:uiPriority w:val="0"/>
    <w:pPr>
      <w:adjustRightInd/>
    </w:pPr>
    <w:rPr>
      <w:rFonts w:ascii="Tahoma" w:hAnsi="Tahoma"/>
      <w:sz w:val="24"/>
      <w:szCs w:val="20"/>
    </w:rPr>
  </w:style>
  <w:style w:type="paragraph" w:customStyle="1" w:styleId="437">
    <w:name w:val="数字标题3"/>
    <w:basedOn w:val="4"/>
    <w:next w:val="1"/>
    <w:autoRedefine/>
    <w:qFormat/>
    <w:uiPriority w:val="0"/>
    <w:pPr>
      <w:numPr>
        <w:numId w:val="0"/>
      </w:numPr>
      <w:spacing w:line="240" w:lineRule="auto"/>
    </w:pPr>
    <w:rPr>
      <w:sz w:val="28"/>
      <w:szCs w:val="28"/>
    </w:rPr>
  </w:style>
  <w:style w:type="paragraph" w:customStyle="1" w:styleId="438">
    <w:name w:val="彩色列表 - 强调文字颜色 12"/>
    <w:basedOn w:val="1"/>
    <w:autoRedefine/>
    <w:qFormat/>
    <w:uiPriority w:val="0"/>
    <w:pPr>
      <w:adjustRightInd/>
      <w:ind w:firstLine="420" w:firstLineChars="200"/>
    </w:pPr>
    <w:rPr>
      <w:rFonts w:ascii="Calibri" w:hAnsi="Calibri"/>
      <w:szCs w:val="22"/>
    </w:rPr>
  </w:style>
  <w:style w:type="paragraph" w:customStyle="1" w:styleId="43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autoRedefine/>
    <w:qFormat/>
    <w:uiPriority w:val="0"/>
    <w:pPr>
      <w:spacing w:line="360" w:lineRule="auto"/>
      <w:ind w:firstLine="200" w:firstLineChars="200"/>
    </w:pPr>
    <w:rPr>
      <w:sz w:val="24"/>
    </w:rPr>
  </w:style>
  <w:style w:type="paragraph" w:customStyle="1" w:styleId="442">
    <w:name w:val="Char Char Char1 Char"/>
    <w:basedOn w:val="1"/>
    <w:autoRedefine/>
    <w:qFormat/>
    <w:uiPriority w:val="0"/>
    <w:rPr>
      <w:szCs w:val="20"/>
    </w:rPr>
  </w:style>
  <w:style w:type="paragraph" w:customStyle="1" w:styleId="44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autoRedefine/>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autoRedefine/>
    <w:qFormat/>
    <w:uiPriority w:val="0"/>
    <w:rPr>
      <w:rFonts w:ascii="Tahoma" w:hAnsi="Tahoma" w:cs="仿宋_GB2312"/>
      <w:sz w:val="24"/>
      <w:szCs w:val="20"/>
    </w:rPr>
  </w:style>
  <w:style w:type="paragraph" w:customStyle="1" w:styleId="447">
    <w:name w:val="Bulleted List"/>
    <w:basedOn w:val="1"/>
    <w:autoRedefine/>
    <w:qFormat/>
    <w:uiPriority w:val="0"/>
    <w:pPr>
      <w:tabs>
        <w:tab w:val="left" w:pos="1260"/>
      </w:tabs>
      <w:adjustRightInd/>
      <w:ind w:left="1260" w:hanging="420"/>
    </w:pPr>
  </w:style>
  <w:style w:type="paragraph" w:customStyle="1" w:styleId="448">
    <w:name w:val="Char Char1 Char Char Char"/>
    <w:basedOn w:val="1"/>
    <w:autoRedefine/>
    <w:qFormat/>
    <w:uiPriority w:val="0"/>
    <w:rPr>
      <w:rFonts w:ascii="仿宋_GB2312" w:eastAsia="仿宋_GB2312"/>
      <w:b/>
      <w:sz w:val="32"/>
      <w:szCs w:val="20"/>
    </w:rPr>
  </w:style>
  <w:style w:type="paragraph" w:customStyle="1" w:styleId="44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2"/>
    <w:next w:val="1"/>
    <w:autoRedefine/>
    <w:qFormat/>
    <w:uiPriority w:val="0"/>
    <w:pPr>
      <w:numPr>
        <w:ilvl w:val="1"/>
        <w:numId w:val="5"/>
      </w:numPr>
    </w:pPr>
    <w:rPr>
      <w:rFonts w:ascii="Times New Roman" w:eastAsia="宋体"/>
      <w:i/>
      <w:sz w:val="36"/>
      <w:szCs w:val="36"/>
      <w:lang w:val="en-US"/>
    </w:rPr>
  </w:style>
  <w:style w:type="paragraph" w:customStyle="1" w:styleId="451">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autoRedefine/>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7"/>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8"/>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8"/>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8"/>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8"/>
    <w:qFormat/>
    <w:uiPriority w:val="0"/>
    <w:pPr>
      <w:tabs>
        <w:tab w:val="left" w:pos="1260"/>
        <w:tab w:val="left" w:pos="1680"/>
        <w:tab w:val="left" w:pos="2100"/>
      </w:tabs>
      <w:ind w:left="0"/>
      <w:outlineLvl w:val="3"/>
    </w:pPr>
  </w:style>
  <w:style w:type="paragraph" w:customStyle="1" w:styleId="466">
    <w:name w:val="一级条标题"/>
    <w:basedOn w:val="467"/>
    <w:next w:val="348"/>
    <w:qFormat/>
    <w:uiPriority w:val="0"/>
    <w:pPr>
      <w:tabs>
        <w:tab w:val="left" w:pos="1260"/>
        <w:tab w:val="left" w:pos="1680"/>
      </w:tabs>
      <w:spacing w:before="0" w:beforeLines="0" w:after="0" w:afterLines="0"/>
      <w:ind w:left="1680"/>
      <w:outlineLvl w:val="2"/>
    </w:pPr>
  </w:style>
  <w:style w:type="paragraph" w:customStyle="1" w:styleId="467">
    <w:name w:val="章标题"/>
    <w:next w:val="3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3"/>
    <w:next w:val="1"/>
    <w:qFormat/>
    <w:uiPriority w:val="0"/>
    <w:pPr>
      <w:numPr>
        <w:ilvl w:val="0"/>
        <w:numId w:val="5"/>
      </w:numPr>
      <w:tabs>
        <w:tab w:val="left" w:pos="432"/>
      </w:tabs>
    </w:pPr>
  </w:style>
  <w:style w:type="paragraph" w:customStyle="1" w:styleId="474">
    <w:name w:val="正文 项目2"/>
    <w:basedOn w:val="374"/>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qFormat/>
    <w:uiPriority w:val="0"/>
    <w:pPr>
      <w:spacing w:line="360" w:lineRule="auto"/>
    </w:pPr>
    <w:rPr>
      <w:szCs w:val="20"/>
    </w:rPr>
  </w:style>
  <w:style w:type="paragraph" w:customStyle="1" w:styleId="4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qFormat/>
    <w:uiPriority w:val="0"/>
    <w:pPr>
      <w:tabs>
        <w:tab w:val="left" w:pos="360"/>
      </w:tabs>
    </w:pPr>
    <w:rPr>
      <w:sz w:val="24"/>
      <w:szCs w:val="20"/>
    </w:rPr>
  </w:style>
  <w:style w:type="paragraph" w:customStyle="1" w:styleId="493">
    <w:name w:val="表格（小）"/>
    <w:basedOn w:val="1"/>
    <w:qFormat/>
    <w:uiPriority w:val="0"/>
    <w:pPr>
      <w:adjustRightInd/>
      <w:snapToGrid w:val="0"/>
      <w:spacing w:line="300" w:lineRule="auto"/>
    </w:pPr>
    <w:rPr>
      <w:rFonts w:eastAsia="仿宋"/>
      <w:szCs w:val="21"/>
    </w:rPr>
  </w:style>
  <w:style w:type="paragraph" w:customStyle="1" w:styleId="49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Table Text"/>
    <w:basedOn w:val="1"/>
    <w:qFormat/>
    <w:uiPriority w:val="0"/>
    <w:pPr>
      <w:widowControl/>
      <w:spacing w:before="60" w:after="60"/>
      <w:jc w:val="left"/>
    </w:pPr>
    <w:rPr>
      <w:kern w:val="0"/>
      <w:sz w:val="24"/>
    </w:rPr>
  </w:style>
  <w:style w:type="paragraph" w:customStyle="1" w:styleId="501">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qFormat/>
    <w:uiPriority w:val="0"/>
    <w:rPr>
      <w:rFonts w:ascii="仿宋_GB2312" w:eastAsia="仿宋_GB2312"/>
      <w:b/>
      <w:sz w:val="32"/>
      <w:szCs w:val="32"/>
    </w:rPr>
  </w:style>
  <w:style w:type="paragraph" w:styleId="503">
    <w:name w:val="List Paragraph"/>
    <w:basedOn w:val="1"/>
    <w:qFormat/>
    <w:uiPriority w:val="34"/>
    <w:pPr>
      <w:spacing w:line="360" w:lineRule="auto"/>
      <w:ind w:firstLine="200" w:firstLineChars="200"/>
    </w:pPr>
    <w:rPr>
      <w:rFonts w:eastAsia="楷体_GB2312" w:cs="Lucida Sans"/>
      <w:sz w:val="24"/>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3"/>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0"/>
    <w:next w:val="1"/>
    <w:qFormat/>
    <w:uiPriority w:val="0"/>
    <w:pPr>
      <w:spacing w:after="156"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4"/>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qFormat/>
    <w:uiPriority w:val="0"/>
    <w:pPr>
      <w:spacing w:before="312"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5"/>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修订1"/>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2"/>
    <w:next w:val="422"/>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1"/>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Char2"/>
    <w:link w:val="37"/>
    <w:qFormat/>
    <w:locked/>
    <w:uiPriority w:val="99"/>
    <w:rPr>
      <w:kern w:val="2"/>
      <w:sz w:val="18"/>
      <w:szCs w:val="18"/>
    </w:rPr>
  </w:style>
  <w:style w:type="character" w:customStyle="1" w:styleId="631">
    <w:name w:val="页眉 Char2"/>
    <w:link w:val="39"/>
    <w:qFormat/>
    <w:uiPriority w:val="99"/>
    <w:rPr>
      <w:kern w:val="2"/>
      <w:sz w:val="18"/>
      <w:szCs w:val="18"/>
    </w:rPr>
  </w:style>
  <w:style w:type="paragraph" w:customStyle="1" w:styleId="632">
    <w:name w:val="封面第一行"/>
    <w:basedOn w:val="1"/>
    <w:qFormat/>
    <w:uiPriority w:val="0"/>
    <w:pPr>
      <w:spacing w:line="360" w:lineRule="auto"/>
      <w:jc w:val="center"/>
    </w:pPr>
    <w:rPr>
      <w:rFonts w:ascii="黑体" w:hAnsi="宋体" w:eastAsia="黑体" w:cs="宋体"/>
      <w:sz w:val="56"/>
      <w:szCs w:val="20"/>
    </w:rPr>
  </w:style>
  <w:style w:type="paragraph" w:customStyle="1" w:styleId="633">
    <w:name w:val="宋小四行"/>
    <w:basedOn w:val="1"/>
    <w:qFormat/>
    <w:uiPriority w:val="0"/>
    <w:pPr>
      <w:autoSpaceDE w:val="0"/>
      <w:autoSpaceDN w:val="0"/>
      <w:spacing w:line="360" w:lineRule="auto"/>
      <w:ind w:firstLine="480" w:firstLineChars="200"/>
      <w:jc w:val="left"/>
    </w:pPr>
    <w:rPr>
      <w:rFonts w:ascii="宋体" w:hAnsi="宋体" w:cs="宋体"/>
      <w:sz w:val="24"/>
    </w:rPr>
  </w:style>
  <w:style w:type="character" w:customStyle="1" w:styleId="634">
    <w:name w:val="NormalCharacter"/>
    <w:semiHidden/>
    <w:qFormat/>
    <w:uiPriority w:val="0"/>
  </w:style>
  <w:style w:type="paragraph" w:customStyle="1" w:styleId="635">
    <w:name w:val="BodyText1I2"/>
    <w:basedOn w:val="636"/>
    <w:qFormat/>
    <w:uiPriority w:val="0"/>
    <w:pPr>
      <w:snapToGrid w:val="0"/>
      <w:spacing w:line="360" w:lineRule="auto"/>
      <w:ind w:firstLine="420" w:firstLineChars="200"/>
      <w:jc w:val="left"/>
    </w:pPr>
    <w:rPr>
      <w:kern w:val="0"/>
      <w:sz w:val="24"/>
      <w:szCs w:val="22"/>
    </w:rPr>
  </w:style>
  <w:style w:type="paragraph" w:customStyle="1" w:styleId="636">
    <w:name w:val="BodyTextIndent"/>
    <w:basedOn w:val="1"/>
    <w:qFormat/>
    <w:uiPriority w:val="0"/>
    <w:pPr>
      <w:spacing w:after="120"/>
      <w:ind w:left="420" w:leftChars="200"/>
    </w:pPr>
  </w:style>
  <w:style w:type="paragraph" w:customStyle="1" w:styleId="637">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38">
    <w:name w:val="Table Paragraph"/>
    <w:basedOn w:val="1"/>
    <w:qFormat/>
    <w:uiPriority w:val="1"/>
    <w:rPr>
      <w:rFonts w:ascii="宋体" w:hAnsi="宋体" w:cs="宋体"/>
      <w:lang w:val="zh-CN" w:bidi="zh-CN"/>
    </w:rPr>
  </w:style>
  <w:style w:type="paragraph" w:customStyle="1" w:styleId="639">
    <w:name w:val="__正文"/>
    <w:qFormat/>
    <w:uiPriority w:val="0"/>
    <w:pPr>
      <w:spacing w:line="360" w:lineRule="auto"/>
      <w:ind w:firstLine="200" w:firstLineChars="200"/>
    </w:pPr>
    <w:rPr>
      <w:rFonts w:ascii="Calibri" w:hAnsi="Calibri" w:eastAsia="微软雅黑" w:cs="Times New Roman"/>
      <w:kern w:val="2"/>
      <w:sz w:val="21"/>
      <w:szCs w:val="21"/>
      <w:lang w:val="en-US" w:eastAsia="zh-CN" w:bidi="ar-SA"/>
    </w:rPr>
  </w:style>
  <w:style w:type="character" w:customStyle="1" w:styleId="640">
    <w:name w:val="font41"/>
    <w:basedOn w:val="63"/>
    <w:autoRedefine/>
    <w:qFormat/>
    <w:uiPriority w:val="0"/>
    <w:rPr>
      <w:rFonts w:hint="default" w:ascii="Times New Roman" w:hAnsi="Times New Roman" w:cs="Times New Roman"/>
      <w:color w:val="000000"/>
      <w:sz w:val="21"/>
      <w:szCs w:val="21"/>
      <w:u w:val="none"/>
    </w:rPr>
  </w:style>
  <w:style w:type="character" w:customStyle="1" w:styleId="641">
    <w:name w:val="font11"/>
    <w:basedOn w:val="63"/>
    <w:autoRedefine/>
    <w:qFormat/>
    <w:uiPriority w:val="0"/>
    <w:rPr>
      <w:rFonts w:hint="eastAsia" w:ascii="宋体" w:hAnsi="宋体" w:eastAsia="宋体" w:cs="宋体"/>
      <w:color w:val="000000"/>
      <w:sz w:val="21"/>
      <w:szCs w:val="21"/>
      <w:u w:val="none"/>
    </w:rPr>
  </w:style>
  <w:style w:type="character" w:customStyle="1" w:styleId="642">
    <w:name w:val="font51"/>
    <w:basedOn w:val="63"/>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5AB62-8369-4676-898C-6E1D4A97A0F2}">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45</Pages>
  <Words>7841</Words>
  <Characters>8539</Characters>
  <Lines>201</Lines>
  <Paragraphs>56</Paragraphs>
  <TotalTime>3</TotalTime>
  <ScaleCrop>false</ScaleCrop>
  <LinksUpToDate>false</LinksUpToDate>
  <CharactersWithSpaces>8686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2025-06-05T02:21:00Z</dcterms:created>
  <dc:creator>xb21cn</dc:creator>
  <cp:lastModifiedBy>Z</cp:lastModifiedBy>
  <cp:lastPrinted>2021-04-01T06:48:00Z</cp:lastPrinted>
  <dcterms:modified xsi:type="dcterms:W3CDTF">2025-07-01T08:31:40Z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6B40BD5E9A2D40819B30444F272DDB71_13</vt:lpwstr>
  </property>
  <property fmtid="{D5CDD505-2E9C-101B-9397-08002B2CF9AE}" pid="4" name="KSOTemplateDocerSaveRecord">
    <vt:lpwstr>eyJoZGlkIjoiZTY2ODE2Y2E0OTU0ZTRiYjJiYmE3MWFhNzA3NjRmMzgiLCJ1c2VySWQiOiIxMDU1MjIwNjQyIn0=</vt:lpwstr>
  </property>
</Properties>
</file>