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p>
    <w:p>
      <w:pPr>
        <w:pStyle w:val="972"/>
        <w:spacing w:line="760" w:lineRule="exact"/>
        <w:rPr>
          <w:rFonts w:asciiTheme="minorEastAsia" w:hAnsiTheme="minorEastAsia" w:eastAsiaTheme="minorEastAsia" w:cstheme="minorEastAsia"/>
          <w:color w:val="000000" w:themeColor="text1"/>
          <w:sz w:val="72"/>
          <w:szCs w:val="72"/>
          <w14:textFill>
            <w14:solidFill>
              <w14:schemeClr w14:val="tx1"/>
            </w14:solidFill>
          </w14:textFill>
        </w:rPr>
      </w:pPr>
    </w:p>
    <w:p>
      <w:pPr>
        <w:pStyle w:val="972"/>
        <w:spacing w:line="760" w:lineRule="exact"/>
        <w:rPr>
          <w:rFonts w:asciiTheme="minorEastAsia" w:hAnsiTheme="minorEastAsia" w:eastAsiaTheme="minorEastAsia" w:cstheme="minorEastAsia"/>
          <w:color w:val="000000" w:themeColor="text1"/>
          <w:sz w:val="72"/>
          <w:szCs w:val="72"/>
          <w14:textFill>
            <w14:solidFill>
              <w14:schemeClr w14:val="tx1"/>
            </w14:solidFill>
          </w14:textFill>
        </w:rPr>
      </w:pPr>
    </w:p>
    <w:p>
      <w:pPr>
        <w:pStyle w:val="24"/>
        <w:jc w:val="center"/>
        <w:rPr>
          <w:rFonts w:asciiTheme="minorEastAsia" w:hAnsiTheme="minorEastAsia" w:eastAsiaTheme="minorEastAsia" w:cstheme="minorEastAsia"/>
          <w:b/>
          <w:bCs/>
          <w:color w:val="000000" w:themeColor="text1"/>
          <w:sz w:val="48"/>
          <w:szCs w:val="48"/>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val="en-US"/>
          <w14:textFill>
            <w14:solidFill>
              <w14:schemeClr w14:val="tx1"/>
            </w14:solidFill>
          </w14:textFill>
        </w:rPr>
        <w:t>义桥镇</w:t>
      </w:r>
      <w:r>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t>星荷社区荷韵江南苑、星天地、悦风荷锦庭</w:t>
      </w:r>
      <w:r>
        <w:rPr>
          <w:rFonts w:hint="eastAsia" w:asciiTheme="minorEastAsia" w:hAnsiTheme="minorEastAsia" w:eastAsiaTheme="minorEastAsia" w:cstheme="minorEastAsia"/>
          <w:b/>
          <w:bCs/>
          <w:color w:val="000000" w:themeColor="text1"/>
          <w:sz w:val="44"/>
          <w:szCs w:val="44"/>
          <w:lang w:val="en-US"/>
          <w14:textFill>
            <w14:solidFill>
              <w14:schemeClr w14:val="tx1"/>
            </w14:solidFill>
          </w14:textFill>
        </w:rPr>
        <w:t>小区垃圾分类第三方服务</w:t>
      </w:r>
    </w:p>
    <w:p>
      <w:pPr>
        <w:pStyle w:val="85"/>
        <w:rPr>
          <w:rFonts w:asciiTheme="minorEastAsia" w:hAnsiTheme="minorEastAsia" w:eastAsiaTheme="minorEastAsia" w:cstheme="minorEastAsia"/>
          <w:color w:val="000000" w:themeColor="text1"/>
          <w:lang w:eastAsia="zh-CN"/>
          <w14:textFill>
            <w14:solidFill>
              <w14:schemeClr w14:val="tx1"/>
            </w14:solidFill>
          </w14:textFill>
        </w:rPr>
      </w:pPr>
    </w:p>
    <w:p>
      <w:pPr>
        <w:adjustRightInd/>
        <w:spacing w:line="360" w:lineRule="auto"/>
        <w:jc w:val="center"/>
        <w:rPr>
          <w:rFonts w:asciiTheme="minorEastAsia" w:hAnsiTheme="minorEastAsia" w:eastAsiaTheme="minorEastAsia" w:cstheme="minorEastAsia"/>
          <w:color w:val="000000" w:themeColor="text1"/>
          <w:sz w:val="72"/>
          <w:szCs w:val="72"/>
          <w14:textFill>
            <w14:solidFill>
              <w14:schemeClr w14:val="tx1"/>
            </w14:solidFill>
          </w14:textFill>
        </w:rPr>
      </w:pPr>
    </w:p>
    <w:p>
      <w:pPr>
        <w:adjustRightInd/>
        <w:spacing w:line="360" w:lineRule="auto"/>
        <w:jc w:val="center"/>
        <w:rPr>
          <w:rFonts w:asciiTheme="minorEastAsia" w:hAnsiTheme="minorEastAsia" w:eastAsiaTheme="minorEastAsia" w:cstheme="minorEastAsia"/>
          <w:color w:val="000000" w:themeColor="text1"/>
          <w:sz w:val="56"/>
          <w:szCs w:val="56"/>
          <w14:textFill>
            <w14:solidFill>
              <w14:schemeClr w14:val="tx1"/>
            </w14:solidFill>
          </w14:textFill>
        </w:rPr>
      </w:pPr>
      <w:r>
        <w:rPr>
          <w:rFonts w:hint="eastAsia" w:asciiTheme="minorEastAsia" w:hAnsiTheme="minorEastAsia" w:eastAsiaTheme="minorEastAsia" w:cstheme="minorEastAsia"/>
          <w:color w:val="000000" w:themeColor="text1"/>
          <w:sz w:val="56"/>
          <w:szCs w:val="56"/>
          <w14:textFill>
            <w14:solidFill>
              <w14:schemeClr w14:val="tx1"/>
            </w14:solidFill>
          </w14:textFill>
        </w:rPr>
        <w:t>交易文件</w:t>
      </w:r>
    </w:p>
    <w:p>
      <w:pPr>
        <w:adjustRightInd/>
        <w:spacing w:line="360" w:lineRule="auto"/>
        <w:jc w:val="center"/>
        <w:rPr>
          <w:rFonts w:asciiTheme="minorEastAsia" w:hAnsiTheme="minorEastAsia" w:eastAsiaTheme="minorEastAsia" w:cstheme="minorEastAsia"/>
          <w:color w:val="000000" w:themeColor="text1"/>
          <w:sz w:val="72"/>
          <w:szCs w:val="7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（电子交易）</w:t>
      </w:r>
    </w:p>
    <w:p>
      <w:pPr>
        <w:adjustRightInd/>
        <w:spacing w:line="360" w:lineRule="auto"/>
        <w:jc w:val="center"/>
        <w:rPr>
          <w:rFonts w:asciiTheme="minorEastAsia" w:hAnsiTheme="minorEastAsia" w:eastAsiaTheme="minorEastAsia" w:cstheme="minorEastAsia"/>
          <w:color w:val="000000" w:themeColor="text1"/>
          <w:sz w:val="44"/>
          <w:szCs w:val="44"/>
          <w14:textFill>
            <w14:solidFill>
              <w14:schemeClr w14:val="tx1"/>
            </w14:solidFill>
          </w14:textFill>
        </w:rPr>
      </w:pPr>
    </w:p>
    <w:p>
      <w:pPr>
        <w:snapToGrid w:val="0"/>
        <w:spacing w:line="360" w:lineRule="auto"/>
        <w:jc w:val="cente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交易编号：</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XS10202507007</w:t>
      </w:r>
    </w:p>
    <w:p>
      <w:pPr>
        <w:adjustRightInd/>
        <w:spacing w:line="360" w:lineRule="auto"/>
        <w:rPr>
          <w:rFonts w:asciiTheme="minorEastAsia" w:hAnsiTheme="minorEastAsia" w:eastAsiaTheme="minorEastAsia" w:cstheme="minorEastAsia"/>
          <w:color w:val="000000" w:themeColor="text1"/>
          <w:sz w:val="28"/>
          <w:szCs w:val="20"/>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 w:val="44"/>
          <w:szCs w:val="44"/>
          <w14:textFill>
            <w14:solidFill>
              <w14:schemeClr w14:val="tx1"/>
            </w14:solidFill>
          </w14:textFill>
        </w:rPr>
      </w:pPr>
    </w:p>
    <w:p>
      <w:pPr>
        <w:pStyle w:val="87"/>
        <w:rPr>
          <w:rFonts w:asciiTheme="minorEastAsia" w:hAnsiTheme="minorEastAsia" w:eastAsiaTheme="minorEastAsia" w:cstheme="minorEastAsia"/>
          <w:color w:val="000000" w:themeColor="text1"/>
          <w14:textFill>
            <w14:solidFill>
              <w14:schemeClr w14:val="tx1"/>
            </w14:solidFill>
          </w14:textFill>
        </w:rPr>
      </w:pPr>
    </w:p>
    <w:p>
      <w:pPr>
        <w:pStyle w:val="87"/>
        <w:rPr>
          <w:rFonts w:asciiTheme="minorEastAsia" w:hAnsiTheme="minorEastAsia" w:eastAsiaTheme="minorEastAsia" w:cstheme="minorEastAsia"/>
          <w:color w:val="000000" w:themeColor="text1"/>
          <w14:textFill>
            <w14:solidFill>
              <w14:schemeClr w14:val="tx1"/>
            </w14:solidFill>
          </w14:textFill>
        </w:rPr>
      </w:pPr>
    </w:p>
    <w:p>
      <w:pPr>
        <w:pStyle w:val="85"/>
        <w:ind w:firstLine="0"/>
        <w:rPr>
          <w:rFonts w:asciiTheme="minorEastAsia" w:hAnsiTheme="minorEastAsia" w:eastAsiaTheme="minorEastAsia" w:cstheme="minorEastAsia"/>
          <w:color w:val="000000" w:themeColor="text1"/>
          <w:lang w:eastAsia="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 w:val="32"/>
          <w:szCs w:val="30"/>
          <w14:textFill>
            <w14:solidFill>
              <w14:schemeClr w14:val="tx1"/>
            </w14:solidFill>
          </w14:textFill>
        </w:rPr>
      </w:pPr>
      <w:r>
        <w:rPr>
          <w:rFonts w:hint="eastAsia" w:asciiTheme="minorEastAsia" w:hAnsiTheme="minorEastAsia" w:eastAsiaTheme="minorEastAsia" w:cstheme="minorEastAsia"/>
          <w:color w:val="000000" w:themeColor="text1"/>
          <w:sz w:val="32"/>
          <w:szCs w:val="30"/>
          <w14:textFill>
            <w14:solidFill>
              <w14:schemeClr w14:val="tx1"/>
            </w14:solidFill>
          </w14:textFill>
        </w:rPr>
        <w:t>交易发起人：浙江省杭州市萧山区义桥镇</w:t>
      </w:r>
      <w:r>
        <w:rPr>
          <w:rFonts w:hint="eastAsia" w:asciiTheme="minorEastAsia" w:hAnsiTheme="minorEastAsia" w:eastAsiaTheme="minorEastAsia" w:cstheme="minorEastAsia"/>
          <w:color w:val="000000" w:themeColor="text1"/>
          <w:sz w:val="32"/>
          <w:szCs w:val="30"/>
          <w:lang w:val="en-US" w:eastAsia="zh-CN"/>
          <w14:textFill>
            <w14:solidFill>
              <w14:schemeClr w14:val="tx1"/>
            </w14:solidFill>
          </w14:textFill>
        </w:rPr>
        <w:t>星荷</w:t>
      </w:r>
      <w:r>
        <w:rPr>
          <w:rFonts w:hint="eastAsia" w:asciiTheme="minorEastAsia" w:hAnsiTheme="minorEastAsia" w:eastAsiaTheme="minorEastAsia" w:cstheme="minorEastAsia"/>
          <w:color w:val="000000" w:themeColor="text1"/>
          <w:sz w:val="32"/>
          <w:szCs w:val="30"/>
          <w14:textFill>
            <w14:solidFill>
              <w14:schemeClr w14:val="tx1"/>
            </w14:solidFill>
          </w14:textFill>
        </w:rPr>
        <w:t>社区居民委员会</w:t>
      </w:r>
    </w:p>
    <w:p>
      <w:pPr>
        <w:spacing w:line="360" w:lineRule="auto"/>
        <w:jc w:val="center"/>
        <w:rPr>
          <w:rFonts w:asciiTheme="minorEastAsia" w:hAnsiTheme="minorEastAsia" w:eastAsiaTheme="minorEastAsia" w:cstheme="minorEastAsia"/>
          <w:color w:val="000000" w:themeColor="text1"/>
          <w:sz w:val="32"/>
          <w:szCs w:val="30"/>
          <w14:textFill>
            <w14:solidFill>
              <w14:schemeClr w14:val="tx1"/>
            </w14:solidFill>
          </w14:textFill>
        </w:rPr>
      </w:pPr>
      <w:r>
        <w:rPr>
          <w:rFonts w:hint="eastAsia" w:asciiTheme="minorEastAsia" w:hAnsiTheme="minorEastAsia" w:eastAsiaTheme="minorEastAsia" w:cstheme="minorEastAsia"/>
          <w:color w:val="000000" w:themeColor="text1"/>
          <w:sz w:val="32"/>
          <w:szCs w:val="30"/>
          <w14:textFill>
            <w14:solidFill>
              <w14:schemeClr w14:val="tx1"/>
            </w14:solidFill>
          </w14:textFill>
        </w:rPr>
        <w:t>代理机构：杭州广业建设工程咨询有限公司</w:t>
      </w:r>
    </w:p>
    <w:p>
      <w:pPr>
        <w:spacing w:line="360" w:lineRule="auto"/>
        <w:jc w:val="center"/>
        <w:rPr>
          <w:rFonts w:asciiTheme="minorEastAsia" w:hAnsiTheme="minorEastAsia" w:eastAsiaTheme="minorEastAsia" w:cstheme="minorEastAsia"/>
          <w:bCs/>
          <w:color w:val="000000" w:themeColor="text1"/>
          <w:sz w:val="48"/>
          <w:szCs w:val="48"/>
          <w14:textFill>
            <w14:solidFill>
              <w14:schemeClr w14:val="tx1"/>
            </w14:solidFill>
          </w14:textFill>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r>
        <w:rPr>
          <w:rFonts w:hint="eastAsia" w:asciiTheme="minorEastAsia" w:hAnsiTheme="minorEastAsia" w:eastAsiaTheme="minorEastAsia" w:cstheme="minorEastAsia"/>
          <w:color w:val="000000" w:themeColor="text1"/>
          <w:sz w:val="32"/>
          <w:szCs w:val="30"/>
          <w14:textFill>
            <w14:solidFill>
              <w14:schemeClr w14:val="tx1"/>
            </w14:solidFill>
          </w14:textFill>
        </w:rPr>
        <w:t>2025年</w:t>
      </w:r>
      <w:r>
        <w:rPr>
          <w:rFonts w:asciiTheme="minorEastAsia" w:hAnsiTheme="minorEastAsia" w:eastAsiaTheme="minorEastAsia" w:cstheme="minorEastAsia"/>
          <w:color w:val="000000" w:themeColor="text1"/>
          <w:sz w:val="32"/>
          <w:szCs w:val="30"/>
          <w14:textFill>
            <w14:solidFill>
              <w14:schemeClr w14:val="tx1"/>
            </w14:solidFill>
          </w14:textFill>
        </w:rPr>
        <w:t>7</w:t>
      </w:r>
      <w:r>
        <w:rPr>
          <w:rFonts w:hint="eastAsia" w:asciiTheme="minorEastAsia" w:hAnsiTheme="minorEastAsia" w:eastAsiaTheme="minorEastAsia" w:cstheme="minorEastAsia"/>
          <w:color w:val="000000" w:themeColor="text1"/>
          <w:sz w:val="32"/>
          <w:szCs w:val="30"/>
          <w14:textFill>
            <w14:solidFill>
              <w14:schemeClr w14:val="tx1"/>
            </w14:solidFill>
          </w14:textFill>
        </w:rPr>
        <w:t>月1</w:t>
      </w:r>
      <w:r>
        <w:rPr>
          <w:rFonts w:hint="eastAsia" w:asciiTheme="minorEastAsia" w:hAnsiTheme="minorEastAsia" w:eastAsiaTheme="minorEastAsia" w:cstheme="minorEastAsia"/>
          <w:color w:val="000000" w:themeColor="text1"/>
          <w:sz w:val="32"/>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2"/>
          <w:szCs w:val="30"/>
          <w14:textFill>
            <w14:solidFill>
              <w14:schemeClr w14:val="tx1"/>
            </w14:solidFill>
          </w14:textFill>
        </w:rPr>
        <w:t>日</w:t>
      </w:r>
    </w:p>
    <w:p>
      <w:pPr>
        <w:jc w:val="center"/>
        <w:rPr>
          <w:rFonts w:asciiTheme="minorEastAsia" w:hAnsiTheme="minorEastAsia" w:eastAsiaTheme="minorEastAsia" w:cstheme="minorEastAsia"/>
          <w:b/>
          <w:color w:val="000000" w:themeColor="text1"/>
          <w:sz w:val="48"/>
          <w:szCs w:val="48"/>
          <w14:textFill>
            <w14:solidFill>
              <w14:schemeClr w14:val="tx1"/>
            </w14:solidFill>
          </w14:textFill>
        </w:rPr>
      </w:pPr>
    </w:p>
    <w:p>
      <w:pPr>
        <w:jc w:val="center"/>
        <w:rPr>
          <w:rFonts w:asciiTheme="minorEastAsia" w:hAnsiTheme="minorEastAsia" w:eastAsiaTheme="minorEastAsia" w:cstheme="minorEastAsia"/>
          <w:b/>
          <w:color w:val="000000" w:themeColor="text1"/>
          <w:sz w:val="48"/>
          <w:szCs w:val="48"/>
          <w14:textFill>
            <w14:solidFill>
              <w14:schemeClr w14:val="tx1"/>
            </w14:solidFill>
          </w14:textFill>
        </w:rPr>
      </w:pPr>
    </w:p>
    <w:p>
      <w:pPr>
        <w:jc w:val="center"/>
        <w:rPr>
          <w:rFonts w:asciiTheme="minorEastAsia" w:hAnsiTheme="minorEastAsia" w:eastAsiaTheme="minorEastAsia" w:cstheme="minorEastAsia"/>
          <w:b/>
          <w:color w:val="000000" w:themeColor="text1"/>
          <w:sz w:val="48"/>
          <w:szCs w:val="48"/>
          <w14:textFill>
            <w14:solidFill>
              <w14:schemeClr w14:val="tx1"/>
            </w14:solidFill>
          </w14:textFill>
        </w:rPr>
      </w:pPr>
      <w:r>
        <w:rPr>
          <w:rFonts w:hint="eastAsia" w:asciiTheme="minorEastAsia" w:hAnsiTheme="minorEastAsia" w:eastAsiaTheme="minorEastAsia" w:cstheme="minorEastAsia"/>
          <w:b/>
          <w:color w:val="000000" w:themeColor="text1"/>
          <w:sz w:val="48"/>
          <w:szCs w:val="48"/>
          <w14:textFill>
            <w14:solidFill>
              <w14:schemeClr w14:val="tx1"/>
            </w14:solidFill>
          </w14:textFill>
        </w:rPr>
        <w:t>目  录</w:t>
      </w:r>
    </w:p>
    <w:p>
      <w:pPr>
        <w:spacing w:line="360" w:lineRule="auto"/>
        <w:rPr>
          <w:rFonts w:asciiTheme="minorEastAsia" w:hAnsiTheme="minorEastAsia" w:eastAsiaTheme="minorEastAsia" w:cstheme="minorEastAsia"/>
          <w:color w:val="000000" w:themeColor="text1"/>
          <w:sz w:val="32"/>
          <w:szCs w:val="32"/>
          <w14:textFill>
            <w14:solidFill>
              <w14:schemeClr w14:val="tx1"/>
            </w14:solidFill>
          </w14:textFill>
        </w:rPr>
      </w:pPr>
    </w:p>
    <w:p>
      <w:pPr>
        <w:spacing w:line="360" w:lineRule="auto"/>
        <w:rPr>
          <w:rFonts w:asciiTheme="minorEastAsia" w:hAnsiTheme="minorEastAsia" w:eastAsiaTheme="minorEastAsia" w:cstheme="minorEastAsia"/>
          <w:color w:val="000000" w:themeColor="text1"/>
          <w:sz w:val="32"/>
          <w:szCs w:val="32"/>
          <w14:textFill>
            <w14:solidFill>
              <w14:schemeClr w14:val="tx1"/>
            </w14:solidFill>
          </w14:textFill>
        </w:rPr>
      </w:pP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第一部分      交易公告</w:t>
      </w: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第二部分      响应人须知</w:t>
      </w: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第三部分      交易需求</w:t>
      </w: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第四部分      交易办法</w:t>
      </w: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第六部分      应提交的有关格式范例</w:t>
      </w: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bookmarkStart w:id="0" w:name="_Hlt91233176"/>
      <w:bookmarkEnd w:id="0"/>
      <w:bookmarkStart w:id="1" w:name="_Toc91899869"/>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549" w:firstLineChars="229"/>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pPr>
        <w:adjustRightInd/>
        <w:spacing w:line="360" w:lineRule="auto"/>
        <w:jc w:val="center"/>
        <w:outlineLvl w:val="0"/>
        <w:rPr>
          <w:rFonts w:asciiTheme="minorEastAsia" w:hAnsiTheme="minorEastAsia" w:eastAsiaTheme="minorEastAsia" w:cstheme="minorEastAsia"/>
          <w:b/>
          <w:color w:val="000000" w:themeColor="text1"/>
          <w:sz w:val="36"/>
          <w:szCs w:val="20"/>
          <w14:textFill>
            <w14:solidFill>
              <w14:schemeClr w14:val="tx1"/>
            </w14:solidFill>
          </w14:textFill>
        </w:rPr>
      </w:pPr>
      <w:bookmarkStart w:id="2" w:name="第一部分"/>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Theme="minorEastAsia" w:hAnsiTheme="minorEastAsia" w:eastAsiaTheme="minorEastAsia" w:cstheme="minorEastAsia"/>
          <w:b/>
          <w:color w:val="000000" w:themeColor="text1"/>
          <w:sz w:val="36"/>
          <w:szCs w:val="20"/>
          <w14:textFill>
            <w14:solidFill>
              <w14:schemeClr w14:val="tx1"/>
            </w14:solidFill>
          </w14:textFill>
        </w:rPr>
        <w:t>第一部分 交易公告</w:t>
      </w:r>
    </w:p>
    <w:tbl>
      <w:tblPr>
        <w:tblStyle w:val="65"/>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4" w:type="dxa"/>
          </w:tcPr>
          <w:p>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项目概况</w:t>
            </w:r>
          </w:p>
          <w:p>
            <w:pPr>
              <w:widowControl/>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义桥镇</w:t>
            </w:r>
            <w:r>
              <w:rPr>
                <w:rFonts w:hint="eastAsia"/>
                <w:color w:val="000000" w:themeColor="text1"/>
                <w:u w:val="single"/>
                <w:lang w:val="en-US" w:eastAsia="zh-CN"/>
                <w14:textFill>
                  <w14:solidFill>
                    <w14:schemeClr w14:val="tx1"/>
                  </w14:solidFill>
                </w14:textFill>
              </w:rPr>
              <w:t>星荷社区荷韵江南苑、星天地、悦风荷锦庭</w:t>
            </w:r>
            <w:r>
              <w:rPr>
                <w:rFonts w:hint="eastAsia"/>
                <w:color w:val="000000" w:themeColor="text1"/>
                <w:u w:val="single"/>
                <w14:textFill>
                  <w14:solidFill>
                    <w14:schemeClr w14:val="tx1"/>
                  </w14:solidFill>
                </w14:textFill>
              </w:rPr>
              <w:t xml:space="preserve">垃圾分类第三方服务 </w:t>
            </w:r>
            <w:r>
              <w:rPr>
                <w:rFonts w:hint="eastAsia"/>
                <w:color w:val="000000" w:themeColor="text1"/>
                <w14:textFill>
                  <w14:solidFill>
                    <w14:schemeClr w14:val="tx1"/>
                  </w14:solidFill>
                </w14:textFill>
              </w:rPr>
              <w:t>招标项目的潜在投标人应在</w:t>
            </w:r>
            <w:r>
              <w:rPr>
                <w:rFonts w:hint="eastAsia" w:ascii="仿宋" w:hAnsi="仿宋" w:eastAsia="仿宋" w:cs="仿宋"/>
                <w:color w:val="000000" w:themeColor="text1"/>
                <w:sz w:val="24"/>
                <w14:textFill>
                  <w14:solidFill>
                    <w14:schemeClr w14:val="tx1"/>
                  </w14:solidFill>
                </w14:textFill>
              </w:rPr>
              <w:t>乐采云</w:t>
            </w:r>
            <w:r>
              <w:rPr>
                <w:rFonts w:hint="eastAsia"/>
                <w:color w:val="000000" w:themeColor="text1"/>
                <w14:textFill>
                  <w14:solidFill>
                    <w14:schemeClr w14:val="tx1"/>
                  </w14:solidFill>
                </w14:textFill>
              </w:rPr>
              <w:t>平台</w:t>
            </w:r>
            <w:r>
              <w:rPr>
                <w:rFonts w:hint="eastAsia"/>
                <w:color w:val="000000" w:themeColor="text1"/>
                <w:sz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"https://www.lecaiyun.com/）获取（下载）招标文件，并于2025年7月%2030%20日14点00分00秒" </w:instrText>
            </w:r>
            <w:r>
              <w:rPr>
                <w:color w:val="000000" w:themeColor="text1"/>
                <w14:textFill>
                  <w14:solidFill>
                    <w14:schemeClr w14:val="tx1"/>
                  </w14:solidFill>
                </w14:textFill>
              </w:rPr>
              <w:fldChar w:fldCharType="separate"/>
            </w:r>
            <w:r>
              <w:rPr>
                <w:rStyle w:val="78"/>
                <w:rFonts w:hint="eastAsia" w:ascii="仿宋_GB2312" w:eastAsia="仿宋_GB2312" w:cs="Times New Roman"/>
                <w:color w:val="000000" w:themeColor="text1"/>
                <w:kern w:val="2"/>
                <w:sz w:val="24"/>
                <w:szCs w:val="24"/>
                <w14:textFill>
                  <w14:solidFill>
                    <w14:schemeClr w14:val="tx1"/>
                  </w14:solidFill>
                </w14:textFill>
              </w:rPr>
              <w:t>https://www.lecaiyun.com/</w:t>
            </w:r>
            <w:r>
              <w:rPr>
                <w:rStyle w:val="78"/>
                <w:rFonts w:ascii="仿宋_GB2312" w:eastAsia="仿宋_GB2312" w:cs="Times New Roman"/>
                <w:color w:val="000000" w:themeColor="text1"/>
                <w:kern w:val="2"/>
                <w:sz w:val="24"/>
                <w:szCs w:val="24"/>
                <w14:textFill>
                  <w14:solidFill>
                    <w14:schemeClr w14:val="tx1"/>
                  </w14:solidFill>
                </w14:textFill>
              </w:rPr>
              <w:t>）获取（下载）招标文件，并于</w:t>
            </w:r>
            <w:r>
              <w:rPr>
                <w:rStyle w:val="78"/>
                <w:rFonts w:hint="eastAsia" w:ascii="Times New Roman" w:hAnsi="Times New Roman" w:eastAsia="宋体" w:cs="Times New Roman"/>
                <w:snapToGrid/>
                <w:color w:val="000000" w:themeColor="text1"/>
                <w:kern w:val="2"/>
                <w:sz w:val="24"/>
                <w:szCs w:val="24"/>
                <w14:textFill>
                  <w14:solidFill>
                    <w14:schemeClr w14:val="tx1"/>
                  </w14:solidFill>
                </w14:textFill>
              </w:rPr>
              <w:t>2025</w:t>
            </w:r>
            <w:r>
              <w:rPr>
                <w:rStyle w:val="78"/>
                <w:rFonts w:ascii="Times New Roman" w:hAnsi="Times New Roman" w:eastAsia="宋体" w:cs="Times New Roman"/>
                <w:snapToGrid/>
                <w:color w:val="000000" w:themeColor="text1"/>
                <w:kern w:val="2"/>
                <w:sz w:val="24"/>
                <w:szCs w:val="24"/>
                <w14:textFill>
                  <w14:solidFill>
                    <w14:schemeClr w14:val="tx1"/>
                  </w14:solidFill>
                </w14:textFill>
              </w:rPr>
              <w:t>年</w:t>
            </w:r>
            <w:r>
              <w:rPr>
                <w:rStyle w:val="78"/>
                <w:rFonts w:hint="eastAsia" w:cs="Times New Roman"/>
                <w:snapToGrid/>
                <w:color w:val="000000" w:themeColor="text1"/>
                <w:kern w:val="2"/>
                <w:sz w:val="24"/>
                <w:szCs w:val="24"/>
                <w:lang w:val="en-US" w:eastAsia="zh-CN"/>
                <w14:textFill>
                  <w14:solidFill>
                    <w14:schemeClr w14:val="tx1"/>
                  </w14:solidFill>
                </w14:textFill>
              </w:rPr>
              <w:t>8</w:t>
            </w:r>
            <w:r>
              <w:rPr>
                <w:rStyle w:val="78"/>
                <w:rFonts w:hint="eastAsia" w:ascii="Times New Roman" w:hAnsi="Times New Roman" w:eastAsia="宋体" w:cs="Times New Roman"/>
                <w:snapToGrid/>
                <w:color w:val="000000" w:themeColor="text1"/>
                <w:kern w:val="2"/>
                <w:sz w:val="24"/>
                <w:szCs w:val="24"/>
                <w14:textFill>
                  <w14:solidFill>
                    <w14:schemeClr w14:val="tx1"/>
                  </w14:solidFill>
                </w14:textFill>
              </w:rPr>
              <w:t>月</w:t>
            </w:r>
            <w:r>
              <w:rPr>
                <w:rStyle w:val="78"/>
                <w:rFonts w:hint="eastAsia" w:cs="Times New Roman"/>
                <w:snapToGrid/>
                <w:color w:val="000000" w:themeColor="text1"/>
                <w:kern w:val="2"/>
                <w:sz w:val="24"/>
                <w:szCs w:val="24"/>
                <w:lang w:val="en-US" w:eastAsia="zh-CN"/>
                <w14:textFill>
                  <w14:solidFill>
                    <w14:schemeClr w14:val="tx1"/>
                  </w14:solidFill>
                </w14:textFill>
              </w:rPr>
              <w:t>12</w:t>
            </w:r>
            <w:r>
              <w:rPr>
                <w:rStyle w:val="78"/>
                <w:rFonts w:hint="eastAsia" w:ascii="Times New Roman" w:hAnsi="Times New Roman" w:eastAsia="宋体" w:cs="Times New Roman"/>
                <w:snapToGrid/>
                <w:color w:val="000000" w:themeColor="text1"/>
                <w:kern w:val="2"/>
                <w:sz w:val="24"/>
                <w:szCs w:val="24"/>
                <w14:textFill>
                  <w14:solidFill>
                    <w14:schemeClr w14:val="tx1"/>
                  </w14:solidFill>
                </w14:textFill>
              </w:rPr>
              <w:t>日14点00分</w:t>
            </w:r>
            <w:r>
              <w:rPr>
                <w:rStyle w:val="78"/>
                <w:rFonts w:hint="eastAsia" w:ascii="Times New Roman" w:hAnsi="Times New Roman" w:eastAsia="宋体" w:cs="Times New Roman"/>
                <w:bCs/>
                <w:snapToGrid/>
                <w:color w:val="000000" w:themeColor="text1"/>
                <w:kern w:val="2"/>
                <w:sz w:val="24"/>
                <w:szCs w:val="24"/>
                <w14:textFill>
                  <w14:solidFill>
                    <w14:schemeClr w14:val="tx1"/>
                  </w14:solidFill>
                </w14:textFill>
              </w:rPr>
              <w:t>00秒</w:t>
            </w:r>
            <w:r>
              <w:rPr>
                <w:rStyle w:val="78"/>
                <w:rFonts w:hint="eastAsia" w:ascii="Times New Roman" w:hAnsi="Times New Roman" w:eastAsia="宋体" w:cs="Times New Roman"/>
                <w:bCs/>
                <w:snapToGrid/>
                <w:color w:val="000000" w:themeColor="text1"/>
                <w:kern w:val="2"/>
                <w:sz w:val="24"/>
                <w:szCs w:val="24"/>
                <w14:textFill>
                  <w14:solidFill>
                    <w14:schemeClr w14:val="tx1"/>
                  </w14:solidFill>
                </w14:textFill>
              </w:rPr>
              <w:fldChar w:fldCharType="end"/>
            </w:r>
            <w:r>
              <w:rPr>
                <w:rFonts w:hint="eastAsia"/>
                <w:bCs/>
                <w:color w:val="000000" w:themeColor="text1"/>
                <w14:textFill>
                  <w14:solidFill>
                    <w14:schemeClr w14:val="tx1"/>
                  </w14:solidFill>
                </w14:textFill>
              </w:rPr>
              <w:t>（北京时间）前</w:t>
            </w:r>
            <w:r>
              <w:rPr>
                <w:rFonts w:hint="eastAsia"/>
                <w:color w:val="000000" w:themeColor="text1"/>
                <w14:textFill>
                  <w14:solidFill>
                    <w14:schemeClr w14:val="tx1"/>
                  </w14:solidFill>
                </w14:textFill>
              </w:rPr>
              <w:t>递交（上传）投标文件。</w:t>
            </w:r>
          </w:p>
        </w:tc>
      </w:tr>
    </w:tbl>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一、基本情况</w:t>
      </w:r>
    </w:p>
    <w:p>
      <w:pPr>
        <w:spacing w:line="360" w:lineRule="auto"/>
        <w:ind w:firstLine="482" w:firstLineChars="200"/>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交易编号：</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XS10202507007</w:t>
      </w:r>
    </w:p>
    <w:p>
      <w:pPr>
        <w:spacing w:line="360" w:lineRule="auto"/>
        <w:ind w:firstLine="482"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交易名称：</w:t>
      </w:r>
      <w:r>
        <w:rPr>
          <w:rFonts w:hint="eastAsia" w:asciiTheme="minorEastAsia" w:hAnsiTheme="minorEastAsia" w:eastAsiaTheme="minorEastAsia" w:cstheme="minorEastAsia"/>
          <w:b w:val="0"/>
          <w:bCs/>
          <w:color w:val="000000" w:themeColor="text1"/>
          <w:sz w:val="24"/>
          <w14:textFill>
            <w14:solidFill>
              <w14:schemeClr w14:val="tx1"/>
            </w14:solidFill>
          </w14:textFill>
        </w:rPr>
        <w:t>义桥镇</w:t>
      </w: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星荷社区荷韵江南苑、星天地、悦风荷锦庭</w:t>
      </w:r>
      <w:r>
        <w:rPr>
          <w:rFonts w:hint="eastAsia" w:asciiTheme="minorEastAsia" w:hAnsiTheme="minorEastAsia" w:eastAsiaTheme="minorEastAsia" w:cstheme="minorEastAsia"/>
          <w:b w:val="0"/>
          <w:bCs/>
          <w:color w:val="000000" w:themeColor="text1"/>
          <w:sz w:val="24"/>
          <w14:textFill>
            <w14:solidFill>
              <w14:schemeClr w14:val="tx1"/>
            </w14:solidFill>
          </w14:textFill>
        </w:rPr>
        <w:t>垃圾分类第三方服务</w:t>
      </w:r>
    </w:p>
    <w:p>
      <w:pPr>
        <w:spacing w:line="360" w:lineRule="auto"/>
        <w:ind w:firstLine="482" w:firstLineChars="200"/>
        <w:rPr>
          <w:rFonts w:hint="default" w:asciiTheme="minorEastAsia" w:hAnsiTheme="minorEastAsia" w:eastAsiaTheme="minorEastAsia" w:cstheme="minorEastAsia"/>
          <w:color w:val="000000" w:themeColor="text1"/>
          <w:sz w:val="24"/>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预算金额（元）：</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926440</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265元/户/年</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p>
    <w:p>
      <w:pPr>
        <w:spacing w:line="360" w:lineRule="auto"/>
        <w:ind w:firstLine="482" w:firstLineChars="20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最高限价（元）：</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926440</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265元/户/年）</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交易需求：</w:t>
      </w:r>
      <w:r>
        <w:rPr>
          <w:rFonts w:hint="eastAsia" w:asciiTheme="minorEastAsia" w:hAnsiTheme="minorEastAsia" w:eastAsiaTheme="minorEastAsia" w:cstheme="minorEastAsia"/>
          <w:b w:val="0"/>
          <w:bCs/>
          <w:color w:val="000000" w:themeColor="text1"/>
          <w:sz w:val="24"/>
          <w14:textFill>
            <w14:solidFill>
              <w14:schemeClr w14:val="tx1"/>
            </w14:solidFill>
          </w14:textFill>
        </w:rPr>
        <w:t>义桥镇</w:t>
      </w:r>
      <w:r>
        <w:rPr>
          <w:rFonts w:hint="eastAsia" w:asciiTheme="minorEastAsia" w:hAnsiTheme="minorEastAsia" w:eastAsiaTheme="minorEastAsia" w:cstheme="minorEastAsia"/>
          <w:b w:val="0"/>
          <w:bCs/>
          <w:color w:val="000000" w:themeColor="text1"/>
          <w:sz w:val="24"/>
          <w:lang w:val="en-US" w:eastAsia="zh-CN"/>
          <w14:textFill>
            <w14:solidFill>
              <w14:schemeClr w14:val="tx1"/>
            </w14:solidFill>
          </w14:textFill>
        </w:rPr>
        <w:t>星荷社区荷韵江南苑、星天地、悦风荷锦庭</w:t>
      </w:r>
      <w:r>
        <w:rPr>
          <w:rFonts w:hint="eastAsia" w:asciiTheme="minorEastAsia" w:hAnsiTheme="minorEastAsia" w:eastAsiaTheme="minorEastAsia" w:cstheme="minorEastAsia"/>
          <w:b w:val="0"/>
          <w:bCs/>
          <w:color w:val="000000" w:themeColor="text1"/>
          <w:sz w:val="24"/>
          <w14:textFill>
            <w14:solidFill>
              <w14:schemeClr w14:val="tx1"/>
            </w14:solidFill>
          </w14:textFill>
        </w:rPr>
        <w:t>小区垃圾分类第三方服务，详见交易需求。</w:t>
      </w:r>
    </w:p>
    <w:p>
      <w:pPr>
        <w:pStyle w:val="16"/>
        <w:spacing w:line="360" w:lineRule="auto"/>
        <w:ind w:firstLine="482"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 w:val="24"/>
          <w:szCs w:val="18"/>
          <w14:textFill>
            <w14:solidFill>
              <w14:schemeClr w14:val="tx1"/>
            </w14:solidFill>
          </w14:textFill>
        </w:rPr>
        <w:t>合同履约期限：</w:t>
      </w:r>
      <w:r>
        <w:rPr>
          <w:rFonts w:hint="eastAsia" w:asciiTheme="minorEastAsia" w:hAnsiTheme="minorEastAsia" w:eastAsiaTheme="minorEastAsia" w:cstheme="minorEastAsia"/>
          <w:color w:val="000000" w:themeColor="text1"/>
          <w:sz w:val="24"/>
          <w:szCs w:val="28"/>
          <w14:textFill>
            <w14:solidFill>
              <w14:schemeClr w14:val="tx1"/>
            </w14:solidFill>
          </w14:textFill>
        </w:rPr>
        <w:t>详见交易文件</w:t>
      </w:r>
    </w:p>
    <w:p>
      <w:pPr>
        <w:spacing w:line="360"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本项目接受联合体投标：</w:t>
      </w:r>
      <w:r>
        <w:rPr>
          <w:rFonts w:hint="eastAsia" w:asciiTheme="minorEastAsia" w:hAnsiTheme="minorEastAsia" w:eastAsiaTheme="minorEastAsia" w:cstheme="minorEastAsia"/>
          <w:bCs/>
          <w:color w:val="000000" w:themeColor="text1"/>
          <w:sz w:val="24"/>
          <w14:textFill>
            <w14:solidFill>
              <w14:schemeClr w14:val="tx1"/>
            </w14:solidFill>
          </w14:textFill>
        </w:rPr>
        <w:t>（ ）是；（√）否。</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二、申请人的资格要求</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1、具有独立承担民事责任的能力；</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2、具有良好的商业信誉和健全的财务会计制度；</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3、具有履行合同所必需的设备和专业技术能力；</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4、有依法缴纳税收和社会保障资金的良好记录；</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5、参加交易活动前三年内，在经营活动中没有重大违法记录；</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6、法律、行政法规规定的其他条件；</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7、落实政府采购政策需满足的资格要求：专门面向中小企业；</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8、本项目的特定资格要求：无；</w:t>
      </w:r>
    </w:p>
    <w:p>
      <w:pPr>
        <w:pStyle w:val="25"/>
        <w:ind w:firstLine="480" w:firstLineChars="200"/>
        <w:rPr>
          <w:rFonts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lang w:val="en-US"/>
          <w14:textFill>
            <w14:solidFill>
              <w14:schemeClr w14:val="tx1"/>
            </w14:solidFill>
          </w14:textFill>
        </w:rPr>
        <w:t>9、</w:t>
      </w:r>
      <w:r>
        <w:rPr>
          <w:rFonts w:hint="eastAsia" w:asciiTheme="minorEastAsia" w:hAnsiTheme="minorEastAsia" w:eastAsiaTheme="minorEastAsia" w:cstheme="minorEastAsia"/>
          <w:color w:val="000000" w:themeColor="text1"/>
          <w14:textFill>
            <w14:solidFill>
              <w14:schemeClr w14:val="tx1"/>
            </w14:solidFill>
          </w14:textFill>
        </w:rPr>
        <w:t>本项目不接受联合体参与（潜在响应人能独立完成本项目）。</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三、获取交易文件</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时间：</w:t>
      </w:r>
      <w:r>
        <w:rPr>
          <w:rFonts w:hint="eastAsia" w:asciiTheme="minorEastAsia" w:hAnsiTheme="minorEastAsia" w:eastAsiaTheme="minorEastAsia" w:cstheme="minorEastAsia"/>
          <w:color w:val="000000" w:themeColor="text1"/>
          <w:sz w:val="24"/>
          <w14:textFill>
            <w14:solidFill>
              <w14:schemeClr w14:val="tx1"/>
            </w14:solidFill>
          </w14:textFill>
        </w:rPr>
        <w:t>/至</w:t>
      </w:r>
      <w:r>
        <w:rPr>
          <w:rFonts w:hint="eastAsia" w:asciiTheme="minorEastAsia" w:hAnsiTheme="minorEastAsia" w:eastAsiaTheme="minorEastAsia" w:cstheme="minorEastAsia"/>
          <w:color w:val="000000" w:themeColor="text1"/>
          <w:sz w:val="24"/>
          <w:u w:val="single"/>
          <w14:textFill>
            <w14:solidFill>
              <w14:schemeClr w14:val="tx1"/>
            </w14:solidFill>
          </w14:textFill>
        </w:rPr>
        <w:t>2025年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14:textFill>
            <w14:solidFill>
              <w14:schemeClr w14:val="tx1"/>
            </w14:solidFill>
          </w14:textFill>
        </w:rPr>
        <w:t>，每天上午00:00至12:00 ，下午12:00至23:59（北京时间，线上获取法定节假日均可）</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地点（网址）：</w:t>
      </w:r>
      <w:r>
        <w:rPr>
          <w:rFonts w:hint="eastAsia" w:asciiTheme="minorEastAsia" w:hAnsiTheme="minorEastAsia" w:eastAsiaTheme="minorEastAsia" w:cstheme="minorEastAsia"/>
          <w:color w:val="000000" w:themeColor="text1"/>
          <w:sz w:val="24"/>
          <w14:textFill>
            <w14:solidFill>
              <w14:schemeClr w14:val="tx1"/>
            </w14:solidFill>
          </w14:textFill>
        </w:rPr>
        <w:t>乐采云平台（www.lecaiyun.com）</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方式：</w:t>
      </w:r>
      <w:r>
        <w:rPr>
          <w:rFonts w:hint="eastAsia" w:asciiTheme="minorEastAsia" w:hAnsiTheme="minorEastAsia" w:eastAsiaTheme="minorEastAsia" w:cstheme="minorEastAsia"/>
          <w:color w:val="000000" w:themeColor="text1"/>
          <w:sz w:val="24"/>
          <w14:textFill>
            <w14:solidFill>
              <w14:schemeClr w14:val="tx1"/>
            </w14:solidFill>
          </w14:textFill>
        </w:rPr>
        <w:t xml:space="preserve">响应人登录乐采云平台（www.lecaiyun.com）在线申请获取交易文件（进入“项目采购”应用，在获取采购文件菜单中选择项目，申请获取交易文件）。 </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售价（元）：</w:t>
      </w:r>
      <w:r>
        <w:rPr>
          <w:rFonts w:hint="eastAsia" w:asciiTheme="minorEastAsia" w:hAnsiTheme="minorEastAsia" w:eastAsiaTheme="minorEastAsia" w:cstheme="minorEastAsia"/>
          <w:color w:val="000000" w:themeColor="text1"/>
          <w:sz w:val="24"/>
          <w14:textFill>
            <w14:solidFill>
              <w14:schemeClr w14:val="tx1"/>
            </w14:solidFill>
          </w14:textFill>
        </w:rPr>
        <w:t>0</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四、提交响应文件截止时间、交易时间和地点</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提交响应文件截止时间：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2025年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u w:val="single"/>
          <w14:textFill>
            <w14:solidFill>
              <w14:schemeClr w14:val="tx1"/>
            </w14:solidFill>
          </w14:textFill>
        </w:rPr>
        <w:t>日14点00分</w:t>
      </w:r>
      <w:r>
        <w:rPr>
          <w:rFonts w:hint="eastAsia" w:asciiTheme="minorEastAsia" w:hAnsiTheme="minorEastAsia" w:eastAsiaTheme="minorEastAsia" w:cstheme="minorEastAsia"/>
          <w:color w:val="000000" w:themeColor="text1"/>
          <w:sz w:val="24"/>
          <w14:textFill>
            <w14:solidFill>
              <w14:schemeClr w14:val="tx1"/>
            </w14:solidFill>
          </w14:textFill>
        </w:rPr>
        <w:t>（北京时间）</w:t>
      </w:r>
    </w:p>
    <w:p>
      <w:pPr>
        <w:spacing w:line="360"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投标地点（网址）：</w:t>
      </w:r>
      <w:r>
        <w:rPr>
          <w:rFonts w:hint="eastAsia" w:asciiTheme="minorEastAsia" w:hAnsiTheme="minorEastAsia" w:eastAsiaTheme="minorEastAsia" w:cstheme="minorEastAsia"/>
          <w:color w:val="000000" w:themeColor="text1"/>
          <w:sz w:val="24"/>
          <w14:textFill>
            <w14:solidFill>
              <w14:schemeClr w14:val="tx1"/>
            </w14:solidFill>
          </w14:textFill>
        </w:rPr>
        <w:t xml:space="preserve">乐采云平台（www.lecaiyun.com） </w:t>
      </w:r>
    </w:p>
    <w:p>
      <w:pPr>
        <w:spacing w:line="360" w:lineRule="auto"/>
        <w:ind w:firstLine="482" w:firstLineChars="200"/>
        <w:rPr>
          <w:rFonts w:asciiTheme="minorEastAsia" w:hAnsiTheme="minorEastAsia" w:eastAsiaTheme="minorEastAsia" w:cstheme="minorEastAsia"/>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交易时间：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2025年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u w:val="single"/>
          <w14:textFill>
            <w14:solidFill>
              <w14:schemeClr w14:val="tx1"/>
            </w14:solidFill>
          </w14:textFill>
        </w:rPr>
        <w:t>日14点00分</w:t>
      </w:r>
    </w:p>
    <w:p>
      <w:pPr>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开标地点（网址）：</w:t>
      </w:r>
      <w:r>
        <w:rPr>
          <w:rFonts w:hint="eastAsia" w:asciiTheme="minorEastAsia" w:hAnsiTheme="minorEastAsia" w:eastAsiaTheme="minorEastAsia" w:cstheme="minorEastAsia"/>
          <w:color w:val="000000" w:themeColor="text1"/>
          <w:sz w:val="24"/>
          <w14:textFill>
            <w14:solidFill>
              <w14:schemeClr w14:val="tx1"/>
            </w14:solidFill>
          </w14:textFill>
        </w:rPr>
        <w:t>乐采云平台（www.lecaiyun.com）</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五、其他补充事宜</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响应人认为交易文件使自己的权益受到损害的，可以自获取交易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其他事项：电子招投标的说明：①电子招投标：本项目以数据电文形式，依托“乐采云平台（www.lecaiyun.com）”进行招投标活动，不接受纸质响应文件；②投标准备：注册账号--点击“商家入驻”，进行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交易文件的获取：使用账号登录或者使用CA登录乐采云平台；进入“项目采购”应用，在获取采购文件菜单中选择项目，获取交易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交易文件的响应人进行投标活动； ⑥对未按上述方式获取交易文件的响应人对该文件提出的异议，交易发起人或代理机构将不予处理；⑦不提供交易文件纸质版；⑧响应文件的传输递交：响应人在响应截止时间前将加密的响应文件上传至乐采云平台；⑨响应文件的解密：响应人按照平台提示和交易文件的规定在半小时内完成在线解密。通过“乐采云平台”上传递交的响应文件无法按时解密，视为响应文件撤回；⑩具体操作指南：详见乐采云平台“服务中心-帮助文档-项目采购-操作流程-电子招投标-采购项目电子交易管理操作指南-供应商”。</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六、对本次交易提出异议、投诉，请按以下方式联系</w:t>
      </w:r>
    </w:p>
    <w:p>
      <w:pPr>
        <w:widowControl/>
        <w:spacing w:line="360" w:lineRule="auto"/>
        <w:ind w:firstLine="480" w:firstLineChars="200"/>
        <w:jc w:val="left"/>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1、交易发起人信息</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 称：浙江省杭州市萧山区义桥镇</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星荷</w:t>
      </w:r>
      <w:r>
        <w:rPr>
          <w:rFonts w:hint="eastAsia" w:asciiTheme="minorEastAsia" w:hAnsiTheme="minorEastAsia" w:eastAsiaTheme="minorEastAsia" w:cstheme="minorEastAsia"/>
          <w:color w:val="000000" w:themeColor="text1"/>
          <w:sz w:val="24"/>
          <w14:textFill>
            <w14:solidFill>
              <w14:schemeClr w14:val="tx1"/>
            </w14:solidFill>
          </w14:textFill>
        </w:rPr>
        <w:t>社区居民委员会</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地址：杭州市萧山区义桥镇</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星荷</w:t>
      </w:r>
      <w:r>
        <w:rPr>
          <w:rFonts w:hint="eastAsia" w:asciiTheme="minorEastAsia" w:hAnsiTheme="minorEastAsia" w:eastAsiaTheme="minorEastAsia" w:cstheme="minorEastAsia"/>
          <w:color w:val="000000" w:themeColor="text1"/>
          <w:sz w:val="24"/>
          <w14:textFill>
            <w14:solidFill>
              <w14:schemeClr w14:val="tx1"/>
            </w14:solidFill>
          </w14:textFill>
        </w:rPr>
        <w:t>社区</w:t>
      </w:r>
    </w:p>
    <w:p>
      <w:pPr>
        <w:spacing w:line="360" w:lineRule="auto"/>
        <w:ind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项目联系人（询问）：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王沥波</w:t>
      </w:r>
    </w:p>
    <w:p>
      <w:pPr>
        <w:spacing w:line="360" w:lineRule="auto"/>
        <w:ind w:firstLine="480" w:firstLineChars="20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项目联系方式（询问）：</w:t>
      </w:r>
      <w:r>
        <w:rPr>
          <w:rFonts w:asciiTheme="minorEastAsia" w:hAnsiTheme="minorEastAsia" w:eastAsiaTheme="minorEastAsia" w:cstheme="minorEastAsia"/>
          <w:color w:val="000000" w:themeColor="text1"/>
          <w:sz w:val="24"/>
          <w14:textFill>
            <w14:solidFill>
              <w14:schemeClr w14:val="tx1"/>
            </w14:solidFill>
          </w14:textFill>
        </w:rPr>
        <w:t>0571-82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735370</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质疑联系人：谭女士</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质疑联系方式：</w:t>
      </w:r>
      <w:bookmarkStart w:id="10" w:name="_Toc28359086"/>
      <w:bookmarkStart w:id="11" w:name="_Toc28359009"/>
      <w:r>
        <w:rPr>
          <w:rFonts w:hint="eastAsia" w:asciiTheme="minorEastAsia" w:hAnsiTheme="minorEastAsia" w:eastAsiaTheme="minorEastAsia" w:cstheme="minorEastAsia"/>
          <w:color w:val="000000" w:themeColor="text1"/>
          <w:sz w:val="24"/>
          <w14:textFill>
            <w14:solidFill>
              <w14:schemeClr w14:val="tx1"/>
            </w14:solidFill>
          </w14:textFill>
        </w:rPr>
        <w:t>0571-82419573</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2.代理机构信息</w:t>
      </w:r>
      <w:bookmarkEnd w:id="10"/>
      <w:bookmarkEnd w:id="11"/>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 称：杭州广业建设工程咨询有限公司</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地址：杭州市萧山区金惠路358号汇通大厦2幢1004室</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传真：/</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项目联系人（询问）：茅庆捷</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项目联系方式（询问）：17367081509</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质疑联系人：沈一凯</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质疑联系方式：13588280298</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若对项目电子交易系统操作有疑问，可登录乐采云平台（www.lecaiyun.com），点击右侧咨询小采，获取采小蜜智能服务管家帮助，或拨打乐采云服务热线95763获取热线服务帮助。</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CA问题联系电话（人工）：汇信CA 400-888-4636；天谷CA 400-087-8198。</w:t>
      </w:r>
    </w:p>
    <w:p>
      <w:pPr>
        <w:adjustRightInd/>
        <w:spacing w:line="360" w:lineRule="auto"/>
        <w:jc w:val="center"/>
        <w:outlineLvl w:val="0"/>
        <w:rPr>
          <w:rFonts w:asciiTheme="minorEastAsia" w:hAnsiTheme="minorEastAsia" w:eastAsiaTheme="minorEastAsia" w:cstheme="minorEastAsia"/>
          <w:b/>
          <w:color w:val="000000" w:themeColor="text1"/>
          <w:sz w:val="36"/>
          <w:szCs w:val="20"/>
          <w14:textFill>
            <w14:solidFill>
              <w14:schemeClr w14:val="tx1"/>
            </w14:solidFill>
          </w14:textFill>
        </w:rPr>
      </w:pPr>
      <w:r>
        <w:rPr>
          <w:rFonts w:hint="eastAsia" w:asciiTheme="minorEastAsia" w:hAnsiTheme="minorEastAsia" w:eastAsiaTheme="minorEastAsia" w:cstheme="minorEastAsia"/>
          <w:b/>
          <w:color w:val="000000" w:themeColor="text1"/>
          <w:sz w:val="36"/>
          <w:szCs w:val="20"/>
          <w14:textFill>
            <w14:solidFill>
              <w14:schemeClr w14:val="tx1"/>
            </w14:solidFill>
          </w14:textFill>
        </w:rPr>
        <w:br w:type="page"/>
      </w:r>
      <w:r>
        <w:rPr>
          <w:rFonts w:hint="eastAsia" w:asciiTheme="minorEastAsia" w:hAnsiTheme="minorEastAsia" w:eastAsiaTheme="minorEastAsia" w:cstheme="minorEastAsia"/>
          <w:b/>
          <w:color w:val="000000" w:themeColor="text1"/>
          <w:sz w:val="36"/>
          <w:szCs w:val="20"/>
          <w14:textFill>
            <w14:solidFill>
              <w14:schemeClr w14:val="tx1"/>
            </w14:solidFill>
          </w14:textFill>
        </w:rPr>
        <w:t>第二部分</w:t>
      </w:r>
      <w:bookmarkEnd w:id="7"/>
      <w:r>
        <w:rPr>
          <w:rFonts w:hint="eastAsia" w:asciiTheme="minorEastAsia" w:hAnsiTheme="minorEastAsia" w:eastAsiaTheme="minorEastAsia" w:cstheme="minorEastAsia"/>
          <w:b/>
          <w:color w:val="000000" w:themeColor="text1"/>
          <w:sz w:val="36"/>
          <w:szCs w:val="20"/>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20"/>
          <w14:textFill>
            <w14:solidFill>
              <w14:schemeClr w14:val="tx1"/>
            </w14:solidFill>
          </w14:textFill>
        </w:rPr>
        <w:t>响应人须知</w:t>
      </w:r>
      <w:bookmarkEnd w:id="8"/>
    </w:p>
    <w:p>
      <w:pPr>
        <w:snapToGrid w:val="0"/>
        <w:spacing w:line="360" w:lineRule="auto"/>
        <w:jc w:val="center"/>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事项</w:t>
            </w:r>
          </w:p>
        </w:tc>
        <w:tc>
          <w:tcPr>
            <w:tcW w:w="6706"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项目属性</w:t>
            </w:r>
          </w:p>
        </w:tc>
        <w:tc>
          <w:tcPr>
            <w:tcW w:w="6706" w:type="dxa"/>
            <w:vAlign w:val="center"/>
          </w:tcPr>
          <w:p>
            <w:pPr>
              <w:spacing w:line="42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w:t>
            </w:r>
            <w:r>
              <w:rPr>
                <w:rFonts w:hint="eastAsia" w:asciiTheme="minorEastAsia" w:hAnsiTheme="minorEastAsia" w:eastAsiaTheme="minorEastAsia" w:cstheme="minorEastAsia"/>
                <w:color w:val="000000" w:themeColor="text1"/>
                <w:kern w:val="0"/>
                <w:sz w:val="24"/>
                <w14:textFill>
                  <w14:solidFill>
                    <w14:schemeClr w14:val="tx1"/>
                  </w14:solidFill>
                </w14:textFill>
              </w:rPr>
              <w:t>A货物类</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pStyle w:val="726"/>
              <w:ind w:firstLine="0" w:firstLineChars="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B服务类</w:t>
            </w:r>
            <w:r>
              <w:rPr>
                <w:rFonts w:hint="eastAsia" w:asciiTheme="minorEastAsia" w:hAnsiTheme="minorEastAsia" w:eastAsiaTheme="minorEastAsia" w:cs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采购标的对应的中小企业划分标准所属行业</w:t>
            </w:r>
          </w:p>
        </w:tc>
        <w:tc>
          <w:tcPr>
            <w:tcW w:w="6706" w:type="dxa"/>
            <w:vAlign w:val="center"/>
          </w:tcPr>
          <w:p>
            <w:pPr>
              <w:widowControl/>
              <w:rPr>
                <w:rFonts w:cs="仿宋"/>
                <w:color w:val="000000" w:themeColor="text1"/>
                <w:sz w:val="22"/>
                <w14:textFill>
                  <w14:solidFill>
                    <w14:schemeClr w14:val="tx1"/>
                  </w14:solidFill>
                </w14:textFill>
              </w:rPr>
            </w:pPr>
            <w:r>
              <w:rPr>
                <w:rFonts w:hint="eastAsia" w:cs="仿宋"/>
                <w:color w:val="000000" w:themeColor="text1"/>
                <w:sz w:val="22"/>
                <w14:textFill>
                  <w14:solidFill>
                    <w14:schemeClr w14:val="tx1"/>
                  </w14:solidFill>
                </w14:textFill>
              </w:rPr>
              <w:t>（1）标的：</w:t>
            </w:r>
            <w:r>
              <w:rPr>
                <w:rFonts w:hint="eastAsia"/>
                <w:color w:val="000000" w:themeColor="text1"/>
                <w:u w:val="single"/>
                <w14:textFill>
                  <w14:solidFill>
                    <w14:schemeClr w14:val="tx1"/>
                  </w14:solidFill>
                </w14:textFill>
              </w:rPr>
              <w:t>义桥镇</w:t>
            </w:r>
            <w:r>
              <w:rPr>
                <w:rFonts w:hint="eastAsia"/>
                <w:color w:val="000000" w:themeColor="text1"/>
                <w:u w:val="single"/>
                <w:lang w:val="en-US" w:eastAsia="zh-CN"/>
                <w14:textFill>
                  <w14:solidFill>
                    <w14:schemeClr w14:val="tx1"/>
                  </w14:solidFill>
                </w14:textFill>
              </w:rPr>
              <w:t>星荷社区荷韵江南苑、星天地、悦风荷锦庭</w:t>
            </w:r>
            <w:r>
              <w:rPr>
                <w:rFonts w:hint="eastAsia"/>
                <w:color w:val="000000" w:themeColor="text1"/>
                <w:u w:val="single"/>
                <w14:textFill>
                  <w14:solidFill>
                    <w14:schemeClr w14:val="tx1"/>
                  </w14:solidFill>
                </w14:textFill>
              </w:rPr>
              <w:t>小区垃圾分类第三方服务</w:t>
            </w:r>
            <w:r>
              <w:rPr>
                <w:rFonts w:hint="eastAsia" w:cs="仿宋"/>
                <w:color w:val="000000" w:themeColor="text1"/>
                <w:sz w:val="22"/>
                <w14:textFill>
                  <w14:solidFill>
                    <w14:schemeClr w14:val="tx1"/>
                  </w14:solidFill>
                </w14:textFill>
              </w:rPr>
              <w:t>；属于</w:t>
            </w:r>
            <w:r>
              <w:rPr>
                <w:rFonts w:hint="eastAsia" w:cs="仿宋"/>
                <w:color w:val="000000" w:themeColor="text1"/>
                <w:sz w:val="22"/>
                <w:u w:val="single"/>
                <w14:textFill>
                  <w14:solidFill>
                    <w14:schemeClr w14:val="tx1"/>
                  </w14:solidFill>
                </w14:textFill>
              </w:rPr>
              <w:t xml:space="preserve"> 其他未列明行业 </w:t>
            </w:r>
            <w:r>
              <w:rPr>
                <w:rFonts w:hint="eastAsia" w:cs="仿宋"/>
                <w:color w:val="000000" w:themeColor="text1"/>
                <w:sz w:val="22"/>
                <w14:textFill>
                  <w14:solidFill>
                    <w14:schemeClr w14:val="tx1"/>
                  </w14:solidFill>
                </w14:textFill>
              </w:rPr>
              <w:t>：</w:t>
            </w:r>
          </w:p>
          <w:p>
            <w:pPr>
              <w:spacing w:line="420" w:lineRule="exac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cs="仿宋"/>
                <w:color w:val="000000" w:themeColor="text1"/>
                <w:sz w:val="22"/>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是否允许采购进口产品</w:t>
            </w:r>
          </w:p>
        </w:tc>
        <w:tc>
          <w:tcPr>
            <w:tcW w:w="6706" w:type="dxa"/>
            <w:vAlign w:val="center"/>
          </w:tcPr>
          <w:p>
            <w:pPr>
              <w:spacing w:line="42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32"/>
                <w14:textFill>
                  <w14:solidFill>
                    <w14:schemeClr w14:val="tx1"/>
                  </w14:solidFill>
                </w14:textFill>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分包</w:t>
            </w:r>
          </w:p>
        </w:tc>
        <w:tc>
          <w:tcPr>
            <w:tcW w:w="6706" w:type="dxa"/>
            <w:vAlign w:val="center"/>
          </w:tcPr>
          <w:p>
            <w:pPr>
              <w:spacing w:line="420" w:lineRule="exac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14:textFill>
                  <w14:solidFill>
                    <w14:schemeClr w14:val="tx1"/>
                  </w14:solidFill>
                </w14:textFill>
              </w:rPr>
              <w:t>B</w:t>
            </w:r>
            <w:r>
              <w:rPr>
                <w:rFonts w:hint="eastAsia" w:asciiTheme="minorEastAsia" w:hAnsiTheme="minorEastAsia" w:eastAsiaTheme="minorEastAsia" w:cstheme="minorEastAsia"/>
                <w:bCs/>
                <w:color w:val="000000" w:themeColor="text1"/>
                <w:sz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开标前答疑会或现场考察</w:t>
            </w:r>
          </w:p>
        </w:tc>
        <w:tc>
          <w:tcPr>
            <w:tcW w:w="6706" w:type="dxa"/>
            <w:vAlign w:val="center"/>
          </w:tcPr>
          <w:p>
            <w:pPr>
              <w:spacing w:line="420" w:lineRule="exact"/>
              <w:rPr>
                <w:rFonts w:asciiTheme="minorEastAsia" w:hAnsiTheme="minorEastAsia" w:eastAsiaTheme="minorEastAsia" w:cstheme="minorEastAsia"/>
                <w:bCs/>
                <w:color w:val="000000" w:themeColor="text1"/>
                <w:sz w:val="24"/>
                <w:szCs w:val="20"/>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14:textFill>
                  <w14:solidFill>
                    <w14:schemeClr w14:val="tx1"/>
                  </w14:solidFill>
                </w14:textFill>
              </w:rPr>
              <w:t>A</w:t>
            </w:r>
            <w:r>
              <w:rPr>
                <w:rFonts w:hint="eastAsia" w:asciiTheme="minorEastAsia" w:hAnsiTheme="minorEastAsia" w:eastAsiaTheme="minorEastAsia" w:cstheme="minorEastAsia"/>
                <w:bCs/>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样品提供</w:t>
            </w:r>
          </w:p>
        </w:tc>
        <w:tc>
          <w:tcPr>
            <w:tcW w:w="6706" w:type="dxa"/>
            <w:vAlign w:val="center"/>
          </w:tcPr>
          <w:p>
            <w:pPr>
              <w:spacing w:line="420" w:lineRule="exac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w:t>
            </w:r>
          </w:p>
        </w:tc>
        <w:tc>
          <w:tcPr>
            <w:tcW w:w="1843"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现场讲解演示</w:t>
            </w:r>
          </w:p>
        </w:tc>
        <w:tc>
          <w:tcPr>
            <w:tcW w:w="6706" w:type="dxa"/>
            <w:vAlign w:val="center"/>
          </w:tcPr>
          <w:p>
            <w:pPr>
              <w:spacing w:line="420" w:lineRule="exact"/>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A</w:t>
            </w:r>
            <w:r>
              <w:rPr>
                <w:rFonts w:hint="eastAsia" w:asciiTheme="minorEastAsia" w:hAnsiTheme="minorEastAsia" w:eastAsiaTheme="minorEastAsia" w:cstheme="minorEastAsia"/>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响应人应当提供的资格证明文件</w:t>
            </w:r>
          </w:p>
        </w:tc>
        <w:tc>
          <w:tcPr>
            <w:tcW w:w="6706" w:type="dxa"/>
            <w:vAlign w:val="center"/>
          </w:tcPr>
          <w:p>
            <w:pPr>
              <w:spacing w:line="42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（1）资格证明文件：见交易文件第二部分10.1。</w:t>
            </w:r>
          </w:p>
          <w:p>
            <w:pPr>
              <w:spacing w:line="420" w:lineRule="exact"/>
              <w:rPr>
                <w:rFonts w:asciiTheme="minorEastAsia" w:hAnsiTheme="minorEastAsia" w:eastAsiaTheme="minorEastAsia" w:cstheme="minorEastAsia"/>
                <w:snapToGrid w:val="0"/>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响应人未提供有效的资格证明文件的，视为响应人不具备交易文件中规定的资格要求，交易无效。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w:t>
            </w:r>
          </w:p>
        </w:tc>
        <w:tc>
          <w:tcPr>
            <w:tcW w:w="1843" w:type="dxa"/>
            <w:vAlign w:val="center"/>
          </w:tcPr>
          <w:p>
            <w:pPr>
              <w:snapToGrid w:val="0"/>
              <w:spacing w:line="42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报价要求</w:t>
            </w:r>
          </w:p>
        </w:tc>
        <w:tc>
          <w:tcPr>
            <w:tcW w:w="6706" w:type="dxa"/>
            <w:vAlign w:val="center"/>
          </w:tcPr>
          <w:p>
            <w:pPr>
              <w:spacing w:line="420" w:lineRule="exact"/>
              <w:ind w:firstLine="480" w:firstLineChars="200"/>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有关本项目实施所需的所有费用（含税费）均计入报价。</w:t>
            </w:r>
            <w:r>
              <w:rPr>
                <w:rFonts w:hint="eastAsia" w:asciiTheme="minorEastAsia" w:hAnsiTheme="minorEastAsia" w:eastAsiaTheme="minorEastAsia" w:cstheme="minorEastAsia"/>
                <w:bCs/>
                <w:color w:val="000000" w:themeColor="text1"/>
                <w:kern w:val="0"/>
                <w:sz w:val="24"/>
                <w14:textFill>
                  <w14:solidFill>
                    <w14:schemeClr w14:val="tx1"/>
                  </w14:solidFill>
                </w14:textFill>
              </w:rPr>
              <w:t>交易一览表（报价表）是报价的唯一载体</w:t>
            </w: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。响应文件中价格全部采用人民币报价。交易文件未列明，而响应人认为必需的费用也需列入报价。</w:t>
            </w:r>
          </w:p>
          <w:p>
            <w:pPr>
              <w:spacing w:line="420" w:lineRule="exact"/>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交易报价出现下列情形的，交易无效：</w:t>
            </w:r>
          </w:p>
          <w:p>
            <w:pPr>
              <w:spacing w:line="420" w:lineRule="exact"/>
              <w:ind w:firstLine="480" w:firstLineChars="200"/>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响应文件出现不是唯一的、有选择性交易报价的；</w:t>
            </w:r>
          </w:p>
          <w:p>
            <w:pPr>
              <w:spacing w:line="420" w:lineRule="exact"/>
              <w:ind w:firstLine="480" w:firstLineChars="200"/>
              <w:rPr>
                <w:rFonts w:asciiTheme="minorEastAsia" w:hAnsiTheme="minorEastAsia" w:eastAsiaTheme="minorEastAsia" w:cstheme="minorEastAsia"/>
                <w:bCs/>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lang w:val="zh-CN"/>
                <w14:textFill>
                  <w14:solidFill>
                    <w14:schemeClr w14:val="tx1"/>
                  </w14:solidFill>
                </w14:textFill>
              </w:rPr>
              <w:t>交易报价超过交易文件中规定的预算金额或者最高限价的；</w:t>
            </w:r>
          </w:p>
          <w:p>
            <w:pPr>
              <w:spacing w:line="420" w:lineRule="exact"/>
              <w:ind w:firstLine="480" w:firstLineChars="200"/>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报价明显低于其他通过符合性审查响应人的报价，有可能影响产品质量或者不能诚信履约的，未能按要求提供书面说明或者提交相关证明材料证明其报价合理性的；</w:t>
            </w:r>
          </w:p>
          <w:p>
            <w:pPr>
              <w:spacing w:line="420" w:lineRule="exact"/>
              <w:ind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备份响应文件</w:t>
            </w:r>
          </w:p>
        </w:tc>
        <w:tc>
          <w:tcPr>
            <w:tcW w:w="6706" w:type="dxa"/>
            <w:vAlign w:val="center"/>
          </w:tcPr>
          <w:p>
            <w:pPr>
              <w:pStyle w:val="34"/>
              <w:spacing w:line="420" w:lineRule="exact"/>
              <w:ind w:hanging="4"/>
              <w:rPr>
                <w:rFonts w:asciiTheme="minorEastAsia" w:hAnsiTheme="minorEastAsia" w:eastAsiaTheme="minorEastAsia" w:cstheme="minorEastAsia"/>
                <w:color w:val="000000" w:themeColor="text1"/>
                <w:kern w:val="28"/>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8"/>
                <w:sz w:val="24"/>
                <w:szCs w:val="24"/>
                <w14:textFill>
                  <w14:solidFill>
                    <w14:schemeClr w14:val="tx1"/>
                  </w14:solidFill>
                </w14:textFill>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代理机构代理费用</w:t>
            </w:r>
          </w:p>
        </w:tc>
        <w:tc>
          <w:tcPr>
            <w:tcW w:w="6706" w:type="dxa"/>
            <w:vAlign w:val="center"/>
          </w:tcPr>
          <w:p>
            <w:pPr>
              <w:snapToGrid w:val="0"/>
              <w:spacing w:line="420" w:lineRule="exact"/>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本项目采购代理费由成交人支付。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12</w:t>
            </w:r>
          </w:p>
        </w:tc>
        <w:tc>
          <w:tcPr>
            <w:tcW w:w="1843" w:type="dxa"/>
            <w:vAlign w:val="center"/>
          </w:tcPr>
          <w:p>
            <w:pPr>
              <w:widowControl/>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cs="仿宋"/>
                <w:b/>
                <w:color w:val="000000" w:themeColor="text1"/>
                <w:sz w:val="22"/>
                <w14:textFill>
                  <w14:solidFill>
                    <w14:schemeClr w14:val="tx1"/>
                  </w14:solidFill>
                </w14:textFill>
              </w:rPr>
              <w:t>履约保证金</w:t>
            </w:r>
          </w:p>
        </w:tc>
        <w:tc>
          <w:tcPr>
            <w:tcW w:w="6706" w:type="dxa"/>
            <w:vAlign w:val="center"/>
          </w:tcPr>
          <w:p>
            <w:pPr>
              <w:pStyle w:val="34"/>
              <w:spacing w:line="360" w:lineRule="auto"/>
              <w:ind w:hanging="4"/>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履约保证金：收取1%，合同签订后支付，履约完成后无息退还。</w:t>
            </w:r>
          </w:p>
          <w:p>
            <w:pPr>
              <w:widowControl/>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cs="仿宋_GB2312"/>
                <w:color w:val="000000" w:themeColor="text1"/>
                <w:sz w:val="22"/>
                <w14:textFill>
                  <w14:solidFill>
                    <w14:schemeClr w14:val="tx1"/>
                  </w14:solidFill>
                </w14:textFill>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资格审查和信用信息审查</w:t>
            </w:r>
          </w:p>
        </w:tc>
        <w:tc>
          <w:tcPr>
            <w:tcW w:w="6706" w:type="dxa"/>
            <w:vAlign w:val="center"/>
          </w:tcPr>
          <w:p>
            <w:pPr>
              <w:snapToGrid w:val="0"/>
              <w:spacing w:line="420" w:lineRule="exact"/>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14</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异议接收人及答复</w:t>
            </w:r>
          </w:p>
        </w:tc>
        <w:tc>
          <w:tcPr>
            <w:tcW w:w="6706" w:type="dxa"/>
            <w:vAlign w:val="center"/>
          </w:tcPr>
          <w:p>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采购人质疑接收人：</w:t>
            </w:r>
            <w:r>
              <w:rPr>
                <w:rFonts w:hint="eastAsia" w:ascii="仿宋" w:hAnsi="仿宋" w:eastAsia="仿宋" w:cs="仿宋"/>
                <w:color w:val="000000" w:themeColor="text1"/>
                <w:sz w:val="24"/>
                <w:u w:val="single"/>
                <w14:textFill>
                  <w14:solidFill>
                    <w14:schemeClr w14:val="tx1"/>
                  </w14:solidFill>
                </w14:textFill>
              </w:rPr>
              <w:t>谭女士</w:t>
            </w:r>
            <w:r>
              <w:rPr>
                <w:rFonts w:hint="eastAsia" w:ascii="仿宋" w:hAnsi="仿宋" w:eastAsia="仿宋"/>
                <w:color w:val="000000" w:themeColor="text1"/>
                <w:sz w:val="24"/>
                <w:szCs w:val="28"/>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联系方式：</w:t>
            </w:r>
            <w:r>
              <w:rPr>
                <w:rFonts w:hint="eastAsia" w:ascii="仿宋" w:hAnsi="仿宋" w:eastAsia="仿宋" w:cs="仿宋"/>
                <w:color w:val="000000" w:themeColor="text1"/>
                <w:sz w:val="24"/>
                <w:u w:val="single"/>
                <w14:textFill>
                  <w14:solidFill>
                    <w14:schemeClr w14:val="tx1"/>
                  </w14:solidFill>
                </w14:textFill>
              </w:rPr>
              <w:t>0571-82419573</w:t>
            </w:r>
          </w:p>
          <w:p>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single"/>
                <w14:textFill>
                  <w14:solidFill>
                    <w14:schemeClr w14:val="tx1"/>
                  </w14:solidFill>
                </w14:textFill>
              </w:rPr>
              <w:t>萧山区义桥镇东方路138号</w:t>
            </w:r>
          </w:p>
          <w:p>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采购机构质疑接收人：</w:t>
            </w:r>
            <w:r>
              <w:rPr>
                <w:rFonts w:hint="eastAsia" w:ascii="仿宋" w:hAnsi="仿宋" w:eastAsia="仿宋" w:cs="仿宋"/>
                <w:color w:val="000000" w:themeColor="text1"/>
                <w:sz w:val="24"/>
                <w:u w:val="single"/>
                <w14:textFill>
                  <w14:solidFill>
                    <w14:schemeClr w14:val="tx1"/>
                  </w14:solidFill>
                </w14:textFill>
              </w:rPr>
              <w:t>沈一凯</w:t>
            </w:r>
            <w:r>
              <w:rPr>
                <w:rFonts w:hint="eastAsia" w:ascii="仿宋" w:hAnsi="仿宋" w:eastAsia="仿宋" w:cs="仿宋"/>
                <w:color w:val="000000" w:themeColor="text1"/>
                <w:sz w:val="24"/>
                <w14:textFill>
                  <w14:solidFill>
                    <w14:schemeClr w14:val="tx1"/>
                  </w14:solidFill>
                </w14:textFill>
              </w:rPr>
              <w:t xml:space="preserve"> 联系方式：</w:t>
            </w:r>
            <w:r>
              <w:rPr>
                <w:rFonts w:hint="eastAsia" w:ascii="仿宋" w:hAnsi="仿宋" w:eastAsia="仿宋" w:cs="仿宋"/>
                <w:color w:val="000000" w:themeColor="text1"/>
                <w:sz w:val="24"/>
                <w:u w:val="single"/>
                <w14:textFill>
                  <w14:solidFill>
                    <w14:schemeClr w14:val="tx1"/>
                  </w14:solidFill>
                </w14:textFill>
              </w:rPr>
              <w:t>13588280298</w:t>
            </w:r>
          </w:p>
          <w:p>
            <w:pPr>
              <w:widowControl/>
              <w:snapToGrid w:val="0"/>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single"/>
                <w14:textFill>
                  <w14:solidFill>
                    <w14:schemeClr w14:val="tx1"/>
                  </w14:solidFill>
                </w14:textFill>
              </w:rPr>
              <w:t>杭州市萧山区金惠路358号汇通大厦2幢1004室</w:t>
            </w:r>
          </w:p>
          <w:p>
            <w:pPr>
              <w:widowControl/>
              <w:snapToGrid w:val="0"/>
              <w:spacing w:line="360" w:lineRule="auto"/>
              <w:rPr>
                <w:rFonts w:eastAsia="仿宋" w:asciiTheme="minorEastAsia" w:hAnsiTheme="minorEastAsia" w:cstheme="minorEastAsia"/>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邮箱：</w:t>
            </w:r>
            <w:r>
              <w:rPr>
                <w:rFonts w:hint="eastAsia" w:ascii="仿宋" w:hAnsi="仿宋" w:eastAsia="仿宋" w:cs="仿宋"/>
                <w:color w:val="000000" w:themeColor="text1"/>
                <w:sz w:val="24"/>
                <w:u w:val="single"/>
                <w14:textFill>
                  <w14:solidFill>
                    <w14:schemeClr w14:val="tx1"/>
                  </w14:solidFill>
                </w14:textFill>
              </w:rPr>
              <w:t xml:space="preserve">1309561371@qq.com </w:t>
            </w:r>
          </w:p>
          <w:p>
            <w:pPr>
              <w:snapToGrid w:val="0"/>
              <w:spacing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如通过邮箱方式发送异议，须提交符合法规及交易文件要求的异议文件（参考附件1），盖章扫描后发送，异议的受理按答复主体划分以交易发起人或代理机构邮箱回复确认受理为准。</w:t>
            </w:r>
          </w:p>
          <w:p>
            <w:pPr>
              <w:snapToGrid w:val="0"/>
              <w:spacing w:line="42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本项目涉及资格条件、交易需求、评分办法及交易过程中有关现场考察或开标前答疑会事项由交易发起人进行答复。</w:t>
            </w:r>
          </w:p>
          <w:p>
            <w:pPr>
              <w:pStyle w:val="34"/>
              <w:spacing w:line="420" w:lineRule="exact"/>
              <w:ind w:hanging="4"/>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pPr>
              <w:snapToGrid w:val="0"/>
              <w:spacing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w:t>
            </w:r>
          </w:p>
        </w:tc>
        <w:tc>
          <w:tcPr>
            <w:tcW w:w="1843" w:type="dxa"/>
            <w:vAlign w:val="center"/>
          </w:tcPr>
          <w:p>
            <w:pPr>
              <w:snapToGrid w:val="0"/>
              <w:spacing w:line="42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特别说明</w:t>
            </w:r>
          </w:p>
        </w:tc>
        <w:tc>
          <w:tcPr>
            <w:tcW w:w="6706" w:type="dxa"/>
            <w:vAlign w:val="center"/>
          </w:tcPr>
          <w:p>
            <w:pPr>
              <w:spacing w:line="420" w:lineRule="exact"/>
              <w:rPr>
                <w:rFonts w:asciiTheme="minorEastAsia" w:hAnsiTheme="minorEastAsia" w:eastAsiaTheme="minorEastAsia" w:cstheme="minorEastAsia"/>
                <w:snapToGrid w:val="0"/>
                <w:color w:val="000000" w:themeColor="text1"/>
                <w:kern w:val="28"/>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本项目通用总则条款与前附表等专用特别规定有冲突之处，以专用条款（特别规定）为准。</w:t>
            </w:r>
          </w:p>
        </w:tc>
      </w:tr>
      <w:bookmarkEnd w:id="9"/>
    </w:tbl>
    <w:p>
      <w:pPr>
        <w:rPr>
          <w:rFonts w:asciiTheme="minorEastAsia" w:hAnsiTheme="minorEastAsia" w:eastAsiaTheme="minorEastAsia" w:cstheme="minorEastAsia"/>
          <w:b/>
          <w:color w:val="000000" w:themeColor="text1"/>
          <w:sz w:val="32"/>
          <w:szCs w:val="20"/>
          <w14:textFill>
            <w14:solidFill>
              <w14:schemeClr w14:val="tx1"/>
            </w14:solidFill>
          </w14:textFill>
        </w:rPr>
      </w:pPr>
      <w:bookmarkStart w:id="12" w:name="第三部分"/>
      <w:bookmarkStart w:id="13" w:name="_Toc164416483"/>
      <w:r>
        <w:rPr>
          <w:rFonts w:hint="eastAsia" w:asciiTheme="minorEastAsia" w:hAnsiTheme="minorEastAsia" w:eastAsiaTheme="minorEastAsia" w:cstheme="minorEastAsia"/>
          <w:b/>
          <w:color w:val="000000" w:themeColor="text1"/>
          <w:sz w:val="32"/>
          <w:szCs w:val="20"/>
          <w14:textFill>
            <w14:solidFill>
              <w14:schemeClr w14:val="tx1"/>
            </w14:solidFill>
          </w14:textFill>
        </w:rPr>
        <w:br w:type="page"/>
      </w:r>
    </w:p>
    <w:p>
      <w:pPr>
        <w:adjustRightInd/>
        <w:spacing w:line="360" w:lineRule="auto"/>
        <w:ind w:firstLine="3845" w:firstLineChars="1197"/>
        <w:outlineLvl w:val="0"/>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一、总则</w:t>
      </w:r>
    </w:p>
    <w:p>
      <w:pPr>
        <w:snapToGrid w:val="0"/>
        <w:spacing w:line="460" w:lineRule="exact"/>
        <w:jc w:val="left"/>
        <w:outlineLvl w:val="1"/>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1.适用范围</w:t>
      </w:r>
    </w:p>
    <w:p>
      <w:pPr>
        <w:snapToGrid w:val="0"/>
        <w:spacing w:line="460" w:lineRule="exact"/>
        <w:ind w:firstLine="420" w:firstLineChars="175"/>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本交易文件适用于该项目的交易、响应、评审、资格审查及信用信息查询、评审、定标、合同、验收等行为（法律、法规另有规定的，从其规定）。</w:t>
      </w:r>
    </w:p>
    <w:p>
      <w:pPr>
        <w:adjustRightInd/>
        <w:spacing w:line="460" w:lineRule="exact"/>
        <w:outlineLvl w:val="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2.定义</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2.1“交易发起人”系指交易公告中载明的本项目的交易发起人。</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2.2“代理机构”系指交易公告中载明的本项目的代理机构。</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2.3“响应人”系指响应招标、参加投标竞争的法人、其他组织或者自然人。</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2.6“电子交易平台”是指本项目交易活动所依托的乐采云平台（www.lecaiyun.com）。</w:t>
      </w:r>
    </w:p>
    <w:p>
      <w:pPr>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2.7“▲” 系指实质性要求条款，“（</w:t>
      </w: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 系指适用本项目的要求，“（  ）”系指不适用本项目的要求。</w:t>
      </w:r>
    </w:p>
    <w:p>
      <w:pPr>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3.异议、投诉</w:t>
      </w:r>
    </w:p>
    <w:p>
      <w:pPr>
        <w:autoSpaceDE w:val="0"/>
        <w:autoSpaceDN w:val="0"/>
        <w:spacing w:line="460" w:lineRule="exact"/>
        <w:ind w:firstLine="420" w:firstLineChars="175"/>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.1响应人异议</w:t>
      </w:r>
    </w:p>
    <w:p>
      <w:pPr>
        <w:autoSpaceDE w:val="0"/>
        <w:autoSpaceDN w:val="0"/>
        <w:spacing w:line="460" w:lineRule="exact"/>
        <w:ind w:firstLine="420" w:firstLineChars="175"/>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响应人对</w:t>
      </w:r>
      <w:r>
        <w:rPr>
          <w:rFonts w:hint="eastAsia" w:asciiTheme="minorEastAsia" w:hAnsiTheme="minorEastAsia" w:eastAsiaTheme="minorEastAsia" w:cstheme="minorEastAsia"/>
          <w:color w:val="000000" w:themeColor="text1"/>
          <w:kern w:val="0"/>
          <w:sz w:val="24"/>
          <w14:textFill>
            <w14:solidFill>
              <w14:schemeClr w14:val="tx1"/>
            </w14:solidFill>
          </w14:textFill>
        </w:rPr>
        <w:t>交易</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.2响应人异议</w:t>
      </w:r>
    </w:p>
    <w:p>
      <w:pPr>
        <w:pStyle w:val="34"/>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.1提出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的响应人应当是参与所质</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项目交易活动的响应人。潜在响应人已依法获取其可</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的交易文件的，可以对该文件提出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pStyle w:val="34"/>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.2响应人认为交易文件、交易过程和成交结果使自己的权益受到损害的，可以在知道或者应知其权益受到损害之日起3日内，以书面形式向交易发起人或者代理机构提出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，否则，交易发起人或者代理机构不予受理：</w:t>
      </w:r>
    </w:p>
    <w:p>
      <w:pPr>
        <w:pStyle w:val="34"/>
        <w:spacing w:line="460" w:lineRule="exact"/>
        <w:ind w:firstLine="420" w:firstLineChars="17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3.2.2.1对交易过程提出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期限为各交易程序环节结束之日起计算。对同一交易程序环节的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，响应人须一次性提出。</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w:t>
      </w:r>
      <w:r>
        <w:rPr>
          <w:rFonts w:hint="eastAsia" w:asciiTheme="minorEastAsia" w:hAnsiTheme="minorEastAsia" w:eastAsiaTheme="minorEastAsia" w:cstheme="minorEastAsia"/>
          <w:color w:val="000000" w:themeColor="text1"/>
          <w:sz w:val="24"/>
          <w14:textFill>
            <w14:solidFill>
              <w14:schemeClr w14:val="tx1"/>
            </w14:solidFill>
          </w14:textFill>
        </w:rPr>
        <w:t>响应人提出</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应当提交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函和必要的证明材料。</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w:t>
      </w:r>
      <w:r>
        <w:rPr>
          <w:rFonts w:hint="eastAsia" w:asciiTheme="minorEastAsia" w:hAnsiTheme="minorEastAsia" w:eastAsiaTheme="minorEastAsia" w:cstheme="minorEastAsia"/>
          <w:color w:val="000000" w:themeColor="text1"/>
          <w:sz w:val="24"/>
          <w14:textFill>
            <w14:solidFill>
              <w14:schemeClr w14:val="tx1"/>
            </w14:solidFill>
          </w14:textFill>
        </w:rPr>
        <w:t>函应当包括下列内容：</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.2.3.1响应人的姓名或者名称、地址、邮编、联系人及联系电话；</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.2.3.2异议项目的名称、编号；</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.2.3.3具体、明确的异议事项和与异议事项相关的请求；</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.2.3.4事实依据；</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.2.3.5必要的法律依据；</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.2.3.6提出异议的日期。</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响应人提交的异议函需一式三份。响应人为自然人的，应当由本人签字；响应人为法人或者其他组织的，应当由法定代表人、主要负责人，或者其授权代表签字或者盖章，并加盖公章。</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异议函范本及制作说明详见附件</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.2.4交易发起人或者代理机构应当在收到响应人的书面异议后</w:t>
      </w: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日内作出答复，并以书面形式通知异议响应人和其他与异议处理结果有利害关系的交易当事人，但答复的内容不得涉及商业秘密。</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.2.5询问或者异议事项可能影响</w:t>
      </w:r>
      <w:r>
        <w:rPr>
          <w:rFonts w:hint="eastAsia" w:asciiTheme="minorEastAsia" w:hAnsiTheme="minorEastAsia" w:eastAsiaTheme="minorEastAsia" w:cstheme="minorEastAsia"/>
          <w:color w:val="000000" w:themeColor="text1"/>
          <w:kern w:val="0"/>
          <w:sz w:val="24"/>
          <w14:textFill>
            <w14:solidFill>
              <w14:schemeClr w14:val="tx1"/>
            </w14:solidFill>
          </w14:textFill>
        </w:rPr>
        <w:t>交易</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结果的，交易发起人应当暂停签订合同，已经签订合同的，应当中止履行合同。</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.3响应人投诉</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000000" w:themeColor="text1"/>
          <w:kern w:val="0"/>
          <w:sz w:val="24"/>
          <w14:textFill>
            <w14:solidFill>
              <w14:schemeClr w14:val="tx1"/>
            </w14:solidFill>
          </w14:textFill>
        </w:rPr>
        <w:t>10</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日内向基层监督机构部门提出投诉。</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.3.2响应人投诉的事项不得超出已异议事项的范围，基于异议答复内容提出的投诉事项除外。</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.3.3响应人投诉应当有明确的请求和必要的证明材料。</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以联合体形式参加交易活动的，其投诉应当由组成联合体的所有响应人共同提出。</w:t>
      </w:r>
    </w:p>
    <w:p>
      <w:pPr>
        <w:pStyle w:val="34"/>
        <w:spacing w:line="460" w:lineRule="exact"/>
        <w:ind w:firstLine="420" w:firstLineChars="175"/>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投诉书范本及制作说明详见附件</w:t>
      </w: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pStyle w:val="139"/>
        <w:snapToGrid w:val="0"/>
        <w:spacing w:before="0" w:line="460" w:lineRule="exact"/>
        <w:ind w:firstLine="360"/>
        <w:rPr>
          <w:rFonts w:asciiTheme="minorEastAsia" w:hAnsiTheme="minorEastAsia" w:eastAsiaTheme="minorEastAsia" w:cstheme="minorEastAsia"/>
          <w:color w:val="000000" w:themeColor="text1"/>
          <w:sz w:val="18"/>
          <w:szCs w:val="18"/>
          <w14:textFill>
            <w14:solidFill>
              <w14:schemeClr w14:val="tx1"/>
            </w14:solidFill>
          </w14:textFill>
        </w:rPr>
      </w:pPr>
    </w:p>
    <w:p>
      <w:pPr>
        <w:adjustRightInd/>
        <w:spacing w:line="460" w:lineRule="exact"/>
        <w:jc w:val="center"/>
        <w:outlineLvl w:val="0"/>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二、交易文件的构成、澄清、修改</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4．交易文件的构成</w:t>
      </w:r>
    </w:p>
    <w:p>
      <w:pPr>
        <w:pStyle w:val="34"/>
        <w:spacing w:line="46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4.1交易文件包括下列文件及附件：</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4.1.1交易公告；</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4.1.2响应人须知；</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4.1.3交易需求；</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4.1.4交易办法；</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4.1.5拟签订的合同文本；</w:t>
      </w:r>
    </w:p>
    <w:p>
      <w:pPr>
        <w:pStyle w:val="34"/>
        <w:tabs>
          <w:tab w:val="left" w:pos="840"/>
        </w:tabs>
        <w:spacing w:line="460" w:lineRule="exact"/>
        <w:ind w:firstLine="960" w:firstLineChars="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4.1.6</w:t>
      </w:r>
      <w:r>
        <w:rPr>
          <w:rFonts w:hint="eastAsia" w:asciiTheme="minorEastAsia" w:hAnsiTheme="minorEastAsia" w:eastAsiaTheme="minorEastAsia" w:cstheme="minorEastAsia"/>
          <w:color w:val="000000" w:themeColor="text1"/>
          <w:sz w:val="24"/>
          <w:szCs w:val="24"/>
          <w14:textFill>
            <w14:solidFill>
              <w14:schemeClr w14:val="tx1"/>
            </w14:solidFill>
          </w14:textFill>
        </w:rPr>
        <w:t>应提交的有关格式范例。</w:t>
      </w:r>
    </w:p>
    <w:p>
      <w:pPr>
        <w:spacing w:line="46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4.2与本项目有关的</w:t>
      </w:r>
      <w:r>
        <w:rPr>
          <w:rFonts w:hint="eastAsia" w:asciiTheme="minorEastAsia" w:hAnsiTheme="minorEastAsia" w:eastAsiaTheme="minorEastAsia" w:cstheme="minorEastAsia"/>
          <w:bCs/>
          <w:color w:val="000000" w:themeColor="text1"/>
          <w:sz w:val="24"/>
          <w14:textFill>
            <w14:solidFill>
              <w14:schemeClr w14:val="tx1"/>
            </w14:solidFill>
          </w14:textFill>
        </w:rPr>
        <w:t>澄清或者修改的内容为交易文件的组成部分</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5.交易文件的澄清、修改</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5.1已获取交易文件的潜在响应人，若有问题需要澄清，应于响应截止时间前，以书面形式向代理机构提出。</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5.2 代理机构对交易文件进行澄清或修改的，将同时通过电子交易平台通知已获取交易文件的潜在响应人。依法应当公告的，将按规定公告，同时视情况延长响应截止时间和交易时间。该澄清或者修改的内容为交易文件的组成部分。</w:t>
      </w:r>
    </w:p>
    <w:p>
      <w:pPr>
        <w:adjustRightInd/>
        <w:spacing w:line="460" w:lineRule="exact"/>
        <w:jc w:val="center"/>
        <w:outlineLvl w:val="0"/>
        <w:rPr>
          <w:rFonts w:asciiTheme="minorEastAsia" w:hAnsiTheme="minorEastAsia" w:eastAsiaTheme="minorEastAsia" w:cstheme="minorEastAsia"/>
          <w:b/>
          <w:color w:val="000000" w:themeColor="text1"/>
          <w:sz w:val="30"/>
          <w:szCs w:val="20"/>
          <w14:textFill>
            <w14:solidFill>
              <w14:schemeClr w14:val="tx1"/>
            </w14:solidFill>
          </w14:textFill>
        </w:rPr>
      </w:pPr>
    </w:p>
    <w:p>
      <w:pPr>
        <w:adjustRightInd/>
        <w:spacing w:line="460" w:lineRule="exact"/>
        <w:jc w:val="center"/>
        <w:outlineLvl w:val="0"/>
        <w:rPr>
          <w:rFonts w:asciiTheme="minorEastAsia" w:hAnsiTheme="minorEastAsia" w:eastAsiaTheme="minorEastAsia" w:cstheme="minorEastAsia"/>
          <w:b/>
          <w:color w:val="000000" w:themeColor="text1"/>
          <w:sz w:val="30"/>
          <w:szCs w:val="20"/>
          <w14:textFill>
            <w14:solidFill>
              <w14:schemeClr w14:val="tx1"/>
            </w14:solidFill>
          </w14:textFill>
        </w:rPr>
      </w:pPr>
      <w:r>
        <w:rPr>
          <w:rFonts w:hint="eastAsia" w:asciiTheme="minorEastAsia" w:hAnsiTheme="minorEastAsia" w:eastAsiaTheme="minorEastAsia" w:cstheme="minorEastAsia"/>
          <w:b/>
          <w:color w:val="000000" w:themeColor="text1"/>
          <w:sz w:val="30"/>
          <w:szCs w:val="20"/>
          <w14:textFill>
            <w14:solidFill>
              <w14:schemeClr w14:val="tx1"/>
            </w14:solidFill>
          </w14:textFill>
        </w:rPr>
        <w:t>三、响应</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6.交易文件的获取</w:t>
      </w:r>
    </w:p>
    <w:p>
      <w:pPr>
        <w:spacing w:line="460" w:lineRule="exact"/>
        <w:ind w:firstLine="480" w:firstLineChars="200"/>
        <w:rPr>
          <w:rFonts w:asciiTheme="minorEastAsia" w:hAnsiTheme="minorEastAsia" w:eastAsiaTheme="minorEastAsia" w:cstheme="minorEastAsia"/>
          <w:snapToGrid w:val="0"/>
          <w:color w:val="000000" w:themeColor="text1"/>
          <w:kern w:val="28"/>
          <w:sz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28"/>
          <w:sz w:val="24"/>
          <w14:textFill>
            <w14:solidFill>
              <w14:schemeClr w14:val="tx1"/>
            </w14:solidFill>
          </w14:textFill>
        </w:rPr>
        <w:t>详见交易公告中获取交易文件的时间期限、地点、方式及交易文件售价。</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7.交易前答疑会或现场考察</w:t>
      </w:r>
    </w:p>
    <w:p>
      <w:pPr>
        <w:pStyle w:val="34"/>
        <w:spacing w:line="46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本项目不组织交易前答疑会或现场考察。</w:t>
      </w:r>
    </w:p>
    <w:p>
      <w:pPr>
        <w:pStyle w:val="34"/>
        <w:spacing w:line="460" w:lineRule="exact"/>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kern w:val="28"/>
          <w:sz w:val="24"/>
          <w:szCs w:val="24"/>
          <w14:textFill>
            <w14:solidFill>
              <w14:schemeClr w14:val="tx1"/>
            </w14:solidFill>
          </w14:textFill>
        </w:rPr>
        <w:t>8.交易保证金</w:t>
      </w:r>
    </w:p>
    <w:p>
      <w:pPr>
        <w:pStyle w:val="16"/>
        <w:spacing w:line="460" w:lineRule="exact"/>
        <w:ind w:firstLine="470" w:firstLineChars="19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本项目不需缴纳交易保证金。</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9.响应文件的语言</w:t>
      </w:r>
    </w:p>
    <w:p>
      <w:pPr>
        <w:autoSpaceDE w:val="0"/>
        <w:autoSpaceDN w:val="0"/>
        <w:spacing w:line="460" w:lineRule="exact"/>
        <w:ind w:firstLine="480" w:firstLineChars="200"/>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响应文件及响应人与交易有关的来往通知、函件和文件均应使用中文。</w:t>
      </w:r>
    </w:p>
    <w:p>
      <w:pPr>
        <w:pStyle w:val="34"/>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10.响应文件的组成</w:t>
      </w:r>
    </w:p>
    <w:p>
      <w:pPr>
        <w:snapToGrid w:val="0"/>
        <w:spacing w:line="460" w:lineRule="exact"/>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10.1资格文件：</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10.1.1符合参加交易活动应当具备的一般条件的承诺函；</w:t>
      </w:r>
    </w:p>
    <w:p>
      <w:pPr>
        <w:snapToGrid w:val="0"/>
        <w:spacing w:line="460" w:lineRule="exact"/>
        <w:ind w:firstLine="960" w:firstLineChars="400"/>
        <w:rPr>
          <w:rFonts w:ascii="宋体" w:hAnsi="宋体" w:cs="宋体"/>
          <w:snapToGrid w:val="0"/>
          <w:color w:val="000000" w:themeColor="text1"/>
          <w:kern w:val="28"/>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10.1.2联合协议</w:t>
      </w:r>
      <w:r>
        <w:rPr>
          <w:rFonts w:hint="eastAsia" w:ascii="宋体" w:hAnsi="宋体" w:cs="宋体"/>
          <w:snapToGrid w:val="0"/>
          <w:color w:val="000000" w:themeColor="text1"/>
          <w:kern w:val="28"/>
          <w:sz w:val="24"/>
          <w:szCs w:val="20"/>
          <w14:textFill>
            <w14:solidFill>
              <w14:schemeClr w14:val="tx1"/>
            </w14:solidFill>
          </w14:textFill>
        </w:rPr>
        <w:t>（如果有)；</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10.1.3落实政府采购政策需满足的资格要求（如果有)；</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10.1.4本项目的特定资格要求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napToGrid w:val="0"/>
        <w:spacing w:line="460" w:lineRule="exact"/>
        <w:ind w:firstLine="482" w:firstLineChars="200"/>
        <w:rPr>
          <w:rFonts w:asciiTheme="minorEastAsia" w:hAnsiTheme="minorEastAsia" w:eastAsiaTheme="minorEastAsia" w:cstheme="minorEastAsia"/>
          <w:b/>
          <w:bCs/>
          <w:color w:val="000000" w:themeColor="text1"/>
          <w:sz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lang w:val="zh-CN"/>
          <w14:textFill>
            <w14:solidFill>
              <w14:schemeClr w14:val="tx1"/>
            </w14:solidFill>
          </w14:textFill>
        </w:rPr>
        <w:t>1</w:t>
      </w:r>
      <w:r>
        <w:rPr>
          <w:rFonts w:hint="eastAsia" w:asciiTheme="minorEastAsia" w:hAnsiTheme="minorEastAsia" w:eastAsiaTheme="minorEastAsia" w:cstheme="minorEastAsia"/>
          <w:b/>
          <w:bCs/>
          <w:color w:val="000000" w:themeColor="text1"/>
          <w:sz w:val="24"/>
          <w14:textFill>
            <w14:solidFill>
              <w14:schemeClr w14:val="tx1"/>
            </w14:solidFill>
          </w14:textFill>
        </w:rPr>
        <w:t>0</w:t>
      </w:r>
      <w:r>
        <w:rPr>
          <w:rFonts w:hint="eastAsia" w:asciiTheme="minorEastAsia" w:hAnsiTheme="minorEastAsia" w:eastAsiaTheme="minorEastAsia" w:cstheme="minorEastAsia"/>
          <w:b/>
          <w:bCs/>
          <w:color w:val="000000" w:themeColor="text1"/>
          <w:sz w:val="24"/>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14:textFill>
            <w14:solidFill>
              <w14:schemeClr w14:val="tx1"/>
            </w14:solidFill>
          </w14:textFill>
        </w:rPr>
        <w:t>2商务技术</w:t>
      </w:r>
      <w:r>
        <w:rPr>
          <w:rFonts w:hint="eastAsia" w:asciiTheme="minorEastAsia" w:hAnsiTheme="minorEastAsia" w:eastAsiaTheme="minorEastAsia" w:cstheme="minorEastAsia"/>
          <w:b/>
          <w:bCs/>
          <w:color w:val="000000" w:themeColor="text1"/>
          <w:sz w:val="24"/>
          <w:lang w:val="zh-CN"/>
          <w14:textFill>
            <w14:solidFill>
              <w14:schemeClr w14:val="tx1"/>
            </w14:solidFill>
          </w14:textFill>
        </w:rPr>
        <w:t>文件：</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10.2.1交易函；</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10.2.2授权委托书或法定代表人（单位负责人、自然人本人）身份证明；</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10.2.3营业执照；</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10.2.4符合性审查资料；</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10.2.5评审标准相应的商务技术资料；</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10.2.6商务技术偏离表；</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10.2.7</w:t>
      </w:r>
      <w:r>
        <w:rPr>
          <w:rFonts w:hint="eastAsia" w:asciiTheme="minorEastAsia" w:hAnsiTheme="minorEastAsia" w:eastAsiaTheme="minorEastAsia" w:cstheme="minorEastAsia"/>
          <w:color w:val="000000" w:themeColor="text1"/>
          <w:sz w:val="24"/>
          <w:lang w:val="zh-CN"/>
          <w14:textFill>
            <w14:solidFill>
              <w14:schemeClr w14:val="tx1"/>
            </w14:solidFill>
          </w14:textFill>
        </w:rPr>
        <w:t>响应人廉洁自律承诺书。</w:t>
      </w:r>
    </w:p>
    <w:p>
      <w:pPr>
        <w:snapToGrid w:val="0"/>
        <w:spacing w:line="460" w:lineRule="exact"/>
        <w:ind w:firstLine="482" w:firstLineChars="200"/>
        <w:rPr>
          <w:rFonts w:asciiTheme="minorEastAsia" w:hAnsiTheme="minorEastAsia" w:eastAsiaTheme="minorEastAsia" w:cstheme="minorEastAsia"/>
          <w:b/>
          <w:bCs/>
          <w:color w:val="000000" w:themeColor="text1"/>
          <w:sz w:val="24"/>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0</w:t>
      </w:r>
      <w:r>
        <w:rPr>
          <w:rFonts w:hint="eastAsia" w:asciiTheme="minorEastAsia" w:hAnsiTheme="minorEastAsia" w:eastAsiaTheme="minorEastAsia" w:cstheme="minorEastAsia"/>
          <w:b/>
          <w:bCs/>
          <w:color w:val="000000" w:themeColor="text1"/>
          <w:kern w:val="0"/>
          <w:sz w:val="24"/>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14:textFill>
            <w14:solidFill>
              <w14:schemeClr w14:val="tx1"/>
            </w14:solidFill>
          </w14:textFill>
        </w:rPr>
        <w:t>报价文件：</w:t>
      </w:r>
    </w:p>
    <w:p>
      <w:pPr>
        <w:snapToGrid w:val="0"/>
        <w:spacing w:line="460" w:lineRule="exact"/>
        <w:ind w:firstLine="960" w:firstLineChars="4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10.3.1交易一览表（报价表）。</w:t>
      </w:r>
    </w:p>
    <w:p>
      <w:pPr>
        <w:spacing w:line="460" w:lineRule="exact"/>
        <w:ind w:firstLine="723" w:firstLineChars="3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响应文件含有交易发起人不能接受的附加条件的，交易无效；</w:t>
      </w:r>
    </w:p>
    <w:p>
      <w:pPr>
        <w:spacing w:line="460" w:lineRule="exact"/>
        <w:ind w:firstLine="723" w:firstLineChars="300"/>
        <w:rPr>
          <w:rFonts w:asciiTheme="minorEastAsia" w:hAnsiTheme="minorEastAsia" w:eastAsiaTheme="minorEastAsia" w:cstheme="minorEastAsia"/>
          <w:b/>
          <w:color w:val="000000" w:themeColor="text1"/>
          <w:sz w:val="24"/>
          <w:szCs w:val="21"/>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响应人提供虚假材料投标的，交易无效。</w:t>
      </w:r>
    </w:p>
    <w:p>
      <w:pPr>
        <w:pStyle w:val="139"/>
        <w:snapToGrid w:val="0"/>
        <w:spacing w:before="0" w:line="460" w:lineRule="exact"/>
        <w:ind w:firstLine="0" w:firstLineChars="0"/>
        <w:outlineLvl w:val="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11</w:t>
      </w:r>
      <w:r>
        <w:rPr>
          <w:rFonts w:hint="eastAsia" w:asciiTheme="minorEastAsia" w:hAnsiTheme="minorEastAsia" w:eastAsiaTheme="minorEastAsia" w:cstheme="minorEastAsia"/>
          <w:b/>
          <w:color w:val="000000" w:themeColor="text1"/>
          <w:kern w:val="0"/>
          <w:szCs w:val="24"/>
          <w:lang w:val="zh-CN"/>
          <w14:textFill>
            <w14:solidFill>
              <w14:schemeClr w14:val="tx1"/>
            </w14:solidFill>
          </w14:textFill>
        </w:rPr>
        <w:t>.</w:t>
      </w:r>
      <w:r>
        <w:rPr>
          <w:rFonts w:hint="eastAsia" w:asciiTheme="minorEastAsia" w:hAnsiTheme="minorEastAsia" w:eastAsiaTheme="minorEastAsia" w:cstheme="minorEastAsia"/>
          <w:b/>
          <w:color w:val="000000" w:themeColor="text1"/>
          <w:szCs w:val="24"/>
          <w14:textFill>
            <w14:solidFill>
              <w14:schemeClr w14:val="tx1"/>
            </w14:solidFill>
          </w14:textFill>
        </w:rPr>
        <w:t>响应文件的编制</w:t>
      </w:r>
    </w:p>
    <w:p>
      <w:pPr>
        <w:spacing w:line="46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响应文件分为资格文件、商务技术文件、报价文件三部分。各响应人在编制响应文件时请按照交易文件第六部分规定的格式进行，混乱的编排导致响应文件被误读或评审委员会查找不到有效文件是响应人的风险。</w:t>
      </w:r>
    </w:p>
    <w:p>
      <w:pPr>
        <w:spacing w:line="460" w:lineRule="exact"/>
        <w:ind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.2响应人进行电子投标应安装客户端软件—“</w:t>
      </w:r>
      <w:r>
        <w:rPr>
          <w:rFonts w:hint="eastAsia" w:asciiTheme="minorEastAsia" w:hAnsiTheme="minorEastAsia" w:eastAsiaTheme="minorEastAsia" w:cstheme="minorEastAsia"/>
          <w:color w:val="000000" w:themeColor="text1"/>
          <w:kern w:val="0"/>
          <w:sz w:val="24"/>
          <w14:textFill>
            <w14:solidFill>
              <w14:schemeClr w14:val="tx1"/>
            </w14:solidFill>
          </w14:textFill>
        </w:rPr>
        <w:t>乐采</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云电子交易客户端”，并按照交易文件和电子交易平台的要求编制并加密响应文件。响应人未按规定加密的响应文件，电子交易平台将拒收并提示。</w:t>
      </w:r>
    </w:p>
    <w:p>
      <w:pPr>
        <w:spacing w:line="460" w:lineRule="exact"/>
        <w:ind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.3使用“</w:t>
      </w:r>
      <w:r>
        <w:rPr>
          <w:rFonts w:hint="eastAsia" w:asciiTheme="minorEastAsia" w:hAnsiTheme="minorEastAsia" w:eastAsiaTheme="minorEastAsia" w:cstheme="minorEastAsia"/>
          <w:color w:val="000000" w:themeColor="text1"/>
          <w:kern w:val="0"/>
          <w:sz w:val="24"/>
          <w14:textFill>
            <w14:solidFill>
              <w14:schemeClr w14:val="tx1"/>
            </w14:solidFill>
          </w14:textFill>
        </w:rPr>
        <w:t>乐采</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云电子交易客户端”需要提前申领CA数字证书，申领流程请自行前往“</w:t>
      </w:r>
      <w:r>
        <w:rPr>
          <w:rFonts w:hint="eastAsia" w:asciiTheme="minorEastAsia" w:hAnsiTheme="minorEastAsia" w:eastAsiaTheme="minorEastAsia" w:cstheme="minorEastAsia"/>
          <w:color w:val="000000" w:themeColor="text1"/>
          <w:sz w:val="24"/>
          <w14:textFill>
            <w14:solidFill>
              <w14:schemeClr w14:val="tx1"/>
            </w14:solidFill>
          </w14:textFill>
        </w:rPr>
        <w:t>浙江企业采购信息服务网-下载专区-电子交易客户端</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-CA驱动和申领流程”进行查阅。</w:t>
      </w:r>
    </w:p>
    <w:p>
      <w:pPr>
        <w:snapToGrid w:val="0"/>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12.响应文件的签署、盖章</w:t>
      </w:r>
    </w:p>
    <w:p>
      <w:pPr>
        <w:pStyle w:val="139"/>
        <w:snapToGrid w:val="0"/>
        <w:spacing w:before="0" w:line="460" w:lineRule="exact"/>
        <w:ind w:firstLine="48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12.1响应文件按照交易文件第六部分格式要</w:t>
      </w:r>
      <w:r>
        <w:rPr>
          <w:rFonts w:hint="eastAsia" w:asciiTheme="minorEastAsia" w:hAnsiTheme="minorEastAsia" w:eastAsiaTheme="minorEastAsia" w:cstheme="minorEastAsia"/>
          <w:color w:val="000000" w:themeColor="text1"/>
          <w14:textFill>
            <w14:solidFill>
              <w14:schemeClr w14:val="tx1"/>
            </w14:solidFill>
          </w14:textFill>
        </w:rPr>
        <w:t>求进行签署、盖章。</w:t>
      </w:r>
      <w:r>
        <w:rPr>
          <w:rFonts w:hint="eastAsia" w:asciiTheme="minorEastAsia" w:hAnsiTheme="minorEastAsia" w:eastAsiaTheme="minorEastAsia" w:cstheme="minorEastAsia"/>
          <w:b/>
          <w:color w:val="000000" w:themeColor="text1"/>
          <w14:textFill>
            <w14:solidFill>
              <w14:schemeClr w14:val="tx1"/>
            </w14:solidFill>
          </w14:textFill>
        </w:rPr>
        <w:t>▲响应人的响应文件未按照交易文件要求签署、盖章的，其交易无效</w:t>
      </w:r>
      <w:r>
        <w:rPr>
          <w:rFonts w:hint="eastAsia" w:asciiTheme="minorEastAsia" w:hAnsiTheme="minorEastAsia" w:eastAsiaTheme="minorEastAsia" w:cstheme="minorEastAsia"/>
          <w:color w:val="000000" w:themeColor="text1"/>
          <w:szCs w:val="24"/>
          <w14:textFill>
            <w14:solidFill>
              <w14:schemeClr w14:val="tx1"/>
            </w14:solidFill>
          </w14:textFill>
        </w:rPr>
        <w:t>。</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12.2为确保网上操作合法、有效和安全，响应人应当在响应截止时间前完成在“乐采云平台”的身份认证，确保在电子投标过程中能够对相关数据电文进行加密和使用电子签名。</w:t>
      </w:r>
    </w:p>
    <w:p>
      <w:pPr>
        <w:pStyle w:val="139"/>
        <w:snapToGrid w:val="0"/>
        <w:spacing w:before="0"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12.3交易文件对响应文件签署、盖章的要求适用于电子签名。</w:t>
      </w:r>
    </w:p>
    <w:p>
      <w:pPr>
        <w:pStyle w:val="139"/>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13.响应文件的提交、补充、修改、撤回</w:t>
      </w:r>
    </w:p>
    <w:p>
      <w:pPr>
        <w:pStyle w:val="139"/>
        <w:spacing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9"/>
        <w:spacing w:before="0"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13.2电子交易平台收到响应文件，将妥善保存并即时向响应人发出确认回执通知。在响应截止时间前，除响应人补充、修改或者撤回响应文件外，任何单位和个人不得解密或提取响应文件。</w:t>
      </w:r>
    </w:p>
    <w:p>
      <w:pPr>
        <w:pStyle w:val="139"/>
        <w:spacing w:before="0" w:line="46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13.3交易发起人、代理机构可以视情况延长响应文件提交的截止时间。在上述情况下，代理机构与响应人以前在投标截止期方面的全部权利、责任和义务，将适用于延长至新的投标截止期。</w:t>
      </w:r>
    </w:p>
    <w:p>
      <w:pPr>
        <w:pStyle w:val="34"/>
        <w:numPr>
          <w:ilvl w:val="0"/>
          <w:numId w:val="1"/>
        </w:numPr>
        <w:spacing w:line="46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备份响应文件</w:t>
      </w:r>
    </w:p>
    <w:p>
      <w:pPr>
        <w:pStyle w:val="34"/>
        <w:spacing w:line="460" w:lineRule="exact"/>
        <w:ind w:firstLine="480"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8"/>
          <w:sz w:val="24"/>
          <w:szCs w:val="24"/>
          <w14:textFill>
            <w14:solidFill>
              <w14:schemeClr w14:val="tx1"/>
            </w14:solidFill>
          </w14:textFill>
        </w:rPr>
        <w:t>不收取备份响应文件。</w:t>
      </w:r>
    </w:p>
    <w:p>
      <w:pPr>
        <w:pStyle w:val="139"/>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15.响应文件的无效处理</w:t>
      </w:r>
    </w:p>
    <w:p>
      <w:pPr>
        <w:pStyle w:val="26"/>
        <w:spacing w:line="4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有交易文件第四部分</w:t>
      </w:r>
      <w:r>
        <w:rPr>
          <w:rFonts w:hint="eastAsia" w:asciiTheme="minorEastAsia" w:hAnsiTheme="minorEastAsia" w:eastAsiaTheme="minorEastAsia" w:cstheme="minorEastAsia"/>
          <w:color w:val="000000" w:themeColor="text1"/>
          <w14:textFill>
            <w14:solidFill>
              <w14:schemeClr w14:val="tx1"/>
            </w14:solidFill>
          </w14:textFill>
        </w:rPr>
        <w:t>4.2规定</w:t>
      </w:r>
      <w:r>
        <w:rPr>
          <w:rFonts w:hint="eastAsia" w:asciiTheme="minorEastAsia" w:hAnsiTheme="minorEastAsia" w:eastAsiaTheme="minorEastAsia" w:cstheme="minorEastAsia"/>
          <w:color w:val="000000" w:themeColor="text1"/>
          <w:szCs w:val="21"/>
          <w14:textFill>
            <w14:solidFill>
              <w14:schemeClr w14:val="tx1"/>
            </w14:solidFill>
          </w14:textFill>
        </w:rPr>
        <w:t>的情形之一的，交易无效：</w:t>
      </w:r>
    </w:p>
    <w:p>
      <w:pPr>
        <w:pStyle w:val="139"/>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16.交易有效期</w:t>
      </w:r>
    </w:p>
    <w:p>
      <w:pPr>
        <w:spacing w:line="460" w:lineRule="exact"/>
        <w:ind w:firstLine="480" w:firstLineChars="200"/>
        <w:rPr>
          <w:rFonts w:asciiTheme="minorEastAsia" w:hAnsiTheme="minorEastAsia" w:eastAsiaTheme="minorEastAsia" w:cstheme="minorEastAsia"/>
          <w:b/>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16.1交易有效期为从提交响应文件的截止之日起90天。▲</w:t>
      </w:r>
      <w:r>
        <w:rPr>
          <w:rFonts w:hint="eastAsia" w:asciiTheme="minorEastAsia" w:hAnsiTheme="minorEastAsia" w:eastAsiaTheme="minorEastAsia" w:cstheme="minorEastAsia"/>
          <w:b/>
          <w:color w:val="000000" w:themeColor="text1"/>
          <w:sz w:val="24"/>
          <w:szCs w:val="20"/>
          <w14:textFill>
            <w14:solidFill>
              <w14:schemeClr w14:val="tx1"/>
            </w14:solidFill>
          </w14:textFill>
        </w:rPr>
        <w:t>响应人的响应文件中承</w:t>
      </w:r>
      <w:r>
        <w:rPr>
          <w:rFonts w:hint="eastAsia" w:asciiTheme="minorEastAsia" w:hAnsiTheme="minorEastAsia" w:eastAsiaTheme="minorEastAsia" w:cstheme="minorEastAsia"/>
          <w:b/>
          <w:color w:val="000000" w:themeColor="text1"/>
          <w:sz w:val="24"/>
          <w:szCs w:val="21"/>
          <w14:textFill>
            <w14:solidFill>
              <w14:schemeClr w14:val="tx1"/>
            </w14:solidFill>
          </w14:textFill>
        </w:rPr>
        <w:t>诺的交易有效期少于交易文件中载明的交易有效期的，交易无效。</w:t>
      </w:r>
    </w:p>
    <w:p>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16.2响应文件合格投递后，自投标截止日期起，在交易有效期内有效。</w:t>
      </w:r>
    </w:p>
    <w:p>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16.3在原定交易有效期满之前，如果出现特殊情况，代理机构可以以书面形式通知响应人延长交易有效期。响应人同意延长的，不得要求或被允许修改其响应文件，响应人拒绝延长的，其交易无效。</w:t>
      </w:r>
    </w:p>
    <w:p>
      <w:pPr>
        <w:pStyle w:val="139"/>
        <w:spacing w:before="0" w:line="460" w:lineRule="exact"/>
        <w:ind w:firstLine="643"/>
        <w:rPr>
          <w:rFonts w:asciiTheme="minorEastAsia" w:hAnsiTheme="minorEastAsia" w:eastAsiaTheme="minorEastAsia" w:cstheme="minorEastAsia"/>
          <w:b/>
          <w:color w:val="000000" w:themeColor="text1"/>
          <w:sz w:val="32"/>
          <w14:textFill>
            <w14:solidFill>
              <w14:schemeClr w14:val="tx1"/>
            </w14:solidFill>
          </w14:textFill>
        </w:rPr>
      </w:pPr>
    </w:p>
    <w:p>
      <w:pPr>
        <w:pStyle w:val="139"/>
        <w:spacing w:before="0" w:line="460" w:lineRule="exact"/>
        <w:ind w:firstLine="0" w:firstLineChars="0"/>
        <w:jc w:val="center"/>
        <w:rPr>
          <w:rFonts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四、交易、资格审查</w:t>
      </w:r>
    </w:p>
    <w:p>
      <w:pPr>
        <w:pStyle w:val="564"/>
        <w:spacing w:before="0" w:line="460" w:lineRule="exact"/>
        <w:ind w:left="0" w:firstLine="0"/>
        <w:contextualSpacing/>
        <w:rPr>
          <w:rFonts w:asciiTheme="minorEastAsia" w:hAnsiTheme="minorEastAsia" w:eastAsiaTheme="minorEastAsia" w:cstheme="minorEastAsia"/>
          <w:b/>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14:textFill>
            <w14:solidFill>
              <w14:schemeClr w14:val="tx1"/>
            </w14:solidFill>
          </w14:textFill>
        </w:rPr>
        <w:t xml:space="preserve">17.交易 </w:t>
      </w:r>
    </w:p>
    <w:p>
      <w:pPr>
        <w:pStyle w:val="564"/>
        <w:spacing w:before="0" w:line="460" w:lineRule="exact"/>
        <w:ind w:left="0" w:firstLine="420" w:firstLineChars="175"/>
        <w:contextualSpacing/>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17.1代理机构按照交易文件规定的时间通过电子交易平台组织开标，所有响应人均应当准时在线参加。响应人不足3家的，不得开标。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17.2交易时，电子交易平台按交易时间自动提取所有响应文件。代理机构依托电子交易平台发起开始解密指令，响应人按照平台提示和交易文件的规定在半小时内完成在线解密。</w:t>
      </w:r>
    </w:p>
    <w:p>
      <w:pPr>
        <w:pStyle w:val="564"/>
        <w:spacing w:before="0" w:line="460" w:lineRule="exact"/>
        <w:ind w:left="0" w:firstLine="420" w:firstLineChars="175"/>
        <w:contextualSpacing/>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17.3响应文件未按时解密，视为响应文件撤回。</w:t>
      </w:r>
    </w:p>
    <w:p>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18、资格审查</w:t>
      </w:r>
    </w:p>
    <w:p>
      <w:pPr>
        <w:pStyle w:val="139"/>
        <w:spacing w:before="0" w:line="46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18.1交易后，交易发起人或代理机构将依法对响应人的资格进行审查。</w:t>
      </w:r>
    </w:p>
    <w:p>
      <w:pPr>
        <w:snapToGrid w:val="0"/>
        <w:spacing w:line="46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18.2</w:t>
      </w:r>
      <w:r>
        <w:rPr>
          <w:rFonts w:hint="eastAsia" w:asciiTheme="minorEastAsia" w:hAnsiTheme="minorEastAsia" w:eastAsiaTheme="minorEastAsia" w:cstheme="minorEastAsia"/>
          <w:color w:val="000000" w:themeColor="text1"/>
          <w:sz w:val="24"/>
          <w14:textFill>
            <w14:solidFill>
              <w14:schemeClr w14:val="tx1"/>
            </w14:solidFill>
          </w14:textFill>
        </w:rPr>
        <w:t>交易发起人或代理机构依据法律法规和交易文件的规定，对响应人的基本资格条件、特定资格条件进行审查。</w:t>
      </w:r>
    </w:p>
    <w:p>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18.3响应人未按照交易文件要求提供与</w:t>
      </w:r>
      <w:r>
        <w:rPr>
          <w:rFonts w:hint="eastAsia" w:asciiTheme="minorEastAsia" w:hAnsiTheme="minorEastAsia" w:eastAsiaTheme="minorEastAsia" w:cstheme="minorEastAsia"/>
          <w:color w:val="000000" w:themeColor="text1"/>
          <w14:textFill>
            <w14:solidFill>
              <w14:schemeClr w14:val="tx1"/>
            </w14:solidFill>
          </w14:textFill>
        </w:rPr>
        <w:t>基本资格条件、特定资格条件相应的</w:t>
      </w:r>
      <w:r>
        <w:rPr>
          <w:rFonts w:hint="eastAsia" w:asciiTheme="minorEastAsia" w:hAnsiTheme="minorEastAsia" w:eastAsiaTheme="minorEastAsia" w:cstheme="minorEastAsia"/>
          <w:color w:val="000000" w:themeColor="text1"/>
          <w:kern w:val="0"/>
          <w:szCs w:val="24"/>
          <w14:textFill>
            <w14:solidFill>
              <w14:schemeClr w14:val="tx1"/>
            </w14:solidFill>
          </w14:textFill>
        </w:rPr>
        <w:t>有效资格证明材料的，视为</w:t>
      </w:r>
      <w:r>
        <w:rPr>
          <w:rFonts w:hint="eastAsia" w:asciiTheme="minorEastAsia" w:hAnsiTheme="minorEastAsia" w:eastAsiaTheme="minorEastAsia" w:cstheme="minorEastAsia"/>
          <w:color w:val="000000" w:themeColor="text1"/>
          <w14:textFill>
            <w14:solidFill>
              <w14:schemeClr w14:val="tx1"/>
            </w14:solidFill>
          </w14:textFill>
        </w:rPr>
        <w:t>响应人不具备交易文件中规定的资格要求，其交易无效。</w:t>
      </w:r>
    </w:p>
    <w:p>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4对未通过资格审查的响应人，交易发起人或代理机构告知其未通过的原因。</w:t>
      </w:r>
    </w:p>
    <w:p>
      <w:pPr>
        <w:pStyle w:val="139"/>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5合格响应人不足3家的，不再评标。</w:t>
      </w:r>
    </w:p>
    <w:p>
      <w:pPr>
        <w:pStyle w:val="139"/>
        <w:spacing w:before="0" w:line="460" w:lineRule="exact"/>
        <w:ind w:firstLine="0" w:firstLineChars="0"/>
        <w:rPr>
          <w:rFonts w:asciiTheme="minorEastAsia" w:hAnsiTheme="minorEastAsia" w:eastAsiaTheme="minorEastAsia" w:cstheme="minorEastAsia"/>
          <w:color w:val="000000" w:themeColor="text1"/>
          <w:kern w:val="0"/>
          <w:szCs w:val="24"/>
          <w14:textFill>
            <w14:solidFill>
              <w14:schemeClr w14:val="tx1"/>
            </w14:solidFill>
          </w14:textFill>
        </w:rPr>
      </w:pPr>
    </w:p>
    <w:p>
      <w:pPr>
        <w:snapToGrid w:val="0"/>
        <w:spacing w:line="460" w:lineRule="exact"/>
        <w:jc w:val="center"/>
        <w:outlineLvl w:val="0"/>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五、评审</w:t>
      </w:r>
    </w:p>
    <w:p>
      <w:pPr>
        <w:spacing w:line="460" w:lineRule="exact"/>
        <w:rPr>
          <w:rFonts w:asciiTheme="minorEastAsia" w:hAnsiTheme="minorEastAsia" w:eastAsiaTheme="minorEastAsia" w:cstheme="minorEastAsia"/>
          <w:color w:val="000000" w:themeColor="text1"/>
          <w:sz w:val="24"/>
          <w14:textFill>
            <w14:solidFill>
              <w14:schemeClr w14:val="tx1"/>
            </w14:solidFill>
          </w14:textFill>
        </w:rPr>
      </w:pPr>
      <w:bookmarkStart w:id="14" w:name="_Toc91899903"/>
      <w:r>
        <w:rPr>
          <w:rFonts w:hint="eastAsia" w:asciiTheme="minorEastAsia" w:hAnsiTheme="minorEastAsia" w:eastAsiaTheme="minorEastAsia" w:cstheme="minorEastAsia"/>
          <w:b/>
          <w:color w:val="000000" w:themeColor="text1"/>
          <w:sz w:val="24"/>
          <w14:textFill>
            <w14:solidFill>
              <w14:schemeClr w14:val="tx1"/>
            </w14:solidFill>
          </w14:textFill>
        </w:rPr>
        <w:t>19.</w:t>
      </w:r>
      <w:r>
        <w:rPr>
          <w:rFonts w:hint="eastAsia" w:asciiTheme="minorEastAsia" w:hAnsiTheme="minorEastAsia" w:eastAsiaTheme="minorEastAsia" w:cstheme="minorEastAsia"/>
          <w:color w:val="000000" w:themeColor="text1"/>
          <w:sz w:val="24"/>
          <w14:textFill>
            <w14:solidFill>
              <w14:schemeClr w14:val="tx1"/>
            </w14:solidFill>
          </w14:textFill>
        </w:rPr>
        <w:t>评审委员会将根据交易文件和有关规定，履行评标工作职责，并按照评标方法及评分标准，全面衡量各响应人对交易文件的响应情况。对实质上响应交易文件的响应人，按照评审因素的量化指标排出推荐成交的响应人的先后顺序，并按顺序提出授标建议。</w:t>
      </w:r>
    </w:p>
    <w:p>
      <w:pPr>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详见交易文件第四部分交易办法。</w:t>
      </w:r>
    </w:p>
    <w:p>
      <w:pPr>
        <w:spacing w:line="460" w:lineRule="exact"/>
        <w:rPr>
          <w:rFonts w:asciiTheme="minorEastAsia" w:hAnsiTheme="minorEastAsia" w:eastAsiaTheme="minorEastAsia" w:cstheme="minorEastAsia"/>
          <w:b/>
          <w:color w:val="000000" w:themeColor="text1"/>
          <w:sz w:val="24"/>
          <w14:textFill>
            <w14:solidFill>
              <w14:schemeClr w14:val="tx1"/>
            </w14:solidFill>
          </w14:textFill>
        </w:rPr>
      </w:pPr>
    </w:p>
    <w:p>
      <w:pPr>
        <w:snapToGrid w:val="0"/>
        <w:spacing w:line="460" w:lineRule="exact"/>
        <w:jc w:val="center"/>
        <w:outlineLvl w:val="0"/>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六、定标</w:t>
      </w:r>
    </w:p>
    <w:p>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20.确定成交响应人</w:t>
      </w:r>
    </w:p>
    <w:p>
      <w:pPr>
        <w:pStyle w:val="139"/>
        <w:snapToGrid w:val="0"/>
        <w:spacing w:before="0" w:line="460" w:lineRule="exact"/>
        <w:ind w:firstLine="48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交易发起人将自收到评审报告之日起5个工作日内通过电子交易平台在评审报告推荐的成交候选人中按顺序确定成交响应人。</w:t>
      </w:r>
    </w:p>
    <w:p>
      <w:pPr>
        <w:pStyle w:val="139"/>
        <w:snapToGrid w:val="0"/>
        <w:spacing w:before="0" w:line="460" w:lineRule="exact"/>
        <w:ind w:firstLine="0" w:firstLineChars="0"/>
        <w:rPr>
          <w:rFonts w:asciiTheme="minorEastAsia" w:hAnsiTheme="minorEastAsia" w:eastAsiaTheme="minorEastAsia" w:cstheme="minorEastAsia"/>
          <w:b/>
          <w:color w:val="000000" w:themeColor="text1"/>
          <w:szCs w:val="24"/>
          <w14:textFill>
            <w14:solidFill>
              <w14:schemeClr w14:val="tx1"/>
            </w14:solidFill>
          </w14:textFill>
        </w:rPr>
      </w:pPr>
      <w:r>
        <w:rPr>
          <w:rFonts w:hint="eastAsia" w:asciiTheme="minorEastAsia" w:hAnsiTheme="minorEastAsia" w:eastAsiaTheme="minorEastAsia" w:cstheme="minorEastAsia"/>
          <w:b/>
          <w:color w:val="000000" w:themeColor="text1"/>
          <w:szCs w:val="24"/>
          <w14:textFill>
            <w14:solidFill>
              <w14:schemeClr w14:val="tx1"/>
            </w14:solidFill>
          </w14:textFill>
        </w:rPr>
        <w:t>21.成交通知与成交结果公告</w:t>
      </w:r>
    </w:p>
    <w:p>
      <w:pPr>
        <w:widowControl/>
        <w:shd w:val="clear" w:color="auto" w:fill="FFFFFF"/>
        <w:spacing w:line="460" w:lineRule="exact"/>
        <w:ind w:firstLine="48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Theme="minorEastAsia" w:hAnsiTheme="minorEastAsia" w:eastAsiaTheme="minorEastAsia" w:cstheme="minorEastAsia"/>
          <w:b/>
          <w:color w:val="000000" w:themeColor="text1"/>
          <w:sz w:val="32"/>
          <w14:textFill>
            <w14:solidFill>
              <w14:schemeClr w14:val="tx1"/>
            </w14:solidFill>
          </w14:textFill>
        </w:rPr>
      </w:pPr>
    </w:p>
    <w:p>
      <w:pPr>
        <w:snapToGrid w:val="0"/>
        <w:spacing w:line="460" w:lineRule="exact"/>
        <w:ind w:left="120" w:leftChars="57" w:firstLine="482" w:firstLineChars="150"/>
        <w:jc w:val="center"/>
        <w:rPr>
          <w:rFonts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七、合同授予</w:t>
      </w:r>
    </w:p>
    <w:p>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22.</w:t>
      </w:r>
      <w:r>
        <w:rPr>
          <w:rFonts w:hint="eastAsia" w:asciiTheme="minorEastAsia" w:hAnsiTheme="minorEastAsia" w:eastAsiaTheme="minorEastAsia" w:cstheme="minorEastAsia"/>
          <w:color w:val="000000" w:themeColor="text1"/>
          <w14:textFill>
            <w14:solidFill>
              <w14:schemeClr w14:val="tx1"/>
            </w14:solidFill>
          </w14:textFill>
        </w:rPr>
        <w:t>合同主要条款详见第五部分拟签订的合同文本。</w:t>
      </w:r>
    </w:p>
    <w:p>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23.合同的签订</w:t>
      </w:r>
    </w:p>
    <w:p>
      <w:pPr>
        <w:widowControl/>
        <w:shd w:val="clear" w:color="auto" w:fill="FFFFFF"/>
        <w:spacing w:line="460" w:lineRule="exact"/>
        <w:ind w:firstLine="48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23.1</w:t>
      </w:r>
      <w:r>
        <w:rPr>
          <w:rFonts w:hint="eastAsia" w:asciiTheme="minorEastAsia" w:hAnsiTheme="minorEastAsia" w:eastAsiaTheme="minorEastAsia" w:cstheme="minorEastAsia"/>
          <w:color w:val="000000" w:themeColor="text1"/>
          <w:kern w:val="0"/>
          <w:sz w:val="24"/>
          <w14:textFill>
            <w14:solidFill>
              <w14:schemeClr w14:val="tx1"/>
            </w14:solidFill>
          </w14:textFill>
        </w:rPr>
        <w:t>交易发起人与成交人应当通过电子交易平台在成交通知书发出之日起三十日内，按照交易文件确定的事项签订书面合同。</w:t>
      </w:r>
    </w:p>
    <w:p>
      <w:pPr>
        <w:pStyle w:val="139"/>
        <w:snapToGrid w:val="0"/>
        <w:spacing w:before="0" w:line="460" w:lineRule="exact"/>
        <w:ind w:firstLine="480"/>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lang w:val="zh-CN"/>
          <w14:textFill>
            <w14:solidFill>
              <w14:schemeClr w14:val="tx1"/>
            </w14:solidFill>
          </w14:textFill>
        </w:rPr>
        <w:t>2</w:t>
      </w:r>
      <w:r>
        <w:rPr>
          <w:rFonts w:hint="eastAsia" w:asciiTheme="minorEastAsia" w:hAnsiTheme="minorEastAsia" w:eastAsiaTheme="minorEastAsia" w:cstheme="minorEastAsia"/>
          <w:color w:val="000000" w:themeColor="text1"/>
          <w:kern w:val="0"/>
          <w14:textFill>
            <w14:solidFill>
              <w14:schemeClr w14:val="tx1"/>
            </w14:solidFill>
          </w14:textFill>
        </w:rPr>
        <w:t>3</w:t>
      </w:r>
      <w:r>
        <w:rPr>
          <w:rFonts w:hint="eastAsia" w:asciiTheme="minorEastAsia" w:hAnsiTheme="minorEastAsia" w:eastAsiaTheme="minorEastAsia" w:cstheme="minorEastAsia"/>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23.3如签订合同并生效后，响应人无故拒绝或延期，除按照合同条款处理外，列入不良行为记录一次，并给予通报。</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23.4成交响应人拒绝与交易发起人签订合同的，交易发起人可以按照评审报告推荐的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或者成交候选人名单排序，确定下一候选人为成交响应人，也可以重新开展交易活动。</w:t>
      </w:r>
    </w:p>
    <w:p>
      <w:pPr>
        <w:pStyle w:val="139"/>
        <w:snapToGrid w:val="0"/>
        <w:spacing w:before="0" w:after="12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23.5书面合同由交易发起人与成交响应人根据交易文件、响应文件等内容签订合同。</w:t>
      </w:r>
    </w:p>
    <w:p>
      <w:pPr>
        <w:pStyle w:val="26"/>
        <w:spacing w:line="460" w:lineRule="exact"/>
        <w:ind w:left="479" w:hanging="479" w:hangingChars="199"/>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24.履约保证金：</w:t>
      </w:r>
      <w:r>
        <w:rPr>
          <w:rFonts w:hint="eastAsia" w:asciiTheme="minorEastAsia" w:hAnsiTheme="minorEastAsia" w:eastAsiaTheme="minorEastAsia" w:cstheme="minorEastAsia"/>
          <w:bCs/>
          <w:color w:val="000000" w:themeColor="text1"/>
          <w14:textFill>
            <w14:solidFill>
              <w14:schemeClr w14:val="tx1"/>
            </w14:solidFill>
          </w14:textFill>
        </w:rPr>
        <w:t>详见前附表。</w:t>
      </w:r>
    </w:p>
    <w:p>
      <w:pPr>
        <w:snapToGrid w:val="0"/>
        <w:spacing w:line="460" w:lineRule="exact"/>
        <w:ind w:firstLine="3357" w:firstLineChars="1045"/>
        <w:rPr>
          <w:rFonts w:asciiTheme="minorEastAsia" w:hAnsiTheme="minorEastAsia" w:eastAsiaTheme="minorEastAsia" w:cstheme="minorEastAsia"/>
          <w:b/>
          <w:color w:val="000000" w:themeColor="text1"/>
          <w:sz w:val="32"/>
          <w14:textFill>
            <w14:solidFill>
              <w14:schemeClr w14:val="tx1"/>
            </w14:solidFill>
          </w14:textFill>
        </w:rPr>
      </w:pPr>
    </w:p>
    <w:p>
      <w:pPr>
        <w:snapToGrid w:val="0"/>
        <w:spacing w:line="460" w:lineRule="exact"/>
        <w:ind w:firstLine="3357" w:firstLineChars="1045"/>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八、电子交易活动的中止</w:t>
      </w:r>
    </w:p>
    <w:p>
      <w:pPr>
        <w:pStyle w:val="139"/>
        <w:snapToGrid w:val="0"/>
        <w:spacing w:before="0" w:line="460" w:lineRule="exact"/>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w:t>
      </w:r>
      <w:r>
        <w:rPr>
          <w:rFonts w:hint="eastAsia" w:asciiTheme="minorEastAsia" w:hAnsiTheme="minorEastAsia" w:eastAsiaTheme="minorEastAsia" w:cstheme="minorEastAsia"/>
          <w:b/>
          <w:color w:val="000000" w:themeColor="text1"/>
          <w:szCs w:val="24"/>
          <w14:textFill>
            <w14:solidFill>
              <w14:schemeClr w14:val="tx1"/>
            </w14:solidFill>
          </w14:textFill>
        </w:rPr>
        <w:t>5.电子交易活动的中止。</w:t>
      </w:r>
      <w:r>
        <w:rPr>
          <w:rFonts w:hint="eastAsia" w:asciiTheme="minorEastAsia" w:hAnsiTheme="minorEastAsia" w:eastAsiaTheme="minorEastAsia" w:cstheme="minorEastAsia"/>
          <w:bCs/>
          <w:color w:val="000000" w:themeColor="text1"/>
          <w:szCs w:val="24"/>
          <w14:textFill>
            <w14:solidFill>
              <w14:schemeClr w14:val="tx1"/>
            </w14:solidFill>
          </w14:textFill>
        </w:rPr>
        <w:t>交易</w:t>
      </w:r>
      <w:r>
        <w:rPr>
          <w:rFonts w:hint="eastAsia" w:asciiTheme="minorEastAsia" w:hAnsiTheme="minorEastAsia" w:eastAsiaTheme="minorEastAsia" w:cstheme="minorEastAsia"/>
          <w:color w:val="000000" w:themeColor="text1"/>
          <w14:textFill>
            <w14:solidFill>
              <w14:schemeClr w14:val="tx1"/>
            </w14:solidFill>
          </w14:textFill>
        </w:rPr>
        <w:t>过程中出现以下情形，导致电子交易平台无法正常运行，或者无法保证电子交易的公平、公正和安全时，代理机构可中止电子交易活动：</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25.1电子交易平台发生故障而无法登录访问的； </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25.2电子交易平台应用或数据库出现错误，不能进行正常操作的；</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25.3电子交易平台发现严重安全漏洞，有潜在泄密危险的；</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25.4病毒发作导致不能进行正常操作的； </w:t>
      </w:r>
    </w:p>
    <w:p>
      <w:pPr>
        <w:pStyle w:val="139"/>
        <w:snapToGrid w:val="0"/>
        <w:spacing w:before="0" w:line="460" w:lineRule="exact"/>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25.5其他无法保证电子交易的公平、公正和安全的情况。</w:t>
      </w:r>
    </w:p>
    <w:p>
      <w:pPr>
        <w:pStyle w:val="139"/>
        <w:snapToGrid w:val="0"/>
        <w:spacing w:before="0" w:line="460" w:lineRule="exact"/>
        <w:ind w:firstLine="0"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26.</w:t>
      </w:r>
      <w:r>
        <w:rPr>
          <w:rFonts w:hint="eastAsia" w:asciiTheme="minorEastAsia" w:hAnsiTheme="minorEastAsia" w:eastAsiaTheme="minorEastAsia" w:cstheme="minorEastAsia"/>
          <w:color w:val="000000" w:themeColor="text1"/>
          <w14:textFill>
            <w14:solidFill>
              <w14:schemeClr w14:val="tx1"/>
            </w14:solidFill>
          </w14:textFill>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Theme="minorEastAsia" w:hAnsiTheme="minorEastAsia" w:eastAsiaTheme="minorEastAsia" w:cstheme="minorEastAsia"/>
          <w:b/>
          <w:color w:val="000000" w:themeColor="text1"/>
          <w:sz w:val="32"/>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九、验收</w:t>
      </w:r>
    </w:p>
    <w:p>
      <w:pPr>
        <w:pStyle w:val="26"/>
        <w:spacing w:line="460" w:lineRule="exact"/>
        <w:ind w:firstLine="0" w:firstLineChars="0"/>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27.验收</w:t>
      </w:r>
    </w:p>
    <w:p>
      <w:pPr>
        <w:tabs>
          <w:tab w:val="left" w:pos="0"/>
        </w:tabs>
        <w:spacing w:line="460" w:lineRule="exact"/>
        <w:ind w:firstLine="48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27.1交易发起人应当组织对响应人履约的验收。</w:t>
      </w:r>
    </w:p>
    <w:bookmarkEnd w:id="12"/>
    <w:bookmarkEnd w:id="13"/>
    <w:bookmarkEnd w:id="14"/>
    <w:p>
      <w:pPr>
        <w:rPr>
          <w:rFonts w:asciiTheme="minorEastAsia" w:hAnsiTheme="minorEastAsia" w:eastAsiaTheme="minorEastAsia" w:cstheme="minorEastAsia"/>
          <w:b/>
          <w:color w:val="000000" w:themeColor="text1"/>
          <w:sz w:val="36"/>
          <w:szCs w:val="36"/>
          <w14:textFill>
            <w14:solidFill>
              <w14:schemeClr w14:val="tx1"/>
            </w14:solidFill>
          </w14:textFill>
        </w:rPr>
      </w:pPr>
      <w:bookmarkStart w:id="15" w:name="第四部分"/>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第三部分   交易需求</w:t>
      </w:r>
    </w:p>
    <w:p>
      <w:pPr>
        <w:snapToGrid w:val="0"/>
        <w:rPr>
          <w:rStyle w:val="984"/>
          <w:color w:val="000000" w:themeColor="text1"/>
          <w14:textFill>
            <w14:solidFill>
              <w14:schemeClr w14:val="tx1"/>
            </w14:solidFill>
          </w14:textFill>
        </w:rPr>
      </w:pPr>
      <w:r>
        <w:rPr>
          <w:rStyle w:val="984"/>
          <w:rFonts w:hint="eastAsia"/>
          <w:color w:val="000000" w:themeColor="text1"/>
          <w14:textFill>
            <w14:solidFill>
              <w14:schemeClr w14:val="tx1"/>
            </w14:solidFill>
          </w14:textFill>
        </w:rPr>
        <w:t>属于实质性要求条款的，请用符号“▲”标明，否则属于非实质性要求。</w:t>
      </w:r>
    </w:p>
    <w:p>
      <w:pPr>
        <w:snapToGrid w:val="0"/>
        <w:rPr>
          <w:rStyle w:val="984"/>
          <w:color w:val="000000" w:themeColor="text1"/>
          <w14:textFill>
            <w14:solidFill>
              <w14:schemeClr w14:val="tx1"/>
            </w14:solidFill>
          </w14:textFill>
        </w:rPr>
      </w:pPr>
      <w:r>
        <w:rPr>
          <w:rStyle w:val="984"/>
          <w:rFonts w:hint="eastAsia"/>
          <w:color w:val="000000" w:themeColor="text1"/>
          <w14:textFill>
            <w14:solidFill>
              <w14:schemeClr w14:val="tx1"/>
            </w14:solidFill>
          </w14:textFill>
        </w:rPr>
        <w:t>“★”系产品采购项目中单一产品或核心产品。</w:t>
      </w:r>
    </w:p>
    <w:p>
      <w:pPr>
        <w:pStyle w:val="2"/>
        <w:rPr>
          <w:color w:val="000000" w:themeColor="text1"/>
          <w14:textFill>
            <w14:solidFill>
              <w14:schemeClr w14:val="tx1"/>
            </w14:solidFill>
          </w14:textFill>
        </w:rPr>
      </w:pPr>
    </w:p>
    <w:p>
      <w:pPr>
        <w:pStyle w:val="2"/>
        <w:numPr>
          <w:ilvl w:val="0"/>
          <w:numId w:val="2"/>
        </w:num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交易</w:t>
      </w:r>
      <w:r>
        <w:rPr>
          <w:b/>
          <w:bCs/>
          <w:color w:val="000000" w:themeColor="text1"/>
          <w14:textFill>
            <w14:solidFill>
              <w14:schemeClr w14:val="tx1"/>
            </w14:solidFill>
          </w14:textFill>
        </w:rPr>
        <w:t>一览表</w:t>
      </w:r>
    </w:p>
    <w:p>
      <w:pPr>
        <w:pStyle w:val="5"/>
        <w:spacing w:after="0" w:line="240" w:lineRule="auto"/>
        <w:ind w:left="862" w:hanging="862"/>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标项一：</w:t>
      </w:r>
    </w:p>
    <w:tbl>
      <w:tblPr>
        <w:tblStyle w:val="64"/>
        <w:tblW w:w="0" w:type="auto"/>
        <w:jc w:val="center"/>
        <w:tblLayout w:type="fixed"/>
        <w:tblCellMar>
          <w:top w:w="0" w:type="dxa"/>
          <w:left w:w="0" w:type="dxa"/>
          <w:bottom w:w="0" w:type="dxa"/>
          <w:right w:w="0" w:type="dxa"/>
        </w:tblCellMar>
      </w:tblPr>
      <w:tblGrid>
        <w:gridCol w:w="715"/>
        <w:gridCol w:w="2365"/>
        <w:gridCol w:w="2032"/>
        <w:gridCol w:w="1104"/>
        <w:gridCol w:w="996"/>
        <w:gridCol w:w="1101"/>
        <w:gridCol w:w="777"/>
      </w:tblGrid>
      <w:tr>
        <w:tblPrEx>
          <w:tblCellMar>
            <w:top w:w="0" w:type="dxa"/>
            <w:left w:w="0" w:type="dxa"/>
            <w:bottom w:w="0" w:type="dxa"/>
            <w:right w:w="0" w:type="dxa"/>
          </w:tblCellMar>
        </w:tblPrEx>
        <w:trPr>
          <w:cantSplit/>
          <w:trHeight w:val="851" w:hRule="atLeast"/>
          <w:jc w:val="center"/>
        </w:trPr>
        <w:tc>
          <w:tcPr>
            <w:tcW w:w="7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3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20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规格型号与参数</w:t>
            </w:r>
          </w:p>
        </w:tc>
        <w:tc>
          <w:tcPr>
            <w:tcW w:w="11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99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10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是否为核心产品</w:t>
            </w:r>
          </w:p>
        </w:tc>
        <w:tc>
          <w:tcPr>
            <w:tcW w:w="77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CellMar>
            <w:top w:w="0" w:type="dxa"/>
            <w:left w:w="0" w:type="dxa"/>
            <w:bottom w:w="0" w:type="dxa"/>
            <w:right w:w="0" w:type="dxa"/>
          </w:tblCellMar>
        </w:tblPrEx>
        <w:trPr>
          <w:cantSplit/>
          <w:trHeight w:val="1261" w:hRule="atLeast"/>
          <w:jc w:val="center"/>
        </w:trPr>
        <w:tc>
          <w:tcPr>
            <w:tcW w:w="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36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义桥镇</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星荷社区荷韵江南苑、星天地、悦风荷锦庭</w:t>
            </w:r>
            <w:r>
              <w:rPr>
                <w:rFonts w:hint="eastAsia" w:ascii="仿宋" w:hAnsi="仿宋" w:eastAsia="仿宋" w:cs="仿宋"/>
                <w:color w:val="000000" w:themeColor="text1"/>
                <w:sz w:val="24"/>
                <w14:textFill>
                  <w14:solidFill>
                    <w14:schemeClr w14:val="tx1"/>
                  </w14:solidFill>
                </w14:textFill>
              </w:rPr>
              <w:t>小区垃圾分类第三方服务</w:t>
            </w:r>
          </w:p>
        </w:tc>
        <w:tc>
          <w:tcPr>
            <w:tcW w:w="2032"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110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w:t>
            </w:r>
          </w:p>
        </w:tc>
        <w:tc>
          <w:tcPr>
            <w:tcW w:w="996"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101"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77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bl>
    <w:p>
      <w:pPr>
        <w:spacing w:line="360" w:lineRule="auto"/>
        <w:jc w:val="center"/>
        <w:rPr>
          <w:rFonts w:ascii="仿宋" w:hAnsi="仿宋" w:eastAsia="仿宋" w:cs="仿宋"/>
          <w:b/>
          <w:color w:val="000000" w:themeColor="text1"/>
          <w:sz w:val="24"/>
          <w14:textFill>
            <w14:solidFill>
              <w14:schemeClr w14:val="tx1"/>
            </w14:solidFill>
          </w14:textFill>
        </w:rPr>
      </w:pPr>
    </w:p>
    <w:p>
      <w:pPr>
        <w:spacing w:line="360" w:lineRule="auto"/>
        <w:jc w:val="center"/>
        <w:rPr>
          <w:rFonts w:ascii="仿宋" w:hAnsi="仿宋" w:eastAsia="仿宋" w:cs="仿宋"/>
          <w:b/>
          <w:color w:val="000000" w:themeColor="text1"/>
          <w:sz w:val="24"/>
          <w14:textFill>
            <w14:solidFill>
              <w14:schemeClr w14:val="tx1"/>
            </w14:solidFill>
          </w14:textFill>
        </w:rPr>
      </w:pPr>
    </w:p>
    <w:p>
      <w:pPr>
        <w:pStyle w:val="2"/>
        <w:numPr>
          <w:ilvl w:val="0"/>
          <w:numId w:val="2"/>
        </w:numPr>
        <w:jc w:val="center"/>
        <w:rPr>
          <w:rFonts w:cs="仿宋"/>
          <w:b/>
          <w:bCs/>
          <w:color w:val="000000" w:themeColor="text1"/>
          <w:kern w:val="0"/>
          <w:sz w:val="24"/>
          <w:szCs w:val="24"/>
          <w:lang w:val="en-US"/>
          <w14:textFill>
            <w14:solidFill>
              <w14:schemeClr w14:val="tx1"/>
            </w14:solidFill>
          </w14:textFill>
        </w:rPr>
      </w:pPr>
      <w:r>
        <w:rPr>
          <w:rFonts w:hint="eastAsia"/>
          <w:b/>
          <w:bCs/>
          <w:color w:val="000000" w:themeColor="text1"/>
          <w14:textFill>
            <w14:solidFill>
              <w14:schemeClr w14:val="tx1"/>
            </w14:solidFill>
          </w14:textFill>
        </w:rPr>
        <w:t>交易需求</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一、项目背景</w:t>
      </w:r>
    </w:p>
    <w:p>
      <w:pPr>
        <w:spacing w:line="276" w:lineRule="auto"/>
        <w:jc w:val="left"/>
        <w:rPr>
          <w:rFonts w:ascii="宋体" w:hAnsi="宋体" w:cs="仿宋"/>
          <w:bCs/>
          <w:color w:val="000000" w:themeColor="text1"/>
          <w:position w:val="-6"/>
          <w:sz w:val="24"/>
          <w14:textFill>
            <w14:solidFill>
              <w14:schemeClr w14:val="tx1"/>
            </w14:solidFill>
          </w14:textFill>
        </w:rPr>
      </w:pPr>
      <w:r>
        <w:rPr>
          <w:rFonts w:hint="eastAsia" w:ascii="宋体" w:hAnsi="宋体" w:cs="仿宋"/>
          <w:bCs/>
          <w:color w:val="000000" w:themeColor="text1"/>
          <w:position w:val="-6"/>
          <w:sz w:val="24"/>
          <w:lang w:bidi="ar"/>
          <w14:textFill>
            <w14:solidFill>
              <w14:schemeClr w14:val="tx1"/>
            </w14:solidFill>
          </w14:textFill>
        </w:rPr>
        <w:t xml:space="preserve">    为深入贯彻落实习近平总书记关于生活垃圾分类和处理的重要指示批示精神，加快补齐生活垃圾分类和处理设施短板弱项，根据《城镇生活垃圾分类和处理设施补短板强弱项实施方案》、《关于在全国地级及以上城市全面开展生活垃圾分类工作的通知》的要求，实现生活垃圾分类管理主体全覆盖，生活垃圾分类类别全覆盖，生活垃圾分类投放、收集、运输、处理系统全覆盖，加快推进以法治为基础、政府推动、全民参与、城乡统筹、因地制宜的生活垃圾分类制度，加快建立分类投放、分类收集、分类运输、分类处理的生活垃圾处理系统，努力提高生活垃圾分类覆盖面。通过充分运用物联网、云计算、AI智能识别、5G网络等前沿技术推动义桥镇垃圾分类的管理手段、管理模式、管理理念创新，全面围绕萧山区垃圾分类“六全一码”工作推进打造具有义桥镇特色的垃圾分类模式。 </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bookmarkStart w:id="16" w:name="_Toc8621"/>
      <w:bookmarkStart w:id="17" w:name="_Toc22528"/>
      <w:bookmarkStart w:id="18" w:name="_Toc40312791"/>
      <w:bookmarkStart w:id="19" w:name="_Toc6086"/>
      <w:bookmarkStart w:id="20" w:name="_Toc29568"/>
      <w:bookmarkStart w:id="21" w:name="_Toc470966271"/>
      <w:r>
        <w:rPr>
          <w:rFonts w:hint="eastAsia" w:ascii="宋体" w:hAnsi="宋体" w:cs="仿宋"/>
          <w:bCs/>
          <w:color w:val="000000" w:themeColor="text1"/>
          <w:sz w:val="24"/>
          <w:lang w:bidi="ar"/>
          <w14:textFill>
            <w14:solidFill>
              <w14:schemeClr w14:val="tx1"/>
            </w14:solidFill>
          </w14:textFill>
        </w:rPr>
        <w:t>二、建设目标</w:t>
      </w:r>
      <w:bookmarkEnd w:id="16"/>
      <w:bookmarkEnd w:id="17"/>
      <w:bookmarkEnd w:id="18"/>
      <w:bookmarkEnd w:id="19"/>
      <w:bookmarkEnd w:id="20"/>
      <w:bookmarkEnd w:id="21"/>
    </w:p>
    <w:p>
      <w:pPr>
        <w:spacing w:line="276" w:lineRule="auto"/>
        <w:jc w:val="left"/>
        <w:rPr>
          <w:rFonts w:ascii="宋体" w:hAnsi="宋体" w:cs="仿宋"/>
          <w:bCs/>
          <w:color w:val="000000" w:themeColor="text1"/>
          <w:position w:val="-6"/>
          <w:sz w:val="24"/>
          <w:lang w:bidi="ar"/>
          <w14:textFill>
            <w14:solidFill>
              <w14:schemeClr w14:val="tx1"/>
            </w14:solidFill>
          </w14:textFill>
        </w:rPr>
      </w:pPr>
      <w:r>
        <w:rPr>
          <w:rFonts w:hint="eastAsia" w:ascii="宋体" w:hAnsi="宋体" w:cs="仿宋"/>
          <w:bCs/>
          <w:color w:val="000000" w:themeColor="text1"/>
          <w:position w:val="-6"/>
          <w:sz w:val="24"/>
          <w:lang w:bidi="ar"/>
          <w14:textFill>
            <w14:solidFill>
              <w14:schemeClr w14:val="tx1"/>
            </w14:solidFill>
          </w14:textFill>
        </w:rPr>
        <w:t xml:space="preserve">   为提高我镇居民生活垃圾减量化、资源化和无害化处理水平，加快推进绿色、循环和低碳经济发展，保护城市生态环境，不断提升义桥镇品质和环境卫生质量，加强生活垃圾分类收集工作。紧紧围绕健全长效机制和提升管理效率、能力的目地，我镇街探索垃圾分类多种运行模式通过“互联网+”，建立数智管理云平台，构建“六全一码”垃圾分类体系，推进垃圾分类和资源化利用管理信息化、智能化、精细化，推动垃圾分类智能化的建设，提升我镇街垃圾分类和资源化利用管理水平。</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三、</w:t>
      </w:r>
      <w:r>
        <w:rPr>
          <w:rFonts w:ascii="仿宋" w:hAnsi="仿宋" w:eastAsia="仿宋"/>
          <w:color w:val="000000" w:themeColor="text1"/>
          <w:sz w:val="24"/>
          <w14:textFill>
            <w14:solidFill>
              <w14:schemeClr w14:val="tx1"/>
            </w14:solidFill>
          </w14:textFill>
        </w:rPr>
        <w:t>招标范围</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义桥镇</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星荷社区荷韵江南苑、星天地、悦风荷锦庭</w:t>
      </w:r>
      <w:r>
        <w:rPr>
          <w:rFonts w:hint="eastAsia" w:ascii="宋体" w:hAnsi="宋体" w:cs="仿宋"/>
          <w:bCs/>
          <w:color w:val="000000" w:themeColor="text1"/>
          <w:sz w:val="24"/>
          <w:lang w:bidi="ar"/>
          <w14:textFill>
            <w14:solidFill>
              <w14:schemeClr w14:val="tx1"/>
            </w14:solidFill>
          </w14:textFill>
        </w:rPr>
        <w:t>小区垃圾分类第三方服务，共计</w:t>
      </w:r>
      <w:r>
        <w:rPr>
          <w:rFonts w:hint="eastAsia" w:ascii="宋体" w:hAnsi="宋体" w:cs="仿宋"/>
          <w:bCs/>
          <w:color w:val="000000" w:themeColor="text1"/>
          <w:sz w:val="24"/>
          <w:lang w:val="en-US" w:eastAsia="zh-CN" w:bidi="ar"/>
          <w14:textFill>
            <w14:solidFill>
              <w14:schemeClr w14:val="tx1"/>
            </w14:solidFill>
          </w14:textFill>
        </w:rPr>
        <w:t>1748</w:t>
      </w:r>
      <w:r>
        <w:rPr>
          <w:rFonts w:hint="eastAsia" w:ascii="宋体" w:hAnsi="宋体" w:cs="仿宋"/>
          <w:bCs/>
          <w:color w:val="000000" w:themeColor="text1"/>
          <w:sz w:val="24"/>
          <w:lang w:bidi="ar"/>
          <w14:textFill>
            <w14:solidFill>
              <w14:schemeClr w14:val="tx1"/>
            </w14:solidFill>
          </w14:textFill>
        </w:rPr>
        <w:t>户。</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四、需求内容</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（一）精准分类收集模式。生活垃圾（四分类）按照定时定点模式收集,（第三方或社区统筹）</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1、收集管理：定时：按照居民生活习惯或工作时间，分别确定垃圾投放时间段，如早上6:30--8:30，晚上18:</w:t>
      </w:r>
      <w:r>
        <w:rPr>
          <w:rFonts w:ascii="宋体" w:hAnsi="宋体" w:cs="仿宋"/>
          <w:bCs/>
          <w:color w:val="000000" w:themeColor="text1"/>
          <w:sz w:val="24"/>
          <w:lang w:bidi="ar"/>
          <w14:textFill>
            <w14:solidFill>
              <w14:schemeClr w14:val="tx1"/>
            </w14:solidFill>
          </w14:textFill>
        </w:rPr>
        <w:t>3</w:t>
      </w:r>
      <w:r>
        <w:rPr>
          <w:rFonts w:hint="eastAsia" w:ascii="宋体" w:hAnsi="宋体" w:cs="仿宋"/>
          <w:bCs/>
          <w:color w:val="000000" w:themeColor="text1"/>
          <w:sz w:val="24"/>
          <w:lang w:bidi="ar"/>
          <w14:textFill>
            <w14:solidFill>
              <w14:schemeClr w14:val="tx1"/>
            </w14:solidFill>
          </w14:textFill>
        </w:rPr>
        <w:t>0~20:</w:t>
      </w:r>
      <w:r>
        <w:rPr>
          <w:rFonts w:ascii="宋体" w:hAnsi="宋体" w:cs="仿宋"/>
          <w:bCs/>
          <w:color w:val="000000" w:themeColor="text1"/>
          <w:sz w:val="24"/>
          <w:lang w:bidi="ar"/>
          <w14:textFill>
            <w14:solidFill>
              <w14:schemeClr w14:val="tx1"/>
            </w14:solidFill>
          </w14:textFill>
        </w:rPr>
        <w:t>3</w:t>
      </w:r>
      <w:r>
        <w:rPr>
          <w:rFonts w:hint="eastAsia" w:ascii="宋体" w:hAnsi="宋体" w:cs="仿宋"/>
          <w:bCs/>
          <w:color w:val="000000" w:themeColor="text1"/>
          <w:sz w:val="24"/>
          <w:lang w:bidi="ar"/>
          <w14:textFill>
            <w14:solidFill>
              <w14:schemeClr w14:val="tx1"/>
            </w14:solidFill>
          </w14:textFill>
        </w:rPr>
        <w:t>0；定点：按照服务半径标准，设置垃圾集中投放点。投放点位设置四分类桶，不使用杂色桶。每日定时定点进行投放收集，要求实现对各类垃圾的称重计量。小区产生的易腐垃圾质量应当符合卓尚餐厨垃圾处置企业的收运标准，包括实现垃圾破袋。</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2、对未开展撤桶并点工作的小区积极开展撤桶并点工作，积极调解因垃圾收集点位问题产生的矛盾。小区内原投放点做到彻底撤桶；垃圾分类设施干净整洁无破损（包括小区内所有垃圾桶）。</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3、分类质量：易腐垃圾、其他垃圾、可回收物和有害垃圾分类投放， 居民参与率90%以上，居民满意率90%以上，分类准确率80%以上，无混装、错投等情况（可根据区最新要求调整）。</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4、智能监管：按要求配置使用封装电子称，实现四分类垃圾数据实时上传且准确无误。</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5、对当天的垃圾包巡检情况进行及时整改产生的费用等由中标单位自行负责。</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6、积极开展居民指导工作，逐步提高居民参与率和垃圾分类准确率，项目正式实施后，3个月内，易腐垃圾、其他垃圾、可回收垃圾和有害垃圾分类投放，居民参与率90%以上，居民满意率90%以上，分类准确率80%以上，无混装、错投等情况。</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7、误时投放点：有专人监督、管理，指导居民做好分类投放。</w:t>
      </w:r>
    </w:p>
    <w:p>
      <w:pPr>
        <w:pStyle w:val="678"/>
        <w:spacing w:before="120" w:line="276" w:lineRule="auto"/>
        <w:rPr>
          <w:rFonts w:ascii="宋体" w:hAnsi="宋体" w:cs="仿宋"/>
          <w:bCs/>
          <w:color w:val="000000" w:themeColor="text1"/>
          <w:kern w:val="2"/>
          <w:lang w:bidi="ar"/>
          <w14:textFill>
            <w14:solidFill>
              <w14:schemeClr w14:val="tx1"/>
            </w14:solidFill>
          </w14:textFill>
        </w:rPr>
      </w:pPr>
      <w:r>
        <w:rPr>
          <w:rFonts w:hint="eastAsia" w:ascii="宋体" w:hAnsi="宋体" w:cs="仿宋"/>
          <w:bCs/>
          <w:color w:val="000000" w:themeColor="text1"/>
          <w:kern w:val="2"/>
          <w:lang w:bidi="ar"/>
          <w14:textFill>
            <w14:solidFill>
              <w14:schemeClr w14:val="tx1"/>
            </w14:solidFill>
          </w14:textFill>
        </w:rPr>
        <w:t>8、大件垃圾：居民通过垃圾分类移动平台，呼叫收运企业上门回收，使用该服务所产生的数据积分，需同步录入智能账户。</w:t>
      </w:r>
    </w:p>
    <w:p>
      <w:pPr>
        <w:pStyle w:val="87"/>
        <w:numPr>
          <w:ilvl w:val="255"/>
          <w:numId w:val="0"/>
        </w:numPr>
        <w:adjustRightInd w:val="0"/>
        <w:spacing w:line="276" w:lineRule="auto"/>
        <w:ind w:firstLine="480" w:firstLineChars="200"/>
        <w:rPr>
          <w:rFonts w:cs="宋体"/>
          <w:color w:val="000000" w:themeColor="text1"/>
          <w:szCs w:val="24"/>
          <w:lang w:val="en-US"/>
          <w14:textFill>
            <w14:solidFill>
              <w14:schemeClr w14:val="tx1"/>
            </w14:solidFill>
          </w14:textFill>
        </w:rPr>
      </w:pPr>
      <w:r>
        <w:rPr>
          <w:rFonts w:hint="eastAsia" w:cs="仿宋"/>
          <w:bCs/>
          <w:color w:val="000000" w:themeColor="text1"/>
          <w:kern w:val="2"/>
          <w:szCs w:val="24"/>
          <w:lang w:bidi="ar"/>
          <w14:textFill>
            <w14:solidFill>
              <w14:schemeClr w14:val="tx1"/>
            </w14:solidFill>
          </w14:textFill>
        </w:rPr>
        <w:t>9、</w:t>
      </w:r>
      <w:r>
        <w:rPr>
          <w:rFonts w:hint="eastAsia" w:cs="宋体"/>
          <w:color w:val="000000" w:themeColor="text1"/>
          <w:szCs w:val="24"/>
          <w:lang w:val="en-US"/>
          <w14:textFill>
            <w14:solidFill>
              <w14:schemeClr w14:val="tx1"/>
            </w14:solidFill>
          </w14:textFill>
        </w:rPr>
        <w:t>再生资源回收：原已设再生资源回收网点，需按要求继续开展运营、设施维修更新；新设网点，也需按要求执行；运行时间等需符合上级最新要求；可回收物回尽可能接入数据平台，可采用积分兑换的形式结算，其他要求视实际情况再定。</w:t>
      </w:r>
    </w:p>
    <w:p>
      <w:pPr>
        <w:pStyle w:val="678"/>
        <w:spacing w:before="120" w:line="276" w:lineRule="auto"/>
        <w:ind w:left="420" w:leftChars="200" w:firstLine="0" w:firstLineChars="0"/>
        <w:rPr>
          <w:rFonts w:ascii="宋体" w:hAnsi="宋体" w:cs="仿宋"/>
          <w:bCs/>
          <w:color w:val="000000" w:themeColor="text1"/>
          <w:kern w:val="2"/>
          <w:lang w:bidi="ar"/>
          <w14:textFill>
            <w14:solidFill>
              <w14:schemeClr w14:val="tx1"/>
            </w14:solidFill>
          </w14:textFill>
        </w:rPr>
      </w:pPr>
      <w:r>
        <w:rPr>
          <w:rFonts w:hint="eastAsia" w:ascii="宋体" w:hAnsi="宋体" w:cs="仿宋"/>
          <w:bCs/>
          <w:color w:val="000000" w:themeColor="text1"/>
          <w:kern w:val="2"/>
          <w:lang w:bidi="ar"/>
          <w14:textFill>
            <w14:solidFill>
              <w14:schemeClr w14:val="tx1"/>
            </w14:solidFill>
          </w14:textFill>
        </w:rPr>
        <w:t>（二）收集点位建设</w:t>
      </w:r>
    </w:p>
    <w:p>
      <w:pPr>
        <w:pStyle w:val="678"/>
        <w:spacing w:before="120" w:line="276" w:lineRule="auto"/>
        <w:ind w:firstLineChars="0"/>
        <w:rPr>
          <w:rFonts w:ascii="宋体" w:hAnsi="宋体" w:cs="仿宋"/>
          <w:bCs/>
          <w:color w:val="000000" w:themeColor="text1"/>
          <w:kern w:val="2"/>
          <w:lang w:bidi="ar"/>
          <w14:textFill>
            <w14:solidFill>
              <w14:schemeClr w14:val="tx1"/>
            </w14:solidFill>
          </w14:textFill>
        </w:rPr>
      </w:pPr>
      <w:r>
        <w:rPr>
          <w:rFonts w:ascii="宋体" w:hAnsi="宋体" w:cs="仿宋"/>
          <w:bCs/>
          <w:color w:val="000000" w:themeColor="text1"/>
          <w:kern w:val="2"/>
          <w:lang w:bidi="ar"/>
          <w14:textFill>
            <w14:solidFill>
              <w14:schemeClr w14:val="tx1"/>
            </w14:solidFill>
          </w14:textFill>
        </w:rPr>
        <w:t>对分类投放点位进行标准化</w:t>
      </w:r>
      <w:r>
        <w:rPr>
          <w:rFonts w:hint="eastAsia" w:ascii="宋体" w:hAnsi="宋体" w:cs="仿宋"/>
          <w:bCs/>
          <w:color w:val="000000" w:themeColor="text1"/>
          <w:kern w:val="2"/>
          <w:lang w:bidi="ar"/>
          <w14:textFill>
            <w14:solidFill>
              <w14:schemeClr w14:val="tx1"/>
            </w14:solidFill>
          </w14:textFill>
        </w:rPr>
        <w:t>建设，按照每300户左右标准设置投放点位，设立定时定投亭、购置流动投放三轮或其他集垃圾分类投放、</w:t>
      </w:r>
      <w:r>
        <w:rPr>
          <w:rFonts w:hint="eastAsia" w:ascii="宋体" w:hAnsi="宋体" w:cs="仿宋"/>
          <w:bCs/>
          <w:color w:val="000000" w:themeColor="text1"/>
          <w:lang w:bidi="ar"/>
          <w14:textFill>
            <w14:solidFill>
              <w14:schemeClr w14:val="tx1"/>
            </w14:solidFill>
          </w14:textFill>
        </w:rPr>
        <w:t>垃圾分类服务、垃圾分类宣传于一体的垃圾分类定时定点收集点</w:t>
      </w:r>
      <w:r>
        <w:rPr>
          <w:rFonts w:ascii="宋体" w:hAnsi="宋体" w:cs="仿宋"/>
          <w:bCs/>
          <w:color w:val="000000" w:themeColor="text1"/>
          <w:lang w:bidi="ar"/>
          <w14:textFill>
            <w14:solidFill>
              <w14:schemeClr w14:val="tx1"/>
            </w14:solidFill>
          </w14:textFill>
        </w:rPr>
        <w:t>。明确人员职责，桶边督导员（专管员）的职责，应由原来“引导易腐垃圾精准投放为主”逐渐转换为“引导可回收物规范投放为主”。</w:t>
      </w:r>
      <w:r>
        <w:rPr>
          <w:rFonts w:hint="eastAsia" w:ascii="宋体" w:hAnsi="宋体" w:cs="仿宋"/>
          <w:bCs/>
          <w:color w:val="000000" w:themeColor="text1"/>
          <w:lang w:bidi="ar"/>
          <w14:textFill>
            <w14:solidFill>
              <w14:schemeClr w14:val="tx1"/>
            </w14:solidFill>
          </w14:textFill>
        </w:rPr>
        <w:t>称重设备要求，</w:t>
      </w:r>
      <w:r>
        <w:rPr>
          <w:rFonts w:ascii="宋体" w:hAnsi="宋体" w:cs="仿宋"/>
          <w:bCs/>
          <w:color w:val="000000" w:themeColor="text1"/>
          <w:lang w:bidi="ar"/>
          <w14:textFill>
            <w14:solidFill>
              <w14:schemeClr w14:val="tx1"/>
            </w14:solidFill>
          </w14:textFill>
        </w:rPr>
        <w:t>点位称重设备应具备 GPS 定位功能、数据自动上传功能和可回收物积分转换功能。公示回收价目，点位应公示可回收物回收价目表，并根据市场价格实现动态调整。安装监控设备，因地制宜，在点位附近安装视频监控设备，实现实时监管。</w:t>
      </w:r>
      <w:r>
        <w:rPr>
          <w:rFonts w:hint="eastAsia" w:ascii="宋体" w:hAnsi="宋体" w:cs="仿宋"/>
          <w:bCs/>
          <w:color w:val="000000" w:themeColor="text1"/>
          <w:lang w:bidi="ar"/>
          <w14:textFill>
            <w14:solidFill>
              <w14:schemeClr w14:val="tx1"/>
            </w14:solidFill>
          </w14:textFill>
        </w:rPr>
        <w:t>数据自动上传至监管平台，通过大数据统计分析功能，方便社区、镇街、区对小区的垃圾分类工作进行管理。</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（三）宣传培训</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对未参与或投放质量不高的住户进行针对性宣传，并做好相应的宣传台账资料（第三方或社区统筹）。</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1、每月初梳理小区内居民垃圾分类开展情况，理出分类参与次数较少、</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易腐垃圾日均量较差的占整个小区的一半居民，每月对其开展登门培训回访1次，并对每户居民入户派发垃圾分类宣传资料。</w:t>
      </w:r>
    </w:p>
    <w:p>
      <w:pPr>
        <w:autoSpaceDE w:val="0"/>
        <w:spacing w:line="276" w:lineRule="auto"/>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2、对服务的社区、物业及涉及垃圾分类的管理单位开展培训一季度一次。</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3、组织居民开展垃圾智能化分类的指导培训工作，进行现场分类的引导和督导。回访率不低于90%。同时再登门回访的基础上结合短信等形式回访，产生的通讯费用等由中标单位自行负责。对未参与或投放质量不高的住户进行针对性宣传，并做好相应的宣传台账资料。</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4、对上述工作开展书面日记账工作或软件日记账登记工作。</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5、积极协助平台、社区、物业开展垃圾分类宣传工作，并积极配合社区、物业解决垃圾分类工作中涉及信访、居民意见等问题。</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（四）智慧化管理</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发放“一户一卡”智慧芯片（卡或电子二维码），按照上级要求配备和使用智慧化电子称（具有</w:t>
      </w:r>
      <w:r>
        <w:rPr>
          <w:rFonts w:ascii="宋体" w:hAnsi="宋体" w:cs="仿宋"/>
          <w:bCs/>
          <w:color w:val="000000" w:themeColor="text1"/>
          <w:sz w:val="24"/>
          <w:lang w:bidi="ar"/>
          <w14:textFill>
            <w14:solidFill>
              <w14:schemeClr w14:val="tx1"/>
            </w14:solidFill>
          </w14:textFill>
        </w:rPr>
        <w:t xml:space="preserve"> GPS 定位功能、可回收物</w:t>
      </w:r>
      <w:r>
        <w:rPr>
          <w:rFonts w:hint="eastAsia" w:ascii="宋体" w:hAnsi="宋体" w:cs="仿宋"/>
          <w:bCs/>
          <w:color w:val="000000" w:themeColor="text1"/>
          <w:sz w:val="24"/>
          <w:lang w:bidi="ar"/>
          <w14:textFill>
            <w14:solidFill>
              <w14:schemeClr w14:val="tx1"/>
            </w14:solidFill>
          </w14:textFill>
        </w:rPr>
        <w:t>收集获得</w:t>
      </w:r>
      <w:r>
        <w:rPr>
          <w:rFonts w:ascii="宋体" w:hAnsi="宋体" w:cs="仿宋"/>
          <w:bCs/>
          <w:color w:val="000000" w:themeColor="text1"/>
          <w:sz w:val="24"/>
          <w:lang w:bidi="ar"/>
          <w14:textFill>
            <w14:solidFill>
              <w14:schemeClr w14:val="tx1"/>
            </w14:solidFill>
          </w14:textFill>
        </w:rPr>
        <w:t>积分功能</w:t>
      </w:r>
      <w:r>
        <w:rPr>
          <w:rFonts w:hint="eastAsia" w:ascii="宋体" w:hAnsi="宋体" w:cs="仿宋"/>
          <w:bCs/>
          <w:color w:val="000000" w:themeColor="text1"/>
          <w:sz w:val="24"/>
          <w:lang w:bidi="ar"/>
          <w14:textFill>
            <w14:solidFill>
              <w14:schemeClr w14:val="tx1"/>
            </w14:solidFill>
          </w14:textFill>
        </w:rPr>
        <w:t>、数据封装、四分类收集、高清图片上传、微信小程序查询、等功能）</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1、生活垃圾分类数智管理系统平台:</w:t>
      </w:r>
    </w:p>
    <w:p>
      <w:pPr>
        <w:spacing w:line="276" w:lineRule="auto"/>
        <w:ind w:firstLine="480" w:firstLineChars="200"/>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提供垃圾分类数智管理平台（对居民积分卡信息源的数据识别、登记、储存、导入、导出，居民通过使用智能设备，记录居民使用行为，利用大数据统计分析功能，实现由镇街、社区、小区3层次的全面分析，</w:t>
      </w:r>
      <w:r>
        <w:rPr>
          <w:rFonts w:ascii="宋体" w:hAnsi="宋体" w:cs="仿宋"/>
          <w:bCs/>
          <w:color w:val="000000" w:themeColor="text1"/>
          <w:sz w:val="24"/>
          <w:lang w:bidi="ar"/>
          <w14:textFill>
            <w14:solidFill>
              <w14:schemeClr w14:val="tx1"/>
            </w14:solidFill>
          </w14:textFill>
        </w:rPr>
        <w:t>推进智能账户与现有社会治理平台的有机融合</w:t>
      </w:r>
      <w:r>
        <w:rPr>
          <w:rFonts w:hint="eastAsia" w:ascii="宋体" w:hAnsi="宋体" w:cs="仿宋"/>
          <w:bCs/>
          <w:color w:val="000000" w:themeColor="text1"/>
          <w:sz w:val="24"/>
          <w:lang w:bidi="ar"/>
          <w14:textFill>
            <w14:solidFill>
              <w14:schemeClr w14:val="tx1"/>
            </w14:solidFill>
          </w14:textFill>
        </w:rPr>
        <w:t xml:space="preserve">。 </w:t>
      </w:r>
    </w:p>
    <w:p>
      <w:pPr>
        <w:autoSpaceDE w:val="0"/>
        <w:spacing w:line="276" w:lineRule="auto"/>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系统功能模块：</w:t>
      </w:r>
    </w:p>
    <w:tbl>
      <w:tblPr>
        <w:tblStyle w:val="64"/>
        <w:tblW w:w="8040" w:type="dxa"/>
        <w:tblInd w:w="0" w:type="dxa"/>
        <w:tblLayout w:type="autofit"/>
        <w:tblCellMar>
          <w:top w:w="0" w:type="dxa"/>
          <w:left w:w="108" w:type="dxa"/>
          <w:bottom w:w="0" w:type="dxa"/>
          <w:right w:w="108" w:type="dxa"/>
        </w:tblCellMar>
      </w:tblPr>
      <w:tblGrid>
        <w:gridCol w:w="1625"/>
        <w:gridCol w:w="1300"/>
        <w:gridCol w:w="1300"/>
        <w:gridCol w:w="986"/>
        <w:gridCol w:w="2829"/>
      </w:tblGrid>
      <w:tr>
        <w:tblPrEx>
          <w:tblCellMar>
            <w:top w:w="0" w:type="dxa"/>
            <w:left w:w="108" w:type="dxa"/>
            <w:bottom w:w="0" w:type="dxa"/>
            <w:right w:w="108" w:type="dxa"/>
          </w:tblCellMar>
        </w:tblPrEx>
        <w:trPr>
          <w:trHeight w:val="320" w:hRule="atLeast"/>
        </w:trPr>
        <w:tc>
          <w:tcPr>
            <w:tcW w:w="1625" w:type="dxa"/>
            <w:tcBorders>
              <w:top w:val="single" w:color="auto" w:sz="4" w:space="0"/>
              <w:left w:val="single" w:color="auto" w:sz="4" w:space="0"/>
              <w:bottom w:val="single" w:color="auto" w:sz="4" w:space="0"/>
              <w:right w:val="single" w:color="auto" w:sz="4" w:space="0"/>
            </w:tcBorders>
            <w:shd w:val="clear" w:color="000000" w:fill="D7D7D7"/>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应用平台</w:t>
            </w:r>
          </w:p>
        </w:tc>
        <w:tc>
          <w:tcPr>
            <w:tcW w:w="1300" w:type="dxa"/>
            <w:tcBorders>
              <w:top w:val="single" w:color="auto" w:sz="4" w:space="0"/>
              <w:left w:val="nil"/>
              <w:bottom w:val="single" w:color="auto" w:sz="4" w:space="0"/>
              <w:right w:val="single" w:color="auto" w:sz="4" w:space="0"/>
            </w:tcBorders>
            <w:shd w:val="clear" w:color="000000" w:fill="D7D7D7"/>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功能模块</w:t>
            </w:r>
          </w:p>
        </w:tc>
        <w:tc>
          <w:tcPr>
            <w:tcW w:w="1300" w:type="dxa"/>
            <w:tcBorders>
              <w:top w:val="single" w:color="auto" w:sz="4" w:space="0"/>
              <w:left w:val="nil"/>
              <w:bottom w:val="single" w:color="auto" w:sz="4" w:space="0"/>
              <w:right w:val="single" w:color="auto" w:sz="4" w:space="0"/>
            </w:tcBorders>
            <w:shd w:val="clear" w:color="000000" w:fill="D9D9D9"/>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子模块</w:t>
            </w:r>
          </w:p>
        </w:tc>
        <w:tc>
          <w:tcPr>
            <w:tcW w:w="3815" w:type="dxa"/>
            <w:gridSpan w:val="2"/>
            <w:tcBorders>
              <w:top w:val="single" w:color="auto" w:sz="4" w:space="0"/>
              <w:left w:val="nil"/>
              <w:bottom w:val="single" w:color="auto" w:sz="4" w:space="0"/>
              <w:right w:val="single" w:color="auto" w:sz="4" w:space="0"/>
            </w:tcBorders>
            <w:shd w:val="clear" w:color="000000" w:fill="D7D7D7"/>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功能描述</w:t>
            </w:r>
          </w:p>
        </w:tc>
      </w:tr>
      <w:tr>
        <w:tblPrEx>
          <w:tblCellMar>
            <w:top w:w="0" w:type="dxa"/>
            <w:left w:w="108" w:type="dxa"/>
            <w:bottom w:w="0" w:type="dxa"/>
            <w:right w:w="108" w:type="dxa"/>
          </w:tblCellMar>
        </w:tblPrEx>
        <w:trPr>
          <w:trHeight w:val="1180" w:hRule="atLeast"/>
        </w:trPr>
        <w:tc>
          <w:tcPr>
            <w:tcW w:w="16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生活垃圾分类数智管理平台PC端</w:t>
            </w: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数据大屏展示</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镇街级数据大屏</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通过专题地图展示各小区数量分布，镇街级大屏主要对全镇街分类开展情况、巡检督查统计、再生资源回收量、分类宣传工作进行监管。镇街工作人员可以通过系统实现一张图监管，根据投放数据统计分析，实时查看所辖区域投放整体情况、各社区投放率红黑榜单、社区日常巡检督查问题整改和延期情况、居住区</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企事业单位分类检查月度红黑榜单、镇街再生资源回收总量、镇街分类宣传工作。</w:t>
            </w:r>
          </w:p>
        </w:tc>
      </w:tr>
      <w:tr>
        <w:tblPrEx>
          <w:tblCellMar>
            <w:top w:w="0" w:type="dxa"/>
            <w:left w:w="108" w:type="dxa"/>
            <w:bottom w:w="0" w:type="dxa"/>
            <w:right w:w="108" w:type="dxa"/>
          </w:tblCellMar>
        </w:tblPrEx>
        <w:trPr>
          <w:trHeight w:val="8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社区级数据大屏</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通过专题地图展示各小区数量分布，社区级大屏主要对社区分类开展情况、巡检督查情况、积分兑换情况、分类宣传工作进行监管。社区工作人员可直观查看社区分类主体参与分类概况、各小区投放率趋势、各居住区</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企事业单位的高频问题和整改情况、社区总体积分兑换情况和社区工作人员分类宣传工作。</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小区级数据大屏</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通过专题地图展示小区投放点分布，小区级数字大屏主要对小区分类开展情况、居民分类质量、违规行为进行监管。小区管理员通过数字大屏，实时监管小区垃圾分类开展情况和居民违规投放行为、监测分类质量、调取远程监控，查看点位现场投放情况、晾晒分类优秀家庭和参与不积极家庭榜单。</w:t>
            </w:r>
          </w:p>
        </w:tc>
      </w:tr>
      <w:tr>
        <w:tblPrEx>
          <w:tblCellMar>
            <w:top w:w="0" w:type="dxa"/>
            <w:left w:w="108" w:type="dxa"/>
            <w:bottom w:w="0" w:type="dxa"/>
            <w:right w:w="108" w:type="dxa"/>
          </w:tblCellMar>
        </w:tblPrEx>
        <w:trPr>
          <w:trHeight w:val="8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基础信息管理</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户室管理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居民本底信息批量导入、新增、删除、查询、导出功能以及空置户变更及历史变更记录查看功能。户民信息主要包含所在地区、社区名称、小区名称、户号、户主、联系方式、是否空置、是否党员户、积分卡号等信息。即居民信息、空置户变更及积分卡绑定</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锁定</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都在此页面进行维护管理。</w:t>
            </w:r>
          </w:p>
        </w:tc>
      </w:tr>
      <w:tr>
        <w:tblPrEx>
          <w:tblCellMar>
            <w:top w:w="0" w:type="dxa"/>
            <w:left w:w="108" w:type="dxa"/>
            <w:bottom w:w="0" w:type="dxa"/>
            <w:right w:w="108" w:type="dxa"/>
          </w:tblCellMar>
        </w:tblPrEx>
        <w:trPr>
          <w:trHeight w:val="7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住户审核</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区户室成员申请信息的查询、审核功能。查询信息包含镇街名称、社区名称、小区名称、户室号、姓名、与户主关系、申请时间等信息。可在此页面审进行同意和拒绝操作。即小区住户申请信息都在此页面进行审核管理</w:t>
            </w:r>
          </w:p>
        </w:tc>
      </w:tr>
      <w:tr>
        <w:tblPrEx>
          <w:tblCellMar>
            <w:top w:w="0" w:type="dxa"/>
            <w:left w:w="108" w:type="dxa"/>
            <w:bottom w:w="0" w:type="dxa"/>
            <w:right w:w="108" w:type="dxa"/>
          </w:tblCellMar>
        </w:tblPrEx>
        <w:trPr>
          <w:trHeight w:val="8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楼栋长管理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楼栋长信息新增、编辑、删除、查询、导出功能。楼栋长信息主要包含、镇街名称、社区名称、小区名称、楼栋长、联系方式、管理楼栋等信息。即楼栋长信息都在此页面进行维护管理。</w:t>
            </w:r>
          </w:p>
        </w:tc>
      </w:tr>
      <w:tr>
        <w:tblPrEx>
          <w:tblCellMar>
            <w:top w:w="0" w:type="dxa"/>
            <w:left w:w="108" w:type="dxa"/>
            <w:bottom w:w="0" w:type="dxa"/>
            <w:right w:w="108" w:type="dxa"/>
          </w:tblCellMar>
        </w:tblPrEx>
        <w:trPr>
          <w:trHeight w:val="7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信息新增、编辑、删除、查询、导出功能。小区信息主要包含镇街名称、社区名称、小区名称、分类等级、总户数、实际户数、空置户数、党员户数、联系人、联系方式等信息。即小区信息都在此页面进行维护管理。</w:t>
            </w:r>
          </w:p>
        </w:tc>
      </w:tr>
      <w:tr>
        <w:tblPrEx>
          <w:tblCellMar>
            <w:top w:w="0" w:type="dxa"/>
            <w:left w:w="108" w:type="dxa"/>
            <w:bottom w:w="0" w:type="dxa"/>
            <w:right w:w="108" w:type="dxa"/>
          </w:tblCellMar>
        </w:tblPrEx>
        <w:trPr>
          <w:trHeight w:val="7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社区管理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社区信息新增、编辑、删除、查询、导出功能。社区信息主要包含镇街名称、社区名称、小区数量、社区负责人、联系方式等信息。即社区信息都在此页面进行维护管理。</w:t>
            </w:r>
          </w:p>
        </w:tc>
      </w:tr>
      <w:tr>
        <w:tblPrEx>
          <w:tblCellMar>
            <w:top w:w="0" w:type="dxa"/>
            <w:left w:w="108" w:type="dxa"/>
            <w:bottom w:w="0" w:type="dxa"/>
            <w:right w:w="108" w:type="dxa"/>
          </w:tblCellMar>
        </w:tblPrEx>
        <w:trPr>
          <w:trHeight w:val="9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投放点管理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点信息新增、编辑、删除、查询、导出功能及投放点类型新增、编辑、删除、查询功能。投放点信息主要包含投放点名称、地址、管理人员、联系方式、投放点类型、投放点状态、关联设备等信息。即投放点信息都在此页面进行维护管理。</w:t>
            </w:r>
          </w:p>
        </w:tc>
      </w:tr>
      <w:tr>
        <w:tblPrEx>
          <w:tblCellMar>
            <w:top w:w="0" w:type="dxa"/>
            <w:left w:w="108" w:type="dxa"/>
            <w:bottom w:w="0" w:type="dxa"/>
            <w:right w:w="108" w:type="dxa"/>
          </w:tblCellMar>
        </w:tblPrEx>
        <w:trPr>
          <w:trHeight w:val="10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服务企业管理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物业公司及第三方服务公司信息新增、编辑、删除、批量删除、查询、导出功能。物业公司信息主要包含公司名称、信用代码、负责人、地址、联系方式；第三方服务公司信息主要包含公司名称、公司简称、信用代码、负责人、地址、联系方式；即服务企业信息都在此页面进行维护管理。</w:t>
            </w:r>
          </w:p>
        </w:tc>
      </w:tr>
      <w:tr>
        <w:tblPrEx>
          <w:tblCellMar>
            <w:top w:w="0" w:type="dxa"/>
            <w:left w:w="108" w:type="dxa"/>
            <w:bottom w:w="0" w:type="dxa"/>
            <w:right w:w="108" w:type="dxa"/>
          </w:tblCellMar>
        </w:tblPrEx>
        <w:trPr>
          <w:trHeight w:val="7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投放监管</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垃圾分类投放历史信息查询。垃圾分类信息主要包括：户号、投放人姓名、垃圾类型、投放结果（优秀、良好、一般）、重量、投放时间、积分值等。支持按区划、户号、投放人、投放时间、投放结果进行多条件组合查询，并提供查询条件的导出。</w:t>
            </w:r>
          </w:p>
        </w:tc>
      </w:tr>
      <w:tr>
        <w:tblPrEx>
          <w:tblCellMar>
            <w:top w:w="0" w:type="dxa"/>
            <w:left w:w="108" w:type="dxa"/>
            <w:bottom w:w="0" w:type="dxa"/>
            <w:right w:w="108" w:type="dxa"/>
          </w:tblCellMar>
        </w:tblPrEx>
        <w:trPr>
          <w:trHeight w:val="6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投放点监控</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实时监控的查看和历史监控的查询。支持管理员通过查询或选择列表中某个视频摄像头，实时调取现场实时监控图像，或对该摄像头的历史视频进行录像检索与回放功能。</w:t>
            </w:r>
          </w:p>
        </w:tc>
      </w:tr>
      <w:tr>
        <w:tblPrEx>
          <w:tblCellMar>
            <w:top w:w="0" w:type="dxa"/>
            <w:left w:w="108" w:type="dxa"/>
            <w:bottom w:w="0" w:type="dxa"/>
            <w:right w:w="108" w:type="dxa"/>
          </w:tblCellMar>
        </w:tblPrEx>
        <w:trPr>
          <w:trHeight w:val="5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智能预警</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居民投放预警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利用</w:t>
            </w:r>
            <w:r>
              <w:rPr>
                <w:rFonts w:ascii="宋体" w:hAnsi="宋体"/>
                <w:bCs/>
                <w:color w:val="000000" w:themeColor="text1"/>
                <w:sz w:val="24"/>
                <w14:textFill>
                  <w14:solidFill>
                    <w14:schemeClr w14:val="tx1"/>
                  </w14:solidFill>
                </w14:textFill>
              </w:rPr>
              <w:t>AI</w:t>
            </w:r>
            <w:r>
              <w:rPr>
                <w:rFonts w:hint="eastAsia" w:ascii="宋体" w:hAnsi="宋体"/>
                <w:bCs/>
                <w:color w:val="000000" w:themeColor="text1"/>
                <w:sz w:val="24"/>
                <w14:textFill>
                  <w14:solidFill>
                    <w14:schemeClr w14:val="tx1"/>
                  </w14:solidFill>
                </w14:textFill>
              </w:rPr>
              <w:t>算法，智能监管居民的违规行为，自动取证预警。预警类型主要包含：居民乱丢包、误时投放垃圾、易腐未破袋的预警信息。</w:t>
            </w:r>
          </w:p>
        </w:tc>
      </w:tr>
      <w:tr>
        <w:tblPrEx>
          <w:tblCellMar>
            <w:top w:w="0" w:type="dxa"/>
            <w:left w:w="108" w:type="dxa"/>
            <w:bottom w:w="0" w:type="dxa"/>
            <w:right w:w="108" w:type="dxa"/>
          </w:tblCellMar>
        </w:tblPrEx>
        <w:trPr>
          <w:trHeight w:val="6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小区分类预警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对小区设定不同的报警参数，如投放率异常、正确率异常。对投放率低、分类质量低的小区进行统计、记录、提示。</w:t>
            </w:r>
          </w:p>
        </w:tc>
      </w:tr>
      <w:tr>
        <w:tblPrEx>
          <w:tblCellMar>
            <w:top w:w="0" w:type="dxa"/>
            <w:left w:w="108" w:type="dxa"/>
            <w:bottom w:w="0" w:type="dxa"/>
            <w:right w:w="108" w:type="dxa"/>
          </w:tblCellMar>
        </w:tblPrEx>
        <w:trPr>
          <w:trHeight w:val="5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数据采集预警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针对单日未上报数据的小区进行预警，查看是否因为异常导致数据上报失败。</w:t>
            </w:r>
          </w:p>
        </w:tc>
      </w:tr>
      <w:tr>
        <w:tblPrEx>
          <w:tblCellMar>
            <w:top w:w="0" w:type="dxa"/>
            <w:left w:w="108" w:type="dxa"/>
            <w:bottom w:w="0" w:type="dxa"/>
            <w:right w:w="108" w:type="dxa"/>
          </w:tblCellMar>
        </w:tblPrEx>
        <w:trPr>
          <w:trHeight w:val="3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无效数据预警</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针对非投放时间投放、位置不匹配产生的无效数据产生预警。</w:t>
            </w:r>
          </w:p>
        </w:tc>
      </w:tr>
      <w:tr>
        <w:tblPrEx>
          <w:tblCellMar>
            <w:top w:w="0" w:type="dxa"/>
            <w:left w:w="108" w:type="dxa"/>
            <w:bottom w:w="0" w:type="dxa"/>
            <w:right w:w="108" w:type="dxa"/>
          </w:tblCellMar>
        </w:tblPrEx>
        <w:trPr>
          <w:trHeight w:val="3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重点宣教对象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设定统计周期，统计零参与的用户名单和参与质量差的用户名单。</w:t>
            </w:r>
          </w:p>
        </w:tc>
      </w:tr>
      <w:tr>
        <w:tblPrEx>
          <w:tblCellMar>
            <w:top w:w="0" w:type="dxa"/>
            <w:left w:w="108" w:type="dxa"/>
            <w:bottom w:w="0" w:type="dxa"/>
            <w:right w:w="108" w:type="dxa"/>
          </w:tblCellMar>
        </w:tblPrEx>
        <w:trPr>
          <w:trHeight w:val="9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积分管理</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积分记录查询功能。积分记录信息包括：镇街名称、社区名称、小区名称、户号、居民、积分值、积分类型、时间等。支持所属区划、户号、积分类型、时间的组合查询，查看具体某户的积分增减情况，提供给管理者查询，方便处理居民积分投诉。</w:t>
            </w:r>
          </w:p>
        </w:tc>
      </w:tr>
      <w:tr>
        <w:tblPrEx>
          <w:tblCellMar>
            <w:top w:w="0" w:type="dxa"/>
            <w:left w:w="108" w:type="dxa"/>
            <w:bottom w:w="0" w:type="dxa"/>
            <w:right w:w="108" w:type="dxa"/>
          </w:tblCellMar>
        </w:tblPrEx>
        <w:trPr>
          <w:trHeight w:val="6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积分规则</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积分规则设定，其中可回收物的规则单独设定。易腐垃圾、其他垃圾、有害垃圾依据投放质量设定首次投放获取的积分值。积分规则支持新增、删除、查询、编辑、启用、停用等操作。</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回收定价</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可回收物的积分规则，依据投放重量进行设定。管理可回收物品类，并对每类可回收物的种类设定积分值，支持新增、编辑、删除、查询等操作。</w:t>
            </w:r>
          </w:p>
        </w:tc>
      </w:tr>
      <w:tr>
        <w:tblPrEx>
          <w:tblCellMar>
            <w:top w:w="0" w:type="dxa"/>
            <w:left w:w="108" w:type="dxa"/>
            <w:bottom w:w="0" w:type="dxa"/>
            <w:right w:w="108" w:type="dxa"/>
          </w:tblCellMar>
        </w:tblPrEx>
        <w:trPr>
          <w:trHeight w:val="5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回收品类</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回收品类信息分为可回收物大类及可回收物种类。管理回收品类支持新增、编辑、删除、查询等操作。</w:t>
            </w:r>
          </w:p>
        </w:tc>
      </w:tr>
      <w:tr>
        <w:tblPrEx>
          <w:tblCellMar>
            <w:top w:w="0" w:type="dxa"/>
            <w:left w:w="108" w:type="dxa"/>
            <w:bottom w:w="0" w:type="dxa"/>
            <w:right w:w="108" w:type="dxa"/>
          </w:tblCellMar>
        </w:tblPrEx>
        <w:trPr>
          <w:trHeight w:val="8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回收物积分审核</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居民投放回收物的信息查询与审核。查询信息包括可回收物采集图片。类型、重量、积分、投放人、投放时间、审核记录等信息。可在此页面审进行同意和拒绝操作。</w:t>
            </w:r>
          </w:p>
        </w:tc>
      </w:tr>
      <w:tr>
        <w:tblPrEx>
          <w:tblCellMar>
            <w:top w:w="0" w:type="dxa"/>
            <w:left w:w="108" w:type="dxa"/>
            <w:bottom w:w="0" w:type="dxa"/>
            <w:right w:w="108" w:type="dxa"/>
          </w:tblCellMar>
        </w:tblPrEx>
        <w:trPr>
          <w:trHeight w:val="5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积分商城</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商品审核</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审核确保所售商品的质量、合法性、合规性、描述准确性及品牌权益等多个方面符合既定标准和法规要求。</w:t>
            </w:r>
          </w:p>
        </w:tc>
      </w:tr>
      <w:tr>
        <w:tblPrEx>
          <w:tblCellMar>
            <w:top w:w="0" w:type="dxa"/>
            <w:left w:w="108" w:type="dxa"/>
            <w:bottom w:w="0" w:type="dxa"/>
            <w:right w:w="108" w:type="dxa"/>
          </w:tblCellMar>
        </w:tblPrEx>
        <w:trPr>
          <w:trHeight w:val="3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活动管理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根据商品种类上架促销的形式、促销时间。</w:t>
            </w:r>
          </w:p>
        </w:tc>
      </w:tr>
      <w:tr>
        <w:tblPrEx>
          <w:tblCellMar>
            <w:top w:w="0" w:type="dxa"/>
            <w:left w:w="108" w:type="dxa"/>
            <w:bottom w:w="0" w:type="dxa"/>
            <w:right w:w="108" w:type="dxa"/>
          </w:tblCellMar>
        </w:tblPrEx>
        <w:trPr>
          <w:trHeight w:val="4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卡券商品管理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对确定上架的卡券商品进行编辑管理，上架下架管理。</w:t>
            </w:r>
          </w:p>
        </w:tc>
      </w:tr>
      <w:tr>
        <w:tblPrEx>
          <w:tblCellMar>
            <w:top w:w="0" w:type="dxa"/>
            <w:left w:w="108" w:type="dxa"/>
            <w:bottom w:w="0" w:type="dxa"/>
            <w:right w:w="108" w:type="dxa"/>
          </w:tblCellMar>
        </w:tblPrEx>
        <w:trPr>
          <w:trHeight w:val="4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自提点商品管理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对自提点内的商品进行管理确保无损坏、无过期、无过时。</w:t>
            </w:r>
          </w:p>
        </w:tc>
      </w:tr>
      <w:tr>
        <w:tblPrEx>
          <w:tblCellMar>
            <w:top w:w="0" w:type="dxa"/>
            <w:left w:w="108" w:type="dxa"/>
            <w:bottom w:w="0" w:type="dxa"/>
            <w:right w:w="108" w:type="dxa"/>
          </w:tblCellMar>
        </w:tblPrEx>
        <w:trPr>
          <w:trHeight w:val="6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商城订单管理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当用户下单购买商品后，电商企业需要及时处理订单信息，并安排物流配送。订单管理包括订单确认、支付审核、发货处理等环节，需要确保订单信息的准确性和及时性。</w:t>
            </w:r>
          </w:p>
        </w:tc>
      </w:tr>
      <w:tr>
        <w:tblPrEx>
          <w:tblCellMar>
            <w:top w:w="0" w:type="dxa"/>
            <w:left w:w="108" w:type="dxa"/>
            <w:bottom w:w="0" w:type="dxa"/>
            <w:right w:w="108" w:type="dxa"/>
          </w:tblCellMar>
        </w:tblPrEx>
        <w:trPr>
          <w:trHeight w:val="4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备货管理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根据实际库存情况发出采购订单，对商品运达的货物进行验收，以确保购进产品的数量和质量。</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自提点管理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对自提点的地址、负责人、联系电话、场所环境进行管理优化布局，提升服务质量和用户体验，满足消费者对便捷、高效服务的需求。</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商家门店管理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根据要求商家资质管理商家入驻前，需提交营业执照、经营范围证明、商家信用报告等管理者要求的其他资料。</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兑换管理</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商品兑换记录查询功能。商品兑换记录信息包括：小区名称、户室号、居民、兑换商品、兑换积分、兑换类型、兑换地址、兑换时间等。支持所属区划、兑换类型、兑换地址、户室号、时间的组合查询，可查看具体某户的商品兑换情况。</w:t>
            </w:r>
          </w:p>
        </w:tc>
      </w:tr>
      <w:tr>
        <w:tblPrEx>
          <w:tblCellMar>
            <w:top w:w="0" w:type="dxa"/>
            <w:left w:w="108" w:type="dxa"/>
            <w:bottom w:w="0" w:type="dxa"/>
            <w:right w:w="108" w:type="dxa"/>
          </w:tblCellMar>
        </w:tblPrEx>
        <w:trPr>
          <w:trHeight w:val="6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兑换机详情</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兑换机信息查询功能。兑换机基础信息包括：社区名称、小区名称、设备名称、设备编码、详细地址；货道详情信息包括：序号、货道号、商品名称、库存数量、兑换积分、是否免费领及状态信息，可查看具体自助兑换机的详细信息。</w:t>
            </w:r>
          </w:p>
        </w:tc>
      </w:tr>
      <w:tr>
        <w:tblPrEx>
          <w:tblCellMar>
            <w:top w:w="0" w:type="dxa"/>
            <w:left w:w="108" w:type="dxa"/>
            <w:bottom w:w="0" w:type="dxa"/>
            <w:right w:w="108" w:type="dxa"/>
          </w:tblCellMar>
        </w:tblPrEx>
        <w:trPr>
          <w:trHeight w:val="90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自助兑换商品</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自助兑换商品新增、编辑、删除、查询功能。自助兑换商品信息主要包含所在地区、社区名称、小区名称、序号、商品图片、商品名称、品牌名称、商品类型、兑换积分、是否免费领信息。即自助兑换商品信息在此页面进行维护管理。</w:t>
            </w:r>
          </w:p>
        </w:tc>
      </w:tr>
      <w:tr>
        <w:tblPrEx>
          <w:tblCellMar>
            <w:top w:w="0" w:type="dxa"/>
            <w:left w:w="108" w:type="dxa"/>
            <w:bottom w:w="0" w:type="dxa"/>
            <w:right w:w="108" w:type="dxa"/>
          </w:tblCellMar>
        </w:tblPrEx>
        <w:trPr>
          <w:trHeight w:val="7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现场兑换商品</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现场兑换商品新增、编辑、删除、查询功能。现场兑换商品信息主要包含所在地区、社区名称、小区名称、序号、商品图片、商品名称、品牌名称、商品类型、兑换积分、是否免费领信息。即现场兑换商品信息在此页面进行维护管理。</w:t>
            </w:r>
          </w:p>
        </w:tc>
      </w:tr>
      <w:tr>
        <w:tblPrEx>
          <w:tblCellMar>
            <w:top w:w="0" w:type="dxa"/>
            <w:left w:w="108" w:type="dxa"/>
            <w:bottom w:w="0" w:type="dxa"/>
            <w:right w:w="108" w:type="dxa"/>
          </w:tblCellMar>
        </w:tblPrEx>
        <w:trPr>
          <w:trHeight w:val="5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商品类型管理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商品类型新增、编辑、删除、查询功能。商品类型信息主要包含商品类型编码、商品类型。即商品类型在此页面进行维护管理。</w:t>
            </w:r>
          </w:p>
        </w:tc>
      </w:tr>
      <w:tr>
        <w:tblPrEx>
          <w:tblCellMar>
            <w:top w:w="0" w:type="dxa"/>
            <w:left w:w="108" w:type="dxa"/>
            <w:bottom w:w="0" w:type="dxa"/>
            <w:right w:w="108" w:type="dxa"/>
          </w:tblCellMar>
        </w:tblPrEx>
        <w:trPr>
          <w:trHeight w:val="7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免费领规则</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免费领规则新增、编辑、删除、查询功能。免费领规则主要包含序号、规则名称、领取周期、垃圾类型、投放天数下限、每户可领取次数信息。即免费领规则在此页面进行维护管理。</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分类宣教</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分类资讯</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垃圾分类新闻的发布、分类查询展示，方便公众了解镇街垃圾分类最新进展情况。</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分类知识库</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搭建垃圾分类题库，帮助公众轻松学习垃圾分类知识。针对分类质量差居民，推送试题。通过参与答题学习，进一步掌握垃圾分类知识。</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考核管理</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社区考核汇总</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社区考核信息管理，包含新增、导入、删除等功能。考核信息包含社区名称、考核总得分、考核周期、排名。</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宣传记录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分类宣传记录查询、导出；宣传类型设置。宣传记录信息包含宣传标题、宣传类型、宣传图片、宣传人。</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宣传统计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宣传工作情况统计，包含社区统计和小区统计情。可查看社区和小区每月的宣传次数。</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积分排行</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积分排行包含家庭积分排行，楼栋积分排行。按年、季、月查看户室积分排行情况；按年、季、月查看楼栋积分排行情况；</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统计分析</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垃圾分类综合分析</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统计居民小区的整体工作推进情况，包含可回收物参与投放情况、积分累计兑换情况、小程序注册使用情况、负面清单使用情况，宏观了解小区的工作动态。</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再生资源回收统计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统计居民小区可回收投放情况，包含可回收物种类、重量、总积分，了解该小区可回收物的收投放情况。</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居民投放统计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统计居民分类情况，包含参与天数、投放次数、四分类垃圾的投放次数、垃圾总量、四分类垃圾的总量等信息。可针对性宣传教育，提升分类投放率和参与质量。</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小区投放统计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统计小区分类情况，包含总户数、参与户数、空置户数、总体投放率、易腐投放率、垃圾总量、四分类垃圾总量等信息。可针对性开展重点小区垃圾分类整治提升工作。</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小程序指标统计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统计小程序使用情况，包含累计注册人数、累计注册户数、新注册人数、访问人数、使用人次等指标。</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小区户数统计</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统计管辖区域内住户及人员构成数量。统计信息包含镇街名称、社区名称、小区名称、用户数、成员数、添加成员数、租客数、添加租客数。了解小区的人员住户的整体情况。</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邻里闲置</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闲置物品</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居民闲置物品管理。包含物品发布记录的查询、查看、删除等功能。物品信息包含物品名称、物品分类、积分、物品状态、联系人、联系方式、发布时间、发布人、所属小区、所属社区等信息。</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闲置订单</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闲置物品交易订单管理，包含订单的查询、查看等功能，订单信息包含订单编号、物品名称、订单积分、订单状态、领取联系人、联系方式、提交时间、所属小区及订单交易流程等。</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设置管理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包含物品分类设置和个人标签设置。</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产品建议</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产品建议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居民、工作人员使用小程序过程的问题反馈，包括功能异常、产品建议、其他问题等类型。</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系统设置</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操作日志</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用户使用系统操作记录查看及导出功能，包含操作时间、操作人、操作模块、操作类型、操作详情信息。</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轮播图管理</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轮播图信息新增、编辑、查询、删除功能，轮播图信息包含图片、轮播图名称、发布时间、信息及状态按钮控制功能。</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宣传配置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广告信息新增、编辑、查询、删除功能，广告信息包含缩略图、广告名称、发布时间、状态信息。</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功能模块配置新增、编辑、查询、删除功能，功能模块信息包含按钮图片、功能模块、发布时间及状态按钮控制功能。</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背景配置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背景图片新增、编辑、查询、删除功能，背景配置信息包含背景图片、背景图名称、发布时间、状态信息。</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广告机配置</w:t>
            </w:r>
          </w:p>
        </w:tc>
        <w:tc>
          <w:tcPr>
            <w:tcW w:w="381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广告机视频信息新增、编辑、查询、删除功能，广告机视频信息包含视频内容、视频名称、发布时间及状态按钮控制功能。</w:t>
            </w:r>
          </w:p>
        </w:tc>
      </w:tr>
      <w:tr>
        <w:tblPrEx>
          <w:tblCellMar>
            <w:top w:w="0" w:type="dxa"/>
            <w:left w:w="108" w:type="dxa"/>
            <w:bottom w:w="0" w:type="dxa"/>
            <w:right w:w="108" w:type="dxa"/>
          </w:tblCellMar>
        </w:tblPrEx>
        <w:trPr>
          <w:trHeight w:val="660" w:hRule="atLeast"/>
        </w:trPr>
        <w:tc>
          <w:tcPr>
            <w:tcW w:w="16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小程序</w:t>
            </w: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居民端功能</w:t>
            </w: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垃圾分类</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投递码</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用于居民认证身份的电子二维码，在没有拿实体卡情况下，可通过电子卡投递垃圾获取积分、同时可以根据此信息进行精准溯源。</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积分明细</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查询家庭积分账户余额、积分明细记录和商品兑换记录。</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积分兑换点</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居民可查询并导航至附近积分兑换点，同时支持查看兑换点处可兑换的物品。</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附近投放点</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居民可查询并导航至附近垃圾投放点，同时支持查看投放点相关信息。</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w:t>
            </w:r>
            <w:r>
              <w:rPr>
                <w:rFonts w:ascii="宋体" w:hAnsi="宋体"/>
                <w:bCs/>
                <w:color w:val="000000" w:themeColor="text1"/>
                <w:sz w:val="24"/>
                <w:lang w:eastAsia="zh-Hans"/>
                <w14:textFill>
                  <w14:solidFill>
                    <w14:schemeClr w14:val="tx1"/>
                  </w14:solidFill>
                </w14:textFill>
              </w:rPr>
              <w:t>PK</w:t>
            </w:r>
            <w:r>
              <w:rPr>
                <w:rFonts w:hint="eastAsia" w:ascii="宋体" w:hAnsi="宋体"/>
                <w:bCs/>
                <w:color w:val="000000" w:themeColor="text1"/>
                <w:sz w:val="24"/>
                <w:lang w:eastAsia="zh-Hans"/>
                <w14:textFill>
                  <w14:solidFill>
                    <w14:schemeClr w14:val="tx1"/>
                  </w14:solidFill>
                </w14:textFill>
              </w:rPr>
              <w:t>榜</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查看小区当月积分排名榜、个人当月积分及排名情况。帮助居民养成垃圾分类的好习惯</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大件预约</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居民可通过小程序预约大件垃圾上门，可查巡订单明细。</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分类学习</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分类标准</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科普垃圾分类标准及投放要求，辅助居民识别垃圾类型。</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分类资讯</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发布垃圾分类相关的宣传活动。</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邻里中心</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闲置圈</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居民可发布共享闲置物品。有需要的居民可下单上门领取。</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我的信息</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个人信息</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个人信息管理。</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本户成员</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户室成员查看、删除、添加。</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积分账单</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积分花费账单明细查询</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积分共享</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积分账户的绑定与解绑。</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邻里中心</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邻里互助闲置订单的查询与管理</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切换住址</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户室的切换。</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产品建议</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产品使用问题反馈。</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管理端功能</w:t>
            </w:r>
          </w:p>
        </w:tc>
        <w:tc>
          <w:tcPr>
            <w:tcW w:w="13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工作台</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户室管理</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户室信息管理，具有户室信息及人员信息的查看、新增、删除功能；户室投放记录及积分明细查看功能；空置户信息修改功能；积分卡变更功能。</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点位管理</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具有投放点信息新增、编辑、删除、查询及定位导航功能。</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积分审核</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居民投放可回收物的审核任务统计、查询与审核。查询信息包括可回收物采集图片。类型、重量、积分、投放人、投放时间、审核记录等信息。具有单条或批量审核通过、不通过功能；具有社区审批功能</w:t>
            </w:r>
          </w:p>
        </w:tc>
      </w:tr>
      <w:tr>
        <w:tblPrEx>
          <w:tblCellMar>
            <w:top w:w="0" w:type="dxa"/>
            <w:left w:w="108" w:type="dxa"/>
            <w:bottom w:w="0" w:type="dxa"/>
            <w:right w:w="108" w:type="dxa"/>
          </w:tblCellMar>
        </w:tblPrEx>
        <w:trPr>
          <w:trHeight w:val="88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住户审核</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小区户室成员申请信息审核任务统计、查询、审核。查询信息包含镇街名称、社区名称、小区名称、户室号、姓名、与户主关系、申请时间等信息。具有审核通过、审核不通过功能。</w:t>
            </w:r>
          </w:p>
        </w:tc>
      </w:tr>
      <w:tr>
        <w:tblPrEx>
          <w:tblCellMar>
            <w:top w:w="0" w:type="dxa"/>
            <w:left w:w="108" w:type="dxa"/>
            <w:bottom w:w="0" w:type="dxa"/>
            <w:right w:w="108" w:type="dxa"/>
          </w:tblCellMar>
        </w:tblPrEx>
        <w:trPr>
          <w:trHeight w:val="1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投放统计</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统计本月、本周、本日垃圾投放情况、参与推进情况和积分兑换情况。垃圾投放情况统计包括易腐垃圾、可回收物、有害垃圾、其他垃圾投放重量、投放户次等；参与推进情况统计包括投放人次、易腐投放率、可回收投放率、小程序新注册人数、可回收新投放人次；积分兑换情况统计包括总积分、兑换积分、兑换户数。</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投放点位考核</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查询小区不同周期的投放人次、投放重量，及各个投放点位的易腐投放次数、可回收投放次数、投放重量</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管理中心</w:t>
            </w: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积分排行榜</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家庭月度、季度、年度积分排行榜。楼栋月度、季度、年度积分排行榜。</w:t>
            </w:r>
          </w:p>
        </w:tc>
      </w:tr>
      <w:tr>
        <w:tblPrEx>
          <w:tblCellMar>
            <w:top w:w="0" w:type="dxa"/>
            <w:left w:w="108" w:type="dxa"/>
            <w:bottom w:w="0" w:type="dxa"/>
            <w:right w:w="108" w:type="dxa"/>
          </w:tblCellMar>
        </w:tblPrEx>
        <w:trPr>
          <w:trHeight w:val="44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数据统计</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查看小区总户数及投放点、智能称重设备、兑换机、视频设备数量。</w:t>
            </w:r>
          </w:p>
        </w:tc>
      </w:tr>
      <w:tr>
        <w:tblPrEx>
          <w:tblCellMar>
            <w:top w:w="0" w:type="dxa"/>
            <w:left w:w="108" w:type="dxa"/>
            <w:bottom w:w="0" w:type="dxa"/>
            <w:right w:w="108" w:type="dxa"/>
          </w:tblCellMar>
        </w:tblPrEx>
        <w:trPr>
          <w:trHeight w:val="32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积分兑换记录</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查看积分兑换记录</w:t>
            </w:r>
          </w:p>
        </w:tc>
      </w:tr>
      <w:tr>
        <w:tblPrEx>
          <w:tblCellMar>
            <w:top w:w="0" w:type="dxa"/>
            <w:left w:w="108" w:type="dxa"/>
            <w:bottom w:w="0" w:type="dxa"/>
            <w:right w:w="108" w:type="dxa"/>
          </w:tblCellMar>
        </w:tblPrEx>
        <w:trPr>
          <w:trHeight w:val="660" w:hRule="atLeast"/>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1300" w:type="dxa"/>
            <w:vMerge w:val="continue"/>
            <w:tcBorders>
              <w:top w:val="nil"/>
              <w:left w:val="single" w:color="auto" w:sz="4" w:space="0"/>
              <w:bottom w:val="single" w:color="auto" w:sz="4" w:space="0"/>
              <w:right w:val="single" w:color="auto" w:sz="4" w:space="0"/>
            </w:tcBorders>
            <w:vAlign w:val="center"/>
          </w:tcPr>
          <w:p>
            <w:pPr>
              <w:widowControl/>
              <w:spacing w:line="276" w:lineRule="auto"/>
              <w:rPr>
                <w:rFonts w:ascii="宋体" w:hAnsi="宋体"/>
                <w:bCs/>
                <w:color w:val="000000" w:themeColor="text1"/>
                <w:sz w:val="24"/>
                <w14:textFill>
                  <w14:solidFill>
                    <w14:schemeClr w14:val="tx1"/>
                  </w14:solidFill>
                </w14:textFill>
              </w:rPr>
            </w:pPr>
          </w:p>
        </w:tc>
        <w:tc>
          <w:tcPr>
            <w:tcW w:w="986" w:type="dxa"/>
            <w:tcBorders>
              <w:top w:val="nil"/>
              <w:left w:val="nil"/>
              <w:bottom w:val="single" w:color="auto" w:sz="4" w:space="0"/>
              <w:right w:val="single" w:color="auto" w:sz="4" w:space="0"/>
            </w:tcBorders>
            <w:shd w:val="clear" w:color="auto" w:fill="auto"/>
            <w:noWrap/>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分类宣传记录</w:t>
            </w:r>
          </w:p>
        </w:tc>
        <w:tc>
          <w:tcPr>
            <w:tcW w:w="2829" w:type="dxa"/>
            <w:tcBorders>
              <w:top w:val="nil"/>
              <w:left w:val="nil"/>
              <w:bottom w:val="single" w:color="auto" w:sz="4" w:space="0"/>
              <w:right w:val="single" w:color="auto" w:sz="4" w:space="0"/>
            </w:tcBorders>
            <w:shd w:val="clear" w:color="auto" w:fill="auto"/>
            <w:vAlign w:val="center"/>
          </w:tcPr>
          <w:p>
            <w:pPr>
              <w:widowControl/>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Hans"/>
                <w14:textFill>
                  <w14:solidFill>
                    <w14:schemeClr w14:val="tx1"/>
                  </w14:solidFill>
                </w14:textFill>
              </w:rPr>
              <w:t>分类宣传记录新增、查询。宣传功能上报，包含宣传标题、宣传类型、宣传日期、宣传内容、上传照片、宣传地址信息。</w:t>
            </w:r>
          </w:p>
        </w:tc>
      </w:tr>
    </w:tbl>
    <w:p>
      <w:pPr>
        <w:spacing w:line="276" w:lineRule="auto"/>
        <w:rPr>
          <w:rFonts w:ascii="宋体" w:hAnsi="宋体" w:cs="仿宋"/>
          <w:bCs/>
          <w:color w:val="000000" w:themeColor="text1"/>
          <w:sz w:val="24"/>
          <w:lang w:bidi="ar"/>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前端设备数据接入镇及区垃圾分类平台，中标单位按实际参与户数及每户平台运维预算费用等，中标单位承担相应费用。</w:t>
      </w:r>
    </w:p>
    <w:p>
      <w:pPr>
        <w:spacing w:line="276" w:lineRule="auto"/>
        <w:ind w:firstLine="480" w:firstLineChars="200"/>
        <w:rPr>
          <w:rFonts w:hint="eastAsia"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2、智慧芯片积分卡：每户居民发放“一户一卡”智慧芯片积分卡（卡和二维码），按户发放1张/每户“一户一卡”智慧芯片（芯片和二维码），居民可用于投放垃圾时身份识别、积分、查询以及积分兑换，居民进行垃圾分类信息录入后台，数据用于溯源、储存、导入、导出，提高小区垃圾分类工作。智能卡丢失或折损等情况，由中标方负责补办，</w:t>
      </w:r>
      <w:r>
        <w:rPr>
          <w:rFonts w:ascii="宋体" w:hAnsi="宋体" w:cs="仿宋"/>
          <w:bCs/>
          <w:color w:val="000000" w:themeColor="text1"/>
          <w:sz w:val="24"/>
          <w:lang w:bidi="ar"/>
          <w14:textFill>
            <w14:solidFill>
              <w14:schemeClr w14:val="tx1"/>
            </w14:solidFill>
          </w14:textFill>
        </w:rPr>
        <w:t>费用</w:t>
      </w:r>
      <w:r>
        <w:rPr>
          <w:rFonts w:hint="eastAsia" w:ascii="宋体" w:hAnsi="宋体" w:cs="仿宋"/>
          <w:bCs/>
          <w:color w:val="000000" w:themeColor="text1"/>
          <w:sz w:val="24"/>
          <w:lang w:bidi="ar"/>
          <w14:textFill>
            <w14:solidFill>
              <w14:schemeClr w14:val="tx1"/>
            </w14:solidFill>
          </w14:textFill>
        </w:rPr>
        <w:t>按成本价办理。</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3、垃圾分类小程序。中标单位使用推广镇平台及镇小程序，垃圾分类微信小程序有居民端和社区、管理端，便于居民随时查看垃圾分类积分情况，并提示积分变动和积分兑换信息。</w:t>
      </w:r>
    </w:p>
    <w:p>
      <w:pPr>
        <w:autoSpaceDE w:val="0"/>
        <w:spacing w:line="276" w:lineRule="auto"/>
        <w:ind w:firstLine="480" w:firstLineChars="200"/>
        <w:jc w:val="left"/>
        <w:rPr>
          <w:rFonts w:ascii="宋体" w:hAnsi="宋体" w:cs="仿宋"/>
          <w:bCs/>
          <w:color w:val="000000" w:themeColor="text1"/>
          <w:sz w:val="24"/>
          <w:lang w:bidi="ar"/>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4、带有芯片或者二维码的小绿桶。</w:t>
      </w:r>
      <w:r>
        <w:rPr>
          <w:rFonts w:hint="eastAsia" w:ascii="宋体" w:hAnsi="宋体" w:cs="宋体"/>
          <w:bCs/>
          <w:color w:val="000000" w:themeColor="text1"/>
          <w:sz w:val="24"/>
          <w14:textFill>
            <w14:solidFill>
              <w14:schemeClr w14:val="tx1"/>
            </w14:solidFill>
          </w14:textFill>
        </w:rPr>
        <w:t>已发放住户不再发放，如是新入住或居民（含商铺）丢失、破损的，需再次进行发放，新交付小区需</w:t>
      </w:r>
      <w:r>
        <w:rPr>
          <w:rFonts w:hint="eastAsia" w:ascii="宋体" w:hAnsi="宋体" w:cs="宋体"/>
          <w:bCs/>
          <w:color w:val="000000" w:themeColor="text1"/>
          <w:sz w:val="24"/>
          <w:lang w:eastAsia="zh-Hans"/>
          <w14:textFill>
            <w14:solidFill>
              <w14:schemeClr w14:val="tx1"/>
            </w14:solidFill>
          </w14:textFill>
        </w:rPr>
        <w:t>全部</w:t>
      </w:r>
      <w:r>
        <w:rPr>
          <w:rFonts w:hint="eastAsia" w:ascii="宋体" w:hAnsi="宋体" w:cs="宋体"/>
          <w:bCs/>
          <w:color w:val="000000" w:themeColor="text1"/>
          <w:sz w:val="24"/>
          <w14:textFill>
            <w14:solidFill>
              <w14:schemeClr w14:val="tx1"/>
            </w14:solidFill>
          </w14:textFill>
        </w:rPr>
        <w:t>发放</w:t>
      </w:r>
      <w:r>
        <w:rPr>
          <w:rFonts w:hint="eastAsia" w:ascii="宋体" w:hAnsi="宋体" w:cs="仿宋"/>
          <w:bCs/>
          <w:color w:val="000000" w:themeColor="text1"/>
          <w:sz w:val="24"/>
          <w:lang w:bidi="ar"/>
          <w14:textFill>
            <w14:solidFill>
              <w14:schemeClr w14:val="tx1"/>
            </w14:solidFill>
          </w14:textFill>
        </w:rPr>
        <w:t>（5L带盖小绿桶（盖与桶连体），带二维码及芯片）。</w:t>
      </w:r>
    </w:p>
    <w:p>
      <w:pPr>
        <w:autoSpaceDE w:val="0"/>
        <w:spacing w:line="276" w:lineRule="auto"/>
        <w:ind w:firstLine="480" w:firstLineChars="200"/>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5、垃圾分类智能数据采集设备</w:t>
      </w:r>
      <w:r>
        <w:rPr>
          <w:rFonts w:ascii="宋体" w:hAnsi="宋体" w:cs="仿宋"/>
          <w:bCs/>
          <w:color w:val="000000" w:themeColor="text1"/>
          <w:sz w:val="24"/>
          <w:lang w:bidi="ar"/>
          <w14:textFill>
            <w14:solidFill>
              <w14:schemeClr w14:val="tx1"/>
            </w14:solidFill>
          </w14:textFill>
        </w:rPr>
        <w:t>(</w:t>
      </w:r>
      <w:r>
        <w:rPr>
          <w:rFonts w:hint="eastAsia" w:ascii="宋体" w:hAnsi="宋体" w:cs="仿宋"/>
          <w:bCs/>
          <w:color w:val="000000" w:themeColor="text1"/>
          <w:sz w:val="24"/>
          <w:lang w:bidi="ar"/>
          <w14:textFill>
            <w14:solidFill>
              <w14:schemeClr w14:val="tx1"/>
            </w14:solidFill>
          </w14:textFill>
        </w:rPr>
        <w:t>四分类</w:t>
      </w:r>
      <w:r>
        <w:rPr>
          <w:rFonts w:ascii="宋体" w:hAnsi="宋体" w:cs="仿宋"/>
          <w:bCs/>
          <w:color w:val="000000" w:themeColor="text1"/>
          <w:sz w:val="24"/>
          <w:lang w:bidi="ar"/>
          <w14:textFill>
            <w14:solidFill>
              <w14:schemeClr w14:val="tx1"/>
            </w14:solidFill>
          </w14:textFill>
        </w:rPr>
        <w:t>)</w:t>
      </w:r>
    </w:p>
    <w:p>
      <w:pPr>
        <w:autoSpaceDE w:val="0"/>
        <w:spacing w:line="276" w:lineRule="auto"/>
        <w:ind w:left="400"/>
        <w:rPr>
          <w:rFonts w:ascii="宋体" w:hAnsi="宋体" w:cs="仿宋"/>
          <w:bCs/>
          <w:color w:val="000000" w:themeColor="text1"/>
          <w:sz w:val="24"/>
          <w:lang w:bidi="ar"/>
          <w14:textFill>
            <w14:solidFill>
              <w14:schemeClr w14:val="tx1"/>
            </w14:solidFill>
          </w14:textFill>
        </w:rPr>
      </w:pPr>
      <w:r>
        <w:rPr>
          <w:rFonts w:ascii="Calibri" w:hAnsi="Calibri" w:cs="Calibri"/>
          <w:bCs/>
          <w:color w:val="000000" w:themeColor="text1"/>
          <w:sz w:val="24"/>
          <w:lang w:bidi="ar"/>
          <w14:textFill>
            <w14:solidFill>
              <w14:schemeClr w14:val="tx1"/>
            </w14:solidFill>
          </w14:textFill>
        </w:rPr>
        <w:t>①</w:t>
      </w:r>
      <w:r>
        <w:rPr>
          <w:rFonts w:hint="eastAsia" w:ascii="宋体" w:hAnsi="宋体" w:cs="仿宋"/>
          <w:bCs/>
          <w:color w:val="000000" w:themeColor="text1"/>
          <w:sz w:val="24"/>
          <w:lang w:bidi="ar"/>
          <w14:textFill>
            <w14:solidFill>
              <w14:schemeClr w14:val="tx1"/>
            </w14:solidFill>
          </w14:textFill>
        </w:rPr>
        <w:t xml:space="preserve">在每个定时定点投放点按配置使用封装电子称，实现四分类垃圾数据实时上传且准确无误上传至义桥镇生活垃圾分类管理平台及萧山区生活垃圾分类智能监管平台（城市大脑）。并和原有居民使用二维码卡实现并连使用。电子秤有扫码口，扫码二维码自动读取用户信息，并在显示屏上显示相关信息。    </w:t>
      </w:r>
    </w:p>
    <w:p>
      <w:pPr>
        <w:autoSpaceDE w:val="0"/>
        <w:spacing w:line="276" w:lineRule="auto"/>
        <w:ind w:firstLine="360" w:firstLineChars="150"/>
        <w:rPr>
          <w:rFonts w:ascii="宋体" w:hAnsi="宋体" w:cs="仿宋"/>
          <w:bCs/>
          <w:color w:val="000000" w:themeColor="text1"/>
          <w:sz w:val="24"/>
          <w:lang w:bidi="ar"/>
          <w14:textFill>
            <w14:solidFill>
              <w14:schemeClr w14:val="tx1"/>
            </w14:solidFill>
          </w14:textFill>
        </w:rPr>
      </w:pPr>
      <w:r>
        <w:rPr>
          <w:rFonts w:ascii="Calibri" w:hAnsi="Calibri" w:cs="Calibri"/>
          <w:bCs/>
          <w:color w:val="000000" w:themeColor="text1"/>
          <w:sz w:val="24"/>
          <w:lang w:bidi="ar"/>
          <w14:textFill>
            <w14:solidFill>
              <w14:schemeClr w14:val="tx1"/>
            </w14:solidFill>
          </w14:textFill>
        </w:rPr>
        <w:t>②</w:t>
      </w:r>
      <w:r>
        <w:rPr>
          <w:rFonts w:hint="eastAsia" w:ascii="宋体" w:hAnsi="宋体" w:cs="仿宋"/>
          <w:bCs/>
          <w:color w:val="000000" w:themeColor="text1"/>
          <w:sz w:val="24"/>
          <w:lang w:bidi="ar"/>
          <w14:textFill>
            <w14:solidFill>
              <w14:schemeClr w14:val="tx1"/>
            </w14:solidFill>
          </w14:textFill>
        </w:rPr>
        <w:t>称重功能（设备有标定、除皮、置零）：通过高精密压力传感器计算读取物品重量，并带两个重量显示窗口，通过称重传感器计算读取物品重量，称重分辨力 0.001kg，具有（标定、除皮、重复性）功能。</w:t>
      </w:r>
    </w:p>
    <w:p>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w:t>
      </w:r>
      <w:r>
        <w:rPr>
          <w:rFonts w:ascii="Calibri" w:hAnsi="Calibri" w:cs="Calibri"/>
          <w:bCs/>
          <w:color w:val="000000" w:themeColor="text1"/>
          <w:sz w:val="24"/>
          <w:lang w:bidi="ar"/>
          <w14:textFill>
            <w14:solidFill>
              <w14:schemeClr w14:val="tx1"/>
            </w14:solidFill>
          </w14:textFill>
        </w:rPr>
        <w:t>③</w:t>
      </w:r>
      <w:r>
        <w:rPr>
          <w:rFonts w:hint="eastAsia" w:ascii="宋体" w:hAnsi="宋体" w:cs="仿宋"/>
          <w:bCs/>
          <w:color w:val="000000" w:themeColor="text1"/>
          <w:sz w:val="24"/>
          <w:lang w:bidi="ar"/>
          <w14:textFill>
            <w14:solidFill>
              <w14:schemeClr w14:val="tx1"/>
            </w14:solidFill>
          </w14:textFill>
        </w:rPr>
        <w:t>拍照功能：200百万像素高清摄像头带有补LED灯，</w:t>
      </w:r>
      <w:r>
        <w:rPr>
          <w:rFonts w:hint="eastAsia" w:ascii="宋体" w:hAnsi="宋体" w:cs="仿宋"/>
          <w:bCs/>
          <w:color w:val="000000" w:themeColor="text1"/>
          <w:sz w:val="24"/>
          <w:lang w:eastAsia="zh-Hans"/>
          <w14:textFill>
            <w14:solidFill>
              <w14:schemeClr w14:val="tx1"/>
            </w14:solidFill>
          </w14:textFill>
        </w:rPr>
        <w:t>拍照高度≥700mm</w:t>
      </w:r>
      <w:r>
        <w:rPr>
          <w:rFonts w:hint="eastAsia" w:ascii="宋体" w:hAnsi="宋体" w:cs="仿宋"/>
          <w:bCs/>
          <w:color w:val="000000" w:themeColor="text1"/>
          <w:sz w:val="24"/>
          <w:lang w:bidi="ar"/>
          <w14:textFill>
            <w14:solidFill>
              <w14:schemeClr w14:val="tx1"/>
            </w14:solidFill>
          </w14:textFill>
        </w:rPr>
        <w:t>。</w:t>
      </w:r>
    </w:p>
    <w:p>
      <w:pPr>
        <w:autoSpaceDE w:val="0"/>
        <w:spacing w:line="276" w:lineRule="auto"/>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6.垃圾分类智能数据采集设备</w:t>
      </w:r>
      <w:r>
        <w:rPr>
          <w:rFonts w:ascii="宋体" w:hAnsi="宋体" w:cs="仿宋"/>
          <w:bCs/>
          <w:color w:val="000000" w:themeColor="text1"/>
          <w:sz w:val="24"/>
          <w:lang w:bidi="ar"/>
          <w14:textFill>
            <w14:solidFill>
              <w14:schemeClr w14:val="tx1"/>
            </w14:solidFill>
          </w14:textFill>
        </w:rPr>
        <w:t>(</w:t>
      </w:r>
      <w:r>
        <w:rPr>
          <w:rFonts w:hint="eastAsia" w:ascii="宋体" w:hAnsi="宋体" w:cs="仿宋"/>
          <w:bCs/>
          <w:color w:val="000000" w:themeColor="text1"/>
          <w:sz w:val="24"/>
          <w:lang w:bidi="ar"/>
          <w14:textFill>
            <w14:solidFill>
              <w14:schemeClr w14:val="tx1"/>
            </w14:solidFill>
          </w14:textFill>
        </w:rPr>
        <w:t>易腐无感</w:t>
      </w:r>
      <w:r>
        <w:rPr>
          <w:rFonts w:ascii="宋体" w:hAnsi="宋体" w:cs="仿宋"/>
          <w:bCs/>
          <w:color w:val="000000" w:themeColor="text1"/>
          <w:sz w:val="24"/>
          <w:lang w:bidi="ar"/>
          <w14:textFill>
            <w14:solidFill>
              <w14:schemeClr w14:val="tx1"/>
            </w14:solidFill>
          </w14:textFill>
        </w:rPr>
        <w:t>)</w:t>
      </w:r>
      <w:r>
        <w:rPr>
          <w:rFonts w:hint="eastAsia" w:ascii="宋体" w:hAnsi="宋体" w:cs="仿宋"/>
          <w:bCs/>
          <w:color w:val="000000" w:themeColor="text1"/>
          <w:sz w:val="24"/>
          <w:lang w:bidi="ar"/>
          <w14:textFill>
            <w14:solidFill>
              <w14:schemeClr w14:val="tx1"/>
            </w14:solidFill>
          </w14:textFill>
        </w:rPr>
        <w:t>：</w:t>
      </w:r>
    </w:p>
    <w:p>
      <w:pPr>
        <w:autoSpaceDE w:val="0"/>
        <w:spacing w:line="276" w:lineRule="auto"/>
        <w:ind w:left="4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①在每个定时定点投放点按配置使用封装电子称，实现易腐垃圾数据实时上传且准确无误上传至义桥镇生活垃圾分类管理平台及萧山区生活垃圾分类智能监管平台（城市大脑）。并和原有居民使用二维码卡实现并连使用。电子秤有扫码口，扫码二维码自动读取用户信息，并在显示屏上显示相关信息。</w:t>
      </w:r>
    </w:p>
    <w:p>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②身份识别：设置具备二维码扫码识别功能。</w:t>
      </w:r>
    </w:p>
    <w:p>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③称重功能：通过高精密压力传感器计算读取物品重量，准确度。</w:t>
      </w:r>
    </w:p>
    <w:p>
      <w:pPr>
        <w:autoSpaceDE w:val="0"/>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 xml:space="preserve">   ④拍照功能：200百万像素高清摄像头，带有LDE补灯，</w:t>
      </w:r>
      <w:r>
        <w:rPr>
          <w:rFonts w:hint="eastAsia" w:ascii="宋体" w:hAnsi="宋体" w:cs="仿宋"/>
          <w:bCs/>
          <w:color w:val="000000" w:themeColor="text1"/>
          <w:sz w:val="24"/>
          <w:lang w:eastAsia="zh-Hans"/>
          <w14:textFill>
            <w14:solidFill>
              <w14:schemeClr w14:val="tx1"/>
            </w14:solidFill>
          </w14:textFill>
        </w:rPr>
        <w:t>拍照高度≥1600mm</w:t>
      </w:r>
      <w:r>
        <w:rPr>
          <w:rFonts w:hint="eastAsia" w:ascii="宋体" w:hAnsi="宋体" w:cs="仿宋"/>
          <w:bCs/>
          <w:color w:val="000000" w:themeColor="text1"/>
          <w:sz w:val="24"/>
          <w:lang w:bidi="ar"/>
          <w14:textFill>
            <w14:solidFill>
              <w14:schemeClr w14:val="tx1"/>
            </w14:solidFill>
          </w14:textFill>
        </w:rPr>
        <w:t>。</w:t>
      </w:r>
    </w:p>
    <w:p>
      <w:pPr>
        <w:pStyle w:val="87"/>
        <w:adjustRightInd w:val="0"/>
        <w:spacing w:line="276" w:lineRule="auto"/>
        <w:rPr>
          <w:rFonts w:cs="宋体"/>
          <w:bCs/>
          <w:color w:val="000000" w:themeColor="text1"/>
          <w:szCs w:val="24"/>
          <w:lang w:val="en-US"/>
          <w14:textFill>
            <w14:solidFill>
              <w14:schemeClr w14:val="tx1"/>
            </w14:solidFill>
          </w14:textFill>
        </w:rPr>
      </w:pPr>
      <w:r>
        <w:rPr>
          <w:rFonts w:hint="eastAsia" w:cs="仿宋"/>
          <w:bCs/>
          <w:color w:val="000000" w:themeColor="text1"/>
          <w:szCs w:val="24"/>
          <w:lang w:bidi="ar"/>
          <w14:textFill>
            <w14:solidFill>
              <w14:schemeClr w14:val="tx1"/>
            </w14:solidFill>
          </w14:textFill>
        </w:rPr>
        <w:t>7、</w:t>
      </w:r>
      <w:r>
        <w:rPr>
          <w:rFonts w:hint="eastAsia" w:cs="宋体"/>
          <w:bCs/>
          <w:color w:val="000000" w:themeColor="text1"/>
          <w:szCs w:val="24"/>
          <w:lang w:val="en-US"/>
          <w14:textFill>
            <w14:solidFill>
              <w14:schemeClr w14:val="tx1"/>
            </w14:solidFill>
          </w14:textFill>
        </w:rPr>
        <w:t>兑换机：按每个小区1台不少于400个货物格标准（采购人已购置除外），做好兑换机（含采购人已购置部分）的日常运行维护，并承担相应电费、网络等运行费，同时满足“六全一码”平台打通等功能。</w:t>
      </w:r>
    </w:p>
    <w:p>
      <w:pPr>
        <w:pStyle w:val="87"/>
        <w:spacing w:line="276" w:lineRule="auto"/>
        <w:ind w:firstLine="360" w:firstLineChars="150"/>
        <w:rPr>
          <w:rFonts w:cs="仿宋"/>
          <w:bCs/>
          <w:color w:val="000000" w:themeColor="text1"/>
          <w14:textFill>
            <w14:solidFill>
              <w14:schemeClr w14:val="tx1"/>
            </w14:solidFill>
          </w14:textFill>
        </w:rPr>
      </w:pPr>
      <w:r>
        <w:rPr>
          <w:rFonts w:hint="eastAsia" w:cs="宋体"/>
          <w:bCs/>
          <w:color w:val="000000" w:themeColor="text1"/>
          <w:szCs w:val="24"/>
          <w:lang w:val="en-US"/>
          <w14:textFill>
            <w14:solidFill>
              <w14:schemeClr w14:val="tx1"/>
            </w14:solidFill>
          </w14:textFill>
        </w:rPr>
        <w:t>如因小区居民反对、未有空间放置等原因无法配置到位的，经小区物业、社区等核实确认，可暂时不配置，但中标人需做好每户人家的上门发放工作。</w:t>
      </w:r>
    </w:p>
    <w:p>
      <w:pPr>
        <w:pStyle w:val="87"/>
        <w:spacing w:line="276" w:lineRule="auto"/>
        <w:rPr>
          <w:rFonts w:cs="宋体"/>
          <w:bCs/>
          <w:color w:val="000000" w:themeColor="text1"/>
          <w:szCs w:val="24"/>
          <w:lang w:val="en-US"/>
          <w14:textFill>
            <w14:solidFill>
              <w14:schemeClr w14:val="tx1"/>
            </w14:solidFill>
          </w14:textFill>
        </w:rPr>
      </w:pPr>
      <w:r>
        <w:rPr>
          <w:rFonts w:hint="eastAsia" w:cs="仿宋"/>
          <w:bCs/>
          <w:color w:val="000000" w:themeColor="text1"/>
          <w:szCs w:val="24"/>
          <w:lang w:val="en-US" w:bidi="ar"/>
          <w14:textFill>
            <w14:solidFill>
              <w14:schemeClr w14:val="tx1"/>
            </w14:solidFill>
          </w14:textFill>
        </w:rPr>
        <w:t>8</w:t>
      </w:r>
      <w:r>
        <w:rPr>
          <w:rFonts w:hint="eastAsia" w:cs="仿宋"/>
          <w:bCs/>
          <w:color w:val="000000" w:themeColor="text1"/>
          <w:szCs w:val="24"/>
          <w:lang w:bidi="ar"/>
          <w14:textFill>
            <w14:solidFill>
              <w14:schemeClr w14:val="tx1"/>
            </w14:solidFill>
          </w14:textFill>
        </w:rPr>
        <w:t>、</w:t>
      </w:r>
      <w:r>
        <w:rPr>
          <w:rFonts w:hint="eastAsia" w:cs="宋体"/>
          <w:bCs/>
          <w:color w:val="000000" w:themeColor="text1"/>
          <w:szCs w:val="24"/>
          <w:lang w:val="en-US"/>
          <w14:textFill>
            <w14:solidFill>
              <w14:schemeClr w14:val="tx1"/>
            </w14:solidFill>
          </w14:textFill>
        </w:rPr>
        <w:t>易腐垃圾袋参数要求：</w:t>
      </w:r>
    </w:p>
    <w:p>
      <w:pPr>
        <w:adjustRightInd/>
        <w:spacing w:line="276"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每卷30只垃圾袋，其他材质款式等，需经采购人审核同意。</w:t>
      </w:r>
    </w:p>
    <w:p>
      <w:pPr>
        <w:autoSpaceDE w:val="0"/>
        <w:spacing w:line="276" w:lineRule="auto"/>
        <w:jc w:val="left"/>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lang w:bidi="ar"/>
          <w14:textFill>
            <w14:solidFill>
              <w14:schemeClr w14:val="tx1"/>
            </w14:solidFill>
          </w14:textFill>
        </w:rPr>
        <w:t>（五）人员配备</w:t>
      </w:r>
    </w:p>
    <w:tbl>
      <w:tblPr>
        <w:tblStyle w:val="64"/>
        <w:tblW w:w="8875" w:type="dxa"/>
        <w:tblInd w:w="0" w:type="dxa"/>
        <w:tblLayout w:type="autofit"/>
        <w:tblCellMar>
          <w:top w:w="0" w:type="dxa"/>
          <w:left w:w="0" w:type="dxa"/>
          <w:bottom w:w="0" w:type="dxa"/>
          <w:right w:w="0" w:type="dxa"/>
        </w:tblCellMar>
      </w:tblPr>
      <w:tblGrid>
        <w:gridCol w:w="825"/>
        <w:gridCol w:w="1345"/>
        <w:gridCol w:w="1035"/>
        <w:gridCol w:w="1080"/>
        <w:gridCol w:w="4590"/>
      </w:tblGrid>
      <w:tr>
        <w:tblPrEx>
          <w:tblCellMar>
            <w:top w:w="0" w:type="dxa"/>
            <w:left w:w="0" w:type="dxa"/>
            <w:bottom w:w="0" w:type="dxa"/>
            <w:right w:w="0" w:type="dxa"/>
          </w:tblCellMar>
        </w:tblPrEx>
        <w:trPr>
          <w:trHeight w:val="6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序号</w:t>
            </w:r>
          </w:p>
        </w:tc>
        <w:tc>
          <w:tcPr>
            <w:tcW w:w="1345" w:type="dxa"/>
            <w:tcBorders>
              <w:top w:val="single" w:color="000000" w:sz="4" w:space="0"/>
              <w:left w:val="single" w:color="000000" w:sz="4" w:space="0"/>
              <w:bottom w:val="single" w:color="000000" w:sz="4" w:space="0"/>
              <w:right w:val="single" w:color="000000" w:sz="4" w:space="0"/>
            </w:tcBorders>
            <w:shd w:val="clear" w:color="auto" w:fill="D8D8D8"/>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名称</w:t>
            </w:r>
          </w:p>
        </w:tc>
        <w:tc>
          <w:tcPr>
            <w:tcW w:w="1035"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单位</w:t>
            </w:r>
          </w:p>
        </w:tc>
        <w:tc>
          <w:tcPr>
            <w:tcW w:w="4590" w:type="dxa"/>
            <w:tcBorders>
              <w:top w:val="single" w:color="000000" w:sz="4" w:space="0"/>
              <w:left w:val="single" w:color="000000" w:sz="4" w:space="0"/>
              <w:bottom w:val="single" w:color="000000" w:sz="4" w:space="0"/>
              <w:right w:val="single" w:color="000000" w:sz="4" w:space="0"/>
            </w:tcBorders>
            <w:shd w:val="clear" w:color="auto" w:fill="D8D8D8"/>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备注</w:t>
            </w:r>
          </w:p>
        </w:tc>
      </w:tr>
      <w:tr>
        <w:tblPrEx>
          <w:tblCellMar>
            <w:top w:w="0" w:type="dxa"/>
            <w:left w:w="0" w:type="dxa"/>
            <w:bottom w:w="0" w:type="dxa"/>
            <w:right w:w="0"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1</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项目经理</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left"/>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配置一名</w:t>
            </w:r>
          </w:p>
        </w:tc>
      </w:tr>
      <w:tr>
        <w:tblPrEx>
          <w:tblCellMar>
            <w:top w:w="0" w:type="dxa"/>
            <w:left w:w="0" w:type="dxa"/>
            <w:bottom w:w="0" w:type="dxa"/>
            <w:right w:w="0"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kern w:val="0"/>
                <w:sz w:val="24"/>
                <w:lang w:bidi="ar"/>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2</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kern w:val="0"/>
                <w:sz w:val="24"/>
                <w:lang w:bidi="ar"/>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专管员</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仿宋"/>
                <w:bCs/>
                <w:color w:val="000000" w:themeColor="text1"/>
                <w:sz w:val="24"/>
                <w:lang w:eastAsia="zh-CN"/>
                <w14:textFill>
                  <w14:solidFill>
                    <w14:schemeClr w14:val="tx1"/>
                  </w14:solidFill>
                </w14:textFill>
              </w:rPr>
            </w:pPr>
            <w:r>
              <w:rPr>
                <w:rFonts w:hint="eastAsia" w:ascii="宋体" w:hAnsi="宋体" w:cs="仿宋"/>
                <w:bCs/>
                <w:color w:val="000000" w:themeColor="text1"/>
                <w:kern w:val="0"/>
                <w:sz w:val="24"/>
                <w:lang w:val="en-US" w:eastAsia="zh-CN"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cs="仿宋"/>
                <w:bCs/>
                <w:color w:val="000000" w:themeColor="text1"/>
                <w:kern w:val="0"/>
                <w:sz w:val="24"/>
                <w:lang w:bidi="ar"/>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配置</w:t>
            </w:r>
            <w:r>
              <w:rPr>
                <w:rFonts w:hint="eastAsia" w:ascii="宋体" w:hAnsi="宋体" w:cs="仿宋"/>
                <w:bCs/>
                <w:color w:val="000000" w:themeColor="text1"/>
                <w:kern w:val="0"/>
                <w:sz w:val="24"/>
                <w:lang w:val="en-US" w:eastAsia="zh-CN" w:bidi="ar"/>
                <w14:textFill>
                  <w14:solidFill>
                    <w14:schemeClr w14:val="tx1"/>
                  </w14:solidFill>
                </w14:textFill>
              </w:rPr>
              <w:t>若干</w:t>
            </w:r>
            <w:r>
              <w:rPr>
                <w:rFonts w:hint="eastAsia" w:ascii="宋体" w:hAnsi="宋体" w:cs="仿宋"/>
                <w:bCs/>
                <w:color w:val="000000" w:themeColor="text1"/>
                <w:kern w:val="0"/>
                <w:sz w:val="24"/>
                <w:lang w:bidi="ar"/>
                <w14:textFill>
                  <w14:solidFill>
                    <w14:schemeClr w14:val="tx1"/>
                  </w14:solidFill>
                </w14:textFill>
              </w:rPr>
              <w:t>名</w:t>
            </w:r>
          </w:p>
        </w:tc>
      </w:tr>
      <w:tr>
        <w:tblPrEx>
          <w:tblCellMar>
            <w:top w:w="0" w:type="dxa"/>
            <w:left w:w="0" w:type="dxa"/>
            <w:bottom w:w="0" w:type="dxa"/>
            <w:right w:w="0" w:type="dxa"/>
          </w:tblCellMar>
        </w:tblPrEx>
        <w:trPr>
          <w:trHeight w:val="64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3</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宣传员</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仿宋"/>
                <w:bCs/>
                <w:color w:val="000000" w:themeColor="text1"/>
                <w:sz w:val="24"/>
                <w:lang w:eastAsia="zh-CN"/>
                <w14:textFill>
                  <w14:solidFill>
                    <w14:schemeClr w14:val="tx1"/>
                  </w14:solidFill>
                </w14:textFill>
              </w:rPr>
            </w:pPr>
            <w:r>
              <w:rPr>
                <w:rFonts w:hint="eastAsia" w:ascii="宋体" w:hAnsi="宋体" w:cs="仿宋"/>
                <w:bCs/>
                <w:color w:val="000000" w:themeColor="text1"/>
                <w:kern w:val="0"/>
                <w:sz w:val="24"/>
                <w:lang w:val="en-US" w:eastAsia="zh-CN"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配置两名（每周十小时）</w:t>
            </w:r>
          </w:p>
        </w:tc>
      </w:tr>
      <w:tr>
        <w:tblPrEx>
          <w:tblCellMar>
            <w:top w:w="0" w:type="dxa"/>
            <w:left w:w="0" w:type="dxa"/>
            <w:bottom w:w="0" w:type="dxa"/>
            <w:right w:w="0"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4</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督导员</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仿宋"/>
                <w:bCs/>
                <w:color w:val="000000" w:themeColor="text1"/>
                <w:sz w:val="24"/>
                <w:lang w:eastAsia="zh-CN"/>
                <w14:textFill>
                  <w14:solidFill>
                    <w14:schemeClr w14:val="tx1"/>
                  </w14:solidFill>
                </w14:textFill>
              </w:rPr>
            </w:pPr>
            <w:r>
              <w:rPr>
                <w:rFonts w:hint="eastAsia" w:ascii="宋体" w:hAnsi="宋体" w:cs="仿宋"/>
                <w:bCs/>
                <w:color w:val="000000" w:themeColor="text1"/>
                <w:kern w:val="0"/>
                <w:sz w:val="24"/>
                <w:lang w:val="en-US" w:eastAsia="zh-CN" w:bidi="ar"/>
                <w14:textFill>
                  <w14:solidFill>
                    <w14:schemeClr w14:val="tx1"/>
                  </w14:solidFill>
                </w14:textFill>
              </w:rPr>
              <w:t>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人</w:t>
            </w:r>
          </w:p>
        </w:tc>
        <w:tc>
          <w:tcPr>
            <w:tcW w:w="4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kern w:val="0"/>
                <w:sz w:val="24"/>
                <w:lang w:bidi="ar"/>
                <w14:textFill>
                  <w14:solidFill>
                    <w14:schemeClr w14:val="tx1"/>
                  </w14:solidFill>
                </w14:textFill>
              </w:rPr>
              <w:t>每个小区每个投放点配一名（每天四小时）</w:t>
            </w:r>
          </w:p>
        </w:tc>
      </w:tr>
    </w:tbl>
    <w:p>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人员要求：</w:t>
      </w:r>
    </w:p>
    <w:p>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1、项目经理：具有从事垃圾分类管理项目3年及以上经验。协调项目内总体工作，合理安排项目内人员工作，实施监管考核。</w:t>
      </w:r>
    </w:p>
    <w:p>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2、专管员：设置</w:t>
      </w:r>
      <w:r>
        <w:rPr>
          <w:rFonts w:ascii="宋体" w:hAnsi="宋体" w:cs="仿宋"/>
          <w:bCs/>
          <w:color w:val="000000" w:themeColor="text1"/>
          <w:sz w:val="24"/>
          <w14:textFill>
            <w14:solidFill>
              <w14:schemeClr w14:val="tx1"/>
            </w14:solidFill>
          </w14:textFill>
        </w:rPr>
        <w:t>专管员</w:t>
      </w:r>
      <w:r>
        <w:rPr>
          <w:rFonts w:hint="eastAsia" w:ascii="宋体" w:hAnsi="宋体" w:cs="仿宋"/>
          <w:bCs/>
          <w:color w:val="000000" w:themeColor="text1"/>
          <w:sz w:val="24"/>
          <w14:textFill>
            <w14:solidFill>
              <w14:schemeClr w14:val="tx1"/>
            </w14:solidFill>
          </w14:textFill>
        </w:rPr>
        <w:t>若干人</w:t>
      </w:r>
      <w:r>
        <w:rPr>
          <w:rFonts w:ascii="宋体" w:hAnsi="宋体" w:cs="仿宋"/>
          <w:bCs/>
          <w:color w:val="000000" w:themeColor="text1"/>
          <w:sz w:val="24"/>
          <w14:textFill>
            <w14:solidFill>
              <w14:schemeClr w14:val="tx1"/>
            </w14:solidFill>
          </w14:textFill>
        </w:rPr>
        <w:t>（</w:t>
      </w:r>
      <w:r>
        <w:rPr>
          <w:rFonts w:hint="eastAsia" w:ascii="宋体" w:hAnsi="宋体" w:cs="仿宋"/>
          <w:bCs/>
          <w:color w:val="000000" w:themeColor="text1"/>
          <w:sz w:val="24"/>
          <w14:textFill>
            <w14:solidFill>
              <w14:schemeClr w14:val="tx1"/>
            </w14:solidFill>
          </w14:textFill>
        </w:rPr>
        <w:t>人数</w:t>
      </w:r>
      <w:r>
        <w:rPr>
          <w:rFonts w:ascii="宋体" w:hAnsi="宋体" w:cs="仿宋"/>
          <w:bCs/>
          <w:color w:val="000000" w:themeColor="text1"/>
          <w:sz w:val="24"/>
          <w14:textFill>
            <w14:solidFill>
              <w14:schemeClr w14:val="tx1"/>
            </w14:solidFill>
          </w14:textFill>
        </w:rPr>
        <w:t>根据</w:t>
      </w:r>
      <w:r>
        <w:rPr>
          <w:rFonts w:hint="eastAsia" w:ascii="宋体" w:hAnsi="宋体" w:cs="仿宋"/>
          <w:bCs/>
          <w:color w:val="000000" w:themeColor="text1"/>
          <w:sz w:val="24"/>
          <w14:textFill>
            <w14:solidFill>
              <w14:schemeClr w14:val="tx1"/>
            </w14:solidFill>
          </w14:textFill>
        </w:rPr>
        <w:t>社区</w:t>
      </w:r>
      <w:r>
        <w:rPr>
          <w:rFonts w:ascii="宋体" w:hAnsi="宋体" w:cs="仿宋"/>
          <w:bCs/>
          <w:color w:val="000000" w:themeColor="text1"/>
          <w:sz w:val="24"/>
          <w14:textFill>
            <w14:solidFill>
              <w14:schemeClr w14:val="tx1"/>
            </w14:solidFill>
          </w14:textFill>
        </w:rPr>
        <w:t>小区实际情况定）</w:t>
      </w:r>
      <w:r>
        <w:rPr>
          <w:rFonts w:hint="eastAsia" w:ascii="宋体" w:hAnsi="宋体" w:cs="仿宋"/>
          <w:bCs/>
          <w:color w:val="000000" w:themeColor="text1"/>
          <w:sz w:val="24"/>
          <w14:textFill>
            <w14:solidFill>
              <w14:schemeClr w14:val="tx1"/>
            </w14:solidFill>
          </w14:textFill>
        </w:rPr>
        <w:t>，具有从事垃圾分类工作经验。由社区推荐人员，由中标单位签订劳务关系，实行双重管理。负责具体社区内中标单位所需承担的各项工作，实时管理社区内的工作开展情况，配合镇街、社区、物业等做好各项工作的协调与处理。</w:t>
      </w:r>
    </w:p>
    <w:p>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3、宣传员：对未参与分类住户进行精准入户宣传，并做好相关入户宣传台账资料，切实提高参与率。配合社区做好活动的举办。</w:t>
      </w:r>
    </w:p>
    <w:p>
      <w:pPr>
        <w:adjustRightInd/>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4、督导员：按照定时定点投放要求，做好分类收集，规范使用电子称，指导居民分类投放，并做好居民刷卡工作。</w:t>
      </w:r>
    </w:p>
    <w:p>
      <w:pPr>
        <w:pStyle w:val="87"/>
        <w:spacing w:line="276" w:lineRule="auto"/>
        <w:ind w:firstLine="480" w:firstLineChars="200"/>
        <w:rPr>
          <w:bCs/>
          <w:color w:val="000000" w:themeColor="text1"/>
          <w:szCs w:val="24"/>
          <w:lang w:val="en-US"/>
          <w14:textFill>
            <w14:solidFill>
              <w14:schemeClr w14:val="tx1"/>
            </w14:solidFill>
          </w14:textFill>
        </w:rPr>
      </w:pPr>
      <w:r>
        <w:rPr>
          <w:rFonts w:hint="eastAsia" w:cs="仿宋"/>
          <w:bCs/>
          <w:color w:val="000000" w:themeColor="text1"/>
          <w:szCs w:val="24"/>
          <w:lang w:val="en-US"/>
          <w14:textFill>
            <w14:solidFill>
              <w14:schemeClr w14:val="tx1"/>
            </w14:solidFill>
          </w14:textFill>
        </w:rPr>
        <w:t>5、必须配合做好“六全一码”相关工作。</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（六）其他要求</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1、居民参与垃圾分类要求建立积分制。（以奖品形式发放）</w:t>
      </w:r>
    </w:p>
    <w:p>
      <w:pPr>
        <w:spacing w:line="276" w:lineRule="auto"/>
        <w:ind w:firstLine="480" w:firstLineChars="200"/>
        <w:rPr>
          <w:rFonts w:hint="eastAsia"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每日参加定时定点投放的居民在刷卡后可以领取垃圾袋一个</w:t>
      </w:r>
      <w:r>
        <w:rPr>
          <w:rFonts w:hint="eastAsia" w:ascii="宋体" w:hAnsi="宋体" w:cs="仿宋"/>
          <w:bCs/>
          <w:color w:val="000000" w:themeColor="text1"/>
          <w:sz w:val="24"/>
          <w14:textFill>
            <w14:solidFill>
              <w14:schemeClr w14:val="tx1"/>
            </w14:solidFill>
          </w14:textFill>
        </w:rPr>
        <w:t>。</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3、发放垃圾分类宣传资料，保证每年入户宣传每户不少于四次。（每季度一次，</w:t>
      </w:r>
      <w:r>
        <w:rPr>
          <w:rFonts w:ascii="宋体" w:hAnsi="宋体" w:cs="仿宋"/>
          <w:bCs/>
          <w:color w:val="000000" w:themeColor="text1"/>
          <w:sz w:val="24"/>
          <w14:textFill>
            <w14:solidFill>
              <w14:schemeClr w14:val="tx1"/>
            </w14:solidFill>
          </w14:textFill>
        </w:rPr>
        <w:t>垃圾分类宣传活动每月至少一次</w:t>
      </w:r>
      <w:r>
        <w:rPr>
          <w:rFonts w:hint="eastAsia" w:ascii="宋体" w:hAnsi="宋体" w:cs="仿宋"/>
          <w:bCs/>
          <w:color w:val="000000" w:themeColor="text1"/>
          <w:sz w:val="24"/>
          <w14:textFill>
            <w14:solidFill>
              <w14:schemeClr w14:val="tx1"/>
            </w14:solidFill>
          </w14:textFill>
        </w:rPr>
        <w:t>）</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响应人应根据《浙江省城镇生活垃圾分类标准》和萧山区生活垃圾源头分类第三方服务政府采购项目招标文件的要求配备各类垃圾桶，容量、颜色、标识均要符合要求。现有垃圾桶如不附合要求的，由响应人负责更换或标识纠正，更换掉的垃圾桶由原权属单位收回。</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5、响应人应积极在社区范围内开展生活垃圾分类宣传指导工作，逐步提高居民参与率、投放准确率和服务满意率。</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对全体居民登门培训回访每户每年平均不少于6次，响应人应每月反馈各小区居民的分类数据，更新“一图一表”信息。对服务的社区、物业及涉及垃圾分类的管理单位开展培训不少于2次，并结合每个社区的实际情况，开展实地参观、居民互动等形式有效的各类活动。并对上述工作开展书面日记账工作或软件日记账登记工作，创建示范小区和达标小区的台账资料由响应人负责制作完成。</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7、每月必须向甲方单位提交宣传、回访开展情况的台账，台账是否完成作为考核扣款的一部分；涉及贯穿全年应完成任务量的，在每年最后一季度根据任务量完成情况扣款。</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8、建立微信公众号，并提供宣传、客服及信息指导服务，每月推送不少于2 次。</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9、积极协助镇街、社区、物业开展其他垃圾分类宣传工作，并积极配合社区、物业解决垃圾分类工作中涉及信访、居民意见等问题。</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10、经响应人运营后，采购人创建的示范小区、达标小区等应符合上级部门对采购人的考核要求，居民参与率、居民满意度、分类准确率、分类设施、宣传引导和监督管理等都应达到考核标准。若验收不通过，取消响应人当月考核奖励发放。</w:t>
      </w:r>
    </w:p>
    <w:p>
      <w:pPr>
        <w:spacing w:line="276" w:lineRule="auto"/>
        <w:ind w:firstLine="480" w:firstLineChars="20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11、响应人应支持采购人垃圾分类工作，合同期遇到上级部门或采购人布置临时垃圾分类工作任务或指标时，应无条件予以支持和配合，在第三方服务内容外的工作要求，费用可以另行结算。</w:t>
      </w:r>
    </w:p>
    <w:p>
      <w:pPr>
        <w:rPr>
          <w:color w:val="000000" w:themeColor="text1"/>
          <w14:textFill>
            <w14:solidFill>
              <w14:schemeClr w14:val="tx1"/>
            </w14:solidFill>
          </w14:textFill>
        </w:rPr>
      </w:pPr>
    </w:p>
    <w:p>
      <w:pPr>
        <w:spacing w:line="360" w:lineRule="auto"/>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2、商务需求</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2.1服务时间及地点：</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服务期为两年。合同一年一签。</w:t>
      </w:r>
      <w:r>
        <w:rPr>
          <w:rFonts w:hint="eastAsia" w:ascii="宋体" w:hAnsi="宋体"/>
          <w:color w:val="000000" w:themeColor="text1"/>
          <w14:textFill>
            <w14:solidFill>
              <w14:schemeClr w14:val="tx1"/>
            </w14:solidFill>
          </w14:textFill>
        </w:rPr>
        <w:t>如成交人在服务期内违反合同约定，采购人有权提前终止合同;合同到期后在未找到接替公司前，应延续服务，延续服务最长不超过半年。</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▲2.付款方式：最终结算价=服务户数*中标单价，最终结算价不得超过最高限价，超过最高限价则按最高限价进行结算。服务户数以镇、社区核实的实际户数为准</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取每年6月30日和12月30日两期数据平均值）</w:t>
      </w:r>
      <w:r>
        <w:rPr>
          <w:rFonts w:hint="eastAsia" w:ascii="宋体" w:hAnsi="宋体"/>
          <w:color w:val="000000" w:themeColor="text1"/>
          <w14:textFill>
            <w14:solidFill>
              <w14:schemeClr w14:val="tx1"/>
            </w14:solidFill>
          </w14:textFill>
        </w:rPr>
        <w:t>，按季度与各社区分别进行结算，受镇级监督。结算方式在合同中明确。</w:t>
      </w:r>
    </w:p>
    <w:p>
      <w:pPr>
        <w:rPr>
          <w:color w:val="000000" w:themeColor="text1"/>
          <w14:textFill>
            <w14:solidFill>
              <w14:schemeClr w14:val="tx1"/>
            </w14:solidFill>
          </w14:textFill>
        </w:rPr>
      </w:pPr>
    </w:p>
    <w:p>
      <w:pPr>
        <w:spacing w:line="500" w:lineRule="exact"/>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注：</w:t>
      </w:r>
    </w:p>
    <w:p>
      <w:pPr>
        <w:spacing w:line="500" w:lineRule="exact"/>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1、如有附图，仅作参考。</w:t>
      </w:r>
    </w:p>
    <w:p>
      <w:pPr>
        <w:spacing w:line="500" w:lineRule="exact"/>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招标文件中打</w:t>
      </w:r>
      <w:r>
        <w:rPr>
          <w:rFonts w:hint="eastAsia" w:cs="仿宋"/>
          <w:color w:val="000000" w:themeColor="text1"/>
          <w14:textFill>
            <w14:solidFill>
              <w14:schemeClr w14:val="tx1"/>
            </w14:solidFill>
          </w14:textFill>
        </w:rPr>
        <w:t>▲内容为实质性要求，不允许有负偏离，否则将以涉及无效投标条款作无效投标。</w:t>
      </w:r>
    </w:p>
    <w:p>
      <w:pPr>
        <w:spacing w:line="500" w:lineRule="exact"/>
        <w:rPr>
          <w:rFonts w:eastAsia="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3、中标人所提供的货物、服务须与投标承诺一致，不得以次充好、偷工减料，若在项目验收中发现有上述情况，将向有关部门举报，根据相关规定进行处理。</w:t>
      </w:r>
    </w:p>
    <w:p>
      <w:pPr>
        <w:spacing w:line="360" w:lineRule="auto"/>
        <w:jc w:val="left"/>
        <w:rPr>
          <w:rFonts w:ascii="仿宋" w:hAnsi="仿宋" w:eastAsia="仿宋" w:cs="仿宋"/>
          <w:color w:val="000000" w:themeColor="text1"/>
          <w:sz w:val="24"/>
          <w14:textFill>
            <w14:solidFill>
              <w14:schemeClr w14:val="tx1"/>
            </w14:solidFill>
          </w14:textFill>
        </w:rPr>
      </w:pPr>
    </w:p>
    <w:p>
      <w:pP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spacing w:line="360" w:lineRule="auto"/>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第四部分   </w:t>
      </w:r>
      <w:bookmarkStart w:id="22" w:name="_Toc184313250"/>
      <w:bookmarkEnd w:id="22"/>
      <w:bookmarkStart w:id="23" w:name="_Toc184314471"/>
      <w:bookmarkEnd w:id="23"/>
      <w:bookmarkStart w:id="24" w:name="_Toc184310307"/>
      <w:bookmarkEnd w:id="24"/>
      <w:bookmarkStart w:id="25" w:name="_Toc184308057"/>
      <w:bookmarkEnd w:id="25"/>
      <w:bookmarkStart w:id="26" w:name="_Toc184314447"/>
      <w:bookmarkEnd w:id="26"/>
      <w:bookmarkStart w:id="27" w:name="_Toc184314410"/>
      <w:bookmarkEnd w:id="27"/>
      <w:bookmarkStart w:id="28" w:name="_Toc184313303"/>
      <w:bookmarkEnd w:id="28"/>
      <w:bookmarkStart w:id="29" w:name="_Toc184310312"/>
      <w:bookmarkEnd w:id="29"/>
      <w:bookmarkStart w:id="30" w:name="_Toc184308066"/>
      <w:bookmarkEnd w:id="30"/>
      <w:bookmarkStart w:id="31" w:name="_Toc184313272"/>
      <w:bookmarkEnd w:id="31"/>
      <w:bookmarkStart w:id="32" w:name="_Toc184308088"/>
      <w:bookmarkEnd w:id="32"/>
      <w:bookmarkStart w:id="33" w:name="_Toc184314478"/>
      <w:bookmarkEnd w:id="33"/>
      <w:bookmarkStart w:id="34" w:name="_Toc184308037"/>
      <w:bookmarkEnd w:id="34"/>
      <w:bookmarkStart w:id="35" w:name="_Toc184314431"/>
      <w:bookmarkEnd w:id="35"/>
      <w:bookmarkStart w:id="36" w:name="_Toc184314418"/>
      <w:bookmarkEnd w:id="36"/>
      <w:bookmarkStart w:id="37" w:name="_Toc184310343"/>
      <w:bookmarkEnd w:id="37"/>
      <w:bookmarkStart w:id="38" w:name="_Toc184308076"/>
      <w:bookmarkEnd w:id="38"/>
      <w:bookmarkStart w:id="39" w:name="_Toc184314468"/>
      <w:bookmarkEnd w:id="39"/>
      <w:bookmarkStart w:id="40" w:name="_Toc184313254"/>
      <w:bookmarkEnd w:id="40"/>
      <w:bookmarkStart w:id="41" w:name="_Toc184314440"/>
      <w:bookmarkEnd w:id="41"/>
      <w:bookmarkStart w:id="42" w:name="_Toc184312102"/>
      <w:bookmarkEnd w:id="42"/>
      <w:bookmarkStart w:id="43" w:name="_Toc184308067"/>
      <w:bookmarkEnd w:id="43"/>
      <w:bookmarkStart w:id="44" w:name="_Toc184308069"/>
      <w:bookmarkEnd w:id="44"/>
      <w:bookmarkStart w:id="45" w:name="_Toc184314433"/>
      <w:bookmarkEnd w:id="45"/>
      <w:bookmarkStart w:id="46" w:name="_Toc184313294"/>
      <w:bookmarkEnd w:id="46"/>
      <w:bookmarkStart w:id="47" w:name="_Toc184312123"/>
      <w:bookmarkEnd w:id="47"/>
      <w:bookmarkStart w:id="48" w:name="_Toc184310303"/>
      <w:bookmarkEnd w:id="48"/>
      <w:bookmarkStart w:id="49" w:name="_Toc184310314"/>
      <w:bookmarkEnd w:id="49"/>
      <w:bookmarkStart w:id="50" w:name="_Toc184312068"/>
      <w:bookmarkEnd w:id="50"/>
      <w:bookmarkStart w:id="51" w:name="_Toc184314428"/>
      <w:bookmarkEnd w:id="51"/>
      <w:bookmarkStart w:id="52" w:name="_Toc184310325"/>
      <w:bookmarkEnd w:id="52"/>
      <w:bookmarkStart w:id="53" w:name="_Toc184314462"/>
      <w:bookmarkEnd w:id="53"/>
      <w:bookmarkStart w:id="54" w:name="_Toc184308053"/>
      <w:bookmarkEnd w:id="54"/>
      <w:bookmarkStart w:id="55" w:name="_Toc184313310"/>
      <w:bookmarkEnd w:id="55"/>
      <w:bookmarkStart w:id="56" w:name="_Toc184314432"/>
      <w:bookmarkEnd w:id="56"/>
      <w:bookmarkStart w:id="57" w:name="_Toc184313286"/>
      <w:bookmarkEnd w:id="57"/>
      <w:bookmarkStart w:id="58" w:name="_Toc184308073"/>
      <w:bookmarkEnd w:id="58"/>
      <w:bookmarkStart w:id="59" w:name="_Toc184312071"/>
      <w:bookmarkEnd w:id="59"/>
      <w:bookmarkStart w:id="60" w:name="_Toc184308075"/>
      <w:bookmarkEnd w:id="60"/>
      <w:bookmarkStart w:id="61" w:name="_Toc184314476"/>
      <w:bookmarkEnd w:id="61"/>
      <w:bookmarkStart w:id="62" w:name="_Toc184310304"/>
      <w:bookmarkEnd w:id="62"/>
      <w:bookmarkStart w:id="63" w:name="_Toc184312133"/>
      <w:bookmarkEnd w:id="63"/>
      <w:bookmarkStart w:id="64" w:name="_Toc184313262"/>
      <w:bookmarkEnd w:id="64"/>
      <w:bookmarkStart w:id="65" w:name="_Toc184313242"/>
      <w:bookmarkEnd w:id="65"/>
      <w:bookmarkStart w:id="66" w:name="_Toc184313273"/>
      <w:bookmarkEnd w:id="66"/>
      <w:bookmarkStart w:id="67" w:name="_Toc184314456"/>
      <w:bookmarkEnd w:id="67"/>
      <w:bookmarkStart w:id="68" w:name="_Toc184313295"/>
      <w:bookmarkEnd w:id="68"/>
      <w:bookmarkStart w:id="69" w:name="_Toc184312077"/>
      <w:bookmarkEnd w:id="69"/>
      <w:bookmarkStart w:id="70" w:name="_Toc184314453"/>
      <w:bookmarkEnd w:id="70"/>
      <w:bookmarkStart w:id="71" w:name="_Toc184312083"/>
      <w:bookmarkEnd w:id="71"/>
      <w:bookmarkStart w:id="72" w:name="_Toc184314480"/>
      <w:bookmarkEnd w:id="72"/>
      <w:bookmarkStart w:id="73" w:name="_Toc184312099"/>
      <w:bookmarkEnd w:id="73"/>
      <w:bookmarkStart w:id="74" w:name="_Toc184308048"/>
      <w:bookmarkEnd w:id="74"/>
      <w:bookmarkStart w:id="75" w:name="_Toc184308065"/>
      <w:bookmarkEnd w:id="75"/>
      <w:bookmarkStart w:id="76" w:name="_Toc184314429"/>
      <w:bookmarkEnd w:id="76"/>
      <w:bookmarkStart w:id="77" w:name="_Toc184308107"/>
      <w:bookmarkEnd w:id="77"/>
      <w:bookmarkStart w:id="78" w:name="_Toc184312105"/>
      <w:bookmarkEnd w:id="78"/>
      <w:bookmarkStart w:id="79" w:name="_Toc184313281"/>
      <w:bookmarkEnd w:id="79"/>
      <w:bookmarkStart w:id="80" w:name="_Toc184312111"/>
      <w:bookmarkEnd w:id="80"/>
      <w:bookmarkStart w:id="81" w:name="_Toc184313309"/>
      <w:bookmarkEnd w:id="81"/>
      <w:bookmarkStart w:id="82" w:name="_Toc184312121"/>
      <w:bookmarkEnd w:id="82"/>
      <w:bookmarkStart w:id="83" w:name="_Toc184310323"/>
      <w:bookmarkEnd w:id="83"/>
      <w:bookmarkStart w:id="84" w:name="_Toc184310286"/>
      <w:bookmarkEnd w:id="84"/>
      <w:bookmarkStart w:id="85" w:name="_Toc184313298"/>
      <w:bookmarkEnd w:id="85"/>
      <w:bookmarkStart w:id="86" w:name="_Toc184308090"/>
      <w:bookmarkEnd w:id="86"/>
      <w:bookmarkStart w:id="87" w:name="_Toc184308056"/>
      <w:bookmarkEnd w:id="87"/>
      <w:bookmarkStart w:id="88" w:name="_Toc184310302"/>
      <w:bookmarkEnd w:id="88"/>
      <w:bookmarkStart w:id="89" w:name="_Toc184312092"/>
      <w:bookmarkEnd w:id="89"/>
      <w:bookmarkStart w:id="90" w:name="_Toc184310335"/>
      <w:bookmarkEnd w:id="90"/>
      <w:bookmarkStart w:id="91" w:name="_Toc184308100"/>
      <w:bookmarkEnd w:id="91"/>
      <w:bookmarkStart w:id="92" w:name="_Toc184313275"/>
      <w:bookmarkEnd w:id="92"/>
      <w:bookmarkStart w:id="93" w:name="_Toc184308099"/>
      <w:bookmarkEnd w:id="93"/>
      <w:bookmarkStart w:id="94" w:name="_Toc184312119"/>
      <w:bookmarkEnd w:id="94"/>
      <w:bookmarkStart w:id="95" w:name="_Toc184312134"/>
      <w:bookmarkEnd w:id="95"/>
      <w:bookmarkStart w:id="96" w:name="_Toc184314461"/>
      <w:bookmarkEnd w:id="96"/>
      <w:bookmarkStart w:id="97" w:name="_Toc184310292"/>
      <w:bookmarkEnd w:id="97"/>
      <w:bookmarkStart w:id="98" w:name="_Toc184314459"/>
      <w:bookmarkEnd w:id="98"/>
      <w:bookmarkStart w:id="99" w:name="_Toc184312078"/>
      <w:bookmarkEnd w:id="99"/>
      <w:bookmarkStart w:id="100" w:name="_Toc184312084"/>
      <w:bookmarkEnd w:id="100"/>
      <w:bookmarkStart w:id="101" w:name="_Toc184308049"/>
      <w:bookmarkEnd w:id="101"/>
      <w:bookmarkStart w:id="102" w:name="_Toc184314436"/>
      <w:bookmarkEnd w:id="102"/>
      <w:bookmarkStart w:id="103" w:name="_Toc184310279"/>
      <w:bookmarkEnd w:id="103"/>
      <w:bookmarkStart w:id="104" w:name="_Toc184308105"/>
      <w:bookmarkEnd w:id="104"/>
      <w:bookmarkStart w:id="105" w:name="_Toc184308102"/>
      <w:bookmarkEnd w:id="105"/>
      <w:bookmarkStart w:id="106" w:name="_Toc184308064"/>
      <w:bookmarkEnd w:id="106"/>
      <w:bookmarkStart w:id="107" w:name="_Toc184312091"/>
      <w:bookmarkEnd w:id="107"/>
      <w:bookmarkStart w:id="108" w:name="_Toc184312089"/>
      <w:bookmarkEnd w:id="108"/>
      <w:bookmarkStart w:id="109" w:name="_Toc184313253"/>
      <w:bookmarkEnd w:id="109"/>
      <w:bookmarkStart w:id="110" w:name="_Toc184314472"/>
      <w:bookmarkEnd w:id="110"/>
      <w:bookmarkStart w:id="111" w:name="_Toc184308106"/>
      <w:bookmarkEnd w:id="111"/>
      <w:bookmarkStart w:id="112" w:name="_Toc184312125"/>
      <w:bookmarkEnd w:id="112"/>
      <w:bookmarkStart w:id="113" w:name="_Toc184312115"/>
      <w:bookmarkEnd w:id="113"/>
      <w:bookmarkStart w:id="114" w:name="_Toc184313283"/>
      <w:bookmarkEnd w:id="114"/>
      <w:bookmarkStart w:id="115" w:name="_Toc184312113"/>
      <w:bookmarkEnd w:id="115"/>
      <w:bookmarkStart w:id="116" w:name="_Toc184312122"/>
      <w:bookmarkEnd w:id="116"/>
      <w:bookmarkStart w:id="117" w:name="_Toc184314421"/>
      <w:bookmarkEnd w:id="117"/>
      <w:bookmarkStart w:id="118" w:name="_Toc184310313"/>
      <w:bookmarkEnd w:id="118"/>
      <w:bookmarkStart w:id="119" w:name="_Toc184308078"/>
      <w:bookmarkEnd w:id="119"/>
      <w:bookmarkStart w:id="120" w:name="_Toc184313297"/>
      <w:bookmarkEnd w:id="120"/>
      <w:bookmarkStart w:id="121" w:name="_Toc184310284"/>
      <w:bookmarkEnd w:id="121"/>
      <w:bookmarkStart w:id="122" w:name="_Toc184313279"/>
      <w:bookmarkEnd w:id="122"/>
      <w:bookmarkStart w:id="123" w:name="_Toc184314448"/>
      <w:bookmarkEnd w:id="123"/>
      <w:bookmarkStart w:id="124" w:name="_Toc184310272"/>
      <w:bookmarkEnd w:id="124"/>
      <w:bookmarkStart w:id="125" w:name="_Toc184308081"/>
      <w:bookmarkEnd w:id="125"/>
      <w:bookmarkStart w:id="126" w:name="_Toc184314463"/>
      <w:bookmarkEnd w:id="126"/>
      <w:bookmarkStart w:id="127" w:name="_Toc184310331"/>
      <w:bookmarkEnd w:id="127"/>
      <w:bookmarkStart w:id="128" w:name="_Toc184314465"/>
      <w:bookmarkEnd w:id="128"/>
      <w:bookmarkStart w:id="129" w:name="_Toc184314475"/>
      <w:bookmarkEnd w:id="129"/>
      <w:bookmarkStart w:id="130" w:name="_Toc184308041"/>
      <w:bookmarkEnd w:id="130"/>
      <w:bookmarkStart w:id="131" w:name="_Toc184310298"/>
      <w:bookmarkEnd w:id="131"/>
      <w:bookmarkStart w:id="132" w:name="_Toc184312085"/>
      <w:bookmarkEnd w:id="132"/>
      <w:bookmarkStart w:id="133" w:name="_Toc184310320"/>
      <w:bookmarkEnd w:id="133"/>
      <w:bookmarkStart w:id="134" w:name="_Toc184313270"/>
      <w:bookmarkEnd w:id="134"/>
      <w:bookmarkStart w:id="135" w:name="_Toc184313239"/>
      <w:bookmarkEnd w:id="135"/>
      <w:bookmarkStart w:id="136" w:name="_Toc184312090"/>
      <w:bookmarkEnd w:id="136"/>
      <w:bookmarkStart w:id="137" w:name="_Toc184314414"/>
      <w:bookmarkEnd w:id="137"/>
      <w:bookmarkStart w:id="138" w:name="_Toc184308097"/>
      <w:bookmarkEnd w:id="138"/>
      <w:bookmarkStart w:id="139" w:name="_Toc184314449"/>
      <w:bookmarkEnd w:id="139"/>
      <w:bookmarkStart w:id="140" w:name="_Toc184310276"/>
      <w:bookmarkEnd w:id="140"/>
      <w:bookmarkStart w:id="141" w:name="_Toc184308046"/>
      <w:bookmarkEnd w:id="141"/>
      <w:bookmarkStart w:id="142" w:name="_Toc184313255"/>
      <w:bookmarkEnd w:id="142"/>
      <w:bookmarkStart w:id="143" w:name="_Toc184312137"/>
      <w:bookmarkEnd w:id="143"/>
      <w:bookmarkStart w:id="144" w:name="_Toc184312135"/>
      <w:bookmarkEnd w:id="144"/>
      <w:bookmarkStart w:id="145" w:name="_Toc184312109"/>
      <w:bookmarkEnd w:id="145"/>
      <w:bookmarkStart w:id="146" w:name="_Toc184312076"/>
      <w:bookmarkEnd w:id="146"/>
      <w:bookmarkStart w:id="147" w:name="_Toc184308096"/>
      <w:bookmarkEnd w:id="147"/>
      <w:bookmarkStart w:id="148" w:name="_Toc184314473"/>
      <w:bookmarkEnd w:id="148"/>
      <w:bookmarkStart w:id="149" w:name="_Toc184308068"/>
      <w:bookmarkEnd w:id="149"/>
      <w:bookmarkStart w:id="150" w:name="_Toc184312128"/>
      <w:bookmarkEnd w:id="150"/>
      <w:bookmarkStart w:id="151" w:name="_Toc184310332"/>
      <w:bookmarkEnd w:id="151"/>
      <w:bookmarkStart w:id="152" w:name="_Toc184313308"/>
      <w:bookmarkEnd w:id="152"/>
      <w:bookmarkStart w:id="153" w:name="_Toc184310338"/>
      <w:bookmarkEnd w:id="153"/>
      <w:bookmarkStart w:id="154" w:name="_Toc184310333"/>
      <w:bookmarkEnd w:id="154"/>
      <w:bookmarkStart w:id="155" w:name="_Toc184310330"/>
      <w:bookmarkEnd w:id="155"/>
      <w:bookmarkStart w:id="156" w:name="_Toc184308095"/>
      <w:bookmarkEnd w:id="156"/>
      <w:bookmarkStart w:id="157" w:name="_Toc184312081"/>
      <w:bookmarkEnd w:id="157"/>
      <w:bookmarkStart w:id="158" w:name="_Toc184314419"/>
      <w:bookmarkEnd w:id="158"/>
      <w:bookmarkStart w:id="159" w:name="_Toc184310281"/>
      <w:bookmarkEnd w:id="159"/>
      <w:bookmarkStart w:id="160" w:name="_Toc184310316"/>
      <w:bookmarkEnd w:id="160"/>
      <w:bookmarkStart w:id="161" w:name="_Toc184314469"/>
      <w:bookmarkEnd w:id="161"/>
      <w:bookmarkStart w:id="162" w:name="_Toc184308077"/>
      <w:bookmarkEnd w:id="162"/>
      <w:bookmarkStart w:id="163" w:name="_Toc184313306"/>
      <w:bookmarkEnd w:id="163"/>
      <w:bookmarkStart w:id="164" w:name="_Toc184313266"/>
      <w:bookmarkEnd w:id="164"/>
      <w:bookmarkStart w:id="165" w:name="_Toc184313271"/>
      <w:bookmarkEnd w:id="165"/>
      <w:bookmarkStart w:id="166" w:name="_Toc184314454"/>
      <w:bookmarkEnd w:id="166"/>
      <w:bookmarkStart w:id="167" w:name="_Toc184312087"/>
      <w:bookmarkEnd w:id="167"/>
      <w:bookmarkStart w:id="168" w:name="_Toc184313304"/>
      <w:bookmarkEnd w:id="168"/>
      <w:bookmarkStart w:id="169" w:name="_Toc184314466"/>
      <w:bookmarkEnd w:id="169"/>
      <w:bookmarkStart w:id="170" w:name="_Toc184310289"/>
      <w:bookmarkEnd w:id="170"/>
      <w:bookmarkStart w:id="171" w:name="_Toc184313274"/>
      <w:bookmarkEnd w:id="171"/>
      <w:bookmarkStart w:id="172" w:name="_Toc184313249"/>
      <w:bookmarkEnd w:id="172"/>
      <w:bookmarkStart w:id="173" w:name="_Toc184314481"/>
      <w:bookmarkEnd w:id="173"/>
      <w:bookmarkStart w:id="174" w:name="_Toc184310296"/>
      <w:bookmarkEnd w:id="174"/>
      <w:bookmarkStart w:id="175" w:name="_Toc184308094"/>
      <w:bookmarkEnd w:id="175"/>
      <w:bookmarkStart w:id="176" w:name="_Toc184312127"/>
      <w:bookmarkEnd w:id="176"/>
      <w:bookmarkStart w:id="177" w:name="_Toc184312097"/>
      <w:bookmarkEnd w:id="177"/>
      <w:bookmarkStart w:id="178" w:name="_Toc184313248"/>
      <w:bookmarkEnd w:id="178"/>
      <w:bookmarkStart w:id="179" w:name="_Toc184312101"/>
      <w:bookmarkEnd w:id="179"/>
      <w:bookmarkStart w:id="180" w:name="_Toc184310327"/>
      <w:bookmarkEnd w:id="180"/>
      <w:bookmarkStart w:id="181" w:name="_Toc184312112"/>
      <w:bookmarkEnd w:id="181"/>
      <w:bookmarkStart w:id="182" w:name="_Toc184308045"/>
      <w:bookmarkEnd w:id="182"/>
      <w:bookmarkStart w:id="183" w:name="_Toc184312107"/>
      <w:bookmarkEnd w:id="183"/>
      <w:bookmarkStart w:id="184" w:name="_Toc184312116"/>
      <w:bookmarkEnd w:id="184"/>
      <w:bookmarkStart w:id="185" w:name="_Toc184308055"/>
      <w:bookmarkEnd w:id="185"/>
      <w:bookmarkStart w:id="186" w:name="_Toc184313267"/>
      <w:bookmarkEnd w:id="186"/>
      <w:bookmarkStart w:id="187" w:name="_Toc184312110"/>
      <w:bookmarkEnd w:id="187"/>
      <w:bookmarkStart w:id="188" w:name="_Toc184312073"/>
      <w:bookmarkEnd w:id="188"/>
      <w:bookmarkStart w:id="189" w:name="_Toc184308084"/>
      <w:bookmarkEnd w:id="189"/>
      <w:bookmarkStart w:id="190" w:name="_Toc184312118"/>
      <w:bookmarkEnd w:id="190"/>
      <w:bookmarkStart w:id="191" w:name="_Toc184313293"/>
      <w:bookmarkEnd w:id="191"/>
      <w:bookmarkStart w:id="192" w:name="_Toc184308071"/>
      <w:bookmarkEnd w:id="192"/>
      <w:bookmarkStart w:id="193" w:name="_Toc184312086"/>
      <w:bookmarkEnd w:id="193"/>
      <w:bookmarkStart w:id="194" w:name="_Toc184313260"/>
      <w:bookmarkEnd w:id="194"/>
      <w:bookmarkStart w:id="195" w:name="_Toc184308040"/>
      <w:bookmarkEnd w:id="195"/>
      <w:bookmarkStart w:id="196" w:name="_Toc184310334"/>
      <w:bookmarkEnd w:id="196"/>
      <w:bookmarkStart w:id="197" w:name="_Toc184312079"/>
      <w:bookmarkEnd w:id="197"/>
      <w:bookmarkStart w:id="198" w:name="_Toc184313307"/>
      <w:bookmarkEnd w:id="198"/>
      <w:bookmarkStart w:id="199" w:name="_Toc184310328"/>
      <w:bookmarkEnd w:id="199"/>
      <w:bookmarkStart w:id="200" w:name="_Toc184314439"/>
      <w:bookmarkEnd w:id="200"/>
      <w:bookmarkStart w:id="201" w:name="_Toc184313258"/>
      <w:bookmarkEnd w:id="201"/>
      <w:bookmarkStart w:id="202" w:name="_Toc184312124"/>
      <w:bookmarkEnd w:id="202"/>
      <w:bookmarkStart w:id="203" w:name="_Toc184313247"/>
      <w:bookmarkEnd w:id="203"/>
      <w:bookmarkStart w:id="204" w:name="_Toc184313256"/>
      <w:bookmarkEnd w:id="204"/>
      <w:bookmarkStart w:id="205" w:name="_Toc184310285"/>
      <w:bookmarkEnd w:id="205"/>
      <w:bookmarkStart w:id="206" w:name="_Toc184308044"/>
      <w:bookmarkEnd w:id="206"/>
      <w:bookmarkStart w:id="207" w:name="_Toc184308101"/>
      <w:bookmarkEnd w:id="207"/>
      <w:bookmarkStart w:id="208" w:name="_Toc184313244"/>
      <w:bookmarkEnd w:id="208"/>
      <w:bookmarkStart w:id="209" w:name="_Toc184313241"/>
      <w:bookmarkEnd w:id="209"/>
      <w:bookmarkStart w:id="210" w:name="_Toc184312126"/>
      <w:bookmarkEnd w:id="210"/>
      <w:bookmarkStart w:id="211" w:name="_Toc184314451"/>
      <w:bookmarkEnd w:id="211"/>
      <w:bookmarkStart w:id="212" w:name="_Toc184314422"/>
      <w:bookmarkEnd w:id="212"/>
      <w:bookmarkStart w:id="213" w:name="_Toc184310275"/>
      <w:bookmarkEnd w:id="213"/>
      <w:bookmarkStart w:id="214" w:name="_Toc184310337"/>
      <w:bookmarkEnd w:id="214"/>
      <w:bookmarkStart w:id="215" w:name="_Toc184312082"/>
      <w:bookmarkEnd w:id="215"/>
      <w:bookmarkStart w:id="216" w:name="_Toc184313276"/>
      <w:bookmarkEnd w:id="216"/>
      <w:bookmarkStart w:id="217" w:name="_Toc184312094"/>
      <w:bookmarkEnd w:id="217"/>
      <w:bookmarkStart w:id="218" w:name="_Toc184312130"/>
      <w:bookmarkEnd w:id="218"/>
      <w:bookmarkStart w:id="219" w:name="_Toc184314438"/>
      <w:bookmarkEnd w:id="219"/>
      <w:bookmarkStart w:id="220" w:name="_Toc184313300"/>
      <w:bookmarkEnd w:id="220"/>
      <w:bookmarkStart w:id="221" w:name="_Toc184312067"/>
      <w:bookmarkEnd w:id="221"/>
      <w:bookmarkStart w:id="222" w:name="_Toc184313285"/>
      <w:bookmarkEnd w:id="222"/>
      <w:bookmarkStart w:id="223" w:name="_Toc184313257"/>
      <w:bookmarkEnd w:id="223"/>
      <w:bookmarkStart w:id="224" w:name="_Toc184308089"/>
      <w:bookmarkEnd w:id="224"/>
      <w:bookmarkStart w:id="225" w:name="_Toc184314467"/>
      <w:bookmarkEnd w:id="225"/>
      <w:bookmarkStart w:id="226" w:name="_Toc184314416"/>
      <w:bookmarkEnd w:id="226"/>
      <w:bookmarkStart w:id="227" w:name="_Toc184308058"/>
      <w:bookmarkEnd w:id="227"/>
      <w:bookmarkStart w:id="228" w:name="_Toc184313263"/>
      <w:bookmarkEnd w:id="228"/>
      <w:bookmarkStart w:id="229" w:name="_Toc184310293"/>
      <w:bookmarkEnd w:id="229"/>
      <w:bookmarkStart w:id="230" w:name="_Toc184310299"/>
      <w:bookmarkEnd w:id="230"/>
      <w:bookmarkStart w:id="231" w:name="_Toc184313282"/>
      <w:bookmarkEnd w:id="231"/>
      <w:bookmarkStart w:id="232" w:name="_Toc184312120"/>
      <w:bookmarkEnd w:id="232"/>
      <w:bookmarkStart w:id="233" w:name="_Toc184312136"/>
      <w:bookmarkEnd w:id="233"/>
      <w:bookmarkStart w:id="234" w:name="_Toc184313268"/>
      <w:bookmarkEnd w:id="234"/>
      <w:bookmarkStart w:id="235" w:name="_Toc184312117"/>
      <w:bookmarkEnd w:id="235"/>
      <w:bookmarkStart w:id="236" w:name="_Toc184314430"/>
      <w:bookmarkEnd w:id="236"/>
      <w:bookmarkStart w:id="237" w:name="_Toc184312108"/>
      <w:bookmarkEnd w:id="237"/>
      <w:bookmarkStart w:id="238" w:name="_Toc184312100"/>
      <w:bookmarkEnd w:id="238"/>
      <w:bookmarkStart w:id="239" w:name="_Toc184308070"/>
      <w:bookmarkEnd w:id="239"/>
      <w:bookmarkStart w:id="240" w:name="_Toc184314441"/>
      <w:bookmarkEnd w:id="240"/>
      <w:bookmarkStart w:id="241" w:name="_Toc184312095"/>
      <w:bookmarkEnd w:id="241"/>
      <w:bookmarkStart w:id="242" w:name="_Toc184313269"/>
      <w:bookmarkEnd w:id="242"/>
      <w:bookmarkStart w:id="243" w:name="_Toc184308108"/>
      <w:bookmarkEnd w:id="243"/>
      <w:bookmarkStart w:id="244" w:name="_Toc184312075"/>
      <w:bookmarkEnd w:id="244"/>
      <w:bookmarkStart w:id="245" w:name="_Toc184314424"/>
      <w:bookmarkEnd w:id="245"/>
      <w:bookmarkStart w:id="246" w:name="_Toc184314417"/>
      <w:bookmarkEnd w:id="246"/>
      <w:bookmarkStart w:id="247" w:name="_Toc184308103"/>
      <w:bookmarkEnd w:id="247"/>
      <w:bookmarkStart w:id="248" w:name="_Toc184314413"/>
      <w:bookmarkEnd w:id="248"/>
      <w:bookmarkStart w:id="249" w:name="_Toc184310283"/>
      <w:bookmarkEnd w:id="249"/>
      <w:bookmarkStart w:id="250" w:name="_Toc184313278"/>
      <w:bookmarkEnd w:id="250"/>
      <w:bookmarkStart w:id="251" w:name="_Toc184312131"/>
      <w:bookmarkEnd w:id="251"/>
      <w:bookmarkStart w:id="252" w:name="_Toc184308039"/>
      <w:bookmarkEnd w:id="252"/>
      <w:bookmarkStart w:id="253" w:name="_Toc184313299"/>
      <w:bookmarkEnd w:id="253"/>
      <w:bookmarkStart w:id="254" w:name="_Toc184310290"/>
      <w:bookmarkEnd w:id="254"/>
      <w:bookmarkStart w:id="255" w:name="_Toc184310310"/>
      <w:bookmarkEnd w:id="255"/>
      <w:bookmarkStart w:id="256" w:name="_Toc184312106"/>
      <w:bookmarkEnd w:id="256"/>
      <w:bookmarkStart w:id="257" w:name="_Toc184314427"/>
      <w:bookmarkEnd w:id="257"/>
      <w:bookmarkStart w:id="258" w:name="_Toc184310288"/>
      <w:bookmarkEnd w:id="258"/>
      <w:bookmarkStart w:id="259" w:name="_Toc184310326"/>
      <w:bookmarkEnd w:id="259"/>
      <w:bookmarkStart w:id="260" w:name="_Toc184314442"/>
      <w:bookmarkEnd w:id="260"/>
      <w:bookmarkStart w:id="261" w:name="_Toc184313264"/>
      <w:bookmarkEnd w:id="261"/>
      <w:bookmarkStart w:id="262" w:name="_Toc184313240"/>
      <w:bookmarkEnd w:id="262"/>
      <w:bookmarkStart w:id="263" w:name="_Toc184308104"/>
      <w:bookmarkEnd w:id="263"/>
      <w:bookmarkStart w:id="264" w:name="_Toc184310306"/>
      <w:bookmarkEnd w:id="264"/>
      <w:bookmarkStart w:id="265" w:name="_Toc184313245"/>
      <w:bookmarkEnd w:id="265"/>
      <w:bookmarkStart w:id="266" w:name="_Toc184314452"/>
      <w:bookmarkEnd w:id="266"/>
      <w:bookmarkStart w:id="267" w:name="_Toc184314446"/>
      <w:bookmarkEnd w:id="267"/>
      <w:bookmarkStart w:id="268" w:name="_Toc184313277"/>
      <w:bookmarkEnd w:id="268"/>
      <w:bookmarkStart w:id="269" w:name="_Toc184310297"/>
      <w:bookmarkEnd w:id="269"/>
      <w:bookmarkStart w:id="270" w:name="_Toc184314426"/>
      <w:bookmarkEnd w:id="270"/>
      <w:bookmarkStart w:id="271" w:name="_Toc184314444"/>
      <w:bookmarkEnd w:id="271"/>
      <w:bookmarkStart w:id="272" w:name="_Toc184308047"/>
      <w:bookmarkEnd w:id="272"/>
      <w:bookmarkStart w:id="273" w:name="_Toc184308036"/>
      <w:bookmarkEnd w:id="273"/>
      <w:bookmarkStart w:id="274" w:name="_Toc184314460"/>
      <w:bookmarkEnd w:id="274"/>
      <w:bookmarkStart w:id="275" w:name="_Toc184314470"/>
      <w:bookmarkEnd w:id="275"/>
      <w:bookmarkStart w:id="276" w:name="_Toc184310291"/>
      <w:bookmarkEnd w:id="276"/>
      <w:bookmarkStart w:id="277" w:name="_Toc184310318"/>
      <w:bookmarkEnd w:id="277"/>
      <w:bookmarkStart w:id="278" w:name="_Toc184310339"/>
      <w:bookmarkEnd w:id="278"/>
      <w:bookmarkStart w:id="279" w:name="_Toc184314482"/>
      <w:bookmarkEnd w:id="279"/>
      <w:bookmarkStart w:id="280" w:name="_Toc184308083"/>
      <w:bookmarkEnd w:id="280"/>
      <w:bookmarkStart w:id="281" w:name="_Toc184310278"/>
      <w:bookmarkEnd w:id="281"/>
      <w:bookmarkStart w:id="282" w:name="_Toc184308063"/>
      <w:bookmarkEnd w:id="282"/>
      <w:bookmarkStart w:id="283" w:name="_Toc184308092"/>
      <w:bookmarkEnd w:id="283"/>
      <w:bookmarkStart w:id="284" w:name="_Toc184312098"/>
      <w:bookmarkEnd w:id="284"/>
      <w:bookmarkStart w:id="285" w:name="_Toc184308072"/>
      <w:bookmarkEnd w:id="285"/>
      <w:bookmarkStart w:id="286" w:name="_Toc184314479"/>
      <w:bookmarkEnd w:id="286"/>
      <w:bookmarkStart w:id="287" w:name="_Toc184312114"/>
      <w:bookmarkEnd w:id="287"/>
      <w:bookmarkStart w:id="288" w:name="_Toc184313280"/>
      <w:bookmarkEnd w:id="288"/>
      <w:bookmarkStart w:id="289" w:name="_Toc184312070"/>
      <w:bookmarkEnd w:id="289"/>
      <w:bookmarkStart w:id="290" w:name="_Toc184313287"/>
      <w:bookmarkEnd w:id="290"/>
      <w:bookmarkStart w:id="291" w:name="_Toc184310322"/>
      <w:bookmarkEnd w:id="291"/>
      <w:bookmarkStart w:id="292" w:name="_Toc184312129"/>
      <w:bookmarkEnd w:id="292"/>
      <w:bookmarkStart w:id="293" w:name="_Toc184308043"/>
      <w:bookmarkEnd w:id="293"/>
      <w:bookmarkStart w:id="294" w:name="_Toc184313301"/>
      <w:bookmarkEnd w:id="294"/>
      <w:bookmarkStart w:id="295" w:name="_Toc184313265"/>
      <w:bookmarkEnd w:id="295"/>
      <w:bookmarkStart w:id="296" w:name="_Toc184314443"/>
      <w:bookmarkEnd w:id="296"/>
      <w:bookmarkStart w:id="297" w:name="_Toc184310273"/>
      <w:bookmarkEnd w:id="297"/>
      <w:bookmarkStart w:id="298" w:name="_Toc184313291"/>
      <w:bookmarkEnd w:id="298"/>
      <w:bookmarkStart w:id="299" w:name="_Toc184313302"/>
      <w:bookmarkEnd w:id="299"/>
      <w:bookmarkStart w:id="300" w:name="_Toc184312103"/>
      <w:bookmarkEnd w:id="300"/>
      <w:bookmarkStart w:id="301" w:name="_Toc184312139"/>
      <w:bookmarkEnd w:id="301"/>
      <w:bookmarkStart w:id="302" w:name="_Toc184310294"/>
      <w:bookmarkEnd w:id="302"/>
      <w:bookmarkStart w:id="303" w:name="_Toc184310300"/>
      <w:bookmarkEnd w:id="303"/>
      <w:bookmarkStart w:id="304" w:name="_Toc184310329"/>
      <w:bookmarkEnd w:id="304"/>
      <w:bookmarkStart w:id="305" w:name="_Toc184313290"/>
      <w:bookmarkEnd w:id="305"/>
      <w:bookmarkStart w:id="306" w:name="_Toc184313238"/>
      <w:bookmarkEnd w:id="306"/>
      <w:bookmarkStart w:id="307" w:name="_Toc184308054"/>
      <w:bookmarkEnd w:id="307"/>
      <w:bookmarkStart w:id="308" w:name="_Toc184308091"/>
      <w:bookmarkEnd w:id="308"/>
      <w:bookmarkStart w:id="309" w:name="_Toc184310342"/>
      <w:bookmarkEnd w:id="309"/>
      <w:bookmarkStart w:id="310" w:name="_Toc184314474"/>
      <w:bookmarkEnd w:id="310"/>
      <w:bookmarkStart w:id="311" w:name="_Toc184310308"/>
      <w:bookmarkEnd w:id="311"/>
      <w:bookmarkStart w:id="312" w:name="_Toc184310280"/>
      <w:bookmarkEnd w:id="312"/>
      <w:bookmarkStart w:id="313" w:name="_Toc184308038"/>
      <w:bookmarkEnd w:id="313"/>
      <w:bookmarkStart w:id="314" w:name="_Toc184310324"/>
      <w:bookmarkEnd w:id="314"/>
      <w:bookmarkStart w:id="315" w:name="_Toc184308060"/>
      <w:bookmarkEnd w:id="315"/>
      <w:bookmarkStart w:id="316" w:name="_Toc184308082"/>
      <w:bookmarkEnd w:id="316"/>
      <w:bookmarkStart w:id="317" w:name="_Toc184313251"/>
      <w:bookmarkEnd w:id="317"/>
      <w:bookmarkStart w:id="318" w:name="_Toc184312080"/>
      <w:bookmarkEnd w:id="318"/>
      <w:bookmarkStart w:id="319" w:name="_Toc184313259"/>
      <w:bookmarkEnd w:id="319"/>
      <w:bookmarkStart w:id="320" w:name="_Toc184310274"/>
      <w:bookmarkEnd w:id="320"/>
      <w:bookmarkStart w:id="321" w:name="_Toc184312072"/>
      <w:bookmarkEnd w:id="321"/>
      <w:bookmarkStart w:id="322" w:name="_Toc184313288"/>
      <w:bookmarkEnd w:id="322"/>
      <w:bookmarkStart w:id="323" w:name="_Toc184310277"/>
      <w:bookmarkEnd w:id="323"/>
      <w:bookmarkStart w:id="324" w:name="_Toc184312104"/>
      <w:bookmarkEnd w:id="324"/>
      <w:bookmarkStart w:id="325" w:name="_Toc184308051"/>
      <w:bookmarkEnd w:id="325"/>
      <w:bookmarkStart w:id="326" w:name="_Toc184310321"/>
      <w:bookmarkEnd w:id="326"/>
      <w:bookmarkStart w:id="327" w:name="_Toc184314477"/>
      <w:bookmarkEnd w:id="327"/>
      <w:bookmarkStart w:id="328" w:name="_Toc184314420"/>
      <w:bookmarkEnd w:id="328"/>
      <w:bookmarkStart w:id="329" w:name="_Toc184314437"/>
      <w:bookmarkEnd w:id="329"/>
      <w:bookmarkStart w:id="330" w:name="_Toc184310311"/>
      <w:bookmarkEnd w:id="330"/>
      <w:bookmarkStart w:id="331" w:name="_Toc184308086"/>
      <w:bookmarkEnd w:id="331"/>
      <w:bookmarkStart w:id="332" w:name="_Toc184314455"/>
      <w:bookmarkEnd w:id="332"/>
      <w:bookmarkStart w:id="333" w:name="_Toc184310315"/>
      <w:bookmarkEnd w:id="333"/>
      <w:bookmarkStart w:id="334" w:name="_Toc184314457"/>
      <w:bookmarkEnd w:id="334"/>
      <w:bookmarkStart w:id="335" w:name="_Toc184310341"/>
      <w:bookmarkEnd w:id="335"/>
      <w:bookmarkStart w:id="336" w:name="_Toc184310336"/>
      <w:bookmarkEnd w:id="336"/>
      <w:bookmarkStart w:id="337" w:name="_Toc184308050"/>
      <w:bookmarkEnd w:id="337"/>
      <w:bookmarkStart w:id="338" w:name="_Toc184313243"/>
      <w:bookmarkEnd w:id="338"/>
      <w:bookmarkStart w:id="339" w:name="_Toc184308042"/>
      <w:bookmarkEnd w:id="339"/>
      <w:bookmarkStart w:id="340" w:name="_Toc184313261"/>
      <w:bookmarkEnd w:id="340"/>
      <w:bookmarkStart w:id="341" w:name="_Toc184308052"/>
      <w:bookmarkEnd w:id="341"/>
      <w:bookmarkStart w:id="342" w:name="_Toc184310309"/>
      <w:bookmarkEnd w:id="342"/>
      <w:bookmarkStart w:id="343" w:name="_Toc184313284"/>
      <w:bookmarkEnd w:id="343"/>
      <w:bookmarkStart w:id="344" w:name="_Toc184314411"/>
      <w:bookmarkEnd w:id="344"/>
      <w:bookmarkStart w:id="345" w:name="_Toc184308093"/>
      <w:bookmarkEnd w:id="345"/>
      <w:bookmarkStart w:id="346" w:name="_Toc184308074"/>
      <w:bookmarkEnd w:id="346"/>
      <w:bookmarkStart w:id="347" w:name="_Toc184314415"/>
      <w:bookmarkEnd w:id="347"/>
      <w:bookmarkStart w:id="348" w:name="_Toc184310295"/>
      <w:bookmarkEnd w:id="348"/>
      <w:bookmarkStart w:id="349" w:name="_Toc184312096"/>
      <w:bookmarkEnd w:id="349"/>
      <w:bookmarkStart w:id="350" w:name="_Toc184314458"/>
      <w:bookmarkEnd w:id="350"/>
      <w:bookmarkStart w:id="351" w:name="_Toc184310317"/>
      <w:bookmarkEnd w:id="351"/>
      <w:bookmarkStart w:id="352" w:name="_Toc184310301"/>
      <w:bookmarkEnd w:id="352"/>
      <w:bookmarkStart w:id="353" w:name="_Toc184310344"/>
      <w:bookmarkEnd w:id="353"/>
      <w:bookmarkStart w:id="354" w:name="_Toc184308062"/>
      <w:bookmarkEnd w:id="354"/>
      <w:bookmarkStart w:id="355" w:name="_Toc184308079"/>
      <w:bookmarkEnd w:id="355"/>
      <w:bookmarkStart w:id="356" w:name="_Toc184314412"/>
      <w:bookmarkEnd w:id="356"/>
      <w:bookmarkStart w:id="357" w:name="_Toc184308059"/>
      <w:bookmarkEnd w:id="357"/>
      <w:bookmarkStart w:id="358" w:name="_Toc184312093"/>
      <w:bookmarkEnd w:id="358"/>
      <w:bookmarkStart w:id="359" w:name="_Toc184308087"/>
      <w:bookmarkEnd w:id="359"/>
      <w:bookmarkStart w:id="360" w:name="_Toc184313305"/>
      <w:bookmarkEnd w:id="360"/>
      <w:bookmarkStart w:id="361" w:name="_Toc184310319"/>
      <w:bookmarkEnd w:id="361"/>
      <w:bookmarkStart w:id="362" w:name="_Toc184308061"/>
      <w:bookmarkEnd w:id="362"/>
      <w:bookmarkStart w:id="363" w:name="_Toc184313289"/>
      <w:bookmarkEnd w:id="363"/>
      <w:bookmarkStart w:id="364" w:name="_Toc184310305"/>
      <w:bookmarkEnd w:id="364"/>
      <w:bookmarkStart w:id="365" w:name="_Toc184312138"/>
      <w:bookmarkEnd w:id="365"/>
      <w:bookmarkStart w:id="366" w:name="_Toc184314423"/>
      <w:bookmarkEnd w:id="366"/>
      <w:bookmarkStart w:id="367" w:name="_Toc184313296"/>
      <w:bookmarkEnd w:id="367"/>
      <w:bookmarkStart w:id="368" w:name="_Toc184310340"/>
      <w:bookmarkEnd w:id="368"/>
      <w:bookmarkStart w:id="369" w:name="_Toc184314445"/>
      <w:bookmarkEnd w:id="369"/>
      <w:bookmarkStart w:id="370" w:name="_Toc184313252"/>
      <w:bookmarkEnd w:id="370"/>
      <w:bookmarkStart w:id="371" w:name="_Toc184314435"/>
      <w:bookmarkEnd w:id="371"/>
      <w:bookmarkStart w:id="372" w:name="_Toc184308098"/>
      <w:bookmarkEnd w:id="372"/>
      <w:bookmarkStart w:id="373" w:name="_Toc184312074"/>
      <w:bookmarkEnd w:id="373"/>
      <w:bookmarkStart w:id="374" w:name="_Toc184310287"/>
      <w:bookmarkEnd w:id="374"/>
      <w:bookmarkStart w:id="375" w:name="_Toc184308085"/>
      <w:bookmarkEnd w:id="375"/>
      <w:bookmarkStart w:id="376" w:name="_Toc184314464"/>
      <w:bookmarkEnd w:id="376"/>
      <w:bookmarkStart w:id="377" w:name="_Toc184310282"/>
      <w:bookmarkEnd w:id="377"/>
      <w:bookmarkStart w:id="378" w:name="_Toc184312069"/>
      <w:bookmarkEnd w:id="378"/>
      <w:bookmarkStart w:id="379" w:name="_Toc184308080"/>
      <w:bookmarkEnd w:id="379"/>
      <w:bookmarkStart w:id="380" w:name="_Toc184314450"/>
      <w:bookmarkEnd w:id="380"/>
      <w:bookmarkStart w:id="381" w:name="_Toc184314425"/>
      <w:bookmarkEnd w:id="381"/>
      <w:bookmarkStart w:id="382" w:name="_Toc184313292"/>
      <w:bookmarkEnd w:id="382"/>
      <w:bookmarkStart w:id="383" w:name="_Toc184312088"/>
      <w:bookmarkEnd w:id="383"/>
      <w:bookmarkStart w:id="384" w:name="_Toc184312132"/>
      <w:bookmarkEnd w:id="384"/>
      <w:bookmarkStart w:id="385" w:name="_Toc184313246"/>
      <w:bookmarkEnd w:id="385"/>
      <w:bookmarkStart w:id="386" w:name="_Toc184314434"/>
      <w:bookmarkEnd w:id="386"/>
      <w:r>
        <w:rPr>
          <w:rFonts w:hint="eastAsia" w:asciiTheme="minorEastAsia" w:hAnsiTheme="minorEastAsia" w:eastAsiaTheme="minorEastAsia" w:cstheme="minorEastAsia"/>
          <w:b/>
          <w:color w:val="000000" w:themeColor="text1"/>
          <w:sz w:val="36"/>
          <w:szCs w:val="36"/>
          <w14:textFill>
            <w14:solidFill>
              <w14:schemeClr w14:val="tx1"/>
            </w14:solidFill>
          </w14:textFill>
        </w:rPr>
        <w:t>交易办法</w:t>
      </w:r>
    </w:p>
    <w:p>
      <w:pPr>
        <w:snapToGrid w:val="0"/>
        <w:spacing w:line="360" w:lineRule="auto"/>
        <w:jc w:val="center"/>
        <w:rPr>
          <w:rFonts w:asciiTheme="minorEastAsia" w:hAnsiTheme="minorEastAsia" w:eastAsiaTheme="minorEastAsia" w:cstheme="minorEastAsia"/>
          <w:b/>
          <w:color w:val="000000" w:themeColor="text1"/>
          <w:sz w:val="32"/>
          <w:szCs w:val="20"/>
          <w14:textFill>
            <w14:solidFill>
              <w14:schemeClr w14:val="tx1"/>
            </w14:solidFill>
          </w14:textFill>
        </w:rPr>
      </w:pPr>
      <w:r>
        <w:rPr>
          <w:rFonts w:hint="eastAsia" w:asciiTheme="minorEastAsia" w:hAnsiTheme="minorEastAsia" w:eastAsiaTheme="minorEastAsia" w:cstheme="minorEastAsia"/>
          <w:b/>
          <w:color w:val="000000" w:themeColor="text1"/>
          <w:sz w:val="32"/>
          <w:szCs w:val="20"/>
          <w14:textFill>
            <w14:solidFill>
              <w14:schemeClr w14:val="tx1"/>
            </w14:solidFill>
          </w14:textFill>
        </w:rPr>
        <w:t>交易办法前附表</w:t>
      </w:r>
    </w:p>
    <w:p>
      <w:pPr>
        <w:numPr>
          <w:ilvl w:val="0"/>
          <w:numId w:val="3"/>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商务技术分（90分）</w:t>
      </w:r>
    </w:p>
    <w:p>
      <w:pPr>
        <w:widowControl/>
        <w:spacing w:line="276" w:lineRule="auto"/>
        <w:rPr>
          <w:b/>
          <w:color w:val="000000" w:themeColor="text1"/>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1、商务资信部分</w:t>
      </w:r>
    </w:p>
    <w:tbl>
      <w:tblPr>
        <w:tblStyle w:val="64"/>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15"/>
        <w:gridCol w:w="5082"/>
        <w:gridCol w:w="126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序号</w:t>
            </w:r>
          </w:p>
        </w:tc>
        <w:tc>
          <w:tcPr>
            <w:tcW w:w="5697" w:type="dxa"/>
            <w:gridSpan w:val="2"/>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评分内容和标准</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分值区间</w:t>
            </w:r>
          </w:p>
        </w:tc>
        <w:tc>
          <w:tcPr>
            <w:tcW w:w="1136"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915" w:type="dxa"/>
            <w:vMerge w:val="restart"/>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商务资 信分（24分）</w:t>
            </w:r>
          </w:p>
        </w:tc>
        <w:tc>
          <w:tcPr>
            <w:tcW w:w="6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w:t>
            </w:r>
          </w:p>
        </w:tc>
        <w:tc>
          <w:tcPr>
            <w:tcW w:w="5082"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投标人具有质量管理体系、环境管理体系、职业健康安全管理体系、诚信管理体系、社会责任管理体系、企业履约能力体系、信息安全管理体系、能源管理体系等级评价体系的，每具备一项得1分，本项最高得8分。（须提供相关证书证明并加盖公章，证书须在有效期内）</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0-8分</w:t>
            </w:r>
          </w:p>
        </w:tc>
        <w:tc>
          <w:tcPr>
            <w:tcW w:w="1136"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15" w:type="dxa"/>
            <w:vMerge w:val="continue"/>
            <w:vAlign w:val="center"/>
          </w:tcPr>
          <w:p>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w:t>
            </w:r>
          </w:p>
        </w:tc>
        <w:tc>
          <w:tcPr>
            <w:tcW w:w="5082"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投标人具有：垃圾分类管理、数据监控、数据展示、垃圾智能识别、智能硬件管理等垃圾分类相关的软件著作权证或专利证书的，每个提供1件得1分，本项最高得4分。相应证书在本公告发布日之前取得，提供证书复印件加盖投标人公章，否则不得分。</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0-4分</w:t>
            </w:r>
          </w:p>
        </w:tc>
        <w:tc>
          <w:tcPr>
            <w:tcW w:w="1136"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15" w:type="dxa"/>
            <w:vMerge w:val="continue"/>
            <w:vAlign w:val="center"/>
          </w:tcPr>
          <w:p>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3</w:t>
            </w:r>
          </w:p>
        </w:tc>
        <w:tc>
          <w:tcPr>
            <w:tcW w:w="5082" w:type="dxa"/>
            <w:vAlign w:val="center"/>
          </w:tcPr>
          <w:p>
            <w:pPr>
              <w:pStyle w:val="26"/>
              <w:numPr>
                <w:ilvl w:val="0"/>
                <w:numId w:val="4"/>
              </w:numPr>
              <w:snapToGrid w:val="0"/>
              <w:spacing w:line="276" w:lineRule="auto"/>
              <w:ind w:firstLine="0" w:firstLineChars="0"/>
              <w:rPr>
                <w:rFonts w:cs="仿宋"/>
                <w:bCs/>
                <w:color w:val="000000" w:themeColor="text1"/>
                <w14:textFill>
                  <w14:solidFill>
                    <w14:schemeClr w14:val="tx1"/>
                  </w14:solidFill>
                </w14:textFill>
              </w:rPr>
            </w:pPr>
            <w:r>
              <w:rPr>
                <w:rFonts w:hint="eastAsia" w:cs="仿宋"/>
                <w:bCs/>
                <w:color w:val="000000" w:themeColor="text1"/>
                <w14:textFill>
                  <w14:solidFill>
                    <w14:schemeClr w14:val="tx1"/>
                  </w14:solidFill>
                </w14:textFill>
              </w:rPr>
              <w:t>投标人项目经理具有垃圾分类运营的相关证书的得2分；</w:t>
            </w:r>
          </w:p>
          <w:p>
            <w:pPr>
              <w:pStyle w:val="26"/>
              <w:numPr>
                <w:ilvl w:val="0"/>
                <w:numId w:val="4"/>
              </w:numPr>
              <w:snapToGrid w:val="0"/>
              <w:spacing w:line="276" w:lineRule="auto"/>
              <w:ind w:firstLine="0" w:firstLineChars="0"/>
              <w:rPr>
                <w:color w:val="000000" w:themeColor="text1"/>
                <w14:textFill>
                  <w14:solidFill>
                    <w14:schemeClr w14:val="tx1"/>
                  </w14:solidFill>
                </w14:textFill>
              </w:rPr>
            </w:pPr>
            <w:r>
              <w:rPr>
                <w:rFonts w:hint="eastAsia" w:cs="仿宋"/>
                <w:bCs/>
                <w:color w:val="000000" w:themeColor="text1"/>
                <w14:textFill>
                  <w14:solidFill>
                    <w14:schemeClr w14:val="tx1"/>
                  </w14:solidFill>
                </w14:textFill>
              </w:rPr>
              <w:t>投标人项目经理具有高级垃圾分类相关证书的得2分，中级垃圾分类相关证书的得1分；</w:t>
            </w:r>
          </w:p>
          <w:p>
            <w:pPr>
              <w:pStyle w:val="26"/>
              <w:numPr>
                <w:ilvl w:val="0"/>
                <w:numId w:val="4"/>
              </w:numPr>
              <w:snapToGrid w:val="0"/>
              <w:spacing w:line="276" w:lineRule="auto"/>
              <w:ind w:firstLine="0" w:firstLineChars="0"/>
              <w:rPr>
                <w:rFonts w:cs="仿宋"/>
                <w:bCs/>
                <w:color w:val="000000" w:themeColor="text1"/>
                <w14:textFill>
                  <w14:solidFill>
                    <w14:schemeClr w14:val="tx1"/>
                  </w14:solidFill>
                </w14:textFill>
              </w:rPr>
            </w:pPr>
            <w:r>
              <w:rPr>
                <w:rFonts w:hint="eastAsia" w:cs="仿宋"/>
                <w:bCs/>
                <w:color w:val="000000" w:themeColor="text1"/>
                <w14:textFill>
                  <w14:solidFill>
                    <w14:schemeClr w14:val="tx1"/>
                  </w14:solidFill>
                </w14:textFill>
              </w:rPr>
              <w:t>投标人项目经理具有本科及以上学历的得2分；具有大专学历的得1分；</w:t>
            </w:r>
          </w:p>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w:t>
            </w:r>
            <w:r>
              <w:rPr>
                <w:rFonts w:hint="eastAsia" w:ascii="宋体" w:hAnsi="宋体" w:cs="仿宋"/>
                <w:bCs/>
                <w:color w:val="000000" w:themeColor="text1"/>
                <w:sz w:val="24"/>
                <w:lang w:val="zh-CN"/>
                <w14:textFill>
                  <w14:solidFill>
                    <w14:schemeClr w14:val="tx1"/>
                  </w14:solidFill>
                </w14:textFill>
              </w:rPr>
              <w:t>需提供</w:t>
            </w:r>
            <w:r>
              <w:rPr>
                <w:rFonts w:hint="eastAsia" w:ascii="宋体" w:hAnsi="宋体" w:cs="仿宋"/>
                <w:bCs/>
                <w:color w:val="000000" w:themeColor="text1"/>
                <w:sz w:val="24"/>
                <w14:textFill>
                  <w14:solidFill>
                    <w14:schemeClr w14:val="tx1"/>
                  </w14:solidFill>
                </w14:textFill>
              </w:rPr>
              <w:t>人员相关证书</w:t>
            </w:r>
            <w:r>
              <w:rPr>
                <w:rFonts w:hint="eastAsia" w:ascii="宋体" w:hAnsi="宋体" w:cs="仿宋"/>
                <w:bCs/>
                <w:color w:val="000000" w:themeColor="text1"/>
                <w:sz w:val="24"/>
                <w:lang w:val="zh-CN"/>
                <w14:textFill>
                  <w14:solidFill>
                    <w14:schemeClr w14:val="tx1"/>
                  </w14:solidFill>
                </w14:textFill>
              </w:rPr>
              <w:t>复印件；</w:t>
            </w:r>
            <w:r>
              <w:rPr>
                <w:rFonts w:hint="eastAsia" w:ascii="宋体" w:hAnsi="宋体" w:cs="仿宋"/>
                <w:bCs/>
                <w:color w:val="000000" w:themeColor="text1"/>
                <w:sz w:val="24"/>
                <w14:textFill>
                  <w14:solidFill>
                    <w14:schemeClr w14:val="tx1"/>
                  </w14:solidFill>
                </w14:textFill>
              </w:rPr>
              <w:t>2、近3个月以上社保证明或劳动合同；</w:t>
            </w:r>
            <w:r>
              <w:rPr>
                <w:rFonts w:hint="eastAsia" w:ascii="宋体" w:hAnsi="宋体" w:cs="仿宋"/>
                <w:bCs/>
                <w:color w:val="000000" w:themeColor="text1"/>
                <w:sz w:val="24"/>
                <w:lang w:val="zh-CN"/>
                <w14:textFill>
                  <w14:solidFill>
                    <w14:schemeClr w14:val="tx1"/>
                  </w14:solidFill>
                </w14:textFill>
              </w:rPr>
              <w:t>否则不得分。）</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0-6分</w:t>
            </w:r>
          </w:p>
        </w:tc>
        <w:tc>
          <w:tcPr>
            <w:tcW w:w="1136"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15" w:type="dxa"/>
            <w:vMerge w:val="continue"/>
            <w:vAlign w:val="center"/>
          </w:tcPr>
          <w:p>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w:t>
            </w:r>
          </w:p>
        </w:tc>
        <w:tc>
          <w:tcPr>
            <w:tcW w:w="5082"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投标人自2023年1月1日以来具有类似垃圾分类或垃圾清运项目相关业绩的每个得0.5分。最高得1分。（提供中标通知书及合同复印件，否则不得分）</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0-1分</w:t>
            </w:r>
          </w:p>
        </w:tc>
        <w:tc>
          <w:tcPr>
            <w:tcW w:w="1136"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15" w:type="dxa"/>
            <w:vAlign w:val="center"/>
          </w:tcPr>
          <w:p>
            <w:pPr>
              <w:widowControl/>
              <w:spacing w:line="276" w:lineRule="auto"/>
              <w:rPr>
                <w:rFonts w:ascii="宋体" w:hAnsi="宋体" w:cs="仿宋"/>
                <w:bCs/>
                <w:color w:val="000000" w:themeColor="text1"/>
                <w:sz w:val="24"/>
                <w14:textFill>
                  <w14:solidFill>
                    <w14:schemeClr w14:val="tx1"/>
                  </w14:solidFill>
                </w14:textFill>
              </w:rPr>
            </w:pPr>
          </w:p>
        </w:tc>
        <w:tc>
          <w:tcPr>
            <w:tcW w:w="615"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5</w:t>
            </w:r>
          </w:p>
        </w:tc>
        <w:tc>
          <w:tcPr>
            <w:tcW w:w="5082"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供应商在服务区域内，针对其他垃圾处理具有专门场地进行分拣处理的。场地面积1000平方米及以上的得3分，2000平方米及以上的得5分；承诺在中标后30天内，提供经采购人认可的分拣场地的，场地面积1000平方米及以上的得1.5分，2000平方米及以上的得2.5分；（提供场地相关证明或承诺函）。本项最高得5分。</w:t>
            </w:r>
          </w:p>
        </w:tc>
        <w:tc>
          <w:tcPr>
            <w:tcW w:w="1260" w:type="dxa"/>
            <w:vAlign w:val="center"/>
          </w:tcPr>
          <w:p>
            <w:pPr>
              <w:widowControl/>
              <w:spacing w:line="276" w:lineRule="auto"/>
              <w:jc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0-5分</w:t>
            </w:r>
          </w:p>
        </w:tc>
        <w:tc>
          <w:tcPr>
            <w:tcW w:w="1136" w:type="dxa"/>
            <w:vAlign w:val="center"/>
          </w:tcPr>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客观分</w:t>
            </w:r>
          </w:p>
        </w:tc>
      </w:tr>
    </w:tbl>
    <w:p>
      <w:pPr>
        <w:widowControl/>
        <w:spacing w:line="276" w:lineRule="auto"/>
        <w:rPr>
          <w:rFonts w:ascii="宋体" w:hAnsi="宋体" w:cs="仿宋"/>
          <w:bCs/>
          <w:color w:val="000000" w:themeColor="text1"/>
          <w:sz w:val="24"/>
          <w14:textFill>
            <w14:solidFill>
              <w14:schemeClr w14:val="tx1"/>
            </w14:solidFill>
          </w14:textFill>
        </w:rPr>
      </w:pPr>
    </w:p>
    <w:p>
      <w:pPr>
        <w:widowControl/>
        <w:spacing w:line="276"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2、技术部分</w:t>
      </w:r>
    </w:p>
    <w:tbl>
      <w:tblPr>
        <w:tblStyle w:val="6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30"/>
        <w:gridCol w:w="5070"/>
        <w:gridCol w:w="129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5700" w:type="dxa"/>
            <w:gridSpan w:val="2"/>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评分内容和标准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分值区间</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restart"/>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技术分（66分）</w:t>
            </w: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投标方案的合理性、科学性、全面性（根据对投标项目的理解程度、总体设计、组织实施、独到优势等情况评定）</w:t>
            </w:r>
          </w:p>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内容完整、完全符合项目情况的得4-5分；内容与本项目联系紧密，基本符合项目情况的得2-3分；部分符合项目情况的得1分；不符合或未提供的得0分。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w:t>
            </w:r>
          </w:p>
        </w:tc>
        <w:tc>
          <w:tcPr>
            <w:tcW w:w="5070" w:type="dxa"/>
            <w:vAlign w:val="center"/>
          </w:tcPr>
          <w:p>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提供的主要管理流程，包括运作流程、激励机制、监督机制、自我约束机制、信息反馈及处理等机制：完整性、合理性、周密性进行打分。要点内容完整、完全符合项目情况的得4-5分；内容与本项目联系紧密，基本符合项目情况的得2-3分；部分符合项目情况的得1分；不符合或未提供的得0分。</w:t>
            </w:r>
          </w:p>
        </w:tc>
        <w:tc>
          <w:tcPr>
            <w:tcW w:w="1290" w:type="dxa"/>
            <w:vAlign w:val="center"/>
          </w:tcPr>
          <w:p>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w:t>
            </w:r>
          </w:p>
        </w:tc>
        <w:tc>
          <w:tcPr>
            <w:tcW w:w="5070" w:type="dxa"/>
            <w:vAlign w:val="center"/>
          </w:tcPr>
          <w:p>
            <w:pPr>
              <w:pStyle w:val="678"/>
              <w:widowControl/>
              <w:spacing w:before="120" w:line="276" w:lineRule="auto"/>
              <w:ind w:firstLine="0" w:firstLineChars="0"/>
              <w:rPr>
                <w:rFonts w:ascii="宋体" w:hAnsi="宋体" w:cs="宋体"/>
                <w:bCs/>
                <w:color w:val="000000" w:themeColor="text1"/>
                <w:kern w:val="2"/>
                <w:lang w:bidi="ar"/>
                <w14:textFill>
                  <w14:solidFill>
                    <w14:schemeClr w14:val="tx1"/>
                  </w14:solidFill>
                </w14:textFill>
              </w:rPr>
            </w:pPr>
            <w:r>
              <w:rPr>
                <w:rFonts w:hint="eastAsia" w:ascii="宋体" w:hAnsi="宋体" w:cs="宋体"/>
                <w:bCs/>
                <w:color w:val="000000" w:themeColor="text1"/>
                <w:kern w:val="2"/>
                <w:lang w:bidi="ar"/>
                <w14:textFill>
                  <w14:solidFill>
                    <w14:schemeClr w14:val="tx1"/>
                  </w14:solidFill>
                </w14:textFill>
              </w:rPr>
              <w:t>根据</w:t>
            </w:r>
            <w:r>
              <w:rPr>
                <w:rFonts w:hint="eastAsia" w:ascii="宋体" w:hAnsi="宋体" w:cs="宋体"/>
                <w:bCs/>
                <w:color w:val="000000" w:themeColor="text1"/>
                <w14:textFill>
                  <w14:solidFill>
                    <w14:schemeClr w14:val="tx1"/>
                  </w14:solidFill>
                </w14:textFill>
              </w:rPr>
              <w:t>投放布点</w:t>
            </w:r>
            <w:r>
              <w:rPr>
                <w:rFonts w:hint="eastAsia" w:ascii="宋体" w:hAnsi="宋体" w:cs="宋体"/>
                <w:bCs/>
                <w:color w:val="000000" w:themeColor="text1"/>
                <w:kern w:val="2"/>
                <w:lang w:bidi="ar"/>
                <w14:textFill>
                  <w14:solidFill>
                    <w14:schemeClr w14:val="tx1"/>
                  </w14:solidFill>
                </w14:textFill>
              </w:rPr>
              <w:t>、服务户数、</w:t>
            </w:r>
            <w:r>
              <w:rPr>
                <w:rFonts w:hint="eastAsia" w:ascii="宋体" w:hAnsi="宋体" w:cs="宋体"/>
                <w:bCs/>
                <w:color w:val="000000" w:themeColor="text1"/>
                <w14:textFill>
                  <w14:solidFill>
                    <w14:schemeClr w14:val="tx1"/>
                  </w14:solidFill>
                </w14:textFill>
              </w:rPr>
              <w:t>垃圾收集运输方案等评定。</w:t>
            </w:r>
          </w:p>
          <w:p>
            <w:pPr>
              <w:widowControl/>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投放布点科学合理，垃圾收集运输方案</w:t>
            </w:r>
            <w:r>
              <w:rPr>
                <w:rFonts w:hint="eastAsia" w:ascii="宋体" w:hAnsi="宋体" w:cs="宋体"/>
                <w:color w:val="000000" w:themeColor="text1"/>
                <w:sz w:val="24"/>
                <w14:textFill>
                  <w14:solidFill>
                    <w14:schemeClr w14:val="tx1"/>
                  </w14:solidFill>
                </w14:textFill>
              </w:rPr>
              <w:t>符合项目情况的得4-5分；</w:t>
            </w:r>
            <w:r>
              <w:rPr>
                <w:rFonts w:hint="eastAsia" w:ascii="宋体" w:hAnsi="宋体" w:cs="宋体"/>
                <w:bCs/>
                <w:color w:val="000000" w:themeColor="text1"/>
                <w:sz w:val="24"/>
                <w14:textFill>
                  <w14:solidFill>
                    <w14:schemeClr w14:val="tx1"/>
                  </w14:solidFill>
                </w14:textFill>
              </w:rPr>
              <w:t>投放布点一般，垃圾收集运输方案基本</w:t>
            </w:r>
            <w:r>
              <w:rPr>
                <w:rFonts w:hint="eastAsia" w:ascii="宋体" w:hAnsi="宋体" w:cs="宋体"/>
                <w:color w:val="000000" w:themeColor="text1"/>
                <w:sz w:val="24"/>
                <w14:textFill>
                  <w14:solidFill>
                    <w14:schemeClr w14:val="tx1"/>
                  </w14:solidFill>
                </w14:textFill>
              </w:rPr>
              <w:t>符合项目情况的得2-3分；部分符合项目情况的得1分；不符合或未提供的得0分。</w:t>
            </w:r>
          </w:p>
        </w:tc>
        <w:tc>
          <w:tcPr>
            <w:tcW w:w="1290" w:type="dxa"/>
            <w:vAlign w:val="center"/>
          </w:tcPr>
          <w:p>
            <w:pPr>
              <w:widowControl/>
              <w:spacing w:line="360" w:lineRule="auto"/>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360" w:lineRule="auto"/>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对萧山区义桥镇垃圾分类现状的描述，对在本项目所在地内推进过程中可能出现的问题和困难，提供经验自行克服解决。</w:t>
            </w:r>
            <w:r>
              <w:rPr>
                <w:rFonts w:hint="eastAsia" w:ascii="宋体" w:hAnsi="宋体" w:cs="宋体"/>
                <w:color w:val="000000" w:themeColor="text1"/>
                <w:sz w:val="24"/>
                <w14:textFill>
                  <w14:solidFill>
                    <w14:schemeClr w14:val="tx1"/>
                  </w14:solidFill>
                </w14:textFill>
              </w:rPr>
              <w:t>内容完整、完全符合项目情况的得4-5分；内容与本项目联系紧密，基本符合项目情况的得2-3分；部分符合项目情况的得1分；不符合或未提供的得0分。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方案中使用主要设备的基本功能、技术指标与需求的吻合程度和偏差情况（包括所投标产品的用户美誉度、规格型号、检测报告、详细配置、主要技术参数等），是否体现一定先进性、可靠性、成熟性、易维护性、可扩展性综合评定。</w:t>
            </w:r>
          </w:p>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使用主要设备的基本功能、技术指标与需求吻合程度高、能体现一定先进性、可靠性、成熟性、易维护性、可扩展性的得4-5分，使用主要设备的基本功能、技术指标与需求吻合程度较高、较能体现一定先进性、可靠性、成熟性、易维护性、可扩展性的得2-3分，使用主要设备的基本功能、技术指标与需求吻合程度低、不能体现一定先进性、可靠性、成熟性、易维护性、可扩展性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sz w:val="24"/>
                <w14:textFill>
                  <w14:solidFill>
                    <w14:schemeClr w14:val="tx1"/>
                  </w14:solidFill>
                </w14:textFill>
              </w:rPr>
              <w:t>。</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5070" w:type="dxa"/>
            <w:vAlign w:val="center"/>
          </w:tcPr>
          <w:p>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供应商针对本项目的人员安排情况：拟投入团队人员专业及分工明确、合理，完全符合项目需求的得4-5分；基本符合项目情况的得2-3分；部分符合项目情况的得1分；不符合或未提供的得0分。</w:t>
            </w:r>
          </w:p>
        </w:tc>
        <w:tc>
          <w:tcPr>
            <w:tcW w:w="1290"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投标人根据项目实际制定可行有效的宣传方案进行综合评定。</w:t>
            </w:r>
          </w:p>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要点内容完整、完全符合项目情况的得4-5分；内容与本项目联系紧密，基本符合项目情况的得2-3分；部分符合项目情况的得1分；不符合或未提供的得0分。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本项目须与义桥镇生活垃圾分类管理平台及萧山区生活垃圾智能监管平台数据可无缝对接，要求提供无缝对接方案，并提供接入系统技术参数和指标，根据对接方案的可行性、先进性、完整性等情况综合比较打分。案科学合理得4-5分；较科学合理的得2-3分；一般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sz w:val="24"/>
                <w14:textFill>
                  <w14:solidFill>
                    <w14:schemeClr w14:val="tx1"/>
                  </w14:solidFill>
                </w14:textFill>
              </w:rPr>
              <w:t>。</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对本项目的合理化建议和改进措施的合理性、可行性，根据方案内容综合比较打分。内容完整且与项目匹配度好的得4-5分；内容基本完整且与项目匹配度较好的得2-3分；方案内容存在欠缺或与项目匹配度一般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sz w:val="24"/>
                <w14:textFill>
                  <w14:solidFill>
                    <w14:schemeClr w14:val="tx1"/>
                  </w14:solidFill>
                </w14:textFill>
              </w:rPr>
              <w:t>。</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15</w:t>
            </w:r>
          </w:p>
        </w:tc>
        <w:tc>
          <w:tcPr>
            <w:tcW w:w="5070" w:type="dxa"/>
            <w:vAlign w:val="center"/>
          </w:tcPr>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投标人对本项目的质量保证计划、质量保证措施、重点质量管理环节等综合评定。</w:t>
            </w:r>
          </w:p>
          <w:p>
            <w:pPr>
              <w:widowControl/>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保证计划全面完善、质量保证措施针对性强、重点质量管理环节明确的得4-5分，质量保证计划较全面完善、质量保证措施针对性较强、重点质量管理环节较明确的得2-3分，质量保证计划不够全面完善、质量保证措施针对性不够强、重点质量管理环节不够明确的得1分</w:t>
            </w:r>
            <w:r>
              <w:rPr>
                <w:rFonts w:hint="eastAsia" w:ascii="宋体" w:hAnsi="宋体" w:cs="宋体"/>
                <w:color w:val="000000" w:themeColor="text1"/>
                <w:sz w:val="24"/>
                <w14:textFill>
                  <w14:solidFill>
                    <w14:schemeClr w14:val="tx1"/>
                  </w14:solidFill>
                </w14:textFill>
              </w:rPr>
              <w:t>；不符合或未提供的得0分。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0-5</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16</w:t>
            </w:r>
          </w:p>
        </w:tc>
        <w:tc>
          <w:tcPr>
            <w:tcW w:w="5070" w:type="dxa"/>
            <w:vAlign w:val="center"/>
          </w:tcPr>
          <w:p>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针对本项目的紧急事件处理预案是否内容完整、科学合理、符合实际情况：根据内容完整性、合理性、周密性进行打分。要点内容完整、完全符合项目情况的得3-4分；内容与本项目联系紧密，基本符合项目情况的得2分；部分符合项目情况的得1分；不符合或未提供的得0分。</w:t>
            </w:r>
          </w:p>
        </w:tc>
        <w:tc>
          <w:tcPr>
            <w:tcW w:w="1290"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17</w:t>
            </w:r>
          </w:p>
        </w:tc>
        <w:tc>
          <w:tcPr>
            <w:tcW w:w="5070" w:type="dxa"/>
            <w:vAlign w:val="center"/>
          </w:tcPr>
          <w:p>
            <w:pPr>
              <w:widowControl/>
              <w:spacing w:line="276"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投标人服务承诺（根据售后服务方案、措施、响应等情况综合评定）</w:t>
            </w:r>
          </w:p>
          <w:p>
            <w:pPr>
              <w:widowControl/>
              <w:spacing w:line="276"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售后服务方案、措施、响应的内容合理完善的得3-4分；售后服务方案、措施、响应的内容较合理完善的得2分；售后服务方案、措施、响应的内容不够合理完善或一般的得1分</w:t>
            </w:r>
            <w:r>
              <w:rPr>
                <w:rFonts w:hint="eastAsia" w:ascii="宋体" w:hAnsi="宋体" w:cs="宋体"/>
                <w:color w:val="000000" w:themeColor="text1"/>
                <w:sz w:val="24"/>
                <w14:textFill>
                  <w14:solidFill>
                    <w14:schemeClr w14:val="tx1"/>
                  </w14:solidFill>
                </w14:textFill>
              </w:rPr>
              <w:t>；不符合或未提供的得0分。</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18</w:t>
            </w:r>
          </w:p>
        </w:tc>
        <w:tc>
          <w:tcPr>
            <w:tcW w:w="5070" w:type="dxa"/>
            <w:vAlign w:val="center"/>
          </w:tcPr>
          <w:p>
            <w:pPr>
              <w:widowControl/>
              <w:spacing w:line="276"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人平稳交接过渡方案；制定相关的平稳过渡交接实施措施的合理性，根据提供的内容的完整性、与项目的匹配性进行评分。内容完整且与项目匹配度好的得3-4分；内容基本完整且与项目匹配度较好的得2分；内容存在欠缺或与项目匹配度一般的得1分</w:t>
            </w:r>
            <w:r>
              <w:rPr>
                <w:rFonts w:hint="eastAsia" w:ascii="宋体" w:hAnsi="宋体" w:cs="宋体"/>
                <w:color w:val="000000" w:themeColor="text1"/>
                <w:sz w:val="24"/>
                <w14:textFill>
                  <w14:solidFill>
                    <w14:schemeClr w14:val="tx1"/>
                  </w14:solidFill>
                </w14:textFill>
              </w:rPr>
              <w:t>；不符合或未提供的得0分</w:t>
            </w:r>
            <w:r>
              <w:rPr>
                <w:rFonts w:hint="eastAsia" w:ascii="宋体" w:hAnsi="宋体" w:cs="宋体"/>
                <w:bCs/>
                <w:color w:val="000000" w:themeColor="text1"/>
                <w:kern w:val="0"/>
                <w:sz w:val="24"/>
                <w14:textFill>
                  <w14:solidFill>
                    <w14:schemeClr w14:val="tx1"/>
                  </w14:solidFill>
                </w14:textFill>
              </w:rPr>
              <w:t>。</w:t>
            </w:r>
          </w:p>
        </w:tc>
        <w:tc>
          <w:tcPr>
            <w:tcW w:w="129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5" w:type="dxa"/>
            <w:vMerge w:val="continue"/>
            <w:vAlign w:val="center"/>
          </w:tcPr>
          <w:p>
            <w:pPr>
              <w:widowControl/>
              <w:spacing w:line="276" w:lineRule="auto"/>
              <w:rPr>
                <w:rFonts w:ascii="宋体" w:hAnsi="宋体" w:cs="宋体"/>
                <w:bCs/>
                <w:color w:val="000000" w:themeColor="text1"/>
                <w:sz w:val="24"/>
                <w14:textFill>
                  <w14:solidFill>
                    <w14:schemeClr w14:val="tx1"/>
                  </w14:solidFill>
                </w14:textFill>
              </w:rPr>
            </w:pPr>
          </w:p>
        </w:tc>
        <w:tc>
          <w:tcPr>
            <w:tcW w:w="630" w:type="dxa"/>
            <w:vAlign w:val="center"/>
          </w:tcPr>
          <w:p>
            <w:pPr>
              <w:widowControl/>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19</w:t>
            </w:r>
          </w:p>
        </w:tc>
        <w:tc>
          <w:tcPr>
            <w:tcW w:w="5070" w:type="dxa"/>
            <w:vAlign w:val="center"/>
          </w:tcPr>
          <w:p>
            <w:pPr>
              <w:widowControl/>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是否能清晰简练地列出主要管理流程，包括运作流程、激励机制、监督机制、自我约束机制、信息反馈及处理等机制：根据内容完整性、合理性、周密性进行打分。要点内容完整、完全符合项目情况的得3-4分；内容与本项目联系紧密，基本符合项目情况的得2分；部分符合项目情况的得1分；不符合或未提供的得0分。</w:t>
            </w:r>
          </w:p>
        </w:tc>
        <w:tc>
          <w:tcPr>
            <w:tcW w:w="1290" w:type="dxa"/>
            <w:vAlign w:val="center"/>
          </w:tcPr>
          <w:p>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0-4</w:t>
            </w:r>
            <w:r>
              <w:rPr>
                <w:rFonts w:hint="eastAsia" w:ascii="宋体" w:hAnsi="宋体" w:cs="仿宋"/>
                <w:bCs/>
                <w:color w:val="000000" w:themeColor="text1"/>
                <w:sz w:val="24"/>
                <w14:textFill>
                  <w14:solidFill>
                    <w14:schemeClr w14:val="tx1"/>
                  </w14:solidFill>
                </w14:textFill>
              </w:rPr>
              <w:t>分</w:t>
            </w:r>
          </w:p>
        </w:tc>
        <w:tc>
          <w:tcPr>
            <w:tcW w:w="1125" w:type="dxa"/>
            <w:vAlign w:val="center"/>
          </w:tcPr>
          <w:p>
            <w:pPr>
              <w:widowControl/>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主观分</w:t>
            </w:r>
          </w:p>
        </w:tc>
      </w:tr>
    </w:tbl>
    <w:p>
      <w:pPr>
        <w:widowControl/>
        <w:adjustRightInd/>
        <w:rPr>
          <w:rFonts w:cs="仿宋_GB2312"/>
          <w:b/>
          <w:color w:val="000000" w:themeColor="text1"/>
          <w14:textFill>
            <w14:solidFill>
              <w14:schemeClr w14:val="tx1"/>
            </w14:solidFill>
          </w14:textFill>
        </w:rPr>
      </w:pPr>
    </w:p>
    <w:p>
      <w:pPr>
        <w:rPr>
          <w:rFonts w:ascii="宋体" w:hAnsi="宋体" w:cs="宋体"/>
          <w:b/>
          <w:bCs/>
          <w:color w:val="000000" w:themeColor="text1"/>
          <w:sz w:val="24"/>
          <w14:textFill>
            <w14:solidFill>
              <w14:schemeClr w14:val="tx1"/>
            </w14:solidFill>
          </w14:textFill>
        </w:rPr>
      </w:pPr>
    </w:p>
    <w:p>
      <w:pPr>
        <w:widowControl/>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2、价格分（10分）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价格权值</w:t>
            </w:r>
          </w:p>
        </w:tc>
        <w:tc>
          <w:tcPr>
            <w:tcW w:w="6905" w:type="dxa"/>
            <w:vAlign w:val="center"/>
          </w:tcPr>
          <w:p>
            <w:pPr>
              <w:adjustRightInd/>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价格权值=0.10</w:t>
            </w:r>
          </w:p>
        </w:tc>
        <w:tc>
          <w:tcPr>
            <w:tcW w:w="6905" w:type="dxa"/>
            <w:vAlign w:val="center"/>
          </w:tcPr>
          <w:p>
            <w:pPr>
              <w:adjustRightInd/>
              <w:spacing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最低有效响应价格为评标基准价</w:t>
            </w:r>
          </w:p>
          <w:p>
            <w:pPr>
              <w:adjustRightInd/>
              <w:spacing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响应报价得分=(评标基准价/响应报价)×价格权值×100</w:t>
            </w:r>
          </w:p>
          <w:p>
            <w:pPr>
              <w:adjustRightInd/>
              <w:spacing w:line="36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（计算得分保留小数点后2位）</w:t>
            </w:r>
          </w:p>
        </w:tc>
      </w:tr>
    </w:tbl>
    <w:p>
      <w:pPr>
        <w:spacing w:line="360" w:lineRule="auto"/>
        <w:rPr>
          <w:rFonts w:cs="仿宋_GB2312"/>
          <w:color w:val="000000" w:themeColor="text1"/>
          <w14:textFill>
            <w14:solidFill>
              <w14:schemeClr w14:val="tx1"/>
            </w14:solidFill>
          </w14:textFill>
        </w:rPr>
      </w:pPr>
      <w:r>
        <w:rPr>
          <w:rFonts w:hint="eastAsia" w:cs="仿宋_GB2312"/>
          <w:b/>
          <w:color w:val="000000" w:themeColor="text1"/>
          <w14:textFill>
            <w14:solidFill>
              <w14:schemeClr w14:val="tx1"/>
            </w14:solidFill>
          </w14:textFill>
        </w:rPr>
        <w:t>备注：</w:t>
      </w:r>
      <w:r>
        <w:rPr>
          <w:rFonts w:hint="eastAsia" w:cs="仿宋_GB2312"/>
          <w:color w:val="000000" w:themeColor="text1"/>
          <w14:textFill>
            <w14:solidFill>
              <w14:schemeClr w14:val="tx1"/>
            </w14:solidFill>
          </w14:textFill>
        </w:rPr>
        <w:t>1、评分条款中涉及的业绩、荣誉、人员、社保等分公司均有效。</w:t>
      </w:r>
    </w:p>
    <w:p>
      <w:pPr>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3、投标人编制投标文件（商务技术文件部分）时，建议按此目录（序号和内容）提供评标标准相应的商务技术资料。</w:t>
      </w:r>
    </w:p>
    <w:p>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一、交易方法</w:t>
      </w:r>
    </w:p>
    <w:p>
      <w:pPr>
        <w:adjustRightInd/>
        <w:spacing w:line="570" w:lineRule="exact"/>
        <w:ind w:firstLine="482"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1.本项目采用综合评估法。</w:t>
      </w:r>
      <w:r>
        <w:rPr>
          <w:rFonts w:hint="eastAsia" w:asciiTheme="minorEastAsia" w:hAnsiTheme="minorEastAsia" w:eastAsiaTheme="minorEastAsia" w:cstheme="minorEastAsia"/>
          <w:color w:val="000000" w:themeColor="text1"/>
          <w:kern w:val="0"/>
          <w:sz w:val="24"/>
          <w14:textFill>
            <w14:solidFill>
              <w14:schemeClr w14:val="tx1"/>
            </w14:solidFill>
          </w14:textFill>
        </w:rPr>
        <w:t>综合评估法，是指响应文件满足交易文件全部实质性要求，且按照评审因素的量化指标评审得分最高的响应人为成交候选人的评标方法。</w:t>
      </w:r>
    </w:p>
    <w:p>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二、交易标准</w:t>
      </w:r>
    </w:p>
    <w:p>
      <w:pPr>
        <w:spacing w:line="570" w:lineRule="exact"/>
        <w:ind w:firstLine="472" w:firstLineChars="196"/>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2.评标标准：</w:t>
      </w:r>
      <w:r>
        <w:rPr>
          <w:rFonts w:hint="eastAsia" w:asciiTheme="minorEastAsia" w:hAnsiTheme="minorEastAsia" w:eastAsiaTheme="minorEastAsia" w:cstheme="minorEastAsia"/>
          <w:color w:val="000000" w:themeColor="text1"/>
          <w:kern w:val="0"/>
          <w:sz w:val="24"/>
          <w14:textFill>
            <w14:solidFill>
              <w14:schemeClr w14:val="tx1"/>
            </w14:solidFill>
          </w14:textFill>
        </w:rPr>
        <w:t>见交易办法前附表。</w:t>
      </w:r>
    </w:p>
    <w:p>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三、交易程序</w:t>
      </w:r>
    </w:p>
    <w:bookmarkEnd w:id="15"/>
    <w:p>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bookmarkStart w:id="387" w:name="_Toc86217003"/>
      <w:bookmarkStart w:id="388" w:name="第五部分"/>
      <w:r>
        <w:rPr>
          <w:rFonts w:hint="eastAsia" w:asciiTheme="minorEastAsia" w:hAnsiTheme="minorEastAsia" w:eastAsiaTheme="minorEastAsia" w:cstheme="minorEastAsia"/>
          <w:b/>
          <w:color w:val="000000" w:themeColor="text1"/>
          <w:kern w:val="0"/>
          <w:sz w:val="24"/>
          <w14:textFill>
            <w14:solidFill>
              <w14:schemeClr w14:val="tx1"/>
            </w14:solidFill>
          </w14:textFill>
        </w:rPr>
        <w:t>3.1符合性审查。</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评审委员会应当对符合资格的响应人的响应文件进行符合性审查，以确定其是否满足交易文件的实质性要求。不满足交易文件的实质性要求的，交易无效。</w:t>
      </w:r>
    </w:p>
    <w:p>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3.2比较与评价。</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评审委员会应当按照交易文件中规定的评标方法和标准，对符合性审查合格的响应文件进行商务和技术评估，综合比较与评价。</w:t>
      </w:r>
    </w:p>
    <w:p>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3.3汇总商务技术得分。</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评审委员会各成员应当独立对每个响应人的商务和技术文件进行评价，并汇总商务技术得分情况。</w:t>
      </w:r>
    </w:p>
    <w:p>
      <w:pPr>
        <w:spacing w:line="570" w:lineRule="exact"/>
        <w:ind w:firstLine="472" w:firstLineChars="196"/>
        <w:rPr>
          <w:rFonts w:asciiTheme="minorEastAsia" w:hAnsiTheme="minorEastAsia" w:eastAsiaTheme="minorEastAsia" w:cstheme="minorEastAsia"/>
          <w:b/>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3.4报价评审。</w:t>
      </w:r>
    </w:p>
    <w:p>
      <w:pPr>
        <w:pStyle w:val="139"/>
        <w:spacing w:before="0" w:line="570" w:lineRule="exact"/>
        <w:ind w:firstLine="508" w:firstLineChars="212"/>
        <w:rPr>
          <w:rFonts w:asciiTheme="minorEastAsia" w:hAnsiTheme="minorEastAsia" w:eastAsiaTheme="minorEastAsia" w:cstheme="minorEastAsia"/>
          <w:color w:val="000000" w:themeColor="text1"/>
          <w:kern w:val="0"/>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3.4.1响应文件报价出现前后不一致的，按照下列规定修正：</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3.4.1.1响应文件中交易一览表(报价表)内容与响应文件中相应内容不一致的，以交易一览表(报价表)为准；</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3.4.1.2大写金额和小写金额不一致的，以大写金额为准；</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3.4.1.3单价金额小数点或者百分比有明显错位的，以交易一览表的总价为准，并修改单价；</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3.4.1.4总价金额与按单价汇总金额不一致的，以单价金额计算结果为准；</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3.4.1.5同时出现两种以上不一致的，按照3.4.1规定的顺序修正。</w:t>
      </w:r>
    </w:p>
    <w:p>
      <w:pPr>
        <w:snapToGrid w:val="0"/>
        <w:spacing w:line="570" w:lineRule="exact"/>
        <w:ind w:firstLine="480" w:firstLineChars="20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3.4.2响应文件出现不是唯一的、有选择性交易报价的，交易无效。</w:t>
      </w:r>
    </w:p>
    <w:p>
      <w:pPr>
        <w:snapToGrid w:val="0"/>
        <w:spacing w:line="570" w:lineRule="exact"/>
        <w:ind w:firstLine="480" w:firstLineChars="20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3.4.3交易报价超过交易文件中规定的预算金额或者最高限价的，交易无效。</w:t>
      </w:r>
    </w:p>
    <w:p>
      <w:pPr>
        <w:pStyle w:val="139"/>
        <w:spacing w:before="0" w:line="570" w:lineRule="exact"/>
        <w:ind w:firstLine="480"/>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color w:val="000000" w:themeColor="text1"/>
          <w:kern w:val="0"/>
          <w:szCs w:val="24"/>
          <w14:textFill>
            <w14:solidFill>
              <w14:schemeClr w14:val="tx1"/>
            </w14:solidFill>
          </w14:textFill>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3.5排序与推荐。</w:t>
      </w:r>
      <w:r>
        <w:rPr>
          <w:rFonts w:hint="eastAsia" w:asciiTheme="minorEastAsia" w:hAnsiTheme="minorEastAsia" w:eastAsiaTheme="minorEastAsia" w:cstheme="minorEastAsia"/>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响应人为排名第一的成交候选人。</w:t>
      </w:r>
    </w:p>
    <w:p>
      <w:pPr>
        <w:spacing w:line="570" w:lineRule="exact"/>
        <w:ind w:firstLine="472" w:firstLineChars="19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14:textFill>
            <w14:solidFill>
              <w14:schemeClr w14:val="tx1"/>
            </w14:solidFill>
          </w14:textFill>
        </w:rPr>
        <w:t>3.6编写评审报告。</w:t>
      </w:r>
      <w:r>
        <w:rPr>
          <w:rFonts w:hint="eastAsia" w:asciiTheme="minorEastAsia" w:hAnsiTheme="minorEastAsia" w:eastAsiaTheme="minorEastAsia" w:cstheme="minorEastAsia"/>
          <w:color w:val="000000" w:themeColor="text1"/>
          <w:kern w:val="0"/>
          <w:sz w:val="24"/>
          <w14:textFill>
            <w14:solidFill>
              <w14:schemeClr w14:val="tx1"/>
            </w14:solidFill>
          </w14:textFill>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四、评标中的其他事项</w:t>
      </w:r>
    </w:p>
    <w:p>
      <w:pPr>
        <w:pStyle w:val="139"/>
        <w:spacing w:before="0" w:line="570" w:lineRule="exact"/>
        <w:ind w:firstLine="472" w:firstLineChars="196"/>
        <w:rPr>
          <w:rFonts w:asciiTheme="minorEastAsia" w:hAnsiTheme="minorEastAsia" w:eastAsiaTheme="minorEastAsia" w:cstheme="minorEastAsia"/>
          <w:color w:val="000000" w:themeColor="text1"/>
          <w:kern w:val="0"/>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Cs w:val="24"/>
          <w14:textFill>
            <w14:solidFill>
              <w14:schemeClr w14:val="tx1"/>
            </w14:solidFill>
          </w14:textFill>
        </w:rPr>
        <w:t>4.1响应人澄清、说明或者补正。</w:t>
      </w:r>
      <w:r>
        <w:rPr>
          <w:rFonts w:hint="eastAsia" w:asciiTheme="minorEastAsia" w:hAnsiTheme="minorEastAsia" w:eastAsiaTheme="minorEastAsia" w:cstheme="minorEastAsia"/>
          <w:color w:val="000000" w:themeColor="text1"/>
          <w:kern w:val="0"/>
          <w:szCs w:val="24"/>
          <w14:textFill>
            <w14:solidFill>
              <w14:schemeClr w14:val="tx1"/>
            </w14:solidFill>
          </w14:textFill>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6"/>
        <w:spacing w:line="570" w:lineRule="exact"/>
        <w:ind w:left="954" w:leftChars="226" w:hanging="479" w:firstLineChars="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4.2交易无效。</w:t>
      </w:r>
      <w:r>
        <w:rPr>
          <w:rFonts w:hint="eastAsia" w:asciiTheme="minorEastAsia" w:hAnsiTheme="minorEastAsia" w:eastAsiaTheme="minorEastAsia" w:cstheme="minorEastAsia"/>
          <w:color w:val="000000" w:themeColor="text1"/>
          <w:szCs w:val="21"/>
          <w14:textFill>
            <w14:solidFill>
              <w14:schemeClr w14:val="tx1"/>
            </w14:solidFill>
          </w14:textFill>
        </w:rPr>
        <w:t>有下列情形之一的，交易无效：</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4.2.1响应人不具备交易文件中规定的资格要求的（响应人未提供有效的资格文件的，视为响应人不具备交易文件中规定的资格要求）；</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4.2.2响应文件未按照交易文件要求签署、盖章的；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4.2.3响应文件含有交易发起人不能接受的附加条件的；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4.2.4响应文件中承诺的交易有效期少于交易文件中载明的交易有效期的；</w:t>
      </w:r>
    </w:p>
    <w:p>
      <w:pPr>
        <w:snapToGrid w:val="0"/>
        <w:spacing w:line="570" w:lineRule="exact"/>
        <w:ind w:firstLine="120" w:firstLineChars="5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4.2.5响应文件出现不是唯一的、有选择性交易报价的；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4.2.6交易报价超过交易文件中规定的预算金额或者最高限价的；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4.2.8响应人对根据修正原则修正后的报价不确认的；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4.2.9响应人提供虚假材料投标的；</w:t>
      </w:r>
    </w:p>
    <w:p>
      <w:pPr>
        <w:spacing w:line="570" w:lineRule="exact"/>
        <w:ind w:firstLine="240" w:firstLineChars="1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4.2.10响应人有恶意串通、妨碍其他响应人的竞争行为、损害交易发起人或者其他响应人的合法权益情形的；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4.2.11响应人未在电子交易平台传输递交响应文件的，交易无效；</w:t>
      </w:r>
    </w:p>
    <w:p>
      <w:pPr>
        <w:pStyle w:val="2"/>
        <w:spacing w:line="570" w:lineRule="exact"/>
        <w:ind w:left="862" w:leftChars="205"/>
        <w:rPr>
          <w:rFonts w:asciiTheme="minorEastAsia" w:hAnsiTheme="minorEastAsia" w:eastAsiaTheme="minorEastAsia" w:cstheme="minorEastAsia"/>
          <w:color w:val="000000" w:themeColor="text1"/>
          <w:kern w:val="0"/>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14:textFill>
            <w14:solidFill>
              <w14:schemeClr w14:val="tx1"/>
            </w14:solidFill>
          </w14:textFill>
        </w:rPr>
        <w:t>4.2.12响应文件不满足交易文件的其它实质性要求的；</w:t>
      </w:r>
    </w:p>
    <w:p>
      <w:pPr>
        <w:spacing w:line="570" w:lineRule="exact"/>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4.2.13法律、法规、规章（适用本市的）及省级以上规范性文件（适用本市的）规定的其他无效情形。</w:t>
      </w:r>
    </w:p>
    <w:p>
      <w:pPr>
        <w:pStyle w:val="26"/>
        <w:snapToGrid w:val="0"/>
        <w:spacing w:line="570" w:lineRule="exact"/>
        <w:ind w:firstLine="472" w:firstLineChars="196"/>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5.废标。</w:t>
      </w:r>
      <w:r>
        <w:rPr>
          <w:rFonts w:hint="eastAsia" w:asciiTheme="minorEastAsia" w:hAnsiTheme="minorEastAsia" w:eastAsiaTheme="minorEastAsia" w:cstheme="minorEastAsia"/>
          <w:color w:val="000000" w:themeColor="text1"/>
          <w14:textFill>
            <w14:solidFill>
              <w14:schemeClr w14:val="tx1"/>
            </w14:solidFill>
          </w14:textFill>
        </w:rPr>
        <w:t>在交易过程中，出现下列情形之一的，应予废标：</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5.1符合专业条件的响应人或者对交易文件作实质响应的响应人不足3家的；</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5.2出现影响采购公正的违法、违规行为的；</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5.3响应人的报价均超过了采购预算，交易发起人不能支付的；</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5.4因重大变故，采购任务取消的。</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废标后，代理机构应当将废标理由通知所有响应人。</w:t>
      </w:r>
    </w:p>
    <w:p>
      <w:pPr>
        <w:pStyle w:val="26"/>
        <w:snapToGrid w:val="0"/>
        <w:spacing w:line="570" w:lineRule="exact"/>
        <w:ind w:firstLine="590" w:firstLineChars="24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6.修改交易文件，重新组织交易活动。</w:t>
      </w:r>
      <w:r>
        <w:rPr>
          <w:rFonts w:hint="eastAsia" w:asciiTheme="minorEastAsia" w:hAnsiTheme="minorEastAsia" w:eastAsiaTheme="minorEastAsia" w:cstheme="minorEastAsia"/>
          <w:color w:val="000000" w:themeColor="text1"/>
          <w14:textFill>
            <w14:solidFill>
              <w14:schemeClr w14:val="tx1"/>
            </w14:solidFill>
          </w14:textFill>
        </w:rPr>
        <w:t>评审委员会发现交易文件存在歧义、重大缺陷导致评标工作无法进行，或者交易文件内容违反国家有关强制性规定的，将停止评审工作，并与交易发起人、代理机构沟通并作书面记录。交易发起人、代理机构确认后，将修改交易文件，重新组织交易活动。</w:t>
      </w:r>
    </w:p>
    <w:p>
      <w:pPr>
        <w:pStyle w:val="26"/>
        <w:snapToGrid w:val="0"/>
        <w:spacing w:line="570" w:lineRule="exact"/>
        <w:ind w:firstLine="590" w:firstLineChars="24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7.重新开展交易。</w:t>
      </w:r>
      <w:r>
        <w:rPr>
          <w:rFonts w:hint="eastAsia" w:asciiTheme="minorEastAsia" w:hAnsiTheme="minorEastAsia" w:eastAsiaTheme="minorEastAsia" w:cstheme="minorEastAsia"/>
          <w:color w:val="000000" w:themeColor="text1"/>
          <w14:textFill>
            <w14:solidFill>
              <w14:schemeClr w14:val="tx1"/>
            </w14:solidFill>
          </w14:textFill>
        </w:rPr>
        <w:t>影响或者可能影响</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、成交结果的，依照下列规定处理：</w:t>
      </w:r>
    </w:p>
    <w:p>
      <w:pPr>
        <w:pStyle w:val="26"/>
        <w:snapToGrid w:val="0"/>
        <w:spacing w:line="570" w:lineRule="exact"/>
        <w:ind w:firstLine="600" w:firstLineChars="25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7.1未确定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或者成交人的，终止本次交易活动，重新开展交易活动。</w:t>
      </w:r>
    </w:p>
    <w:p>
      <w:pPr>
        <w:pStyle w:val="26"/>
        <w:snapToGrid w:val="0"/>
        <w:spacing w:line="570" w:lineRule="exact"/>
        <w:ind w:firstLine="600" w:firstLineChars="25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7.2已确定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或者成交人但尚未签订合同的，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或者成交结果无效，从合格的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或者成交候选人中另行确定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或者成交人；没有合格的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或者成交候选人的，重新开展交易活动。</w:t>
      </w:r>
    </w:p>
    <w:p>
      <w:pPr>
        <w:pStyle w:val="26"/>
        <w:snapToGrid w:val="0"/>
        <w:spacing w:line="570" w:lineRule="exact"/>
        <w:ind w:firstLine="600" w:firstLineChars="25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7.3书面合同已签订但尚未履行的，撤销合同，从合格的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或者成交候选人中另行确定</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或者成交人；没有合格的</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或者成交候选人的，重新开展交易活动。</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7.4书面合同已经履行，给交易发起人、响应人造成损失的，由责任人承担赔偿责任。</w:t>
      </w:r>
    </w:p>
    <w:p>
      <w:pPr>
        <w:pStyle w:val="26"/>
        <w:snapToGrid w:val="0"/>
        <w:spacing w:line="57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7.5交易当事人有其他违反政府采购法</w:t>
      </w:r>
      <w:r>
        <w:rPr>
          <w:rFonts w:hint="eastAsia" w:asciiTheme="minorEastAsia" w:hAnsiTheme="minorEastAsia" w:eastAsiaTheme="minorEastAsia" w:cstheme="minorEastAsia"/>
          <w:color w:val="000000" w:themeColor="text1"/>
          <w:kern w:val="0"/>
          <w14:textFill>
            <w14:solidFill>
              <w14:schemeClr w14:val="tx1"/>
            </w14:solidFill>
          </w14:textFill>
        </w:rPr>
        <w:t>或者政府采购法实施条例等法律法规规定</w:t>
      </w:r>
      <w:r>
        <w:rPr>
          <w:rFonts w:hint="eastAsia" w:asciiTheme="minorEastAsia" w:hAnsiTheme="minorEastAsia" w:eastAsiaTheme="minorEastAsia" w:cstheme="minorEastAsia"/>
          <w:color w:val="000000" w:themeColor="text1"/>
          <w14:textFill>
            <w14:solidFill>
              <w14:schemeClr w14:val="tx1"/>
            </w14:solidFill>
          </w14:textFill>
        </w:rPr>
        <w:t>的行为，经改正后仍然影响或者可能影响</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、成交结果或者依法被认定为</w:t>
      </w:r>
      <w:r>
        <w:rPr>
          <w:rFonts w:hint="eastAsia" w:asciiTheme="minorEastAsia" w:hAnsiTheme="minorEastAsia" w:eastAsiaTheme="minorEastAsia" w:cstheme="minorEastAsia"/>
          <w:color w:val="000000" w:themeColor="text1"/>
          <w:kern w:val="0"/>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、成交无效的，依照7.1-7.4规定处理。</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numPr>
          <w:ilvl w:val="0"/>
          <w:numId w:val="5"/>
        </w:numPr>
        <w:spacing w:line="360" w:lineRule="auto"/>
        <w:ind w:left="718" w:leftChars="342" w:firstLine="119" w:firstLineChars="33"/>
        <w:jc w:val="center"/>
        <w:outlineLvl w:val="0"/>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拟签订的合同文本</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合同编号：</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签订地点：                                 签订时间：  年  月  日</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甲方（需方）：                                     </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乙方（供方）：                                     </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供、需双方根据项目（交易编号  -  -   ）成交结果和交易文件的要求，并经双方协调一致，订立本合同。</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一、合同文件：</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1、合同条款。</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2、成交通知书。</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3、交易文件。</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4、更正公告。</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5、成交单位响应文件。</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6、其他。</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二、合同金额: 本合同金额为（大写）</w:t>
      </w:r>
      <w:r>
        <w:rPr>
          <w:rFonts w:hint="eastAsia" w:asciiTheme="minorEastAsia" w:hAnsiTheme="minorEastAsia" w:eastAsiaTheme="minorEastAsia" w:cstheme="minorEastAsia"/>
          <w:color w:val="000000" w:themeColor="text1"/>
          <w:u w:val="single"/>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元（￥</w:t>
      </w:r>
      <w:r>
        <w:rPr>
          <w:rFonts w:hint="eastAsia" w:asciiTheme="minorEastAsia" w:hAnsiTheme="minorEastAsia" w:eastAsiaTheme="minorEastAsia" w:cstheme="minorEastAsia"/>
          <w:color w:val="000000" w:themeColor="text1"/>
          <w:u w:val="single"/>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元）人民币。</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附：</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r>
    </w:tbl>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三、技术资料</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1.乙方应按交易文件规定的时间向甲方提供有关技术资料。</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四、转包或分包</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1.本合同范围的服务，应由乙方直接提供，乙方不得将本合同范围的服务全部或部分分包给他人供应；</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2.如有转让和未经甲方同意的分包行为，甲方有权解除合同，追究乙方的违约责任。</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五、服务质量保证期</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服务时间：</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六、合同履行时间、履行方式及履行地点</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履行时间：</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 履行方式：按合同履行。</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 履行地点：甲方指定地点内。</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七、款项支付</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参照交易需求。</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八、税费</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本合同执行中相关的一切税费均由乙方负担。</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九、质量保证及后续服务</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乙方应按交易文件规定向甲方提供服务。</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 乙方提供的服务发生问题或产出重大不良影响的，除按招标文件扣除结算金额外，乙方应负责免费提供后续善后服务，同时承担相应责任。</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十、违约责任</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1.甲方无正当理由拒绝接收服务的，甲方向乙方偿付合同款项百分之五作为违约金。</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2.乙方未能如期提供服务的，每日向甲方支付合同款项的千分之六作为违约金。乙方超过约定日期3个工作日仍不能提供服务的，甲方可解除本合同，追究乙赔偿责任。   3.如发现乙方违反交易文件、响应文件和合同的有关规定，甲方有权根据约定和《杭州市政府采购响应人合同履行和售后服务考核暂行办法》，对乙方进行处罚，并有权提前终止合同。</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十一、争议的解决</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因本合同引起的或与本合同有关的任何争议，合同双方应首先通过协商解决，达成书面协议，如协商不成，可选择下列方式解决。</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1.提请杭州仲裁委员会按照该会仲裁规则进行仲裁，仲裁裁决是终局的，对合同双方均有约束力。</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2.向有管辖权的人民法院提起诉讼。</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十二、合同生效</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1.成交方持成交通知书作为与需方签订合同的凭证。</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2.本合同经需、供双方法定代表人或其授权委托人签字并加盖单位公章或合同章后生效。</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需方（盖章）：                     供方（盖章）：</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地址：                             地址：</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法定代表人（或委托代理人）签名：   法定代表人（或委托代理人）签名：</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                         联系电话：</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邮政编码：                         邮政编码：</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开户银行：                         开户银行：  </w:t>
      </w:r>
    </w:p>
    <w:p>
      <w:pPr>
        <w:pStyle w:val="26"/>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帐号：                             帐号：</w:t>
      </w:r>
      <w:r>
        <w:rPr>
          <w:rFonts w:hint="eastAsia" w:asciiTheme="minorEastAsia" w:hAnsiTheme="minorEastAsia" w:eastAsiaTheme="minorEastAsia" w:cstheme="minorEastAsia"/>
          <w:color w:val="000000" w:themeColor="text1"/>
          <w14:textFill>
            <w14:solidFill>
              <w14:schemeClr w14:val="tx1"/>
            </w14:solidFill>
          </w14:textFill>
        </w:rPr>
        <w:br w:type="page"/>
      </w:r>
    </w:p>
    <w:p>
      <w:pPr>
        <w:rPr>
          <w:rFonts w:asciiTheme="minorEastAsia" w:hAnsiTheme="minorEastAsia" w:eastAsiaTheme="minorEastAsia" w:cstheme="minorEastAsia"/>
          <w:color w:val="000000" w:themeColor="text1"/>
          <w14:textFill>
            <w14:solidFill>
              <w14:schemeClr w14:val="tx1"/>
            </w14:solidFill>
          </w14:textFill>
        </w:rPr>
      </w:pPr>
    </w:p>
    <w:p>
      <w:pPr>
        <w:spacing w:line="360" w:lineRule="auto"/>
        <w:ind w:left="720" w:firstLine="723" w:firstLineChars="200"/>
        <w:outlineLvl w:val="0"/>
        <w:rPr>
          <w:rFonts w:asciiTheme="minorEastAsia" w:hAnsiTheme="minorEastAsia" w:eastAsiaTheme="minorEastAsia" w:cstheme="minorEastAsia"/>
          <w:b/>
          <w:color w:val="000000" w:themeColor="text1"/>
          <w:sz w:val="36"/>
          <w:szCs w:val="20"/>
          <w14:textFill>
            <w14:solidFill>
              <w14:schemeClr w14:val="tx1"/>
            </w14:solidFill>
          </w14:textFill>
        </w:rPr>
      </w:pPr>
      <w:r>
        <w:rPr>
          <w:rFonts w:hint="eastAsia" w:asciiTheme="minorEastAsia" w:hAnsiTheme="minorEastAsia" w:eastAsiaTheme="minorEastAsia" w:cstheme="minorEastAsia"/>
          <w:b/>
          <w:color w:val="000000" w:themeColor="text1"/>
          <w:sz w:val="36"/>
          <w:szCs w:val="20"/>
          <w14:textFill>
            <w14:solidFill>
              <w14:schemeClr w14:val="tx1"/>
            </w14:solidFill>
          </w14:textFill>
        </w:rPr>
        <w:t>第六部分</w:t>
      </w:r>
      <w:bookmarkEnd w:id="387"/>
      <w:bookmarkEnd w:id="388"/>
      <w:r>
        <w:rPr>
          <w:rFonts w:hint="eastAsia" w:asciiTheme="minorEastAsia" w:hAnsiTheme="minorEastAsia" w:eastAsiaTheme="minorEastAsia" w:cstheme="minorEastAsia"/>
          <w:b/>
          <w:color w:val="000000" w:themeColor="text1"/>
          <w:sz w:val="36"/>
          <w:szCs w:val="20"/>
          <w14:textFill>
            <w14:solidFill>
              <w14:schemeClr w14:val="tx1"/>
            </w14:solidFill>
          </w14:textFill>
        </w:rPr>
        <w:t>应提交的有关格式范例</w:t>
      </w: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资格文件部分</w:t>
      </w: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目录</w:t>
      </w: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numPr>
          <w:ilvl w:val="0"/>
          <w:numId w:val="6"/>
        </w:num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符合参加交易活动应当具备的一般条件的承诺函…………………（页码）</w:t>
      </w:r>
    </w:p>
    <w:p>
      <w:pPr>
        <w:numPr>
          <w:ilvl w:val="0"/>
          <w:numId w:val="6"/>
        </w:num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联合协议</w:t>
      </w:r>
      <w:r>
        <w:rPr>
          <w:rFonts w:hint="eastAsia" w:asciiTheme="minorEastAsia" w:hAnsiTheme="minorEastAsia" w:eastAsiaTheme="minorEastAsia" w:cstheme="minorEastAsia"/>
          <w:color w:val="000000" w:themeColor="text1"/>
          <w:sz w:val="24"/>
          <w14:textFill>
            <w14:solidFill>
              <w14:schemeClr w14:val="tx1"/>
            </w14:solidFill>
          </w14:textFill>
        </w:rPr>
        <w:t>………………………………………………………………（页码）</w:t>
      </w:r>
    </w:p>
    <w:p>
      <w:pPr>
        <w:pStyle w:val="2"/>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）落实政府采购政策需满足的资格要求………………………………（页码）</w:t>
      </w: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（4）本项目的特定资格要求………………………………………………（页码）</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ind w:right="48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 xml:space="preserve">  一、 符合参加交易活动应当具备的一般条件的承诺函</w:t>
      </w: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我方参与</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（项目名称）【交易编号：】</w:t>
      </w:r>
      <w:r>
        <w:rPr>
          <w:rFonts w:hint="eastAsia" w:asciiTheme="minorEastAsia" w:hAnsiTheme="minorEastAsia" w:eastAsiaTheme="minorEastAsia" w:cstheme="minorEastAsia"/>
          <w:color w:val="000000" w:themeColor="text1"/>
          <w:sz w:val="24"/>
          <w14:textFill>
            <w14:solidFill>
              <w14:schemeClr w14:val="tx1"/>
            </w14:solidFill>
          </w14:textFill>
        </w:rPr>
        <w:t>交易活动，郑重承诺：</w:t>
      </w:r>
    </w:p>
    <w:p>
      <w:pPr>
        <w:snapToGrid w:val="0"/>
        <w:spacing w:line="360" w:lineRule="auto"/>
        <w:ind w:firstLine="360" w:firstLineChars="1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（一）具备以下条件：</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5、参加交易活动前三年内，在经营活动中没有重大违法记录；</w:t>
      </w:r>
    </w:p>
    <w:p>
      <w:pPr>
        <w:snapToGrid w:val="0"/>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6、具有法律、行政法规规定的其他条件。</w:t>
      </w:r>
    </w:p>
    <w:p>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520" w:firstLineChars="23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响应人名称(电子签名)：</w:t>
      </w:r>
    </w:p>
    <w:p>
      <w:pPr>
        <w:snapToGrid w:val="0"/>
        <w:spacing w:line="360" w:lineRule="auto"/>
        <w:ind w:firstLine="5520" w:firstLineChars="23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w:t>
      </w:r>
    </w:p>
    <w:p>
      <w:pPr>
        <w:snapToGrid w:val="0"/>
        <w:spacing w:line="360" w:lineRule="auto"/>
        <w:ind w:right="48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[以联合体形式交易的，提供联合协议；本项目不接受联合体响应或者响应人不以联合体形式响应的，则不需要提供）]</w:t>
      </w:r>
    </w:p>
    <w:p>
      <w:pPr>
        <w:pStyle w:val="2"/>
        <w:rPr>
          <w:color w:val="000000" w:themeColor="text1"/>
          <w14:textFill>
            <w14:solidFill>
              <w14:schemeClr w14:val="tx1"/>
            </w14:solidFill>
          </w14:textFill>
        </w:rPr>
      </w:pPr>
    </w:p>
    <w:p>
      <w:pPr>
        <w:jc w:val="center"/>
        <w:rPr>
          <w:rFonts w:cs="仿宋_GB2312"/>
          <w:b/>
          <w:color w:val="000000" w:themeColor="text1"/>
          <w:sz w:val="32"/>
          <w:szCs w:val="32"/>
          <w:lang w:val="zh-CN"/>
          <w14:textFill>
            <w14:solidFill>
              <w14:schemeClr w14:val="tx1"/>
            </w14:solidFill>
          </w14:textFill>
        </w:rPr>
      </w:pPr>
      <w:r>
        <w:rPr>
          <w:rFonts w:hint="eastAsia" w:cs="仿宋_GB2312"/>
          <w:b/>
          <w:color w:val="000000" w:themeColor="text1"/>
          <w:sz w:val="32"/>
          <w:szCs w:val="32"/>
          <w:lang w:val="zh-CN"/>
          <w14:textFill>
            <w14:solidFill>
              <w14:schemeClr w14:val="tx1"/>
            </w14:solidFill>
          </w14:textFill>
        </w:rPr>
        <w:t>联合协议</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u w:val="single"/>
          <w14:textFill>
            <w14:solidFill>
              <w14:schemeClr w14:val="tx1"/>
            </w14:solidFill>
          </w14:textFill>
        </w:rPr>
        <w:t>（联合体所有成员名称）</w:t>
      </w:r>
      <w:r>
        <w:rPr>
          <w:rFonts w:hint="eastAsia" w:cs="仿宋_GB2312"/>
          <w:color w:val="000000" w:themeColor="text1"/>
          <w:sz w:val="24"/>
          <w:szCs w:val="32"/>
          <w14:textFill>
            <w14:solidFill>
              <w14:schemeClr w14:val="tx1"/>
            </w14:solidFill>
          </w14:textFill>
        </w:rPr>
        <w:t>自愿</w:t>
      </w:r>
      <w:r>
        <w:rPr>
          <w:rFonts w:hint="eastAsia" w:cs="仿宋_GB2312"/>
          <w:color w:val="000000" w:themeColor="text1"/>
          <w:sz w:val="24"/>
          <w:szCs w:val="32"/>
          <w:lang w:val="zh-CN"/>
          <w14:textFill>
            <w14:solidFill>
              <w14:schemeClr w14:val="tx1"/>
            </w14:solidFill>
          </w14:textFill>
        </w:rPr>
        <w:t>组成一个联合体，以一个投标人的身份</w:t>
      </w:r>
      <w:r>
        <w:rPr>
          <w:rFonts w:hint="eastAsia" w:cs="仿宋_GB2312"/>
          <w:color w:val="000000" w:themeColor="text1"/>
          <w:sz w:val="24"/>
          <w:szCs w:val="32"/>
          <w14:textFill>
            <w14:solidFill>
              <w14:schemeClr w14:val="tx1"/>
            </w14:solidFill>
          </w14:textFill>
        </w:rPr>
        <w:t>参加（项目名称）【交易编号：</w:t>
      </w:r>
      <w:r>
        <w:rPr>
          <w:rFonts w:hint="eastAsia"/>
          <w:color w:val="000000" w:themeColor="text1"/>
          <w:sz w:val="24"/>
          <w:szCs w:val="32"/>
          <w:u w:val="single"/>
          <w14:textFill>
            <w14:solidFill>
              <w14:schemeClr w14:val="tx1"/>
            </w14:solidFill>
          </w14:textFill>
        </w:rPr>
        <w:t xml:space="preserve">（交易编号）    </w:t>
      </w:r>
      <w:r>
        <w:rPr>
          <w:rFonts w:hint="eastAsia" w:cs="仿宋_GB2312"/>
          <w:color w:val="000000" w:themeColor="text1"/>
          <w:sz w:val="24"/>
          <w:szCs w:val="32"/>
          <w14:textFill>
            <w14:solidFill>
              <w14:schemeClr w14:val="tx1"/>
            </w14:solidFill>
          </w14:textFill>
        </w:rPr>
        <w:t>】</w:t>
      </w:r>
      <w:r>
        <w:rPr>
          <w:rFonts w:hint="eastAsia" w:cs="仿宋_GB2312"/>
          <w:color w:val="000000" w:themeColor="text1"/>
          <w:sz w:val="24"/>
          <w:szCs w:val="32"/>
          <w:lang w:val="zh-CN"/>
          <w14:textFill>
            <w14:solidFill>
              <w14:schemeClr w14:val="tx1"/>
            </w14:solidFill>
          </w14:textFill>
        </w:rPr>
        <w:t>响应。</w:t>
      </w:r>
      <w:r>
        <w:rPr>
          <w:rFonts w:cs="仿宋_GB2312"/>
          <w:color w:val="000000" w:themeColor="text1"/>
          <w:sz w:val="24"/>
          <w:szCs w:val="32"/>
          <w:lang w:val="zh-CN"/>
          <w14:textFill>
            <w14:solidFill>
              <w14:schemeClr w14:val="tx1"/>
            </w14:solidFill>
          </w14:textFill>
        </w:rPr>
        <w:t xml:space="preserve"> </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一、各方一致决定，</w:t>
      </w:r>
      <w:r>
        <w:rPr>
          <w:rFonts w:hint="eastAsia" w:cs="仿宋_GB2312"/>
          <w:color w:val="000000" w:themeColor="text1"/>
          <w:sz w:val="24"/>
          <w:szCs w:val="32"/>
          <w:u w:val="single"/>
          <w14:textFill>
            <w14:solidFill>
              <w14:schemeClr w14:val="tx1"/>
            </w14:solidFill>
          </w14:textFill>
        </w:rPr>
        <w:t>（某联合体成员名称）</w:t>
      </w:r>
      <w:r>
        <w:rPr>
          <w:rFonts w:hint="eastAsia" w:cs="仿宋_GB2312"/>
          <w:color w:val="000000" w:themeColor="text1"/>
          <w:sz w:val="24"/>
          <w:szCs w:val="32"/>
          <w14:textFill>
            <w14:solidFill>
              <w14:schemeClr w14:val="tx1"/>
            </w14:solidFill>
          </w14:textFill>
        </w:rPr>
        <w:t>为联合体</w:t>
      </w:r>
      <w:r>
        <w:rPr>
          <w:rFonts w:hint="eastAsia" w:cs="仿宋_GB2312"/>
          <w:color w:val="000000" w:themeColor="text1"/>
          <w:sz w:val="24"/>
          <w:szCs w:val="32"/>
          <w:lang w:val="zh-CN"/>
          <w14:textFill>
            <w14:solidFill>
              <w14:schemeClr w14:val="tx1"/>
            </w14:solidFill>
          </w14:textFill>
        </w:rPr>
        <w:t>牵头人</w:t>
      </w:r>
      <w:r>
        <w:rPr>
          <w:rFonts w:hint="eastAsia" w:cs="Arial"/>
          <w:color w:val="000000" w:themeColor="text1"/>
          <w:sz w:val="24"/>
          <w:szCs w:val="32"/>
          <w14:textFill>
            <w14:solidFill>
              <w14:schemeClr w14:val="tx1"/>
            </w14:solidFill>
          </w14:textFill>
        </w:rPr>
        <w:t>，代表所有联合体成员负责响应和合同实施阶段的主办、协调工作</w:t>
      </w:r>
      <w:r>
        <w:rPr>
          <w:rFonts w:hint="eastAsia" w:cs="仿宋_GB2312"/>
          <w:color w:val="000000" w:themeColor="text1"/>
          <w:sz w:val="24"/>
          <w:szCs w:val="32"/>
          <w:lang w:val="zh-CN"/>
          <w14:textFill>
            <w14:solidFill>
              <w14:schemeClr w14:val="tx1"/>
            </w14:solidFill>
          </w14:textFill>
        </w:rPr>
        <w:t>。</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二、</w:t>
      </w:r>
      <w:r>
        <w:rPr>
          <w:rFonts w:hint="eastAsia" w:cs="Arial"/>
          <w:color w:val="000000" w:themeColor="text1"/>
          <w:sz w:val="24"/>
          <w:szCs w:val="32"/>
          <w14:textFill>
            <w14:solidFill>
              <w14:schemeClr w14:val="tx1"/>
            </w14:solidFill>
          </w14:textFill>
        </w:rPr>
        <w:t>所有联合体成员各方签署授权书，授权书载明的</w:t>
      </w:r>
      <w:r>
        <w:rPr>
          <w:rFonts w:hint="eastAsia" w:cs="仿宋_GB2312"/>
          <w:color w:val="000000" w:themeColor="text1"/>
          <w:sz w:val="24"/>
          <w:szCs w:val="32"/>
          <w:lang w:val="zh-CN"/>
          <w14:textFill>
            <w14:solidFill>
              <w14:schemeClr w14:val="tx1"/>
            </w14:solidFill>
          </w14:textFill>
        </w:rPr>
        <w:t>授权代表根据交易文件规定及响应内容而对采购人、采购机构所作的任何合法承诺，包括书面澄清及相应等均对联合响应各方产生约束力。</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三、本次联合投标中，分工如下：</w:t>
      </w:r>
      <w:r>
        <w:rPr>
          <w:rFonts w:hint="eastAsia" w:cs="仿宋_GB2312"/>
          <w:color w:val="000000" w:themeColor="text1"/>
          <w:sz w:val="24"/>
          <w:szCs w:val="32"/>
          <w:u w:val="single"/>
          <w14:textFill>
            <w14:solidFill>
              <w14:schemeClr w14:val="tx1"/>
            </w14:solidFill>
          </w14:textFill>
        </w:rPr>
        <w:t>（联合体其中一方成员名称）</w:t>
      </w:r>
      <w:r>
        <w:rPr>
          <w:rFonts w:hint="eastAsia" w:cs="仿宋_GB2312"/>
          <w:color w:val="000000" w:themeColor="text1"/>
          <w:sz w:val="24"/>
          <w:szCs w:val="32"/>
          <w:lang w:val="zh-CN"/>
          <w14:textFill>
            <w14:solidFill>
              <w14:schemeClr w14:val="tx1"/>
            </w14:solidFill>
          </w14:textFill>
        </w:rPr>
        <w:t>承担的工作和义务为：</w:t>
      </w:r>
      <w:r>
        <w:rPr>
          <w:color w:val="000000" w:themeColor="text1"/>
          <w:sz w:val="24"/>
          <w:szCs w:val="32"/>
          <w:u w:val="single"/>
          <w14:textFill>
            <w14:solidFill>
              <w14:schemeClr w14:val="tx1"/>
            </w14:solidFill>
          </w14:textFill>
        </w:rPr>
        <w:t xml:space="preserve">             </w:t>
      </w:r>
      <w:r>
        <w:rPr>
          <w:rFonts w:hint="eastAsia" w:cs="仿宋_GB2312"/>
          <w:color w:val="000000" w:themeColor="text1"/>
          <w:sz w:val="24"/>
          <w:szCs w:val="32"/>
          <w:lang w:val="zh-CN"/>
          <w14:textFill>
            <w14:solidFill>
              <w14:schemeClr w14:val="tx1"/>
            </w14:solidFill>
          </w14:textFill>
        </w:rPr>
        <w:t>；</w:t>
      </w:r>
      <w:r>
        <w:rPr>
          <w:rFonts w:hint="eastAsia" w:cs="仿宋_GB2312"/>
          <w:color w:val="000000" w:themeColor="text1"/>
          <w:sz w:val="24"/>
          <w:szCs w:val="32"/>
          <w:u w:val="single"/>
          <w14:textFill>
            <w14:solidFill>
              <w14:schemeClr w14:val="tx1"/>
            </w14:solidFill>
          </w14:textFill>
        </w:rPr>
        <w:t>（联合体其中一方成员名称）</w:t>
      </w:r>
      <w:r>
        <w:rPr>
          <w:rFonts w:hint="eastAsia" w:cs="仿宋_GB2312"/>
          <w:color w:val="000000" w:themeColor="text1"/>
          <w:sz w:val="24"/>
          <w:szCs w:val="32"/>
          <w:lang w:val="zh-CN"/>
          <w14:textFill>
            <w14:solidFill>
              <w14:schemeClr w14:val="tx1"/>
            </w14:solidFill>
          </w14:textFill>
        </w:rPr>
        <w:t>承担的工作和义务为：</w:t>
      </w:r>
      <w:r>
        <w:rPr>
          <w:color w:val="000000" w:themeColor="text1"/>
          <w:sz w:val="24"/>
          <w:szCs w:val="32"/>
          <w:u w:val="single"/>
          <w14:textFill>
            <w14:solidFill>
              <w14:schemeClr w14:val="tx1"/>
            </w14:solidFill>
          </w14:textFill>
        </w:rPr>
        <w:t xml:space="preserve">          </w:t>
      </w:r>
      <w:r>
        <w:rPr>
          <w:rFonts w:hint="eastAsia"/>
          <w:color w:val="000000" w:themeColor="text1"/>
          <w:sz w:val="24"/>
          <w:szCs w:val="32"/>
          <w:u w:val="single"/>
          <w14:textFill>
            <w14:solidFill>
              <w14:schemeClr w14:val="tx1"/>
            </w14:solidFill>
          </w14:textFill>
        </w:rPr>
        <w:t xml:space="preserve">      </w:t>
      </w:r>
      <w:r>
        <w:rPr>
          <w:color w:val="000000" w:themeColor="text1"/>
          <w:sz w:val="24"/>
          <w:szCs w:val="32"/>
          <w:u w:val="single"/>
          <w14:textFill>
            <w14:solidFill>
              <w14:schemeClr w14:val="tx1"/>
            </w14:solidFill>
          </w14:textFill>
        </w:rPr>
        <w:t xml:space="preserve">  </w:t>
      </w:r>
      <w:r>
        <w:rPr>
          <w:rFonts w:cs="仿宋_GB2312"/>
          <w:color w:val="000000" w:themeColor="text1"/>
          <w:sz w:val="24"/>
          <w:szCs w:val="32"/>
          <w:lang w:val="zh-CN"/>
          <w14:textFill>
            <w14:solidFill>
              <w14:schemeClr w14:val="tx1"/>
            </w14:solidFill>
          </w14:textFill>
        </w:rPr>
        <w:t xml:space="preserve"> ；……。</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四、</w:t>
      </w:r>
      <w:r>
        <w:rPr>
          <w:rFonts w:hint="eastAsia"/>
          <w:color w:val="000000" w:themeColor="text1"/>
          <w:sz w:val="24"/>
          <w:szCs w:val="32"/>
          <w14:textFill>
            <w14:solidFill>
              <w14:schemeClr w14:val="tx1"/>
            </w14:solidFill>
          </w14:textFill>
        </w:rPr>
        <w:t>中小企业合同金额达到</w:t>
      </w:r>
      <w:r>
        <w:rPr>
          <w:color w:val="000000" w:themeColor="text1"/>
          <w:sz w:val="24"/>
          <w:szCs w:val="32"/>
          <w:u w:val="single"/>
          <w14:textFill>
            <w14:solidFill>
              <w14:schemeClr w14:val="tx1"/>
            </w14:solidFill>
          </w14:textFill>
        </w:rPr>
        <w:t xml:space="preserve">  </w:t>
      </w:r>
      <w:r>
        <w:rPr>
          <w:color w:val="000000" w:themeColor="text1"/>
          <w:sz w:val="24"/>
          <w:szCs w:val="32"/>
          <w14:textFill>
            <w14:solidFill>
              <w14:schemeClr w14:val="tx1"/>
            </w14:solidFill>
          </w14:textFill>
        </w:rPr>
        <w:t>%，小</w:t>
      </w:r>
      <w:r>
        <w:rPr>
          <w:rFonts w:hint="eastAsia"/>
          <w:color w:val="000000" w:themeColor="text1"/>
          <w:sz w:val="24"/>
          <w:szCs w:val="32"/>
          <w14:textFill>
            <w14:solidFill>
              <w14:schemeClr w14:val="tx1"/>
            </w14:solidFill>
          </w14:textFill>
        </w:rPr>
        <w:t>微企业合同金额达到</w:t>
      </w:r>
      <w:r>
        <w:rPr>
          <w:color w:val="000000" w:themeColor="text1"/>
          <w:sz w:val="24"/>
          <w:szCs w:val="32"/>
          <w:u w:val="single"/>
          <w14:textFill>
            <w14:solidFill>
              <w14:schemeClr w14:val="tx1"/>
            </w14:solidFill>
          </w14:textFill>
        </w:rPr>
        <w:t xml:space="preserve"> </w:t>
      </w:r>
      <w:r>
        <w:rPr>
          <w:color w:val="000000" w:themeColor="text1"/>
          <w:sz w:val="24"/>
          <w:szCs w:val="32"/>
          <w14:textFill>
            <w14:solidFill>
              <w14:schemeClr w14:val="tx1"/>
            </w14:solidFill>
          </w14:textFill>
        </w:rPr>
        <w:t>%</w:t>
      </w:r>
      <w:r>
        <w:rPr>
          <w:rFonts w:hint="eastAsia" w:cs="仿宋_GB2312"/>
          <w:color w:val="000000" w:themeColor="text1"/>
          <w:sz w:val="24"/>
          <w:szCs w:val="32"/>
          <w:lang w:val="zh-CN"/>
          <w14:textFill>
            <w14:solidFill>
              <w14:schemeClr w14:val="tx1"/>
            </w14:solidFill>
          </w14:textFill>
        </w:rPr>
        <w:t>。</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五、如果成交，</w:t>
      </w:r>
      <w:r>
        <w:rPr>
          <w:rFonts w:hint="eastAsia"/>
          <w:color w:val="000000" w:themeColor="text1"/>
          <w:sz w:val="24"/>
          <w:szCs w:val="32"/>
          <w14:textFill>
            <w14:solidFill>
              <w14:schemeClr w14:val="tx1"/>
            </w14:solidFill>
          </w14:textFill>
        </w:rPr>
        <w:t>联合体各成员方共同与采购人签订合同，并就采购合同约定的事项对采购人承担连带责任。</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六、有关本次联合响应的其他事宜：</w:t>
      </w:r>
    </w:p>
    <w:p>
      <w:pPr>
        <w:rPr>
          <w:rFonts w:cs="仿宋_GB2312"/>
          <w:color w:val="000000" w:themeColor="text1"/>
          <w:sz w:val="24"/>
          <w:szCs w:val="32"/>
          <w:lang w:val="zh-CN"/>
          <w14:textFill>
            <w14:solidFill>
              <w14:schemeClr w14:val="tx1"/>
            </w14:solidFill>
          </w14:textFill>
        </w:rPr>
      </w:pPr>
      <w:r>
        <w:rPr>
          <w:rFonts w:cs="仿宋_GB2312"/>
          <w:color w:val="000000" w:themeColor="text1"/>
          <w:sz w:val="24"/>
          <w:szCs w:val="32"/>
          <w:lang w:val="zh-CN"/>
          <w14:textFill>
            <w14:solidFill>
              <w14:schemeClr w14:val="tx1"/>
            </w14:solidFill>
          </w14:textFill>
        </w:rPr>
        <w:t>1、联合体各方不再单独参加或者与其</w:t>
      </w:r>
      <w:r>
        <w:rPr>
          <w:rFonts w:hint="eastAsia" w:cs="仿宋_GB2312"/>
          <w:color w:val="000000" w:themeColor="text1"/>
          <w:sz w:val="24"/>
          <w:szCs w:val="32"/>
          <w:lang w:val="zh-CN"/>
          <w14:textFill>
            <w14:solidFill>
              <w14:schemeClr w14:val="tx1"/>
            </w14:solidFill>
          </w14:textFill>
        </w:rPr>
        <w:t>他供应商另外组成联合体参加同一合同项下的交易活动。</w:t>
      </w:r>
    </w:p>
    <w:p>
      <w:pPr>
        <w:rPr>
          <w:rFonts w:cs="仿宋_GB2312"/>
          <w:color w:val="000000" w:themeColor="text1"/>
          <w:sz w:val="24"/>
          <w:szCs w:val="32"/>
          <w:lang w:val="zh-CN"/>
          <w14:textFill>
            <w14:solidFill>
              <w14:schemeClr w14:val="tx1"/>
            </w14:solidFill>
          </w14:textFill>
        </w:rPr>
      </w:pPr>
      <w:r>
        <w:rPr>
          <w:rFonts w:cs="仿宋_GB2312"/>
          <w:color w:val="000000" w:themeColor="text1"/>
          <w:sz w:val="24"/>
          <w:szCs w:val="32"/>
          <w:lang w:val="zh-CN"/>
          <w14:textFill>
            <w14:solidFill>
              <w14:schemeClr w14:val="tx1"/>
            </w14:solidFill>
          </w14:textFill>
        </w:rPr>
        <w:t>2、联合体中有同类资质的各方按照联合体分工承担相同工作的，按照资质等级较低的供应商确定资质等级。</w:t>
      </w:r>
    </w:p>
    <w:p>
      <w:pPr>
        <w:rPr>
          <w:rFonts w:cs="仿宋_GB2312"/>
          <w:color w:val="000000" w:themeColor="text1"/>
          <w:sz w:val="24"/>
          <w:szCs w:val="32"/>
          <w:lang w:val="zh-CN"/>
          <w14:textFill>
            <w14:solidFill>
              <w14:schemeClr w14:val="tx1"/>
            </w14:solidFill>
          </w14:textFill>
        </w:rPr>
      </w:pPr>
      <w:r>
        <w:rPr>
          <w:rFonts w:cs="仿宋_GB2312"/>
          <w:color w:val="000000" w:themeColor="text1"/>
          <w:sz w:val="24"/>
          <w:szCs w:val="32"/>
          <w:lang w:val="zh-CN"/>
          <w14:textFill>
            <w14:solidFill>
              <w14:schemeClr w14:val="tx1"/>
            </w14:solidFill>
          </w14:textFill>
        </w:rPr>
        <w:t>3、本协议提交采购人、采购机构后，联合体各方不得以任何形式对上述内容进行修改或撤销。</w:t>
      </w:r>
    </w:p>
    <w:p>
      <w:pPr>
        <w:pStyle w:val="2"/>
        <w:rPr>
          <w:color w:val="000000" w:themeColor="text1"/>
          <w14:textFill>
            <w14:solidFill>
              <w14:schemeClr w14:val="tx1"/>
            </w14:solidFill>
          </w14:textFill>
        </w:rPr>
      </w:pP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联合体成员名称</w:t>
      </w:r>
      <w:r>
        <w:rPr>
          <w:rFonts w:cs="仿宋_GB2312"/>
          <w:color w:val="000000" w:themeColor="text1"/>
          <w:sz w:val="24"/>
          <w:szCs w:val="32"/>
          <w:lang w:val="zh-CN"/>
          <w14:textFill>
            <w14:solidFill>
              <w14:schemeClr w14:val="tx1"/>
            </w14:solidFill>
          </w14:textFill>
        </w:rPr>
        <w:t>(电子签名/公章)：</w:t>
      </w:r>
    </w:p>
    <w:p>
      <w:pPr>
        <w:rPr>
          <w:rFonts w:cs="仿宋_GB2312"/>
          <w:color w:val="000000" w:themeColor="text1"/>
          <w:sz w:val="24"/>
          <w:szCs w:val="32"/>
          <w:lang w:val="zh-CN"/>
          <w14:textFill>
            <w14:solidFill>
              <w14:schemeClr w14:val="tx1"/>
            </w14:solidFill>
          </w14:textFill>
        </w:rPr>
      </w:pPr>
      <w:r>
        <w:rPr>
          <w:rFonts w:hint="eastAsia" w:cs="仿宋_GB2312"/>
          <w:color w:val="000000" w:themeColor="text1"/>
          <w:sz w:val="24"/>
          <w:szCs w:val="32"/>
          <w:lang w:val="zh-CN"/>
          <w14:textFill>
            <w14:solidFill>
              <w14:schemeClr w14:val="tx1"/>
            </w14:solidFill>
          </w14:textFill>
        </w:rPr>
        <w:t>联合体成员名称</w:t>
      </w:r>
      <w:r>
        <w:rPr>
          <w:rFonts w:cs="仿宋_GB2312"/>
          <w:color w:val="000000" w:themeColor="text1"/>
          <w:sz w:val="24"/>
          <w:szCs w:val="32"/>
          <w:lang w:val="zh-CN"/>
          <w14:textFill>
            <w14:solidFill>
              <w14:schemeClr w14:val="tx1"/>
            </w14:solidFill>
          </w14:textFill>
        </w:rPr>
        <w:t>(电子签名/公章)：</w:t>
      </w:r>
    </w:p>
    <w:p>
      <w:pPr>
        <w:pStyle w:val="63"/>
        <w:ind w:firstLine="480"/>
        <w:jc w:val="center"/>
        <w:rPr>
          <w:color w:val="000000" w:themeColor="text1"/>
          <w:sz w:val="24"/>
          <w:szCs w:val="32"/>
          <w14:textFill>
            <w14:solidFill>
              <w14:schemeClr w14:val="tx1"/>
            </w14:solidFill>
          </w14:textFill>
        </w:rPr>
      </w:pPr>
      <w:r>
        <w:rPr>
          <w:rFonts w:cs="仿宋_GB2312"/>
          <w:color w:val="000000" w:themeColor="text1"/>
          <w:sz w:val="24"/>
          <w:szCs w:val="32"/>
          <w:lang w:val="zh-CN"/>
          <w14:textFill>
            <w14:solidFill>
              <w14:schemeClr w14:val="tx1"/>
            </w14:solidFill>
          </w14:textFill>
        </w:rPr>
        <w:t xml:space="preserve">                                               日期：  年  月   日</w:t>
      </w:r>
    </w:p>
    <w:p>
      <w:pPr>
        <w:snapToGrid w:val="0"/>
        <w:spacing w:line="360" w:lineRule="auto"/>
        <w:ind w:right="480"/>
        <w:jc w:val="center"/>
        <w:rPr>
          <w:rFonts w:asciiTheme="minorEastAsia" w:hAnsiTheme="minorEastAsia" w:eastAsiaTheme="minorEastAsia" w:cstheme="minorEastAsia"/>
          <w:b/>
          <w:color w:val="000000" w:themeColor="text1"/>
          <w:kern w:val="0"/>
          <w:sz w:val="40"/>
          <w:szCs w:val="40"/>
          <w14:textFill>
            <w14:solidFill>
              <w14:schemeClr w14:val="tx1"/>
            </w14:solidFill>
          </w14:textFill>
        </w:rPr>
      </w:pPr>
    </w:p>
    <w:p>
      <w:pPr>
        <w:snapToGrid w:val="0"/>
        <w:spacing w:line="360" w:lineRule="auto"/>
        <w:ind w:right="48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widowControl/>
        <w:spacing w:line="360" w:lineRule="auto"/>
        <w:ind w:left="15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widowControl/>
        <w:spacing w:line="360" w:lineRule="auto"/>
        <w:ind w:left="15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w:t>
      </w:r>
      <w:r>
        <w:rPr>
          <w:rFonts w:hint="eastAsia" w:ascii="宋体" w:hAnsi="宋体" w:cs="宋体"/>
          <w:color w:val="000000" w:themeColor="text1"/>
          <w:sz w:val="24"/>
          <w:lang w:eastAsia="zh-CN"/>
          <w14:textFill>
            <w14:solidFill>
              <w14:schemeClr w14:val="tx1"/>
            </w14:solidFill>
          </w14:textFill>
        </w:rPr>
        <w:t>交易</w:t>
      </w:r>
      <w:r>
        <w:rPr>
          <w:rFonts w:hint="eastAsia" w:ascii="宋体" w:hAnsi="宋体" w:cs="宋体"/>
          <w:color w:val="000000" w:themeColor="text1"/>
          <w:sz w:val="24"/>
          <w14:textFill>
            <w14:solidFill>
              <w14:schemeClr w14:val="tx1"/>
            </w14:solidFill>
          </w14:textFill>
        </w:rPr>
        <w:t>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者货物全部由符合政策要求的中小企业（或小微企业）制造</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 xml:space="preserve">，提供相应的中小企业声明函。 </w:t>
      </w: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要求以联合体形式参加的，提供联合协议和中小企业声明函，联合协议中中小企业合同金额应当达到招标公告载明的比例；如果供应商本身提供所有标的均由中小企业承接的，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w:t>
      </w:r>
      <w:r>
        <w:rPr>
          <w:rFonts w:hint="eastAsia" w:ascii="宋体" w:hAnsi="宋体" w:cs="宋体"/>
          <w:color w:val="000000" w:themeColor="text1"/>
          <w:sz w:val="24"/>
          <w:lang w:eastAsia="zh-CN"/>
          <w14:textFill>
            <w14:solidFill>
              <w14:schemeClr w14:val="tx1"/>
            </w14:solidFill>
          </w14:textFill>
        </w:rPr>
        <w:t>（附件</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和中小企业声明函，分包意向协议中中小企业合同金额应当达到招标公告载明的比例；如果供应商本身提供所有标的均由中小企业承接的，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rPr>
          <w:rFonts w:cs="仿宋_GB2312"/>
          <w:color w:val="000000" w:themeColor="text1"/>
          <w:highlight w:val="none"/>
          <w:lang w:val="zh-CN"/>
          <w14:textFill>
            <w14:solidFill>
              <w14:schemeClr w14:val="tx1"/>
            </w14:solidFill>
          </w14:textFill>
        </w:rPr>
      </w:pPr>
    </w:p>
    <w:p>
      <w:pPr>
        <w:spacing w:line="360" w:lineRule="auto"/>
        <w:jc w:val="center"/>
        <w:rPr>
          <w:rFonts w:hint="eastAsia" w:ascii="仿宋_GB2312" w:hAnsi="宋体" w:eastAsia="仿宋_GB2312"/>
          <w:b/>
          <w:color w:val="000000" w:themeColor="text1"/>
          <w:sz w:val="32"/>
          <w:szCs w:val="32"/>
          <w:highlight w:val="none"/>
          <w14:textFill>
            <w14:solidFill>
              <w14:schemeClr w14:val="tx1"/>
            </w14:solidFill>
          </w14:textFill>
        </w:rPr>
      </w:pPr>
    </w:p>
    <w:p>
      <w:pPr>
        <w:pStyle w:val="2"/>
        <w:rPr>
          <w:rFonts w:hint="eastAsia" w:ascii="仿宋_GB2312" w:hAnsi="宋体" w:eastAsia="仿宋_GB2312"/>
          <w:b/>
          <w:color w:val="000000" w:themeColor="text1"/>
          <w:sz w:val="32"/>
          <w:szCs w:val="32"/>
          <w:highlight w:val="none"/>
          <w14:textFill>
            <w14:solidFill>
              <w14:schemeClr w14:val="tx1"/>
            </w14:solidFill>
          </w14:textFill>
        </w:rPr>
      </w:pPr>
    </w:p>
    <w:p>
      <w:pPr>
        <w:rPr>
          <w:rFonts w:hint="eastAsia" w:ascii="仿宋_GB2312" w:hAnsi="宋体" w:eastAsia="仿宋_GB2312"/>
          <w:b/>
          <w:color w:val="000000" w:themeColor="text1"/>
          <w:sz w:val="32"/>
          <w:szCs w:val="32"/>
          <w:highlight w:val="none"/>
          <w14:textFill>
            <w14:solidFill>
              <w14:schemeClr w14:val="tx1"/>
            </w14:solidFill>
          </w14:textFill>
        </w:rPr>
      </w:pPr>
    </w:p>
    <w:p>
      <w:pPr>
        <w:pStyle w:val="2"/>
        <w:rPr>
          <w:rFonts w:hint="eastAsia" w:ascii="仿宋_GB2312" w:hAnsi="宋体" w:eastAsia="仿宋_GB2312"/>
          <w:b/>
          <w:color w:val="000000" w:themeColor="text1"/>
          <w:sz w:val="32"/>
          <w:szCs w:val="32"/>
          <w:highlight w:val="none"/>
          <w14:textFill>
            <w14:solidFill>
              <w14:schemeClr w14:val="tx1"/>
            </w14:solidFill>
          </w14:textFill>
        </w:rPr>
      </w:pPr>
    </w:p>
    <w:p>
      <w:pPr>
        <w:rPr>
          <w:rFonts w:hint="eastAsia" w:ascii="仿宋_GB2312" w:hAnsi="宋体" w:eastAsia="仿宋_GB2312"/>
          <w:b/>
          <w:color w:val="000000" w:themeColor="text1"/>
          <w:sz w:val="32"/>
          <w:szCs w:val="32"/>
          <w:highlight w:val="none"/>
          <w14:textFill>
            <w14:solidFill>
              <w14:schemeClr w14:val="tx1"/>
            </w14:solidFill>
          </w14:textFill>
        </w:rPr>
      </w:pPr>
    </w:p>
    <w:p>
      <w:pPr>
        <w:pStyle w:val="2"/>
        <w:rPr>
          <w:rFonts w:hint="eastAsia" w:ascii="仿宋_GB2312" w:hAnsi="宋体" w:eastAsia="仿宋_GB2312"/>
          <w:b/>
          <w:color w:val="000000" w:themeColor="text1"/>
          <w:sz w:val="32"/>
          <w:szCs w:val="32"/>
          <w:highlight w:val="none"/>
          <w14:textFill>
            <w14:solidFill>
              <w14:schemeClr w14:val="tx1"/>
            </w14:solidFill>
          </w14:textFill>
        </w:rPr>
      </w:pPr>
    </w:p>
    <w:p>
      <w:pPr>
        <w:rPr>
          <w:rFonts w:hint="eastAsia" w:ascii="仿宋_GB2312" w:hAnsi="宋体" w:eastAsia="仿宋_GB2312"/>
          <w:b/>
          <w:color w:val="000000" w:themeColor="text1"/>
          <w:sz w:val="32"/>
          <w:szCs w:val="32"/>
          <w:highlight w:val="none"/>
          <w14:textFill>
            <w14:solidFill>
              <w14:schemeClr w14:val="tx1"/>
            </w14:solidFill>
          </w14:textFill>
        </w:rPr>
      </w:pPr>
    </w:p>
    <w:p>
      <w:pPr>
        <w:pStyle w:val="2"/>
        <w:rPr>
          <w:rFonts w:hint="eastAsia" w:ascii="仿宋_GB2312" w:hAnsi="宋体" w:eastAsia="仿宋_GB2312"/>
          <w:b/>
          <w:color w:val="000000" w:themeColor="text1"/>
          <w:sz w:val="32"/>
          <w:szCs w:val="32"/>
          <w:highlight w:val="none"/>
          <w14:textFill>
            <w14:solidFill>
              <w14:schemeClr w14:val="tx1"/>
            </w14:solidFill>
          </w14:textFill>
        </w:rPr>
      </w:pPr>
    </w:p>
    <w:p>
      <w:pPr>
        <w:rPr>
          <w:rFonts w:hint="eastAsia" w:ascii="仿宋_GB2312" w:hAnsi="宋体" w:eastAsia="仿宋_GB2312"/>
          <w:b/>
          <w:color w:val="000000" w:themeColor="text1"/>
          <w:sz w:val="32"/>
          <w:szCs w:val="32"/>
          <w:highlight w:val="none"/>
          <w14:textFill>
            <w14:solidFill>
              <w14:schemeClr w14:val="tx1"/>
            </w14:solidFill>
          </w14:textFill>
        </w:rPr>
      </w:pPr>
    </w:p>
    <w:p>
      <w:pPr>
        <w:pStyle w:val="2"/>
        <w:rPr>
          <w:rFonts w:hint="eastAsia" w:ascii="仿宋_GB2312" w:hAnsi="宋体" w:eastAsia="仿宋_GB2312"/>
          <w:b/>
          <w:color w:val="000000" w:themeColor="text1"/>
          <w:sz w:val="32"/>
          <w:szCs w:val="32"/>
          <w:highlight w:val="none"/>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jc w:val="center"/>
        <w:rPr>
          <w:rFonts w:hint="eastAsia" w:ascii="仿宋_GB2312" w:hAnsi="宋体" w:eastAsia="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宋体" w:eastAsia="仿宋_GB2312"/>
          <w:b/>
          <w:color w:val="000000" w:themeColor="text1"/>
          <w:sz w:val="32"/>
          <w:szCs w:val="32"/>
          <w:highlight w:val="non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2020</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 xml:space="preserve">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pPr>
        <w:snapToGrid w:val="0"/>
        <w:spacing w:line="360" w:lineRule="auto"/>
        <w:ind w:firstLine="4515" w:firstLineChars="215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响应人名称</w:t>
      </w:r>
      <w:r>
        <w:rPr>
          <w:rFonts w:ascii="仿宋_GB2312" w:eastAsia="仿宋_GB2312" w:cs="仿宋_GB2312"/>
          <w:color w:val="000000" w:themeColor="text1"/>
          <w:highlight w:val="none"/>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w:t>
      </w: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pPr>
        <w:spacing w:line="360" w:lineRule="auto"/>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2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注：1、填写要求：①“</w:t>
      </w:r>
      <w:r>
        <w:rPr>
          <w:rFonts w:hint="eastAsia" w:ascii="仿宋_GB2312" w:hAnsi="宋体" w:eastAsia="仿宋_GB2312"/>
          <w:color w:val="000000" w:themeColor="text1"/>
          <w:highlight w:val="none"/>
          <w14:textFill>
            <w14:solidFill>
              <w14:schemeClr w14:val="tx1"/>
            </w14:solidFill>
          </w14:textFill>
        </w:rPr>
        <w:t>标的名称”、“</w:t>
      </w:r>
      <w:r>
        <w:rPr>
          <w:rFonts w:hint="eastAsia" w:ascii="仿宋_GB2312" w:hAnsi="宋体" w:eastAsia="仿宋_GB2312"/>
          <w:color w:val="000000" w:themeColor="text1"/>
          <w:highlight w:val="none"/>
          <w:lang w:eastAsia="zh-CN"/>
          <w14:textFill>
            <w14:solidFill>
              <w14:schemeClr w14:val="tx1"/>
            </w14:solidFill>
          </w14:textFill>
        </w:rPr>
        <w:t>交易文件</w:t>
      </w:r>
      <w:r>
        <w:rPr>
          <w:rFonts w:hint="eastAsia" w:ascii="仿宋_GB2312" w:hAnsi="宋体" w:eastAsia="仿宋_GB2312"/>
          <w:color w:val="000000" w:themeColor="text1"/>
          <w:highlight w:val="none"/>
          <w14:textFill>
            <w14:solidFill>
              <w14:schemeClr w14:val="tx1"/>
            </w14:solidFill>
          </w14:textFill>
        </w:rPr>
        <w:t>中明确的所属行业”</w:t>
      </w:r>
      <w:r>
        <w:rPr>
          <w:rFonts w:hint="eastAsia" w:ascii="仿宋_GB2312" w:eastAsia="仿宋_GB2312" w:cs="仿宋_GB2312"/>
          <w:color w:val="000000" w:themeColor="text1"/>
          <w:highlight w:val="none"/>
          <w14:textFill>
            <w14:solidFill>
              <w14:schemeClr w14:val="tx1"/>
            </w14:solidFill>
          </w14:textFill>
        </w:rPr>
        <w:t>依据</w:t>
      </w:r>
      <w:r>
        <w:rPr>
          <w:rFonts w:hint="eastAsia" w:ascii="仿宋_GB2312" w:eastAsia="仿宋_GB2312" w:cs="仿宋_GB2312"/>
          <w:color w:val="000000" w:themeColor="text1"/>
          <w:highlight w:val="none"/>
          <w:lang w:eastAsia="zh-CN"/>
          <w14:textFill>
            <w14:solidFill>
              <w14:schemeClr w14:val="tx1"/>
            </w14:solidFill>
          </w14:textFill>
        </w:rPr>
        <w:t>交易文件</w:t>
      </w:r>
      <w:r>
        <w:rPr>
          <w:rFonts w:hint="eastAsia" w:ascii="仿宋_GB2312" w:eastAsia="仿宋_GB2312" w:cs="仿宋_GB2312"/>
          <w:color w:val="000000" w:themeColor="text1"/>
          <w:highlight w:val="none"/>
          <w14:textFill>
            <w14:solidFill>
              <w14:schemeClr w14:val="tx1"/>
            </w14:solidFill>
          </w14:textFill>
        </w:rPr>
        <w:t>第二部分</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hint="eastAsia" w:ascii="仿宋_GB2312" w:eastAsia="仿宋_GB2312" w:cs="仿宋_GB2312"/>
          <w:color w:val="000000" w:themeColor="text1"/>
          <w:highlight w:val="none"/>
          <w14:textFill>
            <w14:solidFill>
              <w14:schemeClr w14:val="tx1"/>
            </w14:solidFill>
          </w14:textFill>
        </w:rPr>
        <w:t>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lang w:eastAsia="zh-CN"/>
          <w14:textFill>
            <w14:solidFill>
              <w14:schemeClr w14:val="tx1"/>
            </w14:solidFill>
          </w14:textFill>
        </w:rPr>
        <w:t>响应人</w:t>
      </w:r>
      <w:r>
        <w:rPr>
          <w:rFonts w:hint="eastAsia" w:ascii="仿宋_GB2312" w:eastAsia="仿宋_GB2312"/>
          <w:color w:val="000000" w:themeColor="text1"/>
          <w:highlight w:val="none"/>
          <w14:textFill>
            <w14:solidFill>
              <w14:schemeClr w14:val="tx1"/>
            </w14:solidFill>
          </w14:textFill>
        </w:rPr>
        <w:t>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2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ascii="仿宋_GB2312" w:eastAsia="仿宋_GB2312" w:cs="仿宋_GB2312"/>
          <w:color w:val="000000" w:themeColor="text1"/>
          <w:highlight w:val="none"/>
          <w14:textFill>
            <w14:solidFill>
              <w14:schemeClr w14:val="tx1"/>
            </w14:solidFill>
          </w14:textFill>
        </w:rPr>
        <w:t>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000000" w:themeColor="text1"/>
          <w:sz w:val="32"/>
          <w:szCs w:val="32"/>
          <w:highlight w:val="none"/>
          <w14:textFill>
            <w14:solidFill>
              <w14:schemeClr w14:val="tx1"/>
            </w14:solidFill>
          </w14:textFill>
        </w:rPr>
      </w:pPr>
      <w:r>
        <w:rPr>
          <w:rFonts w:ascii="仿宋_GB2312" w:eastAsia="仿宋_GB2312" w:cs="仿宋_GB2312"/>
          <w:b/>
          <w:color w:val="000000" w:themeColor="text1"/>
          <w:sz w:val="32"/>
          <w:szCs w:val="32"/>
          <w:highlight w:val="none"/>
          <w14:textFill>
            <w14:solidFill>
              <w14:schemeClr w14:val="tx1"/>
            </w14:solidFill>
          </w14:textFill>
        </w:rPr>
        <w:br w:type="page"/>
      </w:r>
    </w:p>
    <w:p>
      <w:pPr>
        <w:spacing w:line="360" w:lineRule="auto"/>
        <w:jc w:val="center"/>
        <w:rPr>
          <w:rFonts w:hint="eastAsia" w:ascii="仿宋_GB2312"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pPr>
        <w:spacing w:line="360" w:lineRule="auto"/>
        <w:rPr>
          <w:rFonts w:ascii="仿宋_GB2312" w:eastAsia="仿宋_GB2312"/>
          <w:color w:val="000000" w:themeColor="text1"/>
          <w:highlight w:val="none"/>
          <w14:textFill>
            <w14:solidFill>
              <w14:schemeClr w14:val="tx1"/>
            </w14:solidFill>
          </w14:textFill>
        </w:rPr>
      </w:pPr>
    </w:p>
    <w:p>
      <w:pPr>
        <w:spacing w:line="360" w:lineRule="auto"/>
        <w:ind w:firstLine="315" w:firstLineChars="15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highlight w:val="none"/>
          <w14:textFill>
            <w14:solidFill>
              <w14:schemeClr w14:val="tx1"/>
            </w14:solidFill>
          </w14:textFill>
        </w:rPr>
        <w:t xml:space="preserve">2020﹞46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w:t>
      </w:r>
      <w:r>
        <w:rPr>
          <w:rFonts w:hint="eastAsia" w:ascii="仿宋_GB2312" w:hAnsi="宋体" w:eastAsia="仿宋_GB2312"/>
          <w:color w:val="000000" w:themeColor="text1"/>
          <w:highlight w:val="none"/>
          <w:u w:val="single"/>
          <w:lang w:eastAsia="zh-CN"/>
          <w14:textFill>
            <w14:solidFill>
              <w14:schemeClr w14:val="tx1"/>
            </w14:solidFill>
          </w14:textFill>
        </w:rPr>
        <w:t>交易文件</w:t>
      </w:r>
      <w:r>
        <w:rPr>
          <w:rFonts w:hint="eastAsia" w:ascii="仿宋_GB2312" w:hAnsi="宋体" w:eastAsia="仿宋_GB2312"/>
          <w:color w:val="000000" w:themeColor="text1"/>
          <w:highlight w:val="none"/>
          <w:u w:val="single"/>
          <w14:textFill>
            <w14:solidFill>
              <w14:schemeClr w14:val="tx1"/>
            </w14:solidFill>
          </w14:textFill>
        </w:rPr>
        <w:t>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2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eastAsia="zh-CN"/>
          <w14:textFill>
            <w14:solidFill>
              <w14:schemeClr w14:val="tx1"/>
            </w14:solidFill>
          </w14:textFill>
        </w:rPr>
        <w:t>响应</w:t>
      </w:r>
      <w:r>
        <w:rPr>
          <w:rFonts w:hint="eastAsia" w:ascii="仿宋_GB2312" w:eastAsia="仿宋_GB2312" w:cs="仿宋_GB2312"/>
          <w:color w:val="000000" w:themeColor="text1"/>
          <w:highlight w:val="none"/>
          <w14:textFill>
            <w14:solidFill>
              <w14:schemeClr w14:val="tx1"/>
            </w14:solidFill>
          </w14:textFill>
        </w:rPr>
        <w:t>人</w:t>
      </w:r>
      <w:r>
        <w:rPr>
          <w:rFonts w:hint="eastAsia" w:ascii="仿宋_GB2312" w:hAnsi="宋体" w:eastAsia="仿宋_GB2312"/>
          <w:color w:val="000000" w:themeColor="text1"/>
          <w:highlight w:val="none"/>
          <w14:textFill>
            <w14:solidFill>
              <w14:schemeClr w14:val="tx1"/>
            </w14:solidFill>
          </w14:textFill>
        </w:rPr>
        <w:t>名称（</w:t>
      </w:r>
      <w:r>
        <w:rPr>
          <w:rFonts w:hint="eastAsia" w:ascii="仿宋_GB2312" w:eastAsia="仿宋_GB2312" w:cs="仿宋_GB2312"/>
          <w:color w:val="000000" w:themeColor="text1"/>
          <w:highlight w:val="none"/>
          <w14:textFill>
            <w14:solidFill>
              <w14:schemeClr w14:val="tx1"/>
            </w14:solidFill>
          </w14:textFill>
        </w:rPr>
        <w:t>电子签名</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right="1120" w:firstLine="4725" w:firstLineChars="2250"/>
        <w:rPr>
          <w:rFonts w:hint="default" w:ascii="仿宋_GB2312" w:hAnsi="宋体" w:eastAsia="仿宋_GB2312"/>
          <w:color w:val="000000" w:themeColor="text1"/>
          <w:highlight w:val="none"/>
          <w:lang w:val="en-US" w:eastAsia="zh-CN"/>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日</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期：</w:t>
      </w:r>
      <w:r>
        <w:rPr>
          <w:rFonts w:hint="eastAsia" w:ascii="仿宋_GB2312" w:hAnsi="宋体" w:eastAsia="仿宋_GB2312"/>
          <w:color w:val="000000" w:themeColor="text1"/>
          <w:highlight w:val="none"/>
          <w:lang w:val="en-US" w:eastAsia="zh-CN"/>
          <w14:textFill>
            <w14:solidFill>
              <w14:schemeClr w14:val="tx1"/>
            </w14:solidFill>
          </w14:textFill>
        </w:rPr>
        <w:t xml:space="preserve">   </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pPr>
        <w:spacing w:line="360" w:lineRule="auto"/>
        <w:ind w:right="420"/>
        <w:rPr>
          <w:rFonts w:ascii="仿宋_GB2312" w:eastAsia="仿宋_GB2312" w:cs="仿宋_GB2312"/>
          <w:color w:val="000000" w:themeColor="text1"/>
          <w:highlight w:val="none"/>
          <w14:textFill>
            <w14:solidFill>
              <w14:schemeClr w14:val="tx1"/>
            </w14:solidFill>
          </w14:textFill>
        </w:rPr>
      </w:pPr>
    </w:p>
    <w:p>
      <w:pPr>
        <w:spacing w:line="360" w:lineRule="auto"/>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2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注：1、填写要求：①“</w:t>
      </w:r>
      <w:r>
        <w:rPr>
          <w:rFonts w:hint="eastAsia" w:ascii="仿宋_GB2312" w:hAnsi="宋体" w:eastAsia="仿宋_GB2312"/>
          <w:color w:val="000000" w:themeColor="text1"/>
          <w:highlight w:val="none"/>
          <w14:textFill>
            <w14:solidFill>
              <w14:schemeClr w14:val="tx1"/>
            </w14:solidFill>
          </w14:textFill>
        </w:rPr>
        <w:t>标的名称”、“</w:t>
      </w:r>
      <w:r>
        <w:rPr>
          <w:rFonts w:hint="eastAsia" w:ascii="仿宋_GB2312" w:hAnsi="宋体" w:eastAsia="仿宋_GB2312"/>
          <w:color w:val="000000" w:themeColor="text1"/>
          <w:highlight w:val="none"/>
          <w:lang w:eastAsia="zh-CN"/>
          <w14:textFill>
            <w14:solidFill>
              <w14:schemeClr w14:val="tx1"/>
            </w14:solidFill>
          </w14:textFill>
        </w:rPr>
        <w:t>交易文件</w:t>
      </w:r>
      <w:r>
        <w:rPr>
          <w:rFonts w:hint="eastAsia" w:ascii="仿宋_GB2312" w:hAnsi="宋体" w:eastAsia="仿宋_GB2312"/>
          <w:color w:val="000000" w:themeColor="text1"/>
          <w:highlight w:val="none"/>
          <w14:textFill>
            <w14:solidFill>
              <w14:schemeClr w14:val="tx1"/>
            </w14:solidFill>
          </w14:textFill>
        </w:rPr>
        <w:t>中明确的所属行业”</w:t>
      </w:r>
      <w:r>
        <w:rPr>
          <w:rFonts w:hint="eastAsia" w:ascii="仿宋_GB2312" w:eastAsia="仿宋_GB2312" w:cs="仿宋_GB2312"/>
          <w:color w:val="000000" w:themeColor="text1"/>
          <w:highlight w:val="none"/>
          <w14:textFill>
            <w14:solidFill>
              <w14:schemeClr w14:val="tx1"/>
            </w14:solidFill>
          </w14:textFill>
        </w:rPr>
        <w:t>依据</w:t>
      </w:r>
      <w:r>
        <w:rPr>
          <w:rFonts w:hint="eastAsia" w:ascii="仿宋_GB2312" w:eastAsia="仿宋_GB2312" w:cs="仿宋_GB2312"/>
          <w:color w:val="000000" w:themeColor="text1"/>
          <w:highlight w:val="none"/>
          <w:lang w:eastAsia="zh-CN"/>
          <w14:textFill>
            <w14:solidFill>
              <w14:schemeClr w14:val="tx1"/>
            </w14:solidFill>
          </w14:textFill>
        </w:rPr>
        <w:t>交易文件</w:t>
      </w:r>
      <w:r>
        <w:rPr>
          <w:rFonts w:hint="eastAsia" w:ascii="仿宋_GB2312" w:eastAsia="仿宋_GB2312" w:cs="仿宋_GB2312"/>
          <w:color w:val="000000" w:themeColor="text1"/>
          <w:highlight w:val="none"/>
          <w14:textFill>
            <w14:solidFill>
              <w14:schemeClr w14:val="tx1"/>
            </w14:solidFill>
          </w14:textFill>
        </w:rPr>
        <w:t>第二部分</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hint="eastAsia" w:ascii="仿宋_GB2312" w:eastAsia="仿宋_GB2312" w:cs="仿宋_GB2312"/>
          <w:color w:val="000000" w:themeColor="text1"/>
          <w:highlight w:val="none"/>
          <w14:textFill>
            <w14:solidFill>
              <w14:schemeClr w14:val="tx1"/>
            </w14:solidFill>
          </w14:textFill>
        </w:rPr>
        <w:t>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lang w:eastAsia="zh-CN"/>
          <w14:textFill>
            <w14:solidFill>
              <w14:schemeClr w14:val="tx1"/>
            </w14:solidFill>
          </w14:textFill>
        </w:rPr>
        <w:t>响应人</w:t>
      </w:r>
      <w:r>
        <w:rPr>
          <w:rFonts w:hint="eastAsia" w:ascii="仿宋_GB2312" w:eastAsia="仿宋_GB2312"/>
          <w:color w:val="000000" w:themeColor="text1"/>
          <w:highlight w:val="none"/>
          <w14:textFill>
            <w14:solidFill>
              <w14:schemeClr w14:val="tx1"/>
            </w14:solidFill>
          </w14:textFill>
        </w:rPr>
        <w:t>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2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_GB2312" w:eastAsia="仿宋_GB2312" w:cs="仿宋_GB2312"/>
          <w:color w:val="000000" w:themeColor="text1"/>
          <w:highlight w:val="none"/>
          <w:lang w:eastAsia="zh-CN"/>
          <w14:textFill>
            <w14:solidFill>
              <w14:schemeClr w14:val="tx1"/>
            </w14:solidFill>
          </w14:textFill>
        </w:rPr>
        <w:t>响应人</w:t>
      </w:r>
      <w:r>
        <w:rPr>
          <w:rFonts w:ascii="仿宋_GB2312" w:eastAsia="仿宋_GB2312" w:cs="仿宋_GB2312"/>
          <w:color w:val="000000" w:themeColor="text1"/>
          <w:highlight w:val="none"/>
          <w14:textFill>
            <w14:solidFill>
              <w14:schemeClr w14:val="tx1"/>
            </w14:solidFill>
          </w14:textFill>
        </w:rPr>
        <w:t>提供由省级以上监狱管理局、戒毒管理局（含新疆生产建设兵团）出具的属于监狱企业证明文件的，视同为小型和微型企业。</w:t>
      </w:r>
    </w:p>
    <w:p>
      <w:pPr>
        <w:pStyle w:val="2"/>
        <w:rPr>
          <w:rFonts w:cs="仿宋_GB2312"/>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spacing w:line="360" w:lineRule="auto"/>
        <w:jc w:val="center"/>
        <w:rPr>
          <w:rFonts w:ascii="仿宋_GB2312" w:eastAsia="仿宋_GB2312"/>
          <w:b/>
          <w:color w:val="000000" w:themeColor="text1"/>
          <w:spacing w:val="6"/>
          <w:sz w:val="32"/>
          <w:szCs w:val="32"/>
          <w14:textFill>
            <w14:solidFill>
              <w14:schemeClr w14:val="tx1"/>
            </w14:solidFill>
          </w14:textFill>
        </w:rPr>
      </w:pPr>
      <w:bookmarkStart w:id="389" w:name="OLE_LINK14"/>
      <w:bookmarkStart w:id="390" w:name="OLE_LINK13"/>
    </w:p>
    <w:p>
      <w:pPr>
        <w:spacing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bookmarkEnd w:id="389"/>
    <w:bookmarkEnd w:id="390"/>
    <w:p>
      <w:pPr>
        <w:spacing w:line="360" w:lineRule="auto"/>
        <w:rPr>
          <w:rFonts w:ascii="仿宋_GB2312" w:eastAsia="仿宋_GB2312"/>
          <w:b/>
          <w:color w:val="000000" w:themeColor="text1"/>
          <w:spacing w:val="6"/>
          <w:sz w:val="30"/>
          <w:szCs w:val="30"/>
          <w14:textFill>
            <w14:solidFill>
              <w14:schemeClr w14:val="tx1"/>
            </w14:solidFill>
          </w14:textFill>
        </w:rPr>
      </w:pPr>
    </w:p>
    <w:p>
      <w:pPr>
        <w:pStyle w:val="13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民政部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中国残疾人联合会关于促进残疾人就业政府采购政策的通知》（财库〔</w:t>
      </w:r>
      <w:r>
        <w:rPr>
          <w:color w:val="000000" w:themeColor="text1"/>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3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本单位对上述声明的真实性负责。如有虚假，将依法承担相应责任。</w:t>
      </w:r>
    </w:p>
    <w:p>
      <w:pPr>
        <w:pStyle w:val="139"/>
        <w:ind w:firstLine="480"/>
        <w:rPr>
          <w:color w:val="000000" w:themeColor="text1"/>
          <w14:textFill>
            <w14:solidFill>
              <w14:schemeClr w14:val="tx1"/>
            </w14:solidFill>
          </w14:textFill>
        </w:rPr>
      </w:pPr>
    </w:p>
    <w:p>
      <w:pPr>
        <w:pStyle w:val="139"/>
        <w:ind w:firstLine="480"/>
        <w:rPr>
          <w:color w:val="000000" w:themeColor="text1"/>
          <w14:textFill>
            <w14:solidFill>
              <w14:schemeClr w14:val="tx1"/>
            </w14:solidFill>
          </w14:textFill>
        </w:rPr>
      </w:pPr>
    </w:p>
    <w:p>
      <w:pPr>
        <w:pStyle w:val="139"/>
        <w:ind w:firstLine="48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响应人名称（电子签名）：</w:t>
      </w:r>
    </w:p>
    <w:p>
      <w:pPr>
        <w:pStyle w:val="139"/>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日  期：</w:t>
      </w:r>
    </w:p>
    <w:p>
      <w:pPr>
        <w:pStyle w:val="2"/>
        <w:rPr>
          <w:rFonts w:cs="仿宋_GB2312"/>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pStyle w:val="2"/>
        <w:rPr>
          <w:rFonts w:cs="仿宋_GB2312"/>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pStyle w:val="2"/>
        <w:rPr>
          <w:rFonts w:cs="仿宋_GB2312"/>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rFonts w:ascii="仿宋_GB2312" w:eastAsia="仿宋_GB2312" w:cs="仿宋_GB2312"/>
          <w:color w:val="000000" w:themeColor="text1"/>
          <w14:textFill>
            <w14:solidFill>
              <w14:schemeClr w14:val="tx1"/>
            </w14:solidFill>
          </w14:textFill>
        </w:rPr>
      </w:pPr>
    </w:p>
    <w:p>
      <w:pPr>
        <w:widowControl/>
        <w:spacing w:line="360" w:lineRule="auto"/>
        <w:ind w:left="15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四、本项目的特定资格要求</w:t>
      </w:r>
    </w:p>
    <w:p>
      <w:pPr>
        <w:pStyle w:val="2"/>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（根据交易公告本项目的特定资格要求提供相应的材料；未要求的，无需提供）</w:t>
      </w:r>
    </w:p>
    <w:p>
      <w:pPr>
        <w:rPr>
          <w:color w:val="000000" w:themeColor="text1"/>
          <w14:textFill>
            <w14:solidFill>
              <w14:schemeClr w14:val="tx1"/>
            </w14:solidFill>
          </w14:textFill>
        </w:rPr>
      </w:pPr>
    </w:p>
    <w:p>
      <w:pPr>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pacing w:line="360" w:lineRule="auto"/>
        <w:ind w:right="420"/>
        <w:jc w:val="center"/>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pacing w:line="360" w:lineRule="auto"/>
        <w:ind w:right="420"/>
        <w:jc w:val="center"/>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pacing w:line="360" w:lineRule="auto"/>
        <w:ind w:right="420"/>
        <w:jc w:val="center"/>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Theme="minorEastAsia" w:hAnsiTheme="minorEastAsia" w:eastAsiaTheme="minorEastAsia" w:cstheme="minorEastAsia"/>
          <w:b/>
          <w:color w:val="000000" w:themeColor="text1"/>
          <w:kern w:val="0"/>
          <w:sz w:val="24"/>
          <w14:textFill>
            <w14:solidFill>
              <w14:schemeClr w14:val="tx1"/>
            </w14:solidFill>
          </w14:textFill>
        </w:rPr>
      </w:pPr>
    </w:p>
    <w:p>
      <w:pPr>
        <w:spacing w:line="360" w:lineRule="auto"/>
        <w:jc w:val="center"/>
        <w:outlineLvl w:val="0"/>
        <w:rPr>
          <w:rFonts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目录</w:t>
      </w:r>
    </w:p>
    <w:p>
      <w:pPr>
        <w:snapToGrid w:val="0"/>
        <w:spacing w:line="360" w:lineRule="auto"/>
        <w:ind w:left="479" w:leftChars="228"/>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（1）交易函</w:t>
      </w:r>
      <w:r>
        <w:rPr>
          <w:rFonts w:hint="eastAsia" w:asciiTheme="minorEastAsia" w:hAnsiTheme="minorEastAsia" w:eastAsiaTheme="minorEastAsia" w:cstheme="minorEastAsia"/>
          <w:color w:val="000000" w:themeColor="text1"/>
          <w14:textFill>
            <w14:solidFill>
              <w14:schemeClr w14:val="tx1"/>
            </w14:solidFill>
          </w14:textFill>
        </w:rPr>
        <w:t>…………………………………………………………………………………（页码）</w:t>
      </w:r>
      <w:r>
        <w:rPr>
          <w:rFonts w:hint="eastAsia" w:asciiTheme="minorEastAsia" w:hAnsiTheme="minorEastAsia" w:eastAsiaTheme="minorEastAsia" w:cstheme="minorEastAsia"/>
          <w:color w:val="000000" w:themeColor="text1"/>
          <w:sz w:val="24"/>
          <w14:textFill>
            <w14:solidFill>
              <w14:schemeClr w14:val="tx1"/>
            </w14:solidFill>
          </w14:textFill>
        </w:rPr>
        <w:t>（2）授权委托书或法定代表人（单位负责人、自然人本人）身份证明</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ind w:firstLine="480" w:firstLineChars="200"/>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（3）营业执照</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ind w:firstLine="480" w:firstLineChars="200"/>
        <w:jc w:val="distribut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（4）符合性审查资料</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ind w:firstLine="480" w:firstLineChars="200"/>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（5）评审标准相应的商务技术资料</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ind w:firstLine="480" w:firstLineChars="200"/>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（6）商务技术偏离表</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ind w:left="479" w:leftChars="228"/>
        <w:jc w:val="distribute"/>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lang w:val="zh-CN"/>
          <w14:textFill>
            <w14:solidFill>
              <w14:schemeClr w14:val="tx1"/>
            </w14:solidFill>
          </w14:textFill>
        </w:rPr>
        <w:t>响应人廉洁自律承诺书</w:t>
      </w:r>
      <w:r>
        <w:rPr>
          <w:rFonts w:hint="eastAsia" w:asciiTheme="minorEastAsia" w:hAnsiTheme="minorEastAsia" w:eastAsiaTheme="minorEastAsia" w:cstheme="minorEastAsia"/>
          <w:color w:val="000000" w:themeColor="text1"/>
          <w14:textFill>
            <w14:solidFill>
              <w14:schemeClr w14:val="tx1"/>
            </w14:solidFill>
          </w14:textFill>
        </w:rPr>
        <w:t>……………………………………………………………（页码）</w:t>
      </w:r>
    </w:p>
    <w:p>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napToGrid w:val="0"/>
        <w:spacing w:line="360" w:lineRule="auto"/>
        <w:jc w:val="center"/>
        <w:outlineLvl w:val="0"/>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br w:type="page"/>
      </w:r>
    </w:p>
    <w:p>
      <w:pPr>
        <w:snapToGrid w:val="0"/>
        <w:spacing w:line="360" w:lineRule="auto"/>
        <w:jc w:val="center"/>
        <w:outlineLvl w:val="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一、交易函</w:t>
      </w:r>
    </w:p>
    <w:p>
      <w:pPr>
        <w:snapToGrid w:val="0"/>
        <w:spacing w:line="360" w:lineRule="auto"/>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p>
    <w:p>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我方参加你方组织的</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（项目名称）【交易编号：】</w:t>
      </w:r>
      <w:r>
        <w:rPr>
          <w:rFonts w:hint="eastAsia" w:asciiTheme="minorEastAsia" w:hAnsiTheme="minorEastAsia" w:eastAsiaTheme="minorEastAsia" w:cstheme="minorEastAsia"/>
          <w:color w:val="000000" w:themeColor="text1"/>
          <w:sz w:val="24"/>
          <w14:textFill>
            <w14:solidFill>
              <w14:schemeClr w14:val="tx1"/>
            </w14:solidFill>
          </w14:textFill>
        </w:rPr>
        <w:t>招标的有关活动，并对此项目进行投标。为此：</w:t>
      </w:r>
    </w:p>
    <w:p>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1、我方承诺交易有效期从提交响应文件的截止之日起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天（不少于90天）</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本响应文件在交易有效期满之前均具有约束力。</w:t>
      </w:r>
    </w:p>
    <w:p>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2、我方的响应文件包括以下内容：</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2.1资格文件：</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2.1.1承诺函；</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2.1.2本项目的特定资格要求（如果有）。</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2商务技术</w:t>
      </w:r>
      <w:r>
        <w:rPr>
          <w:rFonts w:hint="eastAsia" w:asciiTheme="minorEastAsia" w:hAnsiTheme="minorEastAsia" w:eastAsiaTheme="minorEastAsia" w:cstheme="minorEastAsia"/>
          <w:color w:val="000000" w:themeColor="text1"/>
          <w:sz w:val="24"/>
          <w:lang w:val="zh-CN"/>
          <w14:textFill>
            <w14:solidFill>
              <w14:schemeClr w14:val="tx1"/>
            </w14:solidFill>
          </w14:textFill>
        </w:rPr>
        <w:t>文件：</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2.2.1交易函；</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2.2.2授权委托书或法定代表人（单位负责人）身份证明；</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2.2.3营业执照；</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2.2.4符合性审查资料；</w:t>
      </w:r>
    </w:p>
    <w:p>
      <w:pPr>
        <w:snapToGrid w:val="0"/>
        <w:spacing w:line="440" w:lineRule="exact"/>
        <w:ind w:left="420" w:leftChars="200"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2.2.5评审标准相应的商务技术资料；</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2.2.6商务技术偏离表；</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2.2.7</w:t>
      </w:r>
      <w:r>
        <w:rPr>
          <w:rFonts w:hint="eastAsia" w:asciiTheme="minorEastAsia" w:hAnsiTheme="minorEastAsia" w:eastAsiaTheme="minorEastAsia" w:cstheme="minorEastAsia"/>
          <w:color w:val="000000" w:themeColor="text1"/>
          <w:sz w:val="24"/>
          <w:lang w:val="zh-CN"/>
          <w14:textFill>
            <w14:solidFill>
              <w14:schemeClr w14:val="tx1"/>
            </w14:solidFill>
          </w14:textFill>
        </w:rPr>
        <w:t>响应人廉洁自律承诺书。</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3报价文件</w:t>
      </w:r>
    </w:p>
    <w:p>
      <w:pPr>
        <w:snapToGrid w:val="0"/>
        <w:spacing w:line="440" w:lineRule="exact"/>
        <w:ind w:left="420" w:leftChars="2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2.3.1交易一览表（报价表）。</w:t>
      </w:r>
    </w:p>
    <w:p>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3、我方承诺除商务技术偏离表列出的偏离外，我方响应交易文件的全部要求。</w:t>
      </w:r>
    </w:p>
    <w:p>
      <w:pPr>
        <w:snapToGrid w:val="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4、如我方成交，我方承诺：</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4.1在收到成交通知书后，在成交通知书规定的期限内与你方签订合同； </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4.2在签订合同时不向你方提出附加条件； </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4.3按照交易文件要求提交履约保证金； </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4.4在合同约定的期限内完成合同规定的全部义务。 </w:t>
      </w:r>
    </w:p>
    <w:p>
      <w:pPr>
        <w:snapToGrid w:val="0"/>
        <w:spacing w:line="440" w:lineRule="exact"/>
        <w:ind w:left="210" w:leftChars="1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5、其他补充说明:</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pacing w:line="440" w:lineRule="exact"/>
        <w:ind w:firstLine="3600" w:firstLineChars="15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响应人名称（电子签名）：                          </w:t>
      </w:r>
    </w:p>
    <w:p>
      <w:pPr>
        <w:spacing w:line="440" w:lineRule="exact"/>
        <w:jc w:val="center"/>
        <w:rPr>
          <w:rFonts w:asciiTheme="minorEastAsia" w:hAnsiTheme="minorEastAsia" w:eastAsiaTheme="minorEastAsia" w:cstheme="minorEastAsia"/>
          <w:color w:val="000000" w:themeColor="text1"/>
          <w:kern w:val="0"/>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日期：  年   月   日</w:t>
      </w:r>
    </w:p>
    <w:p>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pPr>
        <w:pStyle w:val="24"/>
        <w:rPr>
          <w:rFonts w:asciiTheme="minorEastAsia" w:hAnsiTheme="minorEastAsia" w:eastAsiaTheme="minorEastAsia" w:cstheme="minorEastAsia"/>
          <w:color w:val="000000" w:themeColor="text1"/>
          <w:lang w:val="en-US"/>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授权委托书</w:t>
      </w: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snapToGrid w:val="0"/>
        <w:spacing w:line="360" w:lineRule="auto"/>
        <w:ind w:firstLine="576"/>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现</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委托（姓名）为我方代理人（身份证号码：</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，手机：</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），以我方名义处理</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（项目名称）【交易编号：】</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交易项目的一切事项，其法律后果由我方承担。</w:t>
      </w: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委托期限</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自</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日起至</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日止。</w:t>
      </w: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特此告知。</w:t>
      </w: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响应人名称(电子签名)：</w:t>
      </w:r>
    </w:p>
    <w:p>
      <w:pPr>
        <w:snapToGrid w:val="0"/>
        <w:spacing w:line="360" w:lineRule="auto"/>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autoSpaceDE w:val="0"/>
        <w:autoSpaceDN w:val="0"/>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法定代表人、单位负责人或自然人本人</w:t>
      </w:r>
      <w:r>
        <w:rPr>
          <w:rFonts w:hint="eastAsia" w:asciiTheme="minorEastAsia" w:hAnsiTheme="minorEastAsia" w:eastAsiaTheme="minorEastAsia" w:cstheme="minorEastAsia"/>
          <w:b/>
          <w:color w:val="000000" w:themeColor="text1"/>
          <w:sz w:val="30"/>
          <w:szCs w:val="30"/>
          <w14:textFill>
            <w14:solidFill>
              <w14:schemeClr w14:val="tx1"/>
            </w14:solidFill>
          </w14:textFill>
        </w:rPr>
        <w:t>的身份证明（适用于法定代表人、单位负责人或者自然人本人代表响应人参加投标）</w:t>
      </w:r>
    </w:p>
    <w:p>
      <w:pPr>
        <w:pStyle w:val="157"/>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7"/>
              <w:adjustRightIn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正面：                                 反面：</w:t>
            </w:r>
          </w:p>
          <w:p>
            <w:pPr>
              <w:pStyle w:val="157"/>
              <w:adjustRightIn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p>
        </w:tc>
      </w:tr>
    </w:tbl>
    <w:p>
      <w:pPr>
        <w:snapToGrid w:val="0"/>
        <w:spacing w:line="360" w:lineRule="auto"/>
        <w:ind w:firstLine="576"/>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76"/>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响应人名称(电子签名)：                              </w:t>
      </w:r>
    </w:p>
    <w:p>
      <w:pPr>
        <w:spacing w:line="360" w:lineRule="auto"/>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日期：  年  月  日</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br w:type="page"/>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三、营业执照</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7"/>
              <w:adjustRightInd w:val="0"/>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p>
        </w:tc>
      </w:tr>
    </w:tbl>
    <w:p>
      <w:pPr>
        <w:snapToGrid w:val="0"/>
        <w:spacing w:line="360" w:lineRule="auto"/>
        <w:ind w:firstLine="576"/>
        <w:jc w:val="center"/>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76"/>
        <w:jc w:val="right"/>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snapToGrid w:val="0"/>
        <w:spacing w:line="360" w:lineRule="auto"/>
        <w:ind w:firstLine="576"/>
        <w:jc w:val="righ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响应人名称(电子签名)：                              </w:t>
      </w:r>
    </w:p>
    <w:p>
      <w:pPr>
        <w:spacing w:line="360" w:lineRule="auto"/>
        <w:jc w:val="righ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  年  月  日</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四、符合性审查资料</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3976" w:type="dxa"/>
            <w:vAlign w:val="center"/>
          </w:tcPr>
          <w:p>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实质性要求</w:t>
            </w:r>
          </w:p>
        </w:tc>
        <w:tc>
          <w:tcPr>
            <w:tcW w:w="3566" w:type="dxa"/>
            <w:vAlign w:val="center"/>
          </w:tcPr>
          <w:p>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响应文件中的</w:t>
            </w:r>
          </w:p>
          <w:p>
            <w:pPr>
              <w:snapToGrid w:val="0"/>
              <w:spacing w:line="240" w:lineRule="atLeas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3976" w:type="dxa"/>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响应文件按照交易文件要求签署、盖章。</w:t>
            </w:r>
          </w:p>
        </w:tc>
        <w:tc>
          <w:tcPr>
            <w:tcW w:w="356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需要使用电子签名或者签字盖章的响应文件的组成部分</w:t>
            </w:r>
          </w:p>
        </w:tc>
        <w:tc>
          <w:tcPr>
            <w:tcW w:w="1418"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见响应文件</w:t>
            </w:r>
          </w:p>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3976" w:type="dxa"/>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响应文件中承诺的交易有效期不少于交易文件中载明的交易有效期。</w:t>
            </w:r>
          </w:p>
        </w:tc>
        <w:tc>
          <w:tcPr>
            <w:tcW w:w="356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交易函</w:t>
            </w:r>
          </w:p>
        </w:tc>
        <w:tc>
          <w:tcPr>
            <w:tcW w:w="1418" w:type="dxa"/>
            <w:vAlign w:val="center"/>
          </w:tcPr>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见响应文件第</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3976" w:type="dxa"/>
            <w:vAlign w:val="center"/>
          </w:tcPr>
          <w:p>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响应文件满足交易文件的其它实质性要求。</w:t>
            </w:r>
          </w:p>
        </w:tc>
        <w:tc>
          <w:tcPr>
            <w:tcW w:w="356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见响应文件第</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页</w:t>
            </w:r>
          </w:p>
        </w:tc>
      </w:tr>
    </w:tbl>
    <w:p>
      <w:pPr>
        <w:spacing w:line="360" w:lineRule="auto"/>
        <w:ind w:right="42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五、评审标准相应的商务技术资料</w:t>
      </w:r>
    </w:p>
    <w:p>
      <w:pPr>
        <w:snapToGrid w:val="0"/>
        <w:spacing w:line="360" w:lineRule="auto"/>
        <w:jc w:val="lef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（按交易文件第四部分交易办法前附表中“响应文件中评审标准相应的商务技术资料目录”提供资料。）</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pStyle w:val="25"/>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pStyle w:val="53"/>
        <w:rPr>
          <w:rFonts w:asciiTheme="minorEastAsia" w:hAnsiTheme="minorEastAsia" w:eastAsiaTheme="minorEastAsia" w:cstheme="minorEastAsia"/>
          <w:color w:val="000000" w:themeColor="text1"/>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pacing w:line="360" w:lineRule="auto"/>
        <w:ind w:right="42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3683" w:type="dxa"/>
          </w:tcPr>
          <w:p>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交易文件章节及具体内容</w:t>
            </w:r>
          </w:p>
        </w:tc>
        <w:tc>
          <w:tcPr>
            <w:tcW w:w="3546" w:type="dxa"/>
          </w:tcPr>
          <w:p>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响应文件章节及具体内容</w:t>
            </w:r>
          </w:p>
        </w:tc>
        <w:tc>
          <w:tcPr>
            <w:tcW w:w="1276" w:type="dxa"/>
          </w:tcPr>
          <w:p>
            <w:pPr>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p>
        </w:tc>
        <w:tc>
          <w:tcPr>
            <w:tcW w:w="3683"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354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127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p>
        </w:tc>
        <w:tc>
          <w:tcPr>
            <w:tcW w:w="3683"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354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127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tc>
        <w:tc>
          <w:tcPr>
            <w:tcW w:w="3683"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354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c>
          <w:tcPr>
            <w:tcW w:w="1276" w:type="dxa"/>
          </w:tcPr>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tc>
      </w:tr>
    </w:tbl>
    <w:p>
      <w:pPr>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响应人保证：除商务技术偏离表列出的偏离外，响应人响应交易文件的全部要求</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pacing w:line="360" w:lineRule="auto"/>
        <w:ind w:right="42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br w:type="page"/>
      </w:r>
    </w:p>
    <w:p>
      <w:pPr>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七</w:t>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kern w:val="0"/>
          <w:sz w:val="32"/>
          <w:szCs w:val="32"/>
          <w:lang w:val="zh-CN"/>
          <w14:textFill>
            <w14:solidFill>
              <w14:schemeClr w14:val="tx1"/>
            </w14:solidFill>
          </w14:textFill>
        </w:rPr>
        <w:t>响应人廉洁自律承诺书</w:t>
      </w: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我单位响应你</w:t>
      </w:r>
      <w:r>
        <w:rPr>
          <w:rFonts w:hint="eastAsia" w:asciiTheme="minorEastAsia" w:hAnsiTheme="minorEastAsia" w:eastAsiaTheme="minorEastAsia" w:cstheme="minorEastAsia"/>
          <w:color w:val="000000" w:themeColor="text1"/>
          <w:sz w:val="24"/>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项目招标要求参加投标。在这次投标过程中和</w:t>
      </w:r>
      <w:r>
        <w:rPr>
          <w:rFonts w:hint="eastAsia" w:asciiTheme="minorEastAsia" w:hAnsiTheme="minorEastAsia" w:eastAsiaTheme="minorEastAsia" w:cstheme="minorEastAsia"/>
          <w:color w:val="000000" w:themeColor="text1"/>
          <w:kern w:val="0"/>
          <w:sz w:val="24"/>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后，我们将严格遵守国家法律法规要求，并郑重承诺：</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好处；</w:t>
      </w:r>
    </w:p>
    <w:p>
      <w:pPr>
        <w:autoSpaceDE w:val="0"/>
        <w:autoSpaceDN w:val="0"/>
        <w:spacing w:line="360" w:lineRule="auto"/>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六、严格遵守相关法律法规，诚实守信，合法经营，坚决抵制各种违法违纪行为。 </w:t>
      </w:r>
    </w:p>
    <w:p>
      <w:pPr>
        <w:autoSpaceDE w:val="0"/>
        <w:autoSpaceDN w:val="0"/>
        <w:spacing w:line="360" w:lineRule="auto"/>
        <w:ind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如违反上述承诺，你</w:t>
      </w:r>
      <w:r>
        <w:rPr>
          <w:rFonts w:hint="eastAsia" w:asciiTheme="minorEastAsia" w:hAnsiTheme="minorEastAsia" w:eastAsiaTheme="minorEastAsia" w:cstheme="minorEastAsia"/>
          <w:color w:val="000000" w:themeColor="text1"/>
          <w:sz w:val="24"/>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有权立即取消我单位投标、</w:t>
      </w:r>
      <w:r>
        <w:rPr>
          <w:rFonts w:hint="eastAsia" w:asciiTheme="minorEastAsia" w:hAnsiTheme="minorEastAsia" w:eastAsiaTheme="minorEastAsia" w:cstheme="minorEastAsia"/>
          <w:color w:val="000000" w:themeColor="text1"/>
          <w:kern w:val="0"/>
          <w:sz w:val="24"/>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或在建项目的建设资格，有权拒绝我单位在一定时期内进入你</w:t>
      </w:r>
      <w:r>
        <w:rPr>
          <w:rFonts w:hint="eastAsia" w:asciiTheme="minorEastAsia" w:hAnsiTheme="minorEastAsia" w:eastAsiaTheme="minorEastAsia" w:cstheme="minorEastAsia"/>
          <w:color w:val="000000" w:themeColor="text1"/>
          <w:sz w:val="24"/>
          <w14:textFill>
            <w14:solidFill>
              <w14:schemeClr w14:val="tx1"/>
            </w14:solidFill>
          </w14:textFill>
        </w:rPr>
        <w:t>单位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响应人名称（</w:t>
      </w:r>
      <w:r>
        <w:rPr>
          <w:rFonts w:hint="eastAsia" w:asciiTheme="minorEastAsia" w:hAnsiTheme="minorEastAsia" w:eastAsiaTheme="minorEastAsia" w:cstheme="minorEastAsia"/>
          <w:color w:val="000000" w:themeColor="text1"/>
          <w:sz w:val="24"/>
          <w14:textFill>
            <w14:solidFill>
              <w14:schemeClr w14:val="tx1"/>
            </w14:solidFill>
          </w14:textFill>
        </w:rPr>
        <w:t>电子签名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w:t>
      </w:r>
    </w:p>
    <w:p>
      <w:pPr>
        <w:spacing w:line="360" w:lineRule="auto"/>
        <w:ind w:left="4620" w:leftChars="2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年   月   日</w:t>
      </w:r>
    </w:p>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pPr>
    </w:p>
    <w:p>
      <w:pPr>
        <w:spacing w:line="360" w:lineRule="auto"/>
        <w:ind w:right="42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注：按本格式和要求提供。</w:t>
      </w:r>
    </w:p>
    <w:p>
      <w:pPr>
        <w:spacing w:line="360" w:lineRule="auto"/>
        <w:jc w:val="center"/>
        <w:rPr>
          <w:rFonts w:asciiTheme="minorEastAsia" w:hAnsiTheme="minorEastAsia" w:eastAsiaTheme="minorEastAsia" w:cstheme="minorEastAsia"/>
          <w:b/>
          <w:bCs/>
          <w:color w:val="000000" w:themeColor="text1"/>
          <w:sz w:val="24"/>
          <w14:textFill>
            <w14:solidFill>
              <w14:schemeClr w14:val="tx1"/>
            </w14:solidFill>
          </w14:textFill>
        </w:rPr>
        <w:sectPr>
          <w:footerReference r:id="rId7" w:type="default"/>
          <w:pgSz w:w="11906" w:h="16838"/>
          <w:pgMar w:top="1247" w:right="1417" w:bottom="1247" w:left="1417" w:header="851" w:footer="992" w:gutter="0"/>
          <w:pgNumType w:start="2"/>
          <w:cols w:space="0" w:num="1"/>
          <w:docGrid w:linePitch="312" w:charSpace="0"/>
        </w:sectPr>
      </w:pP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报价文件部分</w:t>
      </w: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目录</w:t>
      </w:r>
    </w:p>
    <w:p>
      <w:pPr>
        <w:spacing w:line="360" w:lineRule="auto"/>
        <w:jc w:val="center"/>
        <w:outlineLvl w:val="0"/>
        <w:rPr>
          <w:rFonts w:asciiTheme="minorEastAsia" w:hAnsiTheme="minorEastAsia" w:eastAsiaTheme="minorEastAsia" w:cstheme="minorEastAsia"/>
          <w:b/>
          <w:color w:val="000000" w:themeColor="text1"/>
          <w:kern w:val="0"/>
          <w:sz w:val="36"/>
          <w:szCs w:val="36"/>
          <w14:textFill>
            <w14:solidFill>
              <w14:schemeClr w14:val="tx1"/>
            </w14:solidFill>
          </w14:textFill>
        </w:rPr>
      </w:pPr>
    </w:p>
    <w:p>
      <w:pPr>
        <w:snapToGrid w:val="0"/>
        <w:spacing w:line="360" w:lineRule="auto"/>
        <w:rPr>
          <w:rFonts w:asciiTheme="minorEastAsia" w:hAnsiTheme="minorEastAsia" w:eastAsiaTheme="minorEastAsia" w:cstheme="minorEastAsia"/>
          <w:color w:val="000000" w:themeColor="text1"/>
          <w:sz w:val="24"/>
          <w14:textFill>
            <w14:solidFill>
              <w14:schemeClr w14:val="tx1"/>
            </w14:solidFill>
          </w14:textFill>
        </w:rPr>
        <w:sectPr>
          <w:headerReference r:id="rId9" w:type="first"/>
          <w:footerReference r:id="rId11" w:type="first"/>
          <w:headerReference r:id="rId8" w:type="default"/>
          <w:footerReference r:id="rId10" w:type="default"/>
          <w:pgSz w:w="11906" w:h="16838"/>
          <w:pgMar w:top="1247" w:right="1417" w:bottom="1247" w:left="1417" w:header="851" w:footer="992" w:gutter="0"/>
          <w:cols w:space="0" w:num="1"/>
          <w:titlePg/>
          <w:docGrid w:linePitch="312" w:charSpace="0"/>
        </w:sectPr>
      </w:pPr>
      <w:r>
        <w:rPr>
          <w:rFonts w:hint="eastAsia" w:asciiTheme="minorEastAsia" w:hAnsiTheme="minorEastAsia" w:eastAsiaTheme="minorEastAsia" w:cstheme="minorEastAsia"/>
          <w:color w:val="000000" w:themeColor="text1"/>
          <w:sz w:val="24"/>
          <w14:textFill>
            <w14:solidFill>
              <w14:schemeClr w14:val="tx1"/>
            </w14:solidFill>
          </w14:textFill>
        </w:rPr>
        <w:t>（1）交易一览表（报价表）………………………………………………………（页码）</w:t>
      </w:r>
    </w:p>
    <w:p>
      <w:pPr>
        <w:pStyle w:val="700"/>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000000" w:themeColor="text1"/>
          <w:kern w:val="2"/>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14:textFill>
            <w14:solidFill>
              <w14:schemeClr w14:val="tx1"/>
            </w14:solidFill>
          </w14:textFill>
        </w:rPr>
        <w:t>一、交易一览表（报价表）</w:t>
      </w:r>
    </w:p>
    <w:p>
      <w:pPr>
        <w:snapToGrid w:val="0"/>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（交易发起人）、（代理机构）</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snapToGrid w:val="0"/>
        <w:spacing w:line="360" w:lineRule="auto"/>
        <w:ind w:firstLine="482"/>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按你方交易文件要求，我们，本响应文件签字方，谨此向你方发出要约如下：如你方接受本投标，我方承诺按照如下交易一览表（报价表）的价格完成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000000" w:themeColor="text1"/>
          <w:sz w:val="24"/>
          <w:u w:val="single"/>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u w:val="single"/>
          <w:lang w:val="zh-CN"/>
          <w14:textFill>
            <w14:solidFill>
              <w14:schemeClr w14:val="tx1"/>
            </w14:solidFill>
          </w14:textFill>
        </w:rPr>
        <w:t>【交易编号：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的实施</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snapToGrid w:val="0"/>
        <w:spacing w:line="360" w:lineRule="auto"/>
        <w:ind w:left="480"/>
        <w:jc w:val="center"/>
        <w:rPr>
          <w:rFonts w:asciiTheme="minorEastAsia" w:hAnsiTheme="minorEastAsia" w:eastAsiaTheme="minorEastAsia" w:cstheme="minorEastAsia"/>
          <w:b/>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1575"/>
        <w:gridCol w:w="1872"/>
        <w:gridCol w:w="1695"/>
        <w:gridCol w:w="1770"/>
        <w:gridCol w:w="261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r>
              <w:rPr>
                <w:rFonts w:hint="eastAsia" w:ascii="宋体" w:hAnsi="宋体" w:cs="宋体"/>
                <w:b/>
                <w:color w:val="000000" w:themeColor="text1"/>
                <w:sz w:val="24"/>
                <w:lang w:eastAsia="zh-CN"/>
                <w14:textFill>
                  <w14:solidFill>
                    <w14:schemeClr w14:val="tx1"/>
                  </w14:solidFill>
                </w14:textFill>
              </w:rPr>
              <w:t>时间</w:t>
            </w:r>
            <w:bookmarkStart w:id="391" w:name="_GoBack"/>
            <w:bookmarkEnd w:id="391"/>
          </w:p>
        </w:tc>
        <w:tc>
          <w:tcPr>
            <w:tcW w:w="16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r>
              <w:rPr>
                <w:rFonts w:hint="eastAsia" w:ascii="宋体" w:hAnsi="宋体" w:cs="宋体"/>
                <w:b/>
                <w:color w:val="000000" w:themeColor="text1"/>
                <w:sz w:val="24"/>
                <w:lang w:eastAsia="zh-CN"/>
                <w14:textFill>
                  <w14:solidFill>
                    <w14:schemeClr w14:val="tx1"/>
                  </w14:solidFill>
                </w14:textFill>
              </w:rPr>
              <w:t>户</w:t>
            </w:r>
            <w:r>
              <w:rPr>
                <w:rFonts w:hint="eastAsia" w:ascii="宋体" w:hAnsi="宋体" w:cs="宋体"/>
                <w:b/>
                <w:color w:val="000000" w:themeColor="text1"/>
                <w:sz w:val="24"/>
                <w14:textFill>
                  <w14:solidFill>
                    <w14:schemeClr w14:val="tx1"/>
                  </w14:solidFill>
                </w14:textFill>
              </w:rPr>
              <w:t>数</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单价</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总价</w:t>
            </w:r>
          </w:p>
        </w:tc>
        <w:tc>
          <w:tcPr>
            <w:tcW w:w="19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 w:val="24"/>
                <w14:textFill>
                  <w14:solidFill>
                    <w14:schemeClr w14:val="tx1"/>
                  </w14:solidFill>
                </w14:textFill>
              </w:rPr>
            </w:pPr>
          </w:p>
        </w:tc>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响应报价（小写）</w:t>
            </w:r>
          </w:p>
        </w:tc>
        <w:tc>
          <w:tcPr>
            <w:tcW w:w="986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响应报价（大写）</w:t>
            </w:r>
          </w:p>
        </w:tc>
        <w:tc>
          <w:tcPr>
            <w:tcW w:w="986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1、响应人需按本表格式填写，不得自行更改。</w:t>
      </w:r>
    </w:p>
    <w:p>
      <w:pPr>
        <w:spacing w:line="360" w:lineRule="auto"/>
        <w:ind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2、有关本项目实施所涉及的一切费用均计入报价。</w:t>
      </w: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不得出现“0元”“免费赠送”等形式的无偿报价，</w:t>
      </w:r>
      <w:r>
        <w:rPr>
          <w:rFonts w:hint="eastAsia" w:asciiTheme="minorEastAsia" w:hAnsiTheme="minorEastAsia" w:eastAsiaTheme="minorEastAsia" w:cstheme="minorEastAsia"/>
          <w:b/>
          <w:color w:val="000000" w:themeColor="text1"/>
          <w:kern w:val="0"/>
          <w:sz w:val="24"/>
          <w14:textFill>
            <w14:solidFill>
              <w14:schemeClr w14:val="tx1"/>
            </w14:solidFill>
          </w14:textFill>
        </w:rPr>
        <w:t>否则视为</w:t>
      </w:r>
      <w:r>
        <w:rPr>
          <w:rFonts w:hint="eastAsia" w:asciiTheme="minorEastAsia" w:hAnsiTheme="minorEastAsia" w:eastAsiaTheme="minorEastAsia" w:cstheme="minorEastAsia"/>
          <w:b/>
          <w:color w:val="000000" w:themeColor="text1"/>
          <w:sz w:val="24"/>
          <w14:textFill>
            <w14:solidFill>
              <w14:schemeClr w14:val="tx1"/>
            </w14:solidFill>
          </w14:textFill>
        </w:rPr>
        <w:t>响应文件含有交易发起人不能接受的附加条件的，交易无效</w:t>
      </w:r>
      <w:r>
        <w:rPr>
          <w:rFonts w:hint="eastAsia" w:asciiTheme="minorEastAsia" w:hAnsiTheme="minorEastAsia" w:eastAsiaTheme="minorEastAsia" w:cstheme="minorEastAsia"/>
          <w:b/>
          <w:color w:val="000000" w:themeColor="text1"/>
          <w:kern w:val="0"/>
          <w:sz w:val="24"/>
          <w:lang w:val="zh-CN"/>
          <w14:textFill>
            <w14:solidFill>
              <w14:schemeClr w14:val="tx1"/>
            </w14:solidFill>
          </w14:textFill>
        </w:rPr>
        <w:t>；交易内容未包含在《交易一览表（报价表）》名称栏中，响应人不能作出合理解释的，</w:t>
      </w:r>
      <w:r>
        <w:rPr>
          <w:rFonts w:hint="eastAsia" w:asciiTheme="minorEastAsia" w:hAnsiTheme="minorEastAsia" w:eastAsiaTheme="minorEastAsia" w:cstheme="minorEastAsia"/>
          <w:b/>
          <w:color w:val="000000" w:themeColor="text1"/>
          <w:kern w:val="0"/>
          <w:sz w:val="24"/>
          <w14:textFill>
            <w14:solidFill>
              <w14:schemeClr w14:val="tx1"/>
            </w14:solidFill>
          </w14:textFill>
        </w:rPr>
        <w:t>视为</w:t>
      </w:r>
      <w:r>
        <w:rPr>
          <w:rFonts w:hint="eastAsia" w:asciiTheme="minorEastAsia" w:hAnsiTheme="minorEastAsia" w:eastAsiaTheme="minorEastAsia" w:cstheme="minorEastAsia"/>
          <w:b/>
          <w:color w:val="000000" w:themeColor="text1"/>
          <w:sz w:val="24"/>
          <w14:textFill>
            <w14:solidFill>
              <w14:schemeClr w14:val="tx1"/>
            </w14:solidFill>
          </w14:textFill>
        </w:rPr>
        <w:t>响应文件含有交易发起人不能接受的附加条件的，交易无效。</w:t>
      </w:r>
    </w:p>
    <w:p>
      <w:pPr>
        <w:snapToGrid w:val="0"/>
        <w:spacing w:line="360" w:lineRule="auto"/>
        <w:ind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4、特别提示：代理机构将对项目名称和项目编号，成交响应人名称、地址和</w:t>
      </w:r>
      <w:r>
        <w:rPr>
          <w:rFonts w:hint="eastAsia" w:asciiTheme="minorEastAsia" w:hAnsiTheme="minorEastAsia" w:eastAsiaTheme="minorEastAsia" w:cstheme="minorEastAsia"/>
          <w:color w:val="000000" w:themeColor="text1"/>
          <w:kern w:val="0"/>
          <w:sz w:val="24"/>
          <w14:textFill>
            <w14:solidFill>
              <w14:schemeClr w14:val="tx1"/>
            </w14:solidFill>
          </w14:textFill>
        </w:rPr>
        <w:t>成交</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金额等予以公示。</w:t>
      </w:r>
    </w:p>
    <w:p>
      <w:pPr>
        <w:spacing w:line="360" w:lineRule="auto"/>
        <w:ind w:firstLine="482" w:firstLineChars="200"/>
        <w:rPr>
          <w:rFonts w:asciiTheme="minorEastAsia" w:hAnsiTheme="minorEastAsia" w:eastAsiaTheme="minorEastAsia" w:cstheme="minorEastAsia"/>
          <w:b/>
          <w:color w:val="000000" w:themeColor="text1"/>
          <w:kern w:val="0"/>
          <w:sz w:val="24"/>
          <w14:textFill>
            <w14:solidFill>
              <w14:schemeClr w14:val="tx1"/>
            </w14:solidFill>
          </w14:textFill>
        </w:rPr>
      </w:pPr>
    </w:p>
    <w:p>
      <w:pPr>
        <w:autoSpaceDE w:val="0"/>
        <w:autoSpaceDN w:val="0"/>
        <w:spacing w:line="360" w:lineRule="auto"/>
        <w:ind w:left="2" w:leftChars="1" w:right="1120" w:firstLine="7680" w:firstLineChars="3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响应人名称（</w:t>
      </w:r>
      <w:r>
        <w:rPr>
          <w:rFonts w:hint="eastAsia" w:asciiTheme="minorEastAsia" w:hAnsiTheme="minorEastAsia" w:eastAsiaTheme="minorEastAsia" w:cstheme="minorEastAsia"/>
          <w:color w:val="000000" w:themeColor="text1"/>
          <w:sz w:val="24"/>
          <w14:textFill>
            <w14:solidFill>
              <w14:schemeClr w14:val="tx1"/>
            </w14:solidFill>
          </w14:textFill>
        </w:rPr>
        <w:t>电子签名</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w:t>
      </w:r>
    </w:p>
    <w:p>
      <w:pPr>
        <w:autoSpaceDE w:val="0"/>
        <w:autoSpaceDN w:val="0"/>
        <w:spacing w:line="360" w:lineRule="auto"/>
        <w:ind w:left="2" w:leftChars="1" w:right="1120" w:firstLine="7680" w:firstLineChars="3200"/>
        <w:jc w:val="left"/>
        <w:rPr>
          <w:rFonts w:asciiTheme="minorEastAsia" w:hAnsiTheme="minorEastAsia" w:eastAsiaTheme="minorEastAsia" w:cstheme="minorEastAsia"/>
          <w:color w:val="000000" w:themeColor="text1"/>
          <w:kern w:val="0"/>
          <w:sz w:val="24"/>
          <w:lang w:val="zh-CN"/>
          <w14:textFill>
            <w14:solidFill>
              <w14:schemeClr w14:val="tx1"/>
            </w14:solidFill>
          </w14:textFill>
        </w:rPr>
        <w:sectPr>
          <w:pgSz w:w="16838" w:h="11906" w:orient="landscape"/>
          <w:pgMar w:top="1417" w:right="1247" w:bottom="1417" w:left="1247" w:header="851" w:footer="992" w:gutter="0"/>
          <w:cols w:space="0" w:num="1"/>
          <w:titlePg/>
          <w:docGrid w:linePitch="312" w:charSpace="0"/>
        </w:sect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日期</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 xml:space="preserve">   年   月   日</w:t>
      </w: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r>
        <w:rPr>
          <w:rFonts w:hint="eastAsia" w:ascii="宋体" w:hAnsi="宋体" w:cs="宋体"/>
          <w:b/>
          <w:color w:val="000000" w:themeColor="text1"/>
          <w:spacing w:val="6"/>
          <w:sz w:val="32"/>
          <w:szCs w:val="32"/>
          <w:lang w:val="zh-CN"/>
          <w14:textFill>
            <w14:solidFill>
              <w14:schemeClr w14:val="tx1"/>
            </w14:solidFill>
          </w14:textFill>
        </w:rPr>
        <w:t>异议</w:t>
      </w:r>
      <w:r>
        <w:rPr>
          <w:rFonts w:hint="eastAsia" w:ascii="宋体" w:hAnsi="宋体" w:cs="宋体"/>
          <w:b/>
          <w:color w:val="000000" w:themeColor="text1"/>
          <w:spacing w:val="6"/>
          <w:sz w:val="32"/>
          <w:szCs w:val="32"/>
          <w14:textFill>
            <w14:solidFill>
              <w14:schemeClr w14:val="tx1"/>
            </w14:solidFill>
          </w14:textFill>
        </w:rPr>
        <w:t>函范本及制作说明</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异议函范本</w:t>
      </w:r>
    </w:p>
    <w:p>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一、异议响应人基本信息</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异议响应人：</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二、异议项目基本情况</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交易发起人名称：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三、异议事项具体内容</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异议事项2</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四、与异议事项相关的异议请求</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异议函制作说明：</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1.响应人提出异议时，应提交异议函和必要的证明材料。</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2.异议响应人若委托代理人进行异议的，异议函应按要求列明“授权代表”的有关内容，并在附件中提交由异议</w:t>
      </w:r>
      <w:r>
        <w:rPr>
          <w:rFonts w:hint="eastAsia" w:ascii="宋体" w:hAnsi="宋体" w:cs="宋体"/>
          <w:color w:val="000000" w:themeColor="text1"/>
          <w:kern w:val="0"/>
          <w:sz w:val="24"/>
          <w14:textFill>
            <w14:solidFill>
              <w14:schemeClr w14:val="tx1"/>
            </w14:solidFill>
          </w14:textFill>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3.异议响应人若对项目的某一分包进行异议，异议函中应列明具体分包号。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4.异议函的异议事项应具体、明确，并有必要的事实依据和法律依据。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5.异议函的异议请求应与异议事项相关。</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附件2：投诉书范本及制作说明</w:t>
      </w: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相关响应人：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交易发起人名称：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三、异议基本情况</w:t>
      </w:r>
    </w:p>
    <w:p>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提出异议，异议事项为：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交易发起人/代理机构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日,就异议事项作出了答复/没有在法定期限内作出答复。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4.投诉书应简要列明异议事项，异议函、异议答复等作为附件材料提供。</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left"/>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rPr>
          <w:rFonts w:asciiTheme="minorEastAsia" w:hAnsiTheme="minorEastAsia" w:eastAsiaTheme="minorEastAsia" w:cs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14:textFill>
            <w14:solidFill>
              <w14:schemeClr w14:val="tx1"/>
            </w14:solidFill>
          </w14:textFill>
        </w:rPr>
        <w:br w:type="page"/>
      </w:r>
    </w:p>
    <w:p>
      <w:pPr>
        <w:autoSpaceDE w:val="0"/>
        <w:autoSpaceDN w:val="0"/>
        <w:jc w:val="left"/>
        <w:rPr>
          <w:rFonts w:asciiTheme="minorEastAsia" w:hAnsiTheme="minorEastAsia" w:eastAsiaTheme="minorEastAsia" w:cs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14:textFill>
            <w14:solidFill>
              <w14:schemeClr w14:val="tx1"/>
            </w14:solidFill>
          </w14:textFill>
        </w:rPr>
        <w:t>附件3：</w:t>
      </w:r>
    </w:p>
    <w:p>
      <w:pPr>
        <w:autoSpaceDE w:val="0"/>
        <w:autoSpaceDN w:val="0"/>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业务专用章使用说明函</w:t>
      </w:r>
    </w:p>
    <w:p>
      <w:pPr>
        <w:spacing w:line="360" w:lineRule="auto"/>
        <w:rPr>
          <w:rFonts w:asciiTheme="minorEastAsia" w:hAnsiTheme="minorEastAsia" w:eastAsiaTheme="minorEastAsia" w:cstheme="minorEastAsia"/>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(响应人全称)是中华人民共和国依法登记注册的合法企业，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14:textFill>
            <w14:solidFill>
              <w14:schemeClr w14:val="tx1"/>
            </w14:solidFill>
          </w14:textFill>
        </w:rPr>
        <w:t>（项目名称）项目【交易编号：      ）】</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94"/>
        <w:rPr>
          <w:rFonts w:asciiTheme="minorEastAsia" w:hAnsiTheme="minorEastAsia" w:eastAsiaTheme="minorEastAsia" w:cstheme="minorEastAsia"/>
          <w:color w:val="000000" w:themeColor="text1"/>
          <w:sz w:val="24"/>
          <w14:textFill>
            <w14:solidFill>
              <w14:schemeClr w14:val="tx1"/>
            </w14:solidFill>
          </w14:textFill>
        </w:rPr>
      </w:pPr>
    </w:p>
    <w:p>
      <w:pPr>
        <w:spacing w:line="360" w:lineRule="auto"/>
        <w:ind w:right="480" w:firstLine="4080" w:firstLineChars="17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投标单位（法定名称章）：</w:t>
      </w:r>
    </w:p>
    <w:p>
      <w:pPr>
        <w:ind w:right="1440" w:firstLine="494"/>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日期：       年     月     日</w:t>
      </w:r>
    </w:p>
    <w:p>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附：</w:t>
      </w:r>
    </w:p>
    <w:p>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color w:val="000000" w:themeColor="text1"/>
          <w:sz w:val="24"/>
          <w14:textFill>
            <w14:solidFill>
              <w14:schemeClr w14:val="tx1"/>
            </w14:solidFill>
          </w14:textFill>
        </w:rPr>
        <w:t>投标单位法定名称章（印模）                投标单位“XX专用章”（印模）</w:t>
      </w: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pStyle w:val="2"/>
        <w:rPr>
          <w:rFonts w:asciiTheme="minorEastAsia" w:hAnsiTheme="minorEastAsia" w:eastAsiaTheme="minorEastAsia" w:cstheme="minorEastAsia"/>
          <w:b/>
          <w:color w:val="000000" w:themeColor="text1"/>
          <w:spacing w:val="6"/>
          <w14:textFill>
            <w14:solidFill>
              <w14:schemeClr w14:val="tx1"/>
            </w14:solidFill>
          </w14:textFill>
        </w:rPr>
      </w:pPr>
    </w:p>
    <w:p>
      <w:pP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pStyle w:val="2"/>
        <w:rPr>
          <w:rFonts w:asciiTheme="minorEastAsia" w:hAnsiTheme="minorEastAsia" w:eastAsiaTheme="minorEastAsia" w:cstheme="minorEastAsia"/>
          <w:b/>
          <w:color w:val="000000" w:themeColor="text1"/>
          <w:spacing w:val="6"/>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附件</w:t>
      </w:r>
      <w:r>
        <w:rPr>
          <w:rFonts w:hint="eastAsia" w:asciiTheme="minorEastAsia" w:hAnsiTheme="minorEastAsia" w:eastAsiaTheme="minorEastAsia" w:cstheme="minorEastAsia"/>
          <w:b/>
          <w:bCs/>
          <w:color w:val="000000" w:themeColor="text1"/>
          <w:lang w:val="en-US"/>
          <w14:textFill>
            <w14:solidFill>
              <w14:schemeClr w14:val="tx1"/>
            </w14:solidFill>
          </w14:textFill>
        </w:rPr>
        <w:t>4：</w:t>
      </w:r>
    </w:p>
    <w:p>
      <w:pPr>
        <w:jc w:val="center"/>
        <w:rPr>
          <w:rFonts w:cs="仿宋_GB2312"/>
          <w:b/>
          <w:color w:val="000000" w:themeColor="text1"/>
          <w:sz w:val="32"/>
          <w:szCs w:val="32"/>
          <w14:textFill>
            <w14:solidFill>
              <w14:schemeClr w14:val="tx1"/>
            </w14:solidFill>
          </w14:textFill>
        </w:rPr>
      </w:pPr>
    </w:p>
    <w:p>
      <w:pPr>
        <w:jc w:val="center"/>
        <w:rPr>
          <w:rFonts w:cs="仿宋_GB2312"/>
          <w:b/>
          <w:color w:val="000000" w:themeColor="text1"/>
          <w:sz w:val="32"/>
          <w:szCs w:val="32"/>
          <w14:textFill>
            <w14:solidFill>
              <w14:schemeClr w14:val="tx1"/>
            </w14:solidFill>
          </w14:textFill>
        </w:rPr>
      </w:pPr>
      <w:r>
        <w:rPr>
          <w:rFonts w:hint="eastAsia" w:cs="仿宋_GB2312"/>
          <w:b/>
          <w:color w:val="000000" w:themeColor="text1"/>
          <w:sz w:val="32"/>
          <w:szCs w:val="32"/>
          <w14:textFill>
            <w14:solidFill>
              <w14:schemeClr w14:val="tx1"/>
            </w14:solidFill>
          </w14:textFill>
        </w:rPr>
        <w:t>分包意向协议</w:t>
      </w:r>
    </w:p>
    <w:p>
      <w:pPr>
        <w:rPr>
          <w:rFonts w:cs="仿宋_GB2312"/>
          <w:color w:val="000000" w:themeColor="text1"/>
          <w14:textFill>
            <w14:solidFill>
              <w14:schemeClr w14:val="tx1"/>
            </w14:solidFill>
          </w14:textFill>
        </w:rPr>
      </w:pPr>
    </w:p>
    <w:p>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w:t>
      </w:r>
      <w:r>
        <w:rPr>
          <w:rFonts w:hint="eastAsia" w:cs="仿宋_GB2312"/>
          <w:b/>
          <w:color w:val="000000" w:themeColor="text1"/>
          <w14:textFill>
            <w14:solidFill>
              <w14:schemeClr w14:val="tx1"/>
            </w14:solidFill>
          </w14:textFill>
        </w:rPr>
        <w:t>成交后以分包方式履行合同的，提供分包意向协议；采购人不同意分包或者响应人成交后不以分包方式履行合同的，则不需要提供。</w:t>
      </w:r>
      <w:r>
        <w:rPr>
          <w:rFonts w:hint="eastAsia" w:cs="仿宋_GB2312"/>
          <w:color w:val="000000" w:themeColor="text1"/>
          <w14:textFill>
            <w14:solidFill>
              <w14:schemeClr w14:val="tx1"/>
            </w14:solidFill>
          </w14:textFill>
        </w:rPr>
        <w:t>）</w:t>
      </w:r>
    </w:p>
    <w:p>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（响应人名称）</w:t>
      </w:r>
      <w:r>
        <w:rPr>
          <w:rFonts w:hint="eastAsia" w:cs="仿宋_GB2312"/>
          <w:color w:val="000000" w:themeColor="text1"/>
          <w:lang w:val="zh-CN"/>
          <w14:textFill>
            <w14:solidFill>
              <w14:schemeClr w14:val="tx1"/>
            </w14:solidFill>
          </w14:textFill>
        </w:rPr>
        <w:t>若成为</w:t>
      </w:r>
      <w:r>
        <w:rPr>
          <w:rFonts w:hint="eastAsia" w:cs="仿宋_GB2312"/>
          <w:color w:val="000000" w:themeColor="text1"/>
          <w14:textFill>
            <w14:solidFill>
              <w14:schemeClr w14:val="tx1"/>
            </w14:solidFill>
          </w14:textFill>
        </w:rPr>
        <w:t>（项目名称）【交易编号：</w:t>
      </w:r>
      <w:r>
        <w:rPr>
          <w:rFonts w:hint="eastAsia"/>
          <w:color w:val="000000" w:themeColor="text1"/>
          <w14:textFill>
            <w14:solidFill>
              <w14:schemeClr w14:val="tx1"/>
            </w14:solidFill>
          </w14:textFill>
        </w:rPr>
        <w:t>（采购编号）</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的中标供应商，将依法采取分包方式履行合同。</w:t>
      </w:r>
      <w:r>
        <w:rPr>
          <w:rFonts w:hint="eastAsia" w:cs="仿宋_GB2312"/>
          <w:color w:val="000000" w:themeColor="text1"/>
          <w:u w:val="single"/>
          <w14:textFill>
            <w14:solidFill>
              <w14:schemeClr w14:val="tx1"/>
            </w14:solidFill>
          </w14:textFill>
        </w:rPr>
        <w:t>（响应人名称）</w:t>
      </w:r>
      <w:r>
        <w:rPr>
          <w:rFonts w:hint="eastAsia" w:cs="仿宋_GB2312"/>
          <w:color w:val="000000" w:themeColor="text1"/>
          <w14:textFill>
            <w14:solidFill>
              <w14:schemeClr w14:val="tx1"/>
            </w14:solidFill>
          </w14:textFill>
        </w:rPr>
        <w:t>与</w:t>
      </w:r>
      <w:r>
        <w:rPr>
          <w:rFonts w:hint="eastAsia" w:cs="仿宋_GB2312"/>
          <w:color w:val="000000" w:themeColor="text1"/>
          <w:u w:val="single"/>
          <w14:textFill>
            <w14:solidFill>
              <w14:schemeClr w14:val="tx1"/>
            </w14:solidFill>
          </w14:textFill>
        </w:rPr>
        <w:t>（所有分包供应商名称）</w:t>
      </w:r>
      <w:r>
        <w:rPr>
          <w:rFonts w:hint="eastAsia" w:cs="仿宋_GB2312"/>
          <w:color w:val="000000" w:themeColor="text1"/>
          <w14:textFill>
            <w14:solidFill>
              <w14:schemeClr w14:val="tx1"/>
            </w14:solidFill>
          </w14:textFill>
        </w:rPr>
        <w:t>达成分包意向协议</w:t>
      </w:r>
      <w:r>
        <w:rPr>
          <w:rFonts w:hint="eastAsia" w:cs="仿宋_GB2312"/>
          <w:color w:val="000000" w:themeColor="text1"/>
          <w:lang w:val="zh-CN"/>
          <w14:textFill>
            <w14:solidFill>
              <w14:schemeClr w14:val="tx1"/>
            </w14:solidFill>
          </w14:textFill>
        </w:rPr>
        <w:t>。</w:t>
      </w:r>
      <w:r>
        <w:rPr>
          <w:rFonts w:cs="仿宋_GB2312"/>
          <w:color w:val="000000" w:themeColor="text1"/>
          <w:lang w:val="zh-CN"/>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一、分包标的及数量</w:t>
      </w:r>
    </w:p>
    <w:p>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（投标人名称）</w:t>
      </w:r>
      <w:r>
        <w:rPr>
          <w:rFonts w:hint="eastAsia" w:cs="仿宋_GB2312"/>
          <w:color w:val="000000" w:themeColor="text1"/>
          <w:lang w:val="zh-CN"/>
          <w14:textFill>
            <w14:solidFill>
              <w14:schemeClr w14:val="tx1"/>
            </w14:solidFill>
          </w14:textFill>
        </w:rPr>
        <w:t>将</w:t>
      </w:r>
      <w:r>
        <w:rPr>
          <w:color w:val="000000" w:themeColor="text1"/>
          <w:u w:val="single"/>
          <w14:textFill>
            <w14:solidFill>
              <w14:schemeClr w14:val="tx1"/>
            </w14:solidFill>
          </w14:textFill>
        </w:rPr>
        <w:t xml:space="preserve">   XX工作内容   </w:t>
      </w:r>
      <w:r>
        <w:rPr>
          <w:rFonts w:hint="eastAsia" w:cs="Arial"/>
          <w:color w:val="000000" w:themeColor="text1"/>
          <w14:textFill>
            <w14:solidFill>
              <w14:schemeClr w14:val="tx1"/>
            </w14:solidFill>
          </w14:textFill>
        </w:rPr>
        <w:t>分包给</w:t>
      </w:r>
      <w:r>
        <w:rPr>
          <w:rFonts w:hint="eastAsia" w:cs="仿宋_GB2312"/>
          <w:color w:val="000000" w:themeColor="text1"/>
          <w:u w:val="single"/>
          <w14:textFill>
            <w14:solidFill>
              <w14:schemeClr w14:val="tx1"/>
            </w14:solidFill>
          </w14:textFill>
        </w:rPr>
        <w:t>（某分包供应商名称）</w:t>
      </w:r>
      <w:r>
        <w:rPr>
          <w:rFonts w:hint="eastAsia" w:cs="仿宋_GB2312"/>
          <w:color w:val="000000" w:themeColor="text1"/>
          <w:lang w:val="zh-CN"/>
          <w14:textFill>
            <w14:solidFill>
              <w14:schemeClr w14:val="tx1"/>
            </w14:solidFill>
          </w14:textFill>
        </w:rPr>
        <w:t>，</w:t>
      </w:r>
      <w:r>
        <w:rPr>
          <w:rFonts w:hint="eastAsia" w:cs="仿宋_GB2312"/>
          <w:color w:val="000000" w:themeColor="text1"/>
          <w:u w:val="single"/>
          <w14:textFill>
            <w14:solidFill>
              <w14:schemeClr w14:val="tx1"/>
            </w14:solidFill>
          </w14:textFill>
        </w:rPr>
        <w:t>（某分包供应商名称），</w:t>
      </w:r>
      <w:r>
        <w:rPr>
          <w:rFonts w:hint="eastAsia" w:cs="仿宋_GB2312"/>
          <w:color w:val="000000" w:themeColor="text1"/>
          <w:lang w:val="zh-CN"/>
          <w14:textFill>
            <w14:solidFill>
              <w14:schemeClr w14:val="tx1"/>
            </w14:solidFill>
          </w14:textFill>
        </w:rPr>
        <w:t>具备承</w:t>
      </w:r>
      <w:r>
        <w:rPr>
          <w:rFonts w:hint="eastAsia" w:cs="仿宋_GB2312"/>
          <w:color w:val="000000" w:themeColor="text1"/>
          <w14:textFill>
            <w14:solidFill>
              <w14:schemeClr w14:val="tx1"/>
            </w14:solidFill>
          </w14:textFill>
        </w:rPr>
        <w:t>担</w:t>
      </w:r>
      <w:r>
        <w:rPr>
          <w:rFonts w:cs="仿宋_GB2312"/>
          <w:color w:val="000000" w:themeColor="text1"/>
          <w:u w:val="single"/>
          <w:lang w:val="zh-CN"/>
          <w14:textFill>
            <w14:solidFill>
              <w14:schemeClr w14:val="tx1"/>
            </w14:solidFill>
          </w14:textFill>
        </w:rPr>
        <w:t>XX工作内容</w:t>
      </w:r>
      <w:r>
        <w:rPr>
          <w:rFonts w:hint="eastAsia" w:cs="仿宋_GB2312"/>
          <w:color w:val="000000" w:themeColor="text1"/>
          <w:lang w:val="zh-CN"/>
          <w14:textFill>
            <w14:solidFill>
              <w14:schemeClr w14:val="tx1"/>
            </w14:solidFill>
          </w14:textFill>
        </w:rPr>
        <w:t>相应资质条件且不得再次分包；</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二、分包工作履行期限、地点、方式</w:t>
      </w:r>
    </w:p>
    <w:p>
      <w:pP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三、质量</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四、价款或者报酬</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五、违约责任</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六、争议解决的办法</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七、其他</w:t>
      </w:r>
    </w:p>
    <w:p>
      <w:pPr>
        <w:rPr>
          <w:rFonts w:cs="仿宋_GB2312"/>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中小企业合同金额达到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微企业合同金额达到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cs="仿宋_GB2312"/>
          <w:color w:val="000000" w:themeColor="text1"/>
          <w:lang w:val="zh-CN"/>
          <w14:textFill>
            <w14:solidFill>
              <w14:schemeClr w14:val="tx1"/>
            </w14:solidFill>
          </w14:textFill>
        </w:rPr>
        <w:t xml:space="preserve">  。                                           </w:t>
      </w:r>
    </w:p>
    <w:p>
      <w:pPr>
        <w:rPr>
          <w:rFonts w:cs="仿宋_GB2312"/>
          <w:color w:val="000000" w:themeColor="text1"/>
          <w:lang w:val="zh-CN"/>
          <w14:textFill>
            <w14:solidFill>
              <w14:schemeClr w14:val="tx1"/>
            </w14:solidFill>
          </w14:textFill>
        </w:rPr>
      </w:pPr>
    </w:p>
    <w:p>
      <w:pPr>
        <w:rPr>
          <w:rFonts w:cs="仿宋_GB2312"/>
          <w:color w:val="000000" w:themeColor="text1"/>
          <w:lang w:val="zh-CN"/>
          <w14:textFill>
            <w14:solidFill>
              <w14:schemeClr w14:val="tx1"/>
            </w14:solidFill>
          </w14:textFill>
        </w:rPr>
      </w:pPr>
    </w:p>
    <w:p>
      <w:pPr>
        <w:rPr>
          <w:rFonts w:cs="仿宋_GB2312"/>
          <w:color w:val="000000" w:themeColor="text1"/>
          <w:lang w:val="zh-CN"/>
          <w14:textFill>
            <w14:solidFill>
              <w14:schemeClr w14:val="tx1"/>
            </w14:solidFill>
          </w14:textFill>
        </w:rPr>
      </w:pP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响应</w:t>
      </w:r>
      <w:r>
        <w:rPr>
          <w:rFonts w:cs="仿宋_GB2312"/>
          <w:color w:val="000000" w:themeColor="text1"/>
          <w:lang w:val="zh-CN"/>
          <w14:textFill>
            <w14:solidFill>
              <w14:schemeClr w14:val="tx1"/>
            </w14:solidFill>
          </w14:textFill>
        </w:rPr>
        <w:t>人名称(电子签名)：</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分包供应商名称：</w:t>
      </w:r>
    </w:p>
    <w:p>
      <w:pPr>
        <w:rPr>
          <w:color w:val="000000" w:themeColor="text1"/>
          <w14:textFill>
            <w14:solidFill>
              <w14:schemeClr w14:val="tx1"/>
            </w14:solidFill>
          </w14:textFill>
        </w:rPr>
      </w:pPr>
      <w:r>
        <w:rPr>
          <w:rFonts w:cs="仿宋_GB2312"/>
          <w:color w:val="000000" w:themeColor="text1"/>
          <w:lang w:val="zh-CN"/>
          <w14:textFill>
            <w14:solidFill>
              <w14:schemeClr w14:val="tx1"/>
            </w14:solidFill>
          </w14:textFill>
        </w:rPr>
        <w:t>日期：  年  月   日</w:t>
      </w: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sectPr>
          <w:headerReference r:id="rId13" w:type="first"/>
          <w:footerReference r:id="rId16" w:type="first"/>
          <w:headerReference r:id="rId12" w:type="default"/>
          <w:footerReference r:id="rId14" w:type="default"/>
          <w:footerReference r:id="rId15" w:type="even"/>
          <w:pgSz w:w="11906" w:h="16838"/>
          <w:pgMar w:top="1247" w:right="1417" w:bottom="1247" w:left="1417" w:header="851" w:footer="992" w:gutter="0"/>
          <w:cols w:space="0" w:num="1"/>
          <w:titlePg/>
          <w:docGrid w:linePitch="312" w:charSpace="0"/>
        </w:sectPr>
      </w:pPr>
    </w:p>
    <w:p>
      <w:pPr>
        <w:pStyle w:val="2"/>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附件</w:t>
      </w:r>
      <w:r>
        <w:rPr>
          <w:rFonts w:hint="eastAsia" w:asciiTheme="minorEastAsia" w:hAnsiTheme="minorEastAsia" w:eastAsiaTheme="minorEastAsia" w:cstheme="minorEastAsia"/>
          <w:b/>
          <w:bCs/>
          <w:color w:val="000000" w:themeColor="text1"/>
          <w:lang w:val="en-US"/>
          <w14:textFill>
            <w14:solidFill>
              <w14:schemeClr w14:val="tx1"/>
            </w14:solidFill>
          </w14:textFill>
        </w:rPr>
        <w:t>5：</w:t>
      </w:r>
      <w:r>
        <w:rPr>
          <w:rFonts w:hint="eastAsia" w:asciiTheme="minorEastAsia" w:hAnsiTheme="minorEastAsia" w:eastAsiaTheme="minorEastAsia" w:cstheme="minorEastAsia"/>
          <w:b/>
          <w:bCs/>
          <w:color w:val="000000" w:themeColor="text1"/>
          <w14:textFill>
            <w14:solidFill>
              <w14:schemeClr w14:val="tx1"/>
            </w14:solidFill>
          </w14:textFill>
        </w:rPr>
        <w:t>样品（演示）授权委托书</w:t>
      </w:r>
    </w:p>
    <w:p>
      <w:pPr>
        <w:jc w:val="center"/>
        <w:rPr>
          <w:rFonts w:asciiTheme="minorEastAsia" w:hAnsiTheme="minorEastAsia" w:eastAsiaTheme="minorEastAsia" w:cstheme="minorEastAsia"/>
          <w:color w:val="000000" w:themeColor="text1"/>
          <w:sz w:val="40"/>
          <w14:textFill>
            <w14:solidFill>
              <w14:schemeClr w14:val="tx1"/>
            </w14:solidFill>
          </w14:textFill>
        </w:rPr>
      </w:pPr>
    </w:p>
    <w:p>
      <w:pPr>
        <w:jc w:val="center"/>
        <w:rPr>
          <w:rFonts w:asciiTheme="minorEastAsia" w:hAnsiTheme="minorEastAsia" w:eastAsiaTheme="minorEastAsia" w:cstheme="minorEastAsia"/>
          <w:color w:val="000000" w:themeColor="text1"/>
          <w:sz w:val="40"/>
          <w14:textFill>
            <w14:solidFill>
              <w14:schemeClr w14:val="tx1"/>
            </w14:solidFill>
          </w14:textFill>
        </w:rPr>
      </w:pPr>
      <w:r>
        <w:rPr>
          <w:rFonts w:hint="eastAsia" w:asciiTheme="minorEastAsia" w:hAnsiTheme="minorEastAsia" w:eastAsiaTheme="minorEastAsia" w:cstheme="minorEastAsia"/>
          <w:color w:val="000000" w:themeColor="text1"/>
          <w:sz w:val="40"/>
          <w14:textFill>
            <w14:solidFill>
              <w14:schemeClr w14:val="tx1"/>
            </w14:solidFill>
          </w14:textFill>
        </w:rPr>
        <w:t>样品（演示）授权委托书</w:t>
      </w:r>
    </w:p>
    <w:p>
      <w:pPr>
        <w:jc w:val="center"/>
        <w:rPr>
          <w:rFonts w:asciiTheme="minorEastAsia" w:hAnsiTheme="minorEastAsia" w:eastAsiaTheme="minorEastAsia" w:cstheme="minorEastAsia"/>
          <w:color w:val="000000" w:themeColor="text1"/>
          <w:sz w:val="40"/>
          <w14:textFill>
            <w14:solidFill>
              <w14:schemeClr w14:val="tx1"/>
            </w14:solidFill>
          </w14:textFill>
        </w:rPr>
      </w:pPr>
    </w:p>
    <w:p>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XXX（交易发起人或代理机构）</w:t>
      </w:r>
      <w:r>
        <w:rPr>
          <w:rFonts w:hint="eastAsia" w:asciiTheme="minorEastAsia" w:hAnsiTheme="minorEastAsia" w:eastAsiaTheme="minorEastAsia" w:cstheme="minorEastAsia"/>
          <w:color w:val="000000" w:themeColor="text1"/>
          <w:lang w:val="zh-CN"/>
          <w14:textFill>
            <w14:solidFill>
              <w14:schemeClr w14:val="tx1"/>
            </w14:solidFill>
          </w14:textFill>
        </w:rPr>
        <w:t>：</w:t>
      </w:r>
    </w:p>
    <w:p>
      <w:pPr>
        <w:snapToGrid w:val="0"/>
        <w:spacing w:line="360" w:lineRule="auto"/>
        <w:ind w:left="254" w:leftChars="121" w:firstLine="420" w:firstLineChars="200"/>
        <w:rPr>
          <w:rFonts w:asciiTheme="minorEastAsia" w:hAnsiTheme="minorEastAsia" w:eastAsiaTheme="minorEastAsia" w:cstheme="minorEastAsia"/>
          <w:color w:val="000000" w:themeColor="text1"/>
          <w:u w:val="single"/>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兹委派</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先生/女士，身份证号：</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 </w:t>
      </w:r>
    </w:p>
    <w:p>
      <w:pPr>
        <w:snapToGrid w:val="0"/>
        <w:spacing w:line="360" w:lineRule="auto"/>
        <w:ind w:left="254" w:leftChars="121"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手机：</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，代表我公司前来递交</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采购项目</w:t>
      </w:r>
      <w:r>
        <w:rPr>
          <w:rFonts w:hint="eastAsia" w:asciiTheme="minorEastAsia" w:hAnsiTheme="minorEastAsia" w:eastAsiaTheme="minorEastAsia" w:cstheme="minorEastAsia"/>
          <w:color w:val="000000" w:themeColor="text1"/>
          <w:lang w:val="zh-CN"/>
          <w14:textFill>
            <w14:solidFill>
              <w14:schemeClr w14:val="tx1"/>
            </w14:solidFill>
          </w14:textFill>
        </w:rPr>
        <w:t>【项目编号</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】（标项号</w:t>
      </w:r>
      <w:r>
        <w:rPr>
          <w:rFonts w:hint="eastAsia" w:asciiTheme="minorEastAsia" w:hAnsiTheme="minorEastAsia" w:eastAsiaTheme="minorEastAsia" w:cstheme="minorEastAsia"/>
          <w:color w:val="000000" w:themeColor="text1"/>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zh-CN"/>
          <w14:textFill>
            <w14:solidFill>
              <w14:schemeClr w14:val="tx1"/>
            </w14:solidFill>
          </w14:textFill>
        </w:rPr>
        <w:t>）投标样品或参加演示，并全权负责标后取回样品等其他处理事宜。</w:t>
      </w:r>
    </w:p>
    <w:p>
      <w:pPr>
        <w:snapToGrid w:val="0"/>
        <w:spacing w:line="360" w:lineRule="auto"/>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w:t>
      </w:r>
    </w:p>
    <w:p>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特此告知。</w:t>
      </w:r>
    </w:p>
    <w:p>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供应商</w:t>
      </w:r>
      <w:r>
        <w:rPr>
          <w:rFonts w:hint="eastAsia" w:asciiTheme="minorEastAsia" w:hAnsiTheme="minorEastAsia" w:eastAsiaTheme="minorEastAsia" w:cstheme="minorEastAsia"/>
          <w:color w:val="000000" w:themeColor="text1"/>
          <w:lang w:val="zh-CN"/>
          <w14:textFill>
            <w14:solidFill>
              <w14:schemeClr w14:val="tx1"/>
            </w14:solidFill>
          </w14:textFill>
        </w:rPr>
        <w:t>名称(公章)：</w:t>
      </w:r>
    </w:p>
    <w:p>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 xml:space="preserve">                                                  </w:t>
      </w:r>
    </w:p>
    <w:p>
      <w:pPr>
        <w:snapToGrid w:val="0"/>
        <w:spacing w:line="360" w:lineRule="auto"/>
        <w:ind w:right="240"/>
        <w:jc w:val="right"/>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签发日期：  年  月   日</w:t>
      </w:r>
    </w:p>
    <w:p>
      <w:pPr>
        <w:snapToGrid w:val="0"/>
        <w:spacing w:line="360" w:lineRule="auto"/>
        <w:ind w:right="240"/>
        <w:jc w:val="right"/>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192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jc w:val="right"/>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b/>
          <w:bCs/>
          <w:color w:val="000000" w:themeColor="text1"/>
          <w:lang w:val="zh-CN"/>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受委托人</w:t>
      </w:r>
      <w:r>
        <w:rPr>
          <w:rFonts w:hint="eastAsia" w:asciiTheme="minorEastAsia" w:hAnsiTheme="minorEastAsia" w:eastAsiaTheme="minorEastAsia" w:cstheme="minorEastAsia"/>
          <w:b/>
          <w:bCs/>
          <w:color w:val="000000" w:themeColor="text1"/>
          <w:lang w:val="zh-CN"/>
          <w14:textFill>
            <w14:solidFill>
              <w14:schemeClr w14:val="tx1"/>
            </w14:solidFill>
          </w14:textFill>
        </w:rPr>
        <w:t>身份证复印件：</w:t>
      </w: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p>
    <w:p>
      <w:pPr>
        <w:snapToGrid w:val="0"/>
        <w:spacing w:line="360" w:lineRule="auto"/>
        <w:ind w:right="240"/>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说明：本委托书在有样品或演示时由受委托人携带至指定地点。</w:t>
      </w:r>
    </w:p>
    <w:p>
      <w:pPr>
        <w:spacing w:line="360" w:lineRule="auto"/>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同时有样品和演示的，可委托不同人员。</w:t>
      </w: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p>
    <w:sectPr>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RomanS"/>
    <w:panose1 w:val="02040503050406030204"/>
    <w:charset w:val="00"/>
    <w:family w:val="roman"/>
    <w:pitch w:val="default"/>
    <w:sig w:usb0="00000000" w:usb1="00000000" w:usb2="02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0" w:usb1="00000000" w:usb2="00000000" w:usb3="00000000" w:csb0="00000000" w:csb1="00000000"/>
  </w:font>
  <w:font w:name="Futura Bk">
    <w:altName w:val="Roman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MS Sans Serif">
    <w:altName w:val="RomanS"/>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00000287" w:usb1="00000000" w:usb2="00000000" w:usb3="00000000" w:csb0="2000019F" w:csb1="00000000"/>
  </w:font>
  <w:font w:name="ˎ̥">
    <w:altName w:val="仿宋_GB2312"/>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仿宋_GB2312"/>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RomanS"/>
    <w:panose1 w:val="00000000000000000000"/>
    <w:charset w:val="00"/>
    <w:family w:val="swiss"/>
    <w:pitch w:val="default"/>
    <w:sig w:usb0="00000000" w:usb1="00000000" w:usb2="00000000" w:usb3="00000000" w:csb0="000001FB" w:csb1="00000000"/>
  </w:font>
  <w:font w:name="Segoe UI">
    <w:altName w:val="AcadEref"/>
    <w:panose1 w:val="020B0502040204020203"/>
    <w:charset w:val="00"/>
    <w:family w:val="swiss"/>
    <w:pitch w:val="default"/>
    <w:sig w:usb0="00000000" w:usb1="00000000" w:usb2="00000009" w:usb3="00000000" w:csb0="200001FF" w:csb1="00000000"/>
  </w:font>
  <w:font w:name="Latha">
    <w:altName w:val="Microsoft Sans Serif"/>
    <w:panose1 w:val="020B0604020202020204"/>
    <w:charset w:val="00"/>
    <w:family w:val="swiss"/>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080E0000" w:usb2="00000000"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swiss"/>
    <w:pitch w:val="default"/>
    <w:sig w:usb0="80001AFF" w:usb1="0000396B" w:usb2="00000000" w:usb3="00000000" w:csb0="0000003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RomanS"/>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RomanS">
    <w:panose1 w:val="02000400000000000000"/>
    <w:charset w:val="00"/>
    <w:family w:val="auto"/>
    <w:pitch w:val="default"/>
    <w:sig w:usb0="00000207" w:usb1="00000000" w:usb2="00000000" w:usb3="00000000" w:csb0="000001FF" w:csb1="00000000"/>
  </w:font>
  <w:font w:name="Arial">
    <w:panose1 w:val="020B0604020202020204"/>
    <w:charset w:val="00"/>
    <w:family w:val="auto"/>
    <w:pitch w:val="default"/>
    <w:sig w:usb0="00007A87" w:usb1="80000000" w:usb2="00000008" w:usb3="00000000" w:csb0="400001FF" w:csb1="FFFF0000"/>
  </w:font>
  <w:font w:name="AcadEref">
    <w:panose1 w:val="02000500000000020003"/>
    <w:charset w:val="00"/>
    <w:family w:val="auto"/>
    <w:pitch w:val="default"/>
    <w:sig w:usb0="00000003" w:usb1="00000000" w:usb2="00000000" w:usb3="00000000" w:csb0="00000001" w:csb1="00000000"/>
  </w:font>
  <w:font w:name="Microsoft Sans Serif">
    <w:panose1 w:val="020B0604020202020204"/>
    <w:charset w:val="00"/>
    <w:family w:val="auto"/>
    <w:pitch w:val="default"/>
    <w:sig w:usb0="61007BDF" w:usb1="80000000" w:usb2="00000008" w:usb3="00000000" w:csb0="200101FF" w:csb1="2028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F87438"/>
    <w:multiLevelType w:val="singleLevel"/>
    <w:tmpl w:val="AEF87438"/>
    <w:lvl w:ilvl="0" w:tentative="0">
      <w:start w:val="1"/>
      <w:numFmt w:val="decimal"/>
      <w:suff w:val="nothing"/>
      <w:lvlText w:val="%1、"/>
      <w:lvlJc w:val="left"/>
    </w:lvl>
  </w:abstractNum>
  <w:abstractNum w:abstractNumId="1">
    <w:nsid w:val="C9068E0C"/>
    <w:multiLevelType w:val="singleLevel"/>
    <w:tmpl w:val="C9068E0C"/>
    <w:lvl w:ilvl="0" w:tentative="0">
      <w:start w:val="5"/>
      <w:numFmt w:val="chineseCounting"/>
      <w:suff w:val="space"/>
      <w:lvlText w:val="第%1部分"/>
      <w:lvlJc w:val="left"/>
      <w:rPr>
        <w:rFonts w:hint="eastAsia"/>
      </w:rPr>
    </w:lvl>
  </w:abstractNum>
  <w:abstractNum w:abstractNumId="2">
    <w:nsid w:val="D537DDFB"/>
    <w:multiLevelType w:val="singleLevel"/>
    <w:tmpl w:val="D537DDFB"/>
    <w:lvl w:ilvl="0" w:tentative="0">
      <w:start w:val="1"/>
      <w:numFmt w:val="chineseCounting"/>
      <w:suff w:val="nothing"/>
      <w:lvlText w:val="%1．"/>
      <w:lvlJc w:val="left"/>
      <w:rPr>
        <w:rFonts w:hint="eastAsia"/>
      </w:rPr>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4CA0FB"/>
    <w:multiLevelType w:val="singleLevel"/>
    <w:tmpl w:val="434CA0FB"/>
    <w:lvl w:ilvl="0" w:tentative="0">
      <w:start w:val="14"/>
      <w:numFmt w:val="decimal"/>
      <w:lvlText w:val="%1."/>
      <w:lvlJc w:val="left"/>
      <w:pPr>
        <w:tabs>
          <w:tab w:val="left" w:pos="312"/>
        </w:tabs>
      </w:pPr>
    </w:lvl>
  </w:abstractNum>
  <w:abstractNum w:abstractNumId="5">
    <w:nsid w:val="77B5FA2E"/>
    <w:multiLevelType w:val="singleLevel"/>
    <w:tmpl w:val="77B5FA2E"/>
    <w:lvl w:ilvl="0" w:tentative="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MjM0MWFjYTlhMjg4MWM3ODI2NzAyMjhiMjM4NDA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0D89"/>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2E"/>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CAC"/>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6F"/>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D9D"/>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4A1"/>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3A4"/>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158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13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512"/>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246"/>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C28"/>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E71"/>
    <w:rsid w:val="00CE2E2E"/>
    <w:rsid w:val="00CE3A51"/>
    <w:rsid w:val="00CE41F9"/>
    <w:rsid w:val="00CE59F6"/>
    <w:rsid w:val="00CE66CD"/>
    <w:rsid w:val="00CE6BA9"/>
    <w:rsid w:val="00CE71C3"/>
    <w:rsid w:val="00CE727A"/>
    <w:rsid w:val="00CF029C"/>
    <w:rsid w:val="00CF0AF0"/>
    <w:rsid w:val="00CF0F6B"/>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049"/>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4DF"/>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2A6"/>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ED6"/>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10C"/>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C437EF"/>
    <w:rsid w:val="02DC4B10"/>
    <w:rsid w:val="02DD76CE"/>
    <w:rsid w:val="02F36323"/>
    <w:rsid w:val="02F5619C"/>
    <w:rsid w:val="0326446A"/>
    <w:rsid w:val="032D5555"/>
    <w:rsid w:val="036634D2"/>
    <w:rsid w:val="03756463"/>
    <w:rsid w:val="038A68D9"/>
    <w:rsid w:val="03986106"/>
    <w:rsid w:val="03DD35E4"/>
    <w:rsid w:val="04076900"/>
    <w:rsid w:val="041A5A3B"/>
    <w:rsid w:val="042311BA"/>
    <w:rsid w:val="042B157A"/>
    <w:rsid w:val="048F763B"/>
    <w:rsid w:val="049F330E"/>
    <w:rsid w:val="04AA775C"/>
    <w:rsid w:val="04AF1889"/>
    <w:rsid w:val="04B85F11"/>
    <w:rsid w:val="04EE3F9B"/>
    <w:rsid w:val="04F66F48"/>
    <w:rsid w:val="051E28A6"/>
    <w:rsid w:val="05222265"/>
    <w:rsid w:val="05251E14"/>
    <w:rsid w:val="05507636"/>
    <w:rsid w:val="05770BD6"/>
    <w:rsid w:val="058806C7"/>
    <w:rsid w:val="05A16594"/>
    <w:rsid w:val="05A7762D"/>
    <w:rsid w:val="05BF4603"/>
    <w:rsid w:val="05C04DC2"/>
    <w:rsid w:val="060E5941"/>
    <w:rsid w:val="06110FAF"/>
    <w:rsid w:val="062A6611"/>
    <w:rsid w:val="06493CA7"/>
    <w:rsid w:val="065A6178"/>
    <w:rsid w:val="066D3597"/>
    <w:rsid w:val="066F1CF3"/>
    <w:rsid w:val="06734B80"/>
    <w:rsid w:val="06930BB8"/>
    <w:rsid w:val="06956198"/>
    <w:rsid w:val="07181741"/>
    <w:rsid w:val="07245D42"/>
    <w:rsid w:val="07264C62"/>
    <w:rsid w:val="072F6604"/>
    <w:rsid w:val="074460BC"/>
    <w:rsid w:val="0779354C"/>
    <w:rsid w:val="077F0C95"/>
    <w:rsid w:val="07B245E3"/>
    <w:rsid w:val="07C300BD"/>
    <w:rsid w:val="07C84A57"/>
    <w:rsid w:val="07CC57E3"/>
    <w:rsid w:val="07EC6682"/>
    <w:rsid w:val="07F3638F"/>
    <w:rsid w:val="07FE18F3"/>
    <w:rsid w:val="08061376"/>
    <w:rsid w:val="08127C83"/>
    <w:rsid w:val="081A0204"/>
    <w:rsid w:val="082867B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955DF"/>
    <w:rsid w:val="095F057D"/>
    <w:rsid w:val="09642282"/>
    <w:rsid w:val="09733572"/>
    <w:rsid w:val="09772C16"/>
    <w:rsid w:val="097B2960"/>
    <w:rsid w:val="098353B5"/>
    <w:rsid w:val="099B7FAA"/>
    <w:rsid w:val="09A92330"/>
    <w:rsid w:val="09B06B87"/>
    <w:rsid w:val="09C13146"/>
    <w:rsid w:val="09D771D4"/>
    <w:rsid w:val="09DC63EB"/>
    <w:rsid w:val="09E04166"/>
    <w:rsid w:val="09E268B9"/>
    <w:rsid w:val="09F81448"/>
    <w:rsid w:val="0A1C0718"/>
    <w:rsid w:val="0A2C10A7"/>
    <w:rsid w:val="0A3E7710"/>
    <w:rsid w:val="0A410AF1"/>
    <w:rsid w:val="0A5B7E63"/>
    <w:rsid w:val="0A5E227D"/>
    <w:rsid w:val="0A7F4701"/>
    <w:rsid w:val="0AA374A5"/>
    <w:rsid w:val="0AAB7649"/>
    <w:rsid w:val="0AAF5E89"/>
    <w:rsid w:val="0AB24445"/>
    <w:rsid w:val="0AB86C5C"/>
    <w:rsid w:val="0ABC5606"/>
    <w:rsid w:val="0AC42692"/>
    <w:rsid w:val="0ADE3108"/>
    <w:rsid w:val="0ADF4EB4"/>
    <w:rsid w:val="0B0F74C5"/>
    <w:rsid w:val="0B30404E"/>
    <w:rsid w:val="0B3B6CCA"/>
    <w:rsid w:val="0B4C6C14"/>
    <w:rsid w:val="0B524759"/>
    <w:rsid w:val="0B631A88"/>
    <w:rsid w:val="0B683D45"/>
    <w:rsid w:val="0B691283"/>
    <w:rsid w:val="0B76461B"/>
    <w:rsid w:val="0B7F3F11"/>
    <w:rsid w:val="0B884417"/>
    <w:rsid w:val="0B93709B"/>
    <w:rsid w:val="0BA212C6"/>
    <w:rsid w:val="0BF6188C"/>
    <w:rsid w:val="0BF73C91"/>
    <w:rsid w:val="0BF80826"/>
    <w:rsid w:val="0C170175"/>
    <w:rsid w:val="0C3D5BFB"/>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B5E39"/>
    <w:rsid w:val="0E9D0089"/>
    <w:rsid w:val="0EA31690"/>
    <w:rsid w:val="0EB803EE"/>
    <w:rsid w:val="0EF94D4B"/>
    <w:rsid w:val="0F0B13B6"/>
    <w:rsid w:val="0F182768"/>
    <w:rsid w:val="0F4958DC"/>
    <w:rsid w:val="0F515DF7"/>
    <w:rsid w:val="0F596BA8"/>
    <w:rsid w:val="0F6248D2"/>
    <w:rsid w:val="0F635421"/>
    <w:rsid w:val="0F693536"/>
    <w:rsid w:val="0F7B0511"/>
    <w:rsid w:val="0F7B76D9"/>
    <w:rsid w:val="0F816ACD"/>
    <w:rsid w:val="0F9832DB"/>
    <w:rsid w:val="0FAE3329"/>
    <w:rsid w:val="0FBF3FD2"/>
    <w:rsid w:val="0FBF7FF3"/>
    <w:rsid w:val="0FCF1C32"/>
    <w:rsid w:val="0FDA406B"/>
    <w:rsid w:val="0FFC3E38"/>
    <w:rsid w:val="100A3C4E"/>
    <w:rsid w:val="10156805"/>
    <w:rsid w:val="10646583"/>
    <w:rsid w:val="107D4B15"/>
    <w:rsid w:val="10841832"/>
    <w:rsid w:val="108A3C80"/>
    <w:rsid w:val="10A15184"/>
    <w:rsid w:val="10C26171"/>
    <w:rsid w:val="10D77803"/>
    <w:rsid w:val="10DC700E"/>
    <w:rsid w:val="10F33360"/>
    <w:rsid w:val="10F4083A"/>
    <w:rsid w:val="10FC16EA"/>
    <w:rsid w:val="110F1D40"/>
    <w:rsid w:val="11266F33"/>
    <w:rsid w:val="113055C1"/>
    <w:rsid w:val="11681BCE"/>
    <w:rsid w:val="118963A1"/>
    <w:rsid w:val="119A17D0"/>
    <w:rsid w:val="11C6522A"/>
    <w:rsid w:val="11DE3281"/>
    <w:rsid w:val="11E104CC"/>
    <w:rsid w:val="11E20309"/>
    <w:rsid w:val="11F0289B"/>
    <w:rsid w:val="11FD14B9"/>
    <w:rsid w:val="12255233"/>
    <w:rsid w:val="12530213"/>
    <w:rsid w:val="12620DA8"/>
    <w:rsid w:val="127723A9"/>
    <w:rsid w:val="12862074"/>
    <w:rsid w:val="12883966"/>
    <w:rsid w:val="1298796B"/>
    <w:rsid w:val="129E45B4"/>
    <w:rsid w:val="12B72C8C"/>
    <w:rsid w:val="12D14480"/>
    <w:rsid w:val="12D21374"/>
    <w:rsid w:val="12D46CFF"/>
    <w:rsid w:val="12D81596"/>
    <w:rsid w:val="13072A44"/>
    <w:rsid w:val="131A1B7F"/>
    <w:rsid w:val="13474EA5"/>
    <w:rsid w:val="135825A1"/>
    <w:rsid w:val="135F4BE2"/>
    <w:rsid w:val="13692E64"/>
    <w:rsid w:val="13913864"/>
    <w:rsid w:val="139B1A0A"/>
    <w:rsid w:val="139B5BDE"/>
    <w:rsid w:val="139D25C7"/>
    <w:rsid w:val="13BF3CE4"/>
    <w:rsid w:val="13E47441"/>
    <w:rsid w:val="13E674F4"/>
    <w:rsid w:val="140F0A5D"/>
    <w:rsid w:val="141008D8"/>
    <w:rsid w:val="14125FE6"/>
    <w:rsid w:val="141804B7"/>
    <w:rsid w:val="142B70E5"/>
    <w:rsid w:val="14500381"/>
    <w:rsid w:val="14504DCA"/>
    <w:rsid w:val="146D271E"/>
    <w:rsid w:val="147B24A0"/>
    <w:rsid w:val="14982588"/>
    <w:rsid w:val="149A5AD9"/>
    <w:rsid w:val="14A7619D"/>
    <w:rsid w:val="14AA2978"/>
    <w:rsid w:val="14C445F3"/>
    <w:rsid w:val="14F25B02"/>
    <w:rsid w:val="14FD5656"/>
    <w:rsid w:val="150536C3"/>
    <w:rsid w:val="150C1963"/>
    <w:rsid w:val="151447A0"/>
    <w:rsid w:val="154A6454"/>
    <w:rsid w:val="156E30E2"/>
    <w:rsid w:val="15762120"/>
    <w:rsid w:val="15844A86"/>
    <w:rsid w:val="1586383D"/>
    <w:rsid w:val="15C1630E"/>
    <w:rsid w:val="15F56AC3"/>
    <w:rsid w:val="1608540D"/>
    <w:rsid w:val="161517B0"/>
    <w:rsid w:val="16204A74"/>
    <w:rsid w:val="166C515D"/>
    <w:rsid w:val="166E09CE"/>
    <w:rsid w:val="16932D64"/>
    <w:rsid w:val="16A8729C"/>
    <w:rsid w:val="16B33777"/>
    <w:rsid w:val="16BC70A7"/>
    <w:rsid w:val="16C25E91"/>
    <w:rsid w:val="16C6339E"/>
    <w:rsid w:val="16C730F7"/>
    <w:rsid w:val="16D6012D"/>
    <w:rsid w:val="16FE2244"/>
    <w:rsid w:val="17266318"/>
    <w:rsid w:val="172F2D79"/>
    <w:rsid w:val="17557BEF"/>
    <w:rsid w:val="176D1E2A"/>
    <w:rsid w:val="17852075"/>
    <w:rsid w:val="17860D50"/>
    <w:rsid w:val="1787048B"/>
    <w:rsid w:val="178B06F1"/>
    <w:rsid w:val="179B74BF"/>
    <w:rsid w:val="17A05FFC"/>
    <w:rsid w:val="17D349C1"/>
    <w:rsid w:val="17E066D8"/>
    <w:rsid w:val="1830729E"/>
    <w:rsid w:val="18394486"/>
    <w:rsid w:val="183A3B38"/>
    <w:rsid w:val="185134E3"/>
    <w:rsid w:val="18580632"/>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9B7C92"/>
    <w:rsid w:val="19A07A88"/>
    <w:rsid w:val="19A20DD5"/>
    <w:rsid w:val="19AE03F1"/>
    <w:rsid w:val="19D16EBE"/>
    <w:rsid w:val="19DA1A78"/>
    <w:rsid w:val="19E05098"/>
    <w:rsid w:val="1A071A03"/>
    <w:rsid w:val="1A1A5A79"/>
    <w:rsid w:val="1A1A697E"/>
    <w:rsid w:val="1A1F16AE"/>
    <w:rsid w:val="1A3B5C77"/>
    <w:rsid w:val="1A4C4FFA"/>
    <w:rsid w:val="1A78287A"/>
    <w:rsid w:val="1A7A249A"/>
    <w:rsid w:val="1A984BAD"/>
    <w:rsid w:val="1AB8220E"/>
    <w:rsid w:val="1AE4166C"/>
    <w:rsid w:val="1AF06CFB"/>
    <w:rsid w:val="1AF11B8D"/>
    <w:rsid w:val="1B11359C"/>
    <w:rsid w:val="1B162D7F"/>
    <w:rsid w:val="1B2A271F"/>
    <w:rsid w:val="1B530544"/>
    <w:rsid w:val="1B713184"/>
    <w:rsid w:val="1B825FBC"/>
    <w:rsid w:val="1B997205"/>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9C27B6"/>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EF84201"/>
    <w:rsid w:val="1EFDBEE4"/>
    <w:rsid w:val="1F0A0FF3"/>
    <w:rsid w:val="1F313724"/>
    <w:rsid w:val="1F366677"/>
    <w:rsid w:val="1F5771FF"/>
    <w:rsid w:val="1F803199"/>
    <w:rsid w:val="1FBB2A80"/>
    <w:rsid w:val="1FD960E2"/>
    <w:rsid w:val="1FE868A9"/>
    <w:rsid w:val="20034907"/>
    <w:rsid w:val="20173E4B"/>
    <w:rsid w:val="204E48BC"/>
    <w:rsid w:val="20816DE3"/>
    <w:rsid w:val="208921B3"/>
    <w:rsid w:val="2093370A"/>
    <w:rsid w:val="20973DEB"/>
    <w:rsid w:val="20B26522"/>
    <w:rsid w:val="20B34C6B"/>
    <w:rsid w:val="20B44310"/>
    <w:rsid w:val="20DF1008"/>
    <w:rsid w:val="20EE2FE4"/>
    <w:rsid w:val="211116EB"/>
    <w:rsid w:val="211E01F0"/>
    <w:rsid w:val="212D6D8F"/>
    <w:rsid w:val="216133FC"/>
    <w:rsid w:val="21646844"/>
    <w:rsid w:val="218944CA"/>
    <w:rsid w:val="21B3021E"/>
    <w:rsid w:val="21CE0B80"/>
    <w:rsid w:val="21D56769"/>
    <w:rsid w:val="21D62C50"/>
    <w:rsid w:val="21E52EF3"/>
    <w:rsid w:val="21FB5D7B"/>
    <w:rsid w:val="220B1C3D"/>
    <w:rsid w:val="221D1D20"/>
    <w:rsid w:val="22334A87"/>
    <w:rsid w:val="225E0148"/>
    <w:rsid w:val="22636C97"/>
    <w:rsid w:val="227604C8"/>
    <w:rsid w:val="22B61EBB"/>
    <w:rsid w:val="22B83BEE"/>
    <w:rsid w:val="22BE6801"/>
    <w:rsid w:val="22C04C60"/>
    <w:rsid w:val="22D81DF8"/>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843B7"/>
    <w:rsid w:val="248B443A"/>
    <w:rsid w:val="2492728B"/>
    <w:rsid w:val="249307DC"/>
    <w:rsid w:val="249E702F"/>
    <w:rsid w:val="24B22173"/>
    <w:rsid w:val="24B347E7"/>
    <w:rsid w:val="24B95AD9"/>
    <w:rsid w:val="24BE24DA"/>
    <w:rsid w:val="24CC572F"/>
    <w:rsid w:val="24CF5825"/>
    <w:rsid w:val="24D663E6"/>
    <w:rsid w:val="24D77F2B"/>
    <w:rsid w:val="24E4449F"/>
    <w:rsid w:val="24E64937"/>
    <w:rsid w:val="24F64431"/>
    <w:rsid w:val="25050C41"/>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684769"/>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0075CE"/>
    <w:rsid w:val="29345E77"/>
    <w:rsid w:val="29421565"/>
    <w:rsid w:val="29453CBE"/>
    <w:rsid w:val="294C65AD"/>
    <w:rsid w:val="294E3480"/>
    <w:rsid w:val="29664F12"/>
    <w:rsid w:val="29806583"/>
    <w:rsid w:val="298B3C4C"/>
    <w:rsid w:val="299D3240"/>
    <w:rsid w:val="29EB63A2"/>
    <w:rsid w:val="29F26D24"/>
    <w:rsid w:val="2A15033F"/>
    <w:rsid w:val="2A1662C1"/>
    <w:rsid w:val="2A196977"/>
    <w:rsid w:val="2A1C2610"/>
    <w:rsid w:val="2A1C7367"/>
    <w:rsid w:val="2A200230"/>
    <w:rsid w:val="2A2815FA"/>
    <w:rsid w:val="2A4A09B4"/>
    <w:rsid w:val="2A6D6092"/>
    <w:rsid w:val="2A7A1CCA"/>
    <w:rsid w:val="2A7D76B4"/>
    <w:rsid w:val="2A830ABD"/>
    <w:rsid w:val="2AD8021A"/>
    <w:rsid w:val="2AEE1B3B"/>
    <w:rsid w:val="2AF47F2E"/>
    <w:rsid w:val="2B4118C4"/>
    <w:rsid w:val="2B437463"/>
    <w:rsid w:val="2B531597"/>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1B1A0D"/>
    <w:rsid w:val="2C2959E0"/>
    <w:rsid w:val="2C37616F"/>
    <w:rsid w:val="2C6B3DCF"/>
    <w:rsid w:val="2C83526D"/>
    <w:rsid w:val="2C8360C8"/>
    <w:rsid w:val="2C8C4873"/>
    <w:rsid w:val="2C994A93"/>
    <w:rsid w:val="2CE82D6F"/>
    <w:rsid w:val="2D01380F"/>
    <w:rsid w:val="2D033AF8"/>
    <w:rsid w:val="2D1A3F2C"/>
    <w:rsid w:val="2D2216DE"/>
    <w:rsid w:val="2D343236"/>
    <w:rsid w:val="2D706EC2"/>
    <w:rsid w:val="2D956040"/>
    <w:rsid w:val="2DC53663"/>
    <w:rsid w:val="2DD15014"/>
    <w:rsid w:val="2DF72DE4"/>
    <w:rsid w:val="2DFD17EA"/>
    <w:rsid w:val="2E0220AF"/>
    <w:rsid w:val="2E2A66CA"/>
    <w:rsid w:val="2E3E31CA"/>
    <w:rsid w:val="2E4B082A"/>
    <w:rsid w:val="2E5D4E86"/>
    <w:rsid w:val="2E5D790B"/>
    <w:rsid w:val="2E776A61"/>
    <w:rsid w:val="2E876B6B"/>
    <w:rsid w:val="2E8D1ABB"/>
    <w:rsid w:val="2E9A143D"/>
    <w:rsid w:val="2E9A3C18"/>
    <w:rsid w:val="2EBB0FEE"/>
    <w:rsid w:val="2EC63002"/>
    <w:rsid w:val="2ECB46DA"/>
    <w:rsid w:val="2EE7372D"/>
    <w:rsid w:val="2F012479"/>
    <w:rsid w:val="2F064D1A"/>
    <w:rsid w:val="2F0A6B38"/>
    <w:rsid w:val="2F0E78D3"/>
    <w:rsid w:val="2F585F5C"/>
    <w:rsid w:val="2F923332"/>
    <w:rsid w:val="2F946CCB"/>
    <w:rsid w:val="2FCD6103"/>
    <w:rsid w:val="2FD25781"/>
    <w:rsid w:val="2FDE33BA"/>
    <w:rsid w:val="2FF346DE"/>
    <w:rsid w:val="2FFB7730"/>
    <w:rsid w:val="2FFD7934"/>
    <w:rsid w:val="30071E0C"/>
    <w:rsid w:val="30201A01"/>
    <w:rsid w:val="305A2255"/>
    <w:rsid w:val="30733ACD"/>
    <w:rsid w:val="308B5CAA"/>
    <w:rsid w:val="308C3862"/>
    <w:rsid w:val="309379D8"/>
    <w:rsid w:val="309B6899"/>
    <w:rsid w:val="30A270F7"/>
    <w:rsid w:val="30DF1478"/>
    <w:rsid w:val="30EA055D"/>
    <w:rsid w:val="30EC586F"/>
    <w:rsid w:val="313643EB"/>
    <w:rsid w:val="319C6071"/>
    <w:rsid w:val="31AC537E"/>
    <w:rsid w:val="31B420C4"/>
    <w:rsid w:val="31B82C24"/>
    <w:rsid w:val="31C17BA9"/>
    <w:rsid w:val="31C549B6"/>
    <w:rsid w:val="31E3679B"/>
    <w:rsid w:val="31E732FD"/>
    <w:rsid w:val="31E758D7"/>
    <w:rsid w:val="31EC5E1D"/>
    <w:rsid w:val="31F52DF2"/>
    <w:rsid w:val="32043FBC"/>
    <w:rsid w:val="323C20E8"/>
    <w:rsid w:val="324E33D2"/>
    <w:rsid w:val="32517576"/>
    <w:rsid w:val="3262346C"/>
    <w:rsid w:val="32A64673"/>
    <w:rsid w:val="32BE5C2C"/>
    <w:rsid w:val="32DF54E6"/>
    <w:rsid w:val="32FB6478"/>
    <w:rsid w:val="330D3A66"/>
    <w:rsid w:val="331E793D"/>
    <w:rsid w:val="332637C2"/>
    <w:rsid w:val="33263B3F"/>
    <w:rsid w:val="336963EB"/>
    <w:rsid w:val="33816EEB"/>
    <w:rsid w:val="338863E7"/>
    <w:rsid w:val="33D80FFE"/>
    <w:rsid w:val="33EB55CD"/>
    <w:rsid w:val="33EC4C02"/>
    <w:rsid w:val="340D2360"/>
    <w:rsid w:val="340D3EB8"/>
    <w:rsid w:val="3410665D"/>
    <w:rsid w:val="341113B0"/>
    <w:rsid w:val="34211214"/>
    <w:rsid w:val="342E63AB"/>
    <w:rsid w:val="34433534"/>
    <w:rsid w:val="3466782F"/>
    <w:rsid w:val="347B5D1E"/>
    <w:rsid w:val="34812DB4"/>
    <w:rsid w:val="34950E68"/>
    <w:rsid w:val="34986E94"/>
    <w:rsid w:val="34AF62C9"/>
    <w:rsid w:val="34CB4388"/>
    <w:rsid w:val="34CF111D"/>
    <w:rsid w:val="34DC2C0A"/>
    <w:rsid w:val="34F944D2"/>
    <w:rsid w:val="34FA6E12"/>
    <w:rsid w:val="354D7158"/>
    <w:rsid w:val="35551D07"/>
    <w:rsid w:val="35763D9D"/>
    <w:rsid w:val="35834085"/>
    <w:rsid w:val="358D5588"/>
    <w:rsid w:val="36136070"/>
    <w:rsid w:val="363924A3"/>
    <w:rsid w:val="363A3B40"/>
    <w:rsid w:val="365302AE"/>
    <w:rsid w:val="36605FE5"/>
    <w:rsid w:val="36607A0A"/>
    <w:rsid w:val="366E227C"/>
    <w:rsid w:val="366F2E0D"/>
    <w:rsid w:val="36756CDE"/>
    <w:rsid w:val="367B6A5C"/>
    <w:rsid w:val="36A74ADA"/>
    <w:rsid w:val="36A927E3"/>
    <w:rsid w:val="36AD60D5"/>
    <w:rsid w:val="36B224F9"/>
    <w:rsid w:val="36EC0CC9"/>
    <w:rsid w:val="37390A8E"/>
    <w:rsid w:val="373F410B"/>
    <w:rsid w:val="3756404C"/>
    <w:rsid w:val="37611015"/>
    <w:rsid w:val="376A0174"/>
    <w:rsid w:val="3786509C"/>
    <w:rsid w:val="378C13F6"/>
    <w:rsid w:val="37BD1A5A"/>
    <w:rsid w:val="37D41714"/>
    <w:rsid w:val="37E1109A"/>
    <w:rsid w:val="37E16E9C"/>
    <w:rsid w:val="37EE7094"/>
    <w:rsid w:val="38296C89"/>
    <w:rsid w:val="382A0C93"/>
    <w:rsid w:val="383002EB"/>
    <w:rsid w:val="38586797"/>
    <w:rsid w:val="388843DC"/>
    <w:rsid w:val="388C41BE"/>
    <w:rsid w:val="38BA7196"/>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AAA7CBE"/>
    <w:rsid w:val="3B2349B7"/>
    <w:rsid w:val="3B4677B8"/>
    <w:rsid w:val="3B4F5EBB"/>
    <w:rsid w:val="3B616CFF"/>
    <w:rsid w:val="3B6259F6"/>
    <w:rsid w:val="3B7603BC"/>
    <w:rsid w:val="3B894B0B"/>
    <w:rsid w:val="3B976654"/>
    <w:rsid w:val="3B9B68EE"/>
    <w:rsid w:val="3BC01EFC"/>
    <w:rsid w:val="3BC52CC1"/>
    <w:rsid w:val="3BC62CA8"/>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5AF7"/>
    <w:rsid w:val="3DB67810"/>
    <w:rsid w:val="3DB71220"/>
    <w:rsid w:val="3DD50C8A"/>
    <w:rsid w:val="3DD548B4"/>
    <w:rsid w:val="3DE041CB"/>
    <w:rsid w:val="3E0D48F6"/>
    <w:rsid w:val="3E1868B4"/>
    <w:rsid w:val="3E1D2DF9"/>
    <w:rsid w:val="3E2B6524"/>
    <w:rsid w:val="3E377251"/>
    <w:rsid w:val="3E42664B"/>
    <w:rsid w:val="3E5A7334"/>
    <w:rsid w:val="3E5B57F0"/>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D1F66"/>
    <w:rsid w:val="3FAF4907"/>
    <w:rsid w:val="400B2468"/>
    <w:rsid w:val="4019136A"/>
    <w:rsid w:val="4019356B"/>
    <w:rsid w:val="401E1828"/>
    <w:rsid w:val="402B19D5"/>
    <w:rsid w:val="40592157"/>
    <w:rsid w:val="406E1CAE"/>
    <w:rsid w:val="40837648"/>
    <w:rsid w:val="40937DD1"/>
    <w:rsid w:val="409D6781"/>
    <w:rsid w:val="40A0133A"/>
    <w:rsid w:val="40C31A53"/>
    <w:rsid w:val="40C657CD"/>
    <w:rsid w:val="40F33AA5"/>
    <w:rsid w:val="40F92A66"/>
    <w:rsid w:val="40FF545D"/>
    <w:rsid w:val="410067C8"/>
    <w:rsid w:val="413C45E3"/>
    <w:rsid w:val="4147433B"/>
    <w:rsid w:val="418F0D2A"/>
    <w:rsid w:val="4193304C"/>
    <w:rsid w:val="419500D6"/>
    <w:rsid w:val="41CD5235"/>
    <w:rsid w:val="41D01505"/>
    <w:rsid w:val="42006AB8"/>
    <w:rsid w:val="42082B4F"/>
    <w:rsid w:val="42114ECB"/>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407E5"/>
    <w:rsid w:val="43AA2F9D"/>
    <w:rsid w:val="43C77C27"/>
    <w:rsid w:val="43DE09EE"/>
    <w:rsid w:val="44002FAD"/>
    <w:rsid w:val="4430589B"/>
    <w:rsid w:val="44314823"/>
    <w:rsid w:val="44356927"/>
    <w:rsid w:val="446612A5"/>
    <w:rsid w:val="449101DD"/>
    <w:rsid w:val="449D00C3"/>
    <w:rsid w:val="44C753FD"/>
    <w:rsid w:val="44DE1391"/>
    <w:rsid w:val="44E72961"/>
    <w:rsid w:val="4501715A"/>
    <w:rsid w:val="451B225C"/>
    <w:rsid w:val="452410C9"/>
    <w:rsid w:val="452B71EC"/>
    <w:rsid w:val="452E1696"/>
    <w:rsid w:val="45317DFB"/>
    <w:rsid w:val="456450B8"/>
    <w:rsid w:val="456D3CE4"/>
    <w:rsid w:val="4579042C"/>
    <w:rsid w:val="457E4BFD"/>
    <w:rsid w:val="457F0571"/>
    <w:rsid w:val="45851176"/>
    <w:rsid w:val="45853C91"/>
    <w:rsid w:val="458A2D71"/>
    <w:rsid w:val="458E4BD4"/>
    <w:rsid w:val="459C0750"/>
    <w:rsid w:val="45C63B94"/>
    <w:rsid w:val="45F134FD"/>
    <w:rsid w:val="460E7DA5"/>
    <w:rsid w:val="46160B50"/>
    <w:rsid w:val="461A57AC"/>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AF6336"/>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BA543E"/>
    <w:rsid w:val="48CD3EBF"/>
    <w:rsid w:val="48E37AAB"/>
    <w:rsid w:val="48EC362B"/>
    <w:rsid w:val="48FB2C50"/>
    <w:rsid w:val="48FD4B4C"/>
    <w:rsid w:val="490606C8"/>
    <w:rsid w:val="490A68E0"/>
    <w:rsid w:val="491055FE"/>
    <w:rsid w:val="49131B61"/>
    <w:rsid w:val="49353545"/>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3772A"/>
    <w:rsid w:val="4AEB7664"/>
    <w:rsid w:val="4AFD7C19"/>
    <w:rsid w:val="4B0567D1"/>
    <w:rsid w:val="4B236AAE"/>
    <w:rsid w:val="4B555D27"/>
    <w:rsid w:val="4B5E0F27"/>
    <w:rsid w:val="4B6D6E85"/>
    <w:rsid w:val="4B707271"/>
    <w:rsid w:val="4B8626D0"/>
    <w:rsid w:val="4B9739F7"/>
    <w:rsid w:val="4B974368"/>
    <w:rsid w:val="4B9A5ABA"/>
    <w:rsid w:val="4B9A6B21"/>
    <w:rsid w:val="4B9C1FA2"/>
    <w:rsid w:val="4BC13280"/>
    <w:rsid w:val="4BC74FD0"/>
    <w:rsid w:val="4BE96C25"/>
    <w:rsid w:val="4BEE2503"/>
    <w:rsid w:val="4BF80D38"/>
    <w:rsid w:val="4C245A30"/>
    <w:rsid w:val="4C5D53ED"/>
    <w:rsid w:val="4C676029"/>
    <w:rsid w:val="4C92582E"/>
    <w:rsid w:val="4CA601B0"/>
    <w:rsid w:val="4CAF7256"/>
    <w:rsid w:val="4CB6685F"/>
    <w:rsid w:val="4CC367FE"/>
    <w:rsid w:val="4CD54317"/>
    <w:rsid w:val="4CFD5C88"/>
    <w:rsid w:val="4D077F3C"/>
    <w:rsid w:val="4D123355"/>
    <w:rsid w:val="4D2A3B31"/>
    <w:rsid w:val="4D312C52"/>
    <w:rsid w:val="4D4B0F25"/>
    <w:rsid w:val="4D681E20"/>
    <w:rsid w:val="4D905305"/>
    <w:rsid w:val="4D964A72"/>
    <w:rsid w:val="4D9777B9"/>
    <w:rsid w:val="4D9C1254"/>
    <w:rsid w:val="4E0E210B"/>
    <w:rsid w:val="4E526455"/>
    <w:rsid w:val="4E5A0B37"/>
    <w:rsid w:val="4E793892"/>
    <w:rsid w:val="4E800872"/>
    <w:rsid w:val="4E9532A8"/>
    <w:rsid w:val="4E9A20A5"/>
    <w:rsid w:val="4EA41766"/>
    <w:rsid w:val="4EC569ED"/>
    <w:rsid w:val="4ED50EA1"/>
    <w:rsid w:val="4EEC050C"/>
    <w:rsid w:val="4EF23735"/>
    <w:rsid w:val="4EF833C6"/>
    <w:rsid w:val="4F104EC3"/>
    <w:rsid w:val="4F47354A"/>
    <w:rsid w:val="4F4D65E5"/>
    <w:rsid w:val="4F911C54"/>
    <w:rsid w:val="4FBB0CE4"/>
    <w:rsid w:val="4FE625E0"/>
    <w:rsid w:val="4FED5402"/>
    <w:rsid w:val="4FEE74EC"/>
    <w:rsid w:val="5021480F"/>
    <w:rsid w:val="505D15FC"/>
    <w:rsid w:val="506C1562"/>
    <w:rsid w:val="506D32B5"/>
    <w:rsid w:val="50707CB0"/>
    <w:rsid w:val="50755E1B"/>
    <w:rsid w:val="50937BE4"/>
    <w:rsid w:val="50962ECB"/>
    <w:rsid w:val="50A42E38"/>
    <w:rsid w:val="50A4577F"/>
    <w:rsid w:val="50B73D1F"/>
    <w:rsid w:val="50BD5BC9"/>
    <w:rsid w:val="50C11EEE"/>
    <w:rsid w:val="50D73351"/>
    <w:rsid w:val="50E97CFC"/>
    <w:rsid w:val="50F1399D"/>
    <w:rsid w:val="50FA4028"/>
    <w:rsid w:val="50FE434C"/>
    <w:rsid w:val="510765C8"/>
    <w:rsid w:val="510C108B"/>
    <w:rsid w:val="510D65B7"/>
    <w:rsid w:val="511157AB"/>
    <w:rsid w:val="5142540C"/>
    <w:rsid w:val="518832C8"/>
    <w:rsid w:val="51A0432A"/>
    <w:rsid w:val="51A86090"/>
    <w:rsid w:val="51B7396D"/>
    <w:rsid w:val="51C615D4"/>
    <w:rsid w:val="51F16305"/>
    <w:rsid w:val="51F4743E"/>
    <w:rsid w:val="522E4CC3"/>
    <w:rsid w:val="5244713B"/>
    <w:rsid w:val="52615633"/>
    <w:rsid w:val="526A04DD"/>
    <w:rsid w:val="528648C0"/>
    <w:rsid w:val="52977FD4"/>
    <w:rsid w:val="52992FAB"/>
    <w:rsid w:val="52A25790"/>
    <w:rsid w:val="52A96B6F"/>
    <w:rsid w:val="52B45975"/>
    <w:rsid w:val="52D94AA4"/>
    <w:rsid w:val="52EA3A62"/>
    <w:rsid w:val="52F50BB8"/>
    <w:rsid w:val="53097272"/>
    <w:rsid w:val="53544462"/>
    <w:rsid w:val="53676980"/>
    <w:rsid w:val="53960CB2"/>
    <w:rsid w:val="5397158E"/>
    <w:rsid w:val="53D42C20"/>
    <w:rsid w:val="53F02E90"/>
    <w:rsid w:val="54013861"/>
    <w:rsid w:val="54487265"/>
    <w:rsid w:val="544D6070"/>
    <w:rsid w:val="545B4ECF"/>
    <w:rsid w:val="54605E1E"/>
    <w:rsid w:val="54653858"/>
    <w:rsid w:val="548D56AF"/>
    <w:rsid w:val="548E75BD"/>
    <w:rsid w:val="54B3506A"/>
    <w:rsid w:val="54CA0D16"/>
    <w:rsid w:val="54D97AA3"/>
    <w:rsid w:val="54DD4057"/>
    <w:rsid w:val="54E7490F"/>
    <w:rsid w:val="54FF4546"/>
    <w:rsid w:val="55061018"/>
    <w:rsid w:val="550764A4"/>
    <w:rsid w:val="550B2BF6"/>
    <w:rsid w:val="55214EB5"/>
    <w:rsid w:val="55364EFD"/>
    <w:rsid w:val="55414803"/>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650D6"/>
    <w:rsid w:val="566B6D1E"/>
    <w:rsid w:val="567D2234"/>
    <w:rsid w:val="569E129D"/>
    <w:rsid w:val="56C14A17"/>
    <w:rsid w:val="56C76EC1"/>
    <w:rsid w:val="56E36266"/>
    <w:rsid w:val="56FC107D"/>
    <w:rsid w:val="57032A2C"/>
    <w:rsid w:val="570F5219"/>
    <w:rsid w:val="575D12B5"/>
    <w:rsid w:val="57610A87"/>
    <w:rsid w:val="577B1140"/>
    <w:rsid w:val="577B7F21"/>
    <w:rsid w:val="577F181B"/>
    <w:rsid w:val="57921984"/>
    <w:rsid w:val="57946C8E"/>
    <w:rsid w:val="579737F0"/>
    <w:rsid w:val="57AB7B30"/>
    <w:rsid w:val="57AF5251"/>
    <w:rsid w:val="57B26373"/>
    <w:rsid w:val="57B3517E"/>
    <w:rsid w:val="57B63F04"/>
    <w:rsid w:val="57CC0A22"/>
    <w:rsid w:val="57CD20C2"/>
    <w:rsid w:val="57D675AB"/>
    <w:rsid w:val="57D95FDD"/>
    <w:rsid w:val="57E54EEA"/>
    <w:rsid w:val="57F35D7D"/>
    <w:rsid w:val="58207F63"/>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55E85"/>
    <w:rsid w:val="5A5D3B6E"/>
    <w:rsid w:val="5A637A76"/>
    <w:rsid w:val="5A686384"/>
    <w:rsid w:val="5A6D33BA"/>
    <w:rsid w:val="5A792B1F"/>
    <w:rsid w:val="5A874767"/>
    <w:rsid w:val="5A9A655F"/>
    <w:rsid w:val="5AA85BE2"/>
    <w:rsid w:val="5AAD6F28"/>
    <w:rsid w:val="5AD63A24"/>
    <w:rsid w:val="5AE51FB6"/>
    <w:rsid w:val="5B0B0B6B"/>
    <w:rsid w:val="5B2E1A1D"/>
    <w:rsid w:val="5B47691A"/>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CFA65D6"/>
    <w:rsid w:val="5D0C4701"/>
    <w:rsid w:val="5D0F0395"/>
    <w:rsid w:val="5D221076"/>
    <w:rsid w:val="5D307D5D"/>
    <w:rsid w:val="5D397964"/>
    <w:rsid w:val="5D551783"/>
    <w:rsid w:val="5D5A391C"/>
    <w:rsid w:val="5D5F10C0"/>
    <w:rsid w:val="5D891B7B"/>
    <w:rsid w:val="5D893FC3"/>
    <w:rsid w:val="5D8A5E82"/>
    <w:rsid w:val="5D930F65"/>
    <w:rsid w:val="5D945FAA"/>
    <w:rsid w:val="5DAD38EE"/>
    <w:rsid w:val="5E006862"/>
    <w:rsid w:val="5E0207B9"/>
    <w:rsid w:val="5E093CEF"/>
    <w:rsid w:val="5E1834A1"/>
    <w:rsid w:val="5E261785"/>
    <w:rsid w:val="5E4A7017"/>
    <w:rsid w:val="5E552BBA"/>
    <w:rsid w:val="5E5F0EBF"/>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C1906"/>
    <w:rsid w:val="5FFE1E36"/>
    <w:rsid w:val="60172C7B"/>
    <w:rsid w:val="60232584"/>
    <w:rsid w:val="60305BC5"/>
    <w:rsid w:val="605864BB"/>
    <w:rsid w:val="607330CE"/>
    <w:rsid w:val="60825176"/>
    <w:rsid w:val="60873AD9"/>
    <w:rsid w:val="6098238E"/>
    <w:rsid w:val="609F2AC4"/>
    <w:rsid w:val="60C413D5"/>
    <w:rsid w:val="60FA2EE8"/>
    <w:rsid w:val="60FD48E7"/>
    <w:rsid w:val="61054A27"/>
    <w:rsid w:val="610A52BC"/>
    <w:rsid w:val="611D2366"/>
    <w:rsid w:val="61421856"/>
    <w:rsid w:val="61436331"/>
    <w:rsid w:val="615227C4"/>
    <w:rsid w:val="61654E3F"/>
    <w:rsid w:val="617514F6"/>
    <w:rsid w:val="6182292A"/>
    <w:rsid w:val="618B5F69"/>
    <w:rsid w:val="61920318"/>
    <w:rsid w:val="61985864"/>
    <w:rsid w:val="619F7F92"/>
    <w:rsid w:val="61B95E38"/>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3DF75C1"/>
    <w:rsid w:val="64043733"/>
    <w:rsid w:val="64055776"/>
    <w:rsid w:val="64175397"/>
    <w:rsid w:val="64201CD3"/>
    <w:rsid w:val="64240056"/>
    <w:rsid w:val="64337D05"/>
    <w:rsid w:val="6434431F"/>
    <w:rsid w:val="643E143A"/>
    <w:rsid w:val="644A0C02"/>
    <w:rsid w:val="648B6EEF"/>
    <w:rsid w:val="64C158BF"/>
    <w:rsid w:val="64CE2EAA"/>
    <w:rsid w:val="64F1279C"/>
    <w:rsid w:val="65092215"/>
    <w:rsid w:val="6536557B"/>
    <w:rsid w:val="653C3090"/>
    <w:rsid w:val="65854376"/>
    <w:rsid w:val="658767BE"/>
    <w:rsid w:val="65882CD5"/>
    <w:rsid w:val="65892531"/>
    <w:rsid w:val="658F3609"/>
    <w:rsid w:val="65C37089"/>
    <w:rsid w:val="65E616BA"/>
    <w:rsid w:val="66153939"/>
    <w:rsid w:val="66195831"/>
    <w:rsid w:val="662E75B1"/>
    <w:rsid w:val="66342C2E"/>
    <w:rsid w:val="663E784C"/>
    <w:rsid w:val="66551A38"/>
    <w:rsid w:val="666D1F69"/>
    <w:rsid w:val="667133EA"/>
    <w:rsid w:val="668B6A45"/>
    <w:rsid w:val="66DE04FB"/>
    <w:rsid w:val="66F85C8F"/>
    <w:rsid w:val="670A604C"/>
    <w:rsid w:val="671E7365"/>
    <w:rsid w:val="67230B7E"/>
    <w:rsid w:val="67277552"/>
    <w:rsid w:val="672F3F24"/>
    <w:rsid w:val="673E055F"/>
    <w:rsid w:val="67551CE3"/>
    <w:rsid w:val="67736CB8"/>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482477"/>
    <w:rsid w:val="695F5EA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6362C3"/>
    <w:rsid w:val="6A8121CF"/>
    <w:rsid w:val="6A8F2B46"/>
    <w:rsid w:val="6AB20DE6"/>
    <w:rsid w:val="6AB7D8A7"/>
    <w:rsid w:val="6ABA3454"/>
    <w:rsid w:val="6ABE3712"/>
    <w:rsid w:val="6ADC5EF8"/>
    <w:rsid w:val="6ADE0BD1"/>
    <w:rsid w:val="6AE461D0"/>
    <w:rsid w:val="6AE96859"/>
    <w:rsid w:val="6AFC22AA"/>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65790"/>
    <w:rsid w:val="6C8C2DF7"/>
    <w:rsid w:val="6C8C67B7"/>
    <w:rsid w:val="6C9D744C"/>
    <w:rsid w:val="6CB578CC"/>
    <w:rsid w:val="6CFD6256"/>
    <w:rsid w:val="6CFE67A8"/>
    <w:rsid w:val="6D167928"/>
    <w:rsid w:val="6D261515"/>
    <w:rsid w:val="6D26299B"/>
    <w:rsid w:val="6D4772EC"/>
    <w:rsid w:val="6D497D69"/>
    <w:rsid w:val="6D6D4FC1"/>
    <w:rsid w:val="6D8007DE"/>
    <w:rsid w:val="6D9078AF"/>
    <w:rsid w:val="6D9F39C3"/>
    <w:rsid w:val="6DAA3FEF"/>
    <w:rsid w:val="6DC0172B"/>
    <w:rsid w:val="6DCB690C"/>
    <w:rsid w:val="6DD41A5B"/>
    <w:rsid w:val="6DEB4D95"/>
    <w:rsid w:val="6DF43C2E"/>
    <w:rsid w:val="6DF4670C"/>
    <w:rsid w:val="6DF51CA3"/>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6214F3"/>
    <w:rsid w:val="707723D0"/>
    <w:rsid w:val="70BC6081"/>
    <w:rsid w:val="70DB77AC"/>
    <w:rsid w:val="70EA0605"/>
    <w:rsid w:val="70F5661B"/>
    <w:rsid w:val="70FF0D7D"/>
    <w:rsid w:val="7123737D"/>
    <w:rsid w:val="71360107"/>
    <w:rsid w:val="713B688E"/>
    <w:rsid w:val="71413659"/>
    <w:rsid w:val="716167CC"/>
    <w:rsid w:val="716729DD"/>
    <w:rsid w:val="71784D19"/>
    <w:rsid w:val="7183561A"/>
    <w:rsid w:val="71BE6408"/>
    <w:rsid w:val="71C63141"/>
    <w:rsid w:val="71D43752"/>
    <w:rsid w:val="71D7083C"/>
    <w:rsid w:val="71DF0B1D"/>
    <w:rsid w:val="71F1796A"/>
    <w:rsid w:val="720846CC"/>
    <w:rsid w:val="72154626"/>
    <w:rsid w:val="721D25FC"/>
    <w:rsid w:val="721F290F"/>
    <w:rsid w:val="72202699"/>
    <w:rsid w:val="72262B5D"/>
    <w:rsid w:val="72283FF7"/>
    <w:rsid w:val="722E7212"/>
    <w:rsid w:val="723A0474"/>
    <w:rsid w:val="723F6D35"/>
    <w:rsid w:val="725923E4"/>
    <w:rsid w:val="72864BF7"/>
    <w:rsid w:val="72882086"/>
    <w:rsid w:val="729023FC"/>
    <w:rsid w:val="72903562"/>
    <w:rsid w:val="729B6005"/>
    <w:rsid w:val="733470C6"/>
    <w:rsid w:val="734C0B28"/>
    <w:rsid w:val="73533CC2"/>
    <w:rsid w:val="736D2DF9"/>
    <w:rsid w:val="73B8FB16"/>
    <w:rsid w:val="73BF35C9"/>
    <w:rsid w:val="73C0646E"/>
    <w:rsid w:val="73D62258"/>
    <w:rsid w:val="74200361"/>
    <w:rsid w:val="742222F5"/>
    <w:rsid w:val="742348D0"/>
    <w:rsid w:val="74476126"/>
    <w:rsid w:val="74624977"/>
    <w:rsid w:val="74706664"/>
    <w:rsid w:val="7475702A"/>
    <w:rsid w:val="747F3682"/>
    <w:rsid w:val="749C4185"/>
    <w:rsid w:val="74A73931"/>
    <w:rsid w:val="74BE006A"/>
    <w:rsid w:val="74DA51BD"/>
    <w:rsid w:val="74F16D96"/>
    <w:rsid w:val="75067759"/>
    <w:rsid w:val="752E6DCD"/>
    <w:rsid w:val="754B4BDD"/>
    <w:rsid w:val="7551380D"/>
    <w:rsid w:val="75600BE5"/>
    <w:rsid w:val="7564475C"/>
    <w:rsid w:val="75834A5C"/>
    <w:rsid w:val="7583797F"/>
    <w:rsid w:val="75D20F1D"/>
    <w:rsid w:val="75DA2C18"/>
    <w:rsid w:val="75F54412"/>
    <w:rsid w:val="75FF1B9F"/>
    <w:rsid w:val="761969BC"/>
    <w:rsid w:val="761B37BC"/>
    <w:rsid w:val="761D08E0"/>
    <w:rsid w:val="76400B70"/>
    <w:rsid w:val="765D347C"/>
    <w:rsid w:val="76734A38"/>
    <w:rsid w:val="76826699"/>
    <w:rsid w:val="7688753D"/>
    <w:rsid w:val="76B651F6"/>
    <w:rsid w:val="76C87133"/>
    <w:rsid w:val="76CD08D5"/>
    <w:rsid w:val="76DB4B92"/>
    <w:rsid w:val="76DF1372"/>
    <w:rsid w:val="76FF4961"/>
    <w:rsid w:val="77052AA4"/>
    <w:rsid w:val="77136511"/>
    <w:rsid w:val="772A1F91"/>
    <w:rsid w:val="77340A39"/>
    <w:rsid w:val="77351FD0"/>
    <w:rsid w:val="77472422"/>
    <w:rsid w:val="777F31F2"/>
    <w:rsid w:val="77BC4C63"/>
    <w:rsid w:val="77C24C2D"/>
    <w:rsid w:val="77D1700D"/>
    <w:rsid w:val="77E4568D"/>
    <w:rsid w:val="77E95CEC"/>
    <w:rsid w:val="77EC04CC"/>
    <w:rsid w:val="78006A23"/>
    <w:rsid w:val="781E6205"/>
    <w:rsid w:val="78775729"/>
    <w:rsid w:val="78A00DDE"/>
    <w:rsid w:val="78A42DB0"/>
    <w:rsid w:val="78A656AB"/>
    <w:rsid w:val="78B2245C"/>
    <w:rsid w:val="78E172CC"/>
    <w:rsid w:val="78EA1D1F"/>
    <w:rsid w:val="7904172F"/>
    <w:rsid w:val="79062AD2"/>
    <w:rsid w:val="790F7E27"/>
    <w:rsid w:val="79206DB4"/>
    <w:rsid w:val="792A231A"/>
    <w:rsid w:val="792E1E7E"/>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4F3E5E"/>
    <w:rsid w:val="7B5A2978"/>
    <w:rsid w:val="7B5A7E4C"/>
    <w:rsid w:val="7B667AF9"/>
    <w:rsid w:val="7B7468F8"/>
    <w:rsid w:val="7BA619AB"/>
    <w:rsid w:val="7BD65779"/>
    <w:rsid w:val="7BE64CF7"/>
    <w:rsid w:val="7BEE0103"/>
    <w:rsid w:val="7C0A0FE4"/>
    <w:rsid w:val="7C254906"/>
    <w:rsid w:val="7C274B3F"/>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AD6DD7"/>
    <w:rsid w:val="7DB1681F"/>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 w:val="FFFE1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8"/>
    <w:qFormat/>
    <w:uiPriority w:val="0"/>
    <w:pPr>
      <w:ind w:firstLine="420"/>
    </w:pPr>
    <w:rPr>
      <w:rFonts w:hAnsi="Calibri" w:cs="Times New Roman"/>
      <w:snapToGrid/>
      <w:szCs w:val="20"/>
    </w:rPr>
  </w:style>
  <w:style w:type="paragraph" w:styleId="26">
    <w:name w:val="Body Text Indent"/>
    <w:basedOn w:val="1"/>
    <w:next w:val="1"/>
    <w:link w:val="27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 w:val="24"/>
      <w:szCs w:val="21"/>
      <w:lang w:val="zh-CN"/>
    </w:rPr>
  </w:style>
  <w:style w:type="paragraph" w:styleId="38">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196"/>
    <w:qFormat/>
    <w:uiPriority w:val="0"/>
    <w:rPr>
      <w:sz w:val="18"/>
      <w:szCs w:val="18"/>
    </w:rPr>
  </w:style>
  <w:style w:type="paragraph" w:styleId="41">
    <w:name w:val="footer"/>
    <w:basedOn w:val="1"/>
    <w:link w:val="390"/>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4"/>
    <w:qFormat/>
    <w:uiPriority w:val="0"/>
    <w:rPr>
      <w:b/>
      <w:bCs/>
    </w:rPr>
  </w:style>
  <w:style w:type="paragraph" w:styleId="63">
    <w:name w:val="Body Text First Indent 2"/>
    <w:basedOn w:val="26"/>
    <w:next w:val="1"/>
    <w:link w:val="129"/>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qFormat/>
    <w:uiPriority w:val="0"/>
    <w:rPr>
      <w:rFonts w:ascii="宋体" w:hAnsi="宋体" w:eastAsia="宋体" w:cs="Times New Roman"/>
      <w:sz w:val="24"/>
      <w:lang w:val="zh-CN" w:eastAsia="zh-CN" w:bidi="ar-SA"/>
    </w:rPr>
  </w:style>
  <w:style w:type="paragraph" w:styleId="88">
    <w:name w:val="List Paragraph"/>
    <w:basedOn w:val="1"/>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6"/>
    <w:qFormat/>
    <w:uiPriority w:val="99"/>
    <w:pPr>
      <w:spacing w:line="200" w:lineRule="atLeast"/>
      <w:ind w:firstLine="420"/>
    </w:pPr>
    <w:rPr>
      <w:rFonts w:hAnsi="Courier New"/>
      <w:spacing w:val="-4"/>
      <w:sz w:val="1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2"/>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3"/>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1"/>
    <w:qFormat/>
    <w:uiPriority w:val="0"/>
    <w:rPr>
      <w:rFonts w:ascii="Arial" w:hAnsi="Arial" w:eastAsia="黑体" w:cs="Arial"/>
      <w:snapToGrid w:val="0"/>
      <w:kern w:val="0"/>
      <w:szCs w:val="21"/>
    </w:rPr>
  </w:style>
  <w:style w:type="character" w:customStyle="1" w:styleId="13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9"/>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2"/>
    <w:link w:val="178"/>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7"/>
    <w:qFormat/>
    <w:uiPriority w:val="0"/>
    <w:rPr>
      <w:rFonts w:ascii="宋体"/>
      <w:kern w:val="2"/>
      <w:sz w:val="24"/>
      <w:szCs w:val="21"/>
      <w:lang w:val="zh-CN"/>
    </w:rPr>
  </w:style>
  <w:style w:type="character" w:customStyle="1" w:styleId="190">
    <w:name w:val="标题 9 Char"/>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40"/>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1"/>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1"/>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2"/>
    <w:qFormat/>
    <w:uiPriority w:val="0"/>
    <w:rPr>
      <w:rFonts w:ascii="仿宋_GB2312" w:eastAsia="仿宋_GB2312" w:cs="仿宋_GB2312"/>
      <w:color w:val="000000"/>
      <w:sz w:val="24"/>
      <w:szCs w:val="24"/>
      <w:lang w:val="en-US" w:eastAsia="zh-CN" w:bidi="ar-SA"/>
    </w:rPr>
  </w:style>
  <w:style w:type="paragraph" w:customStyle="1" w:styleId="2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8"/>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9"/>
    <w:qFormat/>
    <w:uiPriority w:val="0"/>
    <w:rPr>
      <w:rFonts w:ascii="黑体" w:hAnsi="Courier New" w:eastAsia="黑体"/>
    </w:rPr>
  </w:style>
  <w:style w:type="character" w:customStyle="1" w:styleId="309">
    <w:name w:val="正文文本 2 Char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8"/>
    <w:qFormat/>
    <w:uiPriority w:val="0"/>
    <w:rPr>
      <w:b/>
      <w:bCs/>
      <w:kern w:val="2"/>
      <w:sz w:val="24"/>
      <w:szCs w:val="24"/>
    </w:rPr>
  </w:style>
  <w:style w:type="character" w:customStyle="1" w:styleId="315">
    <w:name w:val="正文文本缩进 2 Char"/>
    <w:link w:val="38"/>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2"/>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25"/>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5"/>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0"/>
    <w:qFormat/>
    <w:uiPriority w:val="0"/>
    <w:rPr>
      <w:kern w:val="2"/>
      <w:sz w:val="21"/>
      <w:szCs w:val="24"/>
    </w:rPr>
  </w:style>
  <w:style w:type="character" w:customStyle="1" w:styleId="352">
    <w:name w:val="签名 Char"/>
    <w:link w:val="44"/>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9"/>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2"/>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2"/>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88"/>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2"/>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qFormat/>
    <w:uiPriority w:val="0"/>
    <w:rPr>
      <w:rFonts w:hint="eastAsia" w:ascii="Calibri" w:hAnsi="Calibri" w:eastAsia="宋体" w:cs="Times New Roman"/>
      <w:lang w:val="en-US" w:eastAsia="zh-Hans" w:bidi="ar-SA"/>
    </w:rPr>
  </w:style>
  <w:style w:type="paragraph" w:customStyle="1" w:styleId="976">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rPr>
  </w:style>
  <w:style w:type="paragraph" w:customStyle="1" w:styleId="981">
    <w:name w:val="NormalIndent"/>
    <w:basedOn w:val="1"/>
    <w:qFormat/>
    <w:uiPriority w:val="0"/>
    <w:pPr>
      <w:widowControl/>
      <w:spacing w:after="200"/>
      <w:ind w:firstLine="420"/>
      <w:jc w:val="left"/>
    </w:pPr>
    <w:rPr>
      <w:rFonts w:cstheme="majorBidi"/>
      <w:kern w:val="0"/>
    </w:rPr>
  </w:style>
  <w:style w:type="character" w:customStyle="1" w:styleId="982">
    <w:name w:val="header-title"/>
    <w:basedOn w:val="71"/>
    <w:qFormat/>
    <w:uiPriority w:val="0"/>
    <w:rPr>
      <w:b/>
      <w:bCs/>
      <w:color w:val="D71D21"/>
      <w:sz w:val="37"/>
      <w:szCs w:val="37"/>
    </w:rPr>
  </w:style>
  <w:style w:type="character" w:customStyle="1" w:styleId="983">
    <w:name w:val="line"/>
    <w:basedOn w:val="71"/>
    <w:qFormat/>
    <w:uiPriority w:val="0"/>
    <w:rPr>
      <w:sz w:val="19"/>
      <w:szCs w:val="19"/>
    </w:rPr>
  </w:style>
  <w:style w:type="character" w:customStyle="1" w:styleId="984">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9890</Words>
  <Characters>10641</Characters>
  <Lines>274</Lines>
  <Paragraphs>77</Paragraphs>
  <TotalTime>0</TotalTime>
  <ScaleCrop>false</ScaleCrop>
  <LinksUpToDate>false</LinksUpToDate>
  <CharactersWithSpaces>10728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2024-10-10T19:26:00Z</dcterms:created>
  <dc:creator>玥</dc:creator>
  <cp:lastModifiedBy>Administrator</cp:lastModifiedBy>
  <cp:lastPrinted>2025-04-11T15:33:00Z</cp:lastPrinted>
  <dcterms:modified xsi:type="dcterms:W3CDTF">2025-07-18T05:43:37Z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6E5FF846221E408EBDB233C3A9D89084_13</vt:lpwstr>
  </property>
  <property fmtid="{D5CDD505-2E9C-101B-9397-08002B2CF9AE}" pid="5" name="commondata">
    <vt:lpwstr>eyJoZGlkIjoiMzdkYTNjODAzOWEyZTBjZWI2OWE0Y2U2MTNhOGNiNmUifQ==</vt:lpwstr>
  </property>
  <property fmtid="{D5CDD505-2E9C-101B-9397-08002B2CF9AE}" pid="6" name="KSOTemplateDocerSaveRecord">
    <vt:lpwstr>eyJoZGlkIjoiMWFlOTJhMDdkOTE2NTgxZDE3MGE0ODdkOTI3NTk0NjAiLCJ1c2VySWQiOiIzOTczNzA3NDEifQ==</vt:lpwstr>
  </property>
</Properties>
</file>