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rPr>
          <w:rFonts w:ascii="宋体" w:hAnsi="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pacing w:val="-28"/>
          <w:sz w:val="48"/>
          <w:szCs w:val="48"/>
          <w:highlight w:val="none"/>
          <w:lang w:eastAsia="zh-CN"/>
        </w:rPr>
        <w:t>萧山区蜀山中心幼儿园5个专用教室移动设备采购项目</w:t>
      </w:r>
    </w:p>
    <w:p>
      <w:pPr>
        <w:rPr>
          <w:rFonts w:hAnsi="宋体" w:cs="宋体"/>
          <w:color w:val="auto"/>
          <w:highlight w:val="none"/>
        </w:rPr>
      </w:pPr>
    </w:p>
    <w:p>
      <w:pPr>
        <w:rPr>
          <w:rFonts w:hAnsi="宋体" w:cs="宋体"/>
          <w:color w:val="auto"/>
          <w:highlight w:val="none"/>
        </w:rPr>
      </w:pPr>
    </w:p>
    <w:p>
      <w:pPr>
        <w:adjustRightInd/>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交易文件</w:t>
      </w:r>
    </w:p>
    <w:p>
      <w:pPr>
        <w:adjustRightInd/>
        <w:spacing w:line="360" w:lineRule="auto"/>
        <w:jc w:val="center"/>
        <w:rPr>
          <w:rFonts w:ascii="宋体" w:hAnsi="宋体" w:cs="宋体"/>
          <w:b/>
          <w:color w:val="auto"/>
          <w:sz w:val="56"/>
          <w:szCs w:val="72"/>
          <w:highlight w:val="none"/>
        </w:rPr>
      </w:pPr>
      <w:r>
        <w:rPr>
          <w:rFonts w:hint="eastAsia" w:ascii="宋体" w:hAnsi="宋体" w:cs="宋体"/>
          <w:b/>
          <w:color w:val="auto"/>
          <w:sz w:val="56"/>
          <w:szCs w:val="72"/>
          <w:highlight w:val="none"/>
        </w:rPr>
        <w:t>（电子交易标）</w:t>
      </w:r>
    </w:p>
    <w:p>
      <w:pPr>
        <w:snapToGrid w:val="0"/>
        <w:spacing w:line="360" w:lineRule="auto"/>
        <w:ind w:firstLine="3012" w:firstLineChars="1000"/>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编号: </w:t>
      </w:r>
      <w:r>
        <w:rPr>
          <w:rFonts w:hint="eastAsia" w:ascii="宋体" w:hAnsi="宋体" w:cs="宋体"/>
          <w:b/>
          <w:bCs/>
          <w:color w:val="auto"/>
          <w:sz w:val="30"/>
          <w:szCs w:val="30"/>
          <w:highlight w:val="none"/>
          <w:lang w:val="en-US" w:eastAsia="zh-CN"/>
        </w:rPr>
        <w:t>SSZX-2025-0709</w:t>
      </w:r>
    </w:p>
    <w:p>
      <w:pPr>
        <w:adjustRightInd/>
        <w:spacing w:line="360" w:lineRule="auto"/>
        <w:jc w:val="center"/>
        <w:rPr>
          <w:rFonts w:ascii="宋体" w:hAnsi="宋体" w:cs="宋体"/>
          <w:b/>
          <w:color w:val="auto"/>
          <w:sz w:val="56"/>
          <w:szCs w:val="72"/>
          <w:highlight w:val="none"/>
        </w:rPr>
      </w:pPr>
    </w:p>
    <w:p>
      <w:pPr>
        <w:spacing w:line="360" w:lineRule="auto"/>
        <w:jc w:val="center"/>
        <w:rPr>
          <w:rFonts w:ascii="宋体" w:hAnsi="宋体" w:cs="宋体"/>
          <w:b/>
          <w:color w:val="auto"/>
          <w:sz w:val="24"/>
          <w:highlight w:val="none"/>
        </w:rPr>
      </w:pPr>
    </w:p>
    <w:p>
      <w:pPr>
        <w:pStyle w:val="5"/>
        <w:numPr>
          <w:ilvl w:val="2"/>
          <w:numId w:val="0"/>
        </w:numPr>
        <w:rPr>
          <w:rFonts w:ascii="宋体" w:hAnsi="宋体" w:cs="宋体"/>
          <w:color w:val="auto"/>
          <w:highlight w:val="none"/>
        </w:rPr>
      </w:pPr>
    </w:p>
    <w:p>
      <w:pPr>
        <w:pStyle w:val="5"/>
        <w:numPr>
          <w:ilvl w:val="2"/>
          <w:numId w:val="0"/>
        </w:numPr>
        <w:rPr>
          <w:rFonts w:ascii="宋体" w:hAnsi="宋体" w:cs="宋体"/>
          <w:color w:val="auto"/>
          <w:highlight w:val="none"/>
        </w:rPr>
      </w:pPr>
    </w:p>
    <w:p>
      <w:pPr>
        <w:rPr>
          <w:rFonts w:ascii="宋体" w:hAnsi="宋体" w:cs="宋体"/>
          <w:color w:val="auto"/>
          <w:highlight w:val="none"/>
        </w:rPr>
      </w:pP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萧山区蜀山中心幼儿园</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浙江经济建设投资咨询中心有限公司</w:t>
      </w:r>
    </w:p>
    <w:p>
      <w:pPr>
        <w:snapToGrid w:val="0"/>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bookmarkStart w:id="1" w:name="_Hlt91233176"/>
      <w:bookmarkEnd w:id="1"/>
      <w:bookmarkStart w:id="2" w:name="_Toc91899869"/>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pStyle w:val="3"/>
        <w:rPr>
          <w:rFonts w:ascii="宋体" w:hAnsi="宋体" w:eastAsia="宋体" w:cs="宋体"/>
          <w:color w:val="auto"/>
          <w:highlight w:val="none"/>
        </w:rPr>
      </w:pPr>
      <w:bookmarkStart w:id="3" w:name="第一部分"/>
      <w:r>
        <w:rPr>
          <w:rFonts w:hint="eastAsia" w:ascii="宋体" w:hAnsi="宋体" w:eastAsia="宋体" w:cs="宋体"/>
          <w:color w:val="auto"/>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color w:val="auto"/>
          <w:highlight w:val="none"/>
        </w:rPr>
        <w:t>第一部分 交易公告</w:t>
      </w:r>
    </w:p>
    <w:p>
      <w:pPr>
        <w:pBdr>
          <w:top w:val="single" w:color="auto" w:sz="4" w:space="1"/>
          <w:left w:val="single" w:color="auto" w:sz="4" w:space="4"/>
          <w:bottom w:val="single" w:color="auto" w:sz="4" w:space="1"/>
          <w:right w:val="single" w:color="auto" w:sz="4" w:space="4"/>
        </w:pBdr>
        <w:ind w:left="840"/>
        <w:rPr>
          <w:rFonts w:ascii="宋体" w:hAnsi="宋体" w:cs="宋体"/>
          <w:color w:val="auto"/>
          <w:sz w:val="24"/>
          <w:szCs w:val="28"/>
          <w:highlight w:val="none"/>
        </w:rPr>
      </w:pPr>
      <w:r>
        <w:rPr>
          <w:rFonts w:hint="eastAsia" w:ascii="宋体" w:hAnsi="宋体" w:cs="宋体"/>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firstLine="480" w:firstLineChars="200"/>
        <w:rPr>
          <w:rFonts w:ascii="宋体" w:hAnsi="宋体" w:cs="宋体"/>
          <w:color w:val="auto"/>
          <w:sz w:val="24"/>
          <w:szCs w:val="28"/>
          <w:highlight w:val="none"/>
        </w:rPr>
      </w:pPr>
      <w:r>
        <w:rPr>
          <w:rFonts w:hint="eastAsia" w:ascii="宋体" w:hAnsi="宋体" w:cs="宋体"/>
          <w:color w:val="auto"/>
          <w:sz w:val="24"/>
          <w:highlight w:val="none"/>
          <w:lang w:eastAsia="zh-CN"/>
        </w:rPr>
        <w:t>萧山区萧山区蜀山中心幼儿园5个专用教室移动设备采购项目</w:t>
      </w:r>
      <w:r>
        <w:rPr>
          <w:rFonts w:hint="eastAsia" w:ascii="宋体" w:hAnsi="宋体" w:cs="宋体"/>
          <w:color w:val="auto"/>
          <w:sz w:val="24"/>
          <w:highlight w:val="none"/>
        </w:rPr>
        <w:t>的潜在供应商应在乐采云平台（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1"/>
          <w:rFonts w:hint="eastAsia" w:ascii="宋体" w:hAnsi="宋体" w:cs="宋体"/>
          <w:color w:val="auto"/>
          <w:sz w:val="24"/>
          <w:szCs w:val="24"/>
          <w:highlight w:val="none"/>
          <w:lang w:eastAsia="zh-CN"/>
        </w:rPr>
        <w:t>www.lecaiyun.com</w:t>
      </w:r>
      <w:r>
        <w:rPr>
          <w:rStyle w:val="71"/>
          <w:rFonts w:hint="eastAsia" w:ascii="宋体" w:hAnsi="宋体" w:eastAsia="宋体" w:cs="宋体"/>
          <w:color w:val="auto"/>
          <w:sz w:val="24"/>
          <w:szCs w:val="24"/>
          <w:highlight w:val="none"/>
        </w:rPr>
        <w:t>）获取（下载）交易文件，并于</w:t>
      </w:r>
      <w:r>
        <w:rPr>
          <w:rStyle w:val="71"/>
          <w:rFonts w:hint="eastAsia" w:ascii="宋体" w:hAnsi="宋体" w:eastAsia="宋体" w:cs="宋体"/>
          <w:color w:val="auto"/>
          <w:sz w:val="24"/>
          <w:szCs w:val="24"/>
          <w:highlight w:val="none"/>
        </w:rPr>
        <w:fldChar w:fldCharType="end"/>
      </w:r>
      <w:r>
        <w:rPr>
          <w:rFonts w:hint="eastAsia" w:ascii="宋体" w:hAnsi="宋体" w:cs="宋体"/>
          <w:color w:val="auto"/>
          <w:sz w:val="24"/>
          <w:highlight w:val="none"/>
          <w:u w:val="single"/>
          <w:lang w:val="en-US" w:eastAsia="zh-CN"/>
        </w:rPr>
        <w:t>2025年07月28日9点30分00 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pPr>
        <w:pStyle w:val="4"/>
        <w:numPr>
          <w:ilvl w:val="0"/>
          <w:numId w:val="0"/>
        </w:numPr>
        <w:rPr>
          <w:rFonts w:ascii="宋体" w:hAnsi="宋体" w:eastAsia="宋体" w:cs="宋体"/>
          <w:color w:val="auto"/>
          <w:sz w:val="24"/>
          <w:szCs w:val="28"/>
          <w:highlight w:val="none"/>
        </w:rPr>
      </w:pPr>
      <w:bookmarkStart w:id="11" w:name="_Toc28359002"/>
      <w:bookmarkStart w:id="12" w:name="_Toc35393790"/>
      <w:bookmarkStart w:id="13" w:name="_Toc28359079"/>
      <w:bookmarkStart w:id="14" w:name="_Toc35393621"/>
      <w:bookmarkStart w:id="15" w:name="_Hlk24379207"/>
      <w:r>
        <w:rPr>
          <w:rFonts w:hint="eastAsia" w:ascii="宋体" w:hAnsi="宋体" w:eastAsia="宋体" w:cs="宋体"/>
          <w:color w:val="auto"/>
          <w:sz w:val="24"/>
          <w:szCs w:val="28"/>
          <w:highlight w:val="none"/>
        </w:rPr>
        <w:t>一、项目基本情况</w:t>
      </w:r>
      <w:bookmarkEnd w:id="11"/>
      <w:bookmarkEnd w:id="12"/>
      <w:bookmarkEnd w:id="13"/>
      <w:bookmarkEnd w:id="14"/>
    </w:p>
    <w:p>
      <w:pPr>
        <w:widowControl/>
        <w:ind w:right="360"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项目编号：</w:t>
      </w:r>
      <w:r>
        <w:rPr>
          <w:rFonts w:hint="eastAsia" w:ascii="宋体" w:hAnsi="宋体" w:cs="宋体"/>
          <w:color w:val="auto"/>
          <w:sz w:val="24"/>
          <w:szCs w:val="28"/>
          <w:highlight w:val="none"/>
          <w:lang w:eastAsia="zh-CN"/>
        </w:rPr>
        <w:t>SSZX-2025-0709</w:t>
      </w:r>
      <w:r>
        <w:rPr>
          <w:rFonts w:hint="eastAsia" w:ascii="宋体" w:hAnsi="宋体" w:cs="宋体"/>
          <w:color w:val="auto"/>
          <w:sz w:val="24"/>
          <w:szCs w:val="28"/>
          <w:highlight w:val="none"/>
        </w:rPr>
        <w:t xml:space="preserve">   </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szCs w:val="28"/>
          <w:highlight w:val="none"/>
        </w:rPr>
        <w:t>项目名称：</w:t>
      </w:r>
      <w:bookmarkEnd w:id="15"/>
      <w:bookmarkStart w:id="16" w:name="OLE_LINK1"/>
      <w:r>
        <w:rPr>
          <w:rFonts w:hint="eastAsia" w:ascii="宋体" w:hAnsi="宋体" w:cs="宋体"/>
          <w:color w:val="auto"/>
          <w:sz w:val="24"/>
          <w:highlight w:val="none"/>
          <w:lang w:eastAsia="zh-CN"/>
        </w:rPr>
        <w:t>萧山区蜀山中心幼儿园5个专用教室移动设备采购项目</w:t>
      </w:r>
      <w:bookmarkEnd w:id="16"/>
    </w:p>
    <w:p>
      <w:pPr>
        <w:spacing w:line="360" w:lineRule="auto"/>
        <w:ind w:left="420" w:left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预算金额：</w:t>
      </w:r>
      <w:r>
        <w:rPr>
          <w:rFonts w:hint="eastAsia" w:ascii="宋体" w:hAnsi="宋体" w:cs="宋体"/>
          <w:color w:val="auto"/>
          <w:sz w:val="24"/>
          <w:szCs w:val="28"/>
          <w:highlight w:val="none"/>
          <w:lang w:val="en-US" w:eastAsia="zh-CN"/>
        </w:rPr>
        <w:t>490000</w:t>
      </w:r>
      <w:r>
        <w:rPr>
          <w:rFonts w:hint="eastAsia" w:ascii="宋体" w:hAnsi="宋体" w:cs="宋体"/>
          <w:color w:val="auto"/>
          <w:sz w:val="24"/>
          <w:szCs w:val="28"/>
          <w:highlight w:val="none"/>
        </w:rPr>
        <w:t>元</w:t>
      </w:r>
    </w:p>
    <w:p>
      <w:pPr>
        <w:spacing w:line="360" w:lineRule="auto"/>
        <w:ind w:left="420" w:left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最高限价：</w:t>
      </w:r>
      <w:r>
        <w:rPr>
          <w:rFonts w:hint="eastAsia" w:ascii="宋体" w:hAnsi="宋体" w:cs="宋体"/>
          <w:color w:val="auto"/>
          <w:sz w:val="24"/>
          <w:szCs w:val="28"/>
          <w:highlight w:val="none"/>
          <w:lang w:val="en-US" w:eastAsia="zh-CN"/>
        </w:rPr>
        <w:t>490000</w:t>
      </w:r>
      <w:r>
        <w:rPr>
          <w:rFonts w:hint="eastAsia" w:ascii="宋体" w:hAnsi="宋体" w:cs="宋体"/>
          <w:color w:val="auto"/>
          <w:sz w:val="24"/>
          <w:szCs w:val="28"/>
          <w:highlight w:val="none"/>
        </w:rPr>
        <w:t>元</w:t>
      </w:r>
    </w:p>
    <w:p>
      <w:pPr>
        <w:spacing w:line="360" w:lineRule="auto"/>
        <w:ind w:left="420" w:left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采购需求：详见交易需求。</w:t>
      </w:r>
    </w:p>
    <w:p>
      <w:pPr>
        <w:spacing w:line="360" w:lineRule="auto"/>
        <w:ind w:left="420" w:leftChars="200"/>
        <w:jc w:val="left"/>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rPr>
        <w:t>标项名称:</w:t>
      </w:r>
      <w:r>
        <w:rPr>
          <w:rFonts w:hint="eastAsia" w:ascii="宋体" w:hAnsi="宋体" w:cs="宋体"/>
          <w:color w:val="auto"/>
          <w:sz w:val="24"/>
          <w:szCs w:val="28"/>
          <w:highlight w:val="none"/>
          <w:lang w:eastAsia="zh-CN"/>
        </w:rPr>
        <w:t>萧山区蜀山中心幼儿园5个专用教室移动设备采购项目</w:t>
      </w:r>
    </w:p>
    <w:p>
      <w:pPr>
        <w:spacing w:line="360" w:lineRule="auto"/>
        <w:ind w:left="420" w:left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数量：1项</w:t>
      </w:r>
    </w:p>
    <w:p>
      <w:pPr>
        <w:spacing w:line="360" w:lineRule="auto"/>
        <w:ind w:left="420" w:left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预算金额：</w:t>
      </w:r>
      <w:r>
        <w:rPr>
          <w:rFonts w:hint="eastAsia" w:ascii="宋体" w:hAnsi="宋体" w:cs="宋体"/>
          <w:color w:val="auto"/>
          <w:sz w:val="24"/>
          <w:szCs w:val="28"/>
          <w:highlight w:val="none"/>
          <w:lang w:val="en-US" w:eastAsia="zh-CN"/>
        </w:rPr>
        <w:t>490000</w:t>
      </w:r>
      <w:r>
        <w:rPr>
          <w:rFonts w:hint="eastAsia" w:ascii="宋体" w:hAnsi="宋体" w:cs="宋体"/>
          <w:color w:val="auto"/>
          <w:sz w:val="24"/>
          <w:szCs w:val="28"/>
          <w:highlight w:val="none"/>
        </w:rPr>
        <w:t>元</w:t>
      </w:r>
    </w:p>
    <w:p>
      <w:pPr>
        <w:spacing w:line="360" w:lineRule="auto"/>
        <w:ind w:firstLine="480"/>
        <w:rPr>
          <w:rFonts w:hAnsi="宋体" w:cs="宋体"/>
          <w:color w:val="auto"/>
          <w:sz w:val="24"/>
          <w:highlight w:val="none"/>
        </w:rPr>
      </w:pPr>
      <w:r>
        <w:rPr>
          <w:rFonts w:hint="eastAsia" w:hAnsi="宋体" w:cs="宋体"/>
          <w:color w:val="auto"/>
          <w:sz w:val="24"/>
          <w:highlight w:val="none"/>
        </w:rPr>
        <w:t>简要规格描述或项目基本概况介绍、用途：详见交易需求</w:t>
      </w:r>
    </w:p>
    <w:p>
      <w:pPr>
        <w:spacing w:line="360" w:lineRule="auto"/>
        <w:ind w:firstLine="480"/>
        <w:rPr>
          <w:rFonts w:hAnsi="宋体" w:cs="宋体"/>
          <w:color w:val="auto"/>
          <w:sz w:val="24"/>
          <w:highlight w:val="none"/>
        </w:rPr>
      </w:pPr>
      <w:r>
        <w:rPr>
          <w:rFonts w:hint="eastAsia" w:hAnsi="宋体" w:cs="宋体"/>
          <w:color w:val="auto"/>
          <w:sz w:val="24"/>
          <w:highlight w:val="none"/>
        </w:rPr>
        <w:t>备注：/</w:t>
      </w:r>
    </w:p>
    <w:p>
      <w:pPr>
        <w:spacing w:line="360" w:lineRule="auto"/>
        <w:ind w:firstLine="480"/>
        <w:rPr>
          <w:rFonts w:hAnsi="宋体" w:cs="宋体"/>
          <w:color w:val="auto"/>
          <w:sz w:val="24"/>
          <w:highlight w:val="none"/>
        </w:rPr>
      </w:pPr>
      <w:r>
        <w:rPr>
          <w:rFonts w:hint="eastAsia" w:hAnsi="宋体" w:cs="宋体"/>
          <w:b/>
          <w:bCs/>
          <w:color w:val="auto"/>
          <w:sz w:val="24"/>
          <w:highlight w:val="none"/>
        </w:rPr>
        <w:t>合同履约期限：</w:t>
      </w:r>
      <w:r>
        <w:rPr>
          <w:rFonts w:hint="eastAsia" w:hAnsi="宋体" w:cs="宋体"/>
          <w:color w:val="auto"/>
          <w:sz w:val="24"/>
          <w:highlight w:val="none"/>
        </w:rPr>
        <w:t>详见交易需求</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本项目是否接受联合体投标：否 </w:t>
      </w:r>
    </w:p>
    <w:p>
      <w:pPr>
        <w:pStyle w:val="4"/>
        <w:numPr>
          <w:ilvl w:val="0"/>
          <w:numId w:val="0"/>
        </w:numP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二、</w:t>
      </w:r>
      <w:bookmarkStart w:id="17" w:name="_Toc28359080"/>
      <w:bookmarkStart w:id="18" w:name="_Toc35393791"/>
      <w:bookmarkStart w:id="19" w:name="_Toc35393622"/>
      <w:bookmarkStart w:id="20" w:name="_Toc28359003"/>
      <w:r>
        <w:rPr>
          <w:rFonts w:hint="eastAsia" w:ascii="宋体" w:hAnsi="宋体" w:eastAsia="宋体" w:cs="宋体"/>
          <w:color w:val="auto"/>
          <w:sz w:val="24"/>
          <w:szCs w:val="28"/>
          <w:highlight w:val="none"/>
        </w:rPr>
        <w:t>申请人的资格要求：</w:t>
      </w:r>
      <w:bookmarkEnd w:id="17"/>
      <w:bookmarkEnd w:id="18"/>
      <w:bookmarkEnd w:id="19"/>
      <w:bookmarkEnd w:id="20"/>
    </w:p>
    <w:p>
      <w:pPr>
        <w:spacing w:line="360" w:lineRule="auto"/>
        <w:ind w:firstLine="480" w:firstLineChars="200"/>
        <w:rPr>
          <w:rFonts w:ascii="宋体" w:hAnsi="宋体" w:cs="宋体"/>
          <w:color w:val="auto"/>
          <w:sz w:val="24"/>
          <w:highlight w:val="none"/>
        </w:rPr>
      </w:pPr>
      <w:bookmarkStart w:id="21" w:name="OLE_LINK4"/>
      <w:bookmarkStart w:id="22" w:name="_Toc35393623"/>
      <w:bookmarkStart w:id="23" w:name="_Toc28359081"/>
      <w:bookmarkStart w:id="24" w:name="_Toc28359004"/>
      <w:bookmarkStart w:id="25" w:name="_Toc35393792"/>
      <w:r>
        <w:rPr>
          <w:rFonts w:hint="eastAsia" w:ascii="宋体" w:hAnsi="宋体" w:cs="宋体"/>
          <w:color w:val="auto"/>
          <w:sz w:val="24"/>
          <w:highlight w:val="none"/>
        </w:rPr>
        <w:t>1.满足《中华人民共和国政府采购法》第二十二条规定；</w:t>
      </w:r>
    </w:p>
    <w:p>
      <w:pPr>
        <w:pStyle w:val="4"/>
        <w:numPr>
          <w:ilvl w:val="0"/>
          <w:numId w:val="0"/>
        </w:numPr>
        <w:ind w:left="432"/>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2.单位负责人为同一人或者存在直接控股、管理关系的不同供应商，不得参加同一</w:t>
      </w:r>
    </w:p>
    <w:p>
      <w:pPr>
        <w:pStyle w:val="4"/>
        <w:numPr>
          <w:ilvl w:val="0"/>
          <w:numId w:val="0"/>
        </w:numPr>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合同项下的政府采购活动。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3.未被“信用中国”（www.creditchina.gov.cn）、中国政府采购网（www.ccgp.gov.cn）列入失信被执行人、重大税收违法案件当事人名单、政府采购严重违法失信行为记录名单。</w:t>
      </w:r>
    </w:p>
    <w:bookmarkEnd w:id="21"/>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4.落实政府采购政策需满足的资格要求：专门面向中小企业，货物全部由符合政策要求的中小企业制造，提供中小企业声明函；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5.本项目的特定资格要求：（√）无；</w:t>
      </w:r>
    </w:p>
    <w:p>
      <w:pPr>
        <w:pStyle w:val="4"/>
        <w:numPr>
          <w:ilvl w:val="0"/>
          <w:numId w:val="0"/>
        </w:numP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三、获取交易文件</w:t>
      </w:r>
      <w:bookmarkEnd w:id="22"/>
      <w:bookmarkEnd w:id="23"/>
      <w:bookmarkEnd w:id="24"/>
      <w:bookmarkEnd w:id="25"/>
    </w:p>
    <w:p>
      <w:pPr>
        <w:spacing w:line="360" w:lineRule="auto"/>
        <w:ind w:firstLine="482" w:firstLineChars="200"/>
        <w:rPr>
          <w:rFonts w:ascii="宋体" w:hAnsi="宋体" w:cs="宋体"/>
          <w:color w:val="auto"/>
          <w:sz w:val="24"/>
          <w:highlight w:val="none"/>
        </w:rPr>
      </w:pPr>
      <w:bookmarkStart w:id="26" w:name="_Toc28359005"/>
      <w:bookmarkStart w:id="27" w:name="_Toc28359082"/>
      <w:bookmarkStart w:id="28" w:name="_Toc35393793"/>
      <w:bookmarkStart w:id="29" w:name="_Toc35393624"/>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乐采云平台（</w:t>
      </w:r>
      <w:r>
        <w:rPr>
          <w:rFonts w:hint="eastAsia" w:ascii="宋体" w:hAnsi="宋体" w:cs="宋体"/>
          <w:color w:val="auto"/>
          <w:sz w:val="24"/>
          <w:highlight w:val="none"/>
          <w:lang w:eastAsia="zh-CN"/>
        </w:rPr>
        <w:t>www.lecaiyun.com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Fonts w:hint="eastAsia" w:ascii="宋体" w:hAnsi="宋体" w:cs="宋体"/>
          <w:color w:val="auto"/>
          <w:sz w:val="24"/>
          <w:highlight w:val="none"/>
          <w:lang w:eastAsia="zh-CN"/>
        </w:rPr>
        <w:t>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pStyle w:val="4"/>
        <w:numPr>
          <w:ilvl w:val="0"/>
          <w:numId w:val="0"/>
        </w:numP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四、提交</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w:t>
      </w:r>
      <w:bookmarkEnd w:id="26"/>
      <w:bookmarkEnd w:id="27"/>
      <w:r>
        <w:rPr>
          <w:rFonts w:hint="eastAsia" w:ascii="宋体" w:hAnsi="宋体" w:eastAsia="宋体" w:cs="宋体"/>
          <w:color w:val="auto"/>
          <w:sz w:val="24"/>
          <w:szCs w:val="28"/>
          <w:highlight w:val="none"/>
        </w:rPr>
        <w:t>截止时间、开标时间和地点</w:t>
      </w:r>
      <w:bookmarkEnd w:id="28"/>
      <w:bookmarkEnd w:id="29"/>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文件截止时间：</w:t>
      </w:r>
      <w:r>
        <w:rPr>
          <w:rFonts w:hint="eastAsia" w:ascii="宋体" w:hAnsi="宋体" w:cs="宋体"/>
          <w:color w:val="auto"/>
          <w:sz w:val="24"/>
          <w:highlight w:val="none"/>
          <w:u w:val="single"/>
          <w:lang w:val="en-US" w:eastAsia="zh-CN"/>
        </w:rPr>
        <w:t>2025年07月28日9点30</w:t>
      </w:r>
      <w:bookmarkStart w:id="437" w:name="_GoBack"/>
      <w:bookmarkEnd w:id="437"/>
      <w:r>
        <w:rPr>
          <w:rFonts w:hint="eastAsia" w:ascii="宋体" w:hAnsi="宋体" w:cs="宋体"/>
          <w:color w:val="auto"/>
          <w:sz w:val="24"/>
          <w:highlight w:val="none"/>
          <w:u w:val="single"/>
          <w:lang w:val="en-US" w:eastAsia="zh-CN"/>
        </w:rPr>
        <w:t>分00秒</w:t>
      </w:r>
      <w:r>
        <w:rPr>
          <w:rFonts w:hint="eastAsia" w:ascii="宋体" w:hAnsi="宋体" w:cs="宋体"/>
          <w:color w:val="auto"/>
          <w:sz w:val="24"/>
          <w:szCs w:val="28"/>
          <w:highlight w:val="none"/>
        </w:rPr>
        <w:t>（</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2025年07月28日9点30分00秒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szCs w:val="28"/>
          <w:highlight w:val="none"/>
        </w:rPr>
        <w:t>乐采云平台网上递交。</w:t>
      </w:r>
    </w:p>
    <w:p>
      <w:pPr>
        <w:pStyle w:val="4"/>
        <w:numPr>
          <w:ilvl w:val="0"/>
          <w:numId w:val="0"/>
        </w:numPr>
        <w:rPr>
          <w:rFonts w:ascii="宋体" w:hAnsi="宋体" w:eastAsia="宋体" w:cs="宋体"/>
          <w:color w:val="auto"/>
          <w:sz w:val="24"/>
          <w:szCs w:val="28"/>
          <w:highlight w:val="none"/>
        </w:rPr>
      </w:pPr>
      <w:bookmarkStart w:id="30" w:name="_Toc35393625"/>
      <w:bookmarkStart w:id="31" w:name="_Toc35393794"/>
      <w:bookmarkStart w:id="32" w:name="_Toc28359084"/>
      <w:bookmarkStart w:id="33" w:name="_Toc28359007"/>
      <w:r>
        <w:rPr>
          <w:rFonts w:hint="eastAsia" w:ascii="宋体" w:hAnsi="宋体" w:eastAsia="宋体" w:cs="宋体"/>
          <w:color w:val="auto"/>
          <w:sz w:val="24"/>
          <w:szCs w:val="28"/>
          <w:highlight w:val="none"/>
        </w:rPr>
        <w:t>五、公告期限</w:t>
      </w:r>
      <w:bookmarkEnd w:id="30"/>
      <w:bookmarkEnd w:id="31"/>
      <w:bookmarkEnd w:id="32"/>
      <w:bookmarkEnd w:id="33"/>
    </w:p>
    <w:p>
      <w:pPr>
        <w:spacing w:line="360" w:lineRule="auto"/>
        <w:ind w:firstLine="480" w:firstLineChars="200"/>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自本公告发布之日起5个工作日。</w:t>
      </w:r>
    </w:p>
    <w:p>
      <w:pPr>
        <w:pStyle w:val="4"/>
        <w:numPr>
          <w:ilvl w:val="0"/>
          <w:numId w:val="0"/>
        </w:numPr>
        <w:rPr>
          <w:rFonts w:ascii="宋体" w:hAnsi="宋体" w:eastAsia="宋体" w:cs="宋体"/>
          <w:color w:val="auto"/>
          <w:sz w:val="24"/>
          <w:szCs w:val="28"/>
          <w:highlight w:val="none"/>
        </w:rPr>
      </w:pPr>
      <w:bookmarkStart w:id="34" w:name="_Toc35393795"/>
      <w:bookmarkStart w:id="35" w:name="_Toc35393626"/>
      <w:r>
        <w:rPr>
          <w:rFonts w:hint="eastAsia" w:ascii="宋体" w:hAnsi="宋体" w:eastAsia="宋体" w:cs="宋体"/>
          <w:color w:val="auto"/>
          <w:sz w:val="24"/>
          <w:szCs w:val="28"/>
          <w:highlight w:val="none"/>
        </w:rPr>
        <w:t>六、其他补充事宜</w:t>
      </w:r>
      <w:bookmarkEnd w:id="34"/>
      <w:bookmarkEnd w:id="35"/>
    </w:p>
    <w:p>
      <w:pPr>
        <w:spacing w:line="360" w:lineRule="auto"/>
        <w:ind w:firstLine="480" w:firstLineChars="200"/>
        <w:rPr>
          <w:rFonts w:ascii="宋体" w:hAnsi="宋体" w:cs="宋体"/>
          <w:color w:val="auto"/>
          <w:sz w:val="24"/>
          <w:highlight w:val="none"/>
        </w:rPr>
      </w:pPr>
      <w:bookmarkStart w:id="36" w:name="_Toc35393627"/>
      <w:bookmarkStart w:id="37" w:name="_Toc28359008"/>
      <w:bookmarkStart w:id="38" w:name="_Toc28359085"/>
      <w:bookmarkStart w:id="39" w:name="_Toc35393796"/>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2.需要落实的政府采购政策：包括节约资源、保护环境、支持创新、促进中小企业发展等。详见交易文件的第二部分总则。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pPr>
        <w:pStyle w:val="4"/>
        <w:numPr>
          <w:ilvl w:val="0"/>
          <w:numId w:val="0"/>
        </w:numP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七、对本次交易提出询问，请按以下方式联系。</w:t>
      </w:r>
      <w:bookmarkEnd w:id="36"/>
      <w:bookmarkEnd w:id="37"/>
      <w:bookmarkEnd w:id="38"/>
      <w:bookmarkEnd w:id="39"/>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1.交易发起人信息</w:t>
      </w:r>
    </w:p>
    <w:p>
      <w:pPr>
        <w:wordWrap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萧山区蜀山中心幼儿园</w:t>
      </w:r>
    </w:p>
    <w:p>
      <w:pPr>
        <w:wordWrap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萧山区曹家桥社区595号</w:t>
      </w:r>
    </w:p>
    <w:p>
      <w:pPr>
        <w:wordWrap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俞霞</w:t>
      </w:r>
    </w:p>
    <w:p>
      <w:pPr>
        <w:wordWrap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w:t>
      </w:r>
      <w:bookmarkStart w:id="40" w:name="OLE_LINK2"/>
      <w:r>
        <w:rPr>
          <w:rFonts w:hint="eastAsia" w:ascii="宋体" w:hAnsi="宋体" w:cs="宋体"/>
          <w:color w:val="auto"/>
          <w:sz w:val="24"/>
          <w:highlight w:val="none"/>
          <w:lang w:val="en-US" w:eastAsia="zh-CN"/>
        </w:rPr>
        <w:t>13567107771</w:t>
      </w:r>
      <w:bookmarkEnd w:id="40"/>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2.交易代理机构信息</w:t>
      </w:r>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称：浙江经济建设投资咨询中心有限公司</w:t>
      </w:r>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w:t>
      </w:r>
      <w:bookmarkStart w:id="41" w:name="OLE_LINK3"/>
      <w:r>
        <w:rPr>
          <w:rFonts w:hint="eastAsia" w:ascii="宋体" w:hAnsi="宋体" w:cs="宋体"/>
          <w:color w:val="auto"/>
          <w:sz w:val="24"/>
          <w:highlight w:val="none"/>
        </w:rPr>
        <w:t>杭州市萧山区空间结构科技产业园3号楼317室</w:t>
      </w:r>
      <w:bookmarkEnd w:id="41"/>
    </w:p>
    <w:p>
      <w:pPr>
        <w:wordWrap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戴工</w:t>
      </w:r>
    </w:p>
    <w:p>
      <w:pPr>
        <w:wordWrap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15558157226</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eastAsia="zh-CN"/>
        </w:rPr>
        <w:t>www.lecaiyun.com</w:t>
      </w:r>
      <w:r>
        <w:rPr>
          <w:rFonts w:hint="eastAsia" w:ascii="宋体" w:hAnsi="宋体" w:cs="宋体"/>
          <w:color w:val="auto"/>
          <w:sz w:val="24"/>
          <w:highlight w:val="none"/>
        </w:rPr>
        <w:t xml:space="preserve">），点击右侧咨询小采，获取采小蜜智能服务管家帮助，或拨打乐采云服务热线400-881-7190获取热线服务帮助。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rPr>
          <w:rFonts w:ascii="宋体" w:hAnsi="宋体" w:cs="宋体"/>
          <w:color w:val="auto"/>
          <w:highlight w:val="none"/>
        </w:rPr>
      </w:pPr>
      <w:r>
        <w:rPr>
          <w:rFonts w:hint="eastAsia" w:ascii="宋体" w:hAnsi="宋体" w:cs="宋体"/>
          <w:color w:val="auto"/>
          <w:highlight w:val="none"/>
        </w:rPr>
        <w:br w:type="page"/>
      </w:r>
    </w:p>
    <w:p>
      <w:pPr>
        <w:pStyle w:val="3"/>
        <w:rPr>
          <w:rFonts w:ascii="宋体" w:hAnsi="宋体" w:eastAsia="宋体" w:cs="宋体"/>
          <w:color w:val="auto"/>
          <w:highlight w:val="none"/>
        </w:rPr>
      </w:pPr>
      <w:r>
        <w:rPr>
          <w:rFonts w:hint="eastAsia" w:ascii="宋体" w:hAnsi="宋体" w:eastAsia="宋体" w:cs="宋体"/>
          <w:color w:val="auto"/>
          <w:highlight w:val="none"/>
        </w:rPr>
        <w:t>第二部分</w:t>
      </w:r>
      <w:bookmarkEnd w:id="8"/>
      <w:r>
        <w:rPr>
          <w:rFonts w:hint="eastAsia" w:ascii="宋体" w:hAnsi="宋体" w:eastAsia="宋体" w:cs="宋体"/>
          <w:color w:val="auto"/>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55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562"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93"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55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562" w:type="dxa"/>
            <w:shd w:val="clear" w:color="auto" w:fill="FFFFFF"/>
            <w:vAlign w:val="center"/>
          </w:tcPr>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有关本项目开展所需的</w:t>
            </w:r>
            <w:r>
              <w:rPr>
                <w:rFonts w:hint="eastAsia" w:ascii="仿宋" w:hAnsi="仿宋" w:eastAsia="仿宋"/>
                <w:color w:val="auto"/>
                <w:sz w:val="24"/>
                <w:highlight w:val="none"/>
              </w:rPr>
              <w:t>所有</w:t>
            </w:r>
            <w:r>
              <w:rPr>
                <w:rFonts w:hint="eastAsia" w:ascii="仿宋" w:hAnsi="仿宋" w:eastAsia="仿宋"/>
                <w:color w:val="auto"/>
                <w:kern w:val="0"/>
                <w:sz w:val="24"/>
                <w:highlight w:val="none"/>
                <w:lang w:val="zh-CN"/>
              </w:rPr>
              <w:t>费用均计入报价。</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交易</w:t>
            </w:r>
            <w:r>
              <w:rPr>
                <w:rFonts w:hint="eastAsia" w:ascii="仿宋" w:hAnsi="仿宋" w:eastAsia="仿宋"/>
                <w:color w:val="auto"/>
                <w:sz w:val="24"/>
                <w:highlight w:val="none"/>
              </w:rPr>
              <w:t>）一览表》是报价的唯一载体</w:t>
            </w:r>
            <w:r>
              <w:rPr>
                <w:rFonts w:hint="eastAsia" w:ascii="仿宋" w:hAnsi="仿宋" w:eastAsia="仿宋" w:cs="仿宋_GB2312"/>
                <w:color w:val="auto"/>
                <w:kern w:val="0"/>
                <w:sz w:val="24"/>
                <w:highlight w:val="none"/>
                <w:lang w:val="zh-CN"/>
              </w:rPr>
              <w:t>。响应文件中价格全部采用人民币报价。交易文件未列明，而响应人认为必需的费用也需列入报价。</w:t>
            </w:r>
          </w:p>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响应报价出现下列情形的，</w:t>
            </w:r>
            <w:r>
              <w:rPr>
                <w:rFonts w:hint="eastAsia" w:ascii="仿宋" w:hAnsi="仿宋" w:eastAsia="仿宋" w:cs="仿宋_GB2312"/>
                <w:b/>
                <w:color w:val="auto"/>
                <w:kern w:val="0"/>
                <w:sz w:val="24"/>
                <w:highlight w:val="none"/>
                <w:lang w:val="en-US" w:eastAsia="zh-CN"/>
              </w:rPr>
              <w:t>响应</w:t>
            </w:r>
            <w:r>
              <w:rPr>
                <w:rFonts w:hint="eastAsia" w:ascii="仿宋" w:hAnsi="仿宋" w:eastAsia="仿宋" w:cs="仿宋_GB2312"/>
                <w:b/>
                <w:color w:val="auto"/>
                <w:kern w:val="0"/>
                <w:sz w:val="24"/>
                <w:highlight w:val="none"/>
                <w:lang w:val="zh-CN"/>
              </w:rPr>
              <w:t>无效：</w:t>
            </w:r>
          </w:p>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响应文件出现不是唯一的、有选择性响应报价的；</w:t>
            </w:r>
          </w:p>
          <w:p>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lang w:eastAsia="zh-CN"/>
              </w:rPr>
              <w:t>响应</w:t>
            </w:r>
            <w:r>
              <w:rPr>
                <w:rFonts w:hint="eastAsia" w:ascii="仿宋" w:hAnsi="仿宋" w:eastAsia="仿宋" w:cs="仿宋_GB2312"/>
                <w:b/>
                <w:color w:val="auto"/>
                <w:sz w:val="24"/>
                <w:highlight w:val="none"/>
              </w:rPr>
              <w:t>报价高于本项目采购预算或者最高限价的;</w:t>
            </w:r>
          </w:p>
          <w:p>
            <w:pPr>
              <w:keepNext w:val="0"/>
              <w:keepLines w:val="0"/>
              <w:suppressLineNumbers w:val="0"/>
              <w:spacing w:before="0" w:beforeAutospacing="0" w:after="0" w:afterAutospacing="0" w:line="360" w:lineRule="auto"/>
              <w:ind w:left="0" w:right="0"/>
              <w:rPr>
                <w:rFonts w:hint="default"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w:t>
            </w:r>
            <w:r>
              <w:rPr>
                <w:rFonts w:hint="eastAsia" w:ascii="仿宋" w:hAnsi="仿宋" w:eastAsia="仿宋" w:cs="Arial"/>
                <w:b/>
                <w:color w:val="auto"/>
                <w:kern w:val="0"/>
                <w:sz w:val="24"/>
                <w:highlight w:val="none"/>
                <w:lang w:eastAsia="zh-CN"/>
              </w:rPr>
              <w:t>响应</w:t>
            </w:r>
            <w:r>
              <w:rPr>
                <w:rFonts w:hint="eastAsia" w:ascii="仿宋" w:hAnsi="仿宋" w:eastAsia="仿宋" w:cs="Arial"/>
                <w:b/>
                <w:color w:val="auto"/>
                <w:kern w:val="0"/>
                <w:sz w:val="24"/>
                <w:highlight w:val="none"/>
              </w:rPr>
              <w:t>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keepNext w:val="0"/>
              <w:keepLines w:val="0"/>
              <w:suppressLineNumbers w:val="0"/>
              <w:spacing w:before="0" w:beforeAutospacing="0" w:after="0" w:afterAutospacing="0" w:line="360" w:lineRule="auto"/>
              <w:ind w:left="0" w:right="0"/>
              <w:rPr>
                <w:rFonts w:hint="default" w:ascii="仿宋" w:hAnsi="仿宋" w:eastAsia="仿宋" w:cs="仿宋_GB2312"/>
                <w:color w:val="auto"/>
                <w:sz w:val="24"/>
                <w:szCs w:val="21"/>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交易</w:t>
            </w:r>
            <w:r>
              <w:rPr>
                <w:rFonts w:hint="eastAsia" w:ascii="仿宋" w:hAnsi="仿宋" w:eastAsia="仿宋"/>
                <w:b/>
                <w:color w:val="auto"/>
                <w:sz w:val="24"/>
                <w:highlight w:val="none"/>
              </w:rPr>
              <w:t>）一览表》填写不完整或字迹不能辨认或有漏项的；</w:t>
            </w:r>
          </w:p>
          <w:p>
            <w:pPr>
              <w:keepNext w:val="0"/>
              <w:keepLines w:val="0"/>
              <w:suppressLineNumbers w:val="0"/>
              <w:spacing w:before="0" w:beforeAutospacing="0" w:after="0" w:afterAutospacing="0" w:line="360" w:lineRule="auto"/>
              <w:ind w:left="0" w:right="0"/>
              <w:rPr>
                <w:rFonts w:hint="default" w:ascii="仿宋" w:hAnsi="仿宋" w:eastAsia="仿宋"/>
                <w:b/>
                <w:color w:val="auto"/>
                <w:sz w:val="24"/>
                <w:highlight w:val="none"/>
              </w:rPr>
            </w:pPr>
            <w:r>
              <w:rPr>
                <w:rFonts w:hint="eastAsia" w:ascii="仿宋" w:hAnsi="仿宋" w:eastAsia="仿宋" w:cs="Arial"/>
                <w:b/>
                <w:color w:val="auto"/>
                <w:kern w:val="0"/>
                <w:sz w:val="24"/>
                <w:highlight w:val="none"/>
              </w:rPr>
              <w:t>▲</w:t>
            </w:r>
            <w:r>
              <w:rPr>
                <w:rFonts w:hint="eastAsia" w:ascii="仿宋" w:hAnsi="仿宋" w:eastAsia="仿宋" w:cs="Arial"/>
                <w:b/>
                <w:color w:val="auto"/>
                <w:kern w:val="0"/>
                <w:sz w:val="24"/>
                <w:highlight w:val="none"/>
                <w:lang w:eastAsia="zh-CN"/>
              </w:rPr>
              <w:t>响应</w:t>
            </w:r>
            <w:r>
              <w:rPr>
                <w:rFonts w:hint="eastAsia" w:ascii="仿宋" w:hAnsi="仿宋" w:eastAsia="仿宋" w:cs="Arial"/>
                <w:b/>
                <w:color w:val="auto"/>
                <w:kern w:val="0"/>
                <w:sz w:val="24"/>
                <w:highlight w:val="none"/>
              </w:rPr>
              <w:t>人对根据修正原则修正后的报价不确认的</w:t>
            </w:r>
            <w:r>
              <w:rPr>
                <w:rFonts w:hint="eastAsia" w:ascii="仿宋" w:hAnsi="仿宋" w:eastAsia="仿宋"/>
                <w:b/>
                <w:color w:val="auto"/>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b/>
                <w:color w:val="auto"/>
                <w:kern w:val="0"/>
                <w:sz w:val="24"/>
                <w:highlight w:val="none"/>
              </w:rPr>
            </w:pPr>
            <w:r>
              <w:rPr>
                <w:rFonts w:hint="eastAsia" w:ascii="仿宋" w:hAnsi="仿宋" w:eastAsia="仿宋" w:cs="Arial"/>
                <w:b/>
                <w:color w:val="auto"/>
                <w:kern w:val="0"/>
                <w:sz w:val="24"/>
                <w:highlight w:val="none"/>
              </w:rPr>
              <w:t>▲资格文件、商务技术文件与报价文件未分开制作</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分包或转包。</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kern w:val="0"/>
                <w:sz w:val="24"/>
                <w:highlight w:val="none"/>
              </w:rPr>
            </w:pPr>
            <w:r>
              <w:rPr>
                <w:rFonts w:hint="eastAsia" w:ascii="宋体" w:hAnsi="宋体" w:cs="宋体"/>
                <w:b/>
                <w:color w:val="auto"/>
                <w:kern w:val="0"/>
                <w:sz w:val="24"/>
                <w:highlight w:val="none"/>
              </w:rPr>
              <w:t>本项目不允许分包或转包。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7"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55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供应商应当提供的资格、资信证明等文件</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color w:val="auto"/>
                <w:sz w:val="24"/>
                <w:highlight w:val="none"/>
              </w:rPr>
              <w:t>（1）资格证明文件：</w:t>
            </w:r>
            <w:r>
              <w:rPr>
                <w:rFonts w:hint="eastAsia" w:ascii="宋体" w:hAnsi="宋体" w:cs="宋体"/>
                <w:color w:val="auto"/>
                <w:kern w:val="0"/>
                <w:sz w:val="24"/>
                <w:highlight w:val="none"/>
              </w:rPr>
              <w:t>见交易文件第二部分11.1。</w:t>
            </w:r>
          </w:p>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（2）资信证明文件：根据交易文件第四部分评标标准提供。</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供应商未提供（1）的有效的资格证明文件的，视为供应商不具备交易文件中规定的资格要求，</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firstLine="240" w:firstLineChars="100"/>
              <w:rPr>
                <w:rFonts w:hint="default" w:ascii="宋体" w:hAnsi="宋体" w:cs="宋体"/>
                <w:color w:val="auto"/>
                <w:sz w:val="24"/>
                <w:highlight w:val="none"/>
              </w:rPr>
            </w:pPr>
            <w:r>
              <w:rPr>
                <w:rFonts w:hint="eastAsia" w:ascii="宋体" w:hAnsi="宋体" w:cs="宋体"/>
                <w:color w:val="auto"/>
                <w:sz w:val="24"/>
                <w:highlight w:val="none"/>
              </w:rPr>
              <w:t>4</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62" w:type="dxa"/>
            <w:shd w:val="clear" w:color="auto" w:fill="FFFFFF"/>
            <w:vAlign w:val="center"/>
          </w:tcPr>
          <w:p>
            <w:pPr>
              <w:pStyle w:val="34"/>
              <w:keepNext w:val="0"/>
              <w:keepLines w:val="0"/>
              <w:suppressLineNumbers w:val="0"/>
              <w:spacing w:before="0" w:beforeAutospacing="0" w:after="0" w:afterAutospacing="0" w:line="360" w:lineRule="auto"/>
              <w:ind w:left="0" w:right="0"/>
              <w:rPr>
                <w:rFonts w:hint="default"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文件的</w:t>
            </w: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份数</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eastAsia" w:hAnsi="宋体" w:cs="宋体"/>
                <w:color w:val="auto"/>
                <w:sz w:val="24"/>
                <w:highlight w:val="none"/>
              </w:rPr>
            </w:pPr>
            <w:r>
              <w:rPr>
                <w:rFonts w:hint="eastAsia" w:hAnsi="宋体" w:cs="宋体"/>
                <w:color w:val="auto"/>
                <w:sz w:val="24"/>
                <w:highlight w:val="none"/>
              </w:rPr>
              <w:t>本项目实行电子投标。</w:t>
            </w:r>
          </w:p>
          <w:p>
            <w:pPr>
              <w:keepNext w:val="0"/>
              <w:keepLines w:val="0"/>
              <w:suppressLineNumbers w:val="0"/>
              <w:spacing w:before="0" w:beforeAutospacing="0" w:after="0" w:afterAutospacing="0" w:line="360" w:lineRule="auto"/>
              <w:ind w:left="0" w:right="0"/>
              <w:rPr>
                <w:rFonts w:hint="eastAsia" w:hAnsi="宋体" w:cs="宋体"/>
                <w:color w:val="auto"/>
                <w:sz w:val="24"/>
                <w:highlight w:val="none"/>
              </w:rPr>
            </w:pPr>
            <w:r>
              <w:rPr>
                <w:rFonts w:hint="eastAsia" w:hAnsi="宋体" w:cs="宋体"/>
                <w:color w:val="auto"/>
                <w:sz w:val="24"/>
                <w:highlight w:val="none"/>
              </w:rPr>
              <w:t>供应商应准备电子响应文件参与交易：</w:t>
            </w:r>
          </w:p>
          <w:p>
            <w:pPr>
              <w:keepNext w:val="0"/>
              <w:keepLines w:val="0"/>
              <w:suppressLineNumbers w:val="0"/>
              <w:spacing w:before="0" w:beforeAutospacing="0" w:after="0" w:afterAutospacing="0" w:line="360" w:lineRule="auto"/>
              <w:ind w:left="0" w:right="0"/>
              <w:rPr>
                <w:rFonts w:hint="eastAsia" w:hAnsi="宋体" w:cs="宋体"/>
                <w:color w:val="auto"/>
                <w:sz w:val="24"/>
                <w:highlight w:val="none"/>
              </w:rPr>
            </w:pPr>
            <w:r>
              <w:rPr>
                <w:rFonts w:hint="eastAsia" w:hAnsi="宋体" w:cs="宋体"/>
                <w:color w:val="auto"/>
                <w:sz w:val="24"/>
                <w:highlight w:val="none"/>
              </w:rPr>
              <w:t>（1）电子响应文件，按</w:t>
            </w:r>
            <w:r>
              <w:rPr>
                <w:rFonts w:hint="eastAsia" w:hAnsi="宋体" w:cs="宋体"/>
                <w:color w:val="auto"/>
                <w:sz w:val="24"/>
                <w:highlight w:val="none"/>
                <w:lang w:val="en-US" w:eastAsia="zh-CN"/>
              </w:rPr>
              <w:t>乐</w:t>
            </w:r>
            <w:r>
              <w:rPr>
                <w:rFonts w:hint="eastAsia" w:hAnsi="宋体" w:cs="宋体"/>
                <w:color w:val="auto"/>
                <w:sz w:val="24"/>
                <w:highlight w:val="none"/>
              </w:rPr>
              <w:t>采云平台项目采购-电子招投标操作指南及本交易文件要求递交。</w:t>
            </w:r>
          </w:p>
          <w:p>
            <w:pPr>
              <w:keepNext w:val="0"/>
              <w:keepLines w:val="0"/>
              <w:suppressLineNumbers w:val="0"/>
              <w:spacing w:before="0" w:beforeAutospacing="0" w:after="0" w:afterAutospacing="0" w:line="360" w:lineRule="auto"/>
              <w:ind w:left="0" w:right="0"/>
              <w:rPr>
                <w:rFonts w:hint="eastAsia" w:hAnsi="宋体" w:cs="宋体"/>
                <w:color w:val="auto"/>
                <w:sz w:val="24"/>
                <w:highlight w:val="none"/>
              </w:rPr>
            </w:pPr>
            <w:r>
              <w:rPr>
                <w:rFonts w:hint="eastAsia" w:hAnsi="宋体" w:cs="宋体"/>
                <w:color w:val="auto"/>
                <w:sz w:val="24"/>
                <w:highlight w:val="none"/>
              </w:rPr>
              <w:t>▲未传输递交电子响应文件的，</w:t>
            </w:r>
            <w:r>
              <w:rPr>
                <w:rFonts w:hint="eastAsia" w:hAnsi="宋体" w:cs="宋体"/>
                <w:color w:val="auto"/>
                <w:sz w:val="24"/>
                <w:highlight w:val="none"/>
                <w:lang w:val="en-US" w:eastAsia="zh-CN"/>
              </w:rPr>
              <w:t>响应</w:t>
            </w:r>
            <w:r>
              <w:rPr>
                <w:rFonts w:hint="eastAsia" w:hAnsi="宋体" w:cs="宋体"/>
                <w:color w:val="auto"/>
                <w:sz w:val="24"/>
                <w:highlight w:val="none"/>
              </w:rPr>
              <w:t>无效。</w:t>
            </w:r>
          </w:p>
          <w:p>
            <w:pPr>
              <w:keepNext w:val="0"/>
              <w:keepLines w:val="0"/>
              <w:suppressLineNumbers w:val="0"/>
              <w:spacing w:before="0" w:beforeAutospacing="0" w:after="0" w:afterAutospacing="0" w:line="360" w:lineRule="auto"/>
              <w:ind w:left="0" w:right="0"/>
              <w:rPr>
                <w:rFonts w:hint="eastAsia" w:hAnsi="宋体" w:cs="宋体"/>
                <w:color w:val="auto"/>
                <w:sz w:val="24"/>
                <w:highlight w:val="none"/>
              </w:rPr>
            </w:pPr>
            <w:r>
              <w:rPr>
                <w:rFonts w:hint="eastAsia" w:hAnsi="宋体" w:cs="宋体"/>
                <w:color w:val="auto"/>
                <w:sz w:val="24"/>
                <w:highlight w:val="none"/>
              </w:rPr>
              <w:t>▲未在系统解密时间内完成解密的，视为响应人自行放弃交易响应无效。</w:t>
            </w:r>
          </w:p>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hAnsi="宋体" w:cs="宋体"/>
                <w:color w:val="auto"/>
                <w:sz w:val="24"/>
                <w:highlight w:val="none"/>
              </w:rPr>
              <w:t>本项目备份投标文件：不提供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（√）A不组织。</w:t>
            </w:r>
          </w:p>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采购机构代理费用</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本项目的代理费</w:t>
            </w:r>
            <w:r>
              <w:rPr>
                <w:rFonts w:hint="eastAsia" w:ascii="宋体" w:hAnsi="宋体" w:cs="宋体"/>
                <w:color w:val="auto"/>
                <w:sz w:val="24"/>
                <w:highlight w:val="none"/>
                <w:lang w:val="en-US" w:eastAsia="zh-CN"/>
              </w:rPr>
              <w:t>及专家评审费</w:t>
            </w:r>
            <w:r>
              <w:rPr>
                <w:rFonts w:hint="eastAsia" w:ascii="宋体" w:hAnsi="宋体" w:cs="宋体"/>
                <w:color w:val="auto"/>
                <w:sz w:val="24"/>
                <w:highlight w:val="none"/>
              </w:rPr>
              <w:t>由</w:t>
            </w:r>
            <w:r>
              <w:rPr>
                <w:rFonts w:hint="eastAsia" w:ascii="宋体" w:hAnsi="宋体" w:cs="宋体"/>
                <w:color w:val="auto"/>
                <w:sz w:val="24"/>
                <w:highlight w:val="none"/>
              </w:rPr>
              <w:t>交易发起人</w:t>
            </w:r>
            <w:r>
              <w:rPr>
                <w:rFonts w:hint="eastAsia" w:ascii="宋体" w:hAnsi="宋体" w:cs="宋体"/>
                <w:color w:val="auto"/>
                <w:sz w:val="24"/>
                <w:highlight w:val="none"/>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13"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保证金</w:t>
            </w:r>
          </w:p>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履约保证金</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firstLine="0"/>
              <w:rPr>
                <w:rFonts w:hint="default" w:hAnsi="宋体" w:cs="宋体"/>
                <w:color w:val="auto"/>
                <w:sz w:val="24"/>
                <w:highlight w:val="none"/>
              </w:rPr>
            </w:pPr>
            <w:r>
              <w:rPr>
                <w:rFonts w:hint="eastAsia" w:hAnsi="宋体" w:cs="宋体"/>
                <w:color w:val="auto"/>
                <w:sz w:val="24"/>
                <w:highlight w:val="none"/>
                <w:lang w:val="en-US" w:eastAsia="zh-CN"/>
              </w:rPr>
              <w:t>响应</w:t>
            </w:r>
            <w:r>
              <w:rPr>
                <w:rFonts w:hint="eastAsia" w:hAnsi="宋体" w:cs="宋体"/>
                <w:color w:val="auto"/>
                <w:sz w:val="24"/>
                <w:highlight w:val="none"/>
              </w:rPr>
              <w:t>保证金：不收取。</w:t>
            </w:r>
          </w:p>
          <w:p>
            <w:pPr>
              <w:keepNext w:val="0"/>
              <w:keepLines w:val="0"/>
              <w:suppressLineNumbers w:val="0"/>
              <w:spacing w:before="0" w:beforeAutospacing="0" w:after="0" w:afterAutospacing="0" w:line="360" w:lineRule="auto"/>
              <w:ind w:left="0" w:right="0" w:firstLine="0"/>
              <w:rPr>
                <w:rFonts w:hint="default" w:hAnsi="宋体" w:cs="宋体"/>
                <w:color w:val="auto"/>
                <w:sz w:val="24"/>
                <w:highlight w:val="none"/>
              </w:rPr>
            </w:pPr>
            <w:r>
              <w:rPr>
                <w:rFonts w:hint="eastAsia" w:hAnsi="宋体" w:cs="宋体"/>
                <w:color w:val="auto"/>
                <w:sz w:val="24"/>
                <w:highlight w:val="none"/>
              </w:rPr>
              <w:t>履约保证金：1%。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资格审查及信用信息查询</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firstLine="0"/>
              <w:rPr>
                <w:rFonts w:hint="default" w:hAnsi="宋体" w:cs="宋体"/>
                <w:color w:val="auto"/>
                <w:sz w:val="24"/>
                <w:highlight w:val="none"/>
              </w:rPr>
            </w:pPr>
            <w:r>
              <w:rPr>
                <w:rFonts w:hint="eastAsia" w:hAnsi="宋体" w:cs="宋体"/>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36"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中小企业划分标准所属行业</w:t>
            </w:r>
          </w:p>
        </w:tc>
        <w:tc>
          <w:tcPr>
            <w:tcW w:w="6562"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u w:val="single"/>
              </w:rPr>
            </w:pPr>
            <w:r>
              <w:rPr>
                <w:rFonts w:hint="eastAsia" w:ascii="宋体" w:hAnsi="宋体" w:cs="宋体"/>
                <w:color w:val="auto"/>
                <w:kern w:val="0"/>
                <w:sz w:val="24"/>
                <w:highlight w:val="none"/>
              </w:rPr>
              <w:t>采购标的：</w:t>
            </w:r>
            <w:r>
              <w:rPr>
                <w:rFonts w:hint="eastAsia" w:ascii="宋体" w:hAnsi="宋体" w:cs="宋体"/>
                <w:color w:val="auto"/>
                <w:sz w:val="24"/>
                <w:highlight w:val="none"/>
                <w:lang w:eastAsia="zh-CN"/>
              </w:rPr>
              <w:t>萧山区蜀山中心幼儿园5个专用教室移动设备采购项目</w:t>
            </w:r>
            <w:r>
              <w:rPr>
                <w:rFonts w:hint="eastAsia" w:ascii="宋体" w:hAnsi="宋体" w:cs="宋体"/>
                <w:color w:val="auto"/>
                <w:kern w:val="0"/>
                <w:sz w:val="24"/>
                <w:highlight w:val="none"/>
              </w:rPr>
              <w:t>，所属行业：工业</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行业划分标准：</w:t>
            </w:r>
          </w:p>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质疑接收人</w:t>
            </w: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及答复</w:t>
            </w:r>
          </w:p>
        </w:tc>
        <w:tc>
          <w:tcPr>
            <w:tcW w:w="6562" w:type="dxa"/>
            <w:shd w:val="clear" w:color="auto" w:fill="FFFFFF"/>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线上提交质疑方式：乐采云线上质疑路径：项目采购-询问质疑投诉-质疑列表。请使用ca签章在每一页质疑文件中加盖电子公章，上传完整附件。</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本项目涉及资格条件、采购需求、评分办法及采购过程中有关现场考察或开标前答疑会事项由采购人进行答复。</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u w:val="single"/>
              </w:rPr>
            </w:pPr>
            <w:r>
              <w:rPr>
                <w:rFonts w:hint="eastAsia" w:ascii="宋体"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1"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项目采购类型</w:t>
            </w:r>
          </w:p>
        </w:tc>
        <w:tc>
          <w:tcPr>
            <w:tcW w:w="6562" w:type="dxa"/>
            <w:shd w:val="clear" w:color="auto" w:fill="FFFFFF"/>
            <w:vAlign w:val="center"/>
          </w:tcPr>
          <w:p>
            <w:pPr>
              <w:keepNext w:val="0"/>
              <w:keepLines w:val="0"/>
              <w:suppressLineNumbers w:val="0"/>
              <w:snapToGrid w:val="0"/>
              <w:spacing w:before="0" w:beforeAutospacing="0" w:after="0" w:afterAutospacing="0" w:line="520" w:lineRule="exact"/>
              <w:ind w:left="0" w:right="0"/>
              <w:rPr>
                <w:rFonts w:hint="default" w:ascii="宋体" w:hAnsi="宋体" w:cs="宋体"/>
                <w:color w:val="auto"/>
                <w:sz w:val="24"/>
                <w:highlight w:val="none"/>
              </w:rPr>
            </w:pPr>
            <w:r>
              <w:rPr>
                <w:rFonts w:hint="eastAsia" w:ascii="宋体" w:hAnsi="宋体" w:cs="宋体"/>
                <w:color w:val="auto"/>
                <w:sz w:val="24"/>
                <w:highlight w:val="none"/>
              </w:rPr>
              <w:t>本项目为</w:t>
            </w:r>
            <w:r>
              <w:rPr>
                <w:rFonts w:hint="eastAsia" w:ascii="宋体" w:hAnsi="宋体" w:cs="宋体"/>
                <w:color w:val="auto"/>
                <w:sz w:val="24"/>
                <w:highlight w:val="none"/>
                <w:u w:val="single"/>
              </w:rPr>
              <w:t>货物类</w:t>
            </w:r>
            <w:r>
              <w:rPr>
                <w:rFonts w:hint="eastAsia" w:ascii="宋体" w:hAnsi="宋体" w:cs="宋体"/>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评标方法</w:t>
            </w:r>
          </w:p>
        </w:tc>
        <w:tc>
          <w:tcPr>
            <w:tcW w:w="6562" w:type="dxa"/>
            <w:shd w:val="clear" w:color="auto" w:fill="FFFFFF"/>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92" w:hRule="atLeast"/>
          <w:jc w:val="center"/>
        </w:trPr>
        <w:tc>
          <w:tcPr>
            <w:tcW w:w="629" w:type="dxa"/>
            <w:shd w:val="clear" w:color="auto" w:fill="FFFFFF"/>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559" w:type="dxa"/>
            <w:shd w:val="clear" w:color="auto" w:fill="FFFFFF"/>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62" w:type="dxa"/>
            <w:shd w:val="clear" w:color="auto" w:fill="FFFFFF"/>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注：本项目通用总则条款与前附表等专用特别规定有冲突之处，以专用条款（特别规定）为准</w:t>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br w:type="page"/>
      </w:r>
      <w:bookmarkEnd w:id="10"/>
      <w:bookmarkStart w:id="42" w:name="第三部分"/>
      <w:bookmarkStart w:id="43" w:name="_Toc164416483"/>
      <w:r>
        <w:rPr>
          <w:rFonts w:hint="eastAsia" w:ascii="宋体" w:hAnsi="宋体" w:cs="宋体"/>
          <w:b/>
          <w:color w:val="auto"/>
          <w:sz w:val="32"/>
          <w:szCs w:val="20"/>
          <w:highlight w:val="none"/>
        </w:rPr>
        <w:t>一、总则</w:t>
      </w:r>
    </w:p>
    <w:p>
      <w:pPr>
        <w:snapToGrid w:val="0"/>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adjustRightInd/>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本交易文件适用于该项目的响应、交易、资格审查及信用信息查询、评标、定标、合同、验收等行为（法律、法规另有规定的，从其规定）。</w:t>
      </w:r>
    </w:p>
    <w:p>
      <w:pPr>
        <w:adjustRightInd/>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 系指实质性要求条款，“★”系产品采购项目中单一产品或核心产品。</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w:t>
      </w:r>
      <w:r>
        <w:rPr>
          <w:rFonts w:hint="eastAsia" w:ascii="宋体" w:hAnsi="宋体" w:cs="宋体"/>
          <w:color w:val="auto"/>
          <w:sz w:val="24"/>
          <w:highlight w:val="none"/>
        </w:rPr>
        <w:t>” 系指适用本项目的要求，“</w:t>
      </w:r>
      <w:r>
        <w:rPr>
          <w:rFonts w:hint="eastAsia" w:ascii="宋体" w:hAnsi="宋体" w:cs="宋体"/>
          <w:b/>
          <w:color w:val="auto"/>
          <w:sz w:val="24"/>
          <w:highlight w:val="none"/>
        </w:rPr>
        <w:t>（  ）</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节能环保要求</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无效。</w:t>
      </w:r>
      <w:r>
        <w:rPr>
          <w:rFonts w:hint="eastAsia" w:ascii="宋体" w:hAnsi="宋体" w:cs="宋体"/>
          <w:color w:val="auto"/>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宋体" w:hAnsi="宋体" w:cs="宋体"/>
          <w:b/>
          <w:color w:val="auto"/>
          <w:sz w:val="24"/>
          <w:highlight w:val="none"/>
        </w:rPr>
        <w:t>▲</w:t>
      </w:r>
      <w:r>
        <w:rPr>
          <w:rFonts w:hint="eastAsia" w:ascii="宋体" w:hAnsi="宋体" w:cs="宋体"/>
          <w:b/>
          <w:color w:val="auto"/>
          <w:sz w:val="24"/>
          <w:szCs w:val="21"/>
          <w:highlight w:val="none"/>
        </w:rPr>
        <w:t>本项目如需采购节能品目清单中的政府强制采购的节能产品的，必须以强制采购的品目清单内产品投标，供应商未按要求提供品目清单内的节能产品或相关证明，</w:t>
      </w:r>
      <w:r>
        <w:rPr>
          <w:rFonts w:hint="eastAsia" w:ascii="宋体" w:hAnsi="宋体" w:cs="宋体"/>
          <w:b/>
          <w:color w:val="auto"/>
          <w:sz w:val="24"/>
          <w:szCs w:val="21"/>
          <w:highlight w:val="none"/>
          <w:lang w:val="en-US" w:eastAsia="zh-CN"/>
        </w:rPr>
        <w:t>响应</w:t>
      </w:r>
      <w:r>
        <w:rPr>
          <w:rFonts w:hint="eastAsia" w:ascii="宋体" w:hAnsi="宋体" w:cs="宋体"/>
          <w:b/>
          <w:color w:val="auto"/>
          <w:sz w:val="24"/>
          <w:szCs w:val="21"/>
          <w:highlight w:val="none"/>
        </w:rPr>
        <w:t>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4.询问、质疑、投诉</w:t>
      </w:r>
      <w:r>
        <w:rPr>
          <w:rFonts w:hint="eastAsia" w:ascii="宋体" w:hAnsi="宋体" w:cs="宋体"/>
          <w:color w:val="auto"/>
          <w:kern w:val="0"/>
          <w:sz w:val="24"/>
          <w:highlight w:val="none"/>
          <w:lang w:val="zh-CN"/>
        </w:rPr>
        <w:t xml:space="preserve">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4.2供应商质疑</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.1提出质疑的供应商应当是参与所质疑项目采购活动的供应商。潜在供应商已依法获取其可质疑的采购文件的，可以对该文件提出质疑。</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.2.3对采购结果提出质疑的，质疑期限自采购结果公告期限届满之日起计算。对采购结果提出质疑的，采购人或采购机构负责答复。（详见前附表相关规定）</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w:t>
      </w:r>
      <w:r>
        <w:rPr>
          <w:rFonts w:hint="eastAsia" w:hAnsi="宋体" w:cs="宋体"/>
          <w:snapToGrid/>
          <w:color w:val="auto"/>
          <w:kern w:val="2"/>
          <w:sz w:val="24"/>
          <w:highlight w:val="none"/>
        </w:rPr>
        <w:t>供应商提出质疑应当提交质疑函和必要的证明材料。质疑函应当包括下列内容：</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4.2.3.1</w:t>
      </w:r>
      <w:r>
        <w:rPr>
          <w:rFonts w:hint="eastAsia" w:hAnsi="宋体" w:cs="宋体"/>
          <w:snapToGrid/>
          <w:color w:val="auto"/>
          <w:kern w:val="2"/>
          <w:sz w:val="24"/>
          <w:highlight w:val="none"/>
        </w:rPr>
        <w:t>供应商的姓名或者名称、地址、邮编、联系人及联系电话；</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4.2.3.2</w:t>
      </w:r>
      <w:r>
        <w:rPr>
          <w:rFonts w:hint="eastAsia" w:hAnsi="宋体" w:cs="宋体"/>
          <w:snapToGrid/>
          <w:color w:val="auto"/>
          <w:kern w:val="2"/>
          <w:sz w:val="24"/>
          <w:highlight w:val="none"/>
        </w:rPr>
        <w:t>质疑项目的名称、编号；</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4.2.3.3</w:t>
      </w:r>
      <w:r>
        <w:rPr>
          <w:rFonts w:hint="eastAsia" w:hAnsi="宋体" w:cs="宋体"/>
          <w:snapToGrid/>
          <w:color w:val="auto"/>
          <w:kern w:val="2"/>
          <w:sz w:val="24"/>
          <w:highlight w:val="none"/>
        </w:rPr>
        <w:t>具体、明确的质疑事项和与质疑事项相关的请求；</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4.2.3.4</w:t>
      </w:r>
      <w:r>
        <w:rPr>
          <w:rFonts w:hint="eastAsia" w:hAnsi="宋体" w:cs="宋体"/>
          <w:snapToGrid/>
          <w:color w:val="auto"/>
          <w:kern w:val="2"/>
          <w:sz w:val="24"/>
          <w:highlight w:val="none"/>
        </w:rPr>
        <w:t>事实依据；</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4.2.3.5</w:t>
      </w:r>
      <w:r>
        <w:rPr>
          <w:rFonts w:hint="eastAsia" w:hAnsi="宋体" w:cs="宋体"/>
          <w:snapToGrid/>
          <w:color w:val="auto"/>
          <w:kern w:val="2"/>
          <w:sz w:val="24"/>
          <w:highlight w:val="none"/>
        </w:rPr>
        <w:t>必要的法律依据；</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4.2.3.6</w:t>
      </w:r>
      <w:r>
        <w:rPr>
          <w:rFonts w:hint="eastAsia" w:hAnsi="宋体" w:cs="宋体"/>
          <w:snapToGrid/>
          <w:color w:val="auto"/>
          <w:kern w:val="2"/>
          <w:sz w:val="24"/>
          <w:highlight w:val="none"/>
        </w:rPr>
        <w:t>提出质疑的日期。</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zh-CN"/>
        </w:rPr>
        <w:t>4.2</w:t>
      </w:r>
      <w:r>
        <w:rPr>
          <w:rFonts w:hint="eastAsia" w:hAnsi="宋体" w:cs="宋体"/>
          <w:snapToGrid/>
          <w:color w:val="auto"/>
          <w:kern w:val="2"/>
          <w:sz w:val="24"/>
          <w:highlight w:val="none"/>
        </w:rPr>
        <w:t>.5询问或者质疑事项可能影响采购结果的，采购人应当暂停签订合同，已经签订合同的，应当中止履行合同。</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4.2.6质疑接收人：详见前附表</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4.3供应商投诉</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4.3.2供应商投诉的事项不得超出已质疑事项的范围，基于质疑答复内容提出的投诉事项除外。</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4.3.3供应商投诉应当有明确的请求和必要的证明材料。</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4.3.5 以联合体形式参加政府采购活动的，其投诉应当由组成联合体的所有供应商共同提出。</w:t>
      </w:r>
    </w:p>
    <w:p>
      <w:pPr>
        <w:spacing w:line="360" w:lineRule="auto"/>
        <w:ind w:firstLine="480" w:firstLineChars="200"/>
        <w:rPr>
          <w:rFonts w:hAnsi="宋体" w:cs="宋体"/>
          <w:snapToGrid/>
          <w:color w:val="auto"/>
          <w:kern w:val="2"/>
          <w:sz w:val="24"/>
          <w:highlight w:val="none"/>
          <w:lang w:val="zh-CN"/>
        </w:rPr>
      </w:pPr>
      <w:r>
        <w:rPr>
          <w:rFonts w:hint="eastAsia" w:hAnsi="宋体" w:cs="宋体"/>
          <w:snapToGrid/>
          <w:color w:val="auto"/>
          <w:kern w:val="2"/>
          <w:sz w:val="24"/>
          <w:highlight w:val="none"/>
          <w:lang w:val="zh-CN"/>
        </w:rPr>
        <w:t>投诉书范本及制作说明详见附件3。</w:t>
      </w:r>
    </w:p>
    <w:p>
      <w:pPr>
        <w:pStyle w:val="22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bookmarkStart w:id="44" w:name="_Hlt68072990"/>
      <w:bookmarkEnd w:id="44"/>
      <w:bookmarkStart w:id="45" w:name="_Hlt75236290"/>
      <w:bookmarkEnd w:id="45"/>
      <w:bookmarkStart w:id="46" w:name="_Hlt74714665"/>
      <w:bookmarkEnd w:id="46"/>
      <w:bookmarkStart w:id="47" w:name="_Hlt74730295"/>
      <w:bookmarkEnd w:id="47"/>
      <w:bookmarkStart w:id="48" w:name="_Hlt74729768"/>
      <w:bookmarkEnd w:id="48"/>
      <w:bookmarkStart w:id="49" w:name="_Hlt68057669"/>
      <w:bookmarkEnd w:id="49"/>
      <w:bookmarkStart w:id="50" w:name="_Hlt74707468"/>
      <w:bookmarkEnd w:id="50"/>
      <w:bookmarkStart w:id="51" w:name="_Toc91899879"/>
      <w:r>
        <w:rPr>
          <w:rFonts w:hint="eastAsia" w:ascii="宋体" w:hAnsi="宋体" w:cs="宋体"/>
          <w:b/>
          <w:color w:val="auto"/>
          <w:sz w:val="32"/>
          <w:szCs w:val="20"/>
          <w:highlight w:val="none"/>
        </w:rPr>
        <w:t>二、交易文件</w:t>
      </w:r>
      <w:bookmarkEnd w:id="51"/>
      <w:r>
        <w:rPr>
          <w:rFonts w:hint="eastAsia" w:ascii="宋体" w:hAnsi="宋体" w:cs="宋体"/>
          <w:b/>
          <w:color w:val="auto"/>
          <w:sz w:val="32"/>
          <w:szCs w:val="20"/>
          <w:highlight w:val="none"/>
        </w:rPr>
        <w:t>的构成、澄清、修改</w:t>
      </w:r>
    </w:p>
    <w:p>
      <w:pPr>
        <w:pStyle w:val="34"/>
        <w:spacing w:line="360" w:lineRule="auto"/>
        <w:ind w:right="-512" w:firstLine="482" w:firstLineChars="200"/>
        <w:rPr>
          <w:rFonts w:hAnsi="宋体" w:cs="宋体"/>
          <w:b/>
          <w:color w:val="auto"/>
          <w:sz w:val="24"/>
          <w:szCs w:val="24"/>
          <w:highlight w:val="none"/>
        </w:rPr>
      </w:pPr>
      <w:bookmarkStart w:id="52" w:name="_Toc91899880"/>
      <w:bookmarkStart w:id="53" w:name="_Hlt74730307"/>
      <w:r>
        <w:rPr>
          <w:rFonts w:hint="eastAsia" w:hAnsi="宋体" w:cs="宋体"/>
          <w:b/>
          <w:color w:val="auto"/>
          <w:sz w:val="24"/>
          <w:szCs w:val="24"/>
          <w:highlight w:val="none"/>
        </w:rPr>
        <w:t>5．交易文件的构成</w:t>
      </w:r>
      <w:bookmarkEnd w:id="52"/>
    </w:p>
    <w:bookmarkEnd w:id="53"/>
    <w:p>
      <w:pPr>
        <w:pStyle w:val="34"/>
        <w:spacing w:line="360" w:lineRule="auto"/>
        <w:ind w:right="-512"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第一部分      交易公告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第二部分      供应商须知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第三部分      采购需求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第四部分      评审办法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第五部分      拟签订的合同文本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第六部分      应提交的有关格式范例</w:t>
      </w:r>
    </w:p>
    <w:p>
      <w:pPr>
        <w:wordWrap w:val="0"/>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澄清或者修改等公告、内容亦为交易文件的组成部分，供应商须自行于交易公告所在网站获取相关信息（浙江政府采购网）</w:t>
      </w:r>
      <w:r>
        <w:rPr>
          <w:rFonts w:hint="eastAsia" w:ascii="宋体" w:hAnsi="宋体" w:cs="宋体"/>
          <w:color w:val="auto"/>
          <w:sz w:val="24"/>
          <w:highlight w:val="none"/>
        </w:rPr>
        <w:t>。</w:t>
      </w:r>
    </w:p>
    <w:p>
      <w:pPr>
        <w:pStyle w:val="34"/>
        <w:spacing w:line="360" w:lineRule="auto"/>
        <w:ind w:right="-512" w:firstLine="482" w:firstLineChars="200"/>
        <w:rPr>
          <w:rFonts w:hAnsi="宋体" w:cs="宋体"/>
          <w:b/>
          <w:color w:val="auto"/>
          <w:sz w:val="24"/>
          <w:szCs w:val="24"/>
          <w:highlight w:val="none"/>
        </w:rPr>
      </w:pPr>
      <w:r>
        <w:rPr>
          <w:rFonts w:hint="eastAsia" w:hAnsi="宋体" w:cs="宋体"/>
          <w:b/>
          <w:color w:val="auto"/>
          <w:sz w:val="24"/>
          <w:szCs w:val="24"/>
          <w:highlight w:val="none"/>
        </w:rPr>
        <w:t>6.交易文件的澄清、修改</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6.1已获取交易文件的潜在供应商，若有问题需要澄清，应于投标截止时间前，以书面形式向采购机构提出，采购机构与采购人研究后，对认为有必要回答的问题，将以公告形式通知所有交易文件收受人。</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6.2采购机构如对已发出的交易文件进行必要澄清或者修改的，将在发布交易公告的网站上发布更正、补遗公告，同时视情况延长投标截止时间和开标时间。该公告澄清或者修改的内容为交易文件的组成部分。</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响应</w:t>
      </w:r>
      <w:r>
        <w:rPr>
          <w:rFonts w:hint="eastAsia" w:ascii="宋体" w:hAnsi="宋体" w:cs="宋体"/>
          <w:b/>
          <w:color w:val="auto"/>
          <w:sz w:val="24"/>
          <w:szCs w:val="21"/>
          <w:highlight w:val="none"/>
        </w:rPr>
        <w:t>文件未按交易文件更正、补遗公告的澄清、修改的内容编制，又不符合实质性要求的，</w:t>
      </w:r>
      <w:r>
        <w:rPr>
          <w:rFonts w:hint="eastAsia" w:ascii="宋体" w:hAnsi="宋体" w:cs="宋体"/>
          <w:b/>
          <w:color w:val="auto"/>
          <w:sz w:val="24"/>
          <w:szCs w:val="21"/>
          <w:highlight w:val="none"/>
          <w:lang w:val="en-US" w:eastAsia="zh-CN"/>
        </w:rPr>
        <w:t>响应</w:t>
      </w:r>
      <w:r>
        <w:rPr>
          <w:rFonts w:hint="eastAsia" w:ascii="宋体" w:hAnsi="宋体" w:cs="宋体"/>
          <w:b/>
          <w:color w:val="auto"/>
          <w:sz w:val="24"/>
          <w:szCs w:val="21"/>
          <w:highlight w:val="none"/>
        </w:rPr>
        <w:t>无效。</w:t>
      </w:r>
    </w:p>
    <w:p>
      <w:pPr>
        <w:pStyle w:val="2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bookmarkStart w:id="54" w:name="_Hlt75236011"/>
      <w:bookmarkEnd w:id="54"/>
      <w:bookmarkStart w:id="55" w:name="_Toc91899884"/>
      <w:r>
        <w:rPr>
          <w:rFonts w:hint="eastAsia" w:ascii="宋体" w:hAnsi="宋体" w:cs="宋体"/>
          <w:b/>
          <w:color w:val="auto"/>
          <w:sz w:val="30"/>
          <w:szCs w:val="20"/>
          <w:highlight w:val="none"/>
        </w:rPr>
        <w:t>三、投标</w:t>
      </w:r>
      <w:bookmarkEnd w:id="55"/>
    </w:p>
    <w:p>
      <w:pPr>
        <w:pStyle w:val="34"/>
        <w:spacing w:line="360" w:lineRule="auto"/>
        <w:ind w:right="-512" w:firstLine="482" w:firstLineChars="200"/>
        <w:rPr>
          <w:rFonts w:hAnsi="宋体" w:cs="宋体"/>
          <w:b/>
          <w:color w:val="auto"/>
          <w:sz w:val="24"/>
          <w:szCs w:val="24"/>
          <w:highlight w:val="none"/>
        </w:rPr>
      </w:pPr>
      <w:bookmarkStart w:id="56" w:name="_Toc86216991"/>
      <w:bookmarkStart w:id="57" w:name="_Toc91899892"/>
      <w:r>
        <w:rPr>
          <w:rFonts w:hint="eastAsia" w:hAnsi="宋体" w:cs="宋体"/>
          <w:b/>
          <w:color w:val="auto"/>
          <w:sz w:val="24"/>
          <w:szCs w:val="24"/>
          <w:highlight w:val="none"/>
        </w:rPr>
        <w:t>7.交易文件的获取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详见交易公告中获取交易文件的时间期限、地点、方式。附件中直接下载仅供浏览使用。</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w:t>
      </w:r>
      <w:r>
        <w:rPr>
          <w:rFonts w:hint="eastAsia" w:ascii="宋体" w:hAnsi="宋体" w:cs="宋体"/>
          <w:b/>
          <w:color w:val="auto"/>
          <w:sz w:val="24"/>
          <w:szCs w:val="21"/>
          <w:highlight w:val="none"/>
        </w:rPr>
        <w:t>未按照公告要求完成采购文件获取的，</w:t>
      </w:r>
      <w:r>
        <w:rPr>
          <w:rFonts w:hint="eastAsia" w:ascii="宋体" w:hAnsi="宋体" w:cs="宋体"/>
          <w:b/>
          <w:color w:val="auto"/>
          <w:sz w:val="24"/>
          <w:szCs w:val="21"/>
          <w:highlight w:val="none"/>
          <w:lang w:val="en-US" w:eastAsia="zh-CN"/>
        </w:rPr>
        <w:t>响应</w:t>
      </w:r>
      <w:r>
        <w:rPr>
          <w:rFonts w:hint="eastAsia" w:ascii="宋体" w:hAnsi="宋体" w:cs="宋体"/>
          <w:b/>
          <w:color w:val="auto"/>
          <w:sz w:val="24"/>
          <w:szCs w:val="21"/>
          <w:highlight w:val="none"/>
        </w:rPr>
        <w:t>无效。</w:t>
      </w:r>
    </w:p>
    <w:p>
      <w:pPr>
        <w:pStyle w:val="34"/>
        <w:spacing w:line="360" w:lineRule="auto"/>
        <w:ind w:right="-512" w:firstLine="482" w:firstLineChars="200"/>
        <w:rPr>
          <w:rFonts w:hAnsi="宋体" w:cs="宋体"/>
          <w:b/>
          <w:color w:val="auto"/>
          <w:sz w:val="24"/>
          <w:szCs w:val="24"/>
          <w:highlight w:val="none"/>
        </w:rPr>
      </w:pPr>
      <w:r>
        <w:rPr>
          <w:rFonts w:hint="eastAsia" w:hAnsi="宋体" w:cs="宋体"/>
          <w:b/>
          <w:color w:val="auto"/>
          <w:sz w:val="24"/>
          <w:szCs w:val="24"/>
          <w:highlight w:val="none"/>
        </w:rPr>
        <w:t>8.</w:t>
      </w:r>
      <w:r>
        <w:rPr>
          <w:rFonts w:hint="eastAsia" w:hAnsi="宋体" w:cs="宋体"/>
          <w:b/>
          <w:color w:val="auto"/>
          <w:sz w:val="24"/>
          <w:szCs w:val="24"/>
          <w:highlight w:val="none"/>
          <w:lang w:val="en-US" w:eastAsia="zh-CN"/>
        </w:rPr>
        <w:t>交易</w:t>
      </w:r>
      <w:r>
        <w:rPr>
          <w:rFonts w:hint="eastAsia" w:hAnsi="宋体" w:cs="宋体"/>
          <w:b/>
          <w:color w:val="auto"/>
          <w:sz w:val="24"/>
          <w:szCs w:val="24"/>
          <w:highlight w:val="none"/>
        </w:rPr>
        <w:t>前答疑会或现场考察</w:t>
      </w:r>
    </w:p>
    <w:p>
      <w:pPr>
        <w:pStyle w:val="34"/>
        <w:spacing w:line="360" w:lineRule="auto"/>
        <w:ind w:right="-512" w:firstLine="480" w:firstLineChars="200"/>
        <w:rPr>
          <w:rFonts w:hAnsi="宋体" w:cs="宋体"/>
          <w:color w:val="auto"/>
          <w:sz w:val="24"/>
          <w:szCs w:val="24"/>
          <w:highlight w:val="none"/>
        </w:rPr>
      </w:pPr>
      <w:r>
        <w:rPr>
          <w:rFonts w:hint="eastAsia" w:hAnsi="宋体" w:cs="宋体"/>
          <w:color w:val="auto"/>
          <w:sz w:val="24"/>
          <w:szCs w:val="24"/>
          <w:highlight w:val="none"/>
        </w:rPr>
        <w:t>采购人视采购项目的具体情况，如果采购人组织潜在供应商现场考察或者召开</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前答疑会的，潜在供应商按前附表的规定参加现场考察或者开标前答疑会。</w:t>
      </w:r>
      <w:r>
        <w:rPr>
          <w:rFonts w:hint="eastAsia" w:hAnsi="宋体" w:cs="宋体"/>
          <w:b/>
          <w:color w:val="auto"/>
          <w:sz w:val="24"/>
          <w:szCs w:val="24"/>
          <w:highlight w:val="none"/>
        </w:rPr>
        <w:t>采购人不单独或分别组织只有一个供应商参加的现场考察和答疑会。</w:t>
      </w:r>
    </w:p>
    <w:p>
      <w:pPr>
        <w:pStyle w:val="225"/>
        <w:snapToGrid w:val="0"/>
        <w:spacing w:before="0"/>
        <w:ind w:firstLine="480"/>
        <w:rPr>
          <w:rFonts w:hint="eastAsia" w:hAnsi="宋体" w:cs="宋体"/>
          <w:b/>
          <w:color w:val="auto"/>
          <w:kern w:val="28"/>
          <w:sz w:val="24"/>
          <w:szCs w:val="24"/>
          <w:highlight w:val="none"/>
        </w:rPr>
      </w:pPr>
      <w:r>
        <w:rPr>
          <w:rFonts w:hint="eastAsia" w:hAnsi="宋体" w:cs="宋体"/>
          <w:b/>
          <w:color w:val="auto"/>
          <w:kern w:val="28"/>
          <w:sz w:val="24"/>
          <w:szCs w:val="24"/>
          <w:highlight w:val="none"/>
        </w:rPr>
        <w:t>9.交易保证金</w:t>
      </w:r>
    </w:p>
    <w:p>
      <w:pPr>
        <w:pStyle w:val="225"/>
        <w:snapToGrid w:val="0"/>
        <w:spacing w:before="0"/>
        <w:ind w:firstLine="480"/>
        <w:rPr>
          <w:rFonts w:ascii="宋体" w:hAnsi="宋体" w:cs="宋体"/>
          <w:color w:val="auto"/>
          <w:highlight w:val="none"/>
          <w:lang w:val="zh-CN"/>
        </w:rPr>
      </w:pPr>
      <w:r>
        <w:rPr>
          <w:rFonts w:hint="eastAsia" w:hAnsi="宋体" w:cs="宋体"/>
          <w:b/>
          <w:color w:val="auto"/>
          <w:kern w:val="28"/>
          <w:sz w:val="24"/>
          <w:szCs w:val="24"/>
          <w:highlight w:val="none"/>
        </w:rPr>
        <w:t>本项目不需缴纳交易保证金</w:t>
      </w:r>
    </w:p>
    <w:p>
      <w:pPr>
        <w:pStyle w:val="34"/>
        <w:spacing w:line="360" w:lineRule="auto"/>
        <w:ind w:right="-512"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10. </w:t>
      </w:r>
      <w:r>
        <w:rPr>
          <w:rFonts w:hint="eastAsia" w:hAnsi="宋体" w:cs="宋体"/>
          <w:b/>
          <w:color w:val="auto"/>
          <w:sz w:val="24"/>
          <w:szCs w:val="24"/>
          <w:highlight w:val="none"/>
          <w:lang w:val="en-US" w:eastAsia="zh-CN"/>
        </w:rPr>
        <w:t>响应</w:t>
      </w:r>
      <w:r>
        <w:rPr>
          <w:rFonts w:hint="eastAsia" w:hAnsi="宋体" w:cs="宋体"/>
          <w:b/>
          <w:color w:val="auto"/>
          <w:sz w:val="24"/>
          <w:szCs w:val="24"/>
          <w:highlight w:val="none"/>
        </w:rPr>
        <w:t>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文件及供应商与采购有关的来往通知、函件和文件均应使用中文。</w:t>
      </w:r>
    </w:p>
    <w:p>
      <w:pPr>
        <w:pStyle w:val="34"/>
        <w:spacing w:line="360" w:lineRule="auto"/>
        <w:ind w:right="-512"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11. </w:t>
      </w:r>
      <w:r>
        <w:rPr>
          <w:rFonts w:hint="eastAsia" w:hAnsi="宋体" w:cs="宋体"/>
          <w:b/>
          <w:color w:val="auto"/>
          <w:sz w:val="24"/>
          <w:szCs w:val="24"/>
          <w:highlight w:val="none"/>
          <w:lang w:val="en-US" w:eastAsia="zh-CN"/>
        </w:rPr>
        <w:t>响应</w:t>
      </w:r>
      <w:r>
        <w:rPr>
          <w:rFonts w:hint="eastAsia" w:hAnsi="宋体" w:cs="宋体"/>
          <w:b/>
          <w:color w:val="auto"/>
          <w:sz w:val="24"/>
          <w:szCs w:val="24"/>
          <w:highlight w:val="none"/>
        </w:rPr>
        <w:t>文件的组成</w:t>
      </w:r>
    </w:p>
    <w:p>
      <w:pPr>
        <w:snapToGrid w:val="0"/>
        <w:spacing w:line="360" w:lineRule="auto"/>
        <w:ind w:firstLine="482" w:firstLineChars="200"/>
        <w:rPr>
          <w:rFonts w:ascii="宋体" w:hAnsi="宋体" w:cs="宋体"/>
          <w:b/>
          <w:bCs/>
          <w:color w:val="auto"/>
          <w:sz w:val="24"/>
          <w:highlight w:val="none"/>
        </w:rPr>
      </w:pPr>
      <w:bookmarkStart w:id="58" w:name="_Toc91899887"/>
      <w:r>
        <w:rPr>
          <w:rFonts w:hint="eastAsia" w:ascii="宋体" w:hAnsi="宋体" w:cs="宋体"/>
          <w:b/>
          <w:bCs/>
          <w:color w:val="auto"/>
          <w:sz w:val="24"/>
          <w:highlight w:val="none"/>
        </w:rPr>
        <w:t>11.1资格文件：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11.2.3符合性审查资料；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11.2.4评标标准相应的商务技术资料；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11.2.5商务技术偏离表；</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一览表（报价表）；</w:t>
      </w:r>
    </w:p>
    <w:p>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响应文件含有交易发起人不能接受的附加条件的，交易无效；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w:t>
      </w:r>
      <w:r>
        <w:rPr>
          <w:rFonts w:hint="eastAsia" w:ascii="宋体" w:hAnsi="宋体" w:cs="宋体"/>
          <w:b/>
          <w:color w:val="auto"/>
          <w:sz w:val="24"/>
          <w:highlight w:val="none"/>
          <w:lang w:val="en-US" w:eastAsia="zh-CN"/>
        </w:rPr>
        <w:t>交易无效</w:t>
      </w:r>
      <w:r>
        <w:rPr>
          <w:rFonts w:hint="eastAsia" w:ascii="宋体" w:hAnsi="宋体" w:cs="宋体"/>
          <w:b/>
          <w:color w:val="auto"/>
          <w:sz w:val="24"/>
          <w:highlight w:val="none"/>
        </w:rPr>
        <w:t>。</w:t>
      </w:r>
    </w:p>
    <w:p>
      <w:pPr>
        <w:pStyle w:val="225"/>
        <w:snapToGrid w:val="0"/>
        <w:spacing w:before="0"/>
        <w:ind w:firstLine="482"/>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lang w:val="en-US" w:eastAsia="zh-CN"/>
        </w:rPr>
        <w:t>响应</w:t>
      </w:r>
      <w:r>
        <w:rPr>
          <w:rFonts w:hint="eastAsia" w:ascii="宋体" w:hAnsi="宋体" w:cs="宋体"/>
          <w:b/>
          <w:color w:val="auto"/>
          <w:szCs w:val="24"/>
          <w:highlight w:val="none"/>
        </w:rPr>
        <w:t>文件的编制</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文件未按本条规定的格式编制的，</w:t>
      </w:r>
      <w:r>
        <w:rPr>
          <w:rFonts w:hint="eastAsia" w:ascii="宋体" w:hAnsi="宋体" w:cs="宋体"/>
          <w:b/>
          <w:color w:val="auto"/>
          <w:sz w:val="24"/>
          <w:highlight w:val="none"/>
          <w:lang w:val="en-US" w:eastAsia="zh-CN"/>
        </w:rPr>
        <w:t>交易</w:t>
      </w:r>
      <w:r>
        <w:rPr>
          <w:rFonts w:hint="eastAsia" w:ascii="宋体" w:hAnsi="宋体" w:cs="宋体"/>
          <w:b/>
          <w:color w:val="auto"/>
          <w:sz w:val="24"/>
          <w:highlight w:val="none"/>
        </w:rPr>
        <w:t>无效；</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12.2供应商进行电子投标应安装客户端软件—“乐采云电子交易客户端”，并按照交易文件和电子交易平台的要求编制并加密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文件。供应商未按规定加密的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文件，电子交易平台将拒收并提示。</w:t>
      </w:r>
    </w:p>
    <w:bookmarkEnd w:id="58"/>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pStyle w:val="225"/>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12.4纸质备份文件（如有）的制作要求：</w:t>
      </w:r>
    </w:p>
    <w:p>
      <w:pPr>
        <w:pStyle w:val="2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12.4.1供应商制作纸质</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文件须在</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文件封面上标明“正本”与“副本”字样、项目名称与标项号，并加盖供应商公章。正本内容与副本不一致时，以正本为准。</w:t>
      </w:r>
    </w:p>
    <w:p>
      <w:pPr>
        <w:pStyle w:val="2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12.4.2</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文件正本应使用不能擦去的墨水打印或书写</w:t>
      </w:r>
      <w:r>
        <w:rPr>
          <w:rFonts w:hint="eastAsia" w:ascii="宋体" w:hAnsi="宋体" w:cs="宋体"/>
          <w:color w:val="auto"/>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12.4.3全套</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文件应无涂改和行间插字，除非这些删改是根据采购机构要求进行，或者是供应商造成的必须修改的错误。所修改处应由法定代表人或其授权代表签字盖章予以确认。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12.4.4 </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文件建议采用A4幅面，按顺序统一编目编码装订成册。</w:t>
      </w:r>
      <w:r>
        <w:rPr>
          <w:rFonts w:hint="eastAsia" w:ascii="宋体" w:hAnsi="宋体" w:cs="宋体"/>
          <w:b/>
          <w:color w:val="auto"/>
          <w:sz w:val="24"/>
          <w:highlight w:val="none"/>
        </w:rPr>
        <w:t>提倡双面打印</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文件的装订、签署、盖章</w:t>
      </w:r>
    </w:p>
    <w:p>
      <w:pPr>
        <w:pStyle w:val="22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w:t>
      </w:r>
      <w:r>
        <w:rPr>
          <w:rFonts w:hint="eastAsia" w:ascii="宋体" w:hAnsi="宋体" w:cs="宋体"/>
          <w:b/>
          <w:color w:val="auto"/>
          <w:highlight w:val="none"/>
          <w:lang w:val="en-US" w:eastAsia="zh-CN"/>
        </w:rPr>
        <w:t>响应</w:t>
      </w:r>
      <w:r>
        <w:rPr>
          <w:rFonts w:hint="eastAsia" w:ascii="宋体" w:hAnsi="宋体" w:cs="宋体"/>
          <w:b/>
          <w:color w:val="auto"/>
          <w:highlight w:val="none"/>
        </w:rPr>
        <w:t>文件未按照交易文件要求签署、盖章的，其</w:t>
      </w:r>
      <w:r>
        <w:rPr>
          <w:rFonts w:hint="eastAsia" w:ascii="宋体" w:hAnsi="宋体" w:cs="宋体"/>
          <w:b/>
          <w:color w:val="auto"/>
          <w:highlight w:val="none"/>
          <w:lang w:val="en-US" w:eastAsia="zh-CN"/>
        </w:rPr>
        <w:t>交易</w:t>
      </w:r>
      <w:r>
        <w:rPr>
          <w:rFonts w:hint="eastAsia" w:ascii="宋体" w:hAnsi="宋体" w:cs="宋体"/>
          <w:b/>
          <w:color w:val="auto"/>
          <w:highlight w:val="none"/>
        </w:rPr>
        <w:t>无效</w:t>
      </w:r>
      <w:r>
        <w:rPr>
          <w:rFonts w:hint="eastAsia" w:ascii="宋体" w:hAnsi="宋体" w:cs="宋体"/>
          <w:color w:val="auto"/>
          <w:szCs w:val="24"/>
          <w:highlight w:val="none"/>
        </w:rPr>
        <w:t>。</w:t>
      </w:r>
    </w:p>
    <w:p>
      <w:pPr>
        <w:pStyle w:val="225"/>
        <w:snapToGrid w:val="0"/>
        <w:spacing w:before="0"/>
        <w:ind w:firstLine="480"/>
        <w:rPr>
          <w:rFonts w:ascii="宋体" w:hAnsi="宋体" w:cs="宋体"/>
          <w:color w:val="auto"/>
          <w:szCs w:val="24"/>
          <w:highlight w:val="none"/>
        </w:rPr>
      </w:pPr>
      <w:r>
        <w:rPr>
          <w:rFonts w:hint="eastAsia" w:ascii="宋体" w:hAnsi="宋体" w:cs="宋体"/>
          <w:color w:val="auto"/>
          <w:highlight w:val="none"/>
        </w:rPr>
        <w:t>13.2为确保网上操作合法、有效和安全，供应商应当在投标截止时间前完成在“</w:t>
      </w:r>
      <w:r>
        <w:rPr>
          <w:rFonts w:hint="eastAsia" w:ascii="宋体" w:hAnsi="宋体" w:cs="宋体"/>
          <w:color w:val="auto"/>
          <w:highlight w:val="none"/>
          <w:lang w:val="en-US" w:eastAsia="zh-CN"/>
        </w:rPr>
        <w:t>乐采云</w:t>
      </w:r>
      <w:r>
        <w:rPr>
          <w:rFonts w:hint="eastAsia" w:ascii="宋体" w:hAnsi="宋体" w:cs="宋体"/>
          <w:color w:val="auto"/>
          <w:highlight w:val="none"/>
        </w:rPr>
        <w:t>”的身份认证，确保在电子投标过程中能够对相关数据电文进行加密和使用电子签章。</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纸质备份文件（如有）须将</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文件的资格文件、商务技术文件、报价文件</w:t>
      </w:r>
      <w:r>
        <w:rPr>
          <w:rFonts w:hint="eastAsia" w:ascii="宋体" w:hAnsi="宋体" w:cs="宋体"/>
          <w:b/>
          <w:color w:val="auto"/>
          <w:sz w:val="24"/>
          <w:highlight w:val="none"/>
        </w:rPr>
        <w:t>三</w:t>
      </w:r>
      <w:r>
        <w:rPr>
          <w:rFonts w:hint="eastAsia" w:ascii="宋体" w:hAnsi="宋体" w:cs="宋体"/>
          <w:color w:val="auto"/>
          <w:sz w:val="24"/>
          <w:highlight w:val="none"/>
        </w:rPr>
        <w:t>部分分别装订成册，</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文件的装订必须采用</w:t>
      </w:r>
      <w:r>
        <w:rPr>
          <w:rFonts w:hint="eastAsia" w:ascii="宋体" w:hAnsi="宋体" w:cs="宋体"/>
          <w:b/>
          <w:color w:val="auto"/>
          <w:sz w:val="24"/>
          <w:highlight w:val="none"/>
        </w:rPr>
        <w:t>胶订或线订</w:t>
      </w:r>
      <w:r>
        <w:rPr>
          <w:rFonts w:hint="eastAsia" w:ascii="宋体" w:hAnsi="宋体" w:cs="宋体"/>
          <w:color w:val="auto"/>
          <w:sz w:val="24"/>
          <w:highlight w:val="none"/>
        </w:rPr>
        <w:t>形式，不得采用活页装订方式（胶订或线订以外装订形式视为活页装订）。</w:t>
      </w:r>
      <w:r>
        <w:rPr>
          <w:rFonts w:hint="eastAsia" w:ascii="宋体" w:hAnsi="宋体" w:cs="宋体"/>
          <w:b/>
          <w:color w:val="auto"/>
          <w:sz w:val="24"/>
          <w:highlight w:val="none"/>
        </w:rPr>
        <w:t>▲对不符合装订要求的</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文件，按</w:t>
      </w:r>
      <w:r>
        <w:rPr>
          <w:rFonts w:hint="eastAsia" w:ascii="宋体" w:hAnsi="宋体" w:cs="宋体"/>
          <w:b/>
          <w:color w:val="auto"/>
          <w:sz w:val="24"/>
          <w:highlight w:val="none"/>
          <w:lang w:val="en-US" w:eastAsia="zh-CN"/>
        </w:rPr>
        <w:t>交易</w:t>
      </w:r>
      <w:r>
        <w:rPr>
          <w:rFonts w:hint="eastAsia" w:ascii="宋体" w:hAnsi="宋体" w:cs="宋体"/>
          <w:b/>
          <w:color w:val="auto"/>
          <w:sz w:val="24"/>
          <w:highlight w:val="none"/>
        </w:rPr>
        <w:t>无效处理。</w:t>
      </w:r>
    </w:p>
    <w:p>
      <w:pPr>
        <w:pStyle w:val="225"/>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w:t>
      </w:r>
      <w:r>
        <w:rPr>
          <w:rFonts w:hint="eastAsia" w:ascii="宋体" w:hAnsi="宋体" w:cs="宋体"/>
          <w:color w:val="auto"/>
          <w:highlight w:val="none"/>
          <w:lang w:val="en-US" w:eastAsia="zh-CN"/>
        </w:rPr>
        <w:t>响应</w:t>
      </w:r>
      <w:r>
        <w:rPr>
          <w:rFonts w:hint="eastAsia" w:ascii="宋体" w:hAnsi="宋体" w:cs="宋体"/>
          <w:color w:val="auto"/>
          <w:highlight w:val="none"/>
        </w:rPr>
        <w:t>文件签署、盖章的要求适用于电子签章（盖章）。</w:t>
      </w:r>
    </w:p>
    <w:p>
      <w:pPr>
        <w:pStyle w:val="225"/>
        <w:spacing w:before="0"/>
        <w:ind w:firstLine="482"/>
        <w:rPr>
          <w:rFonts w:ascii="宋体" w:hAnsi="宋体" w:cs="宋体"/>
          <w:b/>
          <w:color w:val="auto"/>
          <w:szCs w:val="24"/>
          <w:highlight w:val="none"/>
        </w:rPr>
      </w:pPr>
      <w:r>
        <w:rPr>
          <w:rFonts w:hint="eastAsia" w:ascii="宋体" w:hAnsi="宋体" w:cs="宋体"/>
          <w:b/>
          <w:color w:val="auto"/>
          <w:highlight w:val="none"/>
        </w:rPr>
        <w:t xml:space="preserve">14. </w:t>
      </w:r>
      <w:r>
        <w:rPr>
          <w:rFonts w:hint="eastAsia" w:ascii="宋体" w:hAnsi="宋体" w:cs="宋体"/>
          <w:b/>
          <w:color w:val="auto"/>
          <w:highlight w:val="none"/>
          <w:lang w:val="en-US" w:eastAsia="zh-CN"/>
        </w:rPr>
        <w:t>响应</w:t>
      </w:r>
      <w:r>
        <w:rPr>
          <w:rFonts w:hint="eastAsia" w:ascii="宋体" w:hAnsi="宋体" w:cs="宋体"/>
          <w:b/>
          <w:color w:val="auto"/>
          <w:szCs w:val="24"/>
          <w:highlight w:val="none"/>
        </w:rPr>
        <w:t>文件的提交、补充、修改、撤回</w:t>
      </w:r>
    </w:p>
    <w:p>
      <w:pPr>
        <w:pStyle w:val="22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14.3交易发起人、采购机构可以视情况延长响应文件提交的截止时间。在上述情况下，采购机构与供应商以前在投标截止期方面的全部权利、责任和义务，将适用于延长至新的投标截止期。</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14.4</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文件备份：供应商递交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文件以后，在规定的投标截止时间之前，可以书面形式对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文件进行补充、修改，补充、修改纸质文件须加盖单位公章，并由法定代表人或其授权代表签字或盖章，电子投标文件备份须书面撤回后按所有密封要求重新递交。在投标截止时间以后，不能补充、修改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14.4.1 供应商的补充、修改文件，应按本须知规定编制、密封、标志和递交，如果一份</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文件有几份函件时，应注明哪一份有效，否则所作修改视为无效。</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14.4.2供应商对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文件的修改均要加以说明，否则其修改将被视为无效。</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14.4.3供应商在投标截止时间前，可以对所提交的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文件进行补充、修改或者撤回，并书面通知采购人、采购机构。补充、修改的内容作为</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文件的组成部分。补充、修改的内容与</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文件不一致的，以补充、修改的内容为准。</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14.4.4</w:t>
      </w:r>
      <w:r>
        <w:rPr>
          <w:rFonts w:hint="eastAsia" w:ascii="宋体" w:hAnsi="宋体" w:cs="宋体"/>
          <w:color w:val="auto"/>
          <w:highlight w:val="none"/>
        </w:rPr>
        <w:t>在开标后规定的投标有效期内</w:t>
      </w:r>
      <w:r>
        <w:rPr>
          <w:rFonts w:hint="eastAsia" w:ascii="宋体" w:hAnsi="宋体" w:cs="宋体"/>
          <w:color w:val="auto"/>
          <w:szCs w:val="24"/>
          <w:highlight w:val="none"/>
        </w:rPr>
        <w:t>，供应商不能撤销</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 备份</w:t>
      </w:r>
      <w:r>
        <w:rPr>
          <w:rFonts w:hint="eastAsia" w:ascii="宋体" w:hAnsi="宋体" w:cs="宋体"/>
          <w:bCs/>
          <w:color w:val="auto"/>
          <w:sz w:val="24"/>
          <w:highlight w:val="none"/>
          <w:lang w:eastAsia="zh-CN"/>
        </w:rPr>
        <w:t>响应</w:t>
      </w:r>
      <w:r>
        <w:rPr>
          <w:rFonts w:hint="eastAsia" w:ascii="宋体" w:hAnsi="宋体" w:cs="宋体"/>
          <w:bCs/>
          <w:color w:val="auto"/>
          <w:sz w:val="24"/>
          <w:highlight w:val="none"/>
        </w:rPr>
        <w:t>文件（如有）以及</w:t>
      </w:r>
      <w:r>
        <w:rPr>
          <w:rFonts w:hint="eastAsia" w:ascii="宋体" w:hAnsi="宋体" w:cs="宋体"/>
          <w:bCs/>
          <w:color w:val="auto"/>
          <w:sz w:val="24"/>
          <w:highlight w:val="none"/>
          <w:lang w:eastAsia="zh-CN"/>
        </w:rPr>
        <w:t>响应</w:t>
      </w:r>
      <w:r>
        <w:rPr>
          <w:rFonts w:hint="eastAsia" w:ascii="宋体" w:hAnsi="宋体" w:cs="宋体"/>
          <w:bCs/>
          <w:color w:val="auto"/>
          <w:sz w:val="24"/>
          <w:highlight w:val="none"/>
        </w:rPr>
        <w:t>文件的递交</w:t>
      </w:r>
    </w:p>
    <w:p>
      <w:pPr>
        <w:pStyle w:val="225"/>
        <w:spacing w:before="0"/>
        <w:ind w:firstLine="480"/>
        <w:rPr>
          <w:rFonts w:ascii="宋体" w:hAnsi="宋体" w:cs="宋体"/>
          <w:b/>
          <w:color w:val="auto"/>
          <w:szCs w:val="24"/>
          <w:highlight w:val="none"/>
        </w:rPr>
      </w:pPr>
      <w:r>
        <w:rPr>
          <w:rFonts w:hint="eastAsia" w:ascii="宋体" w:hAnsi="宋体" w:cs="宋体"/>
          <w:color w:val="auto"/>
          <w:szCs w:val="24"/>
          <w:highlight w:val="none"/>
        </w:rPr>
        <w:t>15.1备份</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文件须</w:t>
      </w:r>
      <w:r>
        <w:rPr>
          <w:rFonts w:hint="eastAsia" w:ascii="宋体" w:hAnsi="宋体" w:cs="宋体"/>
          <w:b/>
          <w:color w:val="auto"/>
          <w:szCs w:val="24"/>
          <w:highlight w:val="none"/>
        </w:rPr>
        <w:t>密封包装</w:t>
      </w:r>
      <w:r>
        <w:rPr>
          <w:rFonts w:hint="eastAsia" w:ascii="宋体" w:hAnsi="宋体" w:cs="宋体"/>
          <w:color w:val="auto"/>
          <w:szCs w:val="24"/>
          <w:highlight w:val="none"/>
        </w:rPr>
        <w:t>，密封包装指：所有</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文件应密封包装，包含资格文件、商务技术文件、报价文件三部分。其中，报价文件必须单独密封，未单独密封的，在开标时发生报价泄露的，由供应商自行承担相关责任</w:t>
      </w:r>
      <w:r>
        <w:rPr>
          <w:rFonts w:hint="eastAsia" w:ascii="宋体" w:hAnsi="宋体" w:cs="宋体"/>
          <w:b/>
          <w:color w:val="auto"/>
          <w:szCs w:val="24"/>
          <w:highlight w:val="none"/>
        </w:rPr>
        <w:t>。没有密封包装的</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文件，将被拒收。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15.2所有备份</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文件包装封面物应写明项目名称、供应商名称(联合体投标的，包装物封面需注明联合体投标，并注明联合体成员各方的名称和联合体协议中约定的牵头人的名称)。</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15.3电子备份</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文件须在“乐采云投标客户端”制作生成，并储存在DVD光盘中。备份</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文件应当密封包装并在包装上加盖公章并注明</w:t>
      </w:r>
      <w:r>
        <w:rPr>
          <w:rFonts w:hint="eastAsia" w:ascii="宋体" w:hAnsi="宋体" w:cs="宋体"/>
          <w:color w:val="auto"/>
          <w:sz w:val="24"/>
          <w:highlight w:val="none"/>
          <w:lang w:eastAsia="zh-CN"/>
        </w:rPr>
        <w:t>响应</w:t>
      </w:r>
      <w:r>
        <w:rPr>
          <w:rFonts w:hint="eastAsia" w:ascii="宋体" w:hAnsi="宋体" w:cs="宋体"/>
          <w:color w:val="auto"/>
          <w:sz w:val="24"/>
          <w:highlight w:val="none"/>
        </w:rPr>
        <w:t>项目名称，供应商名称(联合体投标的，包装物封面需注明联合体投标，并注明联合体成员各方的名称和联合体协议中约定的牵头人的名称)</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▲不符合上述制作、存储、密封规定的备份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文件将被视为无效或者被拒绝接收。</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▲供应商仅提交备份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文件，没有在电子交易平台传输递交</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pStyle w:val="225"/>
        <w:ind w:firstLine="480"/>
        <w:rPr>
          <w:rFonts w:ascii="宋体" w:hAnsi="宋体" w:cs="宋体"/>
          <w:color w:val="auto"/>
          <w:szCs w:val="24"/>
          <w:highlight w:val="none"/>
        </w:rPr>
      </w:pPr>
      <w:r>
        <w:rPr>
          <w:rFonts w:hint="eastAsia" w:ascii="宋体" w:hAnsi="宋体" w:cs="宋体"/>
          <w:color w:val="auto"/>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15.5采购机构可以视情况延长投标文件提交的截止时间。在上述情况下，采购机构与供应商以前在投标截止期方面的全部权利、责任和义务，将适用于延长至新的投标截止期。</w:t>
      </w:r>
    </w:p>
    <w:p>
      <w:pPr>
        <w:pStyle w:val="225"/>
        <w:spacing w:before="0"/>
        <w:ind w:firstLine="480"/>
        <w:rPr>
          <w:rFonts w:ascii="宋体" w:hAnsi="宋体" w:cs="宋体"/>
          <w:color w:val="auto"/>
          <w:szCs w:val="24"/>
          <w:highlight w:val="none"/>
        </w:rPr>
      </w:pPr>
      <w:r>
        <w:rPr>
          <w:rFonts w:hint="eastAsia" w:ascii="宋体" w:hAnsi="宋体" w:cs="宋体"/>
          <w:color w:val="auto"/>
          <w:szCs w:val="24"/>
          <w:highlight w:val="none"/>
        </w:rPr>
        <w:t>15.6如项目须备份投标文件，</w:t>
      </w:r>
      <w:r>
        <w:rPr>
          <w:rFonts w:hint="eastAsia" w:ascii="宋体" w:hAnsi="宋体" w:cs="宋体"/>
          <w:color w:val="auto"/>
          <w:highlight w:val="none"/>
        </w:rPr>
        <w:t>供应商应按“交易公告”及前附表规定的时间、地点完成采购文件获取手续并将投标文件提交给</w:t>
      </w:r>
      <w:r>
        <w:rPr>
          <w:rFonts w:hint="eastAsia" w:ascii="宋体" w:hAnsi="宋体" w:cs="宋体"/>
          <w:color w:val="auto"/>
          <w:szCs w:val="24"/>
          <w:highlight w:val="none"/>
        </w:rPr>
        <w:t>采购机构</w:t>
      </w:r>
      <w:r>
        <w:rPr>
          <w:rFonts w:hint="eastAsia" w:ascii="宋体" w:hAnsi="宋体" w:cs="宋体"/>
          <w:color w:val="auto"/>
          <w:highlight w:val="none"/>
        </w:rPr>
        <w:t>，</w:t>
      </w:r>
      <w:r>
        <w:rPr>
          <w:rFonts w:hint="eastAsia" w:ascii="宋体" w:hAnsi="宋体" w:cs="宋体"/>
          <w:color w:val="auto"/>
          <w:szCs w:val="24"/>
          <w:highlight w:val="none"/>
        </w:rPr>
        <w:t>采购机构</w:t>
      </w:r>
      <w:r>
        <w:rPr>
          <w:rFonts w:hint="eastAsia" w:ascii="宋体" w:hAnsi="宋体" w:cs="宋体"/>
          <w:color w:val="auto"/>
          <w:highlight w:val="none"/>
        </w:rPr>
        <w:t>将拒绝接受逾期送达的投标文件和未按公告要求完成采购文件获取的供应商递交的投标文件。</w:t>
      </w:r>
    </w:p>
    <w:bookmarkEnd w:id="56"/>
    <w:bookmarkEnd w:id="57"/>
    <w:p>
      <w:pPr>
        <w:pStyle w:val="225"/>
        <w:spacing w:before="0"/>
        <w:ind w:firstLine="48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第13项规定</w:t>
      </w:r>
      <w:r>
        <w:rPr>
          <w:rFonts w:hint="eastAsia" w:cs="宋体"/>
          <w:color w:val="auto"/>
          <w:szCs w:val="21"/>
          <w:highlight w:val="none"/>
        </w:rPr>
        <w:t>的情形之一的，投标无效：</w:t>
      </w:r>
    </w:p>
    <w:p>
      <w:pPr>
        <w:pStyle w:val="225"/>
        <w:spacing w:before="0"/>
        <w:ind w:firstLine="48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诺的投标有效期少于交易文件中载明的投标有效期的，投标无效。</w:t>
      </w:r>
    </w:p>
    <w:p>
      <w:pPr>
        <w:pStyle w:val="22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22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17.3在原定投标有效期满之前，如果出现特殊情况，采购机构可以以公告形式通知供应商延长投标有效期。供应商同意延长的，不得要求或被允许修改其投标文件，供应商拒绝延长的，其投标无效。</w:t>
      </w:r>
    </w:p>
    <w:p>
      <w:pPr>
        <w:pStyle w:val="225"/>
        <w:spacing w:before="0"/>
        <w:ind w:firstLine="643"/>
        <w:rPr>
          <w:rFonts w:ascii="宋体" w:hAnsi="宋体" w:cs="宋体"/>
          <w:b/>
          <w:color w:val="auto"/>
          <w:sz w:val="32"/>
          <w:highlight w:val="none"/>
        </w:rPr>
      </w:pPr>
      <w:bookmarkStart w:id="59" w:name="_Toc91899897"/>
    </w:p>
    <w:p>
      <w:pPr>
        <w:pStyle w:val="22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四、开标</w:t>
      </w:r>
      <w:bookmarkEnd w:id="59"/>
      <w:r>
        <w:rPr>
          <w:rFonts w:hint="eastAsia" w:ascii="宋体" w:hAnsi="宋体" w:cs="宋体"/>
          <w:b/>
          <w:color w:val="auto"/>
          <w:sz w:val="32"/>
          <w:highlight w:val="none"/>
        </w:rPr>
        <w:t>、资格审查与信用信息查询</w:t>
      </w:r>
    </w:p>
    <w:p>
      <w:pPr>
        <w:pStyle w:val="501"/>
        <w:spacing w:before="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0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18.1采购机构按照交易文件规定的时间通过电子交易平台组织开标，所有供应商均应当准时在线参加。供应商不足3家的，不得开标。</w:t>
      </w:r>
    </w:p>
    <w:p>
      <w:pPr>
        <w:pStyle w:val="50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18.2开标时，电子交易平台按开标时间自动提取所有投标文件。采购机构依托电子交易平台发起开始解密指令，供应商按照平台提示和交易文件的规定在半小时内完成在线解密。</w:t>
      </w:r>
    </w:p>
    <w:p>
      <w:pPr>
        <w:pStyle w:val="50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宋体" w:hAnsi="宋体" w:cs="宋体"/>
          <w:b/>
          <w:color w:val="auto"/>
          <w:sz w:val="24"/>
          <w:highlight w:val="none"/>
        </w:rPr>
        <w:t>投标文件已按时解密的，备份投标文件自动失效。</w:t>
      </w:r>
    </w:p>
    <w:p>
      <w:pPr>
        <w:pStyle w:val="50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18.4 备份投标文件的接收在交易文件确定的时间、地点进行。</w:t>
      </w:r>
    </w:p>
    <w:p>
      <w:pPr>
        <w:pStyle w:val="501"/>
        <w:spacing w:before="0" w:line="360" w:lineRule="auto"/>
        <w:ind w:left="0" w:firstLine="482" w:firstLineChars="2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pPr>
        <w:pStyle w:val="225"/>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供应商不具备交易文件中规定的资格要求，其投标无效。</w:t>
      </w:r>
    </w:p>
    <w:p>
      <w:pPr>
        <w:pStyle w:val="225"/>
        <w:spacing w:before="0"/>
        <w:ind w:firstLine="480"/>
        <w:rPr>
          <w:rFonts w:ascii="宋体" w:hAnsi="宋体" w:cs="宋体"/>
          <w:color w:val="auto"/>
          <w:highlight w:val="none"/>
        </w:rPr>
      </w:pPr>
      <w:r>
        <w:rPr>
          <w:rFonts w:hint="eastAsia" w:ascii="宋体" w:hAnsi="宋体" w:cs="宋体"/>
          <w:color w:val="auto"/>
          <w:highlight w:val="none"/>
        </w:rPr>
        <w:t>19.4对未通过资格审查的供应商，采购人或采购机构告知其未通过的原因。</w:t>
      </w:r>
    </w:p>
    <w:p>
      <w:pPr>
        <w:pStyle w:val="225"/>
        <w:spacing w:before="0"/>
        <w:ind w:firstLine="480"/>
        <w:rPr>
          <w:rFonts w:ascii="宋体" w:hAnsi="宋体" w:cs="宋体"/>
          <w:color w:val="auto"/>
          <w:highlight w:val="none"/>
        </w:rPr>
      </w:pPr>
      <w:r>
        <w:rPr>
          <w:rFonts w:hint="eastAsia" w:ascii="宋体" w:hAnsi="宋体" w:cs="宋体"/>
          <w:color w:val="auto"/>
          <w:highlight w:val="none"/>
        </w:rPr>
        <w:t>19.5合格供应商不足3家的，不再评标。</w:t>
      </w:r>
    </w:p>
    <w:p>
      <w:pPr>
        <w:pStyle w:val="225"/>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20.1信用信息查询渠道及截止时间：采购人或采购机构将通过“信用中国”网站(www.creditchina.gov.cn)、中国政府采购网(www.ccgp.gov.cn)渠道查询供应商投标截止时间前的信用记录。</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22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22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bookmarkStart w:id="60" w:name="_Hlt75236101"/>
      <w:bookmarkEnd w:id="60"/>
      <w:bookmarkStart w:id="61" w:name="_Toc91899902"/>
      <w:r>
        <w:rPr>
          <w:rFonts w:hint="eastAsia" w:ascii="宋体" w:hAnsi="宋体" w:cs="宋体"/>
          <w:b/>
          <w:color w:val="auto"/>
          <w:sz w:val="36"/>
          <w:szCs w:val="36"/>
          <w:highlight w:val="none"/>
        </w:rPr>
        <w:t>五、评标</w:t>
      </w:r>
      <w:bookmarkEnd w:id="61"/>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sz w:val="24"/>
          <w:highlight w:val="none"/>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firstLine="482"/>
        <w:rPr>
          <w:rFonts w:cs="宋体"/>
          <w:b/>
          <w:color w:val="auto"/>
          <w:highlight w:val="none"/>
        </w:rPr>
      </w:pPr>
      <w:r>
        <w:rPr>
          <w:rFonts w:hint="eastAsia" w:cs="宋体"/>
          <w:b/>
          <w:color w:val="auto"/>
          <w:highlight w:val="none"/>
        </w:rPr>
        <w:t>22.确定中标供应商</w:t>
      </w:r>
    </w:p>
    <w:p>
      <w:pPr>
        <w:pStyle w:val="22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pPr>
        <w:pStyle w:val="225"/>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23.1采购机构将在自成交人确定之日起2个工作日内，发布交易公告的网站上公告中标结果，同时发出中标通知书。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firstLine="482"/>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26"/>
        <w:spacing w:line="360" w:lineRule="auto"/>
        <w:ind w:firstLine="482"/>
        <w:rPr>
          <w:rFonts w:cs="宋体"/>
          <w:b/>
          <w:color w:val="auto"/>
          <w:highlight w:val="none"/>
        </w:rPr>
      </w:pPr>
      <w:r>
        <w:rPr>
          <w:rFonts w:hint="eastAsia" w:cs="宋体"/>
          <w:b/>
          <w:color w:val="auto"/>
          <w:highlight w:val="none"/>
        </w:rPr>
        <w:t>25.合同的签订</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采购人与成交人应当在中标通知书发出之日起三十日内，按照交易文件确定的事项签订政府采购合同。</w:t>
      </w:r>
    </w:p>
    <w:p>
      <w:pPr>
        <w:pStyle w:val="22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6"/>
        <w:spacing w:line="360" w:lineRule="auto"/>
        <w:ind w:firstLine="482"/>
        <w:rPr>
          <w:rFonts w:cs="宋体"/>
          <w:b/>
          <w:color w:val="auto"/>
          <w:highlight w:val="none"/>
        </w:rPr>
      </w:pPr>
      <w:r>
        <w:rPr>
          <w:rFonts w:hint="eastAsia" w:cs="宋体"/>
          <w:b/>
          <w:color w:val="auto"/>
          <w:highlight w:val="none"/>
        </w:rPr>
        <w:t>26.履约保证金</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 xml:space="preserve">。履约保证金的数额不得超过政府采购合同金额的1%。 </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225"/>
        <w:snapToGrid w:val="0"/>
        <w:spacing w:before="0"/>
        <w:ind w:firstLine="482"/>
        <w:rPr>
          <w:rFonts w:ascii="宋体" w:hAnsi="宋体" w:cs="宋体"/>
          <w:color w:val="auto"/>
          <w:highlight w:val="none"/>
        </w:rPr>
      </w:pPr>
      <w:r>
        <w:rPr>
          <w:rFonts w:hint="eastAsia" w:ascii="宋体" w:hAnsi="宋体" w:cs="宋体"/>
          <w:b/>
          <w:color w:val="auto"/>
          <w:highlight w:val="none"/>
        </w:rPr>
        <w:t>27</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225"/>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482"/>
        <w:rPr>
          <w:rFonts w:cs="宋体"/>
          <w:b/>
          <w:color w:val="auto"/>
          <w:highlight w:val="none"/>
        </w:rPr>
      </w:pPr>
      <w:r>
        <w:rPr>
          <w:rFonts w:hint="eastAsia" w:cs="宋体"/>
          <w:b/>
          <w:color w:val="auto"/>
          <w:highlight w:val="none"/>
        </w:rPr>
        <w:t>28.验收</w:t>
      </w:r>
    </w:p>
    <w:p>
      <w:pPr>
        <w:tabs>
          <w:tab w:val="left" w:pos="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28.1采购人应当组织对供应商履约的验收。验收采用采购人自行组织验收，参照萧政办发[2014]217号文件执行。验收方成员应当在验收书上签字，并承担相应的法律责任。</w:t>
      </w:r>
    </w:p>
    <w:p>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28.2除28.1规定情形外，采购人可以自行验收或邀请参加本项目的其他供应商或者第三方机构参与验收。</w:t>
      </w:r>
    </w:p>
    <w:p>
      <w:pPr>
        <w:adjustRightInd/>
        <w:spacing w:line="360" w:lineRule="auto"/>
        <w:ind w:firstLine="643" w:firstLineChars="200"/>
        <w:outlineLvl w:val="0"/>
        <w:rPr>
          <w:rFonts w:ascii="宋体" w:hAnsi="宋体" w:cs="宋体"/>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2"/>
    <w:bookmarkEnd w:id="43"/>
    <w:p>
      <w:pPr>
        <w:pStyle w:val="3"/>
        <w:numPr>
          <w:ilvl w:val="0"/>
          <w:numId w:val="7"/>
        </w:numPr>
        <w:rPr>
          <w:rFonts w:hint="eastAsia" w:ascii="宋体" w:hAnsi="宋体" w:eastAsia="宋体" w:cs="宋体"/>
          <w:color w:val="auto"/>
          <w:highlight w:val="none"/>
        </w:rPr>
      </w:pPr>
      <w:bookmarkStart w:id="62" w:name="第四部分"/>
      <w:r>
        <w:rPr>
          <w:rFonts w:hint="eastAsia" w:ascii="宋体" w:hAnsi="宋体" w:eastAsia="宋体" w:cs="宋体"/>
          <w:color w:val="auto"/>
          <w:highlight w:val="none"/>
        </w:rPr>
        <w:t xml:space="preserve">  采购需求</w:t>
      </w:r>
    </w:p>
    <w:p>
      <w:pPr>
        <w:snapToGrid w:val="0"/>
        <w:rPr>
          <w:color w:val="auto"/>
          <w:sz w:val="24"/>
          <w:szCs w:val="24"/>
          <w:highlight w:val="none"/>
        </w:rPr>
      </w:pPr>
      <w:r>
        <w:rPr>
          <w:rStyle w:val="644"/>
          <w:rFonts w:hint="eastAsia"/>
          <w:i w:val="0"/>
          <w:iCs w:val="0"/>
          <w:color w:val="auto"/>
          <w:sz w:val="24"/>
          <w:szCs w:val="24"/>
          <w:highlight w:val="none"/>
        </w:rPr>
        <w:t>属于实质性要求条款的，请用符号“▲”标明，否则属于非实质性要求。“★”系产品采购项目中单一产品或核心产品。</w:t>
      </w:r>
    </w:p>
    <w:p>
      <w:pPr>
        <w:snapToGrid w:val="0"/>
        <w:spacing w:line="360" w:lineRule="auto"/>
        <w:ind w:firstLine="281" w:firstLineChars="1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一、交易一览表</w:t>
      </w:r>
    </w:p>
    <w:tbl>
      <w:tblPr>
        <w:tblStyle w:val="63"/>
        <w:tblpPr w:leftFromText="180" w:rightFromText="180" w:vertAnchor="text" w:tblpXSpec="center" w:tblpY="121"/>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83"/>
        <w:gridCol w:w="2010"/>
        <w:gridCol w:w="720"/>
        <w:gridCol w:w="88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0"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lang w:val="zh-CN"/>
              </w:rPr>
              <w:t>序号</w:t>
            </w:r>
          </w:p>
        </w:tc>
        <w:tc>
          <w:tcPr>
            <w:tcW w:w="3683"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名称</w:t>
            </w:r>
          </w:p>
        </w:tc>
        <w:tc>
          <w:tcPr>
            <w:tcW w:w="2010"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规格及技术要求</w:t>
            </w:r>
          </w:p>
        </w:tc>
        <w:tc>
          <w:tcPr>
            <w:tcW w:w="720"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数量</w:t>
            </w:r>
          </w:p>
        </w:tc>
        <w:tc>
          <w:tcPr>
            <w:tcW w:w="88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单位</w:t>
            </w:r>
          </w:p>
        </w:tc>
        <w:tc>
          <w:tcPr>
            <w:tcW w:w="179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lang w:val="zh-CN"/>
              </w:rPr>
            </w:pPr>
            <w:r>
              <w:rPr>
                <w:rFonts w:hint="eastAsia" w:ascii="宋体" w:hAnsi="宋体" w:cs="宋体"/>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萧山区蜀山中心幼儿园5个专用教室移动设备采购项目</w:t>
            </w:r>
          </w:p>
        </w:tc>
        <w:tc>
          <w:tcPr>
            <w:tcW w:w="201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bCs/>
                <w:color w:val="auto"/>
                <w:sz w:val="24"/>
                <w:highlight w:val="none"/>
              </w:rPr>
              <w:t>详见</w:t>
            </w:r>
            <w:r>
              <w:rPr>
                <w:rFonts w:hint="eastAsia" w:ascii="宋体" w:hAnsi="宋体" w:cs="宋体"/>
                <w:bCs/>
                <w:color w:val="auto"/>
                <w:sz w:val="24"/>
                <w:highlight w:val="none"/>
                <w:lang w:val="en-US" w:eastAsia="zh-CN"/>
              </w:rPr>
              <w:t>交易</w:t>
            </w:r>
            <w:r>
              <w:rPr>
                <w:rFonts w:hint="eastAsia" w:ascii="宋体" w:hAnsi="宋体" w:cs="宋体"/>
                <w:bCs/>
                <w:color w:val="auto"/>
                <w:sz w:val="24"/>
                <w:highlight w:val="none"/>
              </w:rPr>
              <w:t>需求</w:t>
            </w:r>
          </w:p>
        </w:tc>
        <w:tc>
          <w:tcPr>
            <w:tcW w:w="72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88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批</w:t>
            </w:r>
          </w:p>
        </w:tc>
        <w:tc>
          <w:tcPr>
            <w:tcW w:w="179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预算</w:t>
            </w:r>
            <w:r>
              <w:rPr>
                <w:rFonts w:hint="eastAsia" w:ascii="宋体" w:hAnsi="宋体" w:cs="宋体"/>
                <w:color w:val="auto"/>
                <w:sz w:val="24"/>
                <w:szCs w:val="28"/>
                <w:highlight w:val="none"/>
                <w:lang w:val="en-US" w:eastAsia="zh-CN"/>
              </w:rPr>
              <w:t>490000</w:t>
            </w:r>
            <w:r>
              <w:rPr>
                <w:rFonts w:hint="eastAsia" w:ascii="宋体" w:hAnsi="宋体" w:cs="宋体"/>
                <w:color w:val="auto"/>
                <w:kern w:val="0"/>
                <w:sz w:val="24"/>
                <w:highlight w:val="none"/>
              </w:rPr>
              <w:t>元</w:t>
            </w:r>
          </w:p>
        </w:tc>
      </w:tr>
    </w:tbl>
    <w:p>
      <w:pPr>
        <w:spacing w:line="360" w:lineRule="auto"/>
        <w:ind w:firstLine="281" w:firstLineChars="100"/>
        <w:jc w:val="center"/>
        <w:rPr>
          <w:rFonts w:hint="eastAsia" w:ascii="宋体" w:hAnsi="宋体" w:cs="宋体"/>
          <w:b/>
          <w:color w:val="auto"/>
          <w:sz w:val="28"/>
          <w:szCs w:val="28"/>
          <w:highlight w:val="none"/>
        </w:rPr>
      </w:pPr>
    </w:p>
    <w:p>
      <w:pPr>
        <w:spacing w:line="360" w:lineRule="auto"/>
        <w:ind w:firstLine="281" w:firstLineChars="100"/>
        <w:jc w:val="center"/>
        <w:rPr>
          <w:rFonts w:hint="eastAsia" w:ascii="宋体" w:hAnsi="宋体" w:cs="宋体"/>
          <w:b/>
          <w:color w:val="auto"/>
          <w:sz w:val="28"/>
          <w:szCs w:val="28"/>
          <w:highlight w:val="none"/>
        </w:rPr>
      </w:pPr>
    </w:p>
    <w:p>
      <w:pPr>
        <w:spacing w:line="360" w:lineRule="auto"/>
        <w:ind w:firstLine="281" w:firstLineChars="100"/>
        <w:jc w:val="center"/>
        <w:rPr>
          <w:rFonts w:ascii="宋体" w:hAnsi="宋体" w:cs="宋体"/>
          <w:b/>
          <w:color w:val="auto"/>
          <w:sz w:val="24"/>
          <w:highlight w:val="none"/>
        </w:rPr>
      </w:pPr>
      <w:r>
        <w:rPr>
          <w:rFonts w:hint="eastAsia" w:ascii="宋体" w:hAnsi="宋体" w:cs="宋体"/>
          <w:b/>
          <w:color w:val="auto"/>
          <w:sz w:val="28"/>
          <w:szCs w:val="28"/>
          <w:highlight w:val="none"/>
        </w:rPr>
        <w:t>二、交易需求</w:t>
      </w:r>
    </w:p>
    <w:p>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（一）采购清单：</w:t>
      </w:r>
    </w:p>
    <w:tbl>
      <w:tblPr>
        <w:tblStyle w:val="63"/>
        <w:tblpPr w:leftFromText="180" w:rightFromText="180" w:vertAnchor="text" w:horzAnchor="page" w:tblpX="913" w:tblpY="1190"/>
        <w:tblOverlap w:val="never"/>
        <w:tblW w:w="104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1"/>
        <w:gridCol w:w="1032"/>
        <w:gridCol w:w="1676"/>
        <w:gridCol w:w="6112"/>
        <w:gridCol w:w="528"/>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0435" w:type="dxa"/>
            <w:gridSpan w:val="6"/>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美工教室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名称</w:t>
            </w:r>
          </w:p>
        </w:tc>
        <w:tc>
          <w:tcPr>
            <w:tcW w:w="167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bdr w:val="single" w:color="000000" w:sz="4" w:space="0"/>
                <w:lang w:val="en-US" w:eastAsia="zh-CN" w:bidi="ar"/>
              </w:rPr>
            </w:pPr>
            <w:r>
              <w:rPr>
                <w:rFonts w:hint="eastAsia" w:ascii="宋体" w:hAnsi="宋体" w:cs="宋体"/>
                <w:i w:val="0"/>
                <w:iCs w:val="0"/>
                <w:color w:val="auto"/>
                <w:kern w:val="0"/>
                <w:sz w:val="22"/>
                <w:szCs w:val="22"/>
                <w:highlight w:val="none"/>
                <w:u w:val="none"/>
                <w:lang w:val="en-US" w:eastAsia="zh-CN" w:bidi="ar"/>
              </w:rPr>
              <w:t>参考图片</w:t>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规格及产品需求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数量</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透明美术桌椅</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61695" cy="808355"/>
                  <wp:effectExtent l="0" t="0" r="146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861695" cy="808355"/>
                          </a:xfrm>
                          <a:prstGeom prst="rect">
                            <a:avLst/>
                          </a:prstGeom>
                          <a:noFill/>
                          <a:ln>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1、规格5件套，其中桌子规格：200*100*55cm 1张，凳子：90*30*30cm4张，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双面无结橡胶木指接板，上层桌面为耐力板，厚度0.8cm，可涂鸦，木板厚度1.8cm两侧通透，桌脚6*6cm，椅子脚5*5cm面板1.8cm；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美术桌椅</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790575" cy="777875"/>
                  <wp:effectExtent l="0" t="0" r="952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790575" cy="777875"/>
                          </a:xfrm>
                          <a:prstGeom prst="rect">
                            <a:avLst/>
                          </a:prstGeom>
                          <a:noFill/>
                          <a:ln>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1、规格7件套，其中桌子：200*100*55cm 1张，凳子：90*30*30cm4张，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2、材质：木材采用双面无结橡胶木指接板，桌脚6*6cm，椅子脚5*5cm面板1.8cm，橡胶木材质稳定，不易变形、含水率和甲醛释放量符合相关国家标准要求。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透明美术桌椅</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00100" cy="876300"/>
                  <wp:effectExtent l="0" t="0" r="0" b="0"/>
                  <wp:docPr id="11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 descr="IMG_258"/>
                          <pic:cNvPicPr>
                            <a:picLocks noChangeAspect="1"/>
                          </pic:cNvPicPr>
                        </pic:nvPicPr>
                        <pic:blipFill>
                          <a:blip r:embed="rId24"/>
                          <a:stretch>
                            <a:fillRect/>
                          </a:stretch>
                        </pic:blipFill>
                        <pic:spPr>
                          <a:xfrm>
                            <a:off x="0" y="0"/>
                            <a:ext cx="800100" cy="87630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1、规格3件套，其中桌子规格120*100*55cm1张，凳子120*30*30cm2张，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双面无结橡胶木指接板，上层桌面为耐力板，厚度0.8cm，可涂鸦，木板厚度1.8cm两侧通透，桌脚6*6cm，椅子脚5*5cm面板1.8cm；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铁艺置物架</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666750" cy="904875"/>
                  <wp:effectExtent l="0" t="0" r="0" b="9525"/>
                  <wp:docPr id="11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 descr="IMG_259"/>
                          <pic:cNvPicPr>
                            <a:picLocks noChangeAspect="1"/>
                          </pic:cNvPicPr>
                        </pic:nvPicPr>
                        <pic:blipFill>
                          <a:blip r:embed="rId25"/>
                          <a:stretch>
                            <a:fillRect/>
                          </a:stretch>
                        </pic:blipFill>
                        <pic:spPr>
                          <a:xfrm>
                            <a:off x="0" y="0"/>
                            <a:ext cx="666750" cy="90487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1、规格：120*35*90cm；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2、材质：优质钢架，结实稳定，超强承重，钢管无毒，无害环氧、健康、环保，不易变形、含水率和甲醛释放量符合相关国家标准要求。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扮演组合柜</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714375" cy="895350"/>
                  <wp:effectExtent l="0" t="0" r="9525" b="0"/>
                  <wp:docPr id="12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5" descr="IMG_260"/>
                          <pic:cNvPicPr>
                            <a:picLocks noChangeAspect="1"/>
                          </pic:cNvPicPr>
                        </pic:nvPicPr>
                        <pic:blipFill>
                          <a:blip r:embed="rId26"/>
                          <a:stretch>
                            <a:fillRect/>
                          </a:stretch>
                        </pic:blipFill>
                        <pic:spPr>
                          <a:xfrm>
                            <a:off x="0" y="0"/>
                            <a:ext cx="714375" cy="89535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1、规格：80*35*135cm（中间铁丝网）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2、材质：采用厚度1.8cm桦木多层板，桦木多层板材质稳定，抗菌、防霉，不易变形、含水率和甲醛释放量符合相关国家标准要求。◆（提供第三方检测机构出具的原材料多层板符合JC/T 2039-2010检测报告，检测内容至少须含：抗霉菌0级（检测内容须含：黑曲霉、土曲霉、宛氏拟青霉、绳状青霉、出芽短梗霉、球毛壳霉））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洞洞板组合柜</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657225" cy="1047750"/>
                  <wp:effectExtent l="0" t="0" r="9525" b="0"/>
                  <wp:docPr id="12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 descr="IMG_261"/>
                          <pic:cNvPicPr>
                            <a:picLocks noChangeAspect="1"/>
                          </pic:cNvPicPr>
                        </pic:nvPicPr>
                        <pic:blipFill>
                          <a:blip r:embed="rId27"/>
                          <a:stretch>
                            <a:fillRect/>
                          </a:stretch>
                        </pic:blipFill>
                        <pic:spPr>
                          <a:xfrm>
                            <a:off x="0" y="0"/>
                            <a:ext cx="657225" cy="104775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1、规格：80*35*135cm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2、材质：采用厚度1.8cm桦木多层板，桦木多层板材质稳定，抗菌、防霉，不易变形、含水率和甲醛释放量符合相关国家标准要求。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玩具柜</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752475" cy="518795"/>
                  <wp:effectExtent l="0" t="0" r="9525" b="14605"/>
                  <wp:docPr id="12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 descr="IMG_262"/>
                          <pic:cNvPicPr>
                            <a:picLocks noChangeAspect="1"/>
                          </pic:cNvPicPr>
                        </pic:nvPicPr>
                        <pic:blipFill>
                          <a:blip r:embed="rId28"/>
                          <a:stretch>
                            <a:fillRect/>
                          </a:stretch>
                        </pic:blipFill>
                        <pic:spPr>
                          <a:xfrm>
                            <a:off x="0" y="0"/>
                            <a:ext cx="752475" cy="51879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1、双层收纳柜 规格:90*30*60cm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二层分布每格空24.7*86.4cm；2层设计，柜体两侧边板留有开孔，内嵌塑料拉手规格10*2*3.5cm，方便搬动，底部带有塑料防潮脚垫。产品外观要求、理化性能要求、结构安全、有害物质限量（可迁移元素、甲醛释放量等）、力学性能、警示标识等符合国家相关标准要求；◆提供第三方检测机构出具的玩具柜符合GB/T 43002-2023、QB/T4371-2012标准的检测报告，检测内容含：木制件外观、木工要求、漆膜外观要求、理化性能要求、甲醛释放量（未检出）、苯（未检出）、甲苯（未检出）、二甲苯（未检出）、总挥发性有机物（未检出）、稳定性试验、强度和耐久性试验、抑菌率&gt;99%（检测内容须含：金黄色葡萄球菌、白色念珠菌、大肠杆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美术推车</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90600" cy="866775"/>
                  <wp:effectExtent l="0" t="0" r="0" b="9525"/>
                  <wp:docPr id="12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 descr="IMG_263"/>
                          <pic:cNvPicPr>
                            <a:picLocks noChangeAspect="1"/>
                          </pic:cNvPicPr>
                        </pic:nvPicPr>
                        <pic:blipFill>
                          <a:blip r:embed="rId29"/>
                          <a:stretch>
                            <a:fillRect/>
                          </a:stretch>
                        </pic:blipFill>
                        <pic:spPr>
                          <a:xfrm>
                            <a:off x="0" y="0"/>
                            <a:ext cx="990600" cy="86677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1、规格：90*40*70cm；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3、产品：大象造型，三层式分布，底部四边采用5公分万向轮。产品外观要求、理化性能要求、结构安全、有害物质限量（可迁移元素、甲醛释放量等）、力学性能、警示标识等符合国家相关标准要求；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原木美术收纳柜</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76300" cy="923925"/>
                  <wp:effectExtent l="0" t="0" r="0" b="9525"/>
                  <wp:docPr id="12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 descr="IMG_264"/>
                          <pic:cNvPicPr>
                            <a:picLocks noChangeAspect="1"/>
                          </pic:cNvPicPr>
                        </pic:nvPicPr>
                        <pic:blipFill>
                          <a:blip r:embed="rId30"/>
                          <a:stretch>
                            <a:fillRect/>
                          </a:stretch>
                        </pic:blipFill>
                        <pic:spPr>
                          <a:xfrm>
                            <a:off x="0" y="0"/>
                            <a:ext cx="876300" cy="92392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1、规格:90*40*80cm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镂空的设计让幼儿从两面都可以及时拿到物品，不同层次的空间设计，便于放置多样物品；底部四边采用5公分万向轮。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原木晾纸架</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00100" cy="1019175"/>
                  <wp:effectExtent l="0" t="0" r="0" b="9525"/>
                  <wp:docPr id="12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 descr="IMG_265"/>
                          <pic:cNvPicPr>
                            <a:picLocks noChangeAspect="1"/>
                          </pic:cNvPicPr>
                        </pic:nvPicPr>
                        <pic:blipFill>
                          <a:blip r:embed="rId31"/>
                          <a:stretch>
                            <a:fillRect/>
                          </a:stretch>
                        </pic:blipFill>
                        <pic:spPr>
                          <a:xfrm>
                            <a:off x="0" y="0"/>
                            <a:ext cx="800100" cy="101917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1、规格:62*40*80cm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3、产品：中间采用不锈钢管网架符合GB/T 10125-2021标准，共8格；底部四边采用5公分万向轮。产品外观要求、理化性能要求、结构安全、有害物质限量（可迁移元素、甲醛释放量等）、力学性能、警示标识等符合国家相关标准要求；（◆提供第三方检测机构出具的不锈钢管符合GB/T 230.1-2018、GB/T 228.2-2015标准检测报告，检测内容含：硬度、抗拉强度、规定塑性延伸强度、断后伸长率）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原木纸筒收纳柜</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628650" cy="1019175"/>
                  <wp:effectExtent l="0" t="0" r="0" b="9525"/>
                  <wp:docPr id="12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1" descr="IMG_266"/>
                          <pic:cNvPicPr>
                            <a:picLocks noChangeAspect="1"/>
                          </pic:cNvPicPr>
                        </pic:nvPicPr>
                        <pic:blipFill>
                          <a:blip r:embed="rId32"/>
                          <a:stretch>
                            <a:fillRect/>
                          </a:stretch>
                        </pic:blipFill>
                        <pic:spPr>
                          <a:xfrm>
                            <a:off x="0" y="0"/>
                            <a:ext cx="628650" cy="101917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1、规格:40*40*50cm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其中内衬材质为9毫米多层板橡木贴皮，含9个收纳格子，规格不小于11*11cm；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5、连接件：柜体面板跟侧板采用二合一连接件连接，其余部分采用木牙螺丝组装，底部四边采用5公分万向轮。（◆提供第三方检测机构出具的万向轮符合GB/T 230.1-2018、GB/T 228.2-2015标准检测报告，检测内容含：硬度、抗拉强度、规定塑性延伸强度、断后伸长率）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移动美术画架</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704850" cy="1047750"/>
                  <wp:effectExtent l="0" t="0" r="0" b="0"/>
                  <wp:docPr id="12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 descr="IMG_267"/>
                          <pic:cNvPicPr>
                            <a:picLocks noChangeAspect="1"/>
                          </pic:cNvPicPr>
                        </pic:nvPicPr>
                        <pic:blipFill>
                          <a:blip r:embed="rId33"/>
                          <a:stretch>
                            <a:fillRect/>
                          </a:stretch>
                        </pic:blipFill>
                        <pic:spPr>
                          <a:xfrm>
                            <a:off x="0" y="0"/>
                            <a:ext cx="704850" cy="104775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1、规格：75*30*100cm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推车</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00100" cy="762000"/>
                  <wp:effectExtent l="0" t="0" r="0" b="0"/>
                  <wp:docPr id="12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 descr="IMG_268"/>
                          <pic:cNvPicPr>
                            <a:picLocks noChangeAspect="1"/>
                          </pic:cNvPicPr>
                        </pic:nvPicPr>
                        <pic:blipFill>
                          <a:blip r:embed="rId34"/>
                          <a:stretch>
                            <a:fillRect/>
                          </a:stretch>
                        </pic:blipFill>
                        <pic:spPr>
                          <a:xfrm>
                            <a:off x="0" y="0"/>
                            <a:ext cx="800100" cy="762000"/>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1、规格：80*35*70cm；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3、产品：采用框架式结构，中间三层间隔分布，其中每层间隔为30cm高；底部四边采用5公分万向轮。 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532765" cy="6985"/>
                  <wp:effectExtent l="0" t="0" r="0" b="0"/>
                  <wp:wrapNone/>
                  <wp:docPr id="21" name="图片_11_SpCnt_1"/>
                  <wp:cNvGraphicFramePr/>
                  <a:graphic xmlns:a="http://schemas.openxmlformats.org/drawingml/2006/main">
                    <a:graphicData uri="http://schemas.openxmlformats.org/drawingml/2006/picture">
                      <pic:pic xmlns:pic="http://schemas.openxmlformats.org/drawingml/2006/picture">
                        <pic:nvPicPr>
                          <pic:cNvPr id="21" name="图片_11_SpCnt_1"/>
                          <pic:cNvPicPr/>
                        </pic:nvPicPr>
                        <pic:blipFill>
                          <a:blip r:embed="rId35"/>
                          <a:stretch>
                            <a:fillRect/>
                          </a:stretch>
                        </pic:blipFill>
                        <pic:spPr>
                          <a:xfrm>
                            <a:off x="0" y="0"/>
                            <a:ext cx="532765" cy="69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14</w:t>
            </w:r>
          </w:p>
        </w:tc>
        <w:tc>
          <w:tcPr>
            <w:tcW w:w="103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沙画桌</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52500" cy="914400"/>
                  <wp:effectExtent l="0" t="0" r="0" b="0"/>
                  <wp:docPr id="12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4" descr="IMG_269"/>
                          <pic:cNvPicPr>
                            <a:picLocks noChangeAspect="1"/>
                          </pic:cNvPicPr>
                        </pic:nvPicPr>
                        <pic:blipFill>
                          <a:blip r:embed="rId36"/>
                          <a:stretch>
                            <a:fillRect/>
                          </a:stretch>
                        </pic:blipFill>
                        <pic:spPr>
                          <a:xfrm>
                            <a:off x="0" y="0"/>
                            <a:ext cx="952500" cy="91440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31115"/>
                  <wp:effectExtent l="0" t="0" r="11430" b="6985"/>
                  <wp:wrapNone/>
                  <wp:docPr id="271" name="图片_5"/>
                  <wp:cNvGraphicFramePr/>
                  <a:graphic xmlns:a="http://schemas.openxmlformats.org/drawingml/2006/main">
                    <a:graphicData uri="http://schemas.openxmlformats.org/drawingml/2006/picture">
                      <pic:pic xmlns:pic="http://schemas.openxmlformats.org/drawingml/2006/picture">
                        <pic:nvPicPr>
                          <pic:cNvPr id="271" name="图片_5"/>
                          <pic:cNvPicPr/>
                        </pic:nvPicPr>
                        <pic:blipFill>
                          <a:blip r:embed="rId37"/>
                          <a:stretch>
                            <a:fillRect/>
                          </a:stretch>
                        </pic:blipFill>
                        <pic:spPr>
                          <a:xfrm>
                            <a:off x="0" y="0"/>
                            <a:ext cx="7620" cy="3111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255270"/>
                  <wp:effectExtent l="0" t="0" r="11430" b="11430"/>
                  <wp:wrapNone/>
                  <wp:docPr id="272" name="图片_31"/>
                  <wp:cNvGraphicFramePr/>
                  <a:graphic xmlns:a="http://schemas.openxmlformats.org/drawingml/2006/main">
                    <a:graphicData uri="http://schemas.openxmlformats.org/drawingml/2006/picture">
                      <pic:pic xmlns:pic="http://schemas.openxmlformats.org/drawingml/2006/picture">
                        <pic:nvPicPr>
                          <pic:cNvPr id="272" name="图片_31"/>
                          <pic:cNvPicPr/>
                        </pic:nvPicPr>
                        <pic:blipFill>
                          <a:blip r:embed="rId38"/>
                          <a:stretch>
                            <a:fillRect/>
                          </a:stretch>
                        </pic:blipFill>
                        <pic:spPr>
                          <a:xfrm>
                            <a:off x="0" y="0"/>
                            <a:ext cx="7620" cy="25527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147320"/>
                  <wp:effectExtent l="0" t="0" r="11430" b="5080"/>
                  <wp:wrapNone/>
                  <wp:docPr id="273" name="图片_21"/>
                  <wp:cNvGraphicFramePr/>
                  <a:graphic xmlns:a="http://schemas.openxmlformats.org/drawingml/2006/main">
                    <a:graphicData uri="http://schemas.openxmlformats.org/drawingml/2006/picture">
                      <pic:pic xmlns:pic="http://schemas.openxmlformats.org/drawingml/2006/picture">
                        <pic:nvPicPr>
                          <pic:cNvPr id="273" name="图片_21"/>
                          <pic:cNvPicPr/>
                        </pic:nvPicPr>
                        <pic:blipFill>
                          <a:blip r:embed="rId39"/>
                          <a:stretch>
                            <a:fillRect/>
                          </a:stretch>
                        </pic:blipFill>
                        <pic:spPr>
                          <a:xfrm>
                            <a:off x="0" y="0"/>
                            <a:ext cx="7620" cy="147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1、规格：63.5*43.5*55cm；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532765" cy="7620"/>
                  <wp:effectExtent l="0" t="0" r="0" b="0"/>
                  <wp:wrapNone/>
                  <wp:docPr id="9" name="图片_11_SpCnt_2"/>
                  <wp:cNvGraphicFramePr/>
                  <a:graphic xmlns:a="http://schemas.openxmlformats.org/drawingml/2006/main">
                    <a:graphicData uri="http://schemas.openxmlformats.org/drawingml/2006/picture">
                      <pic:pic xmlns:pic="http://schemas.openxmlformats.org/drawingml/2006/picture">
                        <pic:nvPicPr>
                          <pic:cNvPr id="9" name="图片_11_SpCnt_2"/>
                          <pic:cNvPicPr/>
                        </pic:nvPicPr>
                        <pic:blipFill>
                          <a:blip r:embed="rId35"/>
                          <a:stretch>
                            <a:fillRect/>
                          </a:stretch>
                        </pic:blipFill>
                        <pic:spPr>
                          <a:xfrm>
                            <a:off x="0" y="0"/>
                            <a:ext cx="532765" cy="76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15</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洞洞板功能区</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33450" cy="981075"/>
                  <wp:effectExtent l="0" t="0" r="0" b="9525"/>
                  <wp:docPr id="13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5" descr="IMG_270"/>
                          <pic:cNvPicPr>
                            <a:picLocks noChangeAspect="1"/>
                          </pic:cNvPicPr>
                        </pic:nvPicPr>
                        <pic:blipFill>
                          <a:blip r:embed="rId40"/>
                          <a:stretch>
                            <a:fillRect/>
                          </a:stretch>
                        </pic:blipFill>
                        <pic:spPr>
                          <a:xfrm>
                            <a:off x="0" y="0"/>
                            <a:ext cx="933450" cy="98107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 cy="257810"/>
                  <wp:effectExtent l="0" t="0" r="11430" b="8890"/>
                  <wp:wrapNone/>
                  <wp:docPr id="274" name="图片_31_SpCnt_1"/>
                  <wp:cNvGraphicFramePr/>
                  <a:graphic xmlns:a="http://schemas.openxmlformats.org/drawingml/2006/main">
                    <a:graphicData uri="http://schemas.openxmlformats.org/drawingml/2006/picture">
                      <pic:pic xmlns:pic="http://schemas.openxmlformats.org/drawingml/2006/picture">
                        <pic:nvPicPr>
                          <pic:cNvPr id="274" name="图片_31_SpCnt_1"/>
                          <pic:cNvPicPr/>
                        </pic:nvPicPr>
                        <pic:blipFill>
                          <a:blip r:embed="rId41"/>
                          <a:stretch>
                            <a:fillRect/>
                          </a:stretch>
                        </pic:blipFill>
                        <pic:spPr>
                          <a:xfrm>
                            <a:off x="0" y="0"/>
                            <a:ext cx="7620" cy="25781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 cy="30480"/>
                  <wp:effectExtent l="0" t="0" r="11430" b="7620"/>
                  <wp:wrapNone/>
                  <wp:docPr id="275" name="图片_5_SpCnt_1"/>
                  <wp:cNvGraphicFramePr/>
                  <a:graphic xmlns:a="http://schemas.openxmlformats.org/drawingml/2006/main">
                    <a:graphicData uri="http://schemas.openxmlformats.org/drawingml/2006/picture">
                      <pic:pic xmlns:pic="http://schemas.openxmlformats.org/drawingml/2006/picture">
                        <pic:nvPicPr>
                          <pic:cNvPr id="275" name="图片_5_SpCnt_1"/>
                          <pic:cNvPicPr/>
                        </pic:nvPicPr>
                        <pic:blipFill>
                          <a:blip r:embed="rId37"/>
                          <a:stretch>
                            <a:fillRect/>
                          </a:stretch>
                        </pic:blipFill>
                        <pic:spPr>
                          <a:xfrm>
                            <a:off x="0" y="0"/>
                            <a:ext cx="7620" cy="3048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 cy="159385"/>
                  <wp:effectExtent l="0" t="0" r="11430" b="12065"/>
                  <wp:wrapNone/>
                  <wp:docPr id="276" name="图片_21_SpCnt_1"/>
                  <wp:cNvGraphicFramePr/>
                  <a:graphic xmlns:a="http://schemas.openxmlformats.org/drawingml/2006/main">
                    <a:graphicData uri="http://schemas.openxmlformats.org/drawingml/2006/picture">
                      <pic:pic xmlns:pic="http://schemas.openxmlformats.org/drawingml/2006/picture">
                        <pic:nvPicPr>
                          <pic:cNvPr id="276" name="图片_21_SpCnt_1"/>
                          <pic:cNvPicPr/>
                        </pic:nvPicPr>
                        <pic:blipFill>
                          <a:blip r:embed="rId42"/>
                          <a:stretch>
                            <a:fillRect/>
                          </a:stretch>
                        </pic:blipFill>
                        <pic:spPr>
                          <a:xfrm>
                            <a:off x="0" y="0"/>
                            <a:ext cx="7620" cy="1593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1、约10㎡，定制，含洞洞板，插销棍，层板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2、材质：主体材质桦木多层板，木质稳定，抗菌、防霉，不易变形、含水率和甲醛释放量符合相关国家标准要求。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美术教</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装饰架</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23925" cy="933450"/>
                  <wp:effectExtent l="0" t="0" r="9525" b="0"/>
                  <wp:docPr id="13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6" descr="IMG_271"/>
                          <pic:cNvPicPr>
                            <a:picLocks noChangeAspect="1"/>
                          </pic:cNvPicPr>
                        </pic:nvPicPr>
                        <pic:blipFill>
                          <a:blip r:embed="rId43"/>
                          <a:stretch>
                            <a:fillRect/>
                          </a:stretch>
                        </pic:blipFill>
                        <pic:spPr>
                          <a:xfrm>
                            <a:off x="0" y="0"/>
                            <a:ext cx="923925" cy="93345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1、约300*250cm实木材料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2、树枝材质：去皮本色香樟树，天然树枝，造型随性，真树干，树杆粗12-15厘米左右。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3、层板： 采用桦木多层板，木质稳定，抗菌、防霉，不易变形、含水率和甲醛释放量符合相关国家标准要求。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绘画装饰桌(不含树枝）</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52500" cy="790575"/>
                  <wp:effectExtent l="0" t="0" r="0" b="9525"/>
                  <wp:docPr id="13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7" descr="IMG_272"/>
                          <pic:cNvPicPr>
                            <a:picLocks noChangeAspect="1"/>
                          </pic:cNvPicPr>
                        </pic:nvPicPr>
                        <pic:blipFill>
                          <a:blip r:embed="rId44"/>
                          <a:stretch>
                            <a:fillRect/>
                          </a:stretch>
                        </pic:blipFill>
                        <pic:spPr>
                          <a:xfrm>
                            <a:off x="0" y="0"/>
                            <a:ext cx="952500" cy="79057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1、规格：φ150*54cm；（4张/套）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2、材质：采用厚度1.8cm实木橡胶木饰面橡木纹，橡胶木材质稳定，不易变形、含水率和甲醛释放量符合相关国家标准要求。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造型展示架</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1047750" cy="1076325"/>
                  <wp:effectExtent l="0" t="0" r="0" b="9525"/>
                  <wp:docPr id="13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8" descr="IMG_273"/>
                          <pic:cNvPicPr>
                            <a:picLocks noChangeAspect="1"/>
                          </pic:cNvPicPr>
                        </pic:nvPicPr>
                        <pic:blipFill>
                          <a:blip r:embed="rId45"/>
                          <a:stretch>
                            <a:fillRect/>
                          </a:stretch>
                        </pic:blipFill>
                        <pic:spPr>
                          <a:xfrm>
                            <a:off x="0" y="0"/>
                            <a:ext cx="1047750" cy="107632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1、规格:90*35*150cm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2、材质：采用厚度1.8cm桦木多层板，桦木多层板木材质稳定、抗菌、防霉 ，不易变形、含水率和甲醛释放量符合相关国家标准要求。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弧形桌（不含椅子)</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62025" cy="866775"/>
                  <wp:effectExtent l="0" t="0" r="9525" b="9525"/>
                  <wp:docPr id="134"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9" descr="IMG_274"/>
                          <pic:cNvPicPr>
                            <a:picLocks noChangeAspect="1"/>
                          </pic:cNvPicPr>
                        </pic:nvPicPr>
                        <pic:blipFill>
                          <a:blip r:embed="rId46"/>
                          <a:stretch>
                            <a:fillRect/>
                          </a:stretch>
                        </pic:blipFill>
                        <pic:spPr>
                          <a:xfrm>
                            <a:off x="0" y="0"/>
                            <a:ext cx="962025" cy="866775"/>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1、规格：106*56*54cm，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2、材质：采用厚度1.8cm实木橡胶木饰面橡木纹，橡胶木材质稳定，不易变形、含水率和甲醛释放量符合相关国家标准要求。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材料架</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color w:val="auto"/>
                <w:highlight w:val="none"/>
                <w:lang w:val="en-US" w:eastAsia="zh-CN"/>
              </w:rPr>
              <w:drawing>
                <wp:inline distT="0" distB="0" distL="114300" distR="114300">
                  <wp:extent cx="894080" cy="527050"/>
                  <wp:effectExtent l="0" t="0" r="1270" b="6350"/>
                  <wp:docPr id="27" name="图片_14"/>
                  <wp:cNvGraphicFramePr/>
                  <a:graphic xmlns:a="http://schemas.openxmlformats.org/drawingml/2006/main">
                    <a:graphicData uri="http://schemas.openxmlformats.org/drawingml/2006/picture">
                      <pic:pic xmlns:pic="http://schemas.openxmlformats.org/drawingml/2006/picture">
                        <pic:nvPicPr>
                          <pic:cNvPr id="27" name="图片_14"/>
                          <pic:cNvPicPr/>
                        </pic:nvPicPr>
                        <pic:blipFill>
                          <a:blip r:embed="rId47"/>
                          <a:stretch>
                            <a:fillRect/>
                          </a:stretch>
                        </pic:blipFill>
                        <pic:spPr>
                          <a:xfrm>
                            <a:off x="0" y="0"/>
                            <a:ext cx="894080" cy="52705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1、定制约500*80cm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2、材质：采用厚度1.8cm桦木多层板，桦木多层板木材质稳定、抗菌、防霉 ，不易变形、含水率和甲醛释放量符合相关国家标准要求。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木桩椅</w:t>
            </w:r>
          </w:p>
        </w:tc>
        <w:tc>
          <w:tcPr>
            <w:tcW w:w="167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676275" cy="714375"/>
                  <wp:effectExtent l="0" t="0" r="9525" b="9525"/>
                  <wp:docPr id="135"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0" descr="IMG_275"/>
                          <pic:cNvPicPr>
                            <a:picLocks noChangeAspect="1"/>
                          </pic:cNvPicPr>
                        </pic:nvPicPr>
                        <pic:blipFill>
                          <a:blip r:embed="rId48"/>
                          <a:stretch>
                            <a:fillRect/>
                          </a:stretch>
                        </pic:blipFill>
                        <pic:spPr>
                          <a:xfrm>
                            <a:off x="0" y="0"/>
                            <a:ext cx="676275" cy="71437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规格：Ф26-30cm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材质：实木</w:t>
            </w:r>
          </w:p>
        </w:tc>
        <w:tc>
          <w:tcPr>
            <w:tcW w:w="5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毛毡墙面</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00100" cy="733425"/>
                  <wp:effectExtent l="0" t="0" r="0" b="9525"/>
                  <wp:docPr id="136"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1" descr="IMG_276"/>
                          <pic:cNvPicPr>
                            <a:picLocks noChangeAspect="1"/>
                          </pic:cNvPicPr>
                        </pic:nvPicPr>
                        <pic:blipFill>
                          <a:blip r:embed="rId49"/>
                          <a:stretch>
                            <a:fillRect/>
                          </a:stretch>
                        </pic:blipFill>
                        <pic:spPr>
                          <a:xfrm>
                            <a:off x="0" y="0"/>
                            <a:ext cx="800100" cy="733425"/>
                          </a:xfrm>
                          <a:prstGeom prst="rect">
                            <a:avLst/>
                          </a:prstGeom>
                          <a:noFill/>
                          <a:ln w="9525">
                            <a:noFill/>
                          </a:ln>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规格：250*250浅灰色</w:t>
            </w:r>
          </w:p>
        </w:tc>
        <w:tc>
          <w:tcPr>
            <w:tcW w:w="5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阅览教室</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571"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10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弧形桌</w:t>
            </w:r>
          </w:p>
        </w:tc>
        <w:tc>
          <w:tcPr>
            <w:tcW w:w="1676"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04875" cy="609600"/>
                  <wp:effectExtent l="0" t="0" r="9525" b="0"/>
                  <wp:docPr id="15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2" descr="IMG_256"/>
                          <pic:cNvPicPr>
                            <a:picLocks noChangeAspect="1"/>
                          </pic:cNvPicPr>
                        </pic:nvPicPr>
                        <pic:blipFill>
                          <a:blip r:embed="rId50"/>
                          <a:stretch>
                            <a:fillRect/>
                          </a:stretch>
                        </pic:blipFill>
                        <pic:spPr>
                          <a:xfrm>
                            <a:off x="0" y="0"/>
                            <a:ext cx="904875" cy="609600"/>
                          </a:xfrm>
                          <a:prstGeom prst="rect">
                            <a:avLst/>
                          </a:prstGeom>
                        </pic:spPr>
                      </pic:pic>
                    </a:graphicData>
                  </a:graphic>
                </wp:inline>
              </w:drawing>
            </w:r>
          </w:p>
        </w:tc>
        <w:tc>
          <w:tcPr>
            <w:tcW w:w="61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1、规格：106*56*54cm，4张/套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2、材质：采用厚度1.8cm实木橡胶木饰面橡木纹，橡胶木材质稳定，不易变形、含水率和甲醛释放量符合相关国家标准要求。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528" w:type="dxa"/>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516" w:type="dxa"/>
            <w:tcBorders>
              <w:tl2br w:val="nil"/>
              <w:tr2bl w:val="nil"/>
            </w:tcBorders>
            <w:shd w:val="clear" w:color="auto" w:fill="auto"/>
            <w:noWrap/>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伴读桌</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57250" cy="914400"/>
                  <wp:effectExtent l="0" t="0" r="0" b="0"/>
                  <wp:docPr id="154" name="图片 2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4" descr="IMG_258"/>
                          <pic:cNvPicPr>
                            <a:picLocks noChangeAspect="1"/>
                          </pic:cNvPicPr>
                        </pic:nvPicPr>
                        <pic:blipFill>
                          <a:blip r:embed="rId51"/>
                          <a:stretch>
                            <a:fillRect/>
                          </a:stretch>
                        </pic:blipFill>
                        <pic:spPr>
                          <a:xfrm>
                            <a:off x="0" y="0"/>
                            <a:ext cx="857250" cy="914400"/>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尺寸：1020*400*1070mm，主体材质海洋板</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儿童护耳耳机</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381000" cy="438150"/>
                  <wp:effectExtent l="0" t="0" r="0" b="0"/>
                  <wp:docPr id="155" name="图片 2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5" descr="IMG_259"/>
                          <pic:cNvPicPr>
                            <a:picLocks noChangeAspect="1"/>
                          </pic:cNvPicPr>
                        </pic:nvPicPr>
                        <pic:blipFill>
                          <a:blip r:embed="rId52"/>
                          <a:stretch>
                            <a:fillRect/>
                          </a:stretch>
                        </pic:blipFill>
                        <pic:spPr>
                          <a:xfrm>
                            <a:off x="0" y="0"/>
                            <a:ext cx="381000" cy="438150"/>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1.佩戴方式：头戴护耳式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2.耳机发声原理：动圈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3.是否线控：是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4.兼容平台：ANDROID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5.灵敏度：104dB/mW</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阅读课程</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2年一期</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5</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椅子</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714375" cy="781050"/>
                  <wp:effectExtent l="0" t="0" r="9525" b="0"/>
                  <wp:docPr id="158" name="图片 2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8" descr="IMG_262"/>
                          <pic:cNvPicPr>
                            <a:picLocks noChangeAspect="1"/>
                          </pic:cNvPicPr>
                        </pic:nvPicPr>
                        <pic:blipFill>
                          <a:blip r:embed="rId53"/>
                          <a:stretch>
                            <a:fillRect/>
                          </a:stretch>
                        </pic:blipFill>
                        <pic:spPr>
                          <a:xfrm>
                            <a:off x="0" y="0"/>
                            <a:ext cx="714375" cy="781050"/>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1、规格28*29*30cm；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2、材质：椅面采用厚度1.8cm双面无结橡胶木指接板，靠背及椅子腿采用实木橡胶木，橡胶木材质稳定，抗菌、防霉、不易变形、含水率和甲醛释放量符合相关国家标准要求。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5、产品：靠背尺寸为23.5*1.8*8.5cm拆装式设计，椅子后脚5*2.2cm，前脚4*2.2cm，椅子四周小撑杆2*1.6cm ，其中靠背及后脚均带弧形；产品边角安全圆角处理，能减少磕碰的意外，外观要求、理化性能要求、结构安全、有害物质限量（可迁移元素、甲醛释放量等）、力学性能、警示标识等符合国家相关标准要求；◆提供第三方检测机构出具的儿童椅符合GB/T 43002-2023、QB/T4371-2012标准的检测报告，检测内容含：木制件外观、木工要求、漆膜外观要求、理化性能要求、甲醛释放量（未检出）、苯（未检出）、甲苯（未检出）、二甲苯（未检出）、总挥发性有机物（未检出）、稳定性试验、强度和耐久性试验、抑菌率&gt;99%（检测内容须含：金黄色葡萄球菌、白色念珠菌、大肠杆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6、其他：椅子设计符合人体工程力学，充分结合人机功能学；设计美观舒适温馨；</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6</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原木梯形座椅组合</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1009650" cy="914400"/>
                  <wp:effectExtent l="0" t="0" r="0" b="0"/>
                  <wp:docPr id="159" name="图片 2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9" descr="IMG_263"/>
                          <pic:cNvPicPr>
                            <a:picLocks noChangeAspect="1"/>
                          </pic:cNvPicPr>
                        </pic:nvPicPr>
                        <pic:blipFill>
                          <a:blip r:embed="rId54"/>
                          <a:stretch>
                            <a:fillRect/>
                          </a:stretch>
                        </pic:blipFill>
                        <pic:spPr>
                          <a:xfrm>
                            <a:off x="0" y="0"/>
                            <a:ext cx="1009650" cy="914400"/>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1、规格:145*128*57cm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坐面为软包海绵与麻布相结合，靠背后面带隔板可放图书，造型可随意拼搭；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5、产品：产品边角安全圆角处理，能减少磕碰的意外，外观要求、理化性能要求、结构安全、有害物质限量（可迁移元素、甲醛释放量等）、力学性能、警示标识等符合国家相关标准要求；</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7</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汽车组合</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1000125" cy="523875"/>
                  <wp:effectExtent l="0" t="0" r="9525" b="9525"/>
                  <wp:docPr id="160" name="图片 3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0" descr="IMG_264"/>
                          <pic:cNvPicPr>
                            <a:picLocks noChangeAspect="1"/>
                          </pic:cNvPicPr>
                        </pic:nvPicPr>
                        <pic:blipFill>
                          <a:blip r:embed="rId55"/>
                          <a:stretch>
                            <a:fillRect/>
                          </a:stretch>
                        </pic:blipFill>
                        <pic:spPr>
                          <a:xfrm>
                            <a:off x="0" y="0"/>
                            <a:ext cx="1000125" cy="523875"/>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1、规格4件套、其中：a:60*33*80cm；b:90*30*80cm；c:80*30*80cm；d:40*30*80cm；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2、材质：采用厚度1.8cm桦木多层板，桦木多层板材质稳定，抗菌、防霉，不易变形、含水率和甲醛释放量符合相关国家标准要求。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图书修补站（不含椅子）</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17880" cy="380365"/>
                  <wp:effectExtent l="0" t="0" r="1270" b="635"/>
                  <wp:docPr id="161" name="图片 3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1" descr="IMG_265"/>
                          <pic:cNvPicPr>
                            <a:picLocks noChangeAspect="1"/>
                          </pic:cNvPicPr>
                        </pic:nvPicPr>
                        <pic:blipFill>
                          <a:blip r:embed="rId56"/>
                          <a:stretch>
                            <a:fillRect/>
                          </a:stretch>
                        </pic:blipFill>
                        <pic:spPr>
                          <a:xfrm>
                            <a:off x="0" y="0"/>
                            <a:ext cx="817880" cy="380365"/>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1、规格：80*40*67cm；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2、材质：采用桦木多层板，桦木多层板材质稳定，抗菌、防霉，不易变形、含水率和甲醛释放量符合相关国家标准要求。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9</w:t>
            </w:r>
          </w:p>
        </w:tc>
        <w:tc>
          <w:tcPr>
            <w:tcW w:w="0" w:type="auto"/>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懒人沙发</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1000125" cy="704850"/>
                  <wp:effectExtent l="0" t="0" r="9525" b="0"/>
                  <wp:docPr id="162" name="图片 3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2" descr="IMG_266"/>
                          <pic:cNvPicPr>
                            <a:picLocks noChangeAspect="1"/>
                          </pic:cNvPicPr>
                        </pic:nvPicPr>
                        <pic:blipFill>
                          <a:blip r:embed="rId57"/>
                          <a:stretch>
                            <a:fillRect/>
                          </a:stretch>
                        </pic:blipFill>
                        <pic:spPr>
                          <a:xfrm>
                            <a:off x="0" y="0"/>
                            <a:ext cx="1000125" cy="704850"/>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不规则约80cm</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10</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动物沙发（可选颜色）</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1295400" cy="485775"/>
                  <wp:effectExtent l="0" t="0" r="0" b="9525"/>
                  <wp:docPr id="163" name="图片 3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3" descr="IMG_267"/>
                          <pic:cNvPicPr>
                            <a:picLocks noChangeAspect="1"/>
                          </pic:cNvPicPr>
                        </pic:nvPicPr>
                        <pic:blipFill>
                          <a:blip r:embed="rId58"/>
                          <a:stretch>
                            <a:fillRect/>
                          </a:stretch>
                        </pic:blipFill>
                        <pic:spPr>
                          <a:xfrm>
                            <a:off x="0" y="0"/>
                            <a:ext cx="1295400" cy="485775"/>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规格：83*43*67cm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材质：羊羔绒、PE材质</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11</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软体墙面</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695325" cy="523875"/>
                  <wp:effectExtent l="0" t="0" r="9525" b="9525"/>
                  <wp:docPr id="164" name="图片 3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4" descr="IMG_268"/>
                          <pic:cNvPicPr>
                            <a:picLocks noChangeAspect="1"/>
                          </pic:cNvPicPr>
                        </pic:nvPicPr>
                        <pic:blipFill>
                          <a:blip r:embed="rId59"/>
                          <a:stretch>
                            <a:fillRect/>
                          </a:stretch>
                        </pic:blipFill>
                        <pic:spPr>
                          <a:xfrm>
                            <a:off x="0" y="0"/>
                            <a:ext cx="695325" cy="523875"/>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规格：高度1.3米定制130x30x3-4cm</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40</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12</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软地面</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04875" cy="704850"/>
                  <wp:effectExtent l="0" t="0" r="9525" b="0"/>
                  <wp:docPr id="165" name="图片 3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5" descr="IMG_269"/>
                          <pic:cNvPicPr>
                            <a:picLocks noChangeAspect="1"/>
                          </pic:cNvPicPr>
                        </pic:nvPicPr>
                        <pic:blipFill>
                          <a:blip r:embed="rId60"/>
                          <a:stretch>
                            <a:fillRect/>
                          </a:stretch>
                        </pic:blipFill>
                        <pic:spPr>
                          <a:xfrm>
                            <a:off x="0" y="0"/>
                            <a:ext cx="904875" cy="704850"/>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规格：定制约100x100x2.5cm</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100</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13</w:t>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乐高积木墙</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781050" cy="628650"/>
                  <wp:effectExtent l="0" t="0" r="0" b="0"/>
                  <wp:docPr id="166" name="图片 3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6" descr="IMG_270"/>
                          <pic:cNvPicPr>
                            <a:picLocks noChangeAspect="1"/>
                          </pic:cNvPicPr>
                        </pic:nvPicPr>
                        <pic:blipFill>
                          <a:blip r:embed="rId61"/>
                          <a:stretch>
                            <a:fillRect/>
                          </a:stretch>
                        </pic:blipFill>
                        <pic:spPr>
                          <a:xfrm>
                            <a:off x="0" y="0"/>
                            <a:ext cx="781050" cy="628650"/>
                          </a:xfrm>
                          <a:prstGeom prst="rect">
                            <a:avLst/>
                          </a:prstGeom>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长510cm*高102cm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（长25.5*20块板、高25.5*4块板产品规格：正方形3.18*3.18*2.36cm,长方形6.38*3.2*2.38cm，小长方形小长方形3.2*1.6*2.4cm； 颜色：红色、黄色、蓝色、绿色、橙色、黑色、白色；  材质：ABS 件数：320件，四周配置实木防护条，实木储物盒约510cm，可选择不同颜色，配置</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木工教室</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门牌</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1019175" cy="619125"/>
                  <wp:effectExtent l="0" t="0" r="9525" b="9525"/>
                  <wp:docPr id="189"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37" descr="IMG_256"/>
                          <pic:cNvPicPr>
                            <a:picLocks noChangeAspect="1"/>
                          </pic:cNvPicPr>
                        </pic:nvPicPr>
                        <pic:blipFill>
                          <a:blip r:embed="rId62"/>
                          <a:stretch>
                            <a:fillRect/>
                          </a:stretch>
                        </pic:blipFill>
                        <pic:spPr>
                          <a:xfrm>
                            <a:off x="0" y="0"/>
                            <a:ext cx="1019175" cy="619125"/>
                          </a:xfrm>
                          <a:prstGeom prst="rect">
                            <a:avLst/>
                          </a:prstGeom>
                          <a:noFill/>
                          <a:ln w="9525">
                            <a:noFill/>
                          </a:ln>
                        </pic:spPr>
                      </pic:pic>
                    </a:graphicData>
                  </a:graphic>
                </wp:inline>
              </w:drawing>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规格：40*70cm</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tcBorders>
              <w:tl2br w:val="nil"/>
              <w:tr2bl w:val="nil"/>
            </w:tcBorders>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操作桌</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680085" cy="355600"/>
                  <wp:effectExtent l="0" t="0" r="5715" b="6350"/>
                  <wp:docPr id="190"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8" descr="IMG_257"/>
                          <pic:cNvPicPr>
                            <a:picLocks noChangeAspect="1"/>
                          </pic:cNvPicPr>
                        </pic:nvPicPr>
                        <pic:blipFill>
                          <a:blip r:embed="rId63"/>
                          <a:stretch>
                            <a:fillRect/>
                          </a:stretch>
                        </pic:blipFill>
                        <pic:spPr>
                          <a:xfrm>
                            <a:off x="0" y="0"/>
                            <a:ext cx="680085" cy="3556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规格：120*80*55cm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绘图桌子</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990600" cy="523875"/>
                  <wp:effectExtent l="0" t="0" r="0" b="9525"/>
                  <wp:docPr id="191"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39" descr="IMG_258"/>
                          <pic:cNvPicPr>
                            <a:picLocks noChangeAspect="1"/>
                          </pic:cNvPicPr>
                        </pic:nvPicPr>
                        <pic:blipFill>
                          <a:blip r:embed="rId64"/>
                          <a:stretch>
                            <a:fillRect/>
                          </a:stretch>
                        </pic:blipFill>
                        <pic:spPr>
                          <a:xfrm>
                            <a:off x="0" y="0"/>
                            <a:ext cx="990600" cy="5238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 xml:space="preserve">规格：约长2.8m，宽45cm，高54cm </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操作台</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733425" cy="533400"/>
                  <wp:effectExtent l="0" t="0" r="9525" b="0"/>
                  <wp:docPr id="192" name="图片 4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0" descr="IMG_259"/>
                          <pic:cNvPicPr>
                            <a:picLocks noChangeAspect="1"/>
                          </pic:cNvPicPr>
                        </pic:nvPicPr>
                        <pic:blipFill>
                          <a:blip r:embed="rId65"/>
                          <a:stretch>
                            <a:fillRect/>
                          </a:stretch>
                        </pic:blipFill>
                        <pic:spPr>
                          <a:xfrm>
                            <a:off x="0" y="0"/>
                            <a:ext cx="733425" cy="5334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 xml:space="preserve">规格：约长2.8m，宽60cm，高60cm </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5</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长板凳</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838200" cy="638175"/>
                  <wp:effectExtent l="0" t="0" r="0" b="9525"/>
                  <wp:docPr id="193" name="图片 4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41" descr="IMG_260"/>
                          <pic:cNvPicPr>
                            <a:picLocks noChangeAspect="1"/>
                          </pic:cNvPicPr>
                        </pic:nvPicPr>
                        <pic:blipFill>
                          <a:blip r:embed="rId66"/>
                          <a:stretch>
                            <a:fillRect/>
                          </a:stretch>
                        </pic:blipFill>
                        <pic:spPr>
                          <a:xfrm>
                            <a:off x="0" y="0"/>
                            <a:ext cx="838200" cy="6381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规格：140*20*30cm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树凳</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495300" cy="523875"/>
                  <wp:effectExtent l="0" t="0" r="0" b="9525"/>
                  <wp:docPr id="194" name="图片 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2" descr="IMG_261"/>
                          <pic:cNvPicPr>
                            <a:picLocks noChangeAspect="1"/>
                          </pic:cNvPicPr>
                        </pic:nvPicPr>
                        <pic:blipFill>
                          <a:blip r:embed="rId67"/>
                          <a:stretch>
                            <a:fillRect/>
                          </a:stretch>
                        </pic:blipFill>
                        <pic:spPr>
                          <a:xfrm>
                            <a:off x="0" y="0"/>
                            <a:ext cx="495300" cy="5238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w:t>
            </w:r>
            <w:r>
              <w:rPr>
                <w:rFonts w:hint="eastAsia" w:ascii="宋体" w:hAnsi="宋体" w:eastAsia="宋体" w:cs="宋体"/>
                <w:b/>
                <w:bCs/>
                <w:i w:val="0"/>
                <w:iCs w:val="0"/>
                <w:color w:val="auto"/>
                <w:kern w:val="0"/>
                <w:sz w:val="22"/>
                <w:szCs w:val="22"/>
                <w:highlight w:val="none"/>
                <w:lang w:val="en-US" w:eastAsia="zh-CN" w:bidi="ar"/>
              </w:rPr>
              <w:t>Ф</w:t>
            </w:r>
            <w:r>
              <w:rPr>
                <w:rFonts w:hint="default" w:ascii="华文仿宋" w:hAnsi="华文仿宋" w:eastAsia="华文仿宋" w:cs="华文仿宋"/>
                <w:b/>
                <w:bCs/>
                <w:i w:val="0"/>
                <w:iCs w:val="0"/>
                <w:color w:val="auto"/>
                <w:kern w:val="0"/>
                <w:sz w:val="22"/>
                <w:szCs w:val="22"/>
                <w:highlight w:val="none"/>
                <w:lang w:val="en-US" w:eastAsia="zh-CN" w:bidi="ar"/>
              </w:rPr>
              <w:t>26-30cm实木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30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7</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材料框</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619125" cy="504825"/>
                  <wp:effectExtent l="0" t="0" r="9525" b="9525"/>
                  <wp:docPr id="195" name="图片 4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43" descr="IMG_262"/>
                          <pic:cNvPicPr>
                            <a:picLocks noChangeAspect="1"/>
                          </pic:cNvPicPr>
                        </pic:nvPicPr>
                        <pic:blipFill>
                          <a:blip r:embed="rId68"/>
                          <a:stretch>
                            <a:fillRect/>
                          </a:stretch>
                        </pic:blipFill>
                        <pic:spPr>
                          <a:xfrm>
                            <a:off x="0" y="0"/>
                            <a:ext cx="619125" cy="5048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规格：54*38*31cm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5</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半成品柜</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762000" cy="428625"/>
                  <wp:effectExtent l="0" t="0" r="0" b="9525"/>
                  <wp:docPr id="196" name="图片 4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44" descr="IMG_263"/>
                          <pic:cNvPicPr>
                            <a:picLocks noChangeAspect="1"/>
                          </pic:cNvPicPr>
                        </pic:nvPicPr>
                        <pic:blipFill>
                          <a:blip r:embed="rId69"/>
                          <a:stretch>
                            <a:fillRect/>
                          </a:stretch>
                        </pic:blipFill>
                        <pic:spPr>
                          <a:xfrm>
                            <a:off x="0" y="0"/>
                            <a:ext cx="762000" cy="4286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规格：120*90cm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9</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材料架</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504825" cy="523875"/>
                  <wp:effectExtent l="0" t="0" r="9525" b="9525"/>
                  <wp:docPr id="197" name="图片 4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45" descr="IMG_264"/>
                          <pic:cNvPicPr>
                            <a:picLocks noChangeAspect="1"/>
                          </pic:cNvPicPr>
                        </pic:nvPicPr>
                        <pic:blipFill>
                          <a:blip r:embed="rId70"/>
                          <a:stretch>
                            <a:fillRect/>
                          </a:stretch>
                        </pic:blipFill>
                        <pic:spPr>
                          <a:xfrm>
                            <a:off x="0" y="0"/>
                            <a:ext cx="504825" cy="5238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规格：128*40*100cm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工具柜</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523875" cy="495300"/>
                  <wp:effectExtent l="0" t="0" r="9525" b="0"/>
                  <wp:docPr id="198" name="图片 4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6" descr="IMG_265"/>
                          <pic:cNvPicPr>
                            <a:picLocks noChangeAspect="1"/>
                          </pic:cNvPicPr>
                        </pic:nvPicPr>
                        <pic:blipFill>
                          <a:blip r:embed="rId71"/>
                          <a:stretch>
                            <a:fillRect/>
                          </a:stretch>
                        </pic:blipFill>
                        <pic:spPr>
                          <a:xfrm>
                            <a:off x="0" y="0"/>
                            <a:ext cx="523875" cy="4953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规格：122*30*110cm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防护区</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514350" cy="342900"/>
                  <wp:effectExtent l="0" t="0" r="0" b="0"/>
                  <wp:docPr id="199" name="图片 4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47" descr="IMG_266"/>
                          <pic:cNvPicPr>
                            <a:picLocks noChangeAspect="1"/>
                          </pic:cNvPicPr>
                        </pic:nvPicPr>
                        <pic:blipFill>
                          <a:blip r:embed="rId72"/>
                          <a:stretch>
                            <a:fillRect/>
                          </a:stretch>
                        </pic:blipFill>
                        <pic:spPr>
                          <a:xfrm>
                            <a:off x="0" y="0"/>
                            <a:ext cx="514350" cy="3429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规格：80cm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环创墙</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323850" cy="409575"/>
                  <wp:effectExtent l="0" t="0" r="0" b="9525"/>
                  <wp:docPr id="200" name="图片 4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8" descr="IMG_267"/>
                          <pic:cNvPicPr>
                            <a:picLocks noChangeAspect="1"/>
                          </pic:cNvPicPr>
                        </pic:nvPicPr>
                        <pic:blipFill>
                          <a:blip r:embed="rId73"/>
                          <a:stretch>
                            <a:fillRect/>
                          </a:stretch>
                        </pic:blipFill>
                        <pic:spPr>
                          <a:xfrm>
                            <a:off x="0" y="0"/>
                            <a:ext cx="323850" cy="4095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规格：80*120cm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13</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作品墙</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438150" cy="457200"/>
                  <wp:effectExtent l="0" t="0" r="0" b="0"/>
                  <wp:docPr id="201" name="图片 4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49" descr="IMG_268"/>
                          <pic:cNvPicPr>
                            <a:picLocks noChangeAspect="1"/>
                          </pic:cNvPicPr>
                        </pic:nvPicPr>
                        <pic:blipFill>
                          <a:blip r:embed="rId74"/>
                          <a:stretch>
                            <a:fillRect/>
                          </a:stretch>
                        </pic:blipFill>
                        <pic:spPr>
                          <a:xfrm>
                            <a:off x="0" y="0"/>
                            <a:ext cx="438150" cy="4572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规格：30*60cm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木质洞洞板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638175" cy="733425"/>
                  <wp:effectExtent l="0" t="0" r="9525" b="9525"/>
                  <wp:docPr id="202" name="图片 5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50" descr="IMG_269"/>
                          <pic:cNvPicPr>
                            <a:picLocks noChangeAspect="1"/>
                          </pic:cNvPicPr>
                        </pic:nvPicPr>
                        <pic:blipFill>
                          <a:blip r:embed="rId75"/>
                          <a:stretch>
                            <a:fillRect/>
                          </a:stretch>
                        </pic:blipFill>
                        <pic:spPr>
                          <a:xfrm>
                            <a:off x="0" y="0"/>
                            <a:ext cx="638175" cy="7334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规格：60*60cm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15</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木质洞洞挡板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514350" cy="476250"/>
                  <wp:effectExtent l="0" t="0" r="0" b="0"/>
                  <wp:docPr id="203" name="图片 5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51" descr="IMG_270"/>
                          <pic:cNvPicPr>
                            <a:picLocks noChangeAspect="1"/>
                          </pic:cNvPicPr>
                        </pic:nvPicPr>
                        <pic:blipFill>
                          <a:blip r:embed="rId76"/>
                          <a:stretch>
                            <a:fillRect/>
                          </a:stretch>
                        </pic:blipFill>
                        <pic:spPr>
                          <a:xfrm>
                            <a:off x="0" y="0"/>
                            <a:ext cx="514350" cy="4762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规格：30*12*1.5cm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木质洞洞板挂钩</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695325" cy="571500"/>
                  <wp:effectExtent l="0" t="0" r="9525" b="0"/>
                  <wp:docPr id="204" name="图片 5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52" descr="IMG_271"/>
                          <pic:cNvPicPr>
                            <a:picLocks noChangeAspect="1"/>
                          </pic:cNvPicPr>
                        </pic:nvPicPr>
                        <pic:blipFill>
                          <a:blip r:embed="rId77"/>
                          <a:stretch>
                            <a:fillRect/>
                          </a:stretch>
                        </pic:blipFill>
                        <pic:spPr>
                          <a:xfrm>
                            <a:off x="0" y="0"/>
                            <a:ext cx="695325" cy="5715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规格：16cm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50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17</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木质洞洞板挂钩</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400050" cy="371475"/>
                  <wp:effectExtent l="0" t="0" r="0" b="9525"/>
                  <wp:docPr id="205" name="图片 5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53" descr="IMG_272"/>
                          <pic:cNvPicPr>
                            <a:picLocks noChangeAspect="1"/>
                          </pic:cNvPicPr>
                        </pic:nvPicPr>
                        <pic:blipFill>
                          <a:blip r:embed="rId78"/>
                          <a:stretch>
                            <a:fillRect/>
                          </a:stretch>
                        </pic:blipFill>
                        <pic:spPr>
                          <a:xfrm>
                            <a:off x="0" y="0"/>
                            <a:ext cx="400050" cy="3714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规格：8cm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60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18</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收纳盒</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847725" cy="476250"/>
                  <wp:effectExtent l="0" t="0" r="9525" b="0"/>
                  <wp:docPr id="206" name="图片 5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4" descr="IMG_273"/>
                          <pic:cNvPicPr>
                            <a:picLocks noChangeAspect="1"/>
                          </pic:cNvPicPr>
                        </pic:nvPicPr>
                        <pic:blipFill>
                          <a:blip r:embed="rId79"/>
                          <a:stretch>
                            <a:fillRect/>
                          </a:stretch>
                        </pic:blipFill>
                        <pic:spPr>
                          <a:xfrm>
                            <a:off x="0" y="0"/>
                            <a:ext cx="847725" cy="4762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规格：16*16cm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19</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挂板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742950" cy="428625"/>
                  <wp:effectExtent l="0" t="0" r="0" b="9525"/>
                  <wp:docPr id="207" name="图片 5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55" descr="IMG_274"/>
                          <pic:cNvPicPr>
                            <a:picLocks noChangeAspect="1"/>
                          </pic:cNvPicPr>
                        </pic:nvPicPr>
                        <pic:blipFill>
                          <a:blip r:embed="rId80"/>
                          <a:stretch>
                            <a:fillRect/>
                          </a:stretch>
                        </pic:blipFill>
                        <pic:spPr>
                          <a:xfrm>
                            <a:off x="0" y="0"/>
                            <a:ext cx="742950" cy="4286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规格：长11.5cm，宽4cm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插削板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1038225" cy="447675"/>
                  <wp:effectExtent l="0" t="0" r="9525" b="9525"/>
                  <wp:docPr id="208" name="图片 5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56" descr="IMG_275"/>
                          <pic:cNvPicPr>
                            <a:picLocks noChangeAspect="1"/>
                          </pic:cNvPicPr>
                        </pic:nvPicPr>
                        <pic:blipFill>
                          <a:blip r:embed="rId81"/>
                          <a:stretch>
                            <a:fillRect/>
                          </a:stretch>
                        </pic:blipFill>
                        <pic:spPr>
                          <a:xfrm>
                            <a:off x="0" y="0"/>
                            <a:ext cx="1038225" cy="4476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规格：长30cm，宽13cm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扳手板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981075" cy="523875"/>
                  <wp:effectExtent l="0" t="0" r="9525" b="9525"/>
                  <wp:docPr id="209" name="图片 5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57" descr="IMG_276"/>
                          <pic:cNvPicPr>
                            <a:picLocks noChangeAspect="1"/>
                          </pic:cNvPicPr>
                        </pic:nvPicPr>
                        <pic:blipFill>
                          <a:blip r:embed="rId82"/>
                          <a:stretch>
                            <a:fillRect/>
                          </a:stretch>
                        </pic:blipFill>
                        <pic:spPr>
                          <a:xfrm>
                            <a:off x="0" y="0"/>
                            <a:ext cx="981075" cy="5238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规格：长30cm，宽13cm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锤子板</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0"/>
                <w:sz w:val="22"/>
                <w:szCs w:val="22"/>
                <w:highlight w:val="none"/>
                <w:lang w:val="en-US" w:eastAsia="zh-CN" w:bidi="ar"/>
              </w:rPr>
              <w:drawing>
                <wp:inline distT="0" distB="0" distL="114300" distR="114300">
                  <wp:extent cx="876300" cy="600075"/>
                  <wp:effectExtent l="0" t="0" r="0" b="9525"/>
                  <wp:docPr id="210" name="图片 5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58" descr="IMG_277"/>
                          <pic:cNvPicPr>
                            <a:picLocks noChangeAspect="1"/>
                          </pic:cNvPicPr>
                        </pic:nvPicPr>
                        <pic:blipFill>
                          <a:blip r:embed="rId83"/>
                          <a:stretch>
                            <a:fillRect/>
                          </a:stretch>
                        </pic:blipFill>
                        <pic:spPr>
                          <a:xfrm>
                            <a:off x="0" y="0"/>
                            <a:ext cx="876300" cy="60007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规格：长30cm，宽13cm</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23</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环创材料包</w:t>
            </w:r>
          </w:p>
        </w:tc>
        <w:tc>
          <w:tcPr>
            <w:tcW w:w="0" w:type="auto"/>
            <w:shd w:val="clear" w:color="auto" w:fill="auto"/>
            <w:vAlign w:val="center"/>
          </w:tcPr>
          <w:p>
            <w:pPr>
              <w:keepNext w:val="0"/>
              <w:keepLines w:val="0"/>
              <w:widowControl w:val="0"/>
              <w:suppressLineNumbers w:val="0"/>
              <w:adjustRightInd w:val="0"/>
              <w:spacing w:before="0" w:beforeAutospacing="0" w:after="0" w:afterAutospacing="0"/>
              <w:ind w:left="0" w:leftChars="0" w:right="0" w:rightChars="0"/>
              <w:jc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2"/>
                <w:sz w:val="22"/>
                <w:szCs w:val="22"/>
                <w:highlight w:val="none"/>
                <w:lang w:val="en-US" w:eastAsia="zh-CN" w:bidi="ar"/>
              </w:rPr>
              <w:t>/</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70件</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环创工具包</w:t>
            </w:r>
          </w:p>
        </w:tc>
        <w:tc>
          <w:tcPr>
            <w:tcW w:w="0" w:type="auto"/>
            <w:shd w:val="clear" w:color="auto" w:fill="auto"/>
            <w:vAlign w:val="center"/>
          </w:tcPr>
          <w:p>
            <w:pPr>
              <w:keepNext w:val="0"/>
              <w:keepLines w:val="0"/>
              <w:widowControl w:val="0"/>
              <w:suppressLineNumbers w:val="0"/>
              <w:adjustRightInd w:val="0"/>
              <w:spacing w:before="0" w:beforeAutospacing="0" w:after="0" w:afterAutospacing="0"/>
              <w:ind w:left="0" w:leftChars="0" w:right="0" w:rightChars="0"/>
              <w:jc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2"/>
                <w:sz w:val="22"/>
                <w:szCs w:val="22"/>
                <w:highlight w:val="none"/>
                <w:lang w:val="en-US" w:eastAsia="zh-CN" w:bidi="ar"/>
              </w:rPr>
              <w:t>/</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20件含锯床，钻床，磨床，车床各一个</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25</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防护包</w:t>
            </w:r>
          </w:p>
        </w:tc>
        <w:tc>
          <w:tcPr>
            <w:tcW w:w="0" w:type="auto"/>
            <w:shd w:val="clear" w:color="auto" w:fill="auto"/>
            <w:vAlign w:val="center"/>
          </w:tcPr>
          <w:p>
            <w:pPr>
              <w:keepNext w:val="0"/>
              <w:keepLines w:val="0"/>
              <w:widowControl w:val="0"/>
              <w:suppressLineNumbers w:val="0"/>
              <w:adjustRightInd w:val="0"/>
              <w:spacing w:before="0" w:beforeAutospacing="0" w:after="0" w:afterAutospacing="0"/>
              <w:ind w:left="0" w:leftChars="0" w:right="0" w:rightChars="0"/>
              <w:jc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2"/>
                <w:sz w:val="22"/>
                <w:szCs w:val="22"/>
                <w:highlight w:val="none"/>
                <w:lang w:val="en-US" w:eastAsia="zh-CN" w:bidi="ar"/>
              </w:rPr>
              <w:t>/</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219件</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材料包</w:t>
            </w:r>
          </w:p>
        </w:tc>
        <w:tc>
          <w:tcPr>
            <w:tcW w:w="0" w:type="auto"/>
            <w:shd w:val="clear" w:color="auto" w:fill="auto"/>
            <w:vAlign w:val="center"/>
          </w:tcPr>
          <w:p>
            <w:pPr>
              <w:keepNext w:val="0"/>
              <w:keepLines w:val="0"/>
              <w:widowControl w:val="0"/>
              <w:suppressLineNumbers w:val="0"/>
              <w:adjustRightInd w:val="0"/>
              <w:spacing w:before="0" w:beforeAutospacing="0" w:after="0" w:afterAutospacing="0"/>
              <w:ind w:left="0" w:leftChars="0" w:right="0" w:rightChars="0"/>
              <w:jc w:val="center"/>
              <w:rPr>
                <w:rFonts w:hint="eastAsia" w:ascii="华文仿宋" w:hAnsi="华文仿宋" w:eastAsia="华文仿宋" w:cs="华文仿宋"/>
                <w:b/>
                <w:bCs/>
                <w:i w:val="0"/>
                <w:iCs w:val="0"/>
                <w:color w:val="auto"/>
                <w:kern w:val="2"/>
                <w:sz w:val="22"/>
                <w:szCs w:val="22"/>
                <w:highlight w:val="none"/>
                <w:lang w:val="en-US" w:eastAsia="zh-CN" w:bidi="ar-SA"/>
              </w:rPr>
            </w:pPr>
            <w:r>
              <w:rPr>
                <w:rFonts w:hint="default" w:ascii="华文仿宋" w:hAnsi="华文仿宋" w:eastAsia="华文仿宋" w:cs="华文仿宋"/>
                <w:b/>
                <w:bCs/>
                <w:i w:val="0"/>
                <w:iCs w:val="0"/>
                <w:color w:val="auto"/>
                <w:kern w:val="2"/>
                <w:sz w:val="22"/>
                <w:szCs w:val="22"/>
                <w:highlight w:val="none"/>
                <w:lang w:val="en-US" w:eastAsia="zh-CN" w:bidi="ar"/>
              </w:rPr>
              <w:t>/</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11件</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2"/>
                <w:szCs w:val="22"/>
                <w:highlight w:val="none"/>
                <w:lang w:val="en-US" w:eastAsia="zh-CN" w:bidi="ar-SA"/>
              </w:rPr>
            </w:pPr>
            <w:r>
              <w:rPr>
                <w:rFonts w:hint="eastAsia" w:ascii="微软雅黑" w:hAnsi="微软雅黑" w:eastAsia="微软雅黑" w:cs="微软雅黑"/>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0"/>
                <w:sz w:val="24"/>
                <w:szCs w:val="24"/>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0"/>
                <w:sz w:val="22"/>
                <w:szCs w:val="22"/>
                <w:highlight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生活教室</w:t>
            </w:r>
          </w:p>
        </w:tc>
        <w:tc>
          <w:tcPr>
            <w:tcW w:w="0" w:type="auto"/>
            <w:shd w:val="clear" w:color="auto" w:fill="auto"/>
            <w:vAlign w:val="center"/>
          </w:tcPr>
          <w:p>
            <w:pPr>
              <w:keepNext w:val="0"/>
              <w:keepLines w:val="0"/>
              <w:widowControl w:val="0"/>
              <w:suppressLineNumbers w:val="0"/>
              <w:adjustRightInd w:val="0"/>
              <w:spacing w:before="0" w:beforeAutospacing="0" w:after="0" w:afterAutospacing="0"/>
              <w:ind w:left="0" w:leftChars="0" w:right="0" w:rightChars="0"/>
              <w:jc w:val="center"/>
              <w:rPr>
                <w:rFonts w:hint="default" w:ascii="华文仿宋" w:hAnsi="华文仿宋" w:eastAsia="华文仿宋" w:cs="华文仿宋"/>
                <w:b/>
                <w:bCs/>
                <w:i w:val="0"/>
                <w:iCs w:val="0"/>
                <w:color w:val="auto"/>
                <w:kern w:val="2"/>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 xml:space="preserve"> 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贩卖组合柜B</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440690" cy="381000"/>
                  <wp:effectExtent l="0" t="0" r="16510" b="0"/>
                  <wp:docPr id="222"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59" descr="IMG_256"/>
                          <pic:cNvPicPr>
                            <a:picLocks noChangeAspect="1"/>
                          </pic:cNvPicPr>
                        </pic:nvPicPr>
                        <pic:blipFill>
                          <a:blip r:embed="rId84"/>
                          <a:stretch>
                            <a:fillRect/>
                          </a:stretch>
                        </pic:blipFill>
                        <pic:spPr>
                          <a:xfrm>
                            <a:off x="0" y="0"/>
                            <a:ext cx="440690" cy="381000"/>
                          </a:xfrm>
                          <a:prstGeom prst="rect">
                            <a:avLst/>
                          </a:prstGeom>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1、贩卖展示柜规格：90*30*105cm；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2、材质：柜体板面采用厚度1.8cm双面无结橡胶木，橡胶木材质稳定，不易变形、含水率和甲醛释放量符合相关国家标准要求。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6、螺丝：采用优质环保五金，稳固不松动，五金表面经防锈处理，耐磨损，抗腐蚀符合GB/T3098.13-1996标准要求；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双层收纳柜</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31850" cy="619125"/>
                  <wp:effectExtent l="0" t="0" r="635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5"/>
                          <a:stretch>
                            <a:fillRect/>
                          </a:stretch>
                        </pic:blipFill>
                        <pic:spPr>
                          <a:xfrm>
                            <a:off x="0" y="0"/>
                            <a:ext cx="831850" cy="61912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1、双层收纳柜：小班规格：90*30*60cm；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二层分布每格空24.7*86.4cm；2层设计，柜体两侧边板留有开孔，内嵌塑料拉手规格10*2*3.5cm，方便搬动，底部带有塑料防潮脚垫。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shd w:val="clear" w:color="auto" w:fill="FFFFFF"/>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生活操作台B</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24230" cy="824230"/>
                  <wp:effectExtent l="0" t="0" r="1397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6"/>
                          <a:stretch>
                            <a:fillRect/>
                          </a:stretch>
                        </pic:blipFill>
                        <pic:spPr>
                          <a:xfrm>
                            <a:off x="0" y="0"/>
                            <a:ext cx="824230" cy="824230"/>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1、规格：150*60*55cm  （含人造石）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shd w:val="clear" w:color="auto" w:fill="FFFFFF"/>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生活展示柜</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23595" cy="649605"/>
                  <wp:effectExtent l="0" t="0" r="146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7"/>
                          <a:stretch>
                            <a:fillRect/>
                          </a:stretch>
                        </pic:blipFill>
                        <pic:spPr>
                          <a:xfrm>
                            <a:off x="0" y="0"/>
                            <a:ext cx="823595" cy="64960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1、规格：220*45*103cm；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5</w:t>
            </w:r>
          </w:p>
        </w:tc>
        <w:tc>
          <w:tcPr>
            <w:tcW w:w="0" w:type="auto"/>
            <w:shd w:val="clear" w:color="auto" w:fill="FFFFFF"/>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展示架</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09625" cy="733425"/>
                  <wp:effectExtent l="0" t="0" r="9525" b="9525"/>
                  <wp:docPr id="226" name="图片 6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63" descr="IMG_260"/>
                          <pic:cNvPicPr>
                            <a:picLocks noChangeAspect="1"/>
                          </pic:cNvPicPr>
                        </pic:nvPicPr>
                        <pic:blipFill>
                          <a:blip r:embed="rId88"/>
                          <a:stretch>
                            <a:fillRect/>
                          </a:stretch>
                        </pic:blipFill>
                        <pic:spPr>
                          <a:xfrm>
                            <a:off x="0" y="0"/>
                            <a:ext cx="809625" cy="7334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1、规格：110*40*120cm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生活操作台A</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14400" cy="457200"/>
                  <wp:effectExtent l="0" t="0" r="0" b="0"/>
                  <wp:docPr id="227" name="图片 6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64" descr="IMG_261"/>
                          <pic:cNvPicPr>
                            <a:picLocks noChangeAspect="1"/>
                          </pic:cNvPicPr>
                        </pic:nvPicPr>
                        <pic:blipFill>
                          <a:blip r:embed="rId89"/>
                          <a:stretch>
                            <a:fillRect/>
                          </a:stretch>
                        </pic:blipFill>
                        <pic:spPr>
                          <a:xfrm>
                            <a:off x="0" y="0"/>
                            <a:ext cx="914400" cy="457200"/>
                          </a:xfrm>
                          <a:prstGeom prst="rect">
                            <a:avLst/>
                          </a:prstGeom>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1、规格：160*60*55cm  （含人造石）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7</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桌椅组合</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753745" cy="542925"/>
                  <wp:effectExtent l="0" t="0" r="825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0"/>
                          <a:stretch>
                            <a:fillRect/>
                          </a:stretch>
                        </pic:blipFill>
                        <pic:spPr>
                          <a:xfrm>
                            <a:off x="0" y="0"/>
                            <a:ext cx="753745" cy="54292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1、规格7件套，其中桌子：200*100*55cm 1张，凳子：90*30*30cm6张，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2、材质：木材采用双面无结橡胶木指接板，桌脚6*6cm，椅子脚5*5cm面板1.8cm，橡胶木材质稳定，不易变形、含水率和甲醛释放量符合相关国家标准要求。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儿童桌</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46455" cy="930910"/>
                  <wp:effectExtent l="0" t="0" r="10795" b="2540"/>
                  <wp:docPr id="170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 name="图片 1"/>
                          <pic:cNvPicPr>
                            <a:picLocks noChangeAspect="1"/>
                          </pic:cNvPicPr>
                        </pic:nvPicPr>
                        <pic:blipFill>
                          <a:blip r:embed="rId91"/>
                          <a:stretch>
                            <a:fillRect/>
                          </a:stretch>
                        </pic:blipFill>
                        <pic:spPr>
                          <a:xfrm>
                            <a:off x="0" y="0"/>
                            <a:ext cx="846455" cy="93091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规格：90*74*39/42/45cm（三档高度可调节）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1、桌面采用厚度18mm桦木纹实木多层板，自然木色，表面耐磨、耐污、耐划伤，易清洁，饰面板甲醛释放量符合国家相关标准要求。◆（提供第三方检测机构出具的原材料多层板符合JC/T 2039-2010检测报告，检测内容至少须含：抗霉菌0级（检测内容须含：黑曲霉、土曲霉、宛氏拟青霉、绳状青霉、出芽短梗霉、球毛壳霉））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2、桌面四周采用环保TPR材质包边，包边厚度36.5mm，注塑一体成型无缝隙，具有安全防碰撞、防水、防脱落等性能，经久耐用，安全环保。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3、桌腿采用直径48mm桦木实木，表面采用环保安全水性漆喷涂，经久耐用，不易黄变，耐霉菌性能好，涂层不起泡不剥落。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4、桌面背面设置有4个多瓣造型连接件，安装稳固不易晃动。桌脚底部配有高度30mm/个的ABS旋钮，可调节高度，旋钮底部加装TPR脚垫，具体防滑耐磨性能。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5、五金件选用环保五金。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6、产品全面采用圆角设计，安全缝隙和孔洞设计均符合GB/T 43002-2023标准要求。产品符合HJ2547-2016《环境标志产品技术要求 家具》的标准要求。◆提供第三方检测机构出具的儿童桌符合GB/T 43002-2023、QB/T4371-2012标准的检测报告，检测内容含：木制件外观、木工要求、漆膜外观要求、理化性能要求、甲醛释放量（未检出）、苯（未检出）、甲苯（未检出）、二甲苯（未检出）、总挥发性有机物（未检出）、稳定性试验、强度和耐久性试验、抑菌率&gt;99%（检测内容须含：金黄色葡萄球菌、白色念珠菌、大肠杆菌））</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9</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正方桌</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857250" cy="714375"/>
                  <wp:effectExtent l="0" t="0" r="0" b="9525"/>
                  <wp:docPr id="230" name="图片 6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7" descr="IMG_264"/>
                          <pic:cNvPicPr>
                            <a:picLocks noChangeAspect="1"/>
                          </pic:cNvPicPr>
                        </pic:nvPicPr>
                        <pic:blipFill>
                          <a:blip r:embed="rId92"/>
                          <a:stretch>
                            <a:fillRect/>
                          </a:stretch>
                        </pic:blipFill>
                        <pic:spPr>
                          <a:xfrm>
                            <a:off x="0" y="0"/>
                            <a:ext cx="857250" cy="714375"/>
                          </a:xfrm>
                          <a:prstGeom prst="rect">
                            <a:avLst/>
                          </a:prstGeom>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1、规格:60*60*54cm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2、材质：桌面采用厚度1.8cm双面无结橡胶木指接板，桌腿及边框采用实木橡胶木；橡胶木材质稳定，抗菌、防霉、不易变形、含水率和甲醛释放量符合相关国家标准要求。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桌脚厚度5*5cm，边框2.2*7.5cm，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5、连接件：桌脚与桌面之间采用三角铁和防松螺母固定连接，安装简易，表面经防锈处理，耐磨损，抗腐蚀符合国家相关标准要求。（◆提供第三方检测机构出具的三角铁、防松螺母符合GB/T 230.1-2018、GB/T 228.2-2015标准检测报告：检测内容含：硬度、抗拉强度、规定塑性延伸强度、断后伸长率）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儿童椅</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777240" cy="915670"/>
                  <wp:effectExtent l="0" t="0" r="3810"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3"/>
                          <a:stretch>
                            <a:fillRect/>
                          </a:stretch>
                        </pic:blipFill>
                        <pic:spPr>
                          <a:xfrm>
                            <a:off x="0" y="0"/>
                            <a:ext cx="777240" cy="915670"/>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1、规格28*29*28cm；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椅面采用厚度1.8cm双面无结橡胶木指接板，靠背及椅子腿采用实木橡胶木，橡胶木材质稳定，抗菌、防霉、不易变形、含水率和甲醛释放量符合相关国家标准要求。◆（提供第三方检测机构出具的原材料橡胶木符合JC/T 2039-2010检测报告，检测内容至少须含：甲醛释放量、抗霉菌0级（检测内容须含：黑曲霉、土曲霉、宛氏拟青霉、绳状青霉、出芽短梗霉、球毛壳霉））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5、产品：靠背尺寸为23.5*1.8*8.5cm拆装式设计，椅子后脚5*2.2cm，前脚4*2.2cm，椅子四周小撑杆2*1.6cm ，其中靠背及后脚均带弧形；产品边角安全圆角处理，能减少磕碰的意外，外观要求、理化性能要求、结构安全、有害物质限量（可迁移元素、甲醛释放量等）、力学性能、警示标识等符合国家相关标准要求；◆提供第三方检测机构出具的儿童椅符合GB/T 43002-2023、QB/T4371-2012标准的检测报告，检测内容含：木制件外观、木工要求、漆膜外观要求、理化性能要求、甲醛释放量（未检出）、苯（未检出）、甲苯（未检出）、二甲苯（未检出）、总挥发性有机物（未检出）、稳定性试验、强度和耐久性试验、抑菌率&gt;99%（检测内容须含：金黄色葡萄球菌、白色念珠菌、大肠杆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6、其他：椅子设计符合人体工程力学，充分结合人机功能学；设计美观舒适温馨；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28</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墙面4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62025" cy="581025"/>
                  <wp:effectExtent l="0" t="0" r="9525" b="9525"/>
                  <wp:docPr id="232" name="图片 6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69" descr="IMG_266"/>
                          <pic:cNvPicPr>
                            <a:picLocks noChangeAspect="1"/>
                          </pic:cNvPicPr>
                        </pic:nvPicPr>
                        <pic:blipFill>
                          <a:blip r:embed="rId94"/>
                          <a:stretch>
                            <a:fillRect/>
                          </a:stretch>
                        </pic:blipFill>
                        <pic:spPr>
                          <a:xfrm>
                            <a:off x="0" y="0"/>
                            <a:ext cx="962025" cy="581025"/>
                          </a:xfrm>
                          <a:prstGeom prst="rect">
                            <a:avLst/>
                          </a:prstGeom>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4.8米*0.9米高+配置方案，产品材质：木制、勾面材料、防水藤编、绒布等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配置：总配件数41件。包含30x16x1.2勾面木板3块，60x16x1.2cm勾面木板3块，1米软管6根，毛面粘粘管套6个。装饰顶3个，其中浅蓝色半圆装饰顶1个，黄色三角装饰顶1个，湖蓝梯形装饰顶1个。彩色粘粘布1包。木球6个，彩色软球12个，方形收纳提篮1个。◆投标时提供攀攀小象产品符合GB6675.1-2014《玩具安全第1部分：基本规范》、GB6675.2-2014《玩具安全第2部分：机械与物理性能》、GB6675.3-2014《玩具安全第3部分：燃烧性能》、GB6675.4-2014《玩具安全第4部分：特定元素的迁移》的检测报告，提供第三方玩具质量监督检验中心的检测报告彩色扫描件加盖公章。一套，产品材质：木制底板、勾面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产品尺寸：60x30cm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（每6张配彩色粘粘布1包）9块，产品材质：金属、硅胶、布艺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产品配置：总配件数11件。包含磁性粘粘板2块（25x25cm），彩色粘粘布6张（29.4x24.2cm）。布艺剪影2包，剪影尺寸最小3.5cm,最大为7cm，35x35x7.5cm收纳藤条筐1个。2套，产品材质：EVA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产品尺寸：60x60x1cm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产品配置：绒面地板垫1张。多张地垫可拼接组合使用。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cs="宋体"/>
                <w:b/>
                <w:bCs/>
                <w:i w:val="0"/>
                <w:iCs w:val="0"/>
                <w:color w:val="auto"/>
                <w:kern w:val="0"/>
                <w:sz w:val="28"/>
                <w:szCs w:val="28"/>
                <w:highlight w:val="none"/>
                <w:u w:val="none"/>
                <w:lang w:val="en-US" w:eastAsia="zh-CN" w:bidi="ar"/>
              </w:rPr>
              <w:t>科学教室</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2"/>
                <w:szCs w:val="22"/>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建构组合柜</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755650" cy="782955"/>
                  <wp:effectExtent l="0" t="0" r="6350" b="171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5"/>
                          <a:stretch>
                            <a:fillRect/>
                          </a:stretch>
                        </pic:blipFill>
                        <pic:spPr>
                          <a:xfrm>
                            <a:off x="0" y="0"/>
                            <a:ext cx="755650" cy="78295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、建构组合柜规格：90*30*126cm；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2、材质：柜体板面采用厚度1.8cm双面无结橡胶木，橡胶木材质稳定，不易变形、含水率和甲醛释放量符合</w:t>
            </w:r>
            <w:r>
              <w:rPr>
                <w:rFonts w:hint="eastAsia" w:ascii="宋体" w:hAnsi="宋体" w:cs="宋体"/>
                <w:i w:val="0"/>
                <w:iCs w:val="0"/>
                <w:color w:val="auto"/>
                <w:kern w:val="0"/>
                <w:sz w:val="22"/>
                <w:szCs w:val="22"/>
                <w:highlight w:val="none"/>
                <w:u w:val="none"/>
                <w:lang w:val="en-US" w:eastAsia="zh-CN" w:bidi="ar"/>
              </w:rPr>
              <w:t>国家相关标准</w:t>
            </w:r>
            <w:r>
              <w:rPr>
                <w:rFonts w:hint="eastAsia" w:ascii="宋体" w:hAnsi="宋体" w:eastAsia="宋体" w:cs="宋体"/>
                <w:i w:val="0"/>
                <w:iCs w:val="0"/>
                <w:color w:val="auto"/>
                <w:kern w:val="0"/>
                <w:sz w:val="22"/>
                <w:szCs w:val="22"/>
                <w:highlight w:val="none"/>
                <w:u w:val="none"/>
                <w:lang w:val="en-US" w:eastAsia="zh-CN" w:bidi="ar"/>
              </w:rPr>
              <w:t>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层为洞洞板可拼插积木，下层为四格分布；底部带有塑料防潮脚垫。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5、连接件：柜体面板跟侧板采用二合一连接件连接，其余部分采用木牙螺丝组装，上造型部分跟柜体连接处采用子母螺丝；（◆提供第三方检测机构出具的子母螺丝符合GB/T 230.1-2018、GB/T 3098.13-1996、GB/T 228.2-2015标准检测报告，检测内容含：硬度、破坏扭矩、抗拉强度、规定塑性延伸强度、断后伸长率）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透明美术桌椅</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762000" cy="619125"/>
                  <wp:effectExtent l="0" t="0" r="0" b="952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96"/>
                          <a:stretch>
                            <a:fillRect/>
                          </a:stretch>
                        </pic:blipFill>
                        <pic:spPr>
                          <a:xfrm>
                            <a:off x="0" y="0"/>
                            <a:ext cx="762000" cy="61912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1、规格3件套，其中桌子规格120*100*55cm1张，凳子120*30*30cm2张，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木材采用双面无结橡胶木指接板，上层桌面为耐力板，厚度0.8cm，可涂鸦，木板厚度1.8cm两侧通透，桌脚6*6cm，椅子脚5*5cm面板1.8cm；橡胶木材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3</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电磁主题桌</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drawing>
                <wp:inline distT="0" distB="0" distL="114300" distR="114300">
                  <wp:extent cx="824230" cy="840740"/>
                  <wp:effectExtent l="0" t="0" r="13970" b="16510"/>
                  <wp:docPr id="299" name="图片 8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88" descr="IMG_258"/>
                          <pic:cNvPicPr>
                            <a:picLocks noChangeAspect="1"/>
                          </pic:cNvPicPr>
                        </pic:nvPicPr>
                        <pic:blipFill>
                          <a:blip r:embed="rId97"/>
                          <a:stretch>
                            <a:fillRect/>
                          </a:stretch>
                        </pic:blipFill>
                        <pic:spPr>
                          <a:xfrm>
                            <a:off x="0" y="0"/>
                            <a:ext cx="824230" cy="84074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尺寸：160×108×120cm。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1、主材采用18mm厚优质双贴面胶合板，饰面胶合板甲醛释放量符合GB/T 39600-2021标准要求。挡条部分板材采用9mm厚优质双面贴枫木胶合板，桌面磁铁滑道采用30mm厚优质新西兰松木实木。桌面储物板材采用15mm厚优质双面贴枫木胶合板。桌面玩具部件采用12mm厚优质双面贴枫木胶合板，配置3mm厚透明亚克力镜和3mm厚密度板附带磁铁、钢珠等玩具，亚克力板雾度、透光率符合GB/T 2410-2008标准要求。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3、五金件选用环保五金，安全无毒，稳固不松动，镉、铅、汞、六价铬含量符合GB/T 26572-2011标准要求。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采用双贴面工艺，保持颜色一致、无色差及表面光滑平整的同时，具有更好地耐磨、耐污、耐划伤性能，易清洁，美观实用。边角安全防撞设计，充分参考相关标准的要求，对所有的外露面、外露角进行弧状倒角设计，避免锐角的产生，最大程度的避免儿童磕碰伤害。安全缝隙和孔洞符合国家标准的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力与机械主题桌</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drawing>
                <wp:inline distT="0" distB="0" distL="114300" distR="114300">
                  <wp:extent cx="788035" cy="718185"/>
                  <wp:effectExtent l="0" t="0" r="12065" b="5715"/>
                  <wp:docPr id="300" name="图片 8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89" descr="IMG_259"/>
                          <pic:cNvPicPr>
                            <a:picLocks noChangeAspect="1"/>
                          </pic:cNvPicPr>
                        </pic:nvPicPr>
                        <pic:blipFill>
                          <a:blip r:embed="rId98"/>
                          <a:stretch>
                            <a:fillRect/>
                          </a:stretch>
                        </pic:blipFill>
                        <pic:spPr>
                          <a:xfrm>
                            <a:off x="0" y="0"/>
                            <a:ext cx="788035" cy="71818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尺寸：160×108×120cm。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1、主材采用18mm厚优质双贴胶合板，饰面胶合板甲醛释放量符合GB/T 39600-2021标准要求。滑坡斜条采用9mm厚优质双面贴枫木胶合板，桌面拉力臂部分采用15mm厚优质双面贴枫木胶合板，连接处使用直径27mm橡胶木圆木棒。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3、五金件选用环保五金，安全无毒，稳固不松动，镉、铅、汞、六价铬含量符合GB/T 26572-2011标准要求。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采用双贴面工艺，保持颜色一致、无色差及表面光滑平整的同时，具有更好地耐磨、耐污、耐划伤性能，易清洁，美观实用。边角安全防撞设计，充分参考相关标准的要求，对所有的外露面、外露角进行弧状倒角设计，避免锐角的产生，最大程度的避免儿童磕碰伤害。安全缝隙和孔洞符合国家标准的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5</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空气与水主题桌</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drawing>
                <wp:inline distT="0" distB="0" distL="114300" distR="114300">
                  <wp:extent cx="805180" cy="764540"/>
                  <wp:effectExtent l="0" t="0" r="13970" b="16510"/>
                  <wp:docPr id="301" name="图片 9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90" descr="IMG_260"/>
                          <pic:cNvPicPr>
                            <a:picLocks noChangeAspect="1"/>
                          </pic:cNvPicPr>
                        </pic:nvPicPr>
                        <pic:blipFill>
                          <a:blip r:embed="rId99"/>
                          <a:stretch>
                            <a:fillRect/>
                          </a:stretch>
                        </pic:blipFill>
                        <pic:spPr>
                          <a:xfrm>
                            <a:off x="0" y="0"/>
                            <a:ext cx="805180" cy="76454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尺寸：160×108×107cm。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主材采用18mm厚优质双贴胶合板，甲醛释放量符合 GB/T39600-2021标准要求。桌面配有一块400*250mm尺寸的透明亚克力镜，雾度、透光率符合GB/T 2410-2008标准要求。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五金件选用环保五金，安全无毒，稳固不松动，镉、铅、汞、六价铬含量符合GB/T 26572-2011标准要求。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全面采用圆角设计，结构稳固，不易倾倒，符合国家标准的要求。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6</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声光主题桌</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drawing>
                <wp:inline distT="0" distB="0" distL="114300" distR="114300">
                  <wp:extent cx="660400" cy="648335"/>
                  <wp:effectExtent l="0" t="0" r="6350" b="18415"/>
                  <wp:docPr id="302" name="图片 9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91" descr="IMG_261"/>
                          <pic:cNvPicPr>
                            <a:picLocks noChangeAspect="1"/>
                          </pic:cNvPicPr>
                        </pic:nvPicPr>
                        <pic:blipFill>
                          <a:blip r:embed="rId100"/>
                          <a:stretch>
                            <a:fillRect/>
                          </a:stretch>
                        </pic:blipFill>
                        <pic:spPr>
                          <a:xfrm>
                            <a:off x="0" y="0"/>
                            <a:ext cx="660400" cy="64833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尺寸：160×108.2×120cm。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主材采用18mm厚优质双贴胶合板，甲醛释放量符合 GB/T39600-2021标准要求。桌面部分板材采用12mm厚优质双面贴枫木胶合板，桌面配有一块530*380mmLED灯板，侧板贴有一块458*458mm白铁皮，另配有三块亚克力镜子贴于板材上，亚克力雾度、透光率符合GB/T 2410-2008标准要求。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GB/T 27811-2011标准要求。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五金件选用环保五金，安全无毒，稳固不松动，镉、铅、汞、六价铬含量符合GB/T 26572-2011标准要求。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全面采用圆角设计，结构稳固，不易倾倒，符合国家标准的要求。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7</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三层收纳柜</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638175" cy="561975"/>
                  <wp:effectExtent l="0" t="0" r="9525" b="952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01"/>
                          <a:stretch>
                            <a:fillRect/>
                          </a:stretch>
                        </pic:blipFill>
                        <pic:spPr>
                          <a:xfrm>
                            <a:off x="0" y="0"/>
                            <a:ext cx="638175" cy="56197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 规格:90*30*60cm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其中内径高15.9cm，宽86.4cm厚度1.8cm；3层设计，柜体两侧边板留有开孔，内嵌塑料拉手规格10*2*3.5cm，方便搬动，底部带有塑料防潮脚垫。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8</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火箭组合柜</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drawing>
                <wp:inline distT="0" distB="0" distL="114300" distR="114300">
                  <wp:extent cx="981075" cy="733425"/>
                  <wp:effectExtent l="0" t="0" r="9525" b="9525"/>
                  <wp:docPr id="304" name="图片 9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93" descr="IMG_263"/>
                          <pic:cNvPicPr>
                            <a:picLocks noChangeAspect="1"/>
                          </pic:cNvPicPr>
                        </pic:nvPicPr>
                        <pic:blipFill>
                          <a:blip r:embed="rId102"/>
                          <a:stretch>
                            <a:fillRect/>
                          </a:stretch>
                        </pic:blipFill>
                        <pic:spPr>
                          <a:xfrm>
                            <a:off x="0" y="0"/>
                            <a:ext cx="981075" cy="733425"/>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1、规格：五件套；其中：a 60*35*110cm2个， b 100*35*88cm  2个，         c 100*35*88cm  1个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2、材质：主体材料实木多层板白色环保水性漆，厚度1.8cm，木质稳定，不易变形、含水率和甲醛释放量符合相关国家标准要求。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9</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儿童椅</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843915" cy="989965"/>
                  <wp:effectExtent l="0" t="0" r="13335" b="63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03"/>
                          <a:stretch>
                            <a:fillRect/>
                          </a:stretch>
                        </pic:blipFill>
                        <pic:spPr>
                          <a:xfrm>
                            <a:off x="0" y="0"/>
                            <a:ext cx="843915" cy="98996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1、规格28*29*28cm；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2、材质：椅面采用厚度1.8cm双面无结橡胶木指接板，靠背及椅子腿采用实木橡胶木，橡胶木材质稳定，抗菌、防霉、不易变形、含水率和甲醛释放量符合相关国家标准要求。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4、螺丝：采用优质环保五金，稳固不松动，五金表面经防锈处理，耐磨损，抗腐蚀符合国家相关标准要求；（◆螺丝符合GB/T 230.1-2018、GB/T 3098.13-1996、GB/T 228.2-2015标准检测报告：提供投标人或所投产品的生产企业由第三方检测机构出具的带有 CMA 或 CNAS 标识的检测报告，检测内容含：硬度、破坏扭矩、抗拉强度、规定塑性延伸强度、断后伸长率）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5、产品：靠背尺寸为23.5*1.8*8.5cm拆装式设计，椅子后脚5*2.2cm，前脚4*2.2cm，椅子四周小撑杆2*1.6cm ，其中靠背及后脚均带弧形；产品边角安全圆角处理，能减少磕碰的意外，外观要求、理化性能要求、结构安全、有害物质限量（可迁移元素、甲醛释放量等）、力学性能、警示标识等符合国家相关标准要求；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6、其他：椅子设计符合人体工程力学，充分结合人机功能学；设计美观舒适温馨；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10</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科学展示柜</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628650" cy="69532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04"/>
                          <a:stretch>
                            <a:fillRect/>
                          </a:stretch>
                        </pic:blipFill>
                        <pic:spPr>
                          <a:xfrm>
                            <a:off x="0" y="0"/>
                            <a:ext cx="628650" cy="69532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1、规格：90*30*90cm；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4</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11</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双层柜</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514350" cy="552450"/>
                  <wp:effectExtent l="0" t="0" r="0"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05"/>
                          <a:stretch>
                            <a:fillRect/>
                          </a:stretch>
                        </pic:blipFill>
                        <pic:spPr>
                          <a:xfrm>
                            <a:off x="0" y="0"/>
                            <a:ext cx="514350" cy="552450"/>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1、规格:60*30*60cm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2层设计，柜体两侧边板留有开孔，内嵌塑料拉手规格10*2*3.5cm，方便搬动，底部带有塑料防潮脚垫。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5、连接件：柜体面板跟侧板采用二合一连接件连接，其余部分采用木牙螺丝组装；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2</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12</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木制植物架</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657225" cy="685800"/>
                  <wp:effectExtent l="0" t="0" r="9525"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106"/>
                          <a:stretch>
                            <a:fillRect/>
                          </a:stretch>
                        </pic:blipFill>
                        <pic:spPr>
                          <a:xfrm>
                            <a:off x="0" y="0"/>
                            <a:ext cx="657225" cy="685800"/>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1、规格:100*40*90cm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2、材质：植物架采用厚度1.8cm双面无结橡胶木指接板，橡胶木材质稳定，抗菌、防霉，不易变形、含水率和甲醛释放量符合相关国家标准要求。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6、其他：保留原木色设计，让小朋友更加接近大自然，简约设计实用性强，视觉感更温馨；</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13</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洞洞板功能区</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638175" cy="676275"/>
                  <wp:effectExtent l="0" t="0" r="9525" b="952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107"/>
                          <a:stretch>
                            <a:fillRect/>
                          </a:stretch>
                        </pic:blipFill>
                        <pic:spPr>
                          <a:xfrm>
                            <a:off x="0" y="0"/>
                            <a:ext cx="638175" cy="676275"/>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34290"/>
                  <wp:effectExtent l="0" t="0" r="10160" b="3810"/>
                  <wp:wrapNone/>
                  <wp:docPr id="280" name="图片_5"/>
                  <wp:cNvGraphicFramePr/>
                  <a:graphic xmlns:a="http://schemas.openxmlformats.org/drawingml/2006/main">
                    <a:graphicData uri="http://schemas.openxmlformats.org/drawingml/2006/picture">
                      <pic:pic xmlns:pic="http://schemas.openxmlformats.org/drawingml/2006/picture">
                        <pic:nvPicPr>
                          <pic:cNvPr id="280" name="图片_5"/>
                          <pic:cNvPicPr/>
                        </pic:nvPicPr>
                        <pic:blipFill>
                          <a:blip r:embed="rId37"/>
                          <a:stretch>
                            <a:fillRect/>
                          </a:stretch>
                        </pic:blipFill>
                        <pic:spPr>
                          <a:xfrm>
                            <a:off x="0" y="0"/>
                            <a:ext cx="8890" cy="3429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51765"/>
                  <wp:effectExtent l="0" t="0" r="10160" b="635"/>
                  <wp:wrapNone/>
                  <wp:docPr id="281" name="图片_21"/>
                  <wp:cNvGraphicFramePr/>
                  <a:graphic xmlns:a="http://schemas.openxmlformats.org/drawingml/2006/main">
                    <a:graphicData uri="http://schemas.openxmlformats.org/drawingml/2006/picture">
                      <pic:pic xmlns:pic="http://schemas.openxmlformats.org/drawingml/2006/picture">
                        <pic:nvPicPr>
                          <pic:cNvPr id="281" name="图片_21"/>
                          <pic:cNvPicPr/>
                        </pic:nvPicPr>
                        <pic:blipFill>
                          <a:blip r:embed="rId108"/>
                          <a:stretch>
                            <a:fillRect/>
                          </a:stretch>
                        </pic:blipFill>
                        <pic:spPr>
                          <a:xfrm>
                            <a:off x="0" y="0"/>
                            <a:ext cx="8890" cy="1517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255270"/>
                  <wp:effectExtent l="0" t="0" r="10160" b="11430"/>
                  <wp:wrapNone/>
                  <wp:docPr id="282" name="图片_31"/>
                  <wp:cNvGraphicFramePr/>
                  <a:graphic xmlns:a="http://schemas.openxmlformats.org/drawingml/2006/main">
                    <a:graphicData uri="http://schemas.openxmlformats.org/drawingml/2006/picture">
                      <pic:pic xmlns:pic="http://schemas.openxmlformats.org/drawingml/2006/picture">
                        <pic:nvPicPr>
                          <pic:cNvPr id="282" name="图片_31"/>
                          <pic:cNvPicPr/>
                        </pic:nvPicPr>
                        <pic:blipFill>
                          <a:blip r:embed="rId109"/>
                          <a:stretch>
                            <a:fillRect/>
                          </a:stretch>
                        </pic:blipFill>
                        <pic:spPr>
                          <a:xfrm>
                            <a:off x="0" y="0"/>
                            <a:ext cx="8890" cy="25527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1、约10平方，定制，含洞洞板，插销棍，层板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2、材质：主体材质桦木多层板，木质稳定，抗菌、防霉，不易变形、含水率和甲醛释放量符合相关国家标准要求。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3、产品：产品外观要求、理化性能要求、结构安全、有害物质限量（可迁移元素、甲醛释放量等）、力学性能、警示标识等符合国家相关标准要求；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5、螺丝：采用优质环保五金，稳固不松动，五金表面经防锈处理，耐磨损，抗腐蚀符合国家相关标准要求；</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1</w:t>
            </w:r>
          </w:p>
        </w:tc>
        <w:tc>
          <w:tcPr>
            <w:tcW w:w="0" w:type="auto"/>
            <w:shd w:val="clear" w:color="auto" w:fill="auto"/>
            <w:vAlign w:val="center"/>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lang w:val="en-US" w:eastAsia="zh-CN" w:bidi="ar"/>
              </w:rPr>
              <w:t>大型磁力思维积木（标准版）</w:t>
            </w: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r>
              <w:rPr>
                <w:rFonts w:hint="default"/>
                <w:color w:val="auto"/>
                <w:highlight w:val="none"/>
              </w:rPr>
              <w:drawing>
                <wp:inline distT="0" distB="0" distL="114300" distR="114300">
                  <wp:extent cx="1026160" cy="744220"/>
                  <wp:effectExtent l="0" t="0" r="2540" b="1778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110"/>
                          <a:stretch>
                            <a:fillRect/>
                          </a:stretch>
                        </pic:blipFill>
                        <pic:spPr>
                          <a:xfrm>
                            <a:off x="0" y="0"/>
                            <a:ext cx="1026160" cy="744220"/>
                          </a:xfrm>
                          <a:prstGeom prst="rect">
                            <a:avLst/>
                          </a:prstGeom>
                          <a:noFill/>
                          <a:ln>
                            <a:noFill/>
                          </a:ln>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配件数量：639件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装箱数：22箱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主体材质：EPP、ABS、EVA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主要配件：大型磁力积木、辅助游戏材料、移动组合材料、游戏卡片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应用场景：幼儿园户外自主游戏区、建构区、主题游戏区；室内公共区域、主题活动室、音乐厅等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产品特点：1、基于“零起点·⾼发展”的理念，⼤世界在开放、融合、多样、⾼效的室内外多场景环创与游戏空间的⽅案下，辅以轻便、 灵活、动态的⼤型磁⼒思维积⽊，通过“⼀套材料、千种游戏、万种玩法”，让⼉童浸润在美育、情境、游戏三者整合的动态“⼤世界”⾥，进⾏持续地探索、合作与创造，⽀持每位⼉童的完整发展，以及对环境与⾃身从混沌状态到美好状态的转变，⽣发出独特的⼈⽂情怀与审美素养。2、材料本身采用食品级EPP和高性能ABS材料打造，环保绿色无毒，材质轻便，孩子可自主收纳，耐脏易洗，一冲即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教辅材料：《大世界—教师指导手册》、《建构游戏图卡》、《规则游戏图卡》、《运动游戏图卡》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◆投标时提供大型磁力思维积木产品符合GB6675.2-2014《玩具安全第2部分：机械与物理性能》、GB6675.3-2014《玩具安全第3部分：燃烧性能》、GB6675.4-2014《玩具安全第4部分：特定元素的迁移》、邻苯二甲酸酯– GB 6675.1-2014 玩具安全–第1部分:基本规范的检测报告，提供第三方玩具质量监督检验中心的检测报告彩色扫描件加盖公章；</w:t>
            </w:r>
          </w:p>
        </w:tc>
        <w:tc>
          <w:tcPr>
            <w:tcW w:w="0" w:type="auto"/>
            <w:shd w:val="clear" w:color="auto" w:fill="auto"/>
          </w:tcPr>
          <w:p>
            <w:pPr>
              <w:keepNext w:val="0"/>
              <w:keepLines w:val="0"/>
              <w:widowControl/>
              <w:suppressLineNumbers w:val="0"/>
              <w:adjustRightIn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lang w:val="en-US" w:eastAsia="zh-CN" w:bidi="ar-SA"/>
              </w:rPr>
            </w:pPr>
          </w:p>
        </w:tc>
        <w:tc>
          <w:tcPr>
            <w:tcW w:w="0" w:type="auto"/>
            <w:shd w:val="clear" w:color="auto" w:fill="auto"/>
          </w:tcPr>
          <w:p>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2"/>
                <w:szCs w:val="22"/>
                <w:highlight w:val="none"/>
                <w:lang w:val="en-US" w:eastAsia="zh-CN" w:bidi="ar-SA"/>
              </w:rPr>
            </w:pPr>
          </w:p>
        </w:tc>
      </w:tr>
    </w:tbl>
    <w:p>
      <w:pPr>
        <w:rPr>
          <w:rFonts w:hint="eastAsia"/>
          <w:color w:val="auto"/>
          <w:highlight w:val="none"/>
          <w:lang w:val="en-US" w:eastAsia="zh-CN"/>
        </w:rPr>
      </w:pPr>
    </w:p>
    <w:p>
      <w:pPr>
        <w:widowControl/>
        <w:spacing w:line="440" w:lineRule="exact"/>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二、商务需求</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2.1交货时间及地点：</w:t>
      </w:r>
    </w:p>
    <w:p>
      <w:pPr>
        <w:widowControl/>
        <w:spacing w:after="200"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▲2.1.1</w:t>
      </w:r>
      <w:r>
        <w:rPr>
          <w:rFonts w:hint="eastAsia" w:ascii="宋体" w:hAnsi="宋体" w:cs="宋体"/>
          <w:b/>
          <w:bCs/>
          <w:color w:val="auto"/>
          <w:kern w:val="0"/>
          <w:sz w:val="24"/>
          <w:highlight w:val="none"/>
          <w:lang w:val="en-US" w:eastAsia="zh-CN"/>
        </w:rPr>
        <w:t>成交</w:t>
      </w:r>
      <w:r>
        <w:rPr>
          <w:rFonts w:hint="eastAsia" w:ascii="宋体" w:hAnsi="宋体" w:cs="宋体"/>
          <w:b/>
          <w:bCs/>
          <w:color w:val="auto"/>
          <w:kern w:val="0"/>
          <w:sz w:val="24"/>
          <w:highlight w:val="none"/>
        </w:rPr>
        <w:t>人应在合同签订后</w:t>
      </w:r>
      <w:r>
        <w:rPr>
          <w:rFonts w:hint="eastAsia" w:ascii="宋体" w:hAnsi="宋体" w:cs="宋体"/>
          <w:b/>
          <w:bCs/>
          <w:color w:val="auto"/>
          <w:kern w:val="0"/>
          <w:sz w:val="24"/>
          <w:highlight w:val="none"/>
          <w:lang w:val="en-US" w:eastAsia="zh-CN"/>
        </w:rPr>
        <w:t>30</w:t>
      </w:r>
      <w:r>
        <w:rPr>
          <w:rFonts w:hint="eastAsia" w:ascii="宋体" w:hAnsi="宋体" w:cs="宋体"/>
          <w:b/>
          <w:bCs/>
          <w:color w:val="auto"/>
          <w:kern w:val="0"/>
          <w:sz w:val="24"/>
          <w:highlight w:val="none"/>
        </w:rPr>
        <w:t>日历天内完成供货、安装、调试工作。</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交货地点：采购人指定地点。</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2.1.2</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物品，</w:t>
      </w:r>
      <w:r>
        <w:rPr>
          <w:rFonts w:hint="eastAsia" w:ascii="宋体" w:hAnsi="宋体" w:cs="宋体"/>
          <w:color w:val="auto"/>
          <w:kern w:val="0"/>
          <w:sz w:val="24"/>
          <w:highlight w:val="none"/>
          <w:lang w:val="en-US" w:eastAsia="zh-CN"/>
        </w:rPr>
        <w:t>需</w:t>
      </w:r>
      <w:r>
        <w:rPr>
          <w:rFonts w:hint="eastAsia" w:ascii="宋体" w:hAnsi="宋体" w:cs="宋体"/>
          <w:color w:val="auto"/>
          <w:kern w:val="0"/>
          <w:sz w:val="24"/>
          <w:highlight w:val="none"/>
        </w:rPr>
        <w:t>符合本</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rPr>
        <w:t>文件要求</w:t>
      </w:r>
      <w:r>
        <w:rPr>
          <w:rFonts w:hint="eastAsia" w:ascii="宋体" w:hAnsi="宋体" w:cs="宋体"/>
          <w:color w:val="auto"/>
          <w:kern w:val="0"/>
          <w:sz w:val="24"/>
          <w:highlight w:val="none"/>
          <w:lang w:val="en-US" w:eastAsia="zh-CN"/>
        </w:rPr>
        <w:t>及响应文件响应要求</w:t>
      </w:r>
      <w:r>
        <w:rPr>
          <w:rFonts w:hint="eastAsia" w:ascii="宋体" w:hAnsi="宋体" w:cs="宋体"/>
          <w:color w:val="auto"/>
          <w:kern w:val="0"/>
          <w:sz w:val="24"/>
          <w:highlight w:val="none"/>
        </w:rPr>
        <w:t>、原包装送达采购单位；如有不符，采购人</w:t>
      </w:r>
      <w:r>
        <w:rPr>
          <w:rFonts w:hint="eastAsia" w:ascii="宋体" w:hAnsi="宋体" w:cs="宋体"/>
          <w:color w:val="auto"/>
          <w:kern w:val="0"/>
          <w:sz w:val="24"/>
          <w:highlight w:val="none"/>
          <w:lang w:val="en-US" w:eastAsia="zh-CN"/>
        </w:rPr>
        <w:t>有权</w:t>
      </w:r>
      <w:r>
        <w:rPr>
          <w:rFonts w:hint="eastAsia" w:ascii="宋体" w:hAnsi="宋体" w:cs="宋体"/>
          <w:color w:val="auto"/>
          <w:kern w:val="0"/>
          <w:sz w:val="24"/>
          <w:highlight w:val="none"/>
        </w:rPr>
        <w:t>无条件退货，所造成的损失由</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人承担。更换后的零部件质保期按更换日起顺延。</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2.2质保期及售后技术服务要求：</w:t>
      </w:r>
    </w:p>
    <w:p>
      <w:pPr>
        <w:widowControl/>
        <w:spacing w:after="200"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▲2.2.1质保期：</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年。</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pPr>
        <w:adjustRightIn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p>
      <w:pPr>
        <w:adjustRightIn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（1）质量保证期：所有</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的质量保证期不少于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年（质保期限自所有</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安装调试到位并通过验收合格之日起开始计算），在此保证期内，如在正常使用过程中出现的质量问题，供应商须负责维修或调换，相关费用包含在投标总价内。</w:t>
      </w:r>
    </w:p>
    <w:p>
      <w:pPr>
        <w:pStyle w:val="58"/>
        <w:snapToGrid w:val="0"/>
        <w:spacing w:before="0" w:beforeAutospacing="0" w:after="0" w:after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质保期间</w:t>
      </w:r>
      <w:r>
        <w:rPr>
          <w:rFonts w:hint="eastAsia" w:ascii="宋体" w:hAnsi="宋体" w:eastAsia="宋体" w:cs="宋体"/>
          <w:color w:val="auto"/>
          <w:sz w:val="24"/>
          <w:szCs w:val="24"/>
          <w:highlight w:val="none"/>
        </w:rPr>
        <w:t>因正常使用造成的损坏均进行免费维修，出现质量缺陷问题或同一货物在质保期内出现三次质量问题，供应商予以更换，上述维修服务费用包含在总报价中。接到采购人报修通知，1小时内响应，2小时内到达现场，</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解决问题，对于现场解决不了的故障，中标人应提供同型号、同规格的备用产品供采购人使用，直至故障产品修复；在保修期内中标人不得以任何理由影响用户的正常使用。质保期内配件及维护服务产生的费用包含在总报价中。质保期内，合同货物发生任何非用户人为导致的缺陷、损坏等，均由中标人负责免费修复或更换。</w:t>
      </w:r>
    </w:p>
    <w:p>
      <w:pPr>
        <w:pStyle w:val="58"/>
        <w:snapToGrid w:val="0"/>
        <w:spacing w:before="0" w:beforeAutospacing="0" w:after="0" w:after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）服务响应：合同货物出现故障后，中标人接到采购人通知应在不超过1小时内做出响应，2小时内赶到现场，</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小时内解决问题。</w:t>
      </w:r>
    </w:p>
    <w:p>
      <w:pPr>
        <w:widowControl/>
        <w:spacing w:after="200"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▲2.4付款方式：</w:t>
      </w:r>
    </w:p>
    <w:p>
      <w:pPr>
        <w:widowControl/>
        <w:spacing w:after="200" w:line="276"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合同生效后,</w:t>
      </w:r>
      <w:r>
        <w:rPr>
          <w:rFonts w:hint="eastAsia" w:ascii="宋体" w:hAnsi="宋体" w:cs="宋体"/>
          <w:b/>
          <w:bCs/>
          <w:color w:val="auto"/>
          <w:kern w:val="0"/>
          <w:sz w:val="24"/>
          <w:highlight w:val="none"/>
          <w:lang w:val="en-US" w:eastAsia="zh-CN"/>
        </w:rPr>
        <w:t>成交</w:t>
      </w:r>
      <w:r>
        <w:rPr>
          <w:rFonts w:hint="eastAsia" w:ascii="宋体" w:hAnsi="宋体" w:cs="宋体"/>
          <w:b/>
          <w:bCs/>
          <w:color w:val="auto"/>
          <w:kern w:val="0"/>
          <w:sz w:val="24"/>
          <w:highlight w:val="none"/>
        </w:rPr>
        <w:t>人支付合同总价的1%作为履约保证金（接受保函）。货品安装到位并验收合格后支付至合同总价的9</w:t>
      </w:r>
      <w:r>
        <w:rPr>
          <w:rFonts w:hint="eastAsia" w:ascii="宋体" w:hAnsi="宋体" w:cs="宋体"/>
          <w:b/>
          <w:bCs/>
          <w:color w:val="auto"/>
          <w:kern w:val="0"/>
          <w:sz w:val="24"/>
          <w:highlight w:val="none"/>
          <w:lang w:val="en-US" w:eastAsia="zh-CN"/>
        </w:rPr>
        <w:t>8.5</w:t>
      </w:r>
      <w:r>
        <w:rPr>
          <w:rFonts w:hint="eastAsia" w:ascii="宋体" w:hAnsi="宋体" w:cs="宋体"/>
          <w:b/>
          <w:bCs/>
          <w:color w:val="auto"/>
          <w:kern w:val="0"/>
          <w:sz w:val="24"/>
          <w:highlight w:val="none"/>
        </w:rPr>
        <w:t>%，余款</w:t>
      </w:r>
      <w:r>
        <w:rPr>
          <w:rFonts w:hint="eastAsia" w:ascii="宋体" w:hAnsi="宋体" w:cs="宋体"/>
          <w:b/>
          <w:bCs/>
          <w:color w:val="auto"/>
          <w:kern w:val="0"/>
          <w:sz w:val="24"/>
          <w:highlight w:val="none"/>
          <w:lang w:val="en-US" w:eastAsia="zh-CN"/>
        </w:rPr>
        <w:t>1.5%作为质保金，质保期结束</w:t>
      </w:r>
      <w:r>
        <w:rPr>
          <w:rFonts w:hint="eastAsia" w:ascii="宋体" w:hAnsi="宋体" w:cs="宋体"/>
          <w:b/>
          <w:bCs/>
          <w:color w:val="auto"/>
          <w:kern w:val="0"/>
          <w:sz w:val="24"/>
          <w:highlight w:val="none"/>
        </w:rPr>
        <w:t>后无息退还履约保证金</w:t>
      </w:r>
      <w:r>
        <w:rPr>
          <w:rFonts w:hint="eastAsia" w:ascii="宋体" w:hAnsi="宋体" w:cs="宋体"/>
          <w:b/>
          <w:bCs/>
          <w:color w:val="auto"/>
          <w:kern w:val="0"/>
          <w:sz w:val="24"/>
          <w:highlight w:val="none"/>
          <w:lang w:val="en-US" w:eastAsia="zh-CN"/>
        </w:rPr>
        <w:t>及质保金</w:t>
      </w:r>
      <w:r>
        <w:rPr>
          <w:rFonts w:hint="eastAsia" w:ascii="宋体" w:hAnsi="宋体" w:cs="宋体"/>
          <w:b/>
          <w:bCs/>
          <w:color w:val="auto"/>
          <w:kern w:val="0"/>
          <w:sz w:val="24"/>
          <w:highlight w:val="none"/>
        </w:rPr>
        <w:t>。</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2.5产品质量：</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后生产过程中需求方</w:t>
      </w:r>
      <w:r>
        <w:rPr>
          <w:rFonts w:hint="eastAsia" w:ascii="宋体" w:hAnsi="宋体" w:cs="宋体"/>
          <w:color w:val="auto"/>
          <w:kern w:val="0"/>
          <w:sz w:val="24"/>
          <w:highlight w:val="none"/>
          <w:lang w:val="en-US" w:eastAsia="zh-CN"/>
        </w:rPr>
        <w:t>如需</w:t>
      </w:r>
      <w:r>
        <w:rPr>
          <w:rFonts w:hint="eastAsia" w:ascii="宋体" w:hAnsi="宋体" w:cs="宋体"/>
          <w:color w:val="auto"/>
          <w:kern w:val="0"/>
          <w:sz w:val="24"/>
          <w:highlight w:val="none"/>
        </w:rPr>
        <w:t>生产现场查验生产情况</w:t>
      </w:r>
      <w:r>
        <w:rPr>
          <w:rFonts w:hint="eastAsia" w:ascii="宋体" w:hAnsi="宋体" w:cs="宋体"/>
          <w:color w:val="auto"/>
          <w:kern w:val="0"/>
          <w:sz w:val="24"/>
          <w:highlight w:val="none"/>
          <w:lang w:val="en-US" w:eastAsia="zh-CN"/>
        </w:rPr>
        <w:t>等情况，成交人需无条件配合。</w:t>
      </w:r>
      <w:r>
        <w:rPr>
          <w:rFonts w:hint="eastAsia" w:ascii="宋体" w:hAnsi="宋体" w:cs="宋体"/>
          <w:color w:val="auto"/>
          <w:kern w:val="0"/>
          <w:sz w:val="24"/>
          <w:highlight w:val="none"/>
        </w:rPr>
        <w:t>（材料/工艺/设备）；</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2.6所有</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人需保证资料真实有效，如提供虚假资料经举报或发现，一经查实，取消资格并进行对应的处罚。</w:t>
      </w:r>
    </w:p>
    <w:p>
      <w:pPr>
        <w:widowControl/>
        <w:spacing w:after="200" w:line="276" w:lineRule="auto"/>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2.7</w:t>
      </w:r>
      <w:r>
        <w:rPr>
          <w:rFonts w:hint="eastAsia" w:ascii="宋体" w:hAnsi="宋体" w:eastAsia="宋体" w:cs="宋体"/>
          <w:color w:val="auto"/>
          <w:kern w:val="0"/>
          <w:sz w:val="24"/>
          <w:highlight w:val="none"/>
          <w:lang w:val="en-US" w:eastAsia="zh-CN"/>
        </w:rPr>
        <w:t>验收</w:t>
      </w:r>
    </w:p>
    <w:p>
      <w:pPr>
        <w:widowControl/>
        <w:spacing w:after="200" w:line="276" w:lineRule="auto"/>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验收按国家有关规范标准（国家无验收规范标准的按双方合同规定的要求）进行。</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1、除标注的参考品牌外，欢迎其它能满足本项目技术需求且性能与所注品牌相当的产品参与。</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2、如有附图，仅作参考。</w:t>
      </w:r>
    </w:p>
    <w:p>
      <w:pPr>
        <w:widowControl/>
        <w:spacing w:after="200"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3、打▲内容为实质性要求，不允许有负偏离，否则将以涉及无效投标条款作无效投标。</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人所提供的货物、服务须与投标承诺一致，不得以次充好、偷工减料，若在项目验收中发现有上述情况，将向有关部门举报，根据相关规定进行处理。</w:t>
      </w:r>
    </w:p>
    <w:p>
      <w:pPr>
        <w:rPr>
          <w:rFonts w:ascii="宋体" w:hAnsi="宋体" w:cs="宋体"/>
          <w:color w:val="auto"/>
          <w:highlight w:val="none"/>
        </w:rPr>
      </w:pPr>
      <w:r>
        <w:rPr>
          <w:rFonts w:hint="eastAsia" w:ascii="宋体" w:hAnsi="宋体" w:cs="宋体"/>
          <w:color w:val="auto"/>
          <w:highlight w:val="none"/>
        </w:rPr>
        <w:br w:type="page"/>
      </w:r>
    </w:p>
    <w:p>
      <w:pPr>
        <w:pStyle w:val="3"/>
        <w:rPr>
          <w:rFonts w:ascii="宋体" w:hAnsi="宋体" w:eastAsia="宋体" w:cs="宋体"/>
          <w:color w:val="auto"/>
          <w:highlight w:val="none"/>
        </w:rPr>
      </w:pPr>
      <w:r>
        <w:rPr>
          <w:rFonts w:hint="eastAsia" w:ascii="宋体" w:hAnsi="宋体" w:eastAsia="宋体" w:cs="宋体"/>
          <w:color w:val="auto"/>
          <w:highlight w:val="none"/>
        </w:rPr>
        <w:t xml:space="preserve">第四部分   </w:t>
      </w:r>
      <w:bookmarkStart w:id="63" w:name="_Toc184312131"/>
      <w:bookmarkEnd w:id="63"/>
      <w:bookmarkStart w:id="64" w:name="_Toc184310337"/>
      <w:bookmarkEnd w:id="64"/>
      <w:bookmarkStart w:id="65" w:name="_Toc184310341"/>
      <w:bookmarkEnd w:id="65"/>
      <w:bookmarkStart w:id="66" w:name="_Toc184308087"/>
      <w:bookmarkEnd w:id="66"/>
      <w:bookmarkStart w:id="67" w:name="_Toc184313241"/>
      <w:bookmarkEnd w:id="67"/>
      <w:bookmarkStart w:id="68" w:name="_Toc184310274"/>
      <w:bookmarkEnd w:id="68"/>
      <w:bookmarkStart w:id="69" w:name="_Toc184310275"/>
      <w:bookmarkEnd w:id="69"/>
      <w:bookmarkStart w:id="70" w:name="_Toc184310296"/>
      <w:bookmarkEnd w:id="70"/>
      <w:bookmarkStart w:id="71" w:name="_Toc184308051"/>
      <w:bookmarkEnd w:id="71"/>
      <w:bookmarkStart w:id="72" w:name="_Toc184314430"/>
      <w:bookmarkEnd w:id="72"/>
      <w:bookmarkStart w:id="73" w:name="_Toc184308066"/>
      <w:bookmarkEnd w:id="73"/>
      <w:bookmarkStart w:id="74" w:name="_Toc184310331"/>
      <w:bookmarkEnd w:id="74"/>
      <w:bookmarkStart w:id="75" w:name="_Toc184310342"/>
      <w:bookmarkEnd w:id="75"/>
      <w:bookmarkStart w:id="76" w:name="_Toc184308083"/>
      <w:bookmarkEnd w:id="76"/>
      <w:bookmarkStart w:id="77" w:name="_Toc184308054"/>
      <w:bookmarkEnd w:id="77"/>
      <w:bookmarkStart w:id="78" w:name="_Toc184310310"/>
      <w:bookmarkEnd w:id="78"/>
      <w:bookmarkStart w:id="79" w:name="_Toc184312117"/>
      <w:bookmarkEnd w:id="79"/>
      <w:bookmarkStart w:id="80" w:name="_Toc184310279"/>
      <w:bookmarkEnd w:id="80"/>
      <w:bookmarkStart w:id="81" w:name="_Toc184308042"/>
      <w:bookmarkEnd w:id="81"/>
      <w:bookmarkStart w:id="82" w:name="_Toc184314473"/>
      <w:bookmarkEnd w:id="82"/>
      <w:bookmarkStart w:id="83" w:name="_Toc184308062"/>
      <w:bookmarkEnd w:id="83"/>
      <w:bookmarkStart w:id="84" w:name="_Toc184314454"/>
      <w:bookmarkEnd w:id="84"/>
      <w:bookmarkStart w:id="85" w:name="_Toc184314450"/>
      <w:bookmarkEnd w:id="85"/>
      <w:bookmarkStart w:id="86" w:name="_Toc184314464"/>
      <w:bookmarkEnd w:id="86"/>
      <w:bookmarkStart w:id="87" w:name="_Toc184312092"/>
      <w:bookmarkEnd w:id="87"/>
      <w:bookmarkStart w:id="88" w:name="_Toc184308085"/>
      <w:bookmarkEnd w:id="88"/>
      <w:bookmarkStart w:id="89" w:name="_Toc184312136"/>
      <w:bookmarkEnd w:id="89"/>
      <w:bookmarkStart w:id="90" w:name="_Toc184308086"/>
      <w:bookmarkEnd w:id="90"/>
      <w:bookmarkStart w:id="91" w:name="_Toc184310311"/>
      <w:bookmarkEnd w:id="91"/>
      <w:bookmarkStart w:id="92" w:name="_Toc184314440"/>
      <w:bookmarkEnd w:id="92"/>
      <w:bookmarkStart w:id="93" w:name="_Toc184312068"/>
      <w:bookmarkEnd w:id="93"/>
      <w:bookmarkStart w:id="94" w:name="_Toc184310284"/>
      <w:bookmarkEnd w:id="94"/>
      <w:bookmarkStart w:id="95" w:name="_Toc184310333"/>
      <w:bookmarkEnd w:id="95"/>
      <w:bookmarkStart w:id="96" w:name="_Toc184313294"/>
      <w:bookmarkEnd w:id="96"/>
      <w:bookmarkStart w:id="97" w:name="_Toc184310318"/>
      <w:bookmarkEnd w:id="97"/>
      <w:bookmarkStart w:id="98" w:name="_Toc184312089"/>
      <w:bookmarkEnd w:id="98"/>
      <w:bookmarkStart w:id="99" w:name="_Toc184310286"/>
      <w:bookmarkEnd w:id="99"/>
      <w:bookmarkStart w:id="100" w:name="_Toc184310312"/>
      <w:bookmarkEnd w:id="100"/>
      <w:bookmarkStart w:id="101" w:name="_Toc184314478"/>
      <w:bookmarkEnd w:id="101"/>
      <w:bookmarkStart w:id="102" w:name="_Toc184314444"/>
      <w:bookmarkEnd w:id="102"/>
      <w:bookmarkStart w:id="103" w:name="_Toc184313281"/>
      <w:bookmarkEnd w:id="103"/>
      <w:bookmarkStart w:id="104" w:name="_Toc184310332"/>
      <w:bookmarkEnd w:id="104"/>
      <w:bookmarkStart w:id="105" w:name="_Toc184314418"/>
      <w:bookmarkEnd w:id="105"/>
      <w:bookmarkStart w:id="106" w:name="_Toc184313300"/>
      <w:bookmarkEnd w:id="106"/>
      <w:bookmarkStart w:id="107" w:name="_Toc184313309"/>
      <w:bookmarkEnd w:id="107"/>
      <w:bookmarkStart w:id="108" w:name="_Toc184312074"/>
      <w:bookmarkEnd w:id="108"/>
      <w:bookmarkStart w:id="109" w:name="_Toc184310327"/>
      <w:bookmarkEnd w:id="109"/>
      <w:bookmarkStart w:id="110" w:name="_Toc184314456"/>
      <w:bookmarkEnd w:id="110"/>
      <w:bookmarkStart w:id="111" w:name="_Toc184313279"/>
      <w:bookmarkEnd w:id="111"/>
      <w:bookmarkStart w:id="112" w:name="_Toc184313280"/>
      <w:bookmarkEnd w:id="112"/>
      <w:bookmarkStart w:id="113" w:name="_Toc184310316"/>
      <w:bookmarkEnd w:id="113"/>
      <w:bookmarkStart w:id="114" w:name="_Toc184308106"/>
      <w:bookmarkEnd w:id="114"/>
      <w:bookmarkStart w:id="115" w:name="_Toc184313289"/>
      <w:bookmarkEnd w:id="115"/>
      <w:bookmarkStart w:id="116" w:name="_Toc184308069"/>
      <w:bookmarkEnd w:id="116"/>
      <w:bookmarkStart w:id="117" w:name="_Toc184310336"/>
      <w:bookmarkEnd w:id="117"/>
      <w:bookmarkStart w:id="118" w:name="_Toc184312075"/>
      <w:bookmarkEnd w:id="118"/>
      <w:bookmarkStart w:id="119" w:name="_Toc184310289"/>
      <w:bookmarkEnd w:id="119"/>
      <w:bookmarkStart w:id="120" w:name="_Toc184314414"/>
      <w:bookmarkEnd w:id="120"/>
      <w:bookmarkStart w:id="121" w:name="_Toc184313263"/>
      <w:bookmarkEnd w:id="121"/>
      <w:bookmarkStart w:id="122" w:name="_Toc184310304"/>
      <w:bookmarkEnd w:id="122"/>
      <w:bookmarkStart w:id="123" w:name="_Toc184313275"/>
      <w:bookmarkEnd w:id="123"/>
      <w:bookmarkStart w:id="124" w:name="_Toc184308045"/>
      <w:bookmarkEnd w:id="124"/>
      <w:bookmarkStart w:id="125" w:name="_Toc184312088"/>
      <w:bookmarkEnd w:id="125"/>
      <w:bookmarkStart w:id="126" w:name="_Toc184314453"/>
      <w:bookmarkEnd w:id="126"/>
      <w:bookmarkStart w:id="127" w:name="_Toc184314433"/>
      <w:bookmarkEnd w:id="127"/>
      <w:bookmarkStart w:id="128" w:name="_Toc184310306"/>
      <w:bookmarkEnd w:id="128"/>
      <w:bookmarkStart w:id="129" w:name="_Toc184313248"/>
      <w:bookmarkEnd w:id="129"/>
      <w:bookmarkStart w:id="130" w:name="_Toc184310281"/>
      <w:bookmarkEnd w:id="130"/>
      <w:bookmarkStart w:id="131" w:name="_Toc184314476"/>
      <w:bookmarkEnd w:id="131"/>
      <w:bookmarkStart w:id="132" w:name="_Toc184310291"/>
      <w:bookmarkEnd w:id="132"/>
      <w:bookmarkStart w:id="133" w:name="_Toc184313290"/>
      <w:bookmarkEnd w:id="133"/>
      <w:bookmarkStart w:id="134" w:name="_Toc184313301"/>
      <w:bookmarkEnd w:id="134"/>
      <w:bookmarkStart w:id="135" w:name="_Toc184314438"/>
      <w:bookmarkEnd w:id="135"/>
      <w:bookmarkStart w:id="136" w:name="_Toc184308068"/>
      <w:bookmarkEnd w:id="136"/>
      <w:bookmarkStart w:id="137" w:name="_Toc184314439"/>
      <w:bookmarkEnd w:id="137"/>
      <w:bookmarkStart w:id="138" w:name="_Toc184313299"/>
      <w:bookmarkEnd w:id="138"/>
      <w:bookmarkStart w:id="139" w:name="_Toc184312098"/>
      <w:bookmarkEnd w:id="139"/>
      <w:bookmarkStart w:id="140" w:name="_Toc184310288"/>
      <w:bookmarkEnd w:id="140"/>
      <w:bookmarkStart w:id="141" w:name="_Toc184312126"/>
      <w:bookmarkEnd w:id="141"/>
      <w:bookmarkStart w:id="142" w:name="_Toc184313268"/>
      <w:bookmarkEnd w:id="142"/>
      <w:bookmarkStart w:id="143" w:name="_Toc184312072"/>
      <w:bookmarkEnd w:id="143"/>
      <w:bookmarkStart w:id="144" w:name="_Toc184313278"/>
      <w:bookmarkEnd w:id="144"/>
      <w:bookmarkStart w:id="145" w:name="_Toc184313291"/>
      <w:bookmarkEnd w:id="145"/>
      <w:bookmarkStart w:id="146" w:name="_Toc184312133"/>
      <w:bookmarkEnd w:id="146"/>
      <w:bookmarkStart w:id="147" w:name="_Toc184310285"/>
      <w:bookmarkEnd w:id="147"/>
      <w:bookmarkStart w:id="148" w:name="_Toc184313250"/>
      <w:bookmarkEnd w:id="148"/>
      <w:bookmarkStart w:id="149" w:name="_Toc184312073"/>
      <w:bookmarkEnd w:id="149"/>
      <w:bookmarkStart w:id="150" w:name="_Toc184312079"/>
      <w:bookmarkEnd w:id="150"/>
      <w:bookmarkStart w:id="151" w:name="_Toc184308105"/>
      <w:bookmarkEnd w:id="151"/>
      <w:bookmarkStart w:id="152" w:name="_Toc184312124"/>
      <w:bookmarkEnd w:id="152"/>
      <w:bookmarkStart w:id="153" w:name="_Toc184310317"/>
      <w:bookmarkEnd w:id="153"/>
      <w:bookmarkStart w:id="154" w:name="_Toc184314420"/>
      <w:bookmarkEnd w:id="154"/>
      <w:bookmarkStart w:id="155" w:name="_Toc184314446"/>
      <w:bookmarkEnd w:id="155"/>
      <w:bookmarkStart w:id="156" w:name="_Toc184312103"/>
      <w:bookmarkEnd w:id="156"/>
      <w:bookmarkStart w:id="157" w:name="_Toc184314457"/>
      <w:bookmarkEnd w:id="157"/>
      <w:bookmarkStart w:id="158" w:name="_Toc184313283"/>
      <w:bookmarkEnd w:id="158"/>
      <w:bookmarkStart w:id="159" w:name="_Toc184313255"/>
      <w:bookmarkEnd w:id="159"/>
      <w:bookmarkStart w:id="160" w:name="_Toc184308058"/>
      <w:bookmarkEnd w:id="160"/>
      <w:bookmarkStart w:id="161" w:name="_Toc184312119"/>
      <w:bookmarkEnd w:id="161"/>
      <w:bookmarkStart w:id="162" w:name="_Toc184312099"/>
      <w:bookmarkEnd w:id="162"/>
      <w:bookmarkStart w:id="163" w:name="_Toc184313245"/>
      <w:bookmarkEnd w:id="163"/>
      <w:bookmarkStart w:id="164" w:name="_Toc184313305"/>
      <w:bookmarkEnd w:id="164"/>
      <w:bookmarkStart w:id="165" w:name="_Toc184314482"/>
      <w:bookmarkEnd w:id="165"/>
      <w:bookmarkStart w:id="166" w:name="_Toc184312096"/>
      <w:bookmarkEnd w:id="166"/>
      <w:bookmarkStart w:id="167" w:name="_Toc184314469"/>
      <w:bookmarkEnd w:id="167"/>
      <w:bookmarkStart w:id="168" w:name="_Toc184313304"/>
      <w:bookmarkEnd w:id="168"/>
      <w:bookmarkStart w:id="169" w:name="_Toc184308097"/>
      <w:bookmarkEnd w:id="169"/>
      <w:bookmarkStart w:id="170" w:name="_Toc184313271"/>
      <w:bookmarkEnd w:id="170"/>
      <w:bookmarkStart w:id="171" w:name="_Toc184308048"/>
      <w:bookmarkEnd w:id="171"/>
      <w:bookmarkStart w:id="172" w:name="_Toc184313303"/>
      <w:bookmarkEnd w:id="172"/>
      <w:bookmarkStart w:id="173" w:name="_Toc184308040"/>
      <w:bookmarkEnd w:id="173"/>
      <w:bookmarkStart w:id="174" w:name="_Toc184313242"/>
      <w:bookmarkEnd w:id="174"/>
      <w:bookmarkStart w:id="175" w:name="_Toc184312077"/>
      <w:bookmarkEnd w:id="175"/>
      <w:bookmarkStart w:id="176" w:name="_Toc184313285"/>
      <w:bookmarkEnd w:id="176"/>
      <w:bookmarkStart w:id="177" w:name="_Toc184308092"/>
      <w:bookmarkEnd w:id="177"/>
      <w:bookmarkStart w:id="178" w:name="_Toc184308046"/>
      <w:bookmarkEnd w:id="178"/>
      <w:bookmarkStart w:id="179" w:name="_Toc184308074"/>
      <w:bookmarkEnd w:id="179"/>
      <w:bookmarkStart w:id="180" w:name="_Toc184314452"/>
      <w:bookmarkEnd w:id="180"/>
      <w:bookmarkStart w:id="181" w:name="_Toc184313244"/>
      <w:bookmarkEnd w:id="181"/>
      <w:bookmarkStart w:id="182" w:name="_Toc184310287"/>
      <w:bookmarkEnd w:id="182"/>
      <w:bookmarkStart w:id="183" w:name="_Toc184308037"/>
      <w:bookmarkEnd w:id="183"/>
      <w:bookmarkStart w:id="184" w:name="_Toc184314424"/>
      <w:bookmarkEnd w:id="184"/>
      <w:bookmarkStart w:id="185" w:name="_Toc184313246"/>
      <w:bookmarkEnd w:id="185"/>
      <w:bookmarkStart w:id="186" w:name="_Toc184310329"/>
      <w:bookmarkEnd w:id="186"/>
      <w:bookmarkStart w:id="187" w:name="_Toc184314451"/>
      <w:bookmarkEnd w:id="187"/>
      <w:bookmarkStart w:id="188" w:name="_Toc184312104"/>
      <w:bookmarkEnd w:id="188"/>
      <w:bookmarkStart w:id="189" w:name="_Toc184308057"/>
      <w:bookmarkEnd w:id="189"/>
      <w:bookmarkStart w:id="190" w:name="_Toc184310326"/>
      <w:bookmarkEnd w:id="190"/>
      <w:bookmarkStart w:id="191" w:name="_Toc184312125"/>
      <w:bookmarkEnd w:id="191"/>
      <w:bookmarkStart w:id="192" w:name="_Toc184314459"/>
      <w:bookmarkEnd w:id="192"/>
      <w:bookmarkStart w:id="193" w:name="_Toc184313251"/>
      <w:bookmarkEnd w:id="193"/>
      <w:bookmarkStart w:id="194" w:name="_Toc184310305"/>
      <w:bookmarkEnd w:id="194"/>
      <w:bookmarkStart w:id="195" w:name="_Toc184314481"/>
      <w:bookmarkEnd w:id="195"/>
      <w:bookmarkStart w:id="196" w:name="_Toc184308100"/>
      <w:bookmarkEnd w:id="196"/>
      <w:bookmarkStart w:id="197" w:name="_Toc184310293"/>
      <w:bookmarkEnd w:id="197"/>
      <w:bookmarkStart w:id="198" w:name="_Toc184313298"/>
      <w:bookmarkEnd w:id="198"/>
      <w:bookmarkStart w:id="199" w:name="_Toc184314431"/>
      <w:bookmarkEnd w:id="199"/>
      <w:bookmarkStart w:id="200" w:name="_Toc184313276"/>
      <w:bookmarkEnd w:id="200"/>
      <w:bookmarkStart w:id="201" w:name="_Toc184308090"/>
      <w:bookmarkEnd w:id="201"/>
      <w:bookmarkStart w:id="202" w:name="_Toc184308060"/>
      <w:bookmarkEnd w:id="202"/>
      <w:bookmarkStart w:id="203" w:name="_Toc184310334"/>
      <w:bookmarkEnd w:id="203"/>
      <w:bookmarkStart w:id="204" w:name="_Toc184314411"/>
      <w:bookmarkEnd w:id="204"/>
      <w:bookmarkStart w:id="205" w:name="_Toc184314428"/>
      <w:bookmarkEnd w:id="205"/>
      <w:bookmarkStart w:id="206" w:name="_Toc184312106"/>
      <w:bookmarkEnd w:id="206"/>
      <w:bookmarkStart w:id="207" w:name="_Toc184308096"/>
      <w:bookmarkEnd w:id="207"/>
      <w:bookmarkStart w:id="208" w:name="_Toc184314448"/>
      <w:bookmarkEnd w:id="208"/>
      <w:bookmarkStart w:id="209" w:name="_Toc184310308"/>
      <w:bookmarkEnd w:id="209"/>
      <w:bookmarkStart w:id="210" w:name="_Toc184314412"/>
      <w:bookmarkEnd w:id="210"/>
      <w:bookmarkStart w:id="211" w:name="_Toc184313282"/>
      <w:bookmarkEnd w:id="211"/>
      <w:bookmarkStart w:id="212" w:name="_Toc184313293"/>
      <w:bookmarkEnd w:id="212"/>
      <w:bookmarkStart w:id="213" w:name="_Toc184310303"/>
      <w:bookmarkEnd w:id="213"/>
      <w:bookmarkStart w:id="214" w:name="_Toc184308063"/>
      <w:bookmarkEnd w:id="214"/>
      <w:bookmarkStart w:id="215" w:name="_Toc184314468"/>
      <w:bookmarkEnd w:id="215"/>
      <w:bookmarkStart w:id="216" w:name="_Toc184312094"/>
      <w:bookmarkEnd w:id="216"/>
      <w:bookmarkStart w:id="217" w:name="_Toc184308078"/>
      <w:bookmarkEnd w:id="217"/>
      <w:bookmarkStart w:id="218" w:name="_Toc184310324"/>
      <w:bookmarkEnd w:id="218"/>
      <w:bookmarkStart w:id="219" w:name="_Toc184312110"/>
      <w:bookmarkEnd w:id="219"/>
      <w:bookmarkStart w:id="220" w:name="_Toc184310320"/>
      <w:bookmarkEnd w:id="220"/>
      <w:bookmarkStart w:id="221" w:name="_Toc184314419"/>
      <w:bookmarkEnd w:id="221"/>
      <w:bookmarkStart w:id="222" w:name="_Toc184308047"/>
      <w:bookmarkEnd w:id="222"/>
      <w:bookmarkStart w:id="223" w:name="_Toc184313239"/>
      <w:bookmarkEnd w:id="223"/>
      <w:bookmarkStart w:id="224" w:name="_Toc184313260"/>
      <w:bookmarkEnd w:id="224"/>
      <w:bookmarkStart w:id="225" w:name="_Toc184310344"/>
      <w:bookmarkEnd w:id="225"/>
      <w:bookmarkStart w:id="226" w:name="_Toc184312139"/>
      <w:bookmarkEnd w:id="226"/>
      <w:bookmarkStart w:id="227" w:name="_Toc184312069"/>
      <w:bookmarkEnd w:id="227"/>
      <w:bookmarkStart w:id="228" w:name="_Toc184313310"/>
      <w:bookmarkEnd w:id="228"/>
      <w:bookmarkStart w:id="229" w:name="_Toc184313253"/>
      <w:bookmarkEnd w:id="229"/>
      <w:bookmarkStart w:id="230" w:name="_Toc184312118"/>
      <w:bookmarkEnd w:id="230"/>
      <w:bookmarkStart w:id="231" w:name="_Toc184314422"/>
      <w:bookmarkEnd w:id="231"/>
      <w:bookmarkStart w:id="232" w:name="_Toc184310295"/>
      <w:bookmarkEnd w:id="232"/>
      <w:bookmarkStart w:id="233" w:name="_Toc184312107"/>
      <w:bookmarkEnd w:id="233"/>
      <w:bookmarkStart w:id="234" w:name="_Toc184313284"/>
      <w:bookmarkEnd w:id="234"/>
      <w:bookmarkStart w:id="235" w:name="_Toc184308101"/>
      <w:bookmarkEnd w:id="235"/>
      <w:bookmarkStart w:id="236" w:name="_Toc184310323"/>
      <w:bookmarkEnd w:id="236"/>
      <w:bookmarkStart w:id="237" w:name="_Toc184312087"/>
      <w:bookmarkEnd w:id="237"/>
      <w:bookmarkStart w:id="238" w:name="_Toc184314417"/>
      <w:bookmarkEnd w:id="238"/>
      <w:bookmarkStart w:id="239" w:name="_Toc184313274"/>
      <w:bookmarkEnd w:id="239"/>
      <w:bookmarkStart w:id="240" w:name="_Toc184313249"/>
      <w:bookmarkEnd w:id="240"/>
      <w:bookmarkStart w:id="241" w:name="_Toc184312100"/>
      <w:bookmarkEnd w:id="241"/>
      <w:bookmarkStart w:id="242" w:name="_Toc184312086"/>
      <w:bookmarkEnd w:id="242"/>
      <w:bookmarkStart w:id="243" w:name="_Toc184308076"/>
      <w:bookmarkEnd w:id="243"/>
      <w:bookmarkStart w:id="244" w:name="_Toc184312137"/>
      <w:bookmarkEnd w:id="244"/>
      <w:bookmarkStart w:id="245" w:name="_Toc184313243"/>
      <w:bookmarkEnd w:id="245"/>
      <w:bookmarkStart w:id="246" w:name="_Toc184310300"/>
      <w:bookmarkEnd w:id="246"/>
      <w:bookmarkStart w:id="247" w:name="_Toc184308093"/>
      <w:bookmarkEnd w:id="247"/>
      <w:bookmarkStart w:id="248" w:name="_Toc184310280"/>
      <w:bookmarkEnd w:id="248"/>
      <w:bookmarkStart w:id="249" w:name="_Toc184308108"/>
      <w:bookmarkEnd w:id="249"/>
      <w:bookmarkStart w:id="250" w:name="_Toc184308055"/>
      <w:bookmarkEnd w:id="250"/>
      <w:bookmarkStart w:id="251" w:name="_Toc184314421"/>
      <w:bookmarkEnd w:id="251"/>
      <w:bookmarkStart w:id="252" w:name="_Toc184308080"/>
      <w:bookmarkEnd w:id="252"/>
      <w:bookmarkStart w:id="253" w:name="_Toc184313264"/>
      <w:bookmarkEnd w:id="253"/>
      <w:bookmarkStart w:id="254" w:name="_Toc184313296"/>
      <w:bookmarkEnd w:id="254"/>
      <w:bookmarkStart w:id="255" w:name="_Toc184310302"/>
      <w:bookmarkEnd w:id="255"/>
      <w:bookmarkStart w:id="256" w:name="_Toc184312130"/>
      <w:bookmarkEnd w:id="256"/>
      <w:bookmarkStart w:id="257" w:name="_Toc184310276"/>
      <w:bookmarkEnd w:id="257"/>
      <w:bookmarkStart w:id="258" w:name="_Toc184312134"/>
      <w:bookmarkEnd w:id="258"/>
      <w:bookmarkStart w:id="259" w:name="_Toc184313306"/>
      <w:bookmarkEnd w:id="259"/>
      <w:bookmarkStart w:id="260" w:name="_Toc184312083"/>
      <w:bookmarkEnd w:id="260"/>
      <w:bookmarkStart w:id="261" w:name="_Toc184312120"/>
      <w:bookmarkEnd w:id="261"/>
      <w:bookmarkStart w:id="262" w:name="_Toc184308061"/>
      <w:bookmarkEnd w:id="262"/>
      <w:bookmarkStart w:id="263" w:name="_Toc184308044"/>
      <w:bookmarkEnd w:id="263"/>
      <w:bookmarkStart w:id="264" w:name="_Toc184310301"/>
      <w:bookmarkEnd w:id="264"/>
      <w:bookmarkStart w:id="265" w:name="_Toc184313272"/>
      <w:bookmarkEnd w:id="265"/>
      <w:bookmarkStart w:id="266" w:name="_Toc184312070"/>
      <w:bookmarkEnd w:id="266"/>
      <w:bookmarkStart w:id="267" w:name="_Toc184308107"/>
      <w:bookmarkEnd w:id="267"/>
      <w:bookmarkStart w:id="268" w:name="_Toc184308072"/>
      <w:bookmarkEnd w:id="268"/>
      <w:bookmarkStart w:id="269" w:name="_Toc184314426"/>
      <w:bookmarkEnd w:id="269"/>
      <w:bookmarkStart w:id="270" w:name="_Toc184314480"/>
      <w:bookmarkEnd w:id="270"/>
      <w:bookmarkStart w:id="271" w:name="_Toc184314413"/>
      <w:bookmarkEnd w:id="271"/>
      <w:bookmarkStart w:id="272" w:name="_Toc184312102"/>
      <w:bookmarkEnd w:id="272"/>
      <w:bookmarkStart w:id="273" w:name="_Toc184314447"/>
      <w:bookmarkEnd w:id="273"/>
      <w:bookmarkStart w:id="274" w:name="_Toc184312129"/>
      <w:bookmarkEnd w:id="274"/>
      <w:bookmarkStart w:id="275" w:name="_Toc184308038"/>
      <w:bookmarkEnd w:id="275"/>
      <w:bookmarkStart w:id="276" w:name="_Toc184314427"/>
      <w:bookmarkEnd w:id="276"/>
      <w:bookmarkStart w:id="277" w:name="_Toc184312076"/>
      <w:bookmarkEnd w:id="277"/>
      <w:bookmarkStart w:id="278" w:name="_Toc184308052"/>
      <w:bookmarkEnd w:id="278"/>
      <w:bookmarkStart w:id="279" w:name="_Toc184312112"/>
      <w:bookmarkEnd w:id="279"/>
      <w:bookmarkStart w:id="280" w:name="_Toc184310299"/>
      <w:bookmarkEnd w:id="280"/>
      <w:bookmarkStart w:id="281" w:name="_Toc184313257"/>
      <w:bookmarkEnd w:id="281"/>
      <w:bookmarkStart w:id="282" w:name="_Toc184308082"/>
      <w:bookmarkEnd w:id="282"/>
      <w:bookmarkStart w:id="283" w:name="_Toc184310273"/>
      <w:bookmarkEnd w:id="283"/>
      <w:bookmarkStart w:id="284" w:name="_Toc184312085"/>
      <w:bookmarkEnd w:id="284"/>
      <w:bookmarkStart w:id="285" w:name="_Toc184310283"/>
      <w:bookmarkEnd w:id="285"/>
      <w:bookmarkStart w:id="286" w:name="_Toc184312093"/>
      <w:bookmarkEnd w:id="286"/>
      <w:bookmarkStart w:id="287" w:name="_Toc184308079"/>
      <w:bookmarkEnd w:id="287"/>
      <w:bookmarkStart w:id="288" w:name="_Toc184308073"/>
      <w:bookmarkEnd w:id="288"/>
      <w:bookmarkStart w:id="289" w:name="_Toc184312127"/>
      <w:bookmarkEnd w:id="289"/>
      <w:bookmarkStart w:id="290" w:name="_Toc184313287"/>
      <w:bookmarkEnd w:id="290"/>
      <w:bookmarkStart w:id="291" w:name="_Toc184308091"/>
      <w:bookmarkEnd w:id="291"/>
      <w:bookmarkStart w:id="292" w:name="_Toc184308041"/>
      <w:bookmarkEnd w:id="292"/>
      <w:bookmarkStart w:id="293" w:name="_Toc184314475"/>
      <w:bookmarkEnd w:id="293"/>
      <w:bookmarkStart w:id="294" w:name="_Toc184308081"/>
      <w:bookmarkEnd w:id="294"/>
      <w:bookmarkStart w:id="295" w:name="_Toc184308075"/>
      <w:bookmarkEnd w:id="295"/>
      <w:bookmarkStart w:id="296" w:name="_Toc184313266"/>
      <w:bookmarkEnd w:id="296"/>
      <w:bookmarkStart w:id="297" w:name="_Toc184308089"/>
      <w:bookmarkEnd w:id="297"/>
      <w:bookmarkStart w:id="298" w:name="_Toc184308094"/>
      <w:bookmarkEnd w:id="298"/>
      <w:bookmarkStart w:id="299" w:name="_Toc184313292"/>
      <w:bookmarkEnd w:id="299"/>
      <w:bookmarkStart w:id="300" w:name="_Toc184313262"/>
      <w:bookmarkEnd w:id="300"/>
      <w:bookmarkStart w:id="301" w:name="_Toc184310277"/>
      <w:bookmarkEnd w:id="301"/>
      <w:bookmarkStart w:id="302" w:name="_Toc184312082"/>
      <w:bookmarkEnd w:id="302"/>
      <w:bookmarkStart w:id="303" w:name="_Toc184313252"/>
      <w:bookmarkEnd w:id="303"/>
      <w:bookmarkStart w:id="304" w:name="_Toc184312109"/>
      <w:bookmarkEnd w:id="304"/>
      <w:bookmarkStart w:id="305" w:name="_Toc184312071"/>
      <w:bookmarkEnd w:id="305"/>
      <w:bookmarkStart w:id="306" w:name="_Toc184314467"/>
      <w:bookmarkEnd w:id="306"/>
      <w:bookmarkStart w:id="307" w:name="_Toc184313267"/>
      <w:bookmarkEnd w:id="307"/>
      <w:bookmarkStart w:id="308" w:name="_Toc184310328"/>
      <w:bookmarkEnd w:id="308"/>
      <w:bookmarkStart w:id="309" w:name="_Toc184310272"/>
      <w:bookmarkEnd w:id="309"/>
      <w:bookmarkStart w:id="310" w:name="_Toc184313286"/>
      <w:bookmarkEnd w:id="310"/>
      <w:bookmarkStart w:id="311" w:name="_Toc184310330"/>
      <w:bookmarkEnd w:id="311"/>
      <w:bookmarkStart w:id="312" w:name="_Toc184314462"/>
      <w:bookmarkEnd w:id="312"/>
      <w:bookmarkStart w:id="313" w:name="_Toc184310292"/>
      <w:bookmarkEnd w:id="313"/>
      <w:bookmarkStart w:id="314" w:name="_Toc184314416"/>
      <w:bookmarkEnd w:id="314"/>
      <w:bookmarkStart w:id="315" w:name="_Toc184312108"/>
      <w:bookmarkEnd w:id="315"/>
      <w:bookmarkStart w:id="316" w:name="_Toc184313273"/>
      <w:bookmarkEnd w:id="316"/>
      <w:bookmarkStart w:id="317" w:name="_Toc184308039"/>
      <w:bookmarkEnd w:id="317"/>
      <w:bookmarkStart w:id="318" w:name="_Toc184308043"/>
      <w:bookmarkEnd w:id="318"/>
      <w:bookmarkStart w:id="319" w:name="_Toc184314442"/>
      <w:bookmarkEnd w:id="319"/>
      <w:bookmarkStart w:id="320" w:name="_Toc184313308"/>
      <w:bookmarkEnd w:id="320"/>
      <w:bookmarkStart w:id="321" w:name="_Toc184308036"/>
      <w:bookmarkEnd w:id="321"/>
      <w:bookmarkStart w:id="322" w:name="_Toc184312105"/>
      <w:bookmarkEnd w:id="322"/>
      <w:bookmarkStart w:id="323" w:name="_Toc184310298"/>
      <w:bookmarkEnd w:id="323"/>
      <w:bookmarkStart w:id="324" w:name="_Toc184312078"/>
      <w:bookmarkEnd w:id="324"/>
      <w:bookmarkStart w:id="325" w:name="_Toc184314472"/>
      <w:bookmarkEnd w:id="325"/>
      <w:bookmarkStart w:id="326" w:name="_Toc184313265"/>
      <w:bookmarkEnd w:id="326"/>
      <w:bookmarkStart w:id="327" w:name="_Toc184308050"/>
      <w:bookmarkEnd w:id="327"/>
      <w:bookmarkStart w:id="328" w:name="_Toc184308084"/>
      <w:bookmarkEnd w:id="328"/>
      <w:bookmarkStart w:id="329" w:name="_Toc184313254"/>
      <w:bookmarkEnd w:id="329"/>
      <w:bookmarkStart w:id="330" w:name="_Toc184314463"/>
      <w:bookmarkEnd w:id="330"/>
      <w:bookmarkStart w:id="331" w:name="_Toc184314432"/>
      <w:bookmarkEnd w:id="331"/>
      <w:bookmarkStart w:id="332" w:name="_Toc184314415"/>
      <w:bookmarkEnd w:id="332"/>
      <w:bookmarkStart w:id="333" w:name="_Toc184314460"/>
      <w:bookmarkEnd w:id="333"/>
      <w:bookmarkStart w:id="334" w:name="_Toc184313302"/>
      <w:bookmarkEnd w:id="334"/>
      <w:bookmarkStart w:id="335" w:name="_Toc184308102"/>
      <w:bookmarkEnd w:id="335"/>
      <w:bookmarkStart w:id="336" w:name="_Toc184310321"/>
      <w:bookmarkEnd w:id="336"/>
      <w:bookmarkStart w:id="337" w:name="_Toc184310307"/>
      <w:bookmarkEnd w:id="337"/>
      <w:bookmarkStart w:id="338" w:name="_Toc184308071"/>
      <w:bookmarkEnd w:id="338"/>
      <w:bookmarkStart w:id="339" w:name="_Toc184310335"/>
      <w:bookmarkEnd w:id="339"/>
      <w:bookmarkStart w:id="340" w:name="_Toc184314436"/>
      <w:bookmarkEnd w:id="340"/>
      <w:bookmarkStart w:id="341" w:name="_Toc184308103"/>
      <w:bookmarkEnd w:id="341"/>
      <w:bookmarkStart w:id="342" w:name="_Toc184314437"/>
      <w:bookmarkEnd w:id="342"/>
      <w:bookmarkStart w:id="343" w:name="_Toc184308056"/>
      <w:bookmarkEnd w:id="343"/>
      <w:bookmarkStart w:id="344" w:name="_Toc184314466"/>
      <w:bookmarkEnd w:id="344"/>
      <w:bookmarkStart w:id="345" w:name="_Toc184310339"/>
      <w:bookmarkEnd w:id="345"/>
      <w:bookmarkStart w:id="346" w:name="_Toc184310343"/>
      <w:bookmarkEnd w:id="346"/>
      <w:bookmarkStart w:id="347" w:name="_Toc184314470"/>
      <w:bookmarkEnd w:id="347"/>
      <w:bookmarkStart w:id="348" w:name="_Toc184314455"/>
      <w:bookmarkEnd w:id="348"/>
      <w:bookmarkStart w:id="349" w:name="_Toc184312123"/>
      <w:bookmarkEnd w:id="349"/>
      <w:bookmarkStart w:id="350" w:name="_Toc184313259"/>
      <w:bookmarkEnd w:id="350"/>
      <w:bookmarkStart w:id="351" w:name="_Toc184310309"/>
      <w:bookmarkEnd w:id="351"/>
      <w:bookmarkStart w:id="352" w:name="_Toc184310338"/>
      <w:bookmarkEnd w:id="352"/>
      <w:bookmarkStart w:id="353" w:name="_Toc184313307"/>
      <w:bookmarkEnd w:id="353"/>
      <w:bookmarkStart w:id="354" w:name="_Toc184308049"/>
      <w:bookmarkEnd w:id="354"/>
      <w:bookmarkStart w:id="355" w:name="_Toc184312116"/>
      <w:bookmarkEnd w:id="355"/>
      <w:bookmarkStart w:id="356" w:name="_Toc184313270"/>
      <w:bookmarkEnd w:id="356"/>
      <w:bookmarkStart w:id="357" w:name="_Toc184308067"/>
      <w:bookmarkEnd w:id="357"/>
      <w:bookmarkStart w:id="358" w:name="_Toc184314477"/>
      <w:bookmarkEnd w:id="358"/>
      <w:bookmarkStart w:id="359" w:name="_Toc184313238"/>
      <w:bookmarkEnd w:id="359"/>
      <w:bookmarkStart w:id="360" w:name="_Toc184310325"/>
      <w:bookmarkEnd w:id="360"/>
      <w:bookmarkStart w:id="361" w:name="_Toc184310278"/>
      <w:bookmarkEnd w:id="361"/>
      <w:bookmarkStart w:id="362" w:name="_Toc184312090"/>
      <w:bookmarkEnd w:id="362"/>
      <w:bookmarkStart w:id="363" w:name="_Toc184313288"/>
      <w:bookmarkEnd w:id="363"/>
      <w:bookmarkStart w:id="364" w:name="_Toc184308064"/>
      <w:bookmarkEnd w:id="364"/>
      <w:bookmarkStart w:id="365" w:name="_Toc184310319"/>
      <w:bookmarkEnd w:id="365"/>
      <w:bookmarkStart w:id="366" w:name="_Toc184310297"/>
      <w:bookmarkEnd w:id="366"/>
      <w:bookmarkStart w:id="367" w:name="_Toc184310294"/>
      <w:bookmarkEnd w:id="367"/>
      <w:bookmarkStart w:id="368" w:name="_Toc184312132"/>
      <w:bookmarkEnd w:id="368"/>
      <w:bookmarkStart w:id="369" w:name="_Toc184314425"/>
      <w:bookmarkEnd w:id="369"/>
      <w:bookmarkStart w:id="370" w:name="_Toc184312101"/>
      <w:bookmarkEnd w:id="370"/>
      <w:bookmarkStart w:id="371" w:name="_Toc184308065"/>
      <w:bookmarkEnd w:id="371"/>
      <w:bookmarkStart w:id="372" w:name="_Toc184314465"/>
      <w:bookmarkEnd w:id="372"/>
      <w:bookmarkStart w:id="373" w:name="_Toc184312080"/>
      <w:bookmarkEnd w:id="373"/>
      <w:bookmarkStart w:id="374" w:name="_Toc184312067"/>
      <w:bookmarkEnd w:id="374"/>
      <w:bookmarkStart w:id="375" w:name="_Toc184313295"/>
      <w:bookmarkEnd w:id="375"/>
      <w:bookmarkStart w:id="376" w:name="_Toc184314471"/>
      <w:bookmarkEnd w:id="376"/>
      <w:bookmarkStart w:id="377" w:name="_Toc184313269"/>
      <w:bookmarkEnd w:id="377"/>
      <w:bookmarkStart w:id="378" w:name="_Toc184310282"/>
      <w:bookmarkEnd w:id="378"/>
      <w:bookmarkStart w:id="379" w:name="_Toc184308099"/>
      <w:bookmarkEnd w:id="379"/>
      <w:bookmarkStart w:id="380" w:name="_Toc184308059"/>
      <w:bookmarkEnd w:id="380"/>
      <w:bookmarkStart w:id="381" w:name="_Toc184313297"/>
      <w:bookmarkEnd w:id="381"/>
      <w:bookmarkStart w:id="382" w:name="_Toc184314474"/>
      <w:bookmarkEnd w:id="382"/>
      <w:bookmarkStart w:id="383" w:name="_Toc184314434"/>
      <w:bookmarkEnd w:id="383"/>
      <w:bookmarkStart w:id="384" w:name="_Toc184312138"/>
      <w:bookmarkEnd w:id="384"/>
      <w:bookmarkStart w:id="385" w:name="_Toc184310290"/>
      <w:bookmarkEnd w:id="385"/>
      <w:bookmarkStart w:id="386" w:name="_Toc184313258"/>
      <w:bookmarkEnd w:id="386"/>
      <w:bookmarkStart w:id="387" w:name="_Toc184312135"/>
      <w:bookmarkEnd w:id="387"/>
      <w:bookmarkStart w:id="388" w:name="_Toc184313256"/>
      <w:bookmarkEnd w:id="388"/>
      <w:bookmarkStart w:id="389" w:name="_Toc184312091"/>
      <w:bookmarkEnd w:id="389"/>
      <w:bookmarkStart w:id="390" w:name="_Toc184308104"/>
      <w:bookmarkEnd w:id="390"/>
      <w:bookmarkStart w:id="391" w:name="_Toc184312122"/>
      <w:bookmarkEnd w:id="391"/>
      <w:bookmarkStart w:id="392" w:name="_Toc184314461"/>
      <w:bookmarkEnd w:id="392"/>
      <w:bookmarkStart w:id="393" w:name="_Toc184308070"/>
      <w:bookmarkEnd w:id="393"/>
      <w:bookmarkStart w:id="394" w:name="_Toc184312081"/>
      <w:bookmarkEnd w:id="394"/>
      <w:bookmarkStart w:id="395" w:name="_Toc184312114"/>
      <w:bookmarkEnd w:id="395"/>
      <w:bookmarkStart w:id="396" w:name="_Toc184312111"/>
      <w:bookmarkEnd w:id="396"/>
      <w:bookmarkStart w:id="397" w:name="_Toc184308053"/>
      <w:bookmarkEnd w:id="397"/>
      <w:bookmarkStart w:id="398" w:name="_Toc184312121"/>
      <w:bookmarkEnd w:id="398"/>
      <w:bookmarkStart w:id="399" w:name="_Toc184313277"/>
      <w:bookmarkEnd w:id="399"/>
      <w:bookmarkStart w:id="400" w:name="_Toc184314435"/>
      <w:bookmarkEnd w:id="400"/>
      <w:bookmarkStart w:id="401" w:name="_Toc184314443"/>
      <w:bookmarkEnd w:id="401"/>
      <w:bookmarkStart w:id="402" w:name="_Toc184313240"/>
      <w:bookmarkEnd w:id="402"/>
      <w:bookmarkStart w:id="403" w:name="_Toc184314441"/>
      <w:bookmarkEnd w:id="403"/>
      <w:bookmarkStart w:id="404" w:name="_Toc184312115"/>
      <w:bookmarkEnd w:id="404"/>
      <w:bookmarkStart w:id="405" w:name="_Toc184308095"/>
      <w:bookmarkEnd w:id="405"/>
      <w:bookmarkStart w:id="406" w:name="_Toc184312113"/>
      <w:bookmarkEnd w:id="406"/>
      <w:bookmarkStart w:id="407" w:name="_Toc184310313"/>
      <w:bookmarkEnd w:id="407"/>
      <w:bookmarkStart w:id="408" w:name="_Toc184314410"/>
      <w:bookmarkEnd w:id="408"/>
      <w:bookmarkStart w:id="409" w:name="_Toc184313247"/>
      <w:bookmarkEnd w:id="409"/>
      <w:bookmarkStart w:id="410" w:name="_Toc184308098"/>
      <w:bookmarkEnd w:id="410"/>
      <w:bookmarkStart w:id="411" w:name="_Toc184314423"/>
      <w:bookmarkEnd w:id="411"/>
      <w:bookmarkStart w:id="412" w:name="_Toc184312097"/>
      <w:bookmarkEnd w:id="412"/>
      <w:bookmarkStart w:id="413" w:name="_Toc184308088"/>
      <w:bookmarkEnd w:id="413"/>
      <w:bookmarkStart w:id="414" w:name="_Toc184314479"/>
      <w:bookmarkEnd w:id="414"/>
      <w:bookmarkStart w:id="415" w:name="_Toc184314458"/>
      <w:bookmarkEnd w:id="415"/>
      <w:bookmarkStart w:id="416" w:name="_Toc184314445"/>
      <w:bookmarkEnd w:id="416"/>
      <w:bookmarkStart w:id="417" w:name="_Toc184312084"/>
      <w:bookmarkEnd w:id="417"/>
      <w:bookmarkStart w:id="418" w:name="_Toc184310315"/>
      <w:bookmarkEnd w:id="418"/>
      <w:bookmarkStart w:id="419" w:name="_Toc184314429"/>
      <w:bookmarkEnd w:id="419"/>
      <w:bookmarkStart w:id="420" w:name="_Toc184312095"/>
      <w:bookmarkEnd w:id="420"/>
      <w:bookmarkStart w:id="421" w:name="_Toc184310340"/>
      <w:bookmarkEnd w:id="421"/>
      <w:bookmarkStart w:id="422" w:name="_Toc184310314"/>
      <w:bookmarkEnd w:id="422"/>
      <w:bookmarkStart w:id="423" w:name="_Toc184308077"/>
      <w:bookmarkEnd w:id="423"/>
      <w:bookmarkStart w:id="424" w:name="_Toc184313261"/>
      <w:bookmarkEnd w:id="424"/>
      <w:bookmarkStart w:id="425" w:name="_Toc184310322"/>
      <w:bookmarkEnd w:id="425"/>
      <w:bookmarkStart w:id="426" w:name="_Toc184314449"/>
      <w:bookmarkEnd w:id="426"/>
      <w:bookmarkStart w:id="427" w:name="_Toc184312128"/>
      <w:bookmarkEnd w:id="427"/>
      <w:r>
        <w:rPr>
          <w:rFonts w:hint="eastAsia" w:ascii="宋体" w:hAnsi="宋体" w:eastAsia="宋体" w:cs="宋体"/>
          <w:color w:val="auto"/>
          <w:highlight w:val="none"/>
        </w:rPr>
        <w:t>评审办法</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1.商务技术评分表（70）</w:t>
      </w:r>
    </w:p>
    <w:tbl>
      <w:tblPr>
        <w:tblStyle w:val="6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27"/>
        <w:gridCol w:w="7117"/>
        <w:gridCol w:w="613"/>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评分内容和标准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权重</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主客</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2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商务资信分（</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bookmarkStart w:id="428" w:name="OLE_LINK5"/>
            <w:r>
              <w:rPr>
                <w:rFonts w:hint="eastAsia" w:ascii="宋体" w:hAnsi="宋体" w:eastAsia="宋体" w:cs="宋体"/>
                <w:b/>
                <w:bCs/>
                <w:color w:val="auto"/>
                <w:sz w:val="21"/>
                <w:szCs w:val="21"/>
                <w:highlight w:val="none"/>
                <w:lang w:val="en-US" w:eastAsia="zh-CN"/>
              </w:rPr>
              <w:t>管理体系认证：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投标人或制造商提供有效期内的质量管理体系（ISO9001或GB/T19001）、环境管理体系（ISO14001或GB/T24001）、职业健康安全管理体系（ISO45001或GB/T 45001）认证证书。每项符合得1分，最高得3分。（以有效证书复印件为准）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在投标文件中提供在有效期内相应证书的复印件并加盖公章</w:t>
            </w:r>
            <w:r>
              <w:rPr>
                <w:rFonts w:hint="eastAsia" w:ascii="宋体" w:hAnsi="宋体" w:cs="宋体"/>
                <w:b/>
                <w:bCs/>
                <w:color w:val="auto"/>
                <w:sz w:val="21"/>
                <w:szCs w:val="21"/>
                <w:highlight w:val="none"/>
                <w:lang w:eastAsia="zh-CN"/>
              </w:rPr>
              <w:t>）</w:t>
            </w:r>
            <w:bookmarkEnd w:id="428"/>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827" w:type="dxa"/>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品质安全质量认证：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投标人或制造商具有有效期内的CQC中国环保产品认证证书。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有效的中国绿色产品认证证书，认证范围至少包含：木家具。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有效的家具中有害物质限量认证证书，认证范围至少包含：实木家具。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有效的低VOCs认证证书（认证单元：木家具）。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有效的低甲醛家具产品认证证书（认证单元：木家具）。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有效的产品阻燃等级认证证书（认证单元：木质家具）。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有效的家具室内空气环境影响评价认证证书，（认证单元实木家具、板式家具）。</w:t>
            </w:r>
          </w:p>
          <w:p>
            <w:pPr>
              <w:pStyle w:val="2"/>
              <w:keepNext w:val="0"/>
              <w:keepLines w:val="0"/>
              <w:suppressLineNumbers w:val="0"/>
              <w:spacing w:before="0" w:beforeAutospacing="0" w:after="0" w:afterAutospacing="0"/>
              <w:ind w:left="0" w:leftChars="0" w:right="0" w:firstLine="0" w:firstLineChars="0"/>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有效的产品抗菌认证证书（认证单元：木质家具）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每项符合得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分。（以有效证书复印件为准）</w:t>
            </w:r>
          </w:p>
          <w:p>
            <w:pPr>
              <w:keepNext w:val="0"/>
              <w:keepLines w:val="0"/>
              <w:suppressLineNumbers w:val="0"/>
              <w:bidi w:val="0"/>
              <w:spacing w:before="0" w:beforeAutospacing="0" w:after="0" w:afterAutospacing="0"/>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在投标文件中提供在有效期内相应证书的复印件并加盖公章</w:t>
            </w:r>
            <w:r>
              <w:rPr>
                <w:rFonts w:hint="eastAsia" w:ascii="宋体" w:hAnsi="宋体" w:cs="宋体"/>
                <w:b/>
                <w:bCs/>
                <w:color w:val="auto"/>
                <w:sz w:val="21"/>
                <w:szCs w:val="21"/>
                <w:highlight w:val="none"/>
                <w:lang w:eastAsia="zh-CN"/>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8</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827" w:type="dxa"/>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业绩经验：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自2022年1月1日以来（以合同签订时间为准）承接过同类项目业绩的，每个业绩得1分，最高得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（提供合同复印件并加盖投标人公章）</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827" w:type="dxa"/>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环境标志产品评审：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投标产品（台桌类、椅凳类、柜类、架类）列入财政部、生态环境部等部门发布的“环境标志产品品目清单”，且获得指定认证机构出具的环境标志产品认证证书的，每类产品得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投标人或产品制造商须提供国家确定的认证机构出具的、处于有效期之内的环境标志产品认证证书复印件，否则不得分。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szCs w:val="21"/>
                <w:highlight w:val="none"/>
                <w:lang w:val="en-US" w:eastAsia="zh-CN"/>
              </w:rPr>
              <w:t>1</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827" w:type="dxa"/>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投标人或制造商具有有效期内的《售后服务认证证书》(符合GB/T27922-2011标准）的得1分。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（须提供相关证书复印件并加盖投标人公章，不提供或提供不全不得分，否则不得分。）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1</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客</w:t>
            </w:r>
            <w:r>
              <w:rPr>
                <w:rFonts w:hint="eastAsia" w:ascii="宋体" w:hAnsi="宋体" w:eastAsia="宋体" w:cs="宋体"/>
                <w:color w:val="auto"/>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8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技术和服务方案分</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cs="宋体"/>
                <w:color w:val="auto"/>
                <w:highlight w:val="none"/>
                <w:lang w:val="en-US" w:eastAsia="zh-CN"/>
              </w:rPr>
              <w:t>（55</w:t>
            </w:r>
            <w:r>
              <w:rPr>
                <w:rFonts w:hint="eastAsia" w:ascii="宋体" w:hAnsi="宋体" w:eastAsia="宋体" w:cs="宋体"/>
                <w:color w:val="auto"/>
                <w:highlight w:val="none"/>
              </w:rPr>
              <w:t>分）</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投标产品</w:t>
            </w:r>
            <w:r>
              <w:rPr>
                <w:rFonts w:hint="eastAsia"/>
                <w:b/>
                <w:bCs/>
                <w:color w:val="auto"/>
                <w:highlight w:val="none"/>
              </w:rPr>
              <w:t>技术参数响应</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所投产品的技术参数与招标文件要求的响应程度，完全响应的得</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分，每负偏离1项扣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分，扣完为止。投标人须在偏离表中明确参数偏离情况，评审专家根据偏离表的偏离情况进行打分。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”的产品要求提供检测报告等证明资料的均须提供符合国家标准、国家推荐标准或行业推荐标准的带CMA或CNAS标志的合格检测报告复印件并加盖公章，否则不得分。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2）同一类型或材质的按一项技术指标计算，不重复扣分。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26</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投标产品总体设计方案：</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投标人应提供</w:t>
            </w:r>
            <w:r>
              <w:rPr>
                <w:rFonts w:hint="eastAsia"/>
                <w:color w:val="auto"/>
                <w:highlight w:val="none"/>
              </w:rPr>
              <w:t>美工教室</w:t>
            </w:r>
            <w:r>
              <w:rPr>
                <w:rFonts w:hint="eastAsia"/>
                <w:color w:val="auto"/>
                <w:highlight w:val="none"/>
                <w:lang w:eastAsia="zh-CN"/>
              </w:rPr>
              <w:t>、</w:t>
            </w:r>
            <w:r>
              <w:rPr>
                <w:rFonts w:hint="eastAsia"/>
                <w:color w:val="auto"/>
                <w:highlight w:val="none"/>
              </w:rPr>
              <w:t>阅览</w:t>
            </w:r>
            <w:r>
              <w:rPr>
                <w:rFonts w:hint="eastAsia"/>
                <w:color w:val="auto"/>
                <w:highlight w:val="none"/>
                <w:lang w:val="en-US" w:eastAsia="zh-CN"/>
              </w:rPr>
              <w:t>教室</w:t>
            </w:r>
            <w:r>
              <w:rPr>
                <w:rFonts w:hint="eastAsia"/>
                <w:color w:val="auto"/>
                <w:highlight w:val="none"/>
                <w:lang w:eastAsia="zh-CN"/>
              </w:rPr>
              <w:t>、</w:t>
            </w:r>
            <w:r>
              <w:rPr>
                <w:rFonts w:hint="eastAsia"/>
                <w:color w:val="auto"/>
                <w:highlight w:val="none"/>
                <w:lang w:val="en-US" w:eastAsia="zh-CN"/>
              </w:rPr>
              <w:t>木工教室、</w:t>
            </w:r>
            <w:r>
              <w:rPr>
                <w:rFonts w:hint="eastAsia"/>
                <w:color w:val="auto"/>
                <w:highlight w:val="none"/>
              </w:rPr>
              <w:t>生活教室</w:t>
            </w:r>
            <w:r>
              <w:rPr>
                <w:rFonts w:hint="eastAsia"/>
                <w:color w:val="auto"/>
                <w:highlight w:val="none"/>
                <w:lang w:eastAsia="zh-CN"/>
              </w:rPr>
              <w:t>、</w:t>
            </w:r>
            <w:r>
              <w:rPr>
                <w:rFonts w:hint="eastAsia"/>
                <w:color w:val="auto"/>
                <w:highlight w:val="none"/>
              </w:rPr>
              <w:t>科学教室</w:t>
            </w:r>
            <w:r>
              <w:rPr>
                <w:rFonts w:hint="eastAsia" w:ascii="宋体" w:hAnsi="宋体" w:eastAsia="宋体" w:cs="宋体"/>
                <w:color w:val="auto"/>
                <w:sz w:val="21"/>
                <w:szCs w:val="21"/>
                <w:highlight w:val="none"/>
                <w:lang w:val="en-US" w:eastAsia="zh-CN"/>
              </w:rPr>
              <w:t>的设计方案，要求①须根据招标文件的采购需求提供对应的空间效果图和平面布置图，每个室的图纸不少于3张；②图纸能够多角度展示空间效果、空间功能区域划分合理、产品布局落位合理、颜色舒适，能直观清晰的看到投标人所投产品在教室的摆放。按上述要求，对所有投标人进行综合评分，角度由评审小组综合评定。（每个场景得分0、1、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15</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项目实施</w:t>
            </w:r>
            <w:r>
              <w:rPr>
                <w:rFonts w:hint="eastAsia"/>
                <w:b/>
                <w:bCs/>
                <w:color w:val="auto"/>
                <w:highlight w:val="none"/>
              </w:rPr>
              <w:t>供货</w:t>
            </w:r>
            <w:r>
              <w:rPr>
                <w:rFonts w:hint="eastAsia" w:ascii="宋体" w:hAnsi="宋体" w:eastAsia="宋体" w:cs="宋体"/>
                <w:b/>
                <w:bCs/>
                <w:color w:val="auto"/>
                <w:sz w:val="21"/>
                <w:szCs w:val="21"/>
                <w:highlight w:val="none"/>
                <w:lang w:val="en-US" w:eastAsia="zh-CN"/>
              </w:rPr>
              <w:t>方案：</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投标人提供项目实施</w:t>
            </w:r>
            <w:r>
              <w:rPr>
                <w:rFonts w:hint="eastAsia"/>
                <w:b/>
                <w:bCs/>
                <w:color w:val="auto"/>
                <w:highlight w:val="none"/>
              </w:rPr>
              <w:t>供货</w:t>
            </w:r>
            <w:r>
              <w:rPr>
                <w:rFonts w:hint="eastAsia" w:ascii="宋体" w:hAnsi="宋体" w:eastAsia="宋体" w:cs="宋体"/>
                <w:color w:val="auto"/>
                <w:sz w:val="21"/>
                <w:szCs w:val="21"/>
                <w:highlight w:val="none"/>
                <w:lang w:val="en-US" w:eastAsia="zh-CN"/>
              </w:rPr>
              <w:t>方案，</w:t>
            </w:r>
            <w:r>
              <w:rPr>
                <w:rFonts w:hint="eastAsia"/>
                <w:color w:val="auto"/>
                <w:highlight w:val="none"/>
                <w:lang w:val="en-US" w:eastAsia="zh-CN"/>
              </w:rPr>
              <w:t>包括</w:t>
            </w:r>
            <w:r>
              <w:rPr>
                <w:rFonts w:hint="eastAsia"/>
                <w:color w:val="auto"/>
                <w:highlight w:val="none"/>
              </w:rPr>
              <w:t>总体部署、总工期、进度安排表、运输安排表、现场卸货及搬运入户措施的供货方案</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由评审小组综合评定。（得分0、1、2、3分）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品质管理管控方案：</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投标人提供品质管理管控方案，从①品管部门和品管专员配备方案；②原材料及生产环节品控方案；③成品产品品控、产品包装、运输与仓储管理角度由评审小组综合评定。（得分0、1、2、3分）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投标人提供售后服务方案，从①详细完整的“三包”措施；②售后服务措施和方案（包括服务措施、产品质量保证、回访、备品备件方案等）；③使用或保养培训方案角度由评审小组综合评定。（得分0、1、2、3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拟派项目实施团队情况，包括配置的人员专业能力、类似工作经验、分工情况等综合评定。</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根据投入人员数量是否充足、分工配备是否完善、类似项目经验是否丰富等综合评定，不提供或缺项的该项内容不得分。</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①团队配置全面合理且可操作性明确，与采购需求完全相适应的得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②团队配置基本与采购需求相适应，但存在欠缺的得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③团队配置存在严重缺项的得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w:t>
            </w:r>
          </w:p>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④未提供的得0分。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82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tabs>
                <w:tab w:val="left" w:pos="0"/>
              </w:tabs>
              <w:bidi w:val="0"/>
              <w:spacing w:before="0" w:beforeAutospacing="0" w:after="0" w:afterAutospacing="0"/>
              <w:ind w:left="0" w:leftChars="0" w:right="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项目安装管理方案：</w:t>
            </w:r>
          </w:p>
          <w:p>
            <w:pPr>
              <w:keepNext w:val="0"/>
              <w:keepLines w:val="0"/>
              <w:numPr>
                <w:ilvl w:val="0"/>
                <w:numId w:val="0"/>
              </w:numPr>
              <w:suppressLineNumbers w:val="0"/>
              <w:tabs>
                <w:tab w:val="left" w:pos="0"/>
              </w:tabs>
              <w:bidi w:val="0"/>
              <w:spacing w:before="0" w:beforeAutospacing="0" w:after="0" w:afterAutospacing="0"/>
              <w:ind w:left="0" w:leftChars="0" w:right="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投标人针对该项目的现场安装管理计划方案；根据提出的方案是否详尽且具有操作性进行评分，完全符合得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分，部分符合得0-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分，不提供得分。（0-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bl>
    <w:p>
      <w:pPr>
        <w:adjustRightInd w:val="0"/>
        <w:spacing w:line="360" w:lineRule="auto"/>
        <w:rPr>
          <w:rFonts w:hint="eastAsia" w:ascii="宋体" w:hAnsi="宋体" w:eastAsia="宋体" w:cs="宋体"/>
          <w:color w:val="auto"/>
          <w:highlight w:val="none"/>
          <w:lang w:bidi="ar"/>
        </w:rPr>
      </w:pPr>
      <w:r>
        <w:rPr>
          <w:rFonts w:hint="eastAsia" w:ascii="宋体" w:hAnsi="宋体" w:eastAsia="宋体" w:cs="宋体"/>
          <w:color w:val="auto"/>
          <w:sz w:val="24"/>
          <w:highlight w:val="none"/>
          <w:lang w:bidi="ar"/>
        </w:rPr>
        <w:t xml:space="preserve"> </w:t>
      </w:r>
    </w:p>
    <w:p>
      <w:pPr>
        <w:adjustRightIn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2.报价评分表（30）</w:t>
      </w:r>
    </w:p>
    <w:tbl>
      <w:tblPr>
        <w:tblStyle w:val="63"/>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价格权值</w:t>
            </w:r>
          </w:p>
        </w:tc>
        <w:tc>
          <w:tcPr>
            <w:tcW w:w="696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价格权值=0.30</w:t>
            </w:r>
          </w:p>
        </w:tc>
        <w:tc>
          <w:tcPr>
            <w:tcW w:w="696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最低有效投标价格为评标基准价</w:t>
            </w:r>
          </w:p>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投标报价得分=(评标基准价／投标报价)×价格权值×100 </w:t>
            </w:r>
          </w:p>
          <w:p>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（计算得分保留小数点后2位）</w:t>
            </w:r>
          </w:p>
          <w:p>
            <w:pPr>
              <w:keepNext w:val="0"/>
              <w:keepLines w:val="0"/>
              <w:widowControl/>
              <w:suppressLineNumbers w:val="0"/>
              <w:adjustRightInd w:val="0"/>
              <w:snapToGrid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评标过程中，不得去掉报价中的最高报价和最低报价。</w:t>
            </w:r>
          </w:p>
        </w:tc>
      </w:tr>
    </w:tbl>
    <w:p>
      <w:pPr>
        <w:adjustRightInd w:val="0"/>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 xml:space="preserve"> </w:t>
      </w:r>
    </w:p>
    <w:p>
      <w:pPr>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lang w:bidi="ar"/>
        </w:rPr>
        <w:t>*</w:t>
      </w:r>
      <w:r>
        <w:rPr>
          <w:rFonts w:hint="eastAsia" w:ascii="宋体" w:hAnsi="宋体" w:eastAsia="宋体" w:cs="宋体"/>
          <w:color w:val="auto"/>
          <w:sz w:val="24"/>
          <w:highlight w:val="none"/>
          <w:lang w:bidi="ar"/>
        </w:rPr>
        <w:t xml:space="preserve">备注：1、投标人编制投标文件（商务技术文件部分）时，建议按此目录（序号和内容）提供评标标准相应的商务技术资料。 </w:t>
      </w:r>
    </w:p>
    <w:p>
      <w:pPr>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2、评分条款中涉及的业绩、荣誉、人员、社保等分公司均有效。涉及社保、劳动关系证明关系的，如人员为法人代表，则无需提供相关证明，提供营业执照及身份证。</w:t>
      </w:r>
    </w:p>
    <w:p>
      <w:pPr>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3、投标文件中如附有外文资料，必须逐一对应翻译成中文并加盖投标人公章后附在相关外文资料后面，否则外文资料不予认可。</w:t>
      </w:r>
    </w:p>
    <w:p>
      <w:pPr>
        <w:widowControl/>
        <w:adjustRightInd/>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firstLine="643" w:firstLineChars="200"/>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综合评分法，是指投标文件满足交易文件全部实质性要求，且按照评审因素的量化指标评审得分最高的供应商为中标候选人的评标方法。</w:t>
      </w:r>
    </w:p>
    <w:p>
      <w:pPr>
        <w:adjustRightInd/>
        <w:spacing w:line="360" w:lineRule="auto"/>
        <w:ind w:firstLine="643" w:firstLineChars="200"/>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adjustRightInd/>
        <w:spacing w:line="360" w:lineRule="auto"/>
        <w:ind w:firstLine="643" w:firstLineChars="200"/>
        <w:rPr>
          <w:rFonts w:ascii="宋体" w:hAnsi="宋体" w:cs="宋体"/>
          <w:b/>
          <w:color w:val="auto"/>
          <w:sz w:val="32"/>
          <w:highlight w:val="none"/>
        </w:rPr>
      </w:pPr>
      <w:r>
        <w:rPr>
          <w:rFonts w:hint="eastAsia" w:ascii="宋体" w:hAnsi="宋体" w:cs="宋体"/>
          <w:b/>
          <w:color w:val="auto"/>
          <w:sz w:val="32"/>
          <w:highlight w:val="none"/>
        </w:rPr>
        <w:t>三、评标程序</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评标委员会应当对符合资格的供应商的投标文件进行符合性审查，以确定其是否满足交易文件的实质性要求。不满足交易文件的实质性要求的，投标无效。</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评标委员会应当按照交易文件中规定的评标方法和标准，对符合性审查合格的投标文件进行商务和技术评估，综合比较与评价。</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25"/>
        <w:spacing w:before="0"/>
        <w:ind w:firstLine="482"/>
        <w:rPr>
          <w:rFonts w:ascii="宋体" w:hAnsi="宋体" w:cs="宋体"/>
          <w:b/>
          <w:color w:val="auto"/>
          <w:kern w:val="0"/>
          <w:highlight w:val="none"/>
        </w:rPr>
      </w:pPr>
      <w:r>
        <w:rPr>
          <w:rFonts w:hint="eastAsia" w:ascii="宋体" w:hAnsi="宋体" w:cs="宋体"/>
          <w:b/>
          <w:color w:val="auto"/>
          <w:kern w:val="0"/>
          <w:highlight w:val="none"/>
        </w:rPr>
        <w:t>3.4.1投标文件报价出现前后不一致的，按照下列规定修正：</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w:t>
      </w:r>
      <w:r>
        <w:rPr>
          <w:rFonts w:hint="eastAsia" w:ascii="宋体" w:hAnsi="宋体" w:cs="宋体"/>
          <w:color w:val="auto"/>
          <w:kern w:val="0"/>
          <w:szCs w:val="24"/>
          <w:highlight w:val="none"/>
          <w:lang w:eastAsia="zh-CN"/>
        </w:rPr>
        <w:t>交易一览表</w:t>
      </w:r>
      <w:r>
        <w:rPr>
          <w:rFonts w:hint="eastAsia" w:ascii="宋体" w:hAnsi="宋体" w:cs="宋体"/>
          <w:color w:val="auto"/>
          <w:kern w:val="0"/>
          <w:szCs w:val="24"/>
          <w:highlight w:val="none"/>
        </w:rPr>
        <w:t>(报价表)内容与投标文件中相应内容不一致的，以</w:t>
      </w:r>
      <w:r>
        <w:rPr>
          <w:rFonts w:hint="eastAsia" w:ascii="宋体" w:hAnsi="宋体" w:cs="宋体"/>
          <w:color w:val="auto"/>
          <w:kern w:val="0"/>
          <w:szCs w:val="24"/>
          <w:highlight w:val="none"/>
          <w:lang w:eastAsia="zh-CN"/>
        </w:rPr>
        <w:t>交易一览表</w:t>
      </w:r>
      <w:r>
        <w:rPr>
          <w:rFonts w:hint="eastAsia" w:ascii="宋体" w:hAnsi="宋体" w:cs="宋体"/>
          <w:color w:val="auto"/>
          <w:kern w:val="0"/>
          <w:szCs w:val="24"/>
          <w:highlight w:val="none"/>
        </w:rPr>
        <w:t>(报价表)为准;</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color w:val="auto"/>
          <w:kern w:val="0"/>
          <w:szCs w:val="24"/>
          <w:highlight w:val="none"/>
          <w:lang w:eastAsia="zh-CN"/>
        </w:rPr>
        <w:t>交易一览表</w:t>
      </w:r>
      <w:r>
        <w:rPr>
          <w:rFonts w:hint="eastAsia" w:ascii="宋体" w:hAnsi="宋体" w:cs="宋体"/>
          <w:color w:val="auto"/>
          <w:kern w:val="0"/>
          <w:szCs w:val="24"/>
          <w:highlight w:val="none"/>
        </w:rPr>
        <w:t>的总价为准，并修改单价;</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《政府采购货物和服务交易投标管理办法》第五十一条第二款的规定经供应商确认后产生约束力。</w:t>
      </w:r>
    </w:p>
    <w:p>
      <w:pP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p>
    <w:p>
      <w:pPr>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3.4.3</w:t>
      </w:r>
      <w:r>
        <w:rPr>
          <w:rFonts w:hint="eastAsia" w:ascii="宋体" w:hAnsi="宋体" w:cs="宋体"/>
          <w:color w:val="auto"/>
          <w:kern w:val="0"/>
          <w:sz w:val="24"/>
          <w:highlight w:val="none"/>
        </w:rPr>
        <w:t>投标报价超过交易文件中规定的预算金额或者最高限价的，投标无效。</w:t>
      </w:r>
    </w:p>
    <w:p>
      <w:pPr>
        <w:pStyle w:val="225"/>
        <w:spacing w:before="0"/>
        <w:ind w:firstLine="482"/>
        <w:rPr>
          <w:rFonts w:ascii="宋体" w:hAnsi="宋体" w:cs="宋体"/>
          <w:color w:val="auto"/>
          <w:kern w:val="0"/>
          <w:szCs w:val="24"/>
          <w:highlight w:val="none"/>
        </w:rPr>
      </w:pPr>
      <w:r>
        <w:rPr>
          <w:rFonts w:hint="eastAsia" w:ascii="宋体" w:hAnsi="宋体" w:cs="宋体"/>
          <w:b/>
          <w:color w:val="auto"/>
          <w:kern w:val="0"/>
          <w:szCs w:val="24"/>
          <w:highlight w:val="none"/>
        </w:rPr>
        <w:t>3.4.4</w:t>
      </w:r>
      <w:r>
        <w:rPr>
          <w:rFonts w:hint="eastAsia" w:ascii="宋体" w:hAnsi="宋体" w:cs="宋体"/>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3.5排序与推荐</w:t>
      </w:r>
      <w:r>
        <w:rPr>
          <w:rFonts w:hint="eastAsia" w:ascii="宋体" w:hAnsi="宋体" w:cs="宋体"/>
          <w:b/>
          <w:color w:val="auto"/>
          <w:kern w:val="0"/>
          <w:sz w:val="24"/>
          <w:highlight w:val="none"/>
        </w:rPr>
        <w:t>。</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pPr>
        <w:widowControl/>
        <w:adjustRightInd/>
        <w:spacing w:before="100" w:beforeAutospacing="1" w:after="100" w:afterAutospacing="1" w:line="360" w:lineRule="auto"/>
        <w:ind w:firstLine="482" w:firstLineChars="200"/>
        <w:jc w:val="left"/>
        <w:rPr>
          <w:rFonts w:ascii="宋体" w:hAnsi="宋体" w:cs="宋体"/>
          <w:color w:val="auto"/>
          <w:kern w:val="0"/>
          <w:szCs w:val="21"/>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60" w:lineRule="auto"/>
        <w:ind w:firstLine="643" w:firstLineChars="200"/>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225"/>
        <w:spacing w:before="0"/>
        <w:ind w:firstLine="482"/>
        <w:rPr>
          <w:rFonts w:ascii="宋体" w:hAnsi="宋体" w:cs="宋体"/>
          <w:color w:val="auto"/>
          <w:kern w:val="0"/>
          <w:szCs w:val="24"/>
          <w:highlight w:val="none"/>
        </w:rPr>
      </w:pPr>
      <w:r>
        <w:rPr>
          <w:rFonts w:hint="eastAsia" w:ascii="宋体" w:hAnsi="宋体" w:cs="宋体"/>
          <w:b/>
          <w:bCs/>
          <w:color w:val="auto"/>
          <w:kern w:val="0"/>
          <w:szCs w:val="21"/>
          <w:highlight w:val="none"/>
        </w:rPr>
        <w:t>4.1</w:t>
      </w:r>
      <w:r>
        <w:rPr>
          <w:rFonts w:hint="eastAsia" w:ascii="宋体" w:hAnsi="宋体" w:cs="宋体"/>
          <w:b/>
          <w:bCs/>
          <w:color w:val="auto"/>
          <w:kern w:val="0"/>
          <w:szCs w:val="24"/>
          <w:highlight w:val="none"/>
        </w:rPr>
        <w:t>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26"/>
        <w:spacing w:line="360" w:lineRule="auto"/>
        <w:ind w:firstLine="562"/>
        <w:rPr>
          <w:rFonts w:cs="宋体"/>
          <w:color w:val="auto"/>
          <w:szCs w:val="21"/>
          <w:highlight w:val="none"/>
        </w:rPr>
      </w:pPr>
      <w:r>
        <w:rPr>
          <w:rFonts w:hint="eastAsia" w:cs="宋体"/>
          <w:b/>
          <w:color w:val="auto"/>
          <w:spacing w:val="20"/>
          <w:highlight w:val="none"/>
        </w:rPr>
        <w:t>4.2投标无效。</w:t>
      </w:r>
      <w:r>
        <w:rPr>
          <w:rFonts w:hint="eastAsia" w:cs="宋体"/>
          <w:color w:val="auto"/>
          <w:szCs w:val="21"/>
          <w:highlight w:val="none"/>
        </w:rPr>
        <w:t>有下列情况之一的，投标无效：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4.2.2投标文件未按照交易文件要求签署、盖章的；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宋体" w:hAnsi="宋体" w:cs="宋体"/>
          <w:color w:val="auto"/>
          <w:sz w:val="24"/>
          <w:highlight w:val="none"/>
        </w:rPr>
        <w:t>、环境标志产品认证证书</w:t>
      </w:r>
      <w:r>
        <w:rPr>
          <w:rFonts w:hint="eastAsia" w:ascii="宋体" w:hAnsi="宋体" w:cs="宋体"/>
          <w:color w:val="auto"/>
          <w:kern w:val="0"/>
          <w:sz w:val="24"/>
          <w:highlight w:val="none"/>
        </w:rPr>
        <w:t>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4.2.5投标文件中承诺的投标有效期少于交易文件中载明的投标有效期的；</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4.2.7投标报价超过交易文件中规定的预算金额或者最高限价的;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4.2.12供应商仅提交备份投标文件，没有在电子交易平台传输递交投标文件的，投标无效；</w:t>
      </w:r>
    </w:p>
    <w:p>
      <w:pPr>
        <w:pStyle w:val="4"/>
        <w:numPr>
          <w:ilvl w:val="0"/>
          <w:numId w:val="0"/>
        </w:numPr>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投标文件不满足交易文件的其它实质性要求的；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82"/>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废标后，采购机构应当将废标理由通知所有供应商。</w:t>
      </w:r>
    </w:p>
    <w:p>
      <w:pPr>
        <w:pStyle w:val="26"/>
        <w:snapToGrid w:val="0"/>
        <w:spacing w:line="360" w:lineRule="auto"/>
        <w:ind w:firstLine="482"/>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7.1未确定中标或者成交人的，终止本次政府采购活动，重新开展政府采购活动。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7.3政府采购合同已签订但尚未履行的，撤销合同，从合格的中标或者成交候选人中另行确定中标或者成交人；没有合格的中标或者成交候选人的，重新开展政府采购活动。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p>
      <w:pPr>
        <w:widowControl/>
        <w:spacing w:line="360" w:lineRule="auto"/>
        <w:ind w:firstLine="480" w:firstLineChars="200"/>
        <w:rPr>
          <w:rFonts w:ascii="宋体" w:hAnsi="宋体" w:cs="宋体"/>
          <w:color w:val="auto"/>
          <w:sz w:val="24"/>
          <w:highlight w:val="none"/>
        </w:rPr>
      </w:pPr>
    </w:p>
    <w:p>
      <w:pPr>
        <w:pStyle w:val="3"/>
        <w:rPr>
          <w:rFonts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第五部分</w:t>
      </w:r>
      <w:bookmarkEnd w:id="62"/>
      <w:r>
        <w:rPr>
          <w:rFonts w:hint="eastAsia" w:ascii="宋体" w:hAnsi="宋体" w:eastAsia="宋体" w:cs="宋体"/>
          <w:color w:val="auto"/>
          <w:highlight w:val="none"/>
        </w:rPr>
        <w:t xml:space="preserve"> 拟签订的合同文本</w:t>
      </w:r>
    </w:p>
    <w:p>
      <w:pPr>
        <w:pStyle w:val="26"/>
        <w:snapToGrid w:val="0"/>
        <w:spacing w:line="360" w:lineRule="auto"/>
        <w:jc w:val="center"/>
        <w:rPr>
          <w:rFonts w:cs="宋体"/>
          <w:color w:val="auto"/>
          <w:highlight w:val="none"/>
        </w:rPr>
      </w:pPr>
      <w:bookmarkStart w:id="429" w:name="第五部分"/>
      <w:bookmarkStart w:id="430" w:name="_Toc86217003"/>
      <w:r>
        <w:rPr>
          <w:rFonts w:hint="eastAsia" w:cs="宋体"/>
          <w:color w:val="auto"/>
          <w:highlight w:val="none"/>
        </w:rPr>
        <w:t>（服务类参考样本,具体以交易人实际合同为准）</w:t>
      </w:r>
    </w:p>
    <w:p>
      <w:pPr>
        <w:pStyle w:val="26"/>
        <w:snapToGrid w:val="0"/>
        <w:spacing w:line="360" w:lineRule="auto"/>
        <w:rPr>
          <w:rFonts w:cs="宋体"/>
          <w:color w:val="auto"/>
          <w:highlight w:val="none"/>
        </w:rPr>
      </w:pPr>
      <w:r>
        <w:rPr>
          <w:rFonts w:hint="eastAsia" w:cs="宋体"/>
          <w:color w:val="auto"/>
          <w:highlight w:val="none"/>
        </w:rPr>
        <w:t>合同编号：</w:t>
      </w:r>
    </w:p>
    <w:p>
      <w:pPr>
        <w:pStyle w:val="26"/>
        <w:snapToGrid w:val="0"/>
        <w:spacing w:line="360" w:lineRule="auto"/>
        <w:rPr>
          <w:rFonts w:cs="宋体"/>
          <w:color w:val="auto"/>
          <w:highlight w:val="none"/>
        </w:rPr>
      </w:pPr>
      <w:r>
        <w:rPr>
          <w:rFonts w:hint="eastAsia" w:cs="宋体"/>
          <w:color w:val="auto"/>
          <w:highlight w:val="none"/>
        </w:rPr>
        <w:t>签订地点：                                 签订时间：202</w:t>
      </w:r>
      <w:r>
        <w:rPr>
          <w:rFonts w:hint="eastAsia" w:cs="宋体"/>
          <w:color w:val="auto"/>
          <w:highlight w:val="none"/>
          <w:lang w:val="en-US" w:eastAsia="zh-CN"/>
        </w:rPr>
        <w:t>5</w:t>
      </w:r>
      <w:r>
        <w:rPr>
          <w:rFonts w:hint="eastAsia" w:cs="宋体"/>
          <w:color w:val="auto"/>
          <w:highlight w:val="none"/>
        </w:rPr>
        <w:t>年  月  日</w:t>
      </w:r>
    </w:p>
    <w:p>
      <w:pPr>
        <w:pStyle w:val="26"/>
        <w:snapToGrid w:val="0"/>
        <w:spacing w:line="360" w:lineRule="auto"/>
        <w:rPr>
          <w:rFonts w:cs="宋体"/>
          <w:color w:val="auto"/>
          <w:highlight w:val="none"/>
        </w:rPr>
      </w:pPr>
      <w:r>
        <w:rPr>
          <w:rFonts w:hint="eastAsia" w:cs="宋体"/>
          <w:color w:val="auto"/>
          <w:highlight w:val="none"/>
        </w:rPr>
        <w:t>项目名称：</w:t>
      </w:r>
    </w:p>
    <w:p>
      <w:pPr>
        <w:pStyle w:val="26"/>
        <w:snapToGrid w:val="0"/>
        <w:spacing w:line="360" w:lineRule="auto"/>
        <w:rPr>
          <w:rFonts w:cs="宋体"/>
          <w:color w:val="auto"/>
          <w:highlight w:val="none"/>
        </w:rPr>
      </w:pPr>
      <w:r>
        <w:rPr>
          <w:rFonts w:hint="eastAsia" w:cs="宋体"/>
          <w:color w:val="auto"/>
          <w:highlight w:val="none"/>
        </w:rPr>
        <w:t xml:space="preserve">甲方（需方）：                                     </w:t>
      </w:r>
    </w:p>
    <w:p>
      <w:pPr>
        <w:pStyle w:val="26"/>
        <w:snapToGrid w:val="0"/>
        <w:spacing w:line="360" w:lineRule="auto"/>
        <w:rPr>
          <w:rFonts w:cs="宋体"/>
          <w:color w:val="auto"/>
          <w:highlight w:val="none"/>
        </w:rPr>
      </w:pPr>
      <w:r>
        <w:rPr>
          <w:rFonts w:hint="eastAsia" w:cs="宋体"/>
          <w:color w:val="auto"/>
          <w:highlight w:val="none"/>
        </w:rPr>
        <w:t xml:space="preserve">乙方（供方）：                                     </w:t>
      </w:r>
    </w:p>
    <w:p>
      <w:pPr>
        <w:pStyle w:val="26"/>
        <w:snapToGrid w:val="0"/>
        <w:spacing w:line="360" w:lineRule="auto"/>
        <w:rPr>
          <w:rFonts w:cs="宋体"/>
          <w:color w:val="auto"/>
          <w:highlight w:val="none"/>
        </w:rPr>
      </w:pPr>
      <w:r>
        <w:rPr>
          <w:rFonts w:hint="eastAsia" w:cs="宋体"/>
          <w:color w:val="auto"/>
          <w:highlight w:val="none"/>
        </w:rPr>
        <w:t>供、需双方根据杭州市萧山区                             项目（交易编号-  -  -   ）交易结果和交易文件的要求，并经双方协调一致，订立本采购合同。</w:t>
      </w:r>
    </w:p>
    <w:p>
      <w:pPr>
        <w:pStyle w:val="26"/>
        <w:snapToGrid w:val="0"/>
        <w:spacing w:line="360" w:lineRule="auto"/>
        <w:rPr>
          <w:rFonts w:cs="宋体"/>
          <w:color w:val="auto"/>
          <w:highlight w:val="none"/>
        </w:rPr>
      </w:pPr>
      <w:r>
        <w:rPr>
          <w:rFonts w:hint="eastAsia" w:cs="宋体"/>
          <w:color w:val="auto"/>
          <w:highlight w:val="none"/>
        </w:rPr>
        <w:t>一、合同文件：</w:t>
      </w:r>
    </w:p>
    <w:p>
      <w:pPr>
        <w:pStyle w:val="26"/>
        <w:snapToGrid w:val="0"/>
        <w:spacing w:line="360" w:lineRule="auto"/>
        <w:rPr>
          <w:rFonts w:cs="宋体"/>
          <w:color w:val="auto"/>
          <w:highlight w:val="none"/>
        </w:rPr>
      </w:pPr>
      <w:r>
        <w:rPr>
          <w:rFonts w:hint="eastAsia" w:cs="宋体"/>
          <w:color w:val="auto"/>
          <w:highlight w:val="none"/>
        </w:rPr>
        <w:t>1、合同条款。</w:t>
      </w:r>
    </w:p>
    <w:p>
      <w:pPr>
        <w:pStyle w:val="26"/>
        <w:snapToGrid w:val="0"/>
        <w:spacing w:line="360" w:lineRule="auto"/>
        <w:rPr>
          <w:rFonts w:cs="宋体"/>
          <w:color w:val="auto"/>
          <w:highlight w:val="none"/>
        </w:rPr>
      </w:pPr>
      <w:r>
        <w:rPr>
          <w:rFonts w:hint="eastAsia" w:cs="宋体"/>
          <w:color w:val="auto"/>
          <w:highlight w:val="none"/>
        </w:rPr>
        <w:t>2、中标通知书。</w:t>
      </w:r>
    </w:p>
    <w:p>
      <w:pPr>
        <w:pStyle w:val="26"/>
        <w:snapToGrid w:val="0"/>
        <w:spacing w:line="360" w:lineRule="auto"/>
        <w:rPr>
          <w:rFonts w:cs="宋体"/>
          <w:color w:val="auto"/>
          <w:highlight w:val="none"/>
        </w:rPr>
      </w:pPr>
      <w:r>
        <w:rPr>
          <w:rFonts w:hint="eastAsia" w:cs="宋体"/>
          <w:color w:val="auto"/>
          <w:highlight w:val="none"/>
        </w:rPr>
        <w:t>3、交易文件。</w:t>
      </w:r>
    </w:p>
    <w:p>
      <w:pPr>
        <w:pStyle w:val="26"/>
        <w:snapToGrid w:val="0"/>
        <w:spacing w:line="360" w:lineRule="auto"/>
        <w:rPr>
          <w:rFonts w:cs="宋体"/>
          <w:color w:val="auto"/>
          <w:highlight w:val="none"/>
        </w:rPr>
      </w:pPr>
      <w:r>
        <w:rPr>
          <w:rFonts w:hint="eastAsia" w:cs="宋体"/>
          <w:color w:val="auto"/>
          <w:highlight w:val="none"/>
        </w:rPr>
        <w:t>4、更正公告。</w:t>
      </w:r>
    </w:p>
    <w:p>
      <w:pPr>
        <w:pStyle w:val="26"/>
        <w:snapToGrid w:val="0"/>
        <w:spacing w:line="360" w:lineRule="auto"/>
        <w:rPr>
          <w:rFonts w:cs="宋体"/>
          <w:color w:val="auto"/>
          <w:highlight w:val="none"/>
        </w:rPr>
      </w:pPr>
      <w:r>
        <w:rPr>
          <w:rFonts w:hint="eastAsia" w:cs="宋体"/>
          <w:color w:val="auto"/>
          <w:highlight w:val="none"/>
        </w:rPr>
        <w:t>5、中标单位投标文件。</w:t>
      </w:r>
    </w:p>
    <w:p>
      <w:pPr>
        <w:pStyle w:val="26"/>
        <w:snapToGrid w:val="0"/>
        <w:spacing w:line="360" w:lineRule="auto"/>
        <w:rPr>
          <w:rFonts w:cs="宋体"/>
          <w:color w:val="auto"/>
          <w:highlight w:val="none"/>
        </w:rPr>
      </w:pPr>
      <w:r>
        <w:rPr>
          <w:rFonts w:hint="eastAsia" w:cs="宋体"/>
          <w:color w:val="auto"/>
          <w:highlight w:val="none"/>
        </w:rPr>
        <w:t>6、其他。</w:t>
      </w:r>
    </w:p>
    <w:p>
      <w:pPr>
        <w:pStyle w:val="26"/>
        <w:snapToGrid w:val="0"/>
        <w:spacing w:line="360" w:lineRule="auto"/>
        <w:rPr>
          <w:rFonts w:cs="宋体"/>
          <w:color w:val="auto"/>
          <w:highlight w:val="none"/>
        </w:rPr>
      </w:pPr>
      <w:r>
        <w:rPr>
          <w:rFonts w:hint="eastAsia" w:cs="宋体"/>
          <w:color w:val="auto"/>
          <w:highlight w:val="none"/>
        </w:rPr>
        <w:t>二、合同金额: 本合同金额为(大写)_________________元（￥　　　　元）人民币附：《采购项目清单内容》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hRule="atLeast"/>
          <w:jc w:val="center"/>
        </w:trPr>
        <w:tc>
          <w:tcPr>
            <w:tcW w:w="945" w:type="dxa"/>
            <w:vAlign w:val="center"/>
          </w:tcPr>
          <w:p>
            <w:pPr>
              <w:pStyle w:val="26"/>
              <w:keepNext w:val="0"/>
              <w:keepLines w:val="0"/>
              <w:suppressLineNumbers w:val="0"/>
              <w:snapToGrid w:val="0"/>
              <w:spacing w:before="0" w:beforeAutospacing="0" w:after="0" w:afterAutospacing="0" w:line="360" w:lineRule="auto"/>
              <w:ind w:left="0" w:right="0" w:firstLine="0" w:firstLineChars="0"/>
              <w:rPr>
                <w:rFonts w:hint="default" w:cs="宋体"/>
                <w:color w:val="auto"/>
                <w:highlight w:val="none"/>
              </w:rPr>
            </w:pPr>
            <w:r>
              <w:rPr>
                <w:rFonts w:hint="eastAsia" w:cs="宋体"/>
                <w:color w:val="auto"/>
                <w:highlight w:val="none"/>
              </w:rPr>
              <w:t>序号</w:t>
            </w:r>
          </w:p>
        </w:tc>
        <w:tc>
          <w:tcPr>
            <w:tcW w:w="1692"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r>
              <w:rPr>
                <w:rFonts w:hint="eastAsia" w:cs="宋体"/>
                <w:color w:val="auto"/>
                <w:highlight w:val="none"/>
              </w:rPr>
              <w:t>采购项目</w:t>
            </w:r>
          </w:p>
        </w:tc>
        <w:tc>
          <w:tcPr>
            <w:tcW w:w="1800"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r>
              <w:rPr>
                <w:rFonts w:hint="eastAsia" w:cs="宋体"/>
                <w:color w:val="auto"/>
                <w:highlight w:val="none"/>
              </w:rPr>
              <w:t>中标内容</w:t>
            </w:r>
          </w:p>
        </w:tc>
        <w:tc>
          <w:tcPr>
            <w:tcW w:w="1758" w:type="dxa"/>
            <w:vAlign w:val="center"/>
          </w:tcPr>
          <w:p>
            <w:pPr>
              <w:pStyle w:val="26"/>
              <w:keepNext w:val="0"/>
              <w:keepLines w:val="0"/>
              <w:suppressLineNumbers w:val="0"/>
              <w:snapToGrid w:val="0"/>
              <w:spacing w:before="0" w:beforeAutospacing="0" w:after="0" w:afterAutospacing="0" w:line="360" w:lineRule="auto"/>
              <w:ind w:left="0" w:right="0" w:firstLine="0" w:firstLineChars="0"/>
              <w:rPr>
                <w:rFonts w:hint="default" w:cs="宋体"/>
                <w:color w:val="auto"/>
                <w:highlight w:val="none"/>
              </w:rPr>
            </w:pPr>
            <w:r>
              <w:rPr>
                <w:rFonts w:hint="eastAsia" w:cs="宋体"/>
                <w:color w:val="auto"/>
                <w:highlight w:val="none"/>
              </w:rPr>
              <w:t>中标单价（元）</w:t>
            </w:r>
          </w:p>
        </w:tc>
        <w:tc>
          <w:tcPr>
            <w:tcW w:w="762" w:type="dxa"/>
            <w:vAlign w:val="center"/>
          </w:tcPr>
          <w:p>
            <w:pPr>
              <w:pStyle w:val="26"/>
              <w:keepNext w:val="0"/>
              <w:keepLines w:val="0"/>
              <w:suppressLineNumbers w:val="0"/>
              <w:snapToGrid w:val="0"/>
              <w:spacing w:before="0" w:beforeAutospacing="0" w:after="0" w:afterAutospacing="0" w:line="360" w:lineRule="auto"/>
              <w:ind w:left="0" w:right="0" w:firstLine="0" w:firstLineChars="0"/>
              <w:rPr>
                <w:rFonts w:hint="default" w:cs="宋体"/>
                <w:color w:val="auto"/>
                <w:highlight w:val="none"/>
              </w:rPr>
            </w:pPr>
            <w:r>
              <w:rPr>
                <w:rFonts w:hint="eastAsia" w:cs="宋体"/>
                <w:color w:val="auto"/>
                <w:highlight w:val="none"/>
              </w:rPr>
              <w:t>数量</w:t>
            </w:r>
          </w:p>
        </w:tc>
        <w:tc>
          <w:tcPr>
            <w:tcW w:w="1867" w:type="dxa"/>
            <w:vAlign w:val="center"/>
          </w:tcPr>
          <w:p>
            <w:pPr>
              <w:pStyle w:val="26"/>
              <w:keepNext w:val="0"/>
              <w:keepLines w:val="0"/>
              <w:suppressLineNumbers w:val="0"/>
              <w:snapToGrid w:val="0"/>
              <w:spacing w:before="0" w:beforeAutospacing="0" w:after="0" w:afterAutospacing="0" w:line="360" w:lineRule="auto"/>
              <w:ind w:left="0" w:right="0" w:firstLine="0" w:firstLineChars="0"/>
              <w:rPr>
                <w:rFonts w:hint="default" w:cs="宋体"/>
                <w:color w:val="auto"/>
                <w:highlight w:val="none"/>
              </w:rPr>
            </w:pPr>
            <w:r>
              <w:rPr>
                <w:rFonts w:hint="eastAsia" w:cs="宋体"/>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r>
              <w:rPr>
                <w:rFonts w:hint="eastAsia" w:cs="宋体"/>
                <w:color w:val="auto"/>
                <w:highlight w:val="none"/>
              </w:rPr>
              <w:t>1</w:t>
            </w:r>
          </w:p>
        </w:tc>
        <w:tc>
          <w:tcPr>
            <w:tcW w:w="1692"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800"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758"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762"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867"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r>
              <w:rPr>
                <w:rFonts w:hint="eastAsia" w:cs="宋体"/>
                <w:color w:val="auto"/>
                <w:highlight w:val="none"/>
              </w:rPr>
              <w:t>2</w:t>
            </w:r>
          </w:p>
        </w:tc>
        <w:tc>
          <w:tcPr>
            <w:tcW w:w="1692"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800"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758"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762"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c>
          <w:tcPr>
            <w:tcW w:w="1867" w:type="dxa"/>
            <w:vAlign w:val="center"/>
          </w:tcPr>
          <w:p>
            <w:pPr>
              <w:pStyle w:val="26"/>
              <w:keepNext w:val="0"/>
              <w:keepLines w:val="0"/>
              <w:suppressLineNumbers w:val="0"/>
              <w:snapToGrid w:val="0"/>
              <w:spacing w:before="0" w:beforeAutospacing="0" w:after="0" w:afterAutospacing="0" w:line="360" w:lineRule="auto"/>
              <w:ind w:left="0" w:right="0"/>
              <w:rPr>
                <w:rFonts w:hint="default" w:cs="宋体"/>
                <w:color w:val="auto"/>
                <w:highlight w:val="none"/>
              </w:rPr>
            </w:pPr>
          </w:p>
        </w:tc>
      </w:tr>
    </w:tbl>
    <w:p>
      <w:pPr>
        <w:pStyle w:val="26"/>
        <w:snapToGrid w:val="0"/>
        <w:spacing w:line="360" w:lineRule="auto"/>
        <w:rPr>
          <w:rFonts w:cs="宋体"/>
          <w:color w:val="auto"/>
          <w:highlight w:val="none"/>
        </w:rPr>
      </w:pPr>
      <w:r>
        <w:rPr>
          <w:rFonts w:hint="eastAsia" w:cs="宋体"/>
          <w:color w:val="auto"/>
          <w:highlight w:val="none"/>
        </w:rPr>
        <w:t>三、技术资料</w:t>
      </w:r>
    </w:p>
    <w:p>
      <w:pPr>
        <w:pStyle w:val="26"/>
        <w:snapToGrid w:val="0"/>
        <w:spacing w:line="360" w:lineRule="auto"/>
        <w:rPr>
          <w:rFonts w:cs="宋体"/>
          <w:color w:val="auto"/>
          <w:highlight w:val="none"/>
        </w:rPr>
      </w:pPr>
      <w:r>
        <w:rPr>
          <w:rFonts w:hint="eastAsia" w:cs="宋体"/>
          <w:color w:val="auto"/>
          <w:highlight w:val="none"/>
        </w:rPr>
        <w:t>1.乙方应按交易文件规定的时间向甲方提供有关技术资料。</w:t>
      </w:r>
    </w:p>
    <w:p>
      <w:pPr>
        <w:pStyle w:val="26"/>
        <w:snapToGrid w:val="0"/>
        <w:spacing w:line="360" w:lineRule="auto"/>
        <w:rPr>
          <w:rFonts w:cs="宋体"/>
          <w:color w:val="auto"/>
          <w:highlight w:val="none"/>
        </w:rPr>
      </w:pPr>
      <w:r>
        <w:rPr>
          <w:rFonts w:hint="eastAsia"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line="360" w:lineRule="auto"/>
        <w:rPr>
          <w:rFonts w:cs="宋体"/>
          <w:color w:val="auto"/>
          <w:highlight w:val="none"/>
        </w:rPr>
      </w:pPr>
      <w:r>
        <w:rPr>
          <w:rFonts w:hint="eastAsia" w:cs="宋体"/>
          <w:color w:val="auto"/>
          <w:highlight w:val="none"/>
        </w:rPr>
        <w:t>四、知识产权</w:t>
      </w:r>
    </w:p>
    <w:p>
      <w:pPr>
        <w:pStyle w:val="26"/>
        <w:snapToGrid w:val="0"/>
        <w:spacing w:line="360" w:lineRule="auto"/>
        <w:rPr>
          <w:rFonts w:cs="宋体"/>
          <w:color w:val="auto"/>
          <w:highlight w:val="none"/>
        </w:rPr>
      </w:pPr>
      <w:r>
        <w:rPr>
          <w:rFonts w:hint="eastAsia" w:cs="宋体"/>
          <w:color w:val="auto"/>
          <w:highlight w:val="none"/>
        </w:rPr>
        <w:t>乙方应保证提供服务过程中不会侵犯任何第三方的知识产权。</w:t>
      </w:r>
    </w:p>
    <w:p>
      <w:pPr>
        <w:pStyle w:val="26"/>
        <w:snapToGrid w:val="0"/>
        <w:spacing w:line="360" w:lineRule="auto"/>
        <w:rPr>
          <w:rFonts w:cs="宋体"/>
          <w:color w:val="auto"/>
          <w:highlight w:val="none"/>
        </w:rPr>
      </w:pPr>
      <w:r>
        <w:rPr>
          <w:rFonts w:hint="eastAsia" w:cs="宋体"/>
          <w:color w:val="auto"/>
          <w:highlight w:val="none"/>
        </w:rPr>
        <w:t>五、履约保证金</w:t>
      </w:r>
    </w:p>
    <w:p>
      <w:pPr>
        <w:pStyle w:val="26"/>
        <w:snapToGrid w:val="0"/>
        <w:spacing w:line="360" w:lineRule="auto"/>
        <w:rPr>
          <w:rFonts w:cs="宋体"/>
          <w:color w:val="auto"/>
          <w:highlight w:val="none"/>
        </w:rPr>
      </w:pPr>
      <w:r>
        <w:rPr>
          <w:rFonts w:hint="eastAsia" w:cs="宋体"/>
          <w:color w:val="auto"/>
          <w:highlight w:val="none"/>
        </w:rPr>
        <w:t>乙方交纳人民币        元作为本合同的履约保证金。</w:t>
      </w:r>
    </w:p>
    <w:p>
      <w:pPr>
        <w:pStyle w:val="26"/>
        <w:snapToGrid w:val="0"/>
        <w:spacing w:line="360" w:lineRule="auto"/>
        <w:rPr>
          <w:rFonts w:cs="宋体"/>
          <w:color w:val="auto"/>
          <w:highlight w:val="none"/>
        </w:rPr>
      </w:pPr>
      <w:r>
        <w:rPr>
          <w:rFonts w:hint="eastAsia" w:cs="宋体"/>
          <w:color w:val="auto"/>
          <w:highlight w:val="none"/>
        </w:rPr>
        <w:t>六、转包或分包</w:t>
      </w:r>
    </w:p>
    <w:p>
      <w:pPr>
        <w:pStyle w:val="26"/>
        <w:snapToGrid w:val="0"/>
        <w:spacing w:line="360" w:lineRule="auto"/>
        <w:rPr>
          <w:rFonts w:cs="宋体"/>
          <w:color w:val="auto"/>
          <w:highlight w:val="none"/>
        </w:rPr>
      </w:pPr>
      <w:r>
        <w:rPr>
          <w:rFonts w:hint="eastAsia" w:cs="宋体"/>
          <w:color w:val="auto"/>
          <w:highlight w:val="none"/>
        </w:rPr>
        <w:t>1.本合同范围的服务，应由乙方直接供应，不得转让他人供应；</w:t>
      </w:r>
    </w:p>
    <w:p>
      <w:pPr>
        <w:pStyle w:val="26"/>
        <w:snapToGrid w:val="0"/>
        <w:spacing w:line="360" w:lineRule="auto"/>
        <w:rPr>
          <w:rFonts w:cs="宋体"/>
          <w:color w:val="auto"/>
          <w:highlight w:val="none"/>
        </w:rPr>
      </w:pPr>
      <w:r>
        <w:rPr>
          <w:rFonts w:hint="eastAsia" w:cs="宋体"/>
          <w:color w:val="auto"/>
          <w:highlight w:val="none"/>
        </w:rPr>
        <w:t>2.除非得到甲方的书面同意，乙方不得将本合同范围的服务全部或部分分包给他人供应；</w:t>
      </w:r>
    </w:p>
    <w:p>
      <w:pPr>
        <w:pStyle w:val="26"/>
        <w:snapToGrid w:val="0"/>
        <w:spacing w:line="360" w:lineRule="auto"/>
        <w:rPr>
          <w:rFonts w:cs="宋体"/>
          <w:color w:val="auto"/>
          <w:highlight w:val="none"/>
        </w:rPr>
      </w:pPr>
      <w:r>
        <w:rPr>
          <w:rFonts w:hint="eastAsia" w:cs="宋体"/>
          <w:color w:val="auto"/>
          <w:highlight w:val="none"/>
        </w:rPr>
        <w:t>3.如有转让和未经甲方同意的分包行为，甲方有权解除合同，没收履约保证金并追究乙方的违约责任。</w:t>
      </w:r>
    </w:p>
    <w:p>
      <w:pPr>
        <w:pStyle w:val="26"/>
        <w:snapToGrid w:val="0"/>
        <w:spacing w:line="360" w:lineRule="auto"/>
        <w:rPr>
          <w:rFonts w:cs="宋体"/>
          <w:color w:val="auto"/>
          <w:highlight w:val="none"/>
        </w:rPr>
      </w:pPr>
      <w:r>
        <w:rPr>
          <w:rFonts w:hint="eastAsia" w:cs="宋体"/>
          <w:color w:val="auto"/>
          <w:highlight w:val="none"/>
        </w:rPr>
        <w:t>七、服务质量保证期</w:t>
      </w:r>
    </w:p>
    <w:p>
      <w:pPr>
        <w:pStyle w:val="26"/>
        <w:snapToGrid w:val="0"/>
        <w:spacing w:line="360" w:lineRule="auto"/>
        <w:rPr>
          <w:rFonts w:cs="宋体"/>
          <w:color w:val="auto"/>
          <w:highlight w:val="none"/>
        </w:rPr>
      </w:pPr>
      <w:r>
        <w:rPr>
          <w:rFonts w:hint="eastAsia" w:cs="宋体"/>
          <w:color w:val="auto"/>
          <w:highlight w:val="none"/>
        </w:rPr>
        <w:t>1. 服务质量保证期      年。（自验收合格之日起计）</w:t>
      </w:r>
    </w:p>
    <w:p>
      <w:pPr>
        <w:pStyle w:val="26"/>
        <w:snapToGrid w:val="0"/>
        <w:spacing w:line="360" w:lineRule="auto"/>
        <w:rPr>
          <w:rFonts w:cs="宋体"/>
          <w:color w:val="auto"/>
          <w:highlight w:val="none"/>
        </w:rPr>
      </w:pPr>
      <w:r>
        <w:rPr>
          <w:rFonts w:hint="eastAsia" w:cs="宋体"/>
          <w:color w:val="auto"/>
          <w:highlight w:val="none"/>
        </w:rPr>
        <w:t>八、合同履行时间、履行方式及履行地点</w:t>
      </w:r>
    </w:p>
    <w:p>
      <w:pPr>
        <w:pStyle w:val="26"/>
        <w:snapToGrid w:val="0"/>
        <w:spacing w:line="360" w:lineRule="auto"/>
        <w:rPr>
          <w:rFonts w:cs="宋体"/>
          <w:color w:val="auto"/>
          <w:highlight w:val="none"/>
        </w:rPr>
      </w:pPr>
      <w:r>
        <w:rPr>
          <w:rFonts w:hint="eastAsia" w:cs="宋体"/>
          <w:color w:val="auto"/>
          <w:highlight w:val="none"/>
        </w:rPr>
        <w:t>1. 履行时间：</w:t>
      </w:r>
      <w:r>
        <w:rPr>
          <w:rFonts w:hint="eastAsia" w:cs="宋体"/>
          <w:color w:val="auto"/>
          <w:highlight w:val="none"/>
          <w:lang w:val="en-US" w:eastAsia="zh-CN"/>
        </w:rPr>
        <w:t xml:space="preserve">    </w:t>
      </w:r>
      <w:r>
        <w:rPr>
          <w:rFonts w:hint="eastAsia" w:cs="宋体"/>
          <w:color w:val="auto"/>
          <w:highlight w:val="none"/>
        </w:rPr>
        <w:t>年</w:t>
      </w:r>
      <w:r>
        <w:rPr>
          <w:rFonts w:hint="eastAsia" w:cs="宋体"/>
          <w:color w:val="auto"/>
          <w:highlight w:val="none"/>
          <w:lang w:val="en-US" w:eastAsia="zh-CN"/>
        </w:rPr>
        <w:t xml:space="preserve">  </w:t>
      </w:r>
      <w:r>
        <w:rPr>
          <w:rFonts w:hint="eastAsia" w:cs="宋体"/>
          <w:color w:val="auto"/>
          <w:highlight w:val="none"/>
        </w:rPr>
        <w:t>月到</w:t>
      </w:r>
      <w:r>
        <w:rPr>
          <w:rFonts w:hint="eastAsia" w:cs="宋体"/>
          <w:color w:val="auto"/>
          <w:highlight w:val="none"/>
          <w:lang w:val="en-US" w:eastAsia="zh-CN"/>
        </w:rPr>
        <w:t xml:space="preserve">    </w:t>
      </w:r>
      <w:r>
        <w:rPr>
          <w:rFonts w:hint="eastAsia" w:cs="宋体"/>
          <w:color w:val="auto"/>
          <w:highlight w:val="none"/>
        </w:rPr>
        <w:t>年</w:t>
      </w:r>
      <w:r>
        <w:rPr>
          <w:rFonts w:hint="eastAsia" w:cs="宋体"/>
          <w:color w:val="auto"/>
          <w:highlight w:val="none"/>
          <w:lang w:val="en-US" w:eastAsia="zh-CN"/>
        </w:rPr>
        <w:t xml:space="preserve">  </w:t>
      </w:r>
      <w:r>
        <w:rPr>
          <w:rFonts w:hint="eastAsia" w:cs="宋体"/>
          <w:color w:val="auto"/>
          <w:highlight w:val="none"/>
        </w:rPr>
        <w:t>月（采购金额用完为止）</w:t>
      </w:r>
    </w:p>
    <w:p>
      <w:pPr>
        <w:pStyle w:val="26"/>
        <w:snapToGrid w:val="0"/>
        <w:spacing w:line="360" w:lineRule="auto"/>
        <w:rPr>
          <w:rFonts w:cs="宋体"/>
          <w:color w:val="auto"/>
          <w:highlight w:val="none"/>
        </w:rPr>
      </w:pPr>
      <w:r>
        <w:rPr>
          <w:rFonts w:hint="eastAsia" w:cs="宋体"/>
          <w:color w:val="auto"/>
          <w:highlight w:val="none"/>
        </w:rPr>
        <w:t>2. 履行方式：分批次履行，提供货品并协助采购人进行积分兑换工作。</w:t>
      </w:r>
    </w:p>
    <w:p>
      <w:pPr>
        <w:pStyle w:val="26"/>
        <w:snapToGrid w:val="0"/>
        <w:spacing w:line="360" w:lineRule="auto"/>
        <w:rPr>
          <w:rFonts w:hint="default" w:eastAsia="宋体" w:cs="宋体"/>
          <w:color w:val="auto"/>
          <w:highlight w:val="none"/>
          <w:lang w:val="en-US" w:eastAsia="zh-CN"/>
        </w:rPr>
      </w:pPr>
      <w:r>
        <w:rPr>
          <w:rFonts w:hint="eastAsia" w:cs="宋体"/>
          <w:color w:val="auto"/>
          <w:highlight w:val="none"/>
        </w:rPr>
        <w:t>3. 履行地点：</w:t>
      </w:r>
      <w:r>
        <w:rPr>
          <w:rFonts w:hint="eastAsia" w:cs="宋体"/>
          <w:color w:val="auto"/>
          <w:highlight w:val="none"/>
          <w:lang w:val="en-US" w:eastAsia="zh-CN"/>
        </w:rPr>
        <w:t xml:space="preserve">    </w:t>
      </w:r>
    </w:p>
    <w:p>
      <w:pPr>
        <w:pStyle w:val="26"/>
        <w:snapToGrid w:val="0"/>
        <w:spacing w:line="360" w:lineRule="auto"/>
        <w:rPr>
          <w:rFonts w:cs="宋体"/>
          <w:color w:val="auto"/>
          <w:highlight w:val="none"/>
        </w:rPr>
      </w:pPr>
      <w:r>
        <w:rPr>
          <w:rFonts w:hint="eastAsia" w:cs="宋体"/>
          <w:color w:val="auto"/>
          <w:highlight w:val="none"/>
        </w:rPr>
        <w:t>九、款项支付</w:t>
      </w:r>
    </w:p>
    <w:p>
      <w:pPr>
        <w:pStyle w:val="26"/>
        <w:snapToGrid w:val="0"/>
        <w:spacing w:line="360" w:lineRule="auto"/>
        <w:rPr>
          <w:rFonts w:cs="宋体"/>
          <w:color w:val="auto"/>
          <w:highlight w:val="none"/>
        </w:rPr>
      </w:pPr>
      <w:r>
        <w:rPr>
          <w:rFonts w:hint="eastAsia" w:cs="宋体"/>
          <w:color w:val="auto"/>
          <w:highlight w:val="none"/>
        </w:rPr>
        <w:t>1.付款方式：</w:t>
      </w:r>
    </w:p>
    <w:p>
      <w:pPr>
        <w:pStyle w:val="26"/>
        <w:snapToGrid w:val="0"/>
        <w:spacing w:line="360" w:lineRule="auto"/>
        <w:rPr>
          <w:rFonts w:cs="宋体"/>
          <w:color w:val="auto"/>
          <w:highlight w:val="none"/>
        </w:rPr>
      </w:pPr>
      <w:r>
        <w:rPr>
          <w:rFonts w:hint="eastAsia" w:cs="宋体"/>
          <w:color w:val="auto"/>
          <w:highlight w:val="none"/>
        </w:rPr>
        <w:t>2.合同履行完毕，需方根据合同进行验收，验收合格后供应商按财政结算要求办理货款结算手续。</w:t>
      </w:r>
    </w:p>
    <w:p>
      <w:pPr>
        <w:pStyle w:val="26"/>
        <w:snapToGrid w:val="0"/>
        <w:spacing w:line="360" w:lineRule="auto"/>
        <w:rPr>
          <w:rFonts w:cs="宋体"/>
          <w:color w:val="auto"/>
          <w:highlight w:val="none"/>
        </w:rPr>
      </w:pPr>
      <w:r>
        <w:rPr>
          <w:rFonts w:hint="eastAsia" w:cs="宋体"/>
          <w:color w:val="auto"/>
          <w:highlight w:val="none"/>
        </w:rPr>
        <w:t>十、税费</w:t>
      </w:r>
    </w:p>
    <w:p>
      <w:pPr>
        <w:pStyle w:val="26"/>
        <w:snapToGrid w:val="0"/>
        <w:spacing w:line="360" w:lineRule="auto"/>
        <w:rPr>
          <w:rFonts w:cs="宋体"/>
          <w:color w:val="auto"/>
          <w:highlight w:val="none"/>
        </w:rPr>
      </w:pPr>
      <w:r>
        <w:rPr>
          <w:rFonts w:hint="eastAsia" w:cs="宋体"/>
          <w:color w:val="auto"/>
          <w:highlight w:val="none"/>
        </w:rPr>
        <w:t>本合同执行中相关的一切税费均由乙方负担。</w:t>
      </w:r>
    </w:p>
    <w:p>
      <w:pPr>
        <w:pStyle w:val="26"/>
        <w:snapToGrid w:val="0"/>
        <w:spacing w:line="360" w:lineRule="auto"/>
        <w:rPr>
          <w:rFonts w:cs="宋体"/>
          <w:color w:val="auto"/>
          <w:highlight w:val="none"/>
        </w:rPr>
      </w:pPr>
      <w:r>
        <w:rPr>
          <w:rFonts w:hint="eastAsia" w:cs="宋体"/>
          <w:color w:val="auto"/>
          <w:highlight w:val="none"/>
        </w:rPr>
        <w:t>十一、质量保证及后续服务</w:t>
      </w:r>
    </w:p>
    <w:p>
      <w:pPr>
        <w:pStyle w:val="26"/>
        <w:snapToGrid w:val="0"/>
        <w:spacing w:line="360" w:lineRule="auto"/>
        <w:rPr>
          <w:rFonts w:cs="宋体"/>
          <w:color w:val="auto"/>
          <w:highlight w:val="none"/>
        </w:rPr>
      </w:pPr>
      <w:r>
        <w:rPr>
          <w:rFonts w:hint="eastAsia" w:cs="宋体"/>
          <w:color w:val="auto"/>
          <w:highlight w:val="none"/>
        </w:rPr>
        <w:t>1. 乙方应按交易文件规定向甲方提供服务。</w:t>
      </w:r>
    </w:p>
    <w:p>
      <w:pPr>
        <w:pStyle w:val="26"/>
        <w:snapToGrid w:val="0"/>
        <w:spacing w:line="360" w:lineRule="auto"/>
        <w:rPr>
          <w:rFonts w:cs="宋体"/>
          <w:color w:val="auto"/>
          <w:highlight w:val="none"/>
        </w:rPr>
      </w:pPr>
      <w:r>
        <w:rPr>
          <w:rFonts w:hint="eastAsia" w:cs="宋体"/>
          <w:color w:val="auto"/>
          <w:highlight w:val="none"/>
        </w:rPr>
        <w:t>2. 乙方提供的服务成果在服务质量保证期内发生故障，乙方应负责免费提供后续服务。对达不到要求者，根据实际情况，经双方协商，可按以下办法处理：</w:t>
      </w:r>
    </w:p>
    <w:p>
      <w:pPr>
        <w:pStyle w:val="26"/>
        <w:snapToGrid w:val="0"/>
        <w:spacing w:line="360" w:lineRule="auto"/>
        <w:rPr>
          <w:rFonts w:cs="宋体"/>
          <w:color w:val="auto"/>
          <w:highlight w:val="none"/>
        </w:rPr>
      </w:pPr>
      <w:r>
        <w:rPr>
          <w:rFonts w:hint="eastAsia" w:cs="宋体"/>
          <w:color w:val="auto"/>
          <w:highlight w:val="none"/>
        </w:rPr>
        <w:t>⑴重做：由乙方承担所发生的全部费用。</w:t>
      </w:r>
    </w:p>
    <w:p>
      <w:pPr>
        <w:pStyle w:val="26"/>
        <w:snapToGrid w:val="0"/>
        <w:spacing w:line="360" w:lineRule="auto"/>
        <w:rPr>
          <w:rFonts w:cs="宋体"/>
          <w:color w:val="auto"/>
          <w:highlight w:val="none"/>
        </w:rPr>
      </w:pPr>
      <w:r>
        <w:rPr>
          <w:rFonts w:hint="eastAsia" w:cs="宋体"/>
          <w:color w:val="auto"/>
          <w:highlight w:val="none"/>
        </w:rPr>
        <w:t>⑵贬值处理：由甲乙双方合议定价。</w:t>
      </w:r>
    </w:p>
    <w:p>
      <w:pPr>
        <w:pStyle w:val="26"/>
        <w:snapToGrid w:val="0"/>
        <w:spacing w:line="360" w:lineRule="auto"/>
        <w:rPr>
          <w:rFonts w:cs="宋体"/>
          <w:color w:val="auto"/>
          <w:highlight w:val="none"/>
        </w:rPr>
      </w:pPr>
      <w:r>
        <w:rPr>
          <w:rFonts w:hint="eastAsia" w:cs="宋体"/>
          <w:color w:val="auto"/>
          <w:highlight w:val="none"/>
        </w:rPr>
        <w:t>⑶解除合同。</w:t>
      </w:r>
    </w:p>
    <w:p>
      <w:pPr>
        <w:pStyle w:val="26"/>
        <w:snapToGrid w:val="0"/>
        <w:spacing w:line="360" w:lineRule="auto"/>
        <w:rPr>
          <w:rFonts w:cs="宋体"/>
          <w:color w:val="auto"/>
          <w:highlight w:val="none"/>
        </w:rPr>
      </w:pPr>
      <w:r>
        <w:rPr>
          <w:rFonts w:hint="eastAsia" w:cs="宋体"/>
          <w:color w:val="auto"/>
          <w:highlight w:val="none"/>
        </w:rPr>
        <w:t>3. 如在使用过程中发生问题，乙方在接到甲方通知后在</w:t>
      </w:r>
      <w:r>
        <w:rPr>
          <w:rFonts w:hint="eastAsia" w:cs="宋体"/>
          <w:color w:val="auto"/>
          <w:highlight w:val="none"/>
          <w:lang w:val="en-US" w:eastAsia="zh-CN"/>
        </w:rPr>
        <w:t>2</w:t>
      </w:r>
      <w:r>
        <w:rPr>
          <w:rFonts w:hint="eastAsia" w:cs="宋体"/>
          <w:color w:val="auto"/>
          <w:highlight w:val="none"/>
        </w:rPr>
        <w:t>小时内到达甲方现场。</w:t>
      </w:r>
    </w:p>
    <w:p>
      <w:pPr>
        <w:pStyle w:val="26"/>
        <w:snapToGrid w:val="0"/>
        <w:spacing w:line="360" w:lineRule="auto"/>
        <w:rPr>
          <w:rFonts w:cs="宋体"/>
          <w:color w:val="auto"/>
          <w:highlight w:val="none"/>
        </w:rPr>
      </w:pPr>
      <w:r>
        <w:rPr>
          <w:rFonts w:hint="eastAsia" w:cs="宋体"/>
          <w:color w:val="auto"/>
          <w:highlight w:val="none"/>
        </w:rPr>
        <w:t>4.在服务质量保证期内，乙方应对出现的质量及安全问题负责处理解决并承担一切费用。</w:t>
      </w:r>
    </w:p>
    <w:p>
      <w:pPr>
        <w:pStyle w:val="26"/>
        <w:snapToGrid w:val="0"/>
        <w:spacing w:line="360" w:lineRule="auto"/>
        <w:rPr>
          <w:rFonts w:cs="宋体"/>
          <w:color w:val="auto"/>
          <w:highlight w:val="none"/>
        </w:rPr>
      </w:pPr>
      <w:r>
        <w:rPr>
          <w:rFonts w:hint="eastAsia" w:cs="宋体"/>
          <w:color w:val="auto"/>
          <w:highlight w:val="none"/>
        </w:rPr>
        <w:t>十二、违约责任</w:t>
      </w:r>
    </w:p>
    <w:p>
      <w:pPr>
        <w:pStyle w:val="26"/>
        <w:snapToGrid w:val="0"/>
        <w:spacing w:line="360" w:lineRule="auto"/>
        <w:rPr>
          <w:rFonts w:cs="宋体"/>
          <w:color w:val="auto"/>
          <w:highlight w:val="none"/>
        </w:rPr>
      </w:pPr>
      <w:r>
        <w:rPr>
          <w:rFonts w:hint="eastAsia" w:cs="宋体"/>
          <w:color w:val="auto"/>
          <w:highlight w:val="none"/>
        </w:rPr>
        <w:t>1.甲方无正当理由拒绝接收服务的，甲方向乙方偿付合同款项百分之 五 作为违约金。</w:t>
      </w:r>
    </w:p>
    <w:p>
      <w:pPr>
        <w:pStyle w:val="26"/>
        <w:snapToGrid w:val="0"/>
        <w:spacing w:line="360" w:lineRule="auto"/>
        <w:rPr>
          <w:rFonts w:cs="宋体"/>
          <w:color w:val="auto"/>
          <w:highlight w:val="none"/>
        </w:rPr>
      </w:pPr>
      <w:r>
        <w:rPr>
          <w:rFonts w:hint="eastAsia" w:cs="宋体"/>
          <w:color w:val="auto"/>
          <w:highlight w:val="none"/>
        </w:rPr>
        <w:t>2.甲方无故逾期验收和办理款项支付手续的，甲方应按逾期付款总额每日万分之 五向乙方支付违约金。</w:t>
      </w:r>
    </w:p>
    <w:p>
      <w:pPr>
        <w:pStyle w:val="26"/>
        <w:snapToGrid w:val="0"/>
        <w:spacing w:line="360" w:lineRule="auto"/>
        <w:rPr>
          <w:rFonts w:cs="宋体"/>
          <w:color w:val="auto"/>
          <w:highlight w:val="none"/>
        </w:rPr>
      </w:pPr>
      <w:r>
        <w:rPr>
          <w:rFonts w:hint="eastAsia" w:cs="宋体"/>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6"/>
        <w:snapToGrid w:val="0"/>
        <w:spacing w:line="360" w:lineRule="auto"/>
        <w:rPr>
          <w:rFonts w:cs="宋体"/>
          <w:color w:val="auto"/>
          <w:highlight w:val="none"/>
        </w:rPr>
      </w:pPr>
      <w:r>
        <w:rPr>
          <w:rFonts w:hint="eastAsia" w:cs="宋体"/>
          <w:color w:val="auto"/>
          <w:highlight w:val="none"/>
        </w:rPr>
        <w:t>4.供方在服务项目验收合格之日起保修期内违反本合同有关承诺保证的，损失由乙方承担赔偿。</w:t>
      </w:r>
    </w:p>
    <w:p>
      <w:pPr>
        <w:pStyle w:val="26"/>
        <w:snapToGrid w:val="0"/>
        <w:spacing w:line="360" w:lineRule="auto"/>
        <w:rPr>
          <w:rFonts w:cs="宋体"/>
          <w:color w:val="auto"/>
          <w:highlight w:val="none"/>
        </w:rPr>
      </w:pPr>
      <w:r>
        <w:rPr>
          <w:rFonts w:hint="eastAsia" w:cs="宋体"/>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26"/>
        <w:snapToGrid w:val="0"/>
        <w:spacing w:line="360" w:lineRule="auto"/>
        <w:rPr>
          <w:rFonts w:cs="宋体"/>
          <w:color w:val="auto"/>
          <w:highlight w:val="none"/>
        </w:rPr>
      </w:pPr>
      <w:r>
        <w:rPr>
          <w:rFonts w:hint="eastAsia" w:cs="宋体"/>
          <w:color w:val="auto"/>
          <w:highlight w:val="none"/>
        </w:rPr>
        <w:t>十三、争议的解决</w:t>
      </w:r>
    </w:p>
    <w:p>
      <w:pPr>
        <w:pStyle w:val="26"/>
        <w:snapToGrid w:val="0"/>
        <w:spacing w:line="360" w:lineRule="auto"/>
        <w:rPr>
          <w:rFonts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因本合同引起的或与本合同有关的任何争议，合同双方应首先通过协商解决，达成书面协议，如协商不成，可选择下列第      种方式解决。</w:t>
      </w:r>
    </w:p>
    <w:p>
      <w:pPr>
        <w:pStyle w:val="26"/>
        <w:snapToGrid w:val="0"/>
        <w:spacing w:line="360" w:lineRule="auto"/>
        <w:rPr>
          <w:rFonts w:cs="宋体"/>
          <w:color w:val="auto"/>
          <w:highlight w:val="none"/>
        </w:rPr>
      </w:pPr>
      <w:r>
        <w:rPr>
          <w:rFonts w:hint="eastAsia" w:cs="宋体"/>
          <w:color w:val="auto"/>
          <w:highlight w:val="none"/>
        </w:rPr>
        <w:t>（1）提请杭州仲裁委员会按照该会仲裁规则进行仲裁，仲裁裁决是终局的，对合同双方均有约束力。</w:t>
      </w:r>
    </w:p>
    <w:p>
      <w:pPr>
        <w:pStyle w:val="26"/>
        <w:snapToGrid w:val="0"/>
        <w:spacing w:line="360" w:lineRule="auto"/>
        <w:rPr>
          <w:rFonts w:cs="宋体"/>
          <w:color w:val="auto"/>
          <w:highlight w:val="none"/>
        </w:rPr>
      </w:pPr>
      <w:r>
        <w:rPr>
          <w:rFonts w:hint="eastAsia" w:cs="宋体"/>
          <w:color w:val="auto"/>
          <w:highlight w:val="none"/>
        </w:rPr>
        <w:t>（2）向有管辖权的人民法院提起诉讼。</w:t>
      </w:r>
    </w:p>
    <w:p>
      <w:pPr>
        <w:pStyle w:val="26"/>
        <w:snapToGrid w:val="0"/>
        <w:spacing w:line="360" w:lineRule="auto"/>
        <w:rPr>
          <w:rFonts w:cs="宋体"/>
          <w:color w:val="auto"/>
          <w:highlight w:val="none"/>
        </w:rPr>
      </w:pPr>
      <w:r>
        <w:rPr>
          <w:rFonts w:hint="eastAsia" w:cs="宋体"/>
          <w:color w:val="auto"/>
          <w:highlight w:val="none"/>
        </w:rPr>
        <w:t>十四、合同生效</w:t>
      </w:r>
    </w:p>
    <w:p>
      <w:pPr>
        <w:pStyle w:val="26"/>
        <w:snapToGrid w:val="0"/>
        <w:spacing w:line="360" w:lineRule="auto"/>
        <w:rPr>
          <w:rFonts w:cs="宋体"/>
          <w:color w:val="auto"/>
          <w:highlight w:val="none"/>
        </w:rPr>
      </w:pPr>
      <w:r>
        <w:rPr>
          <w:rFonts w:hint="eastAsia" w:cs="宋体"/>
          <w:color w:val="auto"/>
          <w:highlight w:val="none"/>
        </w:rPr>
        <w:t>1.中标方持中标通知书作为与需方签订合同的凭证。</w:t>
      </w:r>
    </w:p>
    <w:p>
      <w:pPr>
        <w:pStyle w:val="26"/>
        <w:snapToGrid w:val="0"/>
        <w:spacing w:line="360" w:lineRule="auto"/>
        <w:rPr>
          <w:rFonts w:cs="宋体"/>
          <w:color w:val="auto"/>
          <w:highlight w:val="none"/>
        </w:rPr>
      </w:pPr>
      <w:r>
        <w:rPr>
          <w:rFonts w:hint="eastAsia" w:cs="宋体"/>
          <w:color w:val="auto"/>
          <w:highlight w:val="none"/>
        </w:rPr>
        <w:t>2.本合同经需、供双方法定代表人或其授权委托人签字并加盖单位公章后生效。</w:t>
      </w:r>
    </w:p>
    <w:p>
      <w:pPr>
        <w:pStyle w:val="26"/>
        <w:snapToGrid w:val="0"/>
        <w:spacing w:line="360" w:lineRule="auto"/>
        <w:rPr>
          <w:rFonts w:cs="宋体"/>
          <w:color w:val="auto"/>
          <w:highlight w:val="none"/>
        </w:rPr>
      </w:pPr>
      <w:r>
        <w:rPr>
          <w:rFonts w:hint="eastAsia" w:cs="宋体"/>
          <w:color w:val="auto"/>
          <w:highlight w:val="none"/>
        </w:rPr>
        <w:t>需方（盖章）：                      供方（盖章）：</w:t>
      </w:r>
    </w:p>
    <w:p>
      <w:pPr>
        <w:pStyle w:val="26"/>
        <w:snapToGrid w:val="0"/>
        <w:spacing w:line="360" w:lineRule="auto"/>
        <w:rPr>
          <w:rFonts w:cs="宋体"/>
          <w:color w:val="auto"/>
          <w:highlight w:val="none"/>
        </w:rPr>
      </w:pPr>
      <w:r>
        <w:rPr>
          <w:rFonts w:hint="eastAsia" w:cs="宋体"/>
          <w:color w:val="auto"/>
          <w:highlight w:val="none"/>
        </w:rPr>
        <w:t>地址：                             地址：</w:t>
      </w:r>
    </w:p>
    <w:p>
      <w:pPr>
        <w:pStyle w:val="26"/>
        <w:snapToGrid w:val="0"/>
        <w:spacing w:line="360" w:lineRule="auto"/>
        <w:rPr>
          <w:rFonts w:cs="宋体"/>
          <w:color w:val="auto"/>
          <w:highlight w:val="none"/>
        </w:rPr>
      </w:pPr>
      <w:r>
        <w:rPr>
          <w:rFonts w:hint="eastAsia" w:cs="宋体"/>
          <w:color w:val="auto"/>
          <w:highlight w:val="none"/>
        </w:rPr>
        <w:t xml:space="preserve">法定代表人（或委托代理人）签名：   法定代表人（或委托代理人）签名：                    </w:t>
      </w:r>
    </w:p>
    <w:p>
      <w:pPr>
        <w:pStyle w:val="26"/>
        <w:snapToGrid w:val="0"/>
        <w:spacing w:line="360" w:lineRule="auto"/>
        <w:rPr>
          <w:rFonts w:cs="宋体"/>
          <w:color w:val="auto"/>
          <w:highlight w:val="none"/>
        </w:rPr>
      </w:pPr>
      <w:r>
        <w:rPr>
          <w:rFonts w:hint="eastAsia" w:cs="宋体"/>
          <w:color w:val="auto"/>
          <w:highlight w:val="none"/>
        </w:rPr>
        <w:t>联系电话：                         联系电话：</w:t>
      </w:r>
    </w:p>
    <w:p>
      <w:pPr>
        <w:pStyle w:val="26"/>
        <w:snapToGrid w:val="0"/>
        <w:spacing w:line="360" w:lineRule="auto"/>
        <w:rPr>
          <w:rFonts w:cs="宋体"/>
          <w:color w:val="auto"/>
          <w:highlight w:val="none"/>
        </w:rPr>
      </w:pPr>
      <w:r>
        <w:rPr>
          <w:rFonts w:hint="eastAsia" w:cs="宋体"/>
          <w:color w:val="auto"/>
          <w:highlight w:val="none"/>
        </w:rPr>
        <w:t>邮政编码：                         邮政编码：</w:t>
      </w:r>
    </w:p>
    <w:p>
      <w:pPr>
        <w:pStyle w:val="26"/>
        <w:snapToGrid w:val="0"/>
        <w:spacing w:line="360" w:lineRule="auto"/>
        <w:rPr>
          <w:rFonts w:cs="宋体"/>
          <w:color w:val="auto"/>
          <w:highlight w:val="none"/>
        </w:rPr>
      </w:pPr>
      <w:r>
        <w:rPr>
          <w:rFonts w:hint="eastAsia" w:cs="宋体"/>
          <w:color w:val="auto"/>
          <w:highlight w:val="none"/>
        </w:rPr>
        <w:t xml:space="preserve">开户银行：                         开户银行：      </w:t>
      </w:r>
    </w:p>
    <w:p>
      <w:pPr>
        <w:pStyle w:val="26"/>
        <w:snapToGrid w:val="0"/>
        <w:spacing w:line="360" w:lineRule="auto"/>
        <w:rPr>
          <w:rFonts w:cs="宋体"/>
          <w:color w:val="auto"/>
          <w:highlight w:val="none"/>
        </w:rPr>
      </w:pPr>
      <w:r>
        <w:rPr>
          <w:rFonts w:hint="eastAsia" w:cs="宋体"/>
          <w:color w:val="auto"/>
          <w:highlight w:val="none"/>
        </w:rPr>
        <w:t>帐号：                             帐号：</w:t>
      </w:r>
    </w:p>
    <w:p>
      <w:pPr>
        <w:pStyle w:val="3"/>
        <w:rPr>
          <w:rFonts w:ascii="宋体" w:hAnsi="宋体" w:eastAsia="宋体" w:cs="宋体"/>
          <w:color w:val="auto"/>
          <w:highlight w:val="none"/>
        </w:rPr>
      </w:pPr>
    </w:p>
    <w:p>
      <w:pPr>
        <w:pStyle w:val="3"/>
        <w:rPr>
          <w:rFonts w:ascii="宋体" w:hAnsi="宋体" w:eastAsia="宋体" w:cs="宋体"/>
          <w:color w:val="auto"/>
          <w:highlight w:val="none"/>
        </w:rPr>
      </w:pPr>
      <w:r>
        <w:rPr>
          <w:rFonts w:hint="eastAsia" w:ascii="宋体" w:hAnsi="宋体" w:eastAsia="宋体" w:cs="宋体"/>
          <w:color w:val="auto"/>
          <w:highlight w:val="none"/>
        </w:rPr>
        <w:t>第六部分</w:t>
      </w:r>
      <w:bookmarkEnd w:id="429"/>
      <w:r>
        <w:rPr>
          <w:rFonts w:hint="eastAsia" w:ascii="宋体" w:hAnsi="宋体" w:eastAsia="宋体" w:cs="宋体"/>
          <w:color w:val="auto"/>
          <w:highlight w:val="none"/>
        </w:rPr>
        <w:t xml:space="preserve"> </w:t>
      </w:r>
      <w:bookmarkEnd w:id="430"/>
      <w:r>
        <w:rPr>
          <w:rFonts w:hint="eastAsia" w:ascii="宋体" w:hAnsi="宋体" w:eastAsia="宋体" w:cs="宋体"/>
          <w:color w:val="auto"/>
          <w:highlight w:val="none"/>
        </w:rPr>
        <w:t>应提交的有关格式范例</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供应商按照以下格式编制投标文件，并将资格文件、报价文件、商务技术文件分别装订成册。</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rPr>
          <w:rFonts w:ascii="宋体" w:hAnsi="宋体" w:cs="宋体"/>
          <w:color w:val="auto"/>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我方参与XXX采购项目【交易编号：XXX】政府采购活动，郑重承诺：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（三）我方不存在以下情况：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360" w:lineRule="auto"/>
        <w:jc w:val="center"/>
        <w:rPr>
          <w:rFonts w:ascii="宋体" w:hAnsi="宋体" w:cs="宋体"/>
          <w:b/>
          <w:color w:val="auto"/>
          <w:sz w:val="30"/>
          <w:szCs w:val="30"/>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hint="eastAsia" w:ascii="宋体" w:hAnsi="宋体" w:cs="宋体"/>
          <w:b/>
          <w:color w:val="auto"/>
          <w:kern w:val="0"/>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snapToGrid w:val="0"/>
        <w:spacing w:line="360" w:lineRule="auto"/>
        <w:ind w:right="480"/>
        <w:jc w:val="center"/>
        <w:rPr>
          <w:rFonts w:hint="eastAsia" w:ascii="宋体" w:hAnsi="宋体" w:cs="宋体"/>
          <w:b/>
          <w:color w:val="auto"/>
          <w:kern w:val="0"/>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pStyle w:val="78"/>
        <w:snapToGrid w:val="0"/>
        <w:spacing w:before="50" w:after="50"/>
        <w:ind w:left="360" w:firstLine="0" w:firstLineChars="0"/>
        <w:rPr>
          <w:rFonts w:ascii="宋体" w:hAnsi="宋体" w:eastAsia="宋体" w:cs="宋体"/>
          <w:b/>
          <w:color w:val="auto"/>
          <w:highlight w:val="none"/>
        </w:rPr>
      </w:pPr>
      <w:r>
        <w:rPr>
          <w:rFonts w:hint="eastAsia" w:ascii="宋体" w:hAnsi="宋体" w:eastAsia="宋体" w:cs="宋体"/>
          <w:color w:val="auto"/>
          <w:highlight w:val="none"/>
        </w:rPr>
        <w:t xml:space="preserve"> </w:t>
      </w:r>
    </w:p>
    <w:p>
      <w:pPr>
        <w:spacing w:line="360" w:lineRule="auto"/>
        <w:jc w:val="center"/>
        <w:rPr>
          <w:rFonts w:ascii="宋体" w:hAnsi="宋体" w:cs="宋体"/>
          <w:b/>
          <w:color w:val="auto"/>
          <w:sz w:val="28"/>
          <w:szCs w:val="32"/>
          <w:highlight w:val="none"/>
        </w:rPr>
      </w:pPr>
    </w:p>
    <w:p>
      <w:pPr>
        <w:snapToGrid w:val="0"/>
        <w:spacing w:line="360" w:lineRule="auto"/>
        <w:ind w:firstLine="2891" w:firstLineChars="900"/>
        <w:rPr>
          <w:rFonts w:ascii="宋体" w:hAnsi="宋体" w:cs="宋体"/>
          <w:b/>
          <w:color w:val="auto"/>
          <w:kern w:val="0"/>
          <w:sz w:val="36"/>
          <w:szCs w:val="36"/>
          <w:highlight w:val="none"/>
        </w:rPr>
      </w:pPr>
      <w:r>
        <w:rPr>
          <w:rFonts w:hint="eastAsia" w:ascii="宋体" w:hAnsi="宋体" w:cs="宋体"/>
          <w:b/>
          <w:bCs/>
          <w:color w:val="auto"/>
          <w:sz w:val="32"/>
          <w:szCs w:val="32"/>
          <w:highlight w:val="none"/>
        </w:rPr>
        <w:br w:type="page"/>
      </w:r>
      <w:r>
        <w:rPr>
          <w:rFonts w:hint="eastAsia" w:ascii="宋体" w:hAnsi="宋体" w:cs="宋体"/>
          <w:color w:val="auto"/>
          <w:sz w:val="36"/>
          <w:szCs w:val="36"/>
          <w:highlight w:val="none"/>
          <w:lang w:val="zh-CN"/>
        </w:rPr>
        <w:t>▲</w:t>
      </w: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响应（交易）一览表…………………………………………（页码）</w:t>
      </w:r>
    </w:p>
    <w:p>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pStyle w:val="23"/>
        <w:rPr>
          <w:color w:val="auto"/>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一、响应（交易）一览表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文件要求，我们，本</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文件签字方，谨此向你方发出要约如下：如你方接受本投标，我方承诺按照如下响应（交易）一览表的价格完成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响应（交易）一览表（报价表）</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89"/>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序号</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名称</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p>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品牌（如果有）</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规格型号（或具体服务）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单价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元</w:t>
            </w:r>
            <w:r>
              <w:rPr>
                <w:rFonts w:hint="eastAsia" w:ascii="宋体" w:hAnsi="宋体" w:cs="宋体"/>
                <w:b/>
                <w:color w:val="auto"/>
                <w:kern w:val="0"/>
                <w:sz w:val="24"/>
                <w:highlight w:val="none"/>
                <w:lang w:eastAsia="zh-CN"/>
              </w:rPr>
              <w:t>）</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总价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元</w:t>
            </w:r>
            <w:r>
              <w:rPr>
                <w:rFonts w:hint="eastAsia" w:ascii="宋体" w:hAnsi="宋体" w:cs="宋体"/>
                <w:b/>
                <w:color w:val="auto"/>
                <w:kern w:val="0"/>
                <w:sz w:val="24"/>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p>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r>
              <w:rPr>
                <w:rFonts w:hint="eastAsia" w:ascii="宋体" w:hAnsi="宋体" w:cs="宋体"/>
                <w:b/>
                <w:color w:val="auto"/>
                <w:kern w:val="0"/>
                <w:sz w:val="24"/>
                <w:highlight w:val="none"/>
              </w:rPr>
              <w:t>质保或服务年限</w:t>
            </w:r>
          </w:p>
          <w:p>
            <w:pPr>
              <w:keepNext w:val="0"/>
              <w:keepLines w:val="0"/>
              <w:widowControl/>
              <w:suppressLineNumbers w:val="0"/>
              <w:spacing w:before="0" w:beforeAutospacing="1" w:after="200" w:afterAutospacing="0"/>
              <w:ind w:left="0" w:right="0"/>
              <w:jc w:val="left"/>
              <w:rPr>
                <w:rFonts w:hint="default"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200" w:afterAutospacing="0" w:line="360" w:lineRule="auto"/>
              <w:ind w:left="0" w:right="0"/>
              <w:jc w:val="left"/>
              <w:rPr>
                <w:rFonts w:hint="default" w:ascii="宋体" w:hAnsi="宋体" w:cs="宋体"/>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eastAsia" w:ascii="宋体" w:hAnsi="宋体" w:eastAsia="宋体" w:cs="宋体"/>
                <w:b/>
                <w:color w:val="auto"/>
                <w:sz w:val="24"/>
                <w:highlight w:val="none"/>
                <w:lang w:val="en-US" w:eastAsia="zh-CN"/>
              </w:rPr>
            </w:pPr>
            <w:r>
              <w:rPr>
                <w:rFonts w:hint="eastAsia" w:ascii="宋体" w:hAnsi="宋体" w:cs="宋体"/>
                <w:b/>
                <w:color w:val="auto"/>
                <w:kern w:val="0"/>
                <w:sz w:val="24"/>
                <w:highlight w:val="none"/>
              </w:rPr>
              <w:t>投标报价（小写）</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元</w:t>
            </w:r>
            <w:r>
              <w:rPr>
                <w:rFonts w:hint="eastAsia" w:ascii="宋体" w:hAnsi="宋体" w:cs="宋体"/>
                <w:b/>
                <w:color w:val="auto"/>
                <w:kern w:val="0"/>
                <w:sz w:val="24"/>
                <w:highlight w:val="none"/>
                <w:lang w:eastAsia="zh-CN"/>
              </w:rPr>
              <w:t>）</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eastAsia" w:ascii="宋体" w:hAnsi="宋体" w:eastAsia="宋体" w:cs="宋体"/>
                <w:b/>
                <w:color w:val="auto"/>
                <w:sz w:val="24"/>
                <w:highlight w:val="none"/>
                <w:lang w:val="en-US" w:eastAsia="zh-CN"/>
              </w:rPr>
            </w:pPr>
            <w:r>
              <w:rPr>
                <w:rFonts w:hint="eastAsia" w:ascii="宋体" w:hAnsi="宋体" w:cs="宋体"/>
                <w:b/>
                <w:color w:val="auto"/>
                <w:kern w:val="0"/>
                <w:sz w:val="24"/>
                <w:highlight w:val="none"/>
              </w:rPr>
              <w:t>投标报价（大写）</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元</w:t>
            </w:r>
            <w:r>
              <w:rPr>
                <w:rFonts w:hint="eastAsia" w:ascii="宋体" w:hAnsi="宋体" w:cs="宋体"/>
                <w:b/>
                <w:color w:val="auto"/>
                <w:kern w:val="0"/>
                <w:sz w:val="24"/>
                <w:highlight w:val="none"/>
                <w:lang w:eastAsia="zh-CN"/>
              </w:rPr>
              <w:t>）</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200" w:afterAutospacing="0"/>
              <w:ind w:left="0" w:right="0"/>
              <w:jc w:val="left"/>
              <w:rPr>
                <w:rFonts w:hint="default"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kern w:val="0"/>
          <w:sz w:val="24"/>
          <w:highlight w:val="none"/>
          <w:lang w:val="en-US"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val="en-US" w:eastAsia="zh-CN"/>
        </w:rPr>
        <w:t>交易</w:t>
      </w:r>
      <w:r>
        <w:rPr>
          <w:rFonts w:hint="eastAsia" w:ascii="宋体" w:hAnsi="宋体" w:cs="宋体"/>
          <w:b/>
          <w:color w:val="auto"/>
          <w:sz w:val="24"/>
          <w:highlight w:val="none"/>
        </w:rPr>
        <w:t>无效</w:t>
      </w:r>
      <w:r>
        <w:rPr>
          <w:rFonts w:hint="eastAsia" w:ascii="宋体" w:hAnsi="宋体" w:cs="宋体"/>
          <w:b/>
          <w:color w:val="auto"/>
          <w:kern w:val="0"/>
          <w:sz w:val="24"/>
          <w:highlight w:val="none"/>
          <w:lang w:val="zh-CN"/>
        </w:rPr>
        <w:t>；采购内容未包含在《响应（交易）一览表》名称栏中，</w:t>
      </w: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val="en-US" w:eastAsia="zh-CN"/>
        </w:rPr>
        <w:t>交易</w:t>
      </w:r>
      <w:r>
        <w:rPr>
          <w:rFonts w:hint="eastAsia" w:ascii="宋体" w:hAnsi="宋体" w:cs="宋体"/>
          <w:b/>
          <w:color w:val="auto"/>
          <w:sz w:val="24"/>
          <w:highlight w:val="none"/>
        </w:rPr>
        <w:t>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w:t>
      </w:r>
      <w:r>
        <w:rPr>
          <w:rFonts w:hint="eastAsia" w:ascii="宋体" w:hAnsi="宋体" w:cs="宋体"/>
          <w:color w:val="auto"/>
          <w:kern w:val="0"/>
          <w:sz w:val="24"/>
          <w:highlight w:val="none"/>
          <w:lang w:val="en-US" w:eastAsia="zh-CN"/>
        </w:rPr>
        <w:t>交易</w:t>
      </w:r>
      <w:r>
        <w:rPr>
          <w:rFonts w:hint="eastAsia" w:ascii="宋体" w:hAnsi="宋体" w:cs="宋体"/>
          <w:color w:val="auto"/>
          <w:kern w:val="0"/>
          <w:sz w:val="24"/>
          <w:highlight w:val="none"/>
          <w:lang w:val="zh-CN"/>
        </w:rPr>
        <w:t>文件中列明的可享受中小企业扶持政策的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人，请填写中小企业声明函。注：</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jc w:val="center"/>
        <w:rPr>
          <w:rFonts w:ascii="宋体" w:hAnsi="宋体" w:cs="宋体"/>
          <w:b/>
          <w:color w:val="auto"/>
          <w:kern w:val="0"/>
          <w:sz w:val="36"/>
          <w:szCs w:val="36"/>
          <w:highlight w:val="none"/>
        </w:rPr>
        <w:sectPr>
          <w:headerReference r:id="rId14" w:type="default"/>
          <w:footerReference r:id="rId15" w:type="defaul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sectPr>
      </w:pPr>
    </w:p>
    <w:p>
      <w:pPr>
        <w:pStyle w:val="599"/>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pStyle w:val="599"/>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pPr>
        <w:pStyle w:val="59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599"/>
        <w:keepNext w:val="0"/>
        <w:pageBreakBefore w:val="0"/>
        <w:tabs>
          <w:tab w:val="clear" w:pos="720"/>
        </w:tabs>
        <w:snapToGrid w:val="0"/>
        <w:spacing w:before="120" w:after="12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31" w:name="_Hlk101259491"/>
      <w:r>
        <w:rPr>
          <w:rFonts w:hint="eastAsia" w:ascii="宋体" w:hAnsi="宋体" w:eastAsia="宋体" w:cs="宋体"/>
          <w:color w:val="auto"/>
          <w:sz w:val="32"/>
          <w:szCs w:val="32"/>
          <w:highlight w:val="none"/>
        </w:rPr>
        <w:t>（如果有）</w:t>
      </w:r>
      <w:bookmarkEnd w:id="43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jc w:val="center"/>
        <w:rPr>
          <w:rFonts w:hint="eastAsia" w:ascii="宋体" w:hAnsi="宋体" w:cs="宋体"/>
          <w:b/>
          <w:color w:val="auto"/>
          <w:kern w:val="0"/>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pacing w:line="360" w:lineRule="auto"/>
        <w:rPr>
          <w:rFonts w:ascii="宋体" w:hAnsi="宋体" w:cs="宋体"/>
          <w:b/>
          <w:bCs/>
          <w:color w:val="auto"/>
          <w:sz w:val="24"/>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val="en-US" w:eastAsia="zh-CN"/>
        </w:rPr>
        <w:t>交易</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（采购人名称）、（采购代理机构名称）：</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我方参加你方组织的XXX采购项目【交易编号：XXXXXX】交易的有关活动，并对此项目进行投标。为此：</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有效期从提交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有效期满之前均具有约束力。</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文件包括以下内容：</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p>
    <w:p>
      <w:pPr>
        <w:snapToGrid w:val="0"/>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2.2.5商务技术偏离表；</w:t>
      </w:r>
    </w:p>
    <w:p>
      <w:pPr>
        <w:snapToGrid w:val="0"/>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供应商名称（电子签章）：                          </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adjustRightInd/>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u w:val="singl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（采购人名称）、（采购代理机构名称）</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杭州市XXX采购项目【交易编号：XXXXXX】</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pPr>
        <w:pStyle w:val="62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0"/>
              <w:keepNext w:val="0"/>
              <w:keepLines w:val="0"/>
              <w:suppressLineNumbers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pPr>
              <w:pStyle w:val="620"/>
              <w:keepNext w:val="0"/>
              <w:keepLines w:val="0"/>
              <w:suppressLineNumbers w:val="0"/>
              <w:spacing w:before="0" w:beforeAutospacing="0" w:after="0" w:afterAutospacing="0" w:line="360" w:lineRule="auto"/>
              <w:ind w:left="0" w:right="0"/>
              <w:rPr>
                <w:rFonts w:hint="default"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营业执照复印件：</w:t>
      </w: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供应商名称(电子签章)：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w:t>
      </w: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三、符合性审查资料索引表及具体内容</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（一）符合性审查资料索引表</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518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354"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5188"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不存在如下情形：投标文件未按照交易文件要求签署、盖章。</w:t>
            </w:r>
          </w:p>
        </w:tc>
        <w:tc>
          <w:tcPr>
            <w:tcW w:w="2354"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 xml:space="preserve">投标文件的组成部分中需要使用电子签章或者签字盖章处 </w:t>
            </w:r>
          </w:p>
        </w:tc>
        <w:tc>
          <w:tcPr>
            <w:tcW w:w="1418" w:type="dxa"/>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5188"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节能产品认证证书、环境标志产品认证证书（交易文件未要求的，无需提供）</w:t>
            </w:r>
          </w:p>
        </w:tc>
        <w:tc>
          <w:tcPr>
            <w:tcW w:w="1418" w:type="dxa"/>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见投标文件</w:t>
            </w:r>
          </w:p>
          <w:p>
            <w:pPr>
              <w:pStyle w:val="4"/>
              <w:numPr>
                <w:ilvl w:val="0"/>
                <w:numId w:val="0"/>
              </w:numPr>
              <w:suppressLineNumbers w:val="0"/>
              <w:spacing w:before="0" w:beforeAutospacing="0" w:after="0" w:afterAutospacing="0"/>
              <w:ind w:left="432" w:right="0"/>
              <w:jc w:val="center"/>
              <w:rPr>
                <w:rFonts w:hint="default"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5188"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不存在如下情形：投标文件中承诺的投标有效期少于交易文件中载明的投标有效期。</w:t>
            </w:r>
          </w:p>
        </w:tc>
        <w:tc>
          <w:tcPr>
            <w:tcW w:w="235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交易函</w:t>
            </w:r>
          </w:p>
        </w:tc>
        <w:tc>
          <w:tcPr>
            <w:tcW w:w="1418" w:type="dxa"/>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5188"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不存在如下情形：投标文件不满足交易文件的其它实质性要求。</w:t>
            </w:r>
          </w:p>
        </w:tc>
        <w:tc>
          <w:tcPr>
            <w:tcW w:w="2354"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交易文件其它实质性要求相应的材料（交易文件未要求的，无需提供）</w:t>
            </w:r>
          </w:p>
        </w:tc>
        <w:tc>
          <w:tcPr>
            <w:tcW w:w="1418" w:type="dxa"/>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（二）符合性审查资料具体内容</w:t>
      </w:r>
    </w:p>
    <w:p>
      <w:pPr>
        <w:rPr>
          <w:rFonts w:ascii="宋体" w:hAnsi="宋体" w:cs="宋体"/>
          <w:b/>
          <w:color w:val="auto"/>
          <w:kern w:val="0"/>
          <w:sz w:val="32"/>
          <w:szCs w:val="32"/>
          <w:highlight w:val="none"/>
        </w:rPr>
      </w:pPr>
      <w:r>
        <w:rPr>
          <w:rFonts w:hint="eastAsia" w:ascii="宋体" w:hAnsi="宋体" w:cs="宋体"/>
          <w:color w:val="auto"/>
          <w:sz w:val="24"/>
          <w:highlight w:val="none"/>
        </w:rPr>
        <w:t>1、投标文件的组成部分中需要使用电子签章或者签字盖章处（详见投标文件第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页） </w:t>
      </w:r>
    </w:p>
    <w:p>
      <w:pPr>
        <w:rPr>
          <w:rFonts w:ascii="宋体" w:hAnsi="宋体" w:cs="宋体"/>
          <w:color w:val="auto"/>
          <w:kern w:val="0"/>
          <w:sz w:val="24"/>
          <w:highlight w:val="none"/>
        </w:rPr>
      </w:pPr>
      <w:r>
        <w:rPr>
          <w:rFonts w:hint="eastAsia" w:ascii="宋体" w:hAnsi="宋体" w:cs="宋体"/>
          <w:color w:val="auto"/>
          <w:kern w:val="0"/>
          <w:sz w:val="24"/>
          <w:highlight w:val="none"/>
        </w:rPr>
        <w:t>2、节能产品认证证书</w:t>
      </w:r>
      <w:r>
        <w:rPr>
          <w:rFonts w:hint="eastAsia" w:ascii="宋体" w:hAnsi="宋体" w:cs="宋体"/>
          <w:color w:val="auto"/>
          <w:sz w:val="24"/>
          <w:highlight w:val="none"/>
        </w:rPr>
        <w:t>、环境标志产品认证证书</w:t>
      </w:r>
      <w:r>
        <w:rPr>
          <w:rFonts w:hint="eastAsia" w:ascii="宋体" w:hAnsi="宋体" w:cs="宋体"/>
          <w:color w:val="auto"/>
          <w:kern w:val="0"/>
          <w:sz w:val="24"/>
          <w:highlight w:val="none"/>
        </w:rPr>
        <w:t>（交易文件未要求的，无需提供）</w:t>
      </w:r>
    </w:p>
    <w:p>
      <w:pPr>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lang w:eastAsia="zh-CN"/>
        </w:rPr>
        <w:t>交易函</w:t>
      </w:r>
      <w:r>
        <w:rPr>
          <w:rFonts w:hint="eastAsia" w:ascii="宋体" w:hAnsi="宋体" w:cs="宋体"/>
          <w:color w:val="auto"/>
          <w:sz w:val="24"/>
          <w:highlight w:val="none"/>
        </w:rPr>
        <w:t>（详见投标文件第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p>
      <w:pPr>
        <w:rPr>
          <w:rFonts w:ascii="宋体" w:hAnsi="宋体" w:cs="宋体"/>
          <w:color w:val="auto"/>
          <w:kern w:val="0"/>
          <w:sz w:val="24"/>
          <w:highlight w:val="none"/>
        </w:rPr>
      </w:pPr>
      <w:r>
        <w:rPr>
          <w:rFonts w:hint="eastAsia" w:ascii="宋体" w:hAnsi="宋体" w:cs="宋体"/>
          <w:color w:val="auto"/>
          <w:kern w:val="0"/>
          <w:sz w:val="24"/>
          <w:highlight w:val="none"/>
        </w:rPr>
        <w:t>4、交易文件其它实质性要求相应的材料（交易文件未要求的，无需提供）</w:t>
      </w:r>
    </w:p>
    <w:p>
      <w:pPr>
        <w:rPr>
          <w:rFonts w:ascii="宋体" w:hAnsi="宋体" w:cs="宋体"/>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8"/>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评标标准相应的商务技术资料</w:t>
      </w:r>
    </w:p>
    <w:p>
      <w:pPr>
        <w:pStyle w:val="43"/>
        <w:rPr>
          <w:rFonts w:ascii="宋体" w:hAnsi="宋体" w:cs="宋体"/>
          <w:color w:val="auto"/>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8"/>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pPr>
        <w:pStyle w:val="43"/>
        <w:rPr>
          <w:rFonts w:ascii="宋体" w:hAnsi="宋体" w:cs="宋体"/>
          <w:color w:val="auto"/>
          <w:highlight w:val="none"/>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r>
              <w:rPr>
                <w:rFonts w:hint="eastAsia" w:ascii="宋体" w:hAnsi="宋体" w:cs="宋体"/>
                <w:b/>
                <w:color w:val="auto"/>
                <w:kern w:val="0"/>
                <w:sz w:val="32"/>
                <w:szCs w:val="32"/>
                <w:highlight w:val="none"/>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r>
              <w:rPr>
                <w:rFonts w:hint="eastAsia" w:ascii="宋体" w:hAnsi="宋体" w:cs="宋体"/>
                <w:b/>
                <w:color w:val="auto"/>
                <w:kern w:val="0"/>
                <w:sz w:val="32"/>
                <w:szCs w:val="32"/>
                <w:highlight w:val="none"/>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8"/>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政府采购供应商廉洁自律承诺书</w:t>
      </w:r>
    </w:p>
    <w:p>
      <w:pPr>
        <w:pStyle w:val="43"/>
        <w:rPr>
          <w:rFonts w:ascii="宋体" w:hAnsi="宋体" w:cs="宋体"/>
          <w:color w:val="auto"/>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（采购人名称）、（采购代理机构名称）</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交易投标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numPr>
          <w:ilvl w:val="0"/>
          <w:numId w:val="9"/>
        </w:numPr>
        <w:spacing w:line="360" w:lineRule="auto"/>
        <w:jc w:val="center"/>
        <w:rPr>
          <w:rFonts w:ascii="宋体" w:hAnsi="宋体" w:cs="宋体"/>
          <w:b/>
          <w:bCs/>
          <w:color w:val="auto"/>
          <w:kern w:val="0"/>
          <w:sz w:val="24"/>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pacing w:line="360" w:lineRule="auto"/>
        <w:ind w:right="420"/>
        <w:rPr>
          <w:rFonts w:ascii="宋体" w:hAnsi="宋体" w:cs="宋体"/>
          <w:b/>
          <w:color w:val="auto"/>
          <w:sz w:val="24"/>
          <w:highlight w:val="none"/>
        </w:rPr>
      </w:pPr>
    </w:p>
    <w:p>
      <w:pPr>
        <w:pStyle w:val="3"/>
        <w:rPr>
          <w:rFonts w:ascii="宋体" w:hAnsi="宋体" w:eastAsia="宋体" w:cs="宋体"/>
          <w:color w:val="auto"/>
          <w:highlight w:val="none"/>
        </w:rPr>
      </w:pPr>
      <w:bookmarkStart w:id="432" w:name="_Toc465665161"/>
      <w:r>
        <w:rPr>
          <w:rFonts w:hint="eastAsia" w:ascii="宋体" w:hAnsi="宋体" w:eastAsia="宋体" w:cs="宋体"/>
          <w:color w:val="auto"/>
          <w:highlight w:val="none"/>
        </w:rPr>
        <w:t>附件</w:t>
      </w:r>
      <w:bookmarkEnd w:id="432"/>
    </w:p>
    <w:p>
      <w:pPr>
        <w:rPr>
          <w:rFonts w:ascii="宋体" w:hAnsi="宋体" w:cs="宋体"/>
          <w:color w:val="auto"/>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邮箱： </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标项号：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宋体" w:hAnsi="宋体" w:cs="宋体"/>
          <w:b/>
          <w:color w:val="auto"/>
          <w:sz w:val="24"/>
          <w:highlight w:val="none"/>
        </w:rPr>
      </w:pPr>
      <w:r>
        <w:rPr>
          <w:rFonts w:hint="eastAsia" w:ascii="宋体" w:hAnsi="宋体" w:cs="宋体"/>
          <w:b/>
          <w:color w:val="auto"/>
          <w:sz w:val="24"/>
          <w:highlight w:val="none"/>
        </w:rPr>
        <w:br w:type="page"/>
      </w:r>
    </w:p>
    <w:p>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 质疑答复范本</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关于*****项目质疑的答复</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质疑项目名称：</w:t>
      </w:r>
      <w:r>
        <w:rPr>
          <w:rFonts w:hint="eastAsia" w:ascii="宋体" w:hAnsi="宋体" w:cs="宋体"/>
          <w:color w:val="auto"/>
          <w:sz w:val="24"/>
          <w:highlight w:val="none"/>
          <w:u w:val="dotted"/>
        </w:rPr>
        <w:t xml:space="preserve"> ***政府采购项目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质疑项目编号：</w:t>
      </w:r>
      <w:r>
        <w:rPr>
          <w:rFonts w:hint="eastAsia" w:ascii="宋体" w:hAnsi="宋体" w:cs="宋体"/>
          <w:color w:val="auto"/>
          <w:sz w:val="24"/>
          <w:highlight w:val="none"/>
          <w:u w:val="dotted"/>
        </w:rPr>
        <w:t xml:space="preserve"> ***                                     </w:t>
      </w:r>
    </w:p>
    <w:p>
      <w:pPr>
        <w:snapToGrid w:val="0"/>
        <w:spacing w:line="360" w:lineRule="auto"/>
        <w:rPr>
          <w:rFonts w:ascii="宋体" w:hAnsi="宋体" w:cs="宋体"/>
          <w:bCs/>
          <w:color w:val="auto"/>
          <w:sz w:val="24"/>
          <w:highlight w:val="none"/>
        </w:rPr>
      </w:pPr>
      <w:r>
        <w:rPr>
          <w:rFonts w:hint="eastAsia" w:ascii="宋体" w:hAnsi="宋体" w:cs="宋体"/>
          <w:color w:val="auto"/>
          <w:sz w:val="24"/>
          <w:highlight w:val="none"/>
        </w:rPr>
        <w:t>本单位于  月  日收到质疑函，  月  日收到补充材料，答复内容如下。</w:t>
      </w:r>
    </w:p>
    <w:p>
      <w:pPr>
        <w:numPr>
          <w:ilvl w:val="0"/>
          <w:numId w:val="10"/>
        </w:num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质疑人</w:t>
      </w:r>
    </w:p>
    <w:p>
      <w:pP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二、项目采购人和代理机构</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采购人地址：</w:t>
      </w:r>
      <w:r>
        <w:rPr>
          <w:rFonts w:hint="eastAsia" w:ascii="宋体" w:hAnsi="宋体" w:cs="宋体"/>
          <w:color w:val="auto"/>
          <w:sz w:val="24"/>
          <w:highlight w:val="none"/>
          <w:u w:val="dotted"/>
        </w:rPr>
        <w:t xml:space="preserve">                                                          </w:t>
      </w:r>
    </w:p>
    <w:p>
      <w:pPr>
        <w:snapToGrid w:val="0"/>
        <w:spacing w:line="360" w:lineRule="auto"/>
        <w:jc w:val="left"/>
        <w:rPr>
          <w:rFonts w:ascii="宋体" w:hAnsi="宋体" w:cs="宋体"/>
          <w:color w:val="auto"/>
          <w:sz w:val="24"/>
          <w:highlight w:val="none"/>
          <w:u w:val="dotted"/>
        </w:rPr>
      </w:pPr>
      <w:r>
        <w:rPr>
          <w:rFonts w:hint="eastAsia" w:ascii="宋体" w:hAnsi="宋体" w:cs="宋体"/>
          <w:color w:val="auto"/>
          <w:sz w:val="24"/>
          <w:highlight w:val="none"/>
        </w:rPr>
        <w:t>质疑联系人：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u w:val="dotted"/>
        </w:rPr>
        <w:t xml:space="preserve">               邮箱：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采购代理机构：</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采购代理机构地址：</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u w:val="dotted"/>
        </w:rPr>
        <w:t xml:space="preserve">                 邮箱：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质疑事项2：</w:t>
      </w:r>
      <w:r>
        <w:rPr>
          <w:rFonts w:hint="eastAsia" w:ascii="宋体" w:hAnsi="宋体" w:cs="宋体"/>
          <w:color w:val="auto"/>
          <w:sz w:val="24"/>
          <w:highlight w:val="none"/>
          <w:u w:val="dotted"/>
        </w:rPr>
        <w:t xml:space="preserve">                    </w:t>
      </w:r>
    </w:p>
    <w:p>
      <w:pPr>
        <w:numPr>
          <w:ilvl w:val="0"/>
          <w:numId w:val="11"/>
        </w:num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审查及答复</w:t>
      </w:r>
    </w:p>
    <w:p>
      <w:pPr>
        <w:snapToGrid w:val="0"/>
        <w:spacing w:line="360" w:lineRule="auto"/>
        <w:rPr>
          <w:rFonts w:ascii="宋体" w:hAnsi="宋体" w:cs="宋体"/>
          <w:color w:val="auto"/>
          <w:sz w:val="24"/>
          <w:highlight w:val="none"/>
          <w:u w:val="dotted"/>
        </w:rPr>
      </w:pPr>
      <w:r>
        <w:rPr>
          <w:rFonts w:hint="eastAsia" w:ascii="宋体" w:hAnsi="宋体" w:cs="宋体"/>
          <w:bCs/>
          <w:color w:val="auto"/>
          <w:sz w:val="24"/>
          <w:highlight w:val="none"/>
        </w:rPr>
        <w:t>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事项2：</w:t>
      </w:r>
      <w:r>
        <w:rPr>
          <w:rFonts w:hint="eastAsia" w:ascii="宋体" w:hAnsi="宋体" w:cs="宋体"/>
          <w:color w:val="auto"/>
          <w:sz w:val="24"/>
          <w:highlight w:val="none"/>
          <w:u w:val="dotted"/>
        </w:rPr>
        <w:t xml:space="preserve">                    </w:t>
      </w:r>
    </w:p>
    <w:p>
      <w:pPr>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欢迎并感谢你单位对政府采购活动的参与和支持。</w:t>
      </w:r>
    </w:p>
    <w:p>
      <w:pPr>
        <w:snapToGrid w:val="0"/>
        <w:spacing w:line="360" w:lineRule="auto"/>
        <w:rPr>
          <w:rFonts w:ascii="宋体" w:hAnsi="宋体" w:cs="宋体"/>
          <w:bCs/>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采购单位：</w:t>
      </w:r>
    </w:p>
    <w:p>
      <w:pPr>
        <w:spacing w:line="360" w:lineRule="auto"/>
        <w:ind w:firstLine="5520" w:firstLineChars="2300"/>
        <w:rPr>
          <w:rFonts w:ascii="宋体" w:hAnsi="宋体" w:cs="宋体"/>
          <w:color w:val="auto"/>
          <w:sz w:val="24"/>
          <w:highlight w:val="none"/>
        </w:rPr>
      </w:pPr>
      <w:r>
        <w:rPr>
          <w:rFonts w:hint="eastAsia" w:ascii="宋体" w:hAnsi="宋体" w:cs="宋体"/>
          <w:color w:val="auto"/>
          <w:sz w:val="24"/>
          <w:highlight w:val="none"/>
        </w:rPr>
        <w:t xml:space="preserve">          年  月  日 </w:t>
      </w:r>
    </w:p>
    <w:p>
      <w:pPr>
        <w:spacing w:line="360" w:lineRule="auto"/>
        <w:rPr>
          <w:rFonts w:ascii="宋体" w:hAnsi="宋体" w:cs="宋体"/>
          <w:b/>
          <w:color w:val="auto"/>
          <w:sz w:val="24"/>
          <w:highlight w:val="none"/>
        </w:rPr>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20"/>
        <w:rPr>
          <w:rFonts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r>
        <w:rPr>
          <w:rFonts w:hint="eastAsia"/>
          <w:color w:val="auto"/>
          <w:highlight w:val="none"/>
        </w:rPr>
        <w:br w:type="page"/>
      </w:r>
    </w:p>
    <w:p>
      <w:pPr>
        <w:pStyle w:val="4"/>
        <w:numPr>
          <w:ilvl w:val="0"/>
          <w:numId w:val="0"/>
        </w:numPr>
        <w:ind w:leftChars="0"/>
        <w:rPr>
          <w:rFonts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附件：中小企业划型标准</w:t>
      </w:r>
    </w:p>
    <w:p>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2000019F" w:csb1="4F01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33" w:name="_Toc91899912"/>
    <w:bookmarkStart w:id="434" w:name="_Toc36110187"/>
    <w:bookmarkStart w:id="435" w:name="_Toc131845147"/>
    <w:bookmarkStart w:id="436" w:name="_Toc164085800"/>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pPr>
    <w:r>
      <w:rPr>
        <w:rFonts w:hint="eastAsia"/>
      </w:rPr>
      <w:t>公开交易文件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公开交易文件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pPr>
      <w:pStyle w:val="41"/>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公开</w:t>
    </w:r>
    <w:r>
      <w:rPr>
        <w:rFonts w:hint="eastAsia"/>
      </w:rPr>
      <w:t>交易</w:t>
    </w:r>
    <w:r>
      <w:t>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pPr>
      <w:pStyle w:val="41"/>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3"/>
    <w:multiLevelType w:val="multilevel"/>
    <w:tmpl w:val="00000003"/>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3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7"/>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3">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singleLevel"/>
    <w:tmpl w:val="00000008"/>
    <w:lvl w:ilvl="0" w:tentative="0">
      <w:start w:val="4"/>
      <w:numFmt w:val="chineseCounting"/>
      <w:suff w:val="nothing"/>
      <w:lvlText w:val="%1、"/>
      <w:lvlJc w:val="left"/>
      <w:rPr>
        <w:rFonts w:hint="eastAsia"/>
      </w:rPr>
    </w:lvl>
  </w:abstractNum>
  <w:abstractNum w:abstractNumId="8">
    <w:nsid w:val="00000009"/>
    <w:multiLevelType w:val="multilevel"/>
    <w:tmpl w:val="00000009"/>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E83993D"/>
    <w:multiLevelType w:val="singleLevel"/>
    <w:tmpl w:val="2E83993D"/>
    <w:lvl w:ilvl="0" w:tentative="0">
      <w:start w:val="3"/>
      <w:numFmt w:val="chineseCounting"/>
      <w:suff w:val="space"/>
      <w:lvlText w:val="第%1部分"/>
      <w:lvlJc w:val="left"/>
      <w:rPr>
        <w:rFonts w:hint="eastAsia"/>
      </w:rPr>
    </w:lvl>
  </w:abstractNum>
  <w:abstractNum w:abstractNumId="10">
    <w:nsid w:val="77D44B29"/>
    <w:multiLevelType w:val="singleLevel"/>
    <w:tmpl w:val="77D44B29"/>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6"/>
  </w:num>
  <w:num w:numId="6">
    <w:abstractNumId w:val="8"/>
  </w:num>
  <w:num w:numId="7">
    <w:abstractNumId w:val="9"/>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jNlZjFiNGEyZDU0M2M3ZWJhMGM5ZjRmNWI0MTAifQ=="/>
  </w:docVars>
  <w:rsids>
    <w:rsidRoot w:val="008C5C59"/>
    <w:rsid w:val="001738DE"/>
    <w:rsid w:val="002049C6"/>
    <w:rsid w:val="002A57E1"/>
    <w:rsid w:val="003F4576"/>
    <w:rsid w:val="00402E07"/>
    <w:rsid w:val="0057453F"/>
    <w:rsid w:val="006F3400"/>
    <w:rsid w:val="0074229C"/>
    <w:rsid w:val="007D2949"/>
    <w:rsid w:val="008269A9"/>
    <w:rsid w:val="008C5C59"/>
    <w:rsid w:val="00D8520D"/>
    <w:rsid w:val="00DC6033"/>
    <w:rsid w:val="00F704D1"/>
    <w:rsid w:val="01D36AF5"/>
    <w:rsid w:val="023E42A9"/>
    <w:rsid w:val="03B2276E"/>
    <w:rsid w:val="055B3F73"/>
    <w:rsid w:val="0BF7523F"/>
    <w:rsid w:val="0E835B7C"/>
    <w:rsid w:val="0EF645A0"/>
    <w:rsid w:val="0F783207"/>
    <w:rsid w:val="0F8561C2"/>
    <w:rsid w:val="0F8B758E"/>
    <w:rsid w:val="0FA47B58"/>
    <w:rsid w:val="0FAC33BA"/>
    <w:rsid w:val="10E2302E"/>
    <w:rsid w:val="12EA441C"/>
    <w:rsid w:val="12F26E2C"/>
    <w:rsid w:val="13AA4B3D"/>
    <w:rsid w:val="13F86B10"/>
    <w:rsid w:val="152F6116"/>
    <w:rsid w:val="167307BC"/>
    <w:rsid w:val="172B6B76"/>
    <w:rsid w:val="1842131B"/>
    <w:rsid w:val="195E16BF"/>
    <w:rsid w:val="1B612DA1"/>
    <w:rsid w:val="1C744CBF"/>
    <w:rsid w:val="1DAD6772"/>
    <w:rsid w:val="1DC67833"/>
    <w:rsid w:val="1DD12460"/>
    <w:rsid w:val="1E744670"/>
    <w:rsid w:val="206C46C2"/>
    <w:rsid w:val="20EA2C10"/>
    <w:rsid w:val="216B6315"/>
    <w:rsid w:val="219D47ED"/>
    <w:rsid w:val="21F14202"/>
    <w:rsid w:val="22B45EAC"/>
    <w:rsid w:val="22DA0008"/>
    <w:rsid w:val="23066850"/>
    <w:rsid w:val="23B96079"/>
    <w:rsid w:val="244C633F"/>
    <w:rsid w:val="24807195"/>
    <w:rsid w:val="25211F01"/>
    <w:rsid w:val="25F922C8"/>
    <w:rsid w:val="270C26EF"/>
    <w:rsid w:val="270F3FF9"/>
    <w:rsid w:val="294C6E3F"/>
    <w:rsid w:val="2A9D36CA"/>
    <w:rsid w:val="2B05DD42"/>
    <w:rsid w:val="2BAA609E"/>
    <w:rsid w:val="2BD63337"/>
    <w:rsid w:val="2CFE2B57"/>
    <w:rsid w:val="2E587561"/>
    <w:rsid w:val="2EFD2FDE"/>
    <w:rsid w:val="2F136966"/>
    <w:rsid w:val="30872E52"/>
    <w:rsid w:val="30F54260"/>
    <w:rsid w:val="31AC0C81"/>
    <w:rsid w:val="335C05C6"/>
    <w:rsid w:val="335C4122"/>
    <w:rsid w:val="366E7B63"/>
    <w:rsid w:val="368B0408"/>
    <w:rsid w:val="36AD5CB0"/>
    <w:rsid w:val="37D56B99"/>
    <w:rsid w:val="3A7E0E22"/>
    <w:rsid w:val="3B2B5206"/>
    <w:rsid w:val="3CC8537E"/>
    <w:rsid w:val="3D305D1F"/>
    <w:rsid w:val="3DBB3FD3"/>
    <w:rsid w:val="3F0F4791"/>
    <w:rsid w:val="3F3E79D2"/>
    <w:rsid w:val="40BA6D87"/>
    <w:rsid w:val="40F9673D"/>
    <w:rsid w:val="417A6E9A"/>
    <w:rsid w:val="436C6603"/>
    <w:rsid w:val="444529B0"/>
    <w:rsid w:val="4B3F0159"/>
    <w:rsid w:val="4B84698B"/>
    <w:rsid w:val="4DEB6377"/>
    <w:rsid w:val="4EB54731"/>
    <w:rsid w:val="514C3A8E"/>
    <w:rsid w:val="544741D2"/>
    <w:rsid w:val="54A4325F"/>
    <w:rsid w:val="55344AA7"/>
    <w:rsid w:val="560C77D2"/>
    <w:rsid w:val="578B3EAF"/>
    <w:rsid w:val="58226E39"/>
    <w:rsid w:val="58E36319"/>
    <w:rsid w:val="5B6C1A92"/>
    <w:rsid w:val="5C2C0286"/>
    <w:rsid w:val="5D657ED5"/>
    <w:rsid w:val="5E660586"/>
    <w:rsid w:val="606329C7"/>
    <w:rsid w:val="60FC4A9E"/>
    <w:rsid w:val="62312A9A"/>
    <w:rsid w:val="637B1AF3"/>
    <w:rsid w:val="65643106"/>
    <w:rsid w:val="6574559E"/>
    <w:rsid w:val="65837118"/>
    <w:rsid w:val="6587600F"/>
    <w:rsid w:val="67172DB2"/>
    <w:rsid w:val="67206C39"/>
    <w:rsid w:val="678C0D54"/>
    <w:rsid w:val="684F18DB"/>
    <w:rsid w:val="691C1682"/>
    <w:rsid w:val="693E0518"/>
    <w:rsid w:val="69612B85"/>
    <w:rsid w:val="6A4C7237"/>
    <w:rsid w:val="6B1271E1"/>
    <w:rsid w:val="6D124381"/>
    <w:rsid w:val="6D2302F0"/>
    <w:rsid w:val="6E0E5A3E"/>
    <w:rsid w:val="6ED62916"/>
    <w:rsid w:val="6EDD66A8"/>
    <w:rsid w:val="71D6636D"/>
    <w:rsid w:val="744124CA"/>
    <w:rsid w:val="760C31AA"/>
    <w:rsid w:val="761E6A3A"/>
    <w:rsid w:val="76565613"/>
    <w:rsid w:val="7827096E"/>
    <w:rsid w:val="78931961"/>
    <w:rsid w:val="799F7E92"/>
    <w:rsid w:val="79E964F2"/>
    <w:rsid w:val="7AF22999"/>
    <w:rsid w:val="7B424F78"/>
    <w:rsid w:val="7B811F45"/>
    <w:rsid w:val="7BEE40EB"/>
    <w:rsid w:val="7DD169AF"/>
    <w:rsid w:val="7EAB552B"/>
    <w:rsid w:val="E1F27F21"/>
    <w:rsid w:val="EEF789BB"/>
    <w:rsid w:val="EF779D76"/>
    <w:rsid w:val="F7A7AFCD"/>
    <w:rsid w:val="FDBC59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20"/>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83"/>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8"/>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4"/>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9"/>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3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254"/>
    <w:qFormat/>
    <w:uiPriority w:val="99"/>
    <w:pPr>
      <w:jc w:val="left"/>
    </w:pPr>
  </w:style>
  <w:style w:type="paragraph" w:styleId="20">
    <w:name w:val="Salutation"/>
    <w:basedOn w:val="1"/>
    <w:next w:val="1"/>
    <w:link w:val="219"/>
    <w:qFormat/>
    <w:uiPriority w:val="0"/>
    <w:rPr>
      <w:rFonts w:ascii="仿宋_GB2312" w:eastAsia="仿宋_GB2312"/>
      <w:sz w:val="28"/>
      <w:szCs w:val="20"/>
    </w:rPr>
  </w:style>
  <w:style w:type="paragraph" w:styleId="21">
    <w:name w:val="Body Text 3"/>
    <w:basedOn w:val="1"/>
    <w:link w:val="192"/>
    <w:qFormat/>
    <w:uiPriority w:val="0"/>
    <w:pPr>
      <w:jc w:val="center"/>
    </w:pPr>
    <w:rPr>
      <w:szCs w:val="20"/>
    </w:rPr>
  </w:style>
  <w:style w:type="paragraph" w:styleId="22">
    <w:name w:val="Body Text"/>
    <w:basedOn w:val="1"/>
    <w:next w:val="23"/>
    <w:link w:val="129"/>
    <w:qFormat/>
    <w:uiPriority w:val="0"/>
    <w:pPr>
      <w:autoSpaceDE w:val="0"/>
      <w:autoSpaceDN w:val="0"/>
      <w:spacing w:line="360" w:lineRule="auto"/>
    </w:pPr>
    <w:rPr>
      <w:rFonts w:ascii="宋体"/>
      <w:sz w:val="24"/>
      <w:szCs w:val="21"/>
      <w:lang w:val="zh-CN"/>
    </w:rPr>
  </w:style>
  <w:style w:type="paragraph" w:customStyle="1" w:styleId="23">
    <w:name w:val="一级条标题"/>
    <w:basedOn w:val="24"/>
    <w:next w:val="25"/>
    <w:qFormat/>
    <w:uiPriority w:val="0"/>
    <w:pPr>
      <w:tabs>
        <w:tab w:val="left" w:pos="1260"/>
        <w:tab w:val="left" w:pos="1680"/>
      </w:tabs>
      <w:ind w:left="1680"/>
      <w:outlineLvl w:val="2"/>
    </w:pPr>
  </w:style>
  <w:style w:type="paragraph" w:customStyle="1" w:styleId="24">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6">
    <w:name w:val="Body Text Indent"/>
    <w:basedOn w:val="1"/>
    <w:next w:val="1"/>
    <w:link w:val="11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8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230"/>
    <w:qFormat/>
    <w:uiPriority w:val="0"/>
    <w:rPr>
      <w:rFonts w:ascii="宋体" w:hAnsi="Courier New"/>
      <w:szCs w:val="20"/>
    </w:rPr>
  </w:style>
  <w:style w:type="paragraph" w:styleId="35">
    <w:name w:val="Date"/>
    <w:basedOn w:val="1"/>
    <w:next w:val="1"/>
    <w:link w:val="217"/>
    <w:qFormat/>
    <w:uiPriority w:val="0"/>
    <w:pPr>
      <w:ind w:left="100" w:leftChars="2500"/>
    </w:pPr>
    <w:rPr>
      <w:rFonts w:ascii="宋体"/>
      <w:sz w:val="24"/>
      <w:szCs w:val="21"/>
      <w:lang w:val="zh-CN"/>
    </w:rPr>
  </w:style>
  <w:style w:type="paragraph" w:styleId="36">
    <w:name w:val="List Number 4"/>
    <w:basedOn w:val="1"/>
    <w:qFormat/>
    <w:uiPriority w:val="0"/>
    <w:pPr>
      <w:numPr>
        <w:ilvl w:val="0"/>
        <w:numId w:val="4"/>
      </w:numPr>
      <w:autoSpaceDE w:val="0"/>
      <w:autoSpaceDN w:val="0"/>
      <w:spacing w:line="360" w:lineRule="atLeast"/>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90"/>
    <w:qFormat/>
    <w:uiPriority w:val="0"/>
    <w:pPr>
      <w:spacing w:line="360" w:lineRule="auto"/>
      <w:ind w:firstLine="601"/>
      <w:textAlignment w:val="baseline"/>
    </w:pPr>
    <w:rPr>
      <w:rFonts w:ascii="宋体"/>
      <w:kern w:val="0"/>
      <w:sz w:val="28"/>
      <w:szCs w:val="20"/>
    </w:rPr>
  </w:style>
  <w:style w:type="paragraph" w:styleId="39">
    <w:name w:val="Balloon Text"/>
    <w:basedOn w:val="1"/>
    <w:link w:val="255"/>
    <w:qFormat/>
    <w:uiPriority w:val="0"/>
    <w:rPr>
      <w:sz w:val="18"/>
      <w:szCs w:val="18"/>
    </w:rPr>
  </w:style>
  <w:style w:type="paragraph" w:styleId="40">
    <w:name w:val="footer"/>
    <w:basedOn w:val="1"/>
    <w:link w:val="632"/>
    <w:qFormat/>
    <w:uiPriority w:val="99"/>
    <w:pPr>
      <w:tabs>
        <w:tab w:val="center" w:pos="4153"/>
        <w:tab w:val="right" w:pos="8306"/>
      </w:tabs>
      <w:snapToGrid w:val="0"/>
      <w:jc w:val="left"/>
    </w:pPr>
    <w:rPr>
      <w:sz w:val="18"/>
      <w:szCs w:val="18"/>
    </w:rPr>
  </w:style>
  <w:style w:type="paragraph" w:styleId="41">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link w:val="244"/>
    <w:qFormat/>
    <w:uiPriority w:val="0"/>
    <w:pPr>
      <w:adjustRightInd/>
      <w:snapToGrid/>
      <w:spacing w:before="60" w:after="60" w:line="300" w:lineRule="exact"/>
      <w:ind w:firstLine="0"/>
    </w:pPr>
    <w:rPr>
      <w:rFonts w:ascii="Times New Roman" w:hAnsi="Times New Roman" w:eastAsia="宋体" w:cs="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20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qFormat/>
    <w:uiPriority w:val="0"/>
    <w:rPr>
      <w:b/>
      <w:bCs/>
    </w:rPr>
  </w:style>
  <w:style w:type="paragraph" w:styleId="61">
    <w:name w:val="Body Text First Indent"/>
    <w:basedOn w:val="22"/>
    <w:link w:val="142"/>
    <w:qFormat/>
    <w:uiPriority w:val="0"/>
    <w:pPr>
      <w:ind w:firstLine="420"/>
    </w:pPr>
    <w:rPr>
      <w:szCs w:val="20"/>
    </w:rPr>
  </w:style>
  <w:style w:type="paragraph" w:styleId="62">
    <w:name w:val="Body Text First Indent 2"/>
    <w:basedOn w:val="1"/>
    <w:next w:val="1"/>
    <w:link w:val="252"/>
    <w:qFormat/>
    <w:uiPriority w:val="0"/>
    <w:pPr>
      <w:adjustRightInd/>
      <w:spacing w:after="120"/>
      <w:ind w:left="420" w:leftChars="200" w:firstLine="21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Normal Indent1"/>
    <w:basedOn w:val="1"/>
    <w:qFormat/>
    <w:uiPriority w:val="0"/>
    <w:pPr>
      <w:widowControl/>
      <w:ind w:firstLine="420"/>
      <w:jc w:val="left"/>
    </w:pPr>
    <w:rPr>
      <w:rFonts w:ascii="Times New Roman" w:hAnsi="Times New Roman"/>
      <w:kern w:val="0"/>
      <w:szCs w:val="20"/>
    </w:rPr>
  </w:style>
  <w:style w:type="paragraph" w:customStyle="1" w:styleId="75">
    <w:name w:val="_Style 2"/>
    <w:basedOn w:val="1"/>
    <w:qFormat/>
    <w:uiPriority w:val="0"/>
    <w:pPr>
      <w:ind w:firstLine="200" w:firstLineChars="200"/>
    </w:pPr>
    <w:rPr>
      <w:rFonts w:ascii="Calibri" w:hAnsi="Calibri"/>
      <w:sz w:val="28"/>
      <w:szCs w:val="22"/>
    </w:rPr>
  </w:style>
  <w:style w:type="paragraph" w:customStyle="1" w:styleId="76">
    <w:name w:val="_Style 3"/>
    <w:basedOn w:val="1"/>
    <w:qFormat/>
    <w:uiPriority w:val="0"/>
    <w:pPr>
      <w:adjustRightInd/>
      <w:ind w:firstLine="420" w:firstLineChars="200"/>
    </w:pPr>
    <w:rPr>
      <w:rFonts w:eastAsia="仿宋_GB2312"/>
      <w:sz w:val="28"/>
    </w:rPr>
  </w:style>
  <w:style w:type="paragraph" w:customStyle="1" w:styleId="77">
    <w:name w:val="正文1"/>
    <w:basedOn w:val="33"/>
    <w:next w:val="1"/>
    <w:qFormat/>
    <w:uiPriority w:val="0"/>
    <w:pPr>
      <w:ind w:left="0" w:leftChars="0" w:firstLine="480" w:firstLineChars="200"/>
    </w:pPr>
    <w:rPr>
      <w:rFonts w:ascii="仿宋_GB2312" w:hAnsi="Courier New" w:eastAsia="仿宋_GB2312"/>
      <w:kern w:val="28"/>
      <w:sz w:val="24"/>
    </w:rPr>
  </w:style>
  <w:style w:type="paragraph" w:styleId="78">
    <w:name w:val="List Paragraph"/>
    <w:basedOn w:val="1"/>
    <w:qFormat/>
    <w:uiPriority w:val="34"/>
    <w:pPr>
      <w:spacing w:line="360" w:lineRule="auto"/>
      <w:ind w:firstLine="200" w:firstLineChars="200"/>
    </w:pPr>
    <w:rPr>
      <w:rFonts w:eastAsia="楷体_GB2312" w:cs="Lucida Sans"/>
      <w:sz w:val="24"/>
    </w:rPr>
  </w:style>
  <w:style w:type="character" w:customStyle="1" w:styleId="79">
    <w:name w:val="标题 1 Char"/>
    <w:link w:val="3"/>
    <w:qFormat/>
    <w:uiPriority w:val="0"/>
    <w:rPr>
      <w:rFonts w:ascii="仿宋" w:hAnsi="仿宋" w:eastAsia="仿宋" w:cs="仿宋_GB2312"/>
      <w:b/>
      <w:color w:val="000000"/>
      <w:kern w:val="2"/>
      <w:sz w:val="36"/>
      <w:szCs w:val="36"/>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solutionfonts"/>
    <w:qFormat/>
    <w:uiPriority w:val="0"/>
  </w:style>
  <w:style w:type="character" w:customStyle="1" w:styleId="82">
    <w:name w:val="Font Style82"/>
    <w:qFormat/>
    <w:uiPriority w:val="99"/>
    <w:rPr>
      <w:rFonts w:ascii="宋体" w:eastAsia="宋体" w:cs="宋体"/>
      <w:color w:val="000000"/>
      <w:sz w:val="14"/>
      <w:szCs w:val="14"/>
    </w:rPr>
  </w:style>
  <w:style w:type="character" w:customStyle="1" w:styleId="83">
    <w:name w:val="此正文 Char"/>
    <w:link w:val="84"/>
    <w:qFormat/>
    <w:uiPriority w:val="0"/>
    <w:rPr>
      <w:kern w:val="2"/>
      <w:sz w:val="24"/>
      <w:szCs w:val="24"/>
    </w:rPr>
  </w:style>
  <w:style w:type="paragraph" w:customStyle="1" w:styleId="84">
    <w:name w:val="此正文"/>
    <w:basedOn w:val="1"/>
    <w:link w:val="83"/>
    <w:qFormat/>
    <w:uiPriority w:val="0"/>
    <w:pPr>
      <w:adjustRightInd/>
      <w:spacing w:line="360" w:lineRule="auto"/>
      <w:ind w:firstLine="200" w:firstLineChars="200"/>
    </w:pPr>
    <w:rPr>
      <w:sz w:val="24"/>
    </w:rPr>
  </w:style>
  <w:style w:type="character" w:customStyle="1" w:styleId="85">
    <w:name w:val="Char Char10"/>
    <w:qFormat/>
    <w:uiPriority w:val="0"/>
    <w:rPr>
      <w:rFonts w:ascii="宋体" w:hAnsi="宋体"/>
      <w:kern w:val="2"/>
      <w:sz w:val="21"/>
      <w:szCs w:val="24"/>
      <w:lang w:val="en-US" w:eastAsia="zh-CN"/>
    </w:rPr>
  </w:style>
  <w:style w:type="character" w:customStyle="1" w:styleId="86">
    <w:name w:val="h Char Char"/>
    <w:qFormat/>
    <w:uiPriority w:val="0"/>
    <w:rPr>
      <w:rFonts w:eastAsia="宋体"/>
      <w:kern w:val="2"/>
      <w:sz w:val="18"/>
      <w:lang w:val="en-US" w:eastAsia="zh-CN" w:bidi="ar-SA"/>
    </w:rPr>
  </w:style>
  <w:style w:type="character" w:customStyle="1" w:styleId="87">
    <w:name w:val="Bold"/>
    <w:qFormat/>
    <w:uiPriority w:val="0"/>
    <w:rPr>
      <w:rFonts w:ascii="Arial" w:hAnsi="Arial" w:eastAsia="黑体" w:cs="Times New Roman"/>
      <w:b/>
      <w:kern w:val="2"/>
      <w:sz w:val="32"/>
      <w:szCs w:val="32"/>
      <w:lang w:val="en-US" w:eastAsia="zh-CN" w:bidi="ar-SA"/>
    </w:rPr>
  </w:style>
  <w:style w:type="character" w:customStyle="1" w:styleId="88">
    <w:name w:val="Ò³Ã¼ Char Char"/>
    <w:qFormat/>
    <w:uiPriority w:val="0"/>
    <w:rPr>
      <w:rFonts w:eastAsia="宋体"/>
      <w:kern w:val="2"/>
      <w:sz w:val="18"/>
      <w:lang w:val="en-US" w:eastAsia="zh-CN" w:bidi="ar-SA"/>
    </w:rPr>
  </w:style>
  <w:style w:type="character" w:customStyle="1" w:styleId="89">
    <w:name w:val="标准正文格式 Char"/>
    <w:qFormat/>
    <w:uiPriority w:val="0"/>
    <w:rPr>
      <w:rFonts w:ascii="宋体" w:eastAsia="仿宋_GB2312" w:cs="宋体"/>
      <w:color w:val="000000"/>
      <w:sz w:val="24"/>
      <w:lang w:val="en-US" w:eastAsia="zh-CN" w:bidi="ar-SA"/>
    </w:rPr>
  </w:style>
  <w:style w:type="character" w:customStyle="1" w:styleId="90">
    <w:name w:val="正文文本缩进 2 Char"/>
    <w:link w:val="38"/>
    <w:qFormat/>
    <w:uiPriority w:val="0"/>
    <w:rPr>
      <w:rFonts w:ascii="宋体"/>
      <w:sz w:val="28"/>
    </w:rPr>
  </w:style>
  <w:style w:type="character" w:customStyle="1" w:styleId="91">
    <w:name w:val="Char Char8"/>
    <w:qFormat/>
    <w:uiPriority w:val="0"/>
    <w:rPr>
      <w:rFonts w:eastAsia="宋体"/>
      <w:b/>
      <w:sz w:val="24"/>
      <w:lang w:val="en-GB" w:eastAsia="zh-CN"/>
    </w:rPr>
  </w:style>
  <w:style w:type="character" w:customStyle="1" w:styleId="92">
    <w:name w:val="No Spacing Char"/>
    <w:link w:val="93"/>
    <w:qFormat/>
    <w:uiPriority w:val="1"/>
    <w:rPr>
      <w:rFonts w:ascii="Calibri" w:hAnsi="Calibri"/>
      <w:sz w:val="22"/>
      <w:szCs w:val="22"/>
      <w:lang w:val="en-US" w:eastAsia="zh-CN" w:bidi="ar-SA"/>
    </w:rPr>
  </w:style>
  <w:style w:type="paragraph" w:customStyle="1" w:styleId="93">
    <w:name w:val="无间隔1"/>
    <w:link w:val="92"/>
    <w:qFormat/>
    <w:uiPriority w:val="1"/>
    <w:rPr>
      <w:rFonts w:ascii="Calibri" w:hAnsi="Calibri" w:eastAsia="宋体" w:cs="Times New Roman"/>
      <w:sz w:val="22"/>
      <w:szCs w:val="22"/>
      <w:lang w:val="en-US" w:eastAsia="zh-CN" w:bidi="ar-SA"/>
    </w:rPr>
  </w:style>
  <w:style w:type="character" w:customStyle="1" w:styleId="94">
    <w:name w:val="blue1"/>
    <w:basedOn w:val="65"/>
    <w:qFormat/>
    <w:uiPriority w:val="0"/>
    <w:rPr>
      <w:rFonts w:ascii="Arial" w:hAnsi="Arial" w:eastAsia="黑体" w:cs="Arial"/>
      <w:snapToGrid w:val="0"/>
      <w:kern w:val="0"/>
      <w:szCs w:val="21"/>
    </w:rPr>
  </w:style>
  <w:style w:type="character" w:customStyle="1" w:styleId="95">
    <w:name w:val="highlight1"/>
    <w:qFormat/>
    <w:uiPriority w:val="0"/>
    <w:rPr>
      <w:rFonts w:ascii="仿宋_GB2312" w:eastAsia="微软雅黑"/>
      <w:b/>
      <w:kern w:val="2"/>
      <w:sz w:val="23"/>
      <w:szCs w:val="23"/>
      <w:lang w:val="en-US" w:eastAsia="zh-CN" w:bidi="ar-SA"/>
    </w:rPr>
  </w:style>
  <w:style w:type="character" w:customStyle="1" w:styleId="96">
    <w:name w:val="ca-131"/>
    <w:qFormat/>
    <w:uiPriority w:val="0"/>
    <w:rPr>
      <w:rFonts w:hint="eastAsia" w:ascii="仿宋_GB2312" w:eastAsia="仿宋_GB2312"/>
      <w:b/>
      <w:bCs/>
      <w:color w:val="000000"/>
      <w:spacing w:val="-20"/>
      <w:sz w:val="24"/>
      <w:szCs w:val="24"/>
    </w:rPr>
  </w:style>
  <w:style w:type="character" w:customStyle="1" w:styleId="97">
    <w:name w:val="h3 Char"/>
    <w:qFormat/>
    <w:uiPriority w:val="0"/>
    <w:rPr>
      <w:rFonts w:eastAsia="宋体"/>
      <w:b/>
      <w:kern w:val="2"/>
      <w:sz w:val="32"/>
      <w:lang w:val="en-US" w:eastAsia="zh-CN" w:bidi="ar-SA"/>
    </w:rPr>
  </w:style>
  <w:style w:type="character" w:customStyle="1" w:styleId="98">
    <w:name w:val="Char Char12"/>
    <w:qFormat/>
    <w:uiPriority w:val="0"/>
    <w:rPr>
      <w:rFonts w:ascii="仿宋_GB2312" w:eastAsia="仿宋_GB2312"/>
      <w:b/>
      <w:bCs/>
      <w:kern w:val="2"/>
      <w:sz w:val="24"/>
      <w:szCs w:val="24"/>
      <w:lang w:val="zh-CN" w:eastAsia="zh-CN" w:bidi="ar-SA"/>
    </w:rPr>
  </w:style>
  <w:style w:type="character" w:customStyle="1" w:styleId="99">
    <w:name w:val="Comment Text Char"/>
    <w:qFormat/>
    <w:uiPriority w:val="0"/>
    <w:rPr>
      <w:rFonts w:ascii="宋体" w:hAnsi="宋体" w:eastAsia="宋体"/>
      <w:kern w:val="2"/>
      <w:sz w:val="24"/>
      <w:lang w:val="en-US" w:eastAsia="zh-CN" w:bidi="ar-SA"/>
    </w:rPr>
  </w:style>
  <w:style w:type="character" w:customStyle="1" w:styleId="100">
    <w:name w:val="批注文字 Char"/>
    <w:qFormat/>
    <w:uiPriority w:val="99"/>
    <w:rPr>
      <w:kern w:val="2"/>
      <w:sz w:val="21"/>
      <w:szCs w:val="24"/>
    </w:rPr>
  </w:style>
  <w:style w:type="character" w:customStyle="1" w:styleId="101">
    <w:name w:val="仿宋正文 Char"/>
    <w:link w:val="102"/>
    <w:qFormat/>
    <w:uiPriority w:val="0"/>
    <w:rPr>
      <w:rFonts w:ascii="仿宋_GB2312" w:eastAsia="仿宋_GB2312"/>
      <w:kern w:val="2"/>
      <w:sz w:val="24"/>
      <w:lang w:val="en-US" w:eastAsia="zh-CN" w:bidi="ar-SA"/>
    </w:rPr>
  </w:style>
  <w:style w:type="paragraph" w:customStyle="1" w:styleId="102">
    <w:name w:val="仿宋正文"/>
    <w:basedOn w:val="1"/>
    <w:link w:val="101"/>
    <w:qFormat/>
    <w:uiPriority w:val="0"/>
    <w:pPr>
      <w:adjustRightInd/>
      <w:spacing w:line="360" w:lineRule="auto"/>
      <w:ind w:firstLine="480" w:firstLineChars="200"/>
    </w:pPr>
    <w:rPr>
      <w:rFonts w:ascii="仿宋_GB2312" w:eastAsia="仿宋_GB2312"/>
      <w:sz w:val="24"/>
      <w:szCs w:val="20"/>
    </w:rPr>
  </w:style>
  <w:style w:type="character" w:customStyle="1" w:styleId="103">
    <w:name w:val="style91"/>
    <w:qFormat/>
    <w:uiPriority w:val="0"/>
    <w:rPr>
      <w:color w:val="333333"/>
    </w:rPr>
  </w:style>
  <w:style w:type="character" w:customStyle="1" w:styleId="104">
    <w:name w:val="Char Char4"/>
    <w:qFormat/>
    <w:uiPriority w:val="0"/>
    <w:rPr>
      <w:rFonts w:eastAsia="宋体"/>
      <w:b/>
      <w:sz w:val="24"/>
      <w:lang w:val="en-GB" w:eastAsia="zh-CN" w:bidi="ar-SA"/>
    </w:rPr>
  </w:style>
  <w:style w:type="character" w:customStyle="1" w:styleId="105">
    <w:name w:val="Char Char2"/>
    <w:qFormat/>
    <w:uiPriority w:val="0"/>
    <w:rPr>
      <w:rFonts w:eastAsia="宋体"/>
      <w:b/>
      <w:bCs/>
      <w:kern w:val="2"/>
      <w:sz w:val="21"/>
      <w:szCs w:val="24"/>
      <w:lang w:val="en-US" w:eastAsia="zh-CN" w:bidi="ar-SA"/>
    </w:rPr>
  </w:style>
  <w:style w:type="character" w:customStyle="1" w:styleId="106">
    <w:name w:val="正文 项目2 Char"/>
    <w:basedOn w:val="107"/>
    <w:qFormat/>
    <w:uiPriority w:val="0"/>
    <w:rPr>
      <w:rFonts w:ascii="仿宋_GB2312" w:hAnsi="仿宋_GB2312" w:eastAsia="仿宋_GB2312"/>
      <w:kern w:val="2"/>
      <w:sz w:val="24"/>
      <w:lang w:bidi="ar-SA"/>
    </w:rPr>
  </w:style>
  <w:style w:type="character" w:customStyle="1" w:styleId="107">
    <w:name w:val="正文 项目 Char"/>
    <w:qFormat/>
    <w:uiPriority w:val="0"/>
    <w:rPr>
      <w:rFonts w:ascii="仿宋_GB2312" w:hAnsi="仿宋_GB2312" w:eastAsia="仿宋_GB2312"/>
      <w:kern w:val="2"/>
      <w:sz w:val="24"/>
      <w:lang w:bidi="ar-SA"/>
    </w:rPr>
  </w:style>
  <w:style w:type="character" w:customStyle="1" w:styleId="108">
    <w:name w:val="页眉 Char1"/>
    <w:qFormat/>
    <w:uiPriority w:val="0"/>
    <w:rPr>
      <w:rFonts w:eastAsia="宋体"/>
      <w:kern w:val="2"/>
      <w:sz w:val="18"/>
      <w:szCs w:val="18"/>
      <w:lang w:val="en-US" w:eastAsia="zh-CN" w:bidi="ar-SA"/>
    </w:rPr>
  </w:style>
  <w:style w:type="character" w:customStyle="1" w:styleId="109">
    <w:name w:val="副标题 Char"/>
    <w:link w:val="47"/>
    <w:qFormat/>
    <w:uiPriority w:val="0"/>
    <w:rPr>
      <w:rFonts w:ascii="Arial" w:hAnsi="Arial" w:eastAsia="隶书"/>
      <w:b/>
      <w:bCs/>
      <w:kern w:val="28"/>
      <w:sz w:val="44"/>
      <w:szCs w:val="32"/>
      <w:lang w:val="en-US" w:eastAsia="zh-CN" w:bidi="ar-SA"/>
    </w:rPr>
  </w:style>
  <w:style w:type="character" w:customStyle="1" w:styleId="110">
    <w:name w:val="正文文本缩进 Char1"/>
    <w:link w:val="26"/>
    <w:qFormat/>
    <w:uiPriority w:val="0"/>
    <w:rPr>
      <w:rFonts w:ascii="宋体" w:hAnsi="宋体"/>
      <w:kern w:val="2"/>
      <w:sz w:val="24"/>
      <w:szCs w:val="24"/>
    </w:rPr>
  </w:style>
  <w:style w:type="character" w:customStyle="1" w:styleId="111">
    <w:name w:val="big1"/>
    <w:qFormat/>
    <w:uiPriority w:val="0"/>
    <w:rPr>
      <w:rFonts w:hint="eastAsia" w:ascii="宋体" w:hAnsi="宋体" w:eastAsia="宋体"/>
      <w:color w:val="333333"/>
      <w:sz w:val="22"/>
      <w:szCs w:val="22"/>
    </w:rPr>
  </w:style>
  <w:style w:type="character" w:customStyle="1" w:styleId="112">
    <w:name w:val="h Char Char1"/>
    <w:qFormat/>
    <w:uiPriority w:val="0"/>
    <w:rPr>
      <w:rFonts w:eastAsia="宋体"/>
      <w:kern w:val="2"/>
      <w:sz w:val="18"/>
      <w:szCs w:val="18"/>
      <w:lang w:val="en-US" w:eastAsia="zh-CN" w:bidi="ar-SA"/>
    </w:rPr>
  </w:style>
  <w:style w:type="character" w:customStyle="1" w:styleId="113">
    <w:name w:val="样式8 Char"/>
    <w:qFormat/>
    <w:uiPriority w:val="0"/>
    <w:rPr>
      <w:rFonts w:ascii="仿宋_GB2312" w:hAnsi="宋体" w:eastAsia="仿宋_GB2312"/>
      <w:b/>
      <w:bCs/>
      <w:kern w:val="2"/>
      <w:sz w:val="24"/>
      <w:szCs w:val="24"/>
    </w:rPr>
  </w:style>
  <w:style w:type="character" w:customStyle="1" w:styleId="114">
    <w:name w:val="HTML 预设格式 Char"/>
    <w:link w:val="57"/>
    <w:qFormat/>
    <w:uiPriority w:val="0"/>
    <w:rPr>
      <w:rFonts w:ascii="黑体" w:hAnsi="Courier New" w:eastAsia="黑体"/>
    </w:rPr>
  </w:style>
  <w:style w:type="character" w:customStyle="1" w:styleId="115">
    <w:name w:val="页脚 Char1"/>
    <w:qFormat/>
    <w:uiPriority w:val="0"/>
    <w:rPr>
      <w:rFonts w:eastAsia="宋体"/>
      <w:kern w:val="2"/>
      <w:sz w:val="18"/>
      <w:szCs w:val="18"/>
      <w:lang w:val="en-US" w:eastAsia="zh-CN" w:bidi="ar-SA"/>
    </w:rPr>
  </w:style>
  <w:style w:type="character" w:customStyle="1" w:styleId="116">
    <w:name w:val="myp11"/>
    <w:qFormat/>
    <w:uiPriority w:val="0"/>
    <w:rPr>
      <w:rFonts w:ascii="仿宋_GB2312" w:eastAsia="微软雅黑"/>
      <w:b/>
      <w:kern w:val="2"/>
      <w:sz w:val="32"/>
      <w:szCs w:val="32"/>
      <w:lang w:val="en-US" w:eastAsia="zh-CN" w:bidi="ar-SA"/>
    </w:rPr>
  </w:style>
  <w:style w:type="character" w:customStyle="1" w:styleId="117">
    <w:name w:val="正文文本 2 Char"/>
    <w:qFormat/>
    <w:uiPriority w:val="0"/>
    <w:rPr>
      <w:rFonts w:eastAsia="宋体"/>
      <w:kern w:val="2"/>
      <w:sz w:val="21"/>
      <w:szCs w:val="24"/>
      <w:lang w:val="en-US" w:eastAsia="zh-CN" w:bidi="ar-SA"/>
    </w:rPr>
  </w:style>
  <w:style w:type="character" w:customStyle="1" w:styleId="118">
    <w:name w:val="tw4winTerm"/>
    <w:qFormat/>
    <w:uiPriority w:val="0"/>
    <w:rPr>
      <w:color w:val="0000FF"/>
    </w:rPr>
  </w:style>
  <w:style w:type="character" w:customStyle="1" w:styleId="119">
    <w:name w:val="标题 8 Char"/>
    <w:link w:val="10"/>
    <w:qFormat/>
    <w:uiPriority w:val="0"/>
    <w:rPr>
      <w:rFonts w:ascii="Arial" w:hAnsi="Arial" w:eastAsia="黑体"/>
      <w:kern w:val="2"/>
      <w:sz w:val="24"/>
      <w:szCs w:val="24"/>
    </w:rPr>
  </w:style>
  <w:style w:type="character" w:customStyle="1" w:styleId="120">
    <w:name w:val="标题 2 Char Char"/>
    <w:qFormat/>
    <w:uiPriority w:val="0"/>
    <w:rPr>
      <w:rFonts w:ascii="楷体_GB2312" w:hAnsi="Arial" w:eastAsia="楷体_GB2312"/>
      <w:b/>
      <w:bCs/>
      <w:kern w:val="2"/>
      <w:sz w:val="24"/>
      <w:szCs w:val="32"/>
      <w:lang w:val="en-US" w:eastAsia="zh-CN" w:bidi="ar-SA"/>
    </w:rPr>
  </w:style>
  <w:style w:type="character" w:customStyle="1" w:styleId="121">
    <w:name w:val="hei16b1"/>
    <w:qFormat/>
    <w:uiPriority w:val="0"/>
    <w:rPr>
      <w:rFonts w:hint="default" w:ascii="Arial" w:hAnsi="Arial" w:cs="Arial"/>
      <w:b/>
      <w:bCs/>
      <w:color w:val="000000"/>
      <w:sz w:val="24"/>
      <w:szCs w:val="24"/>
    </w:rPr>
  </w:style>
  <w:style w:type="character" w:customStyle="1" w:styleId="122">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哈哈正文 Char"/>
    <w:link w:val="125"/>
    <w:qFormat/>
    <w:uiPriority w:val="0"/>
    <w:rPr>
      <w:rFonts w:ascii="宋体" w:hAnsi="宋体" w:eastAsia="宋体"/>
      <w:kern w:val="2"/>
      <w:sz w:val="24"/>
      <w:lang w:bidi="ar-SA"/>
    </w:rPr>
  </w:style>
  <w:style w:type="paragraph" w:customStyle="1" w:styleId="125">
    <w:name w:val="哈哈正文"/>
    <w:basedOn w:val="1"/>
    <w:link w:val="124"/>
    <w:qFormat/>
    <w:uiPriority w:val="0"/>
    <w:pPr>
      <w:adjustRightInd/>
      <w:spacing w:line="360" w:lineRule="auto"/>
      <w:ind w:firstLine="200" w:firstLineChars="200"/>
    </w:pPr>
    <w:rPr>
      <w:rFonts w:ascii="宋体" w:hAnsi="宋体"/>
      <w:sz w:val="24"/>
      <w:szCs w:val="20"/>
    </w:rPr>
  </w:style>
  <w:style w:type="character" w:customStyle="1" w:styleId="126">
    <w:name w:val="pt141"/>
    <w:qFormat/>
    <w:uiPriority w:val="0"/>
    <w:rPr>
      <w:color w:val="330066"/>
      <w:sz w:val="22"/>
      <w:szCs w:val="22"/>
    </w:rPr>
  </w:style>
  <w:style w:type="character" w:customStyle="1" w:styleId="127">
    <w:name w:val="普通文字 Char3"/>
    <w:qFormat/>
    <w:uiPriority w:val="0"/>
    <w:rPr>
      <w:rFonts w:ascii="宋体" w:hAnsi="Courier New" w:eastAsia="宋体"/>
      <w:kern w:val="2"/>
      <w:sz w:val="21"/>
      <w:lang w:val="en-US" w:eastAsia="zh-CN" w:bidi="ar-SA"/>
    </w:rPr>
  </w:style>
  <w:style w:type="character" w:customStyle="1" w:styleId="12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9">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130">
    <w:name w:val="正文2 Char"/>
    <w:qFormat/>
    <w:uiPriority w:val="0"/>
    <w:rPr>
      <w:rFonts w:eastAsia="宋体"/>
      <w:kern w:val="2"/>
      <w:sz w:val="24"/>
      <w:lang w:val="en-US" w:eastAsia="zh-CN" w:bidi="ar-SA"/>
    </w:rPr>
  </w:style>
  <w:style w:type="character" w:customStyle="1" w:styleId="131">
    <w:name w:val="普通文字 Char1"/>
    <w:qFormat/>
    <w:uiPriority w:val="0"/>
    <w:rPr>
      <w:rFonts w:ascii="宋体" w:hAnsi="Courier New" w:eastAsia="宋体"/>
      <w:kern w:val="2"/>
      <w:sz w:val="21"/>
      <w:lang w:val="en-US" w:eastAsia="zh-CN"/>
    </w:rPr>
  </w:style>
  <w:style w:type="character" w:customStyle="1" w:styleId="132">
    <w:name w:val="标题 9 Char"/>
    <w:link w:val="11"/>
    <w:qFormat/>
    <w:uiPriority w:val="0"/>
    <w:rPr>
      <w:rFonts w:ascii="Arial" w:hAnsi="Arial" w:eastAsia="黑体"/>
      <w:kern w:val="2"/>
      <w:sz w:val="21"/>
      <w:szCs w:val="21"/>
    </w:rPr>
  </w:style>
  <w:style w:type="character" w:customStyle="1" w:styleId="133">
    <w:name w:val="Header Char_a1203fb8-cbfd-4269-9475-2b9af58eb71f"/>
    <w:qFormat/>
    <w:uiPriority w:val="0"/>
    <w:rPr>
      <w:rFonts w:eastAsia="宋体"/>
      <w:kern w:val="2"/>
      <w:sz w:val="18"/>
      <w:szCs w:val="18"/>
      <w:lang w:val="en-US" w:eastAsia="zh-CN" w:bidi="ar-SA"/>
    </w:rPr>
  </w:style>
  <w:style w:type="character" w:customStyle="1" w:styleId="134">
    <w:name w:val="Footer-Even Char1"/>
    <w:qFormat/>
    <w:uiPriority w:val="0"/>
    <w:rPr>
      <w:rFonts w:eastAsia="宋体"/>
      <w:kern w:val="2"/>
      <w:sz w:val="18"/>
      <w:szCs w:val="18"/>
      <w:lang w:val="en-US" w:eastAsia="zh-CN" w:bidi="ar-SA"/>
    </w:rPr>
  </w:style>
  <w:style w:type="character" w:customStyle="1" w:styleId="135">
    <w:name w:val="unnamed31"/>
    <w:qFormat/>
    <w:uiPriority w:val="0"/>
    <w:rPr>
      <w:rFonts w:ascii="Tahoma" w:hAnsi="Tahoma" w:eastAsia="宋体"/>
      <w:b/>
      <w:kern w:val="2"/>
      <w:sz w:val="24"/>
      <w:szCs w:val="32"/>
      <w:u w:val="none"/>
      <w:lang w:val="en-US" w:eastAsia="zh-CN" w:bidi="ar-SA"/>
    </w:rPr>
  </w:style>
  <w:style w:type="character" w:customStyle="1" w:styleId="136">
    <w:name w:val="纯文本 Char Char Char"/>
    <w:qFormat/>
    <w:uiPriority w:val="0"/>
    <w:rPr>
      <w:rFonts w:ascii="宋体" w:hAnsi="Courier New" w:eastAsia="宋体"/>
      <w:kern w:val="2"/>
      <w:sz w:val="21"/>
      <w:lang w:val="en-US" w:eastAsia="zh-CN" w:bidi="ar-SA"/>
    </w:rPr>
  </w:style>
  <w:style w:type="character" w:customStyle="1" w:styleId="137">
    <w:name w:val="Body Text(ch) Char Char"/>
    <w:qFormat/>
    <w:uiPriority w:val="0"/>
    <w:rPr>
      <w:rFonts w:ascii="宋体"/>
      <w:kern w:val="2"/>
      <w:sz w:val="24"/>
      <w:szCs w:val="21"/>
      <w:lang w:val="zh-CN"/>
    </w:rPr>
  </w:style>
  <w:style w:type="character" w:customStyle="1" w:styleId="138">
    <w:name w:val="插图说明 Char"/>
    <w:qFormat/>
    <w:uiPriority w:val="0"/>
    <w:rPr>
      <w:rFonts w:eastAsia="黑体"/>
      <w:sz w:val="24"/>
      <w:lang w:val="en-US" w:eastAsia="zh-CN"/>
    </w:rPr>
  </w:style>
  <w:style w:type="character" w:customStyle="1" w:styleId="139">
    <w:name w:val="tw4winExternal"/>
    <w:qFormat/>
    <w:uiPriority w:val="0"/>
    <w:rPr>
      <w:rFonts w:ascii="Courier New" w:hAnsi="Courier New" w:cs="Courier New"/>
      <w:color w:val="808080"/>
      <w:lang w:val="en-US" w:eastAsia="zh-CN"/>
    </w:rPr>
  </w:style>
  <w:style w:type="character" w:customStyle="1" w:styleId="140">
    <w:name w:val="font21"/>
    <w:basedOn w:val="65"/>
    <w:qFormat/>
    <w:uiPriority w:val="0"/>
    <w:rPr>
      <w:rFonts w:hint="eastAsia" w:ascii="宋体" w:hAnsi="宋体" w:eastAsia="宋体"/>
      <w:kern w:val="2"/>
      <w:sz w:val="28"/>
      <w:szCs w:val="28"/>
      <w:lang w:val="en-US" w:eastAsia="zh-CN" w:bidi="ar-SA"/>
    </w:rPr>
  </w:style>
  <w:style w:type="character" w:customStyle="1" w:styleId="141">
    <w:name w:val="标书正文格式 Char"/>
    <w:qFormat/>
    <w:uiPriority w:val="0"/>
    <w:rPr>
      <w:rFonts w:eastAsia="楷体_GB2312"/>
      <w:kern w:val="2"/>
      <w:sz w:val="24"/>
      <w:szCs w:val="24"/>
      <w:lang w:bidi="ar-SA"/>
    </w:rPr>
  </w:style>
  <w:style w:type="character" w:customStyle="1" w:styleId="142">
    <w:name w:val="正文首行缩进 Char"/>
    <w:link w:val="61"/>
    <w:qFormat/>
    <w:uiPriority w:val="0"/>
    <w:rPr>
      <w:rFonts w:ascii="宋体"/>
      <w:kern w:val="2"/>
      <w:sz w:val="24"/>
      <w:lang w:val="zh-CN"/>
    </w:rPr>
  </w:style>
  <w:style w:type="character" w:customStyle="1" w:styleId="143">
    <w:name w:val="javascript"/>
    <w:qFormat/>
    <w:uiPriority w:val="0"/>
  </w:style>
  <w:style w:type="character" w:customStyle="1" w:styleId="144">
    <w:name w:val="Balloon Text Char"/>
    <w:qFormat/>
    <w:uiPriority w:val="0"/>
    <w:rPr>
      <w:rFonts w:eastAsia="宋体"/>
      <w:kern w:val="2"/>
      <w:sz w:val="18"/>
      <w:szCs w:val="18"/>
      <w:lang w:val="en-US" w:eastAsia="zh-CN" w:bidi="ar-SA"/>
    </w:rPr>
  </w:style>
  <w:style w:type="character" w:customStyle="1" w:styleId="145">
    <w:name w:val="Char Char5"/>
    <w:qFormat/>
    <w:uiPriority w:val="0"/>
    <w:rPr>
      <w:rFonts w:ascii="宋体" w:hAnsi="Courier New" w:eastAsia="宋体"/>
      <w:kern w:val="2"/>
      <w:sz w:val="21"/>
      <w:lang w:val="en-US" w:eastAsia="zh-CN"/>
    </w:rPr>
  </w:style>
  <w:style w:type="character" w:customStyle="1" w:styleId="146">
    <w:name w:val="Char Char"/>
    <w:qFormat/>
    <w:uiPriority w:val="0"/>
    <w:rPr>
      <w:rFonts w:ascii="宋体" w:hAnsi="Courier New" w:eastAsia="宋体"/>
      <w:kern w:val="2"/>
      <w:sz w:val="21"/>
      <w:lang w:val="en-US" w:eastAsia="zh-CN" w:bidi="ar-SA"/>
    </w:rPr>
  </w:style>
  <w:style w:type="character" w:customStyle="1" w:styleId="147">
    <w:name w:val="mdeck"/>
    <w:qFormat/>
    <w:uiPriority w:val="0"/>
    <w:rPr>
      <w:rFonts w:ascii="仿宋_GB2312" w:eastAsia="微软雅黑"/>
      <w:b/>
      <w:kern w:val="2"/>
      <w:sz w:val="32"/>
      <w:szCs w:val="32"/>
      <w:lang w:val="en-US" w:eastAsia="zh-CN" w:bidi="ar-SA"/>
    </w:rPr>
  </w:style>
  <w:style w:type="character" w:customStyle="1" w:styleId="148">
    <w:name w:val="content"/>
    <w:qFormat/>
    <w:uiPriority w:val="0"/>
  </w:style>
  <w:style w:type="character" w:customStyle="1" w:styleId="149">
    <w:name w:val="Char Char3"/>
    <w:qFormat/>
    <w:uiPriority w:val="0"/>
    <w:rPr>
      <w:rFonts w:eastAsia="宋体"/>
      <w:kern w:val="2"/>
      <w:sz w:val="21"/>
      <w:szCs w:val="24"/>
      <w:lang w:val="en-US" w:eastAsia="zh-CN" w:bidi="ar-SA"/>
    </w:rPr>
  </w:style>
  <w:style w:type="character" w:customStyle="1" w:styleId="150">
    <w:name w:val="Char Char81"/>
    <w:qFormat/>
    <w:uiPriority w:val="6"/>
    <w:rPr>
      <w:rFonts w:eastAsia="宋体"/>
      <w:b/>
      <w:sz w:val="24"/>
      <w:lang w:val="en-GB" w:eastAsia="zh-CN"/>
    </w:rPr>
  </w:style>
  <w:style w:type="character" w:customStyle="1" w:styleId="151">
    <w:name w:val="页眉 Char"/>
    <w:qFormat/>
    <w:uiPriority w:val="99"/>
    <w:rPr>
      <w:rFonts w:eastAsia="仿宋_GB2312"/>
      <w:kern w:val="2"/>
      <w:sz w:val="18"/>
      <w:lang w:val="en-US" w:eastAsia="zh-CN"/>
    </w:rPr>
  </w:style>
  <w:style w:type="character" w:customStyle="1" w:styleId="152">
    <w:name w:val="b11_01b Char"/>
    <w:link w:val="153"/>
    <w:qFormat/>
    <w:uiPriority w:val="0"/>
    <w:rPr>
      <w:rFonts w:ascii="Verdana" w:hAnsi="Verdana"/>
      <w:b/>
      <w:bCs/>
      <w:color w:val="4A82CA"/>
      <w:sz w:val="17"/>
      <w:szCs w:val="17"/>
    </w:rPr>
  </w:style>
  <w:style w:type="paragraph" w:customStyle="1" w:styleId="153">
    <w:name w:val="b11_01b"/>
    <w:basedOn w:val="1"/>
    <w:next w:val="1"/>
    <w:link w:val="1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标题4-dyf Char"/>
    <w:link w:val="155"/>
    <w:qFormat/>
    <w:uiPriority w:val="0"/>
    <w:rPr>
      <w:rFonts w:ascii="Cambria" w:hAnsi="Cambria"/>
      <w:b/>
      <w:bCs/>
      <w:color w:val="000000"/>
      <w:kern w:val="2"/>
      <w:sz w:val="21"/>
      <w:szCs w:val="21"/>
    </w:rPr>
  </w:style>
  <w:style w:type="paragraph" w:customStyle="1" w:styleId="155">
    <w:name w:val="标题4-dyf"/>
    <w:basedOn w:val="6"/>
    <w:link w:val="1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6">
    <w:name w:val="批注主题 Char"/>
    <w:qFormat/>
    <w:uiPriority w:val="0"/>
    <w:rPr>
      <w:rFonts w:eastAsia="宋体"/>
      <w:b/>
      <w:bCs/>
      <w:kern w:val="2"/>
      <w:sz w:val="21"/>
      <w:szCs w:val="24"/>
      <w:lang w:val="en-US" w:eastAsia="zh-CN" w:bidi="ar-SA"/>
    </w:rPr>
  </w:style>
  <w:style w:type="character" w:customStyle="1" w:styleId="1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8">
    <w:name w:val="标题 3 Char2"/>
    <w:qFormat/>
    <w:uiPriority w:val="0"/>
    <w:rPr>
      <w:rFonts w:eastAsia="宋体"/>
      <w:b/>
      <w:bCs/>
      <w:kern w:val="2"/>
      <w:sz w:val="32"/>
      <w:szCs w:val="32"/>
      <w:lang w:val="en-US" w:eastAsia="zh-CN" w:bidi="ar-SA"/>
    </w:rPr>
  </w:style>
  <w:style w:type="character" w:customStyle="1" w:styleId="159">
    <w:name w:val="gray6"/>
    <w:basedOn w:val="65"/>
    <w:qFormat/>
    <w:uiPriority w:val="0"/>
    <w:rPr>
      <w:rFonts w:ascii="Arial" w:hAnsi="Arial" w:eastAsia="黑体" w:cs="Arial"/>
      <w:snapToGrid w:val="0"/>
      <w:kern w:val="0"/>
      <w:szCs w:val="21"/>
    </w:rPr>
  </w:style>
  <w:style w:type="character" w:customStyle="1" w:styleId="160">
    <w:name w:val="正文首行缩进两字 Char"/>
    <w:qFormat/>
    <w:uiPriority w:val="0"/>
    <w:rPr>
      <w:sz w:val="24"/>
      <w:szCs w:val="24"/>
      <w:lang w:val="en-US" w:eastAsia="zh-CN" w:bidi="ar-SA"/>
    </w:rPr>
  </w:style>
  <w:style w:type="character" w:customStyle="1" w:styleId="161">
    <w:name w:val="Char Char51"/>
    <w:qFormat/>
    <w:uiPriority w:val="0"/>
    <w:rPr>
      <w:rFonts w:ascii="宋体" w:hAnsi="Courier New" w:eastAsia="宋体"/>
      <w:kern w:val="2"/>
      <w:sz w:val="21"/>
      <w:lang w:val="en-US" w:eastAsia="zh-CN"/>
    </w:rPr>
  </w:style>
  <w:style w:type="character" w:customStyle="1" w:styleId="162">
    <w:name w:val="带编号样式 Char"/>
    <w:qFormat/>
    <w:uiPriority w:val="0"/>
    <w:rPr>
      <w:rFonts w:ascii="仿宋_GB2312" w:eastAsia="仿宋_GB2312"/>
      <w:color w:val="000000"/>
      <w:sz w:val="24"/>
      <w:lang w:bidi="ar-SA"/>
    </w:rPr>
  </w:style>
  <w:style w:type="character" w:customStyle="1" w:styleId="163">
    <w:name w:val="Footer-Even Char"/>
    <w:qFormat/>
    <w:uiPriority w:val="0"/>
    <w:rPr>
      <w:rFonts w:eastAsia="宋体"/>
      <w:kern w:val="2"/>
      <w:sz w:val="18"/>
      <w:lang w:val="en-US" w:eastAsia="zh-CN" w:bidi="ar-SA"/>
    </w:rPr>
  </w:style>
  <w:style w:type="character" w:customStyle="1" w:styleId="164">
    <w:name w:val="样式4 Char"/>
    <w:qFormat/>
    <w:uiPriority w:val="0"/>
    <w:rPr>
      <w:rFonts w:ascii="仿宋_GB2312" w:hAnsi="仿宋" w:eastAsia="仿宋_GB2312"/>
      <w:b/>
      <w:kern w:val="2"/>
      <w:sz w:val="32"/>
      <w:szCs w:val="32"/>
      <w:lang w:bidi="ar-SA"/>
    </w:rPr>
  </w:style>
  <w:style w:type="character" w:customStyle="1" w:styleId="165">
    <w:name w:val="样式 标题 4h4H4Fab-4T5Ref Heading 1rh1Heading sqlsect 1.2.3.... Char"/>
    <w:link w:val="166"/>
    <w:qFormat/>
    <w:uiPriority w:val="0"/>
    <w:rPr>
      <w:rFonts w:ascii="微软雅黑" w:hAnsi="微软雅黑" w:eastAsia="微软雅黑"/>
      <w:b/>
      <w:bCs/>
      <w:kern w:val="2"/>
      <w:sz w:val="24"/>
      <w:szCs w:val="28"/>
    </w:rPr>
  </w:style>
  <w:style w:type="paragraph" w:customStyle="1" w:styleId="166">
    <w:name w:val="样式 标题 4h4H4Fab-4T5Ref Heading 1rh1Heading sqlsect 1.2.3...."/>
    <w:basedOn w:val="6"/>
    <w:link w:val="165"/>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7">
    <w:name w:val="dandyren_title1"/>
    <w:qFormat/>
    <w:uiPriority w:val="0"/>
    <w:rPr>
      <w:b/>
      <w:bCs/>
      <w:color w:val="FF6633"/>
      <w:sz w:val="18"/>
      <w:szCs w:val="18"/>
    </w:rPr>
  </w:style>
  <w:style w:type="character" w:customStyle="1" w:styleId="168">
    <w:name w:val="普通文字 Char Char1"/>
    <w:qFormat/>
    <w:uiPriority w:val="0"/>
    <w:rPr>
      <w:rFonts w:ascii="宋体" w:hAnsi="Courier New"/>
      <w:kern w:val="2"/>
      <w:sz w:val="21"/>
    </w:rPr>
  </w:style>
  <w:style w:type="character" w:customStyle="1" w:styleId="169">
    <w:name w:val="PI Char"/>
    <w:qFormat/>
    <w:uiPriority w:val="0"/>
    <w:rPr>
      <w:rFonts w:ascii="宋体" w:hAnsi="宋体" w:eastAsia="宋体"/>
      <w:kern w:val="2"/>
      <w:sz w:val="24"/>
      <w:szCs w:val="24"/>
      <w:lang w:val="en-US" w:eastAsia="zh-CN" w:bidi="ar-SA"/>
    </w:rPr>
  </w:style>
  <w:style w:type="character" w:customStyle="1" w:styleId="170">
    <w:name w:val="Char Char11"/>
    <w:qFormat/>
    <w:uiPriority w:val="0"/>
    <w:rPr>
      <w:rFonts w:ascii="宋体" w:hAnsi="宋体" w:eastAsia="宋体"/>
      <w:b/>
      <w:kern w:val="2"/>
      <w:sz w:val="24"/>
      <w:szCs w:val="24"/>
      <w:lang w:val="en-US" w:eastAsia="zh-CN" w:bidi="ar-SA"/>
    </w:rPr>
  </w:style>
  <w:style w:type="character" w:customStyle="1" w:styleId="17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2">
    <w:name w:val="Document Map Char"/>
    <w:qFormat/>
    <w:uiPriority w:val="0"/>
    <w:rPr>
      <w:rFonts w:eastAsia="宋体"/>
      <w:kern w:val="2"/>
      <w:sz w:val="21"/>
      <w:szCs w:val="24"/>
      <w:lang w:val="en-US" w:eastAsia="zh-CN" w:bidi="ar-SA"/>
    </w:rPr>
  </w:style>
  <w:style w:type="character" w:customStyle="1" w:styleId="173">
    <w:name w:val="正文文本缩进 Char"/>
    <w:qFormat/>
    <w:uiPriority w:val="0"/>
    <w:rPr>
      <w:rFonts w:ascii="宋体" w:hAnsi="宋体"/>
      <w:kern w:val="2"/>
      <w:sz w:val="24"/>
      <w:szCs w:val="24"/>
    </w:rPr>
  </w:style>
  <w:style w:type="character" w:customStyle="1" w:styleId="174">
    <w:name w:val="文本正文 Char Char"/>
    <w:qFormat/>
    <w:uiPriority w:val="0"/>
    <w:rPr>
      <w:sz w:val="24"/>
      <w:lang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样式3 Char"/>
    <w:basedOn w:val="177"/>
    <w:qFormat/>
    <w:uiPriority w:val="0"/>
    <w:rPr>
      <w:rFonts w:ascii="仿宋_GB2312" w:hAnsi="仿宋" w:eastAsia="仿宋_GB2312" w:cs="仿宋_GB2312"/>
      <w:sz w:val="32"/>
      <w:szCs w:val="30"/>
      <w:lang w:val="zh-CN"/>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二级标题 Char Char"/>
    <w:qFormat/>
    <w:uiPriority w:val="0"/>
    <w:rPr>
      <w:rFonts w:ascii="宋体" w:hAnsi="宋体" w:eastAsia="宋体"/>
      <w:b/>
      <w:snapToGrid w:val="0"/>
      <w:kern w:val="2"/>
      <w:sz w:val="24"/>
      <w:szCs w:val="24"/>
      <w:lang w:val="en-US" w:eastAsia="zh-CN" w:bidi="ar-SA"/>
    </w:rPr>
  </w:style>
  <w:style w:type="character" w:customStyle="1" w:styleId="179">
    <w:name w:val="Table Text Char1"/>
    <w:qFormat/>
    <w:uiPriority w:val="0"/>
    <w:rPr>
      <w:rFonts w:eastAsia="宋体"/>
      <w:sz w:val="24"/>
      <w:szCs w:val="24"/>
      <w:lang w:val="en-US" w:eastAsia="zh-CN" w:bidi="ar-SA"/>
    </w:rPr>
  </w:style>
  <w:style w:type="character" w:customStyle="1" w:styleId="180">
    <w:name w:val="shadow11"/>
    <w:qFormat/>
    <w:uiPriority w:val="0"/>
    <w:rPr>
      <w:color w:val="000000"/>
      <w:sz w:val="21"/>
    </w:rPr>
  </w:style>
  <w:style w:type="character" w:customStyle="1" w:styleId="181">
    <w:name w:val="HTML 地址 Char"/>
    <w:link w:val="31"/>
    <w:qFormat/>
    <w:uiPriority w:val="0"/>
    <w:rPr>
      <w:rFonts w:ascii="宋体" w:hAnsi="宋体"/>
      <w:i/>
      <w:iCs/>
      <w:sz w:val="24"/>
      <w:szCs w:val="24"/>
    </w:rPr>
  </w:style>
  <w:style w:type="character" w:customStyle="1" w:styleId="182">
    <w:name w:val="Char Char21"/>
    <w:qFormat/>
    <w:uiPriority w:val="0"/>
    <w:rPr>
      <w:rFonts w:eastAsia="宋体"/>
      <w:b/>
      <w:bCs/>
      <w:kern w:val="2"/>
      <w:sz w:val="21"/>
      <w:szCs w:val="24"/>
      <w:lang w:val="en-US" w:eastAsia="zh-CN" w:bidi="ar-SA"/>
    </w:rPr>
  </w:style>
  <w:style w:type="character" w:customStyle="1" w:styleId="183">
    <w:name w:val="标题 5 Char"/>
    <w:link w:val="7"/>
    <w:qFormat/>
    <w:uiPriority w:val="0"/>
    <w:rPr>
      <w:b/>
      <w:bCs/>
      <w:kern w:val="2"/>
      <w:sz w:val="28"/>
      <w:szCs w:val="28"/>
    </w:rPr>
  </w:style>
  <w:style w:type="character" w:customStyle="1" w:styleId="184">
    <w:name w:val="h3 Char1"/>
    <w:qFormat/>
    <w:uiPriority w:val="0"/>
    <w:rPr>
      <w:rFonts w:eastAsia="宋体"/>
      <w:b/>
      <w:bCs/>
      <w:kern w:val="2"/>
      <w:sz w:val="32"/>
      <w:szCs w:val="32"/>
      <w:lang w:bidi="ar-SA"/>
    </w:rPr>
  </w:style>
  <w:style w:type="character" w:customStyle="1" w:styleId="185">
    <w:name w:val="FA正文 Char Char"/>
    <w:qFormat/>
    <w:uiPriority w:val="0"/>
    <w:rPr>
      <w:rFonts w:hAnsi="宋体"/>
      <w:kern w:val="2"/>
      <w:sz w:val="24"/>
      <w:lang w:bidi="ar-SA"/>
    </w:rPr>
  </w:style>
  <w:style w:type="character" w:customStyle="1" w:styleId="186">
    <w:name w:val="首行缩进 Char"/>
    <w:qFormat/>
    <w:uiPriority w:val="0"/>
    <w:rPr>
      <w:rFonts w:ascii="宋体" w:eastAsia="宋体"/>
      <w:kern w:val="2"/>
      <w:sz w:val="24"/>
      <w:lang w:val="en-US" w:eastAsia="zh-CN" w:bidi="ar-SA"/>
    </w:rPr>
  </w:style>
  <w:style w:type="character" w:customStyle="1" w:styleId="187">
    <w:name w:val="Char Char7"/>
    <w:qFormat/>
    <w:uiPriority w:val="0"/>
    <w:rPr>
      <w:rFonts w:eastAsia="宋体"/>
      <w:kern w:val="2"/>
      <w:sz w:val="21"/>
      <w:szCs w:val="24"/>
      <w:lang w:val="en-US" w:eastAsia="zh-CN" w:bidi="ar-SA"/>
    </w:rPr>
  </w:style>
  <w:style w:type="character" w:customStyle="1" w:styleId="188">
    <w:name w:val="hui"/>
    <w:basedOn w:val="65"/>
    <w:qFormat/>
    <w:uiPriority w:val="0"/>
    <w:rPr>
      <w:rFonts w:ascii="Arial" w:hAnsi="Arial" w:eastAsia="黑体" w:cs="Arial"/>
      <w:snapToGrid w:val="0"/>
      <w:kern w:val="0"/>
      <w:szCs w:val="21"/>
    </w:rPr>
  </w:style>
  <w:style w:type="character" w:customStyle="1" w:styleId="189">
    <w:name w:val="正文缩进 Char"/>
    <w:qFormat/>
    <w:uiPriority w:val="0"/>
    <w:rPr>
      <w:rFonts w:eastAsia="宋体"/>
      <w:kern w:val="2"/>
      <w:sz w:val="21"/>
      <w:lang w:val="en-US" w:eastAsia="zh-CN"/>
    </w:rPr>
  </w:style>
  <w:style w:type="character" w:customStyle="1" w:styleId="190">
    <w:name w:val="正文1 Char"/>
    <w:qFormat/>
    <w:uiPriority w:val="0"/>
    <w:rPr>
      <w:rFonts w:ascii="宋体" w:eastAsia="宋体"/>
      <w:snapToGrid w:val="0"/>
      <w:color w:val="000000"/>
      <w:kern w:val="28"/>
      <w:sz w:val="28"/>
      <w:lang w:val="en-US" w:eastAsia="zh-CN" w:bidi="ar-SA"/>
    </w:rPr>
  </w:style>
  <w:style w:type="character" w:customStyle="1" w:styleId="191">
    <w:name w:val="Char Char61"/>
    <w:qFormat/>
    <w:uiPriority w:val="0"/>
    <w:rPr>
      <w:rFonts w:eastAsia="宋体"/>
      <w:kern w:val="2"/>
      <w:sz w:val="21"/>
      <w:szCs w:val="24"/>
      <w:lang w:val="en-US" w:eastAsia="zh-CN" w:bidi="ar-SA"/>
    </w:rPr>
  </w:style>
  <w:style w:type="character" w:customStyle="1" w:styleId="192">
    <w:name w:val="正文文本 3 Char"/>
    <w:link w:val="21"/>
    <w:qFormat/>
    <w:uiPriority w:val="0"/>
    <w:rPr>
      <w:kern w:val="2"/>
      <w:sz w:val="21"/>
    </w:rPr>
  </w:style>
  <w:style w:type="character" w:customStyle="1" w:styleId="193">
    <w:name w:val="message1"/>
    <w:qFormat/>
    <w:uiPriority w:val="0"/>
    <w:rPr>
      <w:rFonts w:hint="default" w:ascii="Tahoma" w:hAnsi="Tahoma" w:cs="Tahoma"/>
      <w:sz w:val="18"/>
      <w:szCs w:val="18"/>
    </w:rPr>
  </w:style>
  <w:style w:type="character" w:customStyle="1" w:styleId="194">
    <w:name w:val="Heading 2 Hidden Char"/>
    <w:qFormat/>
    <w:uiPriority w:val="0"/>
    <w:rPr>
      <w:rFonts w:ascii="仿宋_GB2312" w:eastAsia="仿宋_GB2312"/>
      <w:b/>
      <w:bCs/>
      <w:kern w:val="2"/>
      <w:sz w:val="24"/>
      <w:szCs w:val="24"/>
      <w:lang w:val="zh-CN" w:eastAsia="zh-CN" w:bidi="ar-SA"/>
    </w:rPr>
  </w:style>
  <w:style w:type="character" w:customStyle="1" w:styleId="195">
    <w:name w:val="DO_NOT_TRANSLATE"/>
    <w:qFormat/>
    <w:uiPriority w:val="0"/>
    <w:rPr>
      <w:rFonts w:ascii="Courier New" w:hAnsi="Courier New" w:cs="Courier New"/>
      <w:color w:val="800000"/>
      <w:lang w:val="en-US" w:eastAsia="zh-CN"/>
    </w:rPr>
  </w:style>
  <w:style w:type="character" w:customStyle="1" w:styleId="196">
    <w:name w:val="unnamed11"/>
    <w:qFormat/>
    <w:uiPriority w:val="0"/>
    <w:rPr>
      <w:sz w:val="20"/>
      <w:szCs w:val="20"/>
    </w:rPr>
  </w:style>
  <w:style w:type="character" w:customStyle="1" w:styleId="197">
    <w:name w:val="tw4winInternal"/>
    <w:qFormat/>
    <w:uiPriority w:val="0"/>
    <w:rPr>
      <w:rFonts w:ascii="Courier New" w:hAnsi="Courier New" w:cs="Courier New"/>
      <w:color w:val="FF0000"/>
      <w:lang w:val="en-US" w:eastAsia="zh-CN"/>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00">
    <w:name w:val="页脚 Char"/>
    <w:qFormat/>
    <w:uiPriority w:val="99"/>
    <w:rPr>
      <w:rFonts w:eastAsia="仿宋_GB2312"/>
      <w:kern w:val="2"/>
      <w:sz w:val="18"/>
      <w:lang w:val="en-US" w:eastAsia="zh-CN"/>
    </w:rPr>
  </w:style>
  <w:style w:type="character" w:customStyle="1" w:styleId="201">
    <w:name w:val="正文文本缩进 3 Char"/>
    <w:link w:val="53"/>
    <w:qFormat/>
    <w:uiPriority w:val="0"/>
    <w:rPr>
      <w:kern w:val="2"/>
      <w:sz w:val="24"/>
    </w:rPr>
  </w:style>
  <w:style w:type="character" w:customStyle="1" w:styleId="202">
    <w:name w:val="正文缩进 Char1"/>
    <w:qFormat/>
    <w:uiPriority w:val="0"/>
    <w:rPr>
      <w:rFonts w:ascii="宋体" w:eastAsia="宋体"/>
      <w:snapToGrid w:val="0"/>
      <w:color w:val="000000"/>
      <w:kern w:val="28"/>
      <w:sz w:val="28"/>
      <w:lang w:val="en-US" w:eastAsia="zh-CN" w:bidi="ar-SA"/>
    </w:rPr>
  </w:style>
  <w:style w:type="character" w:customStyle="1" w:styleId="203">
    <w:name w:val="正文文本 Char"/>
    <w:qFormat/>
    <w:uiPriority w:val="0"/>
    <w:rPr>
      <w:rFonts w:eastAsia="宋体"/>
      <w:kern w:val="2"/>
      <w:sz w:val="24"/>
      <w:szCs w:val="24"/>
      <w:lang w:val="en-US" w:eastAsia="zh-CN" w:bidi="ar-SA"/>
    </w:rPr>
  </w:style>
  <w:style w:type="character" w:customStyle="1" w:styleId="204">
    <w:name w:val="style36"/>
    <w:basedOn w:val="65"/>
    <w:qFormat/>
    <w:uiPriority w:val="0"/>
    <w:rPr>
      <w:rFonts w:ascii="Arial" w:hAnsi="Arial" w:eastAsia="黑体" w:cs="Arial"/>
      <w:snapToGrid w:val="0"/>
      <w:kern w:val="0"/>
      <w:szCs w:val="21"/>
    </w:rPr>
  </w:style>
  <w:style w:type="character" w:customStyle="1" w:styleId="205">
    <w:name w:val="hui3"/>
    <w:qFormat/>
    <w:uiPriority w:val="0"/>
    <w:rPr>
      <w:color w:val="333333"/>
    </w:rPr>
  </w:style>
  <w:style w:type="character" w:customStyle="1" w:styleId="206">
    <w:name w:val="方案正文 Char"/>
    <w:qFormat/>
    <w:uiPriority w:val="0"/>
    <w:rPr>
      <w:rFonts w:ascii="仿宋_GB2312" w:eastAsia="仿宋_GB2312"/>
      <w:b/>
      <w:color w:val="000000"/>
      <w:kern w:val="2"/>
      <w:sz w:val="24"/>
      <w:lang w:val="en-US" w:eastAsia="zh-CN" w:bidi="ar-SA"/>
    </w:rPr>
  </w:style>
  <w:style w:type="character" w:customStyle="1" w:styleId="207">
    <w:name w:val="apple-converted-space"/>
    <w:qFormat/>
    <w:uiPriority w:val="0"/>
  </w:style>
  <w:style w:type="character" w:customStyle="1" w:styleId="208">
    <w:name w:val="文档结构图 Char"/>
    <w:qFormat/>
    <w:uiPriority w:val="0"/>
    <w:rPr>
      <w:rFonts w:eastAsia="宋体"/>
      <w:kern w:val="2"/>
      <w:sz w:val="21"/>
      <w:szCs w:val="24"/>
      <w:lang w:val="en-US" w:eastAsia="zh-CN" w:bidi="ar-SA"/>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dectext1"/>
    <w:qFormat/>
    <w:uiPriority w:val="0"/>
    <w:rPr>
      <w:rFonts w:ascii="宋体" w:hAnsi="宋体" w:eastAsia="宋体"/>
      <w:color w:val="333333"/>
      <w:sz w:val="21"/>
      <w:szCs w:val="21"/>
      <w:u w:val="none"/>
    </w:rPr>
  </w:style>
  <w:style w:type="character" w:customStyle="1" w:styleId="211">
    <w:name w:val="t21"/>
    <w:qFormat/>
    <w:uiPriority w:val="0"/>
    <w:rPr>
      <w:rFonts w:ascii="仿宋_GB2312" w:eastAsia="微软雅黑"/>
      <w:b/>
      <w:kern w:val="2"/>
      <w:sz w:val="23"/>
      <w:szCs w:val="23"/>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px14"/>
    <w:qFormat/>
    <w:uiPriority w:val="0"/>
    <w:rPr>
      <w:rFonts w:ascii="仿宋_GB2312" w:eastAsia="微软雅黑" w:cs="Times New Roman"/>
      <w:b/>
      <w:kern w:val="2"/>
      <w:sz w:val="32"/>
      <w:szCs w:val="32"/>
      <w:lang w:val="en-US" w:eastAsia="zh-CN" w:bidi="ar-SA"/>
    </w:rPr>
  </w:style>
  <w:style w:type="character" w:customStyle="1" w:styleId="214">
    <w:name w:val="标题 7 Char"/>
    <w:link w:val="9"/>
    <w:qFormat/>
    <w:uiPriority w:val="0"/>
    <w:rPr>
      <w:b/>
      <w:bCs/>
      <w:kern w:val="2"/>
      <w:sz w:val="24"/>
      <w:szCs w:val="24"/>
    </w:rPr>
  </w:style>
  <w:style w:type="character" w:customStyle="1" w:styleId="215">
    <w:name w:val="Normal Indent Char Char"/>
    <w:qFormat/>
    <w:uiPriority w:val="0"/>
    <w:rPr>
      <w:rFonts w:eastAsia="宋体"/>
      <w:kern w:val="2"/>
      <w:sz w:val="21"/>
      <w:lang w:val="en-US" w:eastAsia="zh-CN" w:bidi="ar-SA"/>
    </w:rPr>
  </w:style>
  <w:style w:type="character" w:customStyle="1" w:styleId="216">
    <w:name w:val="f141"/>
    <w:qFormat/>
    <w:uiPriority w:val="0"/>
    <w:rPr>
      <w:rFonts w:ascii="Tahoma" w:hAnsi="Tahoma" w:eastAsia="宋体"/>
      <w:b/>
      <w:kern w:val="2"/>
      <w:sz w:val="21"/>
      <w:szCs w:val="21"/>
      <w:lang w:val="en-US" w:eastAsia="zh-CN" w:bidi="ar-SA"/>
    </w:rPr>
  </w:style>
  <w:style w:type="character" w:customStyle="1" w:styleId="217">
    <w:name w:val="日期 Char"/>
    <w:link w:val="35"/>
    <w:qFormat/>
    <w:uiPriority w:val="0"/>
    <w:rPr>
      <w:rFonts w:ascii="宋体"/>
      <w:kern w:val="2"/>
      <w:sz w:val="24"/>
      <w:szCs w:val="21"/>
      <w:lang w:val="zh-CN"/>
    </w:rPr>
  </w:style>
  <w:style w:type="character" w:customStyle="1" w:styleId="218">
    <w:name w:val="myp1111"/>
    <w:qFormat/>
    <w:uiPriority w:val="0"/>
    <w:rPr>
      <w:rFonts w:hint="default" w:ascii="ˎ̥" w:hAnsi="ˎ̥"/>
      <w:color w:val="000000"/>
      <w:sz w:val="20"/>
      <w:szCs w:val="20"/>
      <w:u w:val="none"/>
    </w:rPr>
  </w:style>
  <w:style w:type="character" w:customStyle="1" w:styleId="219">
    <w:name w:val="称呼 Char"/>
    <w:link w:val="20"/>
    <w:qFormat/>
    <w:uiPriority w:val="0"/>
    <w:rPr>
      <w:rFonts w:ascii="仿宋_GB2312" w:eastAsia="仿宋_GB2312"/>
      <w:kern w:val="2"/>
      <w:sz w:val="28"/>
    </w:rPr>
  </w:style>
  <w:style w:type="character" w:customStyle="1" w:styleId="220">
    <w:name w:val="标题 4 Char"/>
    <w:link w:val="6"/>
    <w:qFormat/>
    <w:uiPriority w:val="0"/>
    <w:rPr>
      <w:rFonts w:ascii="Arial" w:hAnsi="Arial" w:eastAsia="黑体"/>
      <w:b/>
      <w:bCs/>
      <w:kern w:val="2"/>
      <w:sz w:val="28"/>
      <w:szCs w:val="28"/>
      <w:lang w:val="zh-CN"/>
    </w:rPr>
  </w:style>
  <w:style w:type="character" w:customStyle="1" w:styleId="221">
    <w:name w:val="标书1 Char"/>
    <w:qFormat/>
    <w:uiPriority w:val="0"/>
    <w:rPr>
      <w:rFonts w:eastAsia="宋体"/>
      <w:b/>
      <w:bCs/>
      <w:kern w:val="44"/>
      <w:sz w:val="44"/>
      <w:szCs w:val="44"/>
      <w:lang w:val="en-US" w:eastAsia="zh-CN" w:bidi="ar-SA"/>
    </w:rPr>
  </w:style>
  <w:style w:type="character" w:customStyle="1" w:styleId="222">
    <w:name w:val="链接"/>
    <w:qFormat/>
    <w:uiPriority w:val="0"/>
    <w:rPr>
      <w:color w:val="0000FF"/>
      <w:sz w:val="21"/>
      <w:szCs w:val="21"/>
      <w:u w:val="single"/>
    </w:rPr>
  </w:style>
  <w:style w:type="character" w:customStyle="1" w:styleId="223">
    <w:name w:val="正文首行缩进 Char Char Char Char Char Char"/>
    <w:qFormat/>
    <w:uiPriority w:val="0"/>
    <w:rPr>
      <w:rFonts w:ascii="宋体" w:eastAsia="宋体"/>
      <w:kern w:val="2"/>
      <w:sz w:val="24"/>
      <w:lang w:val="zh-CN" w:bidi="ar-SA"/>
    </w:rPr>
  </w:style>
  <w:style w:type="character" w:customStyle="1" w:styleId="224">
    <w:name w:val="正文2 Char Char"/>
    <w:link w:val="225"/>
    <w:qFormat/>
    <w:uiPriority w:val="0"/>
    <w:rPr>
      <w:rFonts w:eastAsia="宋体"/>
      <w:kern w:val="2"/>
      <w:sz w:val="24"/>
      <w:lang w:val="en-US" w:eastAsia="zh-CN" w:bidi="ar-SA"/>
    </w:rPr>
  </w:style>
  <w:style w:type="paragraph" w:customStyle="1" w:styleId="225">
    <w:name w:val="正文2"/>
    <w:basedOn w:val="1"/>
    <w:link w:val="224"/>
    <w:qFormat/>
    <w:uiPriority w:val="0"/>
    <w:pPr>
      <w:spacing w:before="156" w:line="360" w:lineRule="auto"/>
      <w:ind w:firstLine="510" w:firstLineChars="200"/>
    </w:pPr>
    <w:rPr>
      <w:sz w:val="24"/>
      <w:szCs w:val="20"/>
    </w:rPr>
  </w:style>
  <w:style w:type="character" w:customStyle="1" w:styleId="226">
    <w:name w:val="tw4winError"/>
    <w:qFormat/>
    <w:uiPriority w:val="0"/>
    <w:rPr>
      <w:rFonts w:ascii="Courier New" w:hAnsi="Courier New" w:cs="Courier New"/>
      <w:color w:val="00FF00"/>
      <w:sz w:val="40"/>
      <w:szCs w:val="40"/>
    </w:rPr>
  </w:style>
  <w:style w:type="character" w:customStyle="1" w:styleId="227">
    <w:name w:val="正文1 Char1"/>
    <w:qFormat/>
    <w:uiPriority w:val="0"/>
    <w:rPr>
      <w:rFonts w:ascii="仿宋_GB2312" w:hAnsi="Courier New" w:eastAsia="仿宋_GB2312"/>
      <w:kern w:val="28"/>
      <w:sz w:val="24"/>
      <w:szCs w:val="24"/>
      <w:lang w:val="en-US" w:eastAsia="zh-CN"/>
    </w:rPr>
  </w:style>
  <w:style w:type="character" w:customStyle="1" w:styleId="228">
    <w:name w:val="Used by Word for text of Help footnotes Char Char"/>
    <w:qFormat/>
    <w:uiPriority w:val="0"/>
    <w:rPr>
      <w:rFonts w:ascii="Times New Roman" w:hAnsi="Times New Roman" w:eastAsia="宋体" w:cs="Times New Roman"/>
      <w:sz w:val="20"/>
      <w:szCs w:val="20"/>
    </w:rPr>
  </w:style>
  <w:style w:type="character" w:customStyle="1" w:styleId="229">
    <w:name w:val="c7 style3"/>
    <w:qFormat/>
    <w:uiPriority w:val="0"/>
  </w:style>
  <w:style w:type="character" w:customStyle="1" w:styleId="2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31">
    <w:name w:val="Char Char31"/>
    <w:qFormat/>
    <w:uiPriority w:val="0"/>
    <w:rPr>
      <w:rFonts w:ascii="Times New Roman" w:hAnsi="Times New Roman" w:eastAsia="宋体" w:cs="Times New Roman"/>
      <w:b/>
      <w:kern w:val="2"/>
      <w:sz w:val="32"/>
      <w:szCs w:val="24"/>
      <w:lang w:val="en-US" w:eastAsia="zh-CN" w:bidi="ar-SA"/>
    </w:rPr>
  </w:style>
  <w:style w:type="character" w:customStyle="1" w:styleId="232">
    <w:name w:val="表正文 Char"/>
    <w:qFormat/>
    <w:uiPriority w:val="0"/>
    <w:rPr>
      <w:rFonts w:ascii="宋体" w:eastAsia="宋体"/>
      <w:snapToGrid w:val="0"/>
      <w:color w:val="000000"/>
      <w:kern w:val="28"/>
      <w:sz w:val="28"/>
      <w:lang w:val="en-US" w:eastAsia="zh-CN" w:bidi="ar-SA"/>
    </w:rPr>
  </w:style>
  <w:style w:type="character" w:customStyle="1" w:styleId="233">
    <w:name w:val="普通文字 Char1 Char"/>
    <w:qFormat/>
    <w:uiPriority w:val="0"/>
    <w:rPr>
      <w:rFonts w:ascii="宋体" w:hAnsi="Courier New" w:eastAsia="宋体"/>
      <w:kern w:val="2"/>
      <w:sz w:val="21"/>
      <w:szCs w:val="24"/>
      <w:lang w:val="en-US" w:eastAsia="zh-CN" w:bidi="ar-SA"/>
    </w:rPr>
  </w:style>
  <w:style w:type="character" w:customStyle="1" w:styleId="234">
    <w:name w:val="pt9"/>
    <w:qFormat/>
    <w:uiPriority w:val="0"/>
    <w:rPr>
      <w:rFonts w:ascii="仿宋_GB2312" w:eastAsia="微软雅黑"/>
      <w:b/>
      <w:kern w:val="2"/>
      <w:sz w:val="32"/>
      <w:szCs w:val="32"/>
      <w:lang w:val="en-US" w:eastAsia="zh-CN" w:bidi="ar-SA"/>
    </w:rPr>
  </w:style>
  <w:style w:type="character" w:customStyle="1" w:styleId="235">
    <w:name w:val="表正文 Char1"/>
    <w:qFormat/>
    <w:uiPriority w:val="0"/>
    <w:rPr>
      <w:rFonts w:ascii="宋体" w:eastAsia="宋体"/>
      <w:snapToGrid w:val="0"/>
      <w:color w:val="000000"/>
      <w:kern w:val="28"/>
      <w:sz w:val="28"/>
    </w:rPr>
  </w:style>
  <w:style w:type="character" w:customStyle="1" w:styleId="236">
    <w:name w:val="正文非缩进 Char"/>
    <w:qFormat/>
    <w:uiPriority w:val="0"/>
    <w:rPr>
      <w:rFonts w:ascii="宋体" w:eastAsia="宋体"/>
      <w:snapToGrid w:val="0"/>
      <w:color w:val="000000"/>
      <w:kern w:val="28"/>
      <w:sz w:val="28"/>
      <w:lang w:val="en-US" w:eastAsia="zh-CN" w:bidi="ar-SA"/>
    </w:rPr>
  </w:style>
  <w:style w:type="character" w:customStyle="1" w:styleId="237">
    <w:name w:val="冯广丽 Char"/>
    <w:link w:val="238"/>
    <w:qFormat/>
    <w:uiPriority w:val="0"/>
    <w:rPr>
      <w:rFonts w:ascii="宋体" w:hAnsi="宋体"/>
      <w:kern w:val="2"/>
      <w:sz w:val="24"/>
      <w:szCs w:val="22"/>
    </w:rPr>
  </w:style>
  <w:style w:type="paragraph" w:customStyle="1" w:styleId="238">
    <w:name w:val="冯广丽"/>
    <w:basedOn w:val="1"/>
    <w:link w:val="237"/>
    <w:qFormat/>
    <w:uiPriority w:val="0"/>
    <w:pPr>
      <w:adjustRightInd/>
      <w:spacing w:line="360" w:lineRule="auto"/>
      <w:ind w:firstLine="480" w:firstLineChars="200"/>
    </w:pPr>
    <w:rPr>
      <w:rFonts w:ascii="宋体" w:hAnsi="宋体"/>
      <w:sz w:val="24"/>
      <w:szCs w:val="22"/>
    </w:rPr>
  </w:style>
  <w:style w:type="character" w:customStyle="1" w:styleId="239">
    <w:name w:val="large1"/>
    <w:qFormat/>
    <w:uiPriority w:val="0"/>
    <w:rPr>
      <w:rFonts w:hint="eastAsia" w:ascii="宋体" w:hAnsi="宋体" w:eastAsia="宋体"/>
      <w:sz w:val="21"/>
      <w:szCs w:val="21"/>
    </w:rPr>
  </w:style>
  <w:style w:type="character" w:customStyle="1" w:styleId="240">
    <w:name w:val="样式 样式 标题 4h4H4Fab-4T5Ref Heading 1rh1Heading sqlsect 1.2.3.... +... Char"/>
    <w:link w:val="241"/>
    <w:qFormat/>
    <w:uiPriority w:val="0"/>
    <w:rPr>
      <w:rFonts w:ascii="微软雅黑" w:hAnsi="微软雅黑" w:eastAsia="微软雅黑"/>
      <w:b/>
      <w:bCs/>
      <w:kern w:val="2"/>
      <w:sz w:val="24"/>
      <w:szCs w:val="28"/>
    </w:rPr>
  </w:style>
  <w:style w:type="paragraph" w:customStyle="1" w:styleId="241">
    <w:name w:val="样式 样式 标题 4h4H4Fab-4T5Ref Heading 1rh1Heading sqlsect 1.2.3.... +..."/>
    <w:basedOn w:val="166"/>
    <w:link w:val="240"/>
    <w:qFormat/>
    <w:uiPriority w:val="0"/>
  </w:style>
  <w:style w:type="character" w:customStyle="1" w:styleId="242">
    <w:name w:val="标题 1 Char Char"/>
    <w:qFormat/>
    <w:uiPriority w:val="0"/>
    <w:rPr>
      <w:rFonts w:hint="eastAsia" w:ascii="宋体" w:hAnsi="宋体" w:eastAsia="宋体"/>
      <w:b/>
      <w:spacing w:val="-2"/>
      <w:sz w:val="24"/>
      <w:lang w:val="en-US" w:eastAsia="zh-CN" w:bidi="ar-SA"/>
    </w:rPr>
  </w:style>
  <w:style w:type="character" w:customStyle="1" w:styleId="243">
    <w:name w:val="标题 4 Char1"/>
    <w:qFormat/>
    <w:uiPriority w:val="9"/>
    <w:rPr>
      <w:rFonts w:ascii="Cambria" w:hAnsi="Cambria" w:eastAsia="宋体" w:cs="Times New Roman"/>
      <w:b/>
      <w:bCs/>
      <w:kern w:val="2"/>
      <w:sz w:val="28"/>
      <w:szCs w:val="28"/>
    </w:rPr>
  </w:style>
  <w:style w:type="character" w:customStyle="1" w:styleId="244">
    <w:name w:val="脚注文本 Char"/>
    <w:link w:val="50"/>
    <w:qFormat/>
    <w:uiPriority w:val="0"/>
    <w:rPr>
      <w:color w:val="0000FF"/>
      <w:sz w:val="21"/>
    </w:rPr>
  </w:style>
  <w:style w:type="character" w:customStyle="1" w:styleId="245">
    <w:name w:val="zbggmain style9"/>
    <w:qFormat/>
    <w:uiPriority w:val="0"/>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tw4winPopup"/>
    <w:qFormat/>
    <w:uiPriority w:val="0"/>
    <w:rPr>
      <w:rFonts w:ascii="Courier New" w:hAnsi="Courier New" w:cs="Courier New"/>
      <w:color w:val="008000"/>
      <w:lang w:val="en-US" w:eastAsia="zh-CN"/>
    </w:rPr>
  </w:style>
  <w:style w:type="character" w:customStyle="1" w:styleId="248">
    <w:name w:val="标题 6 Char"/>
    <w:link w:val="8"/>
    <w:qFormat/>
    <w:uiPriority w:val="0"/>
    <w:rPr>
      <w:rFonts w:ascii="Arial" w:hAnsi="Arial" w:eastAsia="黑体"/>
      <w:b/>
      <w:bCs/>
      <w:kern w:val="2"/>
      <w:sz w:val="24"/>
      <w:szCs w:val="24"/>
    </w:rPr>
  </w:style>
  <w:style w:type="character" w:customStyle="1" w:styleId="249">
    <w:name w:val="样式 宋体"/>
    <w:qFormat/>
    <w:uiPriority w:val="0"/>
    <w:rPr>
      <w:rFonts w:ascii="宋体" w:hAnsi="宋体"/>
      <w:sz w:val="24"/>
    </w:rPr>
  </w:style>
  <w:style w:type="character" w:customStyle="1" w:styleId="250">
    <w:name w:val="正文缩进 Char2"/>
    <w:qFormat/>
    <w:uiPriority w:val="0"/>
    <w:rPr>
      <w:rFonts w:ascii="宋体" w:eastAsia="宋体"/>
      <w:snapToGrid w:val="0"/>
      <w:color w:val="000000"/>
      <w:kern w:val="28"/>
      <w:sz w:val="28"/>
      <w:lang w:val="en-US" w:eastAsia="zh-CN" w:bidi="ar-SA"/>
    </w:rPr>
  </w:style>
  <w:style w:type="character" w:customStyle="1" w:styleId="251">
    <w:name w:val="标题 Char"/>
    <w:qFormat/>
    <w:uiPriority w:val="0"/>
    <w:rPr>
      <w:rFonts w:eastAsia="宋体"/>
      <w:b/>
      <w:sz w:val="24"/>
      <w:lang w:val="en-GB" w:eastAsia="zh-CN" w:bidi="ar-SA"/>
    </w:rPr>
  </w:style>
  <w:style w:type="character" w:customStyle="1" w:styleId="252">
    <w:name w:val="正文首行缩进 2 Char"/>
    <w:link w:val="62"/>
    <w:qFormat/>
    <w:uiPriority w:val="0"/>
    <w:rPr>
      <w:rFonts w:ascii="宋体" w:hAnsi="宋体"/>
      <w:kern w:val="2"/>
      <w:sz w:val="21"/>
      <w:szCs w:val="24"/>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批注文字 Char1"/>
    <w:link w:val="19"/>
    <w:qFormat/>
    <w:uiPriority w:val="0"/>
    <w:rPr>
      <w:kern w:val="2"/>
      <w:sz w:val="21"/>
      <w:szCs w:val="24"/>
    </w:rPr>
  </w:style>
  <w:style w:type="character" w:customStyle="1" w:styleId="255">
    <w:name w:val="批注框文本 Char"/>
    <w:link w:val="39"/>
    <w:qFormat/>
    <w:uiPriority w:val="0"/>
    <w:rPr>
      <w:kern w:val="2"/>
      <w:sz w:val="18"/>
      <w:szCs w:val="18"/>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_321b3fe7-5d86-4388-b576-783402ecb4f6"/>
    <w:qFormat/>
    <w:uiPriority w:val="0"/>
    <w:rPr>
      <w:rFonts w:eastAsia="宋体"/>
      <w:kern w:val="2"/>
      <w:sz w:val="18"/>
      <w:lang w:val="en-US" w:eastAsia="zh-CN" w:bidi="ar-SA"/>
    </w:rPr>
  </w:style>
  <w:style w:type="character" w:customStyle="1" w:styleId="258">
    <w:name w:val="Char Char41"/>
    <w:qFormat/>
    <w:uiPriority w:val="0"/>
    <w:rPr>
      <w:rFonts w:eastAsia="宋体"/>
      <w:b/>
      <w:sz w:val="24"/>
      <w:lang w:val="en-GB" w:eastAsia="zh-CN" w:bidi="ar-SA"/>
    </w:rPr>
  </w:style>
  <w:style w:type="character" w:customStyle="1" w:styleId="259">
    <w:name w:val="Char Char91"/>
    <w:qFormat/>
    <w:uiPriority w:val="0"/>
    <w:rPr>
      <w:rFonts w:eastAsia="宋体"/>
      <w:kern w:val="2"/>
      <w:sz w:val="18"/>
      <w:szCs w:val="18"/>
      <w:lang w:val="en-US" w:eastAsia="zh-CN" w:bidi="ar-SA"/>
    </w:rPr>
  </w:style>
  <w:style w:type="character" w:customStyle="1" w:styleId="260">
    <w:name w:val="列出段落 Char"/>
    <w:qFormat/>
    <w:uiPriority w:val="34"/>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Char"/>
    <w:link w:val="42"/>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5"/>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paragraph" w:customStyle="1" w:styleId="27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8">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9">
    <w:name w:val="4"/>
    <w:basedOn w:val="1"/>
    <w:next w:val="38"/>
    <w:qFormat/>
    <w:uiPriority w:val="0"/>
    <w:pPr>
      <w:spacing w:after="120" w:line="480" w:lineRule="auto"/>
      <w:ind w:left="420" w:leftChars="200"/>
    </w:pPr>
    <w:rPr>
      <w:sz w:val="24"/>
      <w:szCs w:val="20"/>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283">
    <w:name w:val="默认段落样式"/>
    <w:basedOn w:val="225"/>
    <w:qFormat/>
    <w:uiPriority w:val="0"/>
    <w:pPr>
      <w:spacing w:before="0"/>
      <w:ind w:firstLine="480"/>
      <w:outlineLvl w:val="2"/>
    </w:pPr>
    <w:rPr>
      <w:rFonts w:ascii="仿宋_GB2312" w:hAnsi="宋体" w:eastAsia="仿宋_GB2312"/>
      <w:color w:val="000000"/>
      <w:szCs w:val="24"/>
    </w:rPr>
  </w:style>
  <w:style w:type="paragraph" w:customStyle="1" w:styleId="284">
    <w:name w:val="Char Char1 Char Char Char Char Char Char"/>
    <w:basedOn w:val="1"/>
    <w:qFormat/>
    <w:uiPriority w:val="0"/>
    <w:rPr>
      <w:rFonts w:ascii="仿宋_GB2312" w:eastAsia="仿宋_GB2312"/>
      <w:b/>
      <w:sz w:val="32"/>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7">
    <w:name w:val="文本正文 Char"/>
    <w:basedOn w:val="1"/>
    <w:qFormat/>
    <w:uiPriority w:val="0"/>
    <w:pPr>
      <w:spacing w:line="360" w:lineRule="auto"/>
      <w:ind w:firstLine="200" w:firstLineChars="200"/>
    </w:pPr>
    <w:rPr>
      <w:kern w:val="0"/>
      <w:sz w:val="24"/>
      <w:szCs w:val="20"/>
    </w:rPr>
  </w:style>
  <w:style w:type="paragraph" w:customStyle="1" w:styleId="2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文章标题"/>
    <w:next w:val="29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1">
    <w:name w:val="封面公司名"/>
    <w:qFormat/>
    <w:uiPriority w:val="0"/>
    <w:pPr>
      <w:jc w:val="center"/>
    </w:pPr>
    <w:rPr>
      <w:rFonts w:ascii="Arial" w:hAnsi="Arial" w:eastAsia="楷体_GB2312" w:cs="宋体"/>
      <w:bCs/>
      <w:kern w:val="2"/>
      <w:sz w:val="28"/>
      <w:lang w:val="en-US" w:eastAsia="zh-CN" w:bidi="ar-SA"/>
    </w:rPr>
  </w:style>
  <w:style w:type="paragraph" w:customStyle="1" w:styleId="29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3">
    <w:name w:val="默认段落字体 Para Char Char Char Char Char Char Char"/>
    <w:basedOn w:val="1"/>
    <w:qFormat/>
    <w:uiPriority w:val="0"/>
    <w:rPr>
      <w:rFonts w:eastAsia="仿宋_GB2312"/>
      <w:sz w:val="28"/>
      <w:szCs w:val="20"/>
    </w:rPr>
  </w:style>
  <w:style w:type="paragraph" w:customStyle="1" w:styleId="29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296">
    <w:name w:val="trademark"/>
    <w:qFormat/>
    <w:uiPriority w:val="0"/>
    <w:pPr>
      <w:spacing w:after="60"/>
    </w:pPr>
    <w:rPr>
      <w:rFonts w:ascii="Futura Bk" w:hAnsi="Futura Bk" w:eastAsia="宋体" w:cs="Times New Roman"/>
      <w:sz w:val="15"/>
      <w:lang w:val="en-US" w:eastAsia="en-US" w:bidi="ar-SA"/>
    </w:rPr>
  </w:style>
  <w:style w:type="paragraph" w:customStyle="1" w:styleId="2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默认段落字体 Para Char"/>
    <w:basedOn w:val="1"/>
    <w:qFormat/>
    <w:uiPriority w:val="0"/>
    <w:rPr>
      <w:rFonts w:ascii="Tahoma" w:hAnsi="Tahoma"/>
      <w:sz w:val="24"/>
      <w:szCs w:val="20"/>
    </w:rPr>
  </w:style>
  <w:style w:type="paragraph" w:customStyle="1" w:styleId="3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6">
    <w:name w:val="Char Char11 Char Char Char Char Char Char Char Char Char"/>
    <w:basedOn w:val="1"/>
    <w:qFormat/>
    <w:uiPriority w:val="0"/>
    <w:pPr>
      <w:spacing w:line="360" w:lineRule="auto"/>
    </w:pPr>
    <w:rPr>
      <w:szCs w:val="20"/>
    </w:rPr>
  </w:style>
  <w:style w:type="paragraph" w:customStyle="1" w:styleId="3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9">
    <w:name w:val="左对齐表格文字"/>
    <w:basedOn w:val="1"/>
    <w:qFormat/>
    <w:uiPriority w:val="0"/>
    <w:pPr>
      <w:adjustRightInd/>
      <w:ind w:firstLine="200" w:firstLineChars="200"/>
      <w:jc w:val="right"/>
    </w:pPr>
  </w:style>
  <w:style w:type="paragraph" w:customStyle="1" w:styleId="310">
    <w:name w:val="Char31"/>
    <w:basedOn w:val="1"/>
    <w:qFormat/>
    <w:uiPriority w:val="0"/>
    <w:pPr>
      <w:adjustRightInd/>
      <w:ind w:firstLine="200" w:firstLineChars="200"/>
    </w:pPr>
    <w:rPr>
      <w:rFonts w:ascii="Tahoma" w:hAnsi="Tahoma"/>
      <w:sz w:val="24"/>
      <w:szCs w:val="20"/>
    </w:rPr>
  </w:style>
  <w:style w:type="paragraph" w:customStyle="1" w:styleId="3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4">
    <w:name w:val="彩色列表 - 强调文字颜色 11"/>
    <w:basedOn w:val="1"/>
    <w:qFormat/>
    <w:uiPriority w:val="0"/>
    <w:pPr>
      <w:adjustRightInd/>
      <w:ind w:firstLine="420" w:firstLineChars="200"/>
    </w:pPr>
    <w:rPr>
      <w:rFonts w:ascii="Calibri" w:hAnsi="Calibri"/>
      <w:szCs w:val="22"/>
    </w:rPr>
  </w:style>
  <w:style w:type="paragraph" w:customStyle="1" w:styleId="31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6">
    <w:name w:val="MM Topic 3"/>
    <w:basedOn w:val="5"/>
    <w:qFormat/>
    <w:uiPriority w:val="0"/>
    <w:pPr>
      <w:numPr>
        <w:ilvl w:val="0"/>
        <w:numId w:val="0"/>
      </w:numPr>
      <w:tabs>
        <w:tab w:val="left" w:pos="840"/>
        <w:tab w:val="left" w:pos="1680"/>
      </w:tabs>
      <w:adjustRightInd/>
      <w:ind w:left="840" w:hanging="420"/>
    </w:pPr>
  </w:style>
  <w:style w:type="paragraph" w:customStyle="1" w:styleId="317">
    <w:name w:val="Normal0"/>
    <w:qFormat/>
    <w:uiPriority w:val="0"/>
    <w:rPr>
      <w:rFonts w:ascii="Times New Roman" w:hAnsi="Times New Roman" w:eastAsia="宋体" w:cs="Times New Roman"/>
      <w:lang w:val="en-US" w:eastAsia="en-US" w:bidi="ar-SA"/>
    </w:rPr>
  </w:style>
  <w:style w:type="paragraph" w:customStyle="1" w:styleId="318">
    <w:name w:val="Char Char Char Char Char Char Char"/>
    <w:basedOn w:val="1"/>
    <w:qFormat/>
    <w:uiPriority w:val="0"/>
    <w:rPr>
      <w:rFonts w:ascii="仿宋_GB2312" w:eastAsia="仿宋_GB2312"/>
      <w:b/>
      <w:sz w:val="32"/>
      <w:szCs w:val="32"/>
    </w:rPr>
  </w:style>
  <w:style w:type="paragraph" w:customStyle="1" w:styleId="31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2"/>
    <w:basedOn w:val="1"/>
    <w:qFormat/>
    <w:uiPriority w:val="0"/>
    <w:rPr>
      <w:rFonts w:ascii="仿宋_GB2312" w:eastAsia="仿宋_GB2312"/>
      <w:b/>
      <w:sz w:val="32"/>
      <w:szCs w:val="32"/>
    </w:rPr>
  </w:style>
  <w:style w:type="paragraph" w:customStyle="1" w:styleId="3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3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2">
    <w:name w:val="Char Char Char"/>
    <w:basedOn w:val="1"/>
    <w:qFormat/>
    <w:uiPriority w:val="0"/>
    <w:rPr>
      <w:rFonts w:ascii="Tahoma" w:hAnsi="Tahoma"/>
      <w:sz w:val="24"/>
      <w:szCs w:val="20"/>
    </w:rPr>
  </w:style>
  <w:style w:type="paragraph" w:customStyle="1" w:styleId="333">
    <w:name w:val="MM Topic 4"/>
    <w:basedOn w:val="6"/>
    <w:qFormat/>
    <w:uiPriority w:val="0"/>
    <w:pPr>
      <w:numPr>
        <w:ilvl w:val="0"/>
        <w:numId w:val="0"/>
      </w:numPr>
      <w:tabs>
        <w:tab w:val="clear" w:pos="864"/>
      </w:tabs>
      <w:adjustRightInd/>
      <w:ind w:left="840" w:hanging="420"/>
    </w:pPr>
    <w:rPr>
      <w:lang w:val="en-US"/>
    </w:rPr>
  </w:style>
  <w:style w:type="paragraph" w:customStyle="1" w:styleId="334">
    <w:name w:val="标准小四"/>
    <w:basedOn w:val="1"/>
    <w:qFormat/>
    <w:uiPriority w:val="0"/>
    <w:pPr>
      <w:spacing w:line="360" w:lineRule="auto"/>
      <w:ind w:firstLine="480" w:firstLineChars="200"/>
    </w:pPr>
    <w:rPr>
      <w:rFonts w:ascii="Arial" w:hAnsi="Arial"/>
      <w:sz w:val="24"/>
      <w:szCs w:val="21"/>
    </w:rPr>
  </w:style>
  <w:style w:type="paragraph" w:customStyle="1" w:styleId="335">
    <w:name w:val="MM Topic 2"/>
    <w:basedOn w:val="4"/>
    <w:qFormat/>
    <w:uiPriority w:val="0"/>
    <w:pPr>
      <w:numPr>
        <w:ilvl w:val="1"/>
        <w:numId w:val="4"/>
      </w:numPr>
    </w:pPr>
    <w:rPr>
      <w:rFonts w:ascii="Arial" w:hAnsi="Arial" w:eastAsia="黑体"/>
      <w:lang w:val="en-US"/>
    </w:rPr>
  </w:style>
  <w:style w:type="paragraph" w:customStyle="1" w:styleId="336">
    <w:name w:val="表格标题2"/>
    <w:basedOn w:val="337"/>
    <w:qFormat/>
    <w:uiPriority w:val="0"/>
    <w:rPr>
      <w:b/>
    </w:rPr>
  </w:style>
  <w:style w:type="paragraph" w:customStyle="1" w:styleId="337">
    <w:name w:val="表格内文"/>
    <w:basedOn w:val="1"/>
    <w:qFormat/>
    <w:uiPriority w:val="0"/>
    <w:pPr>
      <w:adjustRightInd/>
      <w:spacing w:line="360" w:lineRule="auto"/>
    </w:pPr>
    <w:rPr>
      <w:rFonts w:ascii="宋体" w:hAnsi="宋体" w:cs="宋体"/>
      <w:color w:val="000000"/>
      <w:szCs w:val="20"/>
    </w:rPr>
  </w:style>
  <w:style w:type="paragraph" w:customStyle="1" w:styleId="33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40">
    <w:name w:val="Char Char11 Char Char Char Char Char Char Char Char Char1"/>
    <w:basedOn w:val="1"/>
    <w:qFormat/>
    <w:uiPriority w:val="0"/>
    <w:pPr>
      <w:spacing w:line="360" w:lineRule="auto"/>
    </w:pPr>
    <w:rPr>
      <w:szCs w:val="20"/>
    </w:rPr>
  </w:style>
  <w:style w:type="paragraph" w:customStyle="1" w:styleId="341">
    <w:name w:val="Char Char Char Char Char Char Char Char Char Char Char1 Char"/>
    <w:basedOn w:val="1"/>
    <w:qFormat/>
    <w:uiPriority w:val="0"/>
    <w:pPr>
      <w:adjustRightInd/>
    </w:pPr>
    <w:rPr>
      <w:rFonts w:ascii="Tahoma" w:hAnsi="Tahoma"/>
      <w:sz w:val="24"/>
    </w:rPr>
  </w:style>
  <w:style w:type="paragraph" w:customStyle="1" w:styleId="3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3">
    <w:name w:val="a1"/>
    <w:basedOn w:val="1"/>
    <w:qFormat/>
    <w:uiPriority w:val="0"/>
    <w:pPr>
      <w:widowControl/>
      <w:spacing w:line="300" w:lineRule="atLeast"/>
      <w:jc w:val="left"/>
    </w:pPr>
    <w:rPr>
      <w:rFonts w:ascii="宋体" w:hAnsi="宋体"/>
      <w:kern w:val="0"/>
      <w:sz w:val="18"/>
      <w:szCs w:val="20"/>
    </w:rPr>
  </w:style>
  <w:style w:type="paragraph" w:customStyle="1" w:styleId="3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8">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Char3 Char Char Char"/>
    <w:basedOn w:val="1"/>
    <w:qFormat/>
    <w:uiPriority w:val="0"/>
    <w:pPr>
      <w:widowControl/>
      <w:adjustRightInd/>
      <w:spacing w:after="160" w:line="240" w:lineRule="exact"/>
      <w:jc w:val="left"/>
    </w:pPr>
    <w:rPr>
      <w:szCs w:val="20"/>
    </w:rPr>
  </w:style>
  <w:style w:type="paragraph" w:customStyle="1" w:styleId="3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7">
    <w:name w:val="Char Char1 Char Char1 Char Char1"/>
    <w:basedOn w:val="1"/>
    <w:qFormat/>
    <w:uiPriority w:val="0"/>
    <w:pPr>
      <w:tabs>
        <w:tab w:val="left" w:pos="840"/>
      </w:tabs>
      <w:ind w:left="840" w:hanging="420"/>
    </w:pPr>
    <w:rPr>
      <w:rFonts w:ascii="Tahoma" w:hAnsi="Tahoma"/>
      <w:sz w:val="24"/>
    </w:rPr>
  </w:style>
  <w:style w:type="paragraph" w:customStyle="1" w:styleId="35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9">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0">
    <w:name w:val="默认段落字体 Para Char Char Char Char"/>
    <w:basedOn w:val="1"/>
    <w:qFormat/>
    <w:uiPriority w:val="0"/>
    <w:pPr>
      <w:spacing w:line="360" w:lineRule="auto"/>
    </w:pPr>
    <w:rPr>
      <w:szCs w:val="20"/>
    </w:rPr>
  </w:style>
  <w:style w:type="paragraph" w:customStyle="1" w:styleId="361">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正文21"/>
    <w:basedOn w:val="1"/>
    <w:qFormat/>
    <w:uiPriority w:val="0"/>
    <w:pPr>
      <w:adjustRightInd/>
      <w:spacing w:before="156" w:line="360" w:lineRule="auto"/>
      <w:ind w:firstLine="510" w:firstLineChars="200"/>
    </w:pPr>
    <w:rPr>
      <w:sz w:val="24"/>
      <w:szCs w:val="20"/>
    </w:rPr>
  </w:style>
  <w:style w:type="paragraph" w:customStyle="1" w:styleId="366">
    <w:name w:val="列出段落2"/>
    <w:basedOn w:val="1"/>
    <w:qFormat/>
    <w:uiPriority w:val="0"/>
    <w:pPr>
      <w:adjustRightInd/>
      <w:ind w:firstLine="420" w:firstLineChars="200"/>
    </w:pPr>
    <w:rPr>
      <w:rFonts w:ascii="宋体" w:hAnsi="宋体"/>
      <w:sz w:val="24"/>
    </w:rPr>
  </w:style>
  <w:style w:type="paragraph" w:customStyle="1" w:styleId="367">
    <w:name w:val="封面"/>
    <w:basedOn w:val="1"/>
    <w:qFormat/>
    <w:uiPriority w:val="0"/>
    <w:pPr>
      <w:spacing w:line="360" w:lineRule="atLeast"/>
      <w:jc w:val="right"/>
      <w:textAlignment w:val="baseline"/>
    </w:pPr>
    <w:rPr>
      <w:rFonts w:ascii="Symbol" w:hAnsi="Symbol"/>
      <w:kern w:val="0"/>
      <w:szCs w:val="20"/>
    </w:rPr>
  </w:style>
  <w:style w:type="paragraph" w:customStyle="1" w:styleId="368">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1">
    <w:name w:val="Char Char1 Char Char Char Char Char Char1"/>
    <w:basedOn w:val="1"/>
    <w:qFormat/>
    <w:uiPriority w:val="0"/>
    <w:rPr>
      <w:rFonts w:ascii="仿宋_GB2312" w:eastAsia="仿宋_GB2312"/>
      <w:b/>
      <w:sz w:val="32"/>
      <w:szCs w:val="20"/>
    </w:rPr>
  </w:style>
  <w:style w:type="paragraph" w:customStyle="1" w:styleId="37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5">
    <w:name w:val="正文（首行缩进2字符）"/>
    <w:basedOn w:val="1"/>
    <w:qFormat/>
    <w:uiPriority w:val="0"/>
    <w:pPr>
      <w:adjustRightInd/>
      <w:spacing w:line="360" w:lineRule="auto"/>
      <w:ind w:firstLine="480" w:firstLineChars="200"/>
    </w:pPr>
    <w:rPr>
      <w:sz w:val="24"/>
      <w:szCs w:val="20"/>
    </w:rPr>
  </w:style>
  <w:style w:type="paragraph" w:customStyle="1" w:styleId="3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7">
    <w:name w:val="表文字"/>
    <w:qFormat/>
    <w:uiPriority w:val="0"/>
    <w:rPr>
      <w:rFonts w:ascii="宋体" w:hAnsi="Times New Roman" w:eastAsia="宋体" w:cs="Times New Roman"/>
      <w:kern w:val="2"/>
      <w:lang w:val="en-US" w:eastAsia="zh-CN" w:bidi="ar-SA"/>
    </w:rPr>
  </w:style>
  <w:style w:type="paragraph" w:customStyle="1" w:styleId="37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1">
    <w:name w:val="有符号正文"/>
    <w:basedOn w:val="1"/>
    <w:qFormat/>
    <w:uiPriority w:val="0"/>
    <w:pPr>
      <w:adjustRightInd/>
      <w:spacing w:line="400" w:lineRule="exact"/>
      <w:ind w:firstLine="200" w:firstLineChars="200"/>
    </w:pPr>
    <w:rPr>
      <w:rFonts w:ascii="Arial" w:hAnsi="Arial"/>
    </w:rPr>
  </w:style>
  <w:style w:type="paragraph" w:customStyle="1" w:styleId="382">
    <w:name w:val="数字标题5"/>
    <w:basedOn w:val="7"/>
    <w:next w:val="1"/>
    <w:qFormat/>
    <w:uiPriority w:val="0"/>
    <w:pPr>
      <w:numPr>
        <w:ilvl w:val="0"/>
        <w:numId w:val="0"/>
      </w:numPr>
      <w:tabs>
        <w:tab w:val="left" w:pos="480"/>
        <w:tab w:val="left" w:pos="1080"/>
      </w:tabs>
      <w:ind w:left="480" w:hanging="480"/>
    </w:pPr>
  </w:style>
  <w:style w:type="paragraph" w:customStyle="1" w:styleId="383">
    <w:name w:val="Char12"/>
    <w:basedOn w:val="1"/>
    <w:qFormat/>
    <w:uiPriority w:val="0"/>
    <w:rPr>
      <w:rFonts w:ascii="仿宋_GB2312" w:eastAsia="仿宋_GB2312"/>
      <w:b/>
      <w:sz w:val="32"/>
      <w:szCs w:val="32"/>
    </w:rPr>
  </w:style>
  <w:style w:type="paragraph" w:customStyle="1" w:styleId="38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6">
    <w:name w:val="加粗正文"/>
    <w:basedOn w:val="1"/>
    <w:qFormat/>
    <w:uiPriority w:val="0"/>
    <w:pPr>
      <w:adjustRightInd/>
      <w:spacing w:beforeLines="50" w:afterLines="50" w:line="360" w:lineRule="auto"/>
      <w:ind w:firstLine="422" w:firstLineChars="200"/>
    </w:pPr>
    <w:rPr>
      <w:b/>
      <w:bCs/>
      <w:szCs w:val="21"/>
    </w:rPr>
  </w:style>
  <w:style w:type="paragraph" w:customStyle="1" w:styleId="387">
    <w:name w:val="Char Char11 Char Char Char"/>
    <w:basedOn w:val="1"/>
    <w:qFormat/>
    <w:uiPriority w:val="0"/>
    <w:pPr>
      <w:spacing w:line="360" w:lineRule="auto"/>
    </w:pPr>
    <w:rPr>
      <w:szCs w:val="20"/>
    </w:rPr>
  </w:style>
  <w:style w:type="paragraph" w:customStyle="1" w:styleId="38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11"/>
    <w:basedOn w:val="1"/>
    <w:qFormat/>
    <w:uiPriority w:val="0"/>
    <w:pPr>
      <w:spacing w:line="360" w:lineRule="auto"/>
    </w:pPr>
    <w:rPr>
      <w:szCs w:val="20"/>
    </w:rPr>
  </w:style>
  <w:style w:type="paragraph" w:customStyle="1" w:styleId="390">
    <w:name w:val="文档正文"/>
    <w:basedOn w:val="1"/>
    <w:qFormat/>
    <w:uiPriority w:val="0"/>
    <w:pPr>
      <w:spacing w:line="480" w:lineRule="atLeast"/>
      <w:ind w:firstLine="567"/>
      <w:textAlignment w:val="baseline"/>
    </w:pPr>
    <w:rPr>
      <w:kern w:val="0"/>
      <w:sz w:val="24"/>
      <w:szCs w:val="20"/>
    </w:rPr>
  </w:style>
  <w:style w:type="paragraph" w:customStyle="1" w:styleId="39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3">
    <w:name w:val="Char1 Char Char Char3"/>
    <w:basedOn w:val="1"/>
    <w:qFormat/>
    <w:uiPriority w:val="0"/>
    <w:pPr>
      <w:adjustRightInd/>
      <w:ind w:firstLine="200" w:firstLineChars="200"/>
    </w:pPr>
    <w:rPr>
      <w:rFonts w:ascii="Tahoma" w:hAnsi="Tahoma"/>
      <w:sz w:val="24"/>
      <w:szCs w:val="20"/>
    </w:rPr>
  </w:style>
  <w:style w:type="paragraph" w:customStyle="1" w:styleId="3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6">
    <w:name w:val="Char2 Char Char Char"/>
    <w:basedOn w:val="1"/>
    <w:qFormat/>
    <w:uiPriority w:val="0"/>
    <w:rPr>
      <w:rFonts w:ascii="仿宋_GB2312" w:eastAsia="仿宋_GB2312"/>
      <w:b/>
      <w:sz w:val="32"/>
      <w:szCs w:val="32"/>
    </w:rPr>
  </w:style>
  <w:style w:type="paragraph" w:customStyle="1" w:styleId="3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8">
    <w:name w:val="MM Topic 5"/>
    <w:basedOn w:val="7"/>
    <w:qFormat/>
    <w:uiPriority w:val="0"/>
    <w:pPr>
      <w:numPr>
        <w:ilvl w:val="0"/>
        <w:numId w:val="0"/>
      </w:numPr>
      <w:tabs>
        <w:tab w:val="left" w:pos="840"/>
        <w:tab w:val="left" w:pos="2520"/>
      </w:tabs>
      <w:adjustRightInd/>
      <w:ind w:left="840" w:hanging="420"/>
    </w:pPr>
  </w:style>
  <w:style w:type="paragraph" w:customStyle="1" w:styleId="39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2">
    <w:name w:val="Char1 Char Char Char2"/>
    <w:basedOn w:val="1"/>
    <w:qFormat/>
    <w:uiPriority w:val="0"/>
    <w:pPr>
      <w:adjustRightInd/>
      <w:ind w:firstLine="200" w:firstLineChars="200"/>
    </w:pPr>
    <w:rPr>
      <w:rFonts w:ascii="Tahoma" w:hAnsi="Tahoma"/>
      <w:sz w:val="24"/>
      <w:szCs w:val="20"/>
    </w:rPr>
  </w:style>
  <w:style w:type="paragraph" w:customStyle="1" w:styleId="4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4">
    <w:name w:val="Char1 Char Char Char"/>
    <w:basedOn w:val="1"/>
    <w:qFormat/>
    <w:uiPriority w:val="0"/>
    <w:rPr>
      <w:rFonts w:ascii="Tahoma" w:hAnsi="Tahoma"/>
      <w:sz w:val="24"/>
      <w:szCs w:val="20"/>
    </w:rPr>
  </w:style>
  <w:style w:type="paragraph" w:customStyle="1" w:styleId="40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7">
    <w:name w:val="Char Char Char Char Char Char Char1"/>
    <w:basedOn w:val="1"/>
    <w:qFormat/>
    <w:uiPriority w:val="0"/>
    <w:rPr>
      <w:rFonts w:ascii="仿宋_GB2312" w:eastAsia="仿宋_GB2312"/>
      <w:b/>
      <w:sz w:val="32"/>
      <w:szCs w:val="32"/>
    </w:rPr>
  </w:style>
  <w:style w:type="paragraph" w:customStyle="1" w:styleId="408">
    <w:name w:val="Char2 Char Char Char1"/>
    <w:basedOn w:val="1"/>
    <w:qFormat/>
    <w:uiPriority w:val="0"/>
    <w:rPr>
      <w:rFonts w:ascii="仿宋_GB2312" w:eastAsia="仿宋_GB2312"/>
      <w:b/>
      <w:sz w:val="32"/>
      <w:szCs w:val="32"/>
    </w:rPr>
  </w:style>
  <w:style w:type="paragraph" w:customStyle="1" w:styleId="4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0">
    <w:name w:val="0"/>
    <w:basedOn w:val="1"/>
    <w:qFormat/>
    <w:uiPriority w:val="0"/>
    <w:pPr>
      <w:widowControl/>
    </w:pPr>
    <w:rPr>
      <w:kern w:val="0"/>
      <w:sz w:val="24"/>
      <w:szCs w:val="20"/>
    </w:rPr>
  </w:style>
  <w:style w:type="paragraph" w:customStyle="1" w:styleId="41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默认段落字体 Para Char Char Char1 Char"/>
    <w:basedOn w:val="1"/>
    <w:qFormat/>
    <w:uiPriority w:val="0"/>
    <w:pPr>
      <w:spacing w:line="240" w:lineRule="atLeast"/>
      <w:ind w:left="420" w:firstLine="420"/>
    </w:pPr>
    <w:rPr>
      <w:sz w:val="24"/>
    </w:rPr>
  </w:style>
  <w:style w:type="paragraph" w:customStyle="1" w:styleId="415">
    <w:name w:val="样式 正文文本缩进 + 段前: 2 字符"/>
    <w:basedOn w:val="1"/>
    <w:qFormat/>
    <w:uiPriority w:val="0"/>
    <w:pPr>
      <w:adjustRightInd/>
      <w:ind w:left="420" w:leftChars="200"/>
      <w:jc w:val="left"/>
    </w:pPr>
    <w:rPr>
      <w:sz w:val="28"/>
      <w:szCs w:val="20"/>
      <w:lang w:eastAsia="zh-TW"/>
    </w:rPr>
  </w:style>
  <w:style w:type="paragraph" w:customStyle="1" w:styleId="416">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7">
    <w:name w:val="表格"/>
    <w:basedOn w:val="1"/>
    <w:qFormat/>
    <w:uiPriority w:val="0"/>
    <w:pPr>
      <w:snapToGrid w:val="0"/>
      <w:ind w:firstLine="42" w:firstLineChars="21"/>
    </w:pPr>
    <w:rPr>
      <w:rFonts w:ascii="宋体" w:hAnsi="宋体"/>
      <w:kern w:val="0"/>
      <w:sz w:val="20"/>
      <w:szCs w:val="20"/>
    </w:rPr>
  </w:style>
  <w:style w:type="paragraph" w:customStyle="1" w:styleId="41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9">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0">
    <w:name w:val="数字标题6"/>
    <w:basedOn w:val="8"/>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2">
    <w:name w:val="P1"/>
    <w:basedOn w:val="1"/>
    <w:qFormat/>
    <w:uiPriority w:val="0"/>
    <w:pPr>
      <w:adjustRightInd/>
      <w:spacing w:line="288" w:lineRule="auto"/>
      <w:ind w:firstLine="425" w:firstLineChars="200"/>
    </w:pPr>
  </w:style>
  <w:style w:type="paragraph" w:customStyle="1" w:styleId="4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5">
    <w:name w:val="正文文字 2"/>
    <w:basedOn w:val="426"/>
    <w:next w:val="426"/>
    <w:qFormat/>
    <w:uiPriority w:val="0"/>
    <w:rPr>
      <w:rFonts w:ascii="宋体" w:eastAsia="宋体" w:cs="Times New Roman"/>
      <w:color w:val="auto"/>
    </w:rPr>
  </w:style>
  <w:style w:type="paragraph" w:customStyle="1" w:styleId="42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8">
    <w:name w:val="Char Char4 Char Char"/>
    <w:basedOn w:val="1"/>
    <w:qFormat/>
    <w:uiPriority w:val="0"/>
    <w:pPr>
      <w:widowControl/>
      <w:adjustRightInd/>
      <w:spacing w:after="160" w:line="240" w:lineRule="exact"/>
      <w:jc w:val="left"/>
    </w:pPr>
  </w:style>
  <w:style w:type="paragraph" w:customStyle="1" w:styleId="42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0">
    <w:name w:val="_Style 12"/>
    <w:basedOn w:val="18"/>
    <w:qFormat/>
    <w:uiPriority w:val="0"/>
    <w:pPr>
      <w:snapToGrid w:val="0"/>
      <w:spacing w:line="360" w:lineRule="auto"/>
    </w:pPr>
  </w:style>
  <w:style w:type="paragraph" w:customStyle="1" w:styleId="43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2">
    <w:name w:val="Char Char1 Char1"/>
    <w:basedOn w:val="1"/>
    <w:qFormat/>
    <w:uiPriority w:val="0"/>
    <w:rPr>
      <w:rFonts w:ascii="仿宋_GB2312" w:eastAsia="仿宋_GB2312"/>
      <w:b/>
      <w:sz w:val="32"/>
      <w:szCs w:val="32"/>
    </w:rPr>
  </w:style>
  <w:style w:type="paragraph" w:customStyle="1" w:styleId="433">
    <w:name w:val="Char2 Char Char"/>
    <w:basedOn w:val="1"/>
    <w:qFormat/>
    <w:uiPriority w:val="0"/>
    <w:pPr>
      <w:adjustRightInd/>
    </w:pPr>
    <w:rPr>
      <w:rFonts w:ascii="Tahoma" w:hAnsi="Tahoma"/>
      <w:sz w:val="24"/>
      <w:szCs w:val="20"/>
    </w:rPr>
  </w:style>
  <w:style w:type="paragraph" w:customStyle="1" w:styleId="43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5">
    <w:name w:val="MM Empty"/>
    <w:basedOn w:val="1"/>
    <w:qFormat/>
    <w:uiPriority w:val="0"/>
    <w:pPr>
      <w:adjustRightInd/>
    </w:pPr>
  </w:style>
  <w:style w:type="paragraph" w:customStyle="1" w:styleId="436">
    <w:name w:val="正文表标题"/>
    <w:next w:val="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0">
    <w:name w:val="Char2 Char Char1"/>
    <w:basedOn w:val="1"/>
    <w:qFormat/>
    <w:uiPriority w:val="0"/>
    <w:pPr>
      <w:adjustRightInd/>
    </w:pPr>
    <w:rPr>
      <w:rFonts w:ascii="Tahoma" w:hAnsi="Tahoma"/>
      <w:sz w:val="24"/>
      <w:szCs w:val="20"/>
    </w:rPr>
  </w:style>
  <w:style w:type="paragraph" w:customStyle="1" w:styleId="441">
    <w:name w:val="数字标题3"/>
    <w:basedOn w:val="5"/>
    <w:next w:val="1"/>
    <w:qFormat/>
    <w:uiPriority w:val="0"/>
    <w:pPr>
      <w:numPr>
        <w:ilvl w:val="0"/>
        <w:numId w:val="0"/>
      </w:numPr>
      <w:spacing w:line="240" w:lineRule="auto"/>
    </w:pPr>
    <w:rPr>
      <w:sz w:val="28"/>
      <w:szCs w:val="28"/>
    </w:rPr>
  </w:style>
  <w:style w:type="paragraph" w:customStyle="1" w:styleId="442">
    <w:name w:val="彩色列表 - 强调文字颜色 12"/>
    <w:basedOn w:val="1"/>
    <w:qFormat/>
    <w:uiPriority w:val="0"/>
    <w:pPr>
      <w:adjustRightInd/>
      <w:ind w:firstLine="420" w:firstLineChars="200"/>
    </w:pPr>
    <w:rPr>
      <w:rFonts w:ascii="Calibri" w:hAnsi="Calibri"/>
      <w:szCs w:val="22"/>
    </w:rPr>
  </w:style>
  <w:style w:type="paragraph" w:customStyle="1" w:styleId="443">
    <w:name w:val="正文－恩普"/>
    <w:qFormat/>
    <w:uiPriority w:val="0"/>
    <w:pPr>
      <w:adjustRightInd/>
      <w:snapToGrid/>
      <w:spacing w:before="100" w:beforeAutospacing="1"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44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5">
    <w:name w:val="正文（标题三）"/>
    <w:basedOn w:val="1"/>
    <w:qFormat/>
    <w:uiPriority w:val="0"/>
    <w:pPr>
      <w:spacing w:line="360" w:lineRule="auto"/>
      <w:ind w:firstLine="200" w:firstLineChars="200"/>
    </w:pPr>
    <w:rPr>
      <w:sz w:val="24"/>
    </w:rPr>
  </w:style>
  <w:style w:type="paragraph" w:customStyle="1" w:styleId="446">
    <w:name w:val="Char Char Char1 Char"/>
    <w:basedOn w:val="1"/>
    <w:qFormat/>
    <w:uiPriority w:val="0"/>
    <w:rPr>
      <w:szCs w:val="20"/>
    </w:rPr>
  </w:style>
  <w:style w:type="paragraph" w:customStyle="1" w:styleId="4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9">
    <w:name w:val="标题五"/>
    <w:basedOn w:val="1"/>
    <w:qFormat/>
    <w:uiPriority w:val="0"/>
    <w:pPr>
      <w:adjustRightInd/>
      <w:spacing w:beforeLines="50" w:line="360" w:lineRule="auto"/>
    </w:pPr>
    <w:rPr>
      <w:b/>
      <w:sz w:val="24"/>
    </w:rPr>
  </w:style>
  <w:style w:type="paragraph" w:customStyle="1" w:styleId="450">
    <w:name w:val="Char Char Char Char Char Char Char Char Char Char Char Char1 Char1"/>
    <w:basedOn w:val="1"/>
    <w:qFormat/>
    <w:uiPriority w:val="0"/>
    <w:rPr>
      <w:rFonts w:ascii="Tahoma" w:hAnsi="Tahoma" w:cs="仿宋_GB2312"/>
      <w:sz w:val="24"/>
      <w:szCs w:val="20"/>
    </w:rPr>
  </w:style>
  <w:style w:type="paragraph" w:customStyle="1" w:styleId="451">
    <w:name w:val="Bulleted List"/>
    <w:basedOn w:val="1"/>
    <w:qFormat/>
    <w:uiPriority w:val="0"/>
    <w:pPr>
      <w:tabs>
        <w:tab w:val="left" w:pos="1260"/>
      </w:tabs>
      <w:adjustRightInd/>
      <w:ind w:left="1260" w:hanging="420"/>
    </w:pPr>
  </w:style>
  <w:style w:type="paragraph" w:customStyle="1" w:styleId="452">
    <w:name w:val="Char Char1 Char Char Char"/>
    <w:basedOn w:val="1"/>
    <w:qFormat/>
    <w:uiPriority w:val="0"/>
    <w:rPr>
      <w:rFonts w:ascii="仿宋_GB2312" w:eastAsia="仿宋_GB2312"/>
      <w:b/>
      <w:sz w:val="32"/>
      <w:szCs w:val="20"/>
    </w:rPr>
  </w:style>
  <w:style w:type="paragraph" w:customStyle="1" w:styleId="4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4">
    <w:name w:val="数字标题2"/>
    <w:basedOn w:val="4"/>
    <w:next w:val="1"/>
    <w:qFormat/>
    <w:uiPriority w:val="0"/>
    <w:pPr>
      <w:numPr>
        <w:ilvl w:val="1"/>
        <w:numId w:val="5"/>
      </w:numPr>
    </w:pPr>
    <w:rPr>
      <w:rFonts w:ascii="Times New Roman" w:eastAsia="宋体"/>
      <w:i/>
      <w:sz w:val="36"/>
      <w:szCs w:val="36"/>
      <w:lang w:val="en-US"/>
    </w:rPr>
  </w:style>
  <w:style w:type="paragraph" w:customStyle="1" w:styleId="455">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6">
    <w:name w:val="Char21"/>
    <w:basedOn w:val="1"/>
    <w:qFormat/>
    <w:uiPriority w:val="0"/>
    <w:pPr>
      <w:adjustRightInd/>
      <w:ind w:firstLine="200" w:firstLineChars="200"/>
    </w:pPr>
    <w:rPr>
      <w:rFonts w:ascii="仿宋_GB2312" w:eastAsia="仿宋_GB2312"/>
      <w:b/>
      <w:sz w:val="32"/>
      <w:szCs w:val="32"/>
    </w:rPr>
  </w:style>
  <w:style w:type="paragraph" w:customStyle="1" w:styleId="45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3">
    <w:name w:val="标书表格字体格式"/>
    <w:next w:val="313"/>
    <w:qFormat/>
    <w:uiPriority w:val="0"/>
    <w:rPr>
      <w:rFonts w:ascii="Times New Roman" w:hAnsi="Times New Roman" w:eastAsia="宋体" w:cs="Times New Roman"/>
      <w:kern w:val="2"/>
      <w:sz w:val="21"/>
      <w:szCs w:val="24"/>
      <w:lang w:val="en-US" w:eastAsia="zh-CN" w:bidi="ar-SA"/>
    </w:rPr>
  </w:style>
  <w:style w:type="paragraph" w:customStyle="1" w:styleId="4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6">
    <w:name w:val="五级条标题"/>
    <w:basedOn w:val="467"/>
    <w:next w:val="25"/>
    <w:qFormat/>
    <w:uiPriority w:val="0"/>
    <w:pPr>
      <w:numPr>
        <w:ilvl w:val="6"/>
        <w:numId w:val="0"/>
      </w:numPr>
      <w:tabs>
        <w:tab w:val="left" w:pos="1260"/>
        <w:tab w:val="left" w:pos="1680"/>
        <w:tab w:val="left" w:pos="2100"/>
        <w:tab w:val="left" w:pos="2520"/>
        <w:tab w:val="left" w:pos="2940"/>
      </w:tabs>
      <w:outlineLvl w:val="6"/>
    </w:pPr>
  </w:style>
  <w:style w:type="paragraph" w:customStyle="1" w:styleId="467">
    <w:name w:val="四级条标题"/>
    <w:basedOn w:val="468"/>
    <w:next w:val="25"/>
    <w:qFormat/>
    <w:uiPriority w:val="0"/>
    <w:pPr>
      <w:numPr>
        <w:ilvl w:val="5"/>
        <w:numId w:val="4"/>
      </w:numPr>
      <w:tabs>
        <w:tab w:val="left" w:pos="1260"/>
        <w:tab w:val="left" w:pos="1680"/>
        <w:tab w:val="left" w:pos="2100"/>
        <w:tab w:val="left" w:pos="2520"/>
      </w:tabs>
      <w:outlineLvl w:val="5"/>
    </w:pPr>
  </w:style>
  <w:style w:type="paragraph" w:customStyle="1" w:styleId="468">
    <w:name w:val="三级条标题"/>
    <w:basedOn w:val="469"/>
    <w:next w:val="25"/>
    <w:qFormat/>
    <w:uiPriority w:val="0"/>
    <w:pPr>
      <w:tabs>
        <w:tab w:val="left" w:pos="1260"/>
        <w:tab w:val="left" w:pos="1680"/>
        <w:tab w:val="left" w:pos="2100"/>
        <w:tab w:val="left" w:pos="2520"/>
      </w:tabs>
      <w:ind w:left="2520"/>
      <w:outlineLvl w:val="4"/>
    </w:pPr>
  </w:style>
  <w:style w:type="paragraph" w:customStyle="1" w:styleId="469">
    <w:name w:val="二级条标题"/>
    <w:basedOn w:val="23"/>
    <w:next w:val="25"/>
    <w:qFormat/>
    <w:uiPriority w:val="0"/>
    <w:pPr>
      <w:tabs>
        <w:tab w:val="left" w:pos="2100"/>
      </w:tabs>
      <w:ind w:left="0"/>
      <w:outlineLvl w:val="3"/>
    </w:pPr>
  </w:style>
  <w:style w:type="paragraph" w:customStyle="1" w:styleId="470">
    <w:name w:val="数字标题4"/>
    <w:basedOn w:val="6"/>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3"/>
    <w:next w:val="1"/>
    <w:qFormat/>
    <w:uiPriority w:val="0"/>
    <w:pPr>
      <w:numPr>
        <w:ilvl w:val="0"/>
        <w:numId w:val="5"/>
      </w:numPr>
      <w:tabs>
        <w:tab w:val="left" w:pos="432"/>
      </w:tabs>
    </w:pPr>
  </w:style>
  <w:style w:type="paragraph" w:customStyle="1" w:styleId="476">
    <w:name w:val="正文 项目2"/>
    <w:basedOn w:val="378"/>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qFormat/>
    <w:uiPriority w:val="0"/>
    <w:pPr>
      <w:spacing w:line="360" w:lineRule="auto"/>
    </w:pPr>
    <w:rPr>
      <w:szCs w:val="20"/>
    </w:rPr>
  </w:style>
  <w:style w:type="paragraph" w:customStyle="1" w:styleId="4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qFormat/>
    <w:uiPriority w:val="0"/>
    <w:pPr>
      <w:tabs>
        <w:tab w:val="left" w:pos="360"/>
      </w:tabs>
    </w:pPr>
    <w:rPr>
      <w:sz w:val="24"/>
      <w:szCs w:val="20"/>
    </w:rPr>
  </w:style>
  <w:style w:type="paragraph" w:customStyle="1" w:styleId="496">
    <w:name w:val="表格（小）"/>
    <w:basedOn w:val="1"/>
    <w:qFormat/>
    <w:uiPriority w:val="0"/>
    <w:pPr>
      <w:adjustRightInd/>
      <w:snapToGrid w:val="0"/>
      <w:spacing w:line="300" w:lineRule="auto"/>
    </w:pPr>
    <w:rPr>
      <w:rFonts w:eastAsia="仿宋"/>
      <w:szCs w:val="21"/>
    </w:rPr>
  </w:style>
  <w:style w:type="paragraph" w:customStyle="1" w:styleId="4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3">
    <w:name w:val="Table Text"/>
    <w:basedOn w:val="1"/>
    <w:qFormat/>
    <w:uiPriority w:val="0"/>
    <w:pPr>
      <w:widowControl/>
      <w:spacing w:before="60" w:after="60"/>
      <w:jc w:val="left"/>
    </w:pPr>
    <w:rPr>
      <w:kern w:val="0"/>
      <w:sz w:val="24"/>
    </w:rPr>
  </w:style>
  <w:style w:type="paragraph" w:customStyle="1" w:styleId="504">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qFormat/>
    <w:uiPriority w:val="0"/>
    <w:rPr>
      <w:rFonts w:ascii="仿宋_GB2312" w:eastAsia="仿宋_GB2312"/>
      <w:b/>
      <w:sz w:val="32"/>
      <w:szCs w:val="3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3"/>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565">
    <w:name w:val="样式7"/>
    <w:basedOn w:val="374"/>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6"/>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6"/>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qFormat/>
    <w:uiPriority w:val="0"/>
    <w:pPr>
      <w:widowControl w:val="0"/>
      <w:adjustRightInd/>
      <w:snapToGrid/>
      <w:spacing w:line="360" w:lineRule="auto"/>
      <w:ind w:firstLine="200" w:firstLineChars="200"/>
    </w:pPr>
    <w:rPr>
      <w:rFonts w:ascii="Times New Roman" w:hAnsi="Times New Roman" w:eastAsia="宋体"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426"/>
    <w:next w:val="426"/>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7"/>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40"/>
    <w:qFormat/>
    <w:uiPriority w:val="99"/>
    <w:rPr>
      <w:kern w:val="2"/>
      <w:sz w:val="18"/>
      <w:szCs w:val="18"/>
    </w:rPr>
  </w:style>
  <w:style w:type="character" w:customStyle="1" w:styleId="633">
    <w:name w:val="页眉 Char2"/>
    <w:link w:val="41"/>
    <w:qFormat/>
    <w:uiPriority w:val="99"/>
    <w:rPr>
      <w:kern w:val="2"/>
      <w:sz w:val="18"/>
      <w:szCs w:val="18"/>
    </w:rPr>
  </w:style>
  <w:style w:type="paragraph" w:customStyle="1" w:styleId="634">
    <w:name w:val="封面编号"/>
    <w:basedOn w:val="1"/>
    <w:qFormat/>
    <w:uiPriority w:val="0"/>
    <w:pPr>
      <w:spacing w:line="360" w:lineRule="auto"/>
      <w:jc w:val="center"/>
    </w:pPr>
    <w:rPr>
      <w:rFonts w:ascii="黑体" w:hAnsi="宋体" w:eastAsia="黑体" w:cs="宋体"/>
      <w:b/>
      <w:bCs/>
      <w:sz w:val="38"/>
      <w:szCs w:val="20"/>
    </w:rPr>
  </w:style>
  <w:style w:type="paragraph" w:customStyle="1" w:styleId="6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B"/>
    <w:basedOn w:val="638"/>
    <w:qFormat/>
    <w:uiPriority w:val="0"/>
    <w:pPr>
      <w:tabs>
        <w:tab w:val="center" w:pos="4706"/>
        <w:tab w:val="right" w:pos="9044"/>
      </w:tabs>
      <w:wordWrap/>
      <w:spacing w:line="312" w:lineRule="exact"/>
    </w:pPr>
    <w:rPr>
      <w:rFonts w:ascii="E-F1"/>
      <w:szCs w:val="21"/>
    </w:rPr>
  </w:style>
  <w:style w:type="paragraph" w:customStyle="1" w:styleId="638">
    <w:name w:val="表头"/>
    <w:basedOn w:val="1"/>
    <w:qFormat/>
    <w:uiPriority w:val="0"/>
    <w:pPr>
      <w:wordWrap w:val="0"/>
      <w:topLinePunct/>
      <w:jc w:val="center"/>
    </w:pPr>
    <w:rPr>
      <w:rFonts w:eastAsia="黑体"/>
    </w:rPr>
  </w:style>
  <w:style w:type="paragraph" w:customStyle="1" w:styleId="639">
    <w:name w:val="表文"/>
    <w:basedOn w:val="1"/>
    <w:qFormat/>
    <w:uiPriority w:val="0"/>
    <w:pPr>
      <w:topLinePunct/>
    </w:pPr>
    <w:rPr>
      <w:rFonts w:ascii="仿宋_GB2312" w:hAnsi="仿宋_GB2312" w:eastAsia="仿宋_GB2312"/>
      <w:sz w:val="18"/>
    </w:rPr>
  </w:style>
  <w:style w:type="paragraph" w:customStyle="1" w:styleId="640">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1">
    <w:name w:val="Table Normal"/>
    <w:qFormat/>
    <w:uiPriority w:val="0"/>
    <w:tblPr>
      <w:tblCellMar>
        <w:top w:w="0" w:type="dxa"/>
        <w:left w:w="0" w:type="dxa"/>
        <w:bottom w:w="0" w:type="dxa"/>
        <w:right w:w="0" w:type="dxa"/>
      </w:tblCellMar>
    </w:tblPr>
  </w:style>
  <w:style w:type="character" w:customStyle="1" w:styleId="642">
    <w:name w:val="font01"/>
    <w:basedOn w:val="65"/>
    <w:qFormat/>
    <w:uiPriority w:val="0"/>
    <w:rPr>
      <w:rFonts w:hint="eastAsia" w:ascii="宋体" w:hAnsi="宋体" w:eastAsia="宋体" w:cs="宋体"/>
      <w:color w:val="000000"/>
      <w:sz w:val="22"/>
      <w:szCs w:val="22"/>
      <w:u w:val="none"/>
    </w:rPr>
  </w:style>
  <w:style w:type="character" w:customStyle="1" w:styleId="643">
    <w:name w:val="font31"/>
    <w:basedOn w:val="65"/>
    <w:qFormat/>
    <w:uiPriority w:val="0"/>
    <w:rPr>
      <w:rFonts w:hint="eastAsia" w:ascii="宋体" w:hAnsi="宋体" w:eastAsia="宋体" w:cs="宋体"/>
      <w:color w:val="000000"/>
      <w:sz w:val="40"/>
      <w:szCs w:val="40"/>
      <w:u w:val="none"/>
    </w:rPr>
  </w:style>
  <w:style w:type="character" w:customStyle="1" w:styleId="644">
    <w:name w:val="不明显强调1"/>
    <w:qFormat/>
    <w:uiPriority w:val="19"/>
    <w:rPr>
      <w:i/>
      <w:iCs/>
    </w:rPr>
  </w:style>
  <w:style w:type="character" w:customStyle="1" w:styleId="645">
    <w:name w:val="font11"/>
    <w:basedOn w:val="65"/>
    <w:qFormat/>
    <w:uiPriority w:val="0"/>
    <w:rPr>
      <w:rFonts w:hint="eastAsia" w:ascii="宋体" w:hAnsi="宋体" w:eastAsia="宋体" w:cs="宋体"/>
      <w:color w:val="000000"/>
      <w:sz w:val="20"/>
      <w:szCs w:val="20"/>
      <w:u w:val="none"/>
    </w:rPr>
  </w:style>
  <w:style w:type="character" w:customStyle="1" w:styleId="646">
    <w:name w:val="font51"/>
    <w:basedOn w:val="65"/>
    <w:qFormat/>
    <w:uiPriority w:val="0"/>
    <w:rPr>
      <w:rFonts w:hint="eastAsia" w:ascii="宋体" w:hAnsi="宋体" w:eastAsia="宋体" w:cs="宋体"/>
      <w:color w:val="000000"/>
      <w:sz w:val="20"/>
      <w:szCs w:val="20"/>
      <w:u w:val="none"/>
      <w:vertAlign w:val="superscript"/>
    </w:rPr>
  </w:style>
  <w:style w:type="character" w:customStyle="1" w:styleId="647">
    <w:name w:val="font71"/>
    <w:basedOn w:val="65"/>
    <w:qFormat/>
    <w:uiPriority w:val="0"/>
    <w:rPr>
      <w:rFonts w:hint="eastAsia" w:ascii="宋体" w:hAnsi="宋体" w:eastAsia="宋体" w:cs="宋体"/>
      <w:color w:val="000000"/>
      <w:sz w:val="20"/>
      <w:szCs w:val="20"/>
      <w:u w:val="none"/>
      <w:vertAlign w:val="superscript"/>
    </w:rPr>
  </w:style>
  <w:style w:type="character" w:customStyle="1" w:styleId="648">
    <w:name w:val="font101"/>
    <w:basedOn w:val="65"/>
    <w:qFormat/>
    <w:uiPriority w:val="0"/>
    <w:rPr>
      <w:rFonts w:hint="eastAsia" w:ascii="宋体" w:hAnsi="宋体" w:eastAsia="宋体" w:cs="宋体"/>
      <w:color w:val="000000"/>
      <w:sz w:val="20"/>
      <w:szCs w:val="20"/>
      <w:u w:val="none"/>
      <w:vertAlign w:val="superscript"/>
    </w:rPr>
  </w:style>
  <w:style w:type="character" w:customStyle="1" w:styleId="649">
    <w:name w:val="font41"/>
    <w:basedOn w:val="65"/>
    <w:qFormat/>
    <w:uiPriority w:val="0"/>
    <w:rPr>
      <w:rFonts w:hint="eastAsia" w:ascii="宋体" w:hAnsi="宋体" w:eastAsia="宋体" w:cs="宋体"/>
      <w:color w:val="000000"/>
      <w:sz w:val="24"/>
      <w:szCs w:val="24"/>
      <w:u w:val="none"/>
    </w:rPr>
  </w:style>
  <w:style w:type="character" w:customStyle="1" w:styleId="650">
    <w:name w:val="font81"/>
    <w:basedOn w:val="65"/>
    <w:qFormat/>
    <w:uiPriority w:val="0"/>
    <w:rPr>
      <w:rFonts w:hint="eastAsia" w:ascii="宋体" w:hAnsi="宋体" w:eastAsia="宋体" w:cs="宋体"/>
      <w:color w:val="FF0000"/>
      <w:sz w:val="24"/>
      <w:szCs w:val="24"/>
      <w:u w:val="none"/>
    </w:rPr>
  </w:style>
  <w:style w:type="character" w:customStyle="1" w:styleId="651">
    <w:name w:val="font91"/>
    <w:basedOn w:val="65"/>
    <w:qFormat/>
    <w:uiPriority w:val="0"/>
    <w:rPr>
      <w:rFonts w:hint="eastAsia" w:ascii="宋体" w:hAnsi="宋体" w:eastAsia="宋体" w:cs="宋体"/>
      <w:color w:val="000000"/>
      <w:sz w:val="24"/>
      <w:szCs w:val="24"/>
      <w:u w:val="none"/>
      <w:vertAlign w:val="superscript"/>
    </w:rPr>
  </w:style>
  <w:style w:type="character" w:customStyle="1" w:styleId="652">
    <w:name w:val="font61"/>
    <w:basedOn w:val="65"/>
    <w:qFormat/>
    <w:uiPriority w:val="0"/>
    <w:rPr>
      <w:rFonts w:hint="eastAsia" w:ascii="宋体" w:hAnsi="宋体" w:eastAsia="宋体" w:cs="宋体"/>
      <w:color w:val="000000"/>
      <w:sz w:val="24"/>
      <w:szCs w:val="24"/>
      <w:u w:val="none"/>
    </w:rPr>
  </w:style>
  <w:style w:type="paragraph" w:customStyle="1" w:styleId="653">
    <w:name w:val="Normal Indent"/>
    <w:basedOn w:val="1"/>
    <w:qFormat/>
    <w:uiPriority w:val="0"/>
    <w:pPr>
      <w:widowControl/>
      <w:ind w:firstLine="420"/>
      <w:jc w:val="left"/>
    </w:pPr>
    <w:rPr>
      <w:rFonts w:ascii="Times New Roman" w:hAnsi="Times New Roman"/>
      <w:kern w:val="0"/>
      <w:szCs w:val="20"/>
    </w:rPr>
  </w:style>
  <w:style w:type="character" w:customStyle="1" w:styleId="654">
    <w:name w:val="10"/>
    <w:basedOn w:val="65"/>
    <w:qFormat/>
    <w:uiPriority w:val="0"/>
    <w:rPr>
      <w:rFonts w:hint="default" w:ascii="Times New Roman" w:hAnsi="Times New Roman" w:cs="Times New Roman"/>
    </w:rPr>
  </w:style>
  <w:style w:type="character" w:customStyle="1" w:styleId="655">
    <w:name w:val="15"/>
    <w:basedOn w:val="65"/>
    <w:qFormat/>
    <w:uiPriority w:val="0"/>
    <w:rPr>
      <w:rFonts w:hint="default" w:ascii="Arial" w:hAnsi="Arial" w:eastAsia="黑体" w:cs="Arial"/>
    </w:rPr>
  </w:style>
</w:styles>
</file>

<file path=word/_rels/document.xml.rels><?xml version="1.0" encoding="UTF-8" standalone="yes"?>
<Relationships xmlns="http://schemas.openxmlformats.org/package/2006/relationships"><Relationship Id="rId99" Type="http://schemas.openxmlformats.org/officeDocument/2006/relationships/image" Target="media/image78.jpeg"/><Relationship Id="rId98" Type="http://schemas.openxmlformats.org/officeDocument/2006/relationships/image" Target="media/image77.jpeg"/><Relationship Id="rId97" Type="http://schemas.openxmlformats.org/officeDocument/2006/relationships/image" Target="media/image76.jpeg"/><Relationship Id="rId96" Type="http://schemas.openxmlformats.org/officeDocument/2006/relationships/image" Target="media/image75.png"/><Relationship Id="rId95" Type="http://schemas.openxmlformats.org/officeDocument/2006/relationships/image" Target="media/image74.png"/><Relationship Id="rId94" Type="http://schemas.openxmlformats.org/officeDocument/2006/relationships/image" Target="media/image73.jpeg"/><Relationship Id="rId93" Type="http://schemas.openxmlformats.org/officeDocument/2006/relationships/image" Target="media/image72.png"/><Relationship Id="rId92" Type="http://schemas.openxmlformats.org/officeDocument/2006/relationships/image" Target="media/image71.jpeg"/><Relationship Id="rId91" Type="http://schemas.openxmlformats.org/officeDocument/2006/relationships/image" Target="media/image70.png"/><Relationship Id="rId90" Type="http://schemas.openxmlformats.org/officeDocument/2006/relationships/image" Target="media/image69.png"/><Relationship Id="rId9" Type="http://schemas.openxmlformats.org/officeDocument/2006/relationships/header" Target="header4.xml"/><Relationship Id="rId89" Type="http://schemas.openxmlformats.org/officeDocument/2006/relationships/image" Target="media/image68.jpeg"/><Relationship Id="rId88" Type="http://schemas.openxmlformats.org/officeDocument/2006/relationships/image" Target="media/image67.jpeg"/><Relationship Id="rId87" Type="http://schemas.openxmlformats.org/officeDocument/2006/relationships/image" Target="media/image66.png"/><Relationship Id="rId86" Type="http://schemas.openxmlformats.org/officeDocument/2006/relationships/image" Target="media/image65.png"/><Relationship Id="rId85" Type="http://schemas.openxmlformats.org/officeDocument/2006/relationships/image" Target="media/image64.png"/><Relationship Id="rId84" Type="http://schemas.openxmlformats.org/officeDocument/2006/relationships/image" Target="media/image63.jpeg"/><Relationship Id="rId83" Type="http://schemas.openxmlformats.org/officeDocument/2006/relationships/image" Target="media/image62.jpeg"/><Relationship Id="rId82" Type="http://schemas.openxmlformats.org/officeDocument/2006/relationships/image" Target="media/image61.jpeg"/><Relationship Id="rId81" Type="http://schemas.openxmlformats.org/officeDocument/2006/relationships/image" Target="media/image60.jpeg"/><Relationship Id="rId80" Type="http://schemas.openxmlformats.org/officeDocument/2006/relationships/image" Target="media/image59.jpeg"/><Relationship Id="rId8" Type="http://schemas.openxmlformats.org/officeDocument/2006/relationships/header" Target="header3.xml"/><Relationship Id="rId79" Type="http://schemas.openxmlformats.org/officeDocument/2006/relationships/image" Target="media/image58.jpeg"/><Relationship Id="rId78" Type="http://schemas.openxmlformats.org/officeDocument/2006/relationships/image" Target="media/image57.jpeg"/><Relationship Id="rId77" Type="http://schemas.openxmlformats.org/officeDocument/2006/relationships/image" Target="media/image56.jpeg"/><Relationship Id="rId76" Type="http://schemas.openxmlformats.org/officeDocument/2006/relationships/image" Target="media/image55.jpeg"/><Relationship Id="rId75" Type="http://schemas.openxmlformats.org/officeDocument/2006/relationships/image" Target="media/image54.jpeg"/><Relationship Id="rId74" Type="http://schemas.openxmlformats.org/officeDocument/2006/relationships/image" Target="media/image53.jpeg"/><Relationship Id="rId73" Type="http://schemas.openxmlformats.org/officeDocument/2006/relationships/image" Target="media/image52.jpeg"/><Relationship Id="rId72" Type="http://schemas.openxmlformats.org/officeDocument/2006/relationships/image" Target="media/image51.jpeg"/><Relationship Id="rId71" Type="http://schemas.openxmlformats.org/officeDocument/2006/relationships/image" Target="media/image50.jpeg"/><Relationship Id="rId70" Type="http://schemas.openxmlformats.org/officeDocument/2006/relationships/image" Target="media/image49.jpeg"/><Relationship Id="rId7" Type="http://schemas.openxmlformats.org/officeDocument/2006/relationships/footer" Target="footer3.xml"/><Relationship Id="rId69" Type="http://schemas.openxmlformats.org/officeDocument/2006/relationships/image" Target="media/image48.jpeg"/><Relationship Id="rId68" Type="http://schemas.openxmlformats.org/officeDocument/2006/relationships/image" Target="media/image47.jpeg"/><Relationship Id="rId67" Type="http://schemas.openxmlformats.org/officeDocument/2006/relationships/image" Target="media/image46.jpeg"/><Relationship Id="rId66" Type="http://schemas.openxmlformats.org/officeDocument/2006/relationships/image" Target="media/image45.jpeg"/><Relationship Id="rId65" Type="http://schemas.openxmlformats.org/officeDocument/2006/relationships/image" Target="media/image44.jpeg"/><Relationship Id="rId64" Type="http://schemas.openxmlformats.org/officeDocument/2006/relationships/image" Target="media/image43.jpeg"/><Relationship Id="rId63" Type="http://schemas.openxmlformats.org/officeDocument/2006/relationships/image" Target="media/image42.jpeg"/><Relationship Id="rId62" Type="http://schemas.openxmlformats.org/officeDocument/2006/relationships/image" Target="media/image41.jpeg"/><Relationship Id="rId61" Type="http://schemas.openxmlformats.org/officeDocument/2006/relationships/image" Target="media/image40.jpeg"/><Relationship Id="rId60" Type="http://schemas.openxmlformats.org/officeDocument/2006/relationships/image" Target="media/image39.jpeg"/><Relationship Id="rId6" Type="http://schemas.openxmlformats.org/officeDocument/2006/relationships/footer" Target="footer2.xml"/><Relationship Id="rId59" Type="http://schemas.openxmlformats.org/officeDocument/2006/relationships/image" Target="media/image38.jpeg"/><Relationship Id="rId58" Type="http://schemas.openxmlformats.org/officeDocument/2006/relationships/image" Target="media/image37.jpeg"/><Relationship Id="rId57" Type="http://schemas.openxmlformats.org/officeDocument/2006/relationships/image" Target="media/image36.jpeg"/><Relationship Id="rId56" Type="http://schemas.openxmlformats.org/officeDocument/2006/relationships/image" Target="media/image35.jpeg"/><Relationship Id="rId55" Type="http://schemas.openxmlformats.org/officeDocument/2006/relationships/image" Target="media/image34.jpeg"/><Relationship Id="rId54" Type="http://schemas.openxmlformats.org/officeDocument/2006/relationships/image" Target="media/image33.jpeg"/><Relationship Id="rId53" Type="http://schemas.openxmlformats.org/officeDocument/2006/relationships/image" Target="media/image32.jpeg"/><Relationship Id="rId52" Type="http://schemas.openxmlformats.org/officeDocument/2006/relationships/image" Target="media/image31.jpeg"/><Relationship Id="rId51" Type="http://schemas.openxmlformats.org/officeDocument/2006/relationships/image" Target="media/image30.jpeg"/><Relationship Id="rId50" Type="http://schemas.openxmlformats.org/officeDocument/2006/relationships/image" Target="media/image29.jpeg"/><Relationship Id="rId5" Type="http://schemas.openxmlformats.org/officeDocument/2006/relationships/footer" Target="footer1.xml"/><Relationship Id="rId49" Type="http://schemas.openxmlformats.org/officeDocument/2006/relationships/image" Target="media/image28.jpeg"/><Relationship Id="rId48" Type="http://schemas.openxmlformats.org/officeDocument/2006/relationships/image" Target="media/image27.jpeg"/><Relationship Id="rId47" Type="http://schemas.openxmlformats.org/officeDocument/2006/relationships/image" Target="media/image26.png"/><Relationship Id="rId46" Type="http://schemas.openxmlformats.org/officeDocument/2006/relationships/image" Target="media/image25.jpeg"/><Relationship Id="rId45" Type="http://schemas.openxmlformats.org/officeDocument/2006/relationships/image" Target="media/image24.jpeg"/><Relationship Id="rId44" Type="http://schemas.openxmlformats.org/officeDocument/2006/relationships/image" Target="media/image23.jpeg"/><Relationship Id="rId43" Type="http://schemas.openxmlformats.org/officeDocument/2006/relationships/image" Target="media/image22.jpe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jpe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jpeg"/><Relationship Id="rId35" Type="http://schemas.openxmlformats.org/officeDocument/2006/relationships/image" Target="media/image14.png"/><Relationship Id="rId34" Type="http://schemas.openxmlformats.org/officeDocument/2006/relationships/image" Target="media/image13.jpeg"/><Relationship Id="rId33" Type="http://schemas.openxmlformats.org/officeDocument/2006/relationships/image" Target="media/image12.jpeg"/><Relationship Id="rId32" Type="http://schemas.openxmlformats.org/officeDocument/2006/relationships/image" Target="media/image11.jpeg"/><Relationship Id="rId31" Type="http://schemas.openxmlformats.org/officeDocument/2006/relationships/image" Target="media/image10.jpeg"/><Relationship Id="rId30" Type="http://schemas.openxmlformats.org/officeDocument/2006/relationships/image" Target="media/image9.jpeg"/><Relationship Id="rId3" Type="http://schemas.openxmlformats.org/officeDocument/2006/relationships/header" Target="header1.xml"/><Relationship Id="rId29" Type="http://schemas.openxmlformats.org/officeDocument/2006/relationships/image" Target="media/image8.jpe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image" Target="media/image89.png"/><Relationship Id="rId11" Type="http://schemas.openxmlformats.org/officeDocument/2006/relationships/footer" Target="footer4.xml"/><Relationship Id="rId109" Type="http://schemas.openxmlformats.org/officeDocument/2006/relationships/image" Target="media/image88.png"/><Relationship Id="rId108" Type="http://schemas.openxmlformats.org/officeDocument/2006/relationships/image" Target="media/image87.png"/><Relationship Id="rId107" Type="http://schemas.openxmlformats.org/officeDocument/2006/relationships/image" Target="media/image86.png"/><Relationship Id="rId106" Type="http://schemas.openxmlformats.org/officeDocument/2006/relationships/image" Target="media/image85.png"/><Relationship Id="rId105" Type="http://schemas.openxmlformats.org/officeDocument/2006/relationships/image" Target="media/image84.png"/><Relationship Id="rId104" Type="http://schemas.openxmlformats.org/officeDocument/2006/relationships/image" Target="media/image83.png"/><Relationship Id="rId103" Type="http://schemas.openxmlformats.org/officeDocument/2006/relationships/image" Target="media/image82.png"/><Relationship Id="rId102" Type="http://schemas.openxmlformats.org/officeDocument/2006/relationships/image" Target="media/image81.jpeg"/><Relationship Id="rId101" Type="http://schemas.openxmlformats.org/officeDocument/2006/relationships/image" Target="media/image80.png"/><Relationship Id="rId100" Type="http://schemas.openxmlformats.org/officeDocument/2006/relationships/image" Target="media/image79.jpeg"/><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79</Pages>
  <Words>46757</Words>
  <Characters>51701</Characters>
  <Lines>1</Lines>
  <Paragraphs>1</Paragraphs>
  <TotalTime>26</TotalTime>
  <ScaleCrop>false</ScaleCrop>
  <LinksUpToDate>false</LinksUpToDate>
  <CharactersWithSpaces>56218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2023-12-08T04:35:00Z</dcterms:created>
  <dc:creator>玥</dc:creator>
  <cp:lastModifiedBy>╲,记忆斑驳的是你的微笑</cp:lastModifiedBy>
  <cp:lastPrinted>2021-04-02T22:48:00Z</cp:lastPrinted>
  <dcterms:modified xsi:type="dcterms:W3CDTF">2025-07-21T06:30:32Z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608C781971574222804F30B5C3299597_13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eyJoZGlkIjoiOWRiYmZkOWFmNWJmMTM4YWUxODg3N2FjMTJmYTg4OGUiLCJ1c2VySWQiOiIyMzEzODY4NzkifQ==</vt:lpwstr>
  </property>
</Properties>
</file>