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E524A">
      <w:pPr>
        <w:jc w:val="center"/>
        <w:rPr>
          <w:rFonts w:hint="eastAsia" w:ascii="宋体" w:hAnsi="宋体" w:eastAsia="宋体" w:cs="宋体"/>
          <w:b/>
          <w:color w:val="auto"/>
          <w:sz w:val="72"/>
          <w:highlight w:val="none"/>
        </w:rPr>
      </w:pPr>
    </w:p>
    <w:p w14:paraId="249A7400">
      <w:pPr>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rPr>
        <w:t>苍 南 县 国 企 采 购</w:t>
      </w:r>
    </w:p>
    <w:p w14:paraId="6615883B">
      <w:pPr>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rPr>
        <w:t>招 标 文 件</w:t>
      </w:r>
    </w:p>
    <w:p w14:paraId="046B0454">
      <w:pPr>
        <w:spacing w:line="440" w:lineRule="exact"/>
        <w:rPr>
          <w:rFonts w:hint="eastAsia" w:ascii="宋体" w:hAnsi="宋体" w:eastAsia="宋体" w:cs="宋体"/>
          <w:b/>
          <w:color w:val="auto"/>
          <w:sz w:val="30"/>
          <w:szCs w:val="30"/>
          <w:highlight w:val="none"/>
        </w:rPr>
      </w:pPr>
    </w:p>
    <w:p w14:paraId="438AABD0">
      <w:pPr>
        <w:pStyle w:val="7"/>
        <w:jc w:val="both"/>
        <w:rPr>
          <w:rFonts w:hint="eastAsia" w:ascii="宋体" w:hAnsi="宋体" w:eastAsia="宋体" w:cs="宋体"/>
          <w:color w:val="auto"/>
          <w:sz w:val="22"/>
          <w:szCs w:val="21"/>
          <w:highlight w:val="none"/>
        </w:rPr>
      </w:pPr>
    </w:p>
    <w:p w14:paraId="2ED949EA">
      <w:pPr>
        <w:keepNext w:val="0"/>
        <w:keepLines w:val="0"/>
        <w:pageBreakBefore w:val="0"/>
        <w:widowControl w:val="0"/>
        <w:kinsoku/>
        <w:wordWrap/>
        <w:overflowPunct/>
        <w:topLinePunct w:val="0"/>
        <w:autoSpaceDE/>
        <w:autoSpaceDN/>
        <w:bidi w:val="0"/>
        <w:adjustRightInd/>
        <w:snapToGrid/>
        <w:spacing w:line="360" w:lineRule="auto"/>
        <w:ind w:left="0" w:leftChars="0" w:firstLine="1437" w:firstLineChars="477"/>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项目名称：</w:t>
      </w:r>
      <w:r>
        <w:rPr>
          <w:rFonts w:hint="eastAsia" w:ascii="宋体" w:hAnsi="宋体" w:cs="宋体"/>
          <w:b/>
          <w:color w:val="auto"/>
          <w:sz w:val="30"/>
          <w:szCs w:val="30"/>
          <w:highlight w:val="none"/>
          <w:lang w:eastAsia="zh-CN"/>
        </w:rPr>
        <w:t>苍南县交通工程养护基地项目热喷燃烧油采购</w:t>
      </w:r>
    </w:p>
    <w:p w14:paraId="3B817B3D">
      <w:pPr>
        <w:keepNext w:val="0"/>
        <w:keepLines w:val="0"/>
        <w:pageBreakBefore w:val="0"/>
        <w:widowControl w:val="0"/>
        <w:kinsoku/>
        <w:wordWrap/>
        <w:overflowPunct/>
        <w:topLinePunct w:val="0"/>
        <w:autoSpaceDE/>
        <w:autoSpaceDN/>
        <w:bidi w:val="0"/>
        <w:adjustRightInd/>
        <w:snapToGrid/>
        <w:spacing w:line="360" w:lineRule="auto"/>
        <w:ind w:left="0" w:leftChars="0" w:firstLine="1437" w:firstLineChars="477"/>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采购方式：公开招标（线上电子招投标）</w:t>
      </w:r>
    </w:p>
    <w:p w14:paraId="11B251CC">
      <w:pPr>
        <w:keepNext w:val="0"/>
        <w:keepLines w:val="0"/>
        <w:pageBreakBefore w:val="0"/>
        <w:widowControl w:val="0"/>
        <w:kinsoku/>
        <w:wordWrap/>
        <w:overflowPunct/>
        <w:topLinePunct w:val="0"/>
        <w:autoSpaceDE/>
        <w:autoSpaceDN/>
        <w:bidi w:val="0"/>
        <w:adjustRightInd/>
        <w:snapToGrid/>
        <w:spacing w:line="360" w:lineRule="auto"/>
        <w:ind w:left="0" w:leftChars="0" w:firstLine="616" w:firstLineChars="279"/>
        <w:textAlignment w:val="auto"/>
        <w:rPr>
          <w:rFonts w:hint="eastAsia" w:ascii="宋体" w:hAnsi="宋体" w:cs="宋体"/>
          <w:b/>
          <w:color w:val="auto"/>
          <w:sz w:val="22"/>
          <w:szCs w:val="22"/>
          <w:highlight w:val="none"/>
          <w:lang w:eastAsia="zh-CN"/>
        </w:rPr>
      </w:pPr>
    </w:p>
    <w:p w14:paraId="40846085">
      <w:pPr>
        <w:pStyle w:val="2"/>
        <w:rPr>
          <w:rFonts w:hint="eastAsia"/>
          <w:color w:val="auto"/>
          <w:lang w:eastAsia="zh-CN"/>
        </w:rPr>
      </w:pPr>
    </w:p>
    <w:p w14:paraId="54EE9D88">
      <w:pPr>
        <w:keepNext w:val="0"/>
        <w:keepLines w:val="0"/>
        <w:pageBreakBefore w:val="0"/>
        <w:widowControl w:val="0"/>
        <w:kinsoku/>
        <w:wordWrap/>
        <w:overflowPunct/>
        <w:topLinePunct w:val="0"/>
        <w:autoSpaceDE/>
        <w:autoSpaceDN/>
        <w:bidi w:val="0"/>
        <w:adjustRightInd/>
        <w:snapToGrid/>
        <w:spacing w:line="360" w:lineRule="auto"/>
        <w:ind w:left="0" w:leftChars="0" w:firstLine="1437" w:firstLineChars="477"/>
        <w:textAlignment w:val="auto"/>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 xml:space="preserve">采 </w:t>
      </w:r>
      <w:r>
        <w:rPr>
          <w:rFonts w:hint="eastAsia" w:ascii="宋体" w:hAnsi="宋体" w:eastAsia="宋体" w:cs="宋体"/>
          <w:b/>
          <w:color w:val="auto"/>
          <w:sz w:val="30"/>
          <w:szCs w:val="30"/>
          <w:highlight w:val="none"/>
        </w:rPr>
        <w:t>购 人：</w:t>
      </w:r>
      <w:r>
        <w:rPr>
          <w:rFonts w:hint="eastAsia" w:ascii="宋体" w:hAnsi="宋体" w:cs="宋体"/>
          <w:b/>
          <w:color w:val="auto"/>
          <w:sz w:val="30"/>
          <w:szCs w:val="30"/>
          <w:highlight w:val="none"/>
          <w:lang w:eastAsia="zh-CN"/>
        </w:rPr>
        <w:t>苍南县交通建设材料科技有限公司</w:t>
      </w:r>
    </w:p>
    <w:p w14:paraId="4F0C36B7">
      <w:pPr>
        <w:keepNext w:val="0"/>
        <w:keepLines w:val="0"/>
        <w:pageBreakBefore w:val="0"/>
        <w:widowControl w:val="0"/>
        <w:kinsoku/>
        <w:wordWrap/>
        <w:overflowPunct/>
        <w:topLinePunct w:val="0"/>
        <w:autoSpaceDE/>
        <w:autoSpaceDN/>
        <w:bidi w:val="0"/>
        <w:adjustRightInd/>
        <w:snapToGrid/>
        <w:spacing w:line="360" w:lineRule="auto"/>
        <w:ind w:left="0" w:leftChars="0" w:firstLine="1437" w:firstLineChars="477"/>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联 系 人：</w:t>
      </w:r>
      <w:r>
        <w:rPr>
          <w:rFonts w:hint="eastAsia" w:ascii="宋体" w:hAnsi="宋体" w:cs="宋体"/>
          <w:b/>
          <w:color w:val="auto"/>
          <w:sz w:val="30"/>
          <w:szCs w:val="30"/>
          <w:highlight w:val="none"/>
          <w:lang w:val="en-US" w:eastAsia="zh-CN"/>
        </w:rPr>
        <w:t>章先生</w:t>
      </w:r>
    </w:p>
    <w:p w14:paraId="64A411EB">
      <w:pPr>
        <w:keepNext w:val="0"/>
        <w:keepLines w:val="0"/>
        <w:pageBreakBefore w:val="0"/>
        <w:widowControl w:val="0"/>
        <w:kinsoku/>
        <w:wordWrap/>
        <w:overflowPunct/>
        <w:topLinePunct w:val="0"/>
        <w:autoSpaceDE/>
        <w:autoSpaceDN/>
        <w:bidi w:val="0"/>
        <w:adjustRightInd/>
        <w:snapToGrid/>
        <w:spacing w:line="360" w:lineRule="auto"/>
        <w:ind w:left="0" w:leftChars="0" w:firstLine="616" w:firstLineChars="279"/>
        <w:textAlignment w:val="auto"/>
        <w:rPr>
          <w:rFonts w:hint="eastAsia" w:ascii="宋体" w:hAnsi="宋体" w:eastAsia="宋体" w:cs="宋体"/>
          <w:b/>
          <w:color w:val="auto"/>
          <w:sz w:val="22"/>
          <w:szCs w:val="22"/>
          <w:highlight w:val="none"/>
        </w:rPr>
      </w:pPr>
    </w:p>
    <w:p w14:paraId="7B10EBC8">
      <w:pPr>
        <w:keepNext w:val="0"/>
        <w:keepLines w:val="0"/>
        <w:pageBreakBefore w:val="0"/>
        <w:widowControl w:val="0"/>
        <w:kinsoku/>
        <w:wordWrap/>
        <w:overflowPunct/>
        <w:topLinePunct w:val="0"/>
        <w:autoSpaceDE/>
        <w:autoSpaceDN/>
        <w:bidi w:val="0"/>
        <w:adjustRightInd/>
        <w:snapToGrid/>
        <w:spacing w:line="360" w:lineRule="auto"/>
        <w:ind w:left="0" w:leftChars="0" w:firstLine="840" w:firstLineChars="279"/>
        <w:textAlignment w:val="auto"/>
        <w:rPr>
          <w:rFonts w:hint="eastAsia" w:ascii="宋体" w:hAnsi="宋体" w:eastAsia="宋体" w:cs="宋体"/>
          <w:b/>
          <w:color w:val="auto"/>
          <w:sz w:val="30"/>
          <w:szCs w:val="30"/>
          <w:highlight w:val="none"/>
        </w:rPr>
      </w:pPr>
    </w:p>
    <w:p w14:paraId="44B7B968">
      <w:pPr>
        <w:keepNext w:val="0"/>
        <w:keepLines w:val="0"/>
        <w:pageBreakBefore w:val="0"/>
        <w:widowControl w:val="0"/>
        <w:kinsoku/>
        <w:wordWrap/>
        <w:overflowPunct/>
        <w:topLinePunct w:val="0"/>
        <w:autoSpaceDE/>
        <w:autoSpaceDN/>
        <w:bidi w:val="0"/>
        <w:adjustRightInd/>
        <w:snapToGrid/>
        <w:spacing w:line="360" w:lineRule="auto"/>
        <w:ind w:left="0" w:leftChars="0" w:firstLine="1437" w:firstLineChars="477"/>
        <w:textAlignment w:val="auto"/>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代理机构：</w:t>
      </w:r>
      <w:r>
        <w:rPr>
          <w:rFonts w:hint="eastAsia" w:ascii="宋体" w:hAnsi="宋体" w:cs="宋体"/>
          <w:b/>
          <w:color w:val="auto"/>
          <w:sz w:val="30"/>
          <w:szCs w:val="30"/>
          <w:highlight w:val="none"/>
          <w:lang w:eastAsia="zh-CN"/>
        </w:rPr>
        <w:t>浙江华域高宇项目管理有限公司</w:t>
      </w:r>
    </w:p>
    <w:p w14:paraId="4B87B402">
      <w:pPr>
        <w:keepNext w:val="0"/>
        <w:keepLines w:val="0"/>
        <w:pageBreakBefore w:val="0"/>
        <w:widowControl w:val="0"/>
        <w:kinsoku/>
        <w:wordWrap/>
        <w:overflowPunct/>
        <w:topLinePunct w:val="0"/>
        <w:autoSpaceDE/>
        <w:autoSpaceDN/>
        <w:bidi w:val="0"/>
        <w:adjustRightInd/>
        <w:snapToGrid/>
        <w:spacing w:line="360" w:lineRule="auto"/>
        <w:ind w:left="0" w:leftChars="0" w:firstLine="1437" w:firstLineChars="477"/>
        <w:textAlignment w:val="auto"/>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联 系 人：</w:t>
      </w:r>
      <w:r>
        <w:rPr>
          <w:rFonts w:hint="eastAsia" w:ascii="宋体" w:hAnsi="宋体" w:cs="宋体"/>
          <w:b/>
          <w:color w:val="auto"/>
          <w:sz w:val="30"/>
          <w:szCs w:val="30"/>
          <w:highlight w:val="none"/>
          <w:lang w:eastAsia="zh-CN"/>
        </w:rPr>
        <w:t>何先生</w:t>
      </w:r>
    </w:p>
    <w:p w14:paraId="5AED2074">
      <w:pPr>
        <w:keepNext w:val="0"/>
        <w:keepLines w:val="0"/>
        <w:pageBreakBefore w:val="0"/>
        <w:widowControl w:val="0"/>
        <w:kinsoku/>
        <w:wordWrap/>
        <w:overflowPunct/>
        <w:topLinePunct w:val="0"/>
        <w:autoSpaceDE/>
        <w:autoSpaceDN/>
        <w:bidi w:val="0"/>
        <w:adjustRightInd/>
        <w:snapToGrid/>
        <w:spacing w:line="360" w:lineRule="auto"/>
        <w:ind w:left="0" w:leftChars="0" w:firstLine="1437" w:firstLineChars="477"/>
        <w:textAlignment w:val="auto"/>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联系电话：</w:t>
      </w:r>
      <w:r>
        <w:rPr>
          <w:rFonts w:hint="eastAsia" w:ascii="宋体" w:hAnsi="宋体" w:cs="宋体"/>
          <w:b/>
          <w:color w:val="auto"/>
          <w:sz w:val="30"/>
          <w:szCs w:val="30"/>
          <w:highlight w:val="none"/>
          <w:lang w:eastAsia="zh-CN"/>
        </w:rPr>
        <w:t>15057385810</w:t>
      </w:r>
    </w:p>
    <w:p w14:paraId="5E9441B2">
      <w:pPr>
        <w:keepNext w:val="0"/>
        <w:keepLines w:val="0"/>
        <w:pageBreakBefore w:val="0"/>
        <w:widowControl w:val="0"/>
        <w:kinsoku/>
        <w:wordWrap/>
        <w:overflowPunct/>
        <w:topLinePunct w:val="0"/>
        <w:autoSpaceDE/>
        <w:autoSpaceDN/>
        <w:bidi w:val="0"/>
        <w:adjustRightInd/>
        <w:snapToGrid/>
        <w:spacing w:line="360" w:lineRule="auto"/>
        <w:ind w:left="0" w:leftChars="0" w:firstLine="616" w:firstLineChars="279"/>
        <w:textAlignment w:val="auto"/>
        <w:rPr>
          <w:rFonts w:hint="eastAsia" w:ascii="宋体" w:hAnsi="宋体" w:eastAsia="宋体" w:cs="宋体"/>
          <w:b/>
          <w:color w:val="auto"/>
          <w:sz w:val="22"/>
          <w:szCs w:val="22"/>
          <w:highlight w:val="none"/>
          <w:lang w:eastAsia="zh-CN"/>
        </w:rPr>
      </w:pPr>
    </w:p>
    <w:p w14:paraId="7C62B34F">
      <w:pPr>
        <w:keepNext w:val="0"/>
        <w:keepLines w:val="0"/>
        <w:pageBreakBefore w:val="0"/>
        <w:widowControl w:val="0"/>
        <w:kinsoku/>
        <w:wordWrap/>
        <w:overflowPunct/>
        <w:topLinePunct w:val="0"/>
        <w:autoSpaceDE/>
        <w:autoSpaceDN/>
        <w:bidi w:val="0"/>
        <w:adjustRightInd/>
        <w:snapToGrid/>
        <w:spacing w:line="360" w:lineRule="auto"/>
        <w:ind w:left="0" w:leftChars="0" w:firstLine="840" w:firstLineChars="279"/>
        <w:textAlignment w:val="auto"/>
        <w:rPr>
          <w:rFonts w:hint="eastAsia" w:ascii="宋体" w:hAnsi="宋体" w:eastAsia="宋体" w:cs="宋体"/>
          <w:b/>
          <w:color w:val="auto"/>
          <w:sz w:val="30"/>
          <w:szCs w:val="30"/>
          <w:highlight w:val="none"/>
          <w:lang w:eastAsia="zh-CN"/>
        </w:rPr>
      </w:pPr>
    </w:p>
    <w:p w14:paraId="023F9198">
      <w:pPr>
        <w:keepNext w:val="0"/>
        <w:keepLines w:val="0"/>
        <w:pageBreakBefore w:val="0"/>
        <w:widowControl w:val="0"/>
        <w:kinsoku/>
        <w:wordWrap/>
        <w:overflowPunct/>
        <w:topLinePunct w:val="0"/>
        <w:autoSpaceDE/>
        <w:autoSpaceDN/>
        <w:bidi w:val="0"/>
        <w:adjustRightInd/>
        <w:snapToGrid/>
        <w:spacing w:line="360" w:lineRule="auto"/>
        <w:ind w:firstLine="1506" w:firstLineChars="500"/>
        <w:textAlignment w:val="auto"/>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备案机构：</w:t>
      </w:r>
      <w:r>
        <w:rPr>
          <w:rFonts w:hint="eastAsia" w:ascii="宋体" w:hAnsi="宋体" w:cs="宋体"/>
          <w:b/>
          <w:color w:val="auto"/>
          <w:sz w:val="30"/>
          <w:szCs w:val="30"/>
          <w:highlight w:val="none"/>
          <w:lang w:eastAsia="zh-CN"/>
        </w:rPr>
        <w:t>苍南县交通发展集团有限公司</w:t>
      </w:r>
    </w:p>
    <w:p w14:paraId="0648DD1D">
      <w:pPr>
        <w:spacing w:line="440" w:lineRule="exact"/>
        <w:rPr>
          <w:rFonts w:hint="eastAsia" w:ascii="宋体" w:hAnsi="宋体" w:eastAsia="宋体" w:cs="宋体"/>
          <w:b/>
          <w:color w:val="auto"/>
          <w:sz w:val="30"/>
          <w:szCs w:val="30"/>
          <w:highlight w:val="none"/>
        </w:rPr>
      </w:pPr>
    </w:p>
    <w:p w14:paraId="72C49F4E">
      <w:pPr>
        <w:spacing w:line="64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二○二</w:t>
      </w:r>
      <w:r>
        <w:rPr>
          <w:rFonts w:hint="eastAsia" w:ascii="宋体" w:hAnsi="宋体" w:cs="宋体"/>
          <w:b/>
          <w:color w:val="auto"/>
          <w:sz w:val="30"/>
          <w:szCs w:val="30"/>
          <w:highlight w:val="none"/>
          <w:lang w:val="en-US" w:eastAsia="zh-CN"/>
        </w:rPr>
        <w:t>五</w:t>
      </w:r>
      <w:r>
        <w:rPr>
          <w:rFonts w:hint="eastAsia" w:ascii="宋体" w:hAnsi="宋体" w:eastAsia="宋体" w:cs="宋体"/>
          <w:b/>
          <w:color w:val="auto"/>
          <w:sz w:val="30"/>
          <w:szCs w:val="30"/>
          <w:highlight w:val="none"/>
        </w:rPr>
        <w:t>年</w:t>
      </w:r>
      <w:r>
        <w:rPr>
          <w:rFonts w:hint="eastAsia" w:ascii="宋体" w:hAnsi="宋体" w:cs="宋体"/>
          <w:b/>
          <w:color w:val="auto"/>
          <w:sz w:val="30"/>
          <w:szCs w:val="30"/>
          <w:highlight w:val="none"/>
          <w:lang w:val="en-US" w:eastAsia="zh-CN"/>
        </w:rPr>
        <w:t>五</w:t>
      </w:r>
      <w:r>
        <w:rPr>
          <w:rFonts w:hint="eastAsia" w:ascii="宋体" w:hAnsi="宋体" w:eastAsia="宋体" w:cs="宋体"/>
          <w:b/>
          <w:color w:val="auto"/>
          <w:sz w:val="30"/>
          <w:szCs w:val="30"/>
          <w:highlight w:val="none"/>
        </w:rPr>
        <w:t>月</w:t>
      </w:r>
    </w:p>
    <w:p w14:paraId="1530550D">
      <w:pPr>
        <w:pageBreakBefore/>
        <w:shd w:val="clear" w:color="auto" w:fill="FFFFFF"/>
        <w:snapToGrid w:val="0"/>
        <w:spacing w:line="360" w:lineRule="auto"/>
        <w:jc w:val="center"/>
        <w:rPr>
          <w:rFonts w:hint="eastAsia" w:ascii="宋体" w:hAnsi="宋体" w:eastAsia="宋体" w:cs="宋体"/>
          <w:b/>
          <w:bCs/>
          <w:color w:val="auto"/>
          <w:sz w:val="24"/>
          <w:highlight w:val="none"/>
        </w:rPr>
        <w:sectPr>
          <w:pgSz w:w="11906" w:h="16838"/>
          <w:pgMar w:top="1418" w:right="1418" w:bottom="1418" w:left="1418" w:header="851" w:footer="992" w:gutter="0"/>
          <w:pgBorders>
            <w:top w:val="none" w:sz="0" w:space="0"/>
            <w:left w:val="none" w:sz="0" w:space="0"/>
            <w:bottom w:val="none" w:sz="0" w:space="0"/>
            <w:right w:val="none" w:sz="0" w:space="0"/>
          </w:pgBorders>
          <w:pgNumType w:fmt="decimal" w:start="0"/>
          <w:cols w:space="720" w:num="1"/>
          <w:docGrid w:linePitch="312" w:charSpace="0"/>
        </w:sectPr>
      </w:pPr>
    </w:p>
    <w:p w14:paraId="05CCDEA0">
      <w:pPr>
        <w:pageBreakBefore/>
        <w:shd w:val="clear" w:color="auto" w:fill="FFFFFF"/>
        <w:snapToGrid w:val="0"/>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5A493DE2">
      <w:pPr>
        <w:pStyle w:val="6"/>
        <w:rPr>
          <w:rFonts w:hint="eastAsia" w:ascii="宋体" w:hAnsi="宋体" w:eastAsia="宋体" w:cs="宋体"/>
          <w:color w:val="auto"/>
          <w:highlight w:val="none"/>
        </w:rPr>
      </w:pPr>
    </w:p>
    <w:p w14:paraId="48402E17">
      <w:pPr>
        <w:pStyle w:val="17"/>
        <w:tabs>
          <w:tab w:val="right" w:leader="dot" w:pos="9666"/>
        </w:tabs>
        <w:spacing w:line="480" w:lineRule="auto"/>
        <w:rPr>
          <w:rFonts w:hint="eastAsia" w:ascii="宋体" w:hAnsi="宋体" w:eastAsia="宋体" w:cs="宋体"/>
          <w:color w:val="auto"/>
          <w:sz w:val="24"/>
          <w:szCs w:val="24"/>
        </w:rPr>
      </w:pPr>
      <w:r>
        <w:rPr>
          <w:rFonts w:hint="eastAsia" w:ascii="宋体" w:hAnsi="宋体" w:eastAsia="宋体" w:cs="宋体"/>
          <w:b w:val="0"/>
          <w:caps w:val="0"/>
          <w:smallCaps/>
          <w:color w:val="auto"/>
          <w:sz w:val="24"/>
          <w:szCs w:val="24"/>
          <w:highlight w:val="none"/>
        </w:rPr>
        <w:fldChar w:fldCharType="begin"/>
      </w:r>
      <w:r>
        <w:rPr>
          <w:rFonts w:hint="eastAsia" w:ascii="宋体" w:hAnsi="宋体" w:eastAsia="宋体" w:cs="宋体"/>
          <w:b w:val="0"/>
          <w:caps w:val="0"/>
          <w:smallCaps/>
          <w:color w:val="auto"/>
          <w:sz w:val="24"/>
          <w:szCs w:val="24"/>
          <w:highlight w:val="none"/>
        </w:rPr>
        <w:instrText xml:space="preserve"> TOC \o "1-2" \h \z \u </w:instrText>
      </w:r>
      <w:r>
        <w:rPr>
          <w:rFonts w:hint="eastAsia" w:ascii="宋体" w:hAnsi="宋体" w:eastAsia="宋体" w:cs="宋体"/>
          <w:b w:val="0"/>
          <w:caps w:val="0"/>
          <w:smallCaps/>
          <w:color w:val="auto"/>
          <w:sz w:val="24"/>
          <w:szCs w:val="24"/>
          <w:highlight w:val="none"/>
        </w:rPr>
        <w:fldChar w:fldCharType="separate"/>
      </w:r>
      <w:r>
        <w:rPr>
          <w:rFonts w:hint="eastAsia" w:ascii="宋体" w:hAnsi="宋体" w:eastAsia="宋体" w:cs="宋体"/>
          <w:caps w:val="0"/>
          <w:smallCaps/>
          <w:color w:val="auto"/>
          <w:sz w:val="24"/>
          <w:szCs w:val="36"/>
          <w:highlight w:val="none"/>
        </w:rPr>
        <w:fldChar w:fldCharType="begin"/>
      </w:r>
      <w:r>
        <w:rPr>
          <w:rFonts w:hint="eastAsia" w:ascii="宋体" w:hAnsi="宋体" w:eastAsia="宋体" w:cs="宋体"/>
          <w:caps w:val="0"/>
          <w:smallCaps/>
          <w:color w:val="auto"/>
          <w:sz w:val="24"/>
          <w:szCs w:val="36"/>
          <w:highlight w:val="none"/>
        </w:rPr>
        <w:instrText xml:space="preserve"> HYPERLINK \l _Toc6978 </w:instrText>
      </w:r>
      <w:r>
        <w:rPr>
          <w:rFonts w:hint="eastAsia" w:ascii="宋体" w:hAnsi="宋体" w:eastAsia="宋体" w:cs="宋体"/>
          <w:caps w:val="0"/>
          <w:smallCaps/>
          <w:color w:val="auto"/>
          <w:sz w:val="24"/>
          <w:szCs w:val="36"/>
          <w:highlight w:val="none"/>
        </w:rPr>
        <w:fldChar w:fldCharType="separate"/>
      </w:r>
      <w:r>
        <w:rPr>
          <w:rFonts w:hint="eastAsia" w:ascii="宋体" w:hAnsi="宋体" w:eastAsia="宋体" w:cs="宋体"/>
          <w:bCs/>
          <w:color w:val="auto"/>
          <w:sz w:val="24"/>
          <w:szCs w:val="40"/>
          <w:highlight w:val="none"/>
        </w:rPr>
        <w:t>第一部分  招标公告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_Toc6978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- 2 -</w:t>
      </w:r>
      <w:r>
        <w:rPr>
          <w:rFonts w:hint="eastAsia" w:ascii="宋体" w:hAnsi="宋体" w:eastAsia="宋体" w:cs="宋体"/>
          <w:color w:val="auto"/>
          <w:sz w:val="24"/>
          <w:szCs w:val="24"/>
        </w:rPr>
        <w:fldChar w:fldCharType="end"/>
      </w:r>
      <w:r>
        <w:rPr>
          <w:rFonts w:hint="eastAsia" w:ascii="宋体" w:hAnsi="宋体" w:eastAsia="宋体" w:cs="宋体"/>
          <w:caps w:val="0"/>
          <w:smallCaps/>
          <w:color w:val="auto"/>
          <w:sz w:val="24"/>
          <w:szCs w:val="36"/>
          <w:highlight w:val="none"/>
        </w:rPr>
        <w:fldChar w:fldCharType="end"/>
      </w:r>
    </w:p>
    <w:p w14:paraId="3A110405">
      <w:pPr>
        <w:pStyle w:val="17"/>
        <w:tabs>
          <w:tab w:val="right" w:leader="dot" w:pos="9666"/>
        </w:tabs>
        <w:spacing w:line="480" w:lineRule="auto"/>
        <w:rPr>
          <w:rFonts w:hint="eastAsia" w:ascii="宋体" w:hAnsi="宋体" w:eastAsia="宋体" w:cs="宋体"/>
          <w:color w:val="auto"/>
          <w:sz w:val="24"/>
          <w:szCs w:val="24"/>
        </w:rPr>
      </w:pPr>
      <w:r>
        <w:rPr>
          <w:rFonts w:hint="eastAsia" w:ascii="宋体" w:hAnsi="宋体" w:eastAsia="宋体" w:cs="宋体"/>
          <w:bCs/>
          <w:color w:val="auto"/>
          <w:sz w:val="24"/>
          <w:szCs w:val="36"/>
          <w:highlight w:val="none"/>
        </w:rPr>
        <w:fldChar w:fldCharType="begin"/>
      </w:r>
      <w:r>
        <w:rPr>
          <w:rFonts w:hint="eastAsia" w:ascii="宋体" w:hAnsi="宋体" w:eastAsia="宋体" w:cs="宋体"/>
          <w:bCs/>
          <w:color w:val="auto"/>
          <w:sz w:val="24"/>
          <w:szCs w:val="36"/>
          <w:highlight w:val="none"/>
        </w:rPr>
        <w:instrText xml:space="preserve"> HYPERLINK \l _Toc4635 </w:instrText>
      </w:r>
      <w:r>
        <w:rPr>
          <w:rFonts w:hint="eastAsia" w:ascii="宋体" w:hAnsi="宋体" w:eastAsia="宋体" w:cs="宋体"/>
          <w:bCs/>
          <w:color w:val="auto"/>
          <w:sz w:val="24"/>
          <w:szCs w:val="36"/>
          <w:highlight w:val="none"/>
        </w:rPr>
        <w:fldChar w:fldCharType="separate"/>
      </w:r>
      <w:r>
        <w:rPr>
          <w:rFonts w:hint="eastAsia" w:ascii="宋体" w:hAnsi="宋体" w:eastAsia="宋体" w:cs="宋体"/>
          <w:bCs/>
          <w:color w:val="auto"/>
          <w:sz w:val="24"/>
          <w:szCs w:val="40"/>
          <w:highlight w:val="none"/>
        </w:rPr>
        <w:t>第二部分  编制和提交投标文件须知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_Toc4635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- 5 -</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36"/>
          <w:highlight w:val="none"/>
        </w:rPr>
        <w:fldChar w:fldCharType="end"/>
      </w:r>
    </w:p>
    <w:p w14:paraId="2AFD39AB">
      <w:pPr>
        <w:pStyle w:val="17"/>
        <w:tabs>
          <w:tab w:val="right" w:leader="dot" w:pos="9666"/>
        </w:tabs>
        <w:spacing w:line="480" w:lineRule="auto"/>
        <w:rPr>
          <w:rFonts w:hint="eastAsia" w:ascii="宋体" w:hAnsi="宋体" w:eastAsia="宋体" w:cs="宋体"/>
          <w:color w:val="auto"/>
          <w:sz w:val="24"/>
          <w:szCs w:val="24"/>
        </w:rPr>
      </w:pPr>
      <w:r>
        <w:rPr>
          <w:rFonts w:hint="eastAsia" w:ascii="宋体" w:hAnsi="宋体" w:eastAsia="宋体" w:cs="宋体"/>
          <w:bCs/>
          <w:color w:val="auto"/>
          <w:sz w:val="24"/>
          <w:szCs w:val="36"/>
          <w:highlight w:val="none"/>
        </w:rPr>
        <w:fldChar w:fldCharType="begin"/>
      </w:r>
      <w:r>
        <w:rPr>
          <w:rFonts w:hint="eastAsia" w:ascii="宋体" w:hAnsi="宋体" w:eastAsia="宋体" w:cs="宋体"/>
          <w:bCs/>
          <w:color w:val="auto"/>
          <w:sz w:val="24"/>
          <w:szCs w:val="36"/>
          <w:highlight w:val="none"/>
        </w:rPr>
        <w:instrText xml:space="preserve"> HYPERLINK \l _Toc17567 </w:instrText>
      </w:r>
      <w:r>
        <w:rPr>
          <w:rFonts w:hint="eastAsia" w:ascii="宋体" w:hAnsi="宋体" w:eastAsia="宋体" w:cs="宋体"/>
          <w:bCs/>
          <w:color w:val="auto"/>
          <w:sz w:val="24"/>
          <w:szCs w:val="36"/>
          <w:highlight w:val="none"/>
        </w:rPr>
        <w:fldChar w:fldCharType="separate"/>
      </w:r>
      <w:r>
        <w:rPr>
          <w:rFonts w:hint="eastAsia" w:ascii="宋体" w:hAnsi="宋体" w:eastAsia="宋体" w:cs="宋体"/>
          <w:bCs/>
          <w:color w:val="auto"/>
          <w:sz w:val="24"/>
          <w:szCs w:val="40"/>
          <w:highlight w:val="none"/>
          <w:lang w:val="en-US" w:eastAsia="zh-CN"/>
        </w:rPr>
        <w:t xml:space="preserve">第三部分 </w:t>
      </w:r>
      <w:r>
        <w:rPr>
          <w:rFonts w:hint="eastAsia" w:ascii="宋体" w:hAnsi="宋体" w:eastAsia="宋体" w:cs="宋体"/>
          <w:bCs/>
          <w:color w:val="auto"/>
          <w:sz w:val="24"/>
          <w:szCs w:val="40"/>
          <w:highlight w:val="none"/>
        </w:rPr>
        <w:t xml:space="preserve"> </w:t>
      </w:r>
      <w:r>
        <w:rPr>
          <w:rFonts w:hint="eastAsia" w:ascii="宋体" w:hAnsi="宋体" w:eastAsia="宋体" w:cs="宋体"/>
          <w:bCs/>
          <w:color w:val="auto"/>
          <w:sz w:val="24"/>
          <w:szCs w:val="40"/>
          <w:highlight w:val="none"/>
          <w:lang w:val="en-US" w:eastAsia="zh-CN"/>
        </w:rPr>
        <w:t>采购内容及要求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_Toc17567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- 25 -</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36"/>
          <w:highlight w:val="none"/>
        </w:rPr>
        <w:fldChar w:fldCharType="end"/>
      </w:r>
    </w:p>
    <w:p w14:paraId="59308879">
      <w:pPr>
        <w:pStyle w:val="17"/>
        <w:tabs>
          <w:tab w:val="right" w:leader="dot" w:pos="9666"/>
        </w:tabs>
        <w:spacing w:line="480" w:lineRule="auto"/>
        <w:rPr>
          <w:rFonts w:hint="eastAsia" w:ascii="宋体" w:hAnsi="宋体" w:eastAsia="宋体" w:cs="宋体"/>
          <w:color w:val="auto"/>
          <w:sz w:val="24"/>
          <w:szCs w:val="24"/>
        </w:rPr>
      </w:pPr>
      <w:r>
        <w:rPr>
          <w:rFonts w:hint="eastAsia" w:ascii="宋体" w:hAnsi="宋体" w:eastAsia="宋体" w:cs="宋体"/>
          <w:bCs/>
          <w:color w:val="auto"/>
          <w:sz w:val="24"/>
          <w:szCs w:val="36"/>
          <w:highlight w:val="none"/>
        </w:rPr>
        <w:fldChar w:fldCharType="begin"/>
      </w:r>
      <w:r>
        <w:rPr>
          <w:rFonts w:hint="eastAsia" w:ascii="宋体" w:hAnsi="宋体" w:eastAsia="宋体" w:cs="宋体"/>
          <w:bCs/>
          <w:color w:val="auto"/>
          <w:sz w:val="24"/>
          <w:szCs w:val="36"/>
          <w:highlight w:val="none"/>
        </w:rPr>
        <w:instrText xml:space="preserve"> HYPERLINK \l _Toc1033 </w:instrText>
      </w:r>
      <w:r>
        <w:rPr>
          <w:rFonts w:hint="eastAsia" w:ascii="宋体" w:hAnsi="宋体" w:eastAsia="宋体" w:cs="宋体"/>
          <w:bCs/>
          <w:color w:val="auto"/>
          <w:sz w:val="24"/>
          <w:szCs w:val="36"/>
          <w:highlight w:val="none"/>
        </w:rPr>
        <w:fldChar w:fldCharType="separate"/>
      </w:r>
      <w:r>
        <w:rPr>
          <w:rFonts w:hint="eastAsia" w:ascii="宋体" w:hAnsi="宋体" w:eastAsia="宋体" w:cs="宋体"/>
          <w:bCs/>
          <w:color w:val="auto"/>
          <w:sz w:val="24"/>
          <w:szCs w:val="40"/>
          <w:highlight w:val="none"/>
        </w:rPr>
        <w:t>第四部分  合同主要条款</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_Toc1033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- 56 -</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36"/>
          <w:highlight w:val="none"/>
        </w:rPr>
        <w:fldChar w:fldCharType="end"/>
      </w:r>
    </w:p>
    <w:p w14:paraId="3EDC1A10">
      <w:pPr>
        <w:pStyle w:val="17"/>
        <w:tabs>
          <w:tab w:val="right" w:leader="dot" w:pos="9666"/>
        </w:tabs>
        <w:spacing w:line="480" w:lineRule="auto"/>
        <w:rPr>
          <w:color w:val="auto"/>
        </w:rPr>
      </w:pPr>
      <w:r>
        <w:rPr>
          <w:rFonts w:hint="eastAsia" w:ascii="宋体" w:hAnsi="宋体" w:eastAsia="宋体" w:cs="宋体"/>
          <w:bCs/>
          <w:color w:val="auto"/>
          <w:sz w:val="24"/>
          <w:szCs w:val="36"/>
          <w:highlight w:val="none"/>
        </w:rPr>
        <w:fldChar w:fldCharType="begin"/>
      </w:r>
      <w:r>
        <w:rPr>
          <w:rFonts w:hint="eastAsia" w:ascii="宋体" w:hAnsi="宋体" w:eastAsia="宋体" w:cs="宋体"/>
          <w:bCs/>
          <w:color w:val="auto"/>
          <w:sz w:val="24"/>
          <w:szCs w:val="36"/>
          <w:highlight w:val="none"/>
        </w:rPr>
        <w:instrText xml:space="preserve"> HYPERLINK \l _Toc23179 </w:instrText>
      </w:r>
      <w:r>
        <w:rPr>
          <w:rFonts w:hint="eastAsia" w:ascii="宋体" w:hAnsi="宋体" w:eastAsia="宋体" w:cs="宋体"/>
          <w:bCs/>
          <w:color w:val="auto"/>
          <w:sz w:val="24"/>
          <w:szCs w:val="36"/>
          <w:highlight w:val="none"/>
        </w:rPr>
        <w:fldChar w:fldCharType="separate"/>
      </w:r>
      <w:r>
        <w:rPr>
          <w:rFonts w:hint="eastAsia" w:ascii="宋体" w:hAnsi="宋体" w:eastAsia="宋体" w:cs="宋体"/>
          <w:bCs/>
          <w:color w:val="auto"/>
          <w:sz w:val="24"/>
          <w:szCs w:val="40"/>
          <w:highlight w:val="none"/>
        </w:rPr>
        <w:t>第五部分  应提交的有关格式范例</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_Toc23179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- 58 -</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36"/>
          <w:highlight w:val="none"/>
        </w:rPr>
        <w:fldChar w:fldCharType="end"/>
      </w:r>
    </w:p>
    <w:p w14:paraId="7E8627E5">
      <w:pPr>
        <w:pStyle w:val="17"/>
        <w:tabs>
          <w:tab w:val="right" w:leader="dot" w:pos="9666"/>
        </w:tabs>
        <w:rPr>
          <w:color w:val="auto"/>
        </w:rPr>
      </w:pPr>
    </w:p>
    <w:p w14:paraId="02B7E38F">
      <w:pPr>
        <w:pStyle w:val="20"/>
        <w:tabs>
          <w:tab w:val="right" w:leader="dot" w:pos="8958"/>
        </w:tabs>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Cs w:val="24"/>
          <w:highlight w:val="none"/>
        </w:rPr>
        <w:fldChar w:fldCharType="end"/>
      </w:r>
    </w:p>
    <w:p w14:paraId="46B6899E">
      <w:pPr>
        <w:shd w:val="clear" w:color="auto" w:fill="FFFFFF"/>
        <w:tabs>
          <w:tab w:val="right" w:leader="dot" w:pos="8296"/>
        </w:tabs>
        <w:snapToGrid w:val="0"/>
        <w:spacing w:line="360" w:lineRule="auto"/>
        <w:jc w:val="center"/>
        <w:rPr>
          <w:rFonts w:hint="eastAsia" w:ascii="宋体" w:hAnsi="宋体" w:eastAsia="宋体" w:cs="宋体"/>
          <w:color w:val="auto"/>
          <w:sz w:val="24"/>
          <w:highlight w:val="none"/>
        </w:rPr>
      </w:pPr>
    </w:p>
    <w:p w14:paraId="6FF205A0">
      <w:pPr>
        <w:pageBreakBefore/>
        <w:shd w:val="clear" w:color="auto" w:fill="FFFFFF"/>
        <w:snapToGrid w:val="0"/>
        <w:spacing w:line="360" w:lineRule="auto"/>
        <w:jc w:val="center"/>
        <w:outlineLvl w:val="0"/>
        <w:rPr>
          <w:rFonts w:hint="eastAsia" w:ascii="宋体" w:hAnsi="宋体" w:eastAsia="宋体" w:cs="宋体"/>
          <w:color w:val="auto"/>
          <w:sz w:val="28"/>
          <w:szCs w:val="28"/>
          <w:highlight w:val="none"/>
        </w:rPr>
      </w:pPr>
      <w:bookmarkStart w:id="0" w:name="_Toc354996693"/>
      <w:bookmarkStart w:id="1" w:name="_Toc6978"/>
      <w:r>
        <w:rPr>
          <w:rFonts w:hint="eastAsia" w:ascii="宋体" w:hAnsi="宋体" w:eastAsia="宋体" w:cs="宋体"/>
          <w:b/>
          <w:bCs/>
          <w:color w:val="auto"/>
          <w:sz w:val="28"/>
          <w:szCs w:val="28"/>
          <w:highlight w:val="none"/>
        </w:rPr>
        <w:t>第一部分  招标公告</w:t>
      </w:r>
      <w:bookmarkEnd w:id="0"/>
      <w:bookmarkEnd w:id="1"/>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4"/>
      </w:tblGrid>
      <w:tr w14:paraId="7152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9774" w:type="dxa"/>
            <w:noWrap w:val="0"/>
            <w:vAlign w:val="top"/>
          </w:tcPr>
          <w:p w14:paraId="6ED30145">
            <w:pPr>
              <w:pStyle w:val="6"/>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项目概况：</w:t>
            </w:r>
          </w:p>
          <w:p w14:paraId="67EDF4AE">
            <w:pPr>
              <w:pStyle w:val="6"/>
              <w:keepNext w:val="0"/>
              <w:keepLines w:val="0"/>
              <w:pageBreakBefore w:val="0"/>
              <w:widowControl w:val="0"/>
              <w:kinsoku/>
              <w:wordWrap/>
              <w:overflowPunct/>
              <w:topLinePunct w:val="0"/>
              <w:autoSpaceDE w:val="0"/>
              <w:autoSpaceDN w:val="0"/>
              <w:bidi w:val="0"/>
              <w:adjustRightInd w:val="0"/>
              <w:snapToGrid/>
              <w:ind w:left="0" w:leftChars="0" w:firstLine="480" w:firstLineChars="200"/>
              <w:textAlignment w:val="auto"/>
              <w:rPr>
                <w:rFonts w:hint="eastAsia" w:ascii="宋体" w:hAnsi="宋体" w:eastAsia="宋体" w:cs="宋体"/>
                <w:color w:val="auto"/>
                <w:szCs w:val="24"/>
                <w:highlight w:val="none"/>
              </w:rPr>
            </w:pPr>
            <w:r>
              <w:rPr>
                <w:rFonts w:hint="eastAsia" w:hAnsi="宋体" w:cs="宋体"/>
                <w:color w:val="auto"/>
                <w:szCs w:val="24"/>
                <w:highlight w:val="none"/>
                <w:u w:val="single"/>
                <w:lang w:eastAsia="zh-CN"/>
              </w:rPr>
              <w:t>苍南县交通工程养护基地项目热喷燃烧油采购</w:t>
            </w:r>
            <w:r>
              <w:rPr>
                <w:rFonts w:hint="eastAsia" w:ascii="宋体" w:hAnsi="宋体" w:eastAsia="宋体" w:cs="宋体"/>
                <w:color w:val="auto"/>
                <w:szCs w:val="24"/>
                <w:highlight w:val="none"/>
              </w:rPr>
              <w:t>招标项目的潜在投标人应在</w:t>
            </w:r>
            <w:r>
              <w:rPr>
                <w:rFonts w:hint="eastAsia" w:ascii="宋体" w:hAnsi="宋体" w:eastAsia="宋体" w:cs="宋体"/>
                <w:color w:val="auto"/>
                <w:szCs w:val="24"/>
                <w:highlight w:val="none"/>
                <w:lang w:eastAsia="zh-CN"/>
              </w:rPr>
              <w:t>乐采云平台</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https://www.lecaiyun.com</w:t>
            </w:r>
            <w:r>
              <w:rPr>
                <w:rFonts w:hint="eastAsia" w:ascii="宋体" w:hAnsi="宋体" w:eastAsia="宋体" w:cs="宋体"/>
                <w:color w:val="auto"/>
                <w:szCs w:val="24"/>
                <w:highlight w:val="none"/>
              </w:rPr>
              <w:t>）获取（下载）招标文件，并于</w:t>
            </w:r>
            <w:r>
              <w:rPr>
                <w:rFonts w:hint="eastAsia" w:hAnsi="宋体" w:cs="宋体"/>
                <w:color w:val="auto"/>
                <w:szCs w:val="24"/>
                <w:highlight w:val="none"/>
                <w:lang w:val="en-US" w:eastAsia="zh-CN"/>
              </w:rPr>
              <w:t>2025年06月20日09时00分</w:t>
            </w:r>
            <w:r>
              <w:rPr>
                <w:rFonts w:hint="eastAsia" w:ascii="宋体" w:hAnsi="宋体" w:eastAsia="宋体" w:cs="宋体"/>
                <w:color w:val="auto"/>
                <w:szCs w:val="24"/>
                <w:highlight w:val="none"/>
              </w:rPr>
              <w:t>（北京时间）前递交（</w:t>
            </w:r>
            <w:r>
              <w:rPr>
                <w:rFonts w:hint="eastAsia" w:ascii="宋体" w:hAnsi="宋体" w:eastAsia="宋体" w:cs="宋体"/>
                <w:color w:val="auto"/>
                <w:szCs w:val="24"/>
                <w:highlight w:val="none"/>
                <w:lang w:val="en-US"/>
              </w:rPr>
              <w:t>上传</w:t>
            </w:r>
            <w:r>
              <w:rPr>
                <w:rFonts w:hint="eastAsia" w:ascii="宋体" w:hAnsi="宋体" w:eastAsia="宋体" w:cs="宋体"/>
                <w:color w:val="auto"/>
                <w:szCs w:val="24"/>
                <w:highlight w:val="none"/>
              </w:rPr>
              <w:t>）投标文件。</w:t>
            </w:r>
          </w:p>
        </w:tc>
      </w:tr>
    </w:tbl>
    <w:p w14:paraId="1608E598">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一、项目基本情况</w:t>
      </w:r>
    </w:p>
    <w:p w14:paraId="6DFF47B5">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采购组织类型：国企采购（非政府采购）</w:t>
      </w:r>
    </w:p>
    <w:p w14:paraId="0A9B2810">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资金来源：自筹资金</w:t>
      </w:r>
    </w:p>
    <w:p w14:paraId="5C00F043">
      <w:pPr>
        <w:pStyle w:val="21"/>
        <w:shd w:val="clear" w:color="auto" w:fill="FFFFFF"/>
        <w:spacing w:before="60" w:beforeAutospacing="0" w:after="60" w:afterAutospacing="0" w:line="360" w:lineRule="auto"/>
        <w:ind w:firstLine="440" w:firstLineChars="200"/>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rPr>
        <w:t>项目编号：</w:t>
      </w:r>
      <w:r>
        <w:rPr>
          <w:rFonts w:hint="eastAsia" w:ascii="宋体" w:hAnsi="宋体" w:eastAsia="宋体" w:cs="宋体"/>
          <w:color w:val="auto"/>
          <w:sz w:val="22"/>
          <w:szCs w:val="22"/>
          <w:highlight w:val="none"/>
          <w:shd w:val="clear" w:color="auto" w:fill="FFFFFF"/>
          <w:lang w:eastAsia="zh-CN"/>
        </w:rPr>
        <w:t>HYGYCN20250530002</w:t>
      </w:r>
    </w:p>
    <w:p w14:paraId="7AD8B325">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rPr>
        <w:t>项目名称：</w:t>
      </w:r>
      <w:r>
        <w:rPr>
          <w:rFonts w:hint="eastAsia" w:ascii="宋体" w:hAnsi="宋体" w:eastAsia="宋体" w:cs="宋体"/>
          <w:color w:val="auto"/>
          <w:sz w:val="22"/>
          <w:szCs w:val="22"/>
          <w:highlight w:val="none"/>
          <w:shd w:val="clear" w:color="auto" w:fill="FFFFFF"/>
          <w:lang w:eastAsia="zh-CN"/>
        </w:rPr>
        <w:t>苍南县交通工程养护基地项目热喷燃烧油采购</w:t>
      </w:r>
    </w:p>
    <w:p w14:paraId="139B741E">
      <w:pPr>
        <w:pStyle w:val="21"/>
        <w:shd w:val="clear" w:color="auto" w:fill="FFFFFF"/>
        <w:spacing w:before="60" w:beforeAutospacing="0" w:after="60" w:afterAutospacing="0" w:line="360" w:lineRule="auto"/>
        <w:ind w:firstLine="440" w:firstLineChars="200"/>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rPr>
        <w:t>预算金额（元）：</w:t>
      </w:r>
      <w:r>
        <w:rPr>
          <w:rFonts w:hint="eastAsia" w:ascii="宋体" w:hAnsi="宋体" w:eastAsia="宋体" w:cs="宋体"/>
          <w:color w:val="auto"/>
          <w:sz w:val="22"/>
          <w:szCs w:val="22"/>
          <w:highlight w:val="none"/>
          <w:shd w:val="clear" w:color="auto" w:fill="FFFFFF"/>
          <w:lang w:val="en-US" w:eastAsia="zh-CN"/>
        </w:rPr>
        <w:t>3390000</w:t>
      </w:r>
    </w:p>
    <w:p w14:paraId="3785DCEC">
      <w:pPr>
        <w:pStyle w:val="21"/>
        <w:shd w:val="clear" w:color="auto" w:fill="FFFFFF"/>
        <w:spacing w:before="60" w:beforeAutospacing="0" w:after="60" w:afterAutospacing="0" w:line="360" w:lineRule="auto"/>
        <w:ind w:firstLine="440" w:firstLineChars="200"/>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rPr>
        <w:t>最高限价（元）：</w:t>
      </w:r>
      <w:r>
        <w:rPr>
          <w:rFonts w:hint="eastAsia" w:ascii="宋体" w:hAnsi="宋体" w:eastAsia="宋体" w:cs="宋体"/>
          <w:color w:val="auto"/>
          <w:sz w:val="22"/>
          <w:szCs w:val="22"/>
          <w:highlight w:val="none"/>
          <w:shd w:val="clear" w:color="auto" w:fill="FFFFFF"/>
          <w:lang w:val="en-US" w:eastAsia="zh-CN"/>
        </w:rPr>
        <w:t>3390000</w:t>
      </w:r>
    </w:p>
    <w:p w14:paraId="71F5F0C6">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rPr>
        <w:t>采购需求：</w:t>
      </w:r>
    </w:p>
    <w:p w14:paraId="015B99FF">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标项一</w:t>
      </w:r>
    </w:p>
    <w:p w14:paraId="02697BF0">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标项名称：</w:t>
      </w:r>
      <w:r>
        <w:rPr>
          <w:rFonts w:hint="eastAsia" w:ascii="宋体" w:hAnsi="宋体" w:eastAsia="宋体" w:cs="宋体"/>
          <w:color w:val="auto"/>
          <w:sz w:val="22"/>
          <w:szCs w:val="22"/>
          <w:highlight w:val="none"/>
          <w:shd w:val="clear" w:color="auto" w:fill="FFFFFF"/>
          <w:lang w:eastAsia="zh-CN"/>
        </w:rPr>
        <w:t>苍南县交通工程养护基地项目热喷燃烧油采购</w:t>
      </w:r>
      <w:r>
        <w:rPr>
          <w:rFonts w:hint="eastAsia" w:ascii="宋体" w:hAnsi="宋体" w:eastAsia="宋体" w:cs="宋体"/>
          <w:color w:val="auto"/>
          <w:sz w:val="22"/>
          <w:szCs w:val="22"/>
          <w:highlight w:val="none"/>
          <w:shd w:val="clear" w:color="auto" w:fill="FFFFFF"/>
        </w:rPr>
        <w:t xml:space="preserve"> </w:t>
      </w:r>
    </w:p>
    <w:p w14:paraId="220A943A">
      <w:pPr>
        <w:pStyle w:val="21"/>
        <w:shd w:val="clear" w:color="auto" w:fill="FFFFFF"/>
        <w:spacing w:before="60" w:beforeAutospacing="0" w:after="60" w:afterAutospacing="0" w:line="360" w:lineRule="auto"/>
        <w:ind w:firstLine="440" w:firstLineChars="200"/>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rPr>
        <w:t>数量:1</w:t>
      </w:r>
    </w:p>
    <w:p w14:paraId="1E59C7CC">
      <w:pPr>
        <w:pStyle w:val="21"/>
        <w:shd w:val="clear" w:color="auto" w:fill="FFFFFF"/>
        <w:spacing w:before="60" w:beforeAutospacing="0" w:after="60" w:afterAutospacing="0" w:line="360" w:lineRule="auto"/>
        <w:ind w:firstLine="440" w:firstLineChars="200"/>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rPr>
        <w:t>预算金额（元）：</w:t>
      </w:r>
      <w:r>
        <w:rPr>
          <w:rFonts w:hint="eastAsia" w:ascii="宋体" w:hAnsi="宋体" w:eastAsia="宋体" w:cs="宋体"/>
          <w:color w:val="auto"/>
          <w:sz w:val="22"/>
          <w:szCs w:val="22"/>
          <w:highlight w:val="none"/>
          <w:shd w:val="clear" w:color="auto" w:fill="FFFFFF"/>
          <w:lang w:val="en-US" w:eastAsia="zh-CN"/>
        </w:rPr>
        <w:t>3390000</w:t>
      </w:r>
    </w:p>
    <w:p w14:paraId="73A625FF">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简要规格描述或项目基本概况介绍、用途：详见</w:t>
      </w:r>
      <w:r>
        <w:rPr>
          <w:rFonts w:hint="eastAsia" w:ascii="宋体" w:hAnsi="宋体" w:eastAsia="宋体" w:cs="宋体"/>
          <w:color w:val="auto"/>
          <w:sz w:val="22"/>
          <w:szCs w:val="22"/>
          <w:highlight w:val="none"/>
          <w:shd w:val="clear" w:color="auto" w:fill="FFFFFF"/>
          <w:lang w:eastAsia="zh-CN"/>
        </w:rPr>
        <w:t>采购</w:t>
      </w:r>
      <w:r>
        <w:rPr>
          <w:rFonts w:hint="eastAsia" w:ascii="宋体" w:hAnsi="宋体" w:eastAsia="宋体" w:cs="宋体"/>
          <w:color w:val="auto"/>
          <w:sz w:val="22"/>
          <w:szCs w:val="22"/>
          <w:highlight w:val="none"/>
          <w:shd w:val="clear" w:color="auto" w:fill="FFFFFF"/>
        </w:rPr>
        <w:t xml:space="preserve">文件第三部分 </w:t>
      </w:r>
    </w:p>
    <w:p w14:paraId="5464447E">
      <w:pPr>
        <w:pStyle w:val="21"/>
        <w:shd w:val="clear" w:color="auto" w:fill="FFFFFF"/>
        <w:spacing w:before="60" w:beforeAutospacing="0" w:after="60" w:afterAutospacing="0" w:line="360" w:lineRule="auto"/>
        <w:ind w:firstLine="440" w:firstLineChars="200"/>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rPr>
        <w:t>备注：</w:t>
      </w:r>
      <w:r>
        <w:rPr>
          <w:rFonts w:hint="eastAsia" w:ascii="宋体" w:hAnsi="宋体" w:eastAsia="宋体" w:cs="宋体"/>
          <w:color w:val="auto"/>
          <w:sz w:val="22"/>
          <w:szCs w:val="22"/>
          <w:highlight w:val="none"/>
          <w:shd w:val="clear" w:color="auto" w:fill="FFFFFF"/>
          <w:lang w:val="en-US" w:eastAsia="zh-CN"/>
        </w:rPr>
        <w:t>约600吨，以2025年03月05日</w:t>
      </w:r>
      <w:r>
        <w:rPr>
          <w:rFonts w:hint="eastAsia" w:ascii="宋体" w:hAnsi="宋体" w:eastAsia="宋体" w:cs="宋体"/>
          <w:color w:val="auto"/>
          <w:sz w:val="22"/>
          <w:szCs w:val="22"/>
          <w:highlight w:val="none"/>
          <w:shd w:val="clear" w:color="auto" w:fill="FFFFFF"/>
          <w:lang w:eastAsia="zh-CN"/>
        </w:rPr>
        <w:t>“生意社”网站（</w:t>
      </w:r>
      <w:r>
        <w:rPr>
          <w:rFonts w:hint="eastAsia" w:ascii="宋体" w:hAnsi="宋体" w:eastAsia="宋体" w:cs="宋体"/>
          <w:color w:val="auto"/>
          <w:sz w:val="22"/>
          <w:szCs w:val="22"/>
          <w:highlight w:val="none"/>
          <w:shd w:val="clear" w:color="auto" w:fill="FFFFFF"/>
          <w:lang w:eastAsia="zh-CN"/>
        </w:rPr>
        <w:fldChar w:fldCharType="begin"/>
      </w:r>
      <w:r>
        <w:rPr>
          <w:rFonts w:hint="eastAsia" w:ascii="宋体" w:hAnsi="宋体" w:eastAsia="宋体" w:cs="宋体"/>
          <w:color w:val="auto"/>
          <w:sz w:val="22"/>
          <w:szCs w:val="22"/>
          <w:highlight w:val="none"/>
          <w:shd w:val="clear" w:color="auto" w:fill="FFFFFF"/>
          <w:lang w:eastAsia="zh-CN"/>
        </w:rPr>
        <w:instrText xml:space="preserve"> HYPERLINK "http://www.100ppi.com/" </w:instrText>
      </w:r>
      <w:r>
        <w:rPr>
          <w:rFonts w:hint="eastAsia" w:ascii="宋体" w:hAnsi="宋体" w:eastAsia="宋体" w:cs="宋体"/>
          <w:color w:val="auto"/>
          <w:sz w:val="22"/>
          <w:szCs w:val="22"/>
          <w:highlight w:val="none"/>
          <w:shd w:val="clear" w:color="auto" w:fill="FFFFFF"/>
          <w:lang w:eastAsia="zh-CN"/>
        </w:rPr>
        <w:fldChar w:fldCharType="separate"/>
      </w:r>
      <w:r>
        <w:rPr>
          <w:rFonts w:hint="eastAsia" w:ascii="宋体" w:hAnsi="宋体" w:eastAsia="宋体" w:cs="宋体"/>
          <w:color w:val="auto"/>
          <w:sz w:val="22"/>
          <w:szCs w:val="22"/>
          <w:highlight w:val="none"/>
          <w:shd w:val="clear" w:color="auto" w:fill="FFFFFF"/>
          <w:lang w:eastAsia="zh-CN"/>
        </w:rPr>
        <w:t>http://www.100ppi.com/</w:t>
      </w:r>
      <w:r>
        <w:rPr>
          <w:rFonts w:hint="eastAsia" w:ascii="宋体" w:hAnsi="宋体" w:eastAsia="宋体" w:cs="宋体"/>
          <w:color w:val="auto"/>
          <w:sz w:val="22"/>
          <w:szCs w:val="22"/>
          <w:highlight w:val="none"/>
          <w:shd w:val="clear" w:color="auto" w:fill="FFFFFF"/>
          <w:lang w:eastAsia="zh-CN"/>
        </w:rPr>
        <w:fldChar w:fldCharType="end"/>
      </w:r>
      <w:r>
        <w:rPr>
          <w:rFonts w:hint="eastAsia" w:ascii="宋体" w:hAnsi="宋体" w:eastAsia="宋体" w:cs="宋体"/>
          <w:color w:val="auto"/>
          <w:sz w:val="22"/>
          <w:szCs w:val="22"/>
          <w:highlight w:val="none"/>
          <w:shd w:val="clear" w:color="auto" w:fill="FFFFFF"/>
          <w:lang w:eastAsia="zh-CN"/>
        </w:rPr>
        <w:t>）发布的中燃（型号：180CST）宁波地区市场价为</w:t>
      </w:r>
      <w:r>
        <w:rPr>
          <w:rFonts w:hint="eastAsia" w:ascii="宋体" w:hAnsi="宋体" w:eastAsia="宋体" w:cs="宋体"/>
          <w:color w:val="auto"/>
          <w:sz w:val="22"/>
          <w:szCs w:val="22"/>
          <w:highlight w:val="none"/>
          <w:shd w:val="clear" w:color="auto" w:fill="FFFFFF"/>
          <w:lang w:val="en-US" w:eastAsia="zh-CN"/>
        </w:rPr>
        <w:t>预算单价（5650元/吨）。</w:t>
      </w:r>
    </w:p>
    <w:p w14:paraId="75CDA5A3">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合同履约期限：标项 1，详见</w:t>
      </w:r>
      <w:r>
        <w:rPr>
          <w:rFonts w:hint="eastAsia" w:ascii="宋体" w:hAnsi="宋体" w:eastAsia="宋体" w:cs="宋体"/>
          <w:color w:val="auto"/>
          <w:sz w:val="22"/>
          <w:szCs w:val="22"/>
          <w:highlight w:val="none"/>
          <w:shd w:val="clear" w:color="auto" w:fill="FFFFFF"/>
          <w:lang w:eastAsia="zh-CN"/>
        </w:rPr>
        <w:t>采购</w:t>
      </w:r>
      <w:r>
        <w:rPr>
          <w:rFonts w:hint="eastAsia" w:ascii="宋体" w:hAnsi="宋体" w:eastAsia="宋体" w:cs="宋体"/>
          <w:color w:val="auto"/>
          <w:sz w:val="22"/>
          <w:szCs w:val="22"/>
          <w:highlight w:val="none"/>
          <w:shd w:val="clear" w:color="auto" w:fill="FFFFFF"/>
        </w:rPr>
        <w:t xml:space="preserve">文件 </w:t>
      </w:r>
    </w:p>
    <w:p w14:paraId="143234A2">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14:paraId="24B70430">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rPr>
        <w:t>（一）投标人参加国有企业采购活动应当具备下列条件</w:t>
      </w:r>
      <w:r>
        <w:rPr>
          <w:rFonts w:hint="eastAsia" w:ascii="宋体" w:hAnsi="宋体" w:eastAsia="宋体" w:cs="宋体"/>
          <w:color w:val="auto"/>
          <w:sz w:val="22"/>
          <w:szCs w:val="22"/>
          <w:highlight w:val="none"/>
          <w:shd w:val="clear" w:color="auto" w:fill="FFFFFF"/>
          <w:lang w:eastAsia="zh-CN"/>
        </w:rPr>
        <w:t>：</w:t>
      </w:r>
    </w:p>
    <w:p w14:paraId="6253D6FF">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1.具有独立承担民事责任的能力；</w:t>
      </w:r>
    </w:p>
    <w:p w14:paraId="45A3B278">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2.具有良好的商业信誉和健全的财务会计制度；</w:t>
      </w:r>
    </w:p>
    <w:p w14:paraId="7BACC660">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3.具有履行合同所必需的设备和专业技术、售后保障等能力；</w:t>
      </w:r>
    </w:p>
    <w:p w14:paraId="1E394FE0">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4.有依法缴纳税收和社会保障资金的良好记录；</w:t>
      </w:r>
    </w:p>
    <w:p w14:paraId="07961EBF">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shd w:val="clear" w:color="auto" w:fill="FFFFFF"/>
        </w:rPr>
        <w:t>5.参加采购活动前三年内（时间截止到开标之日，新成立不满三年的组织机构自成立之日起算），在经营活动中没有重大违法记录、严重失信行为和行贿记录，未被“信用中国”（www.creditchina.gov.cn)、中国政府采购网（www.ccgp.gov.cn）列入失信被执行人、重大税收违法案件当事人名单</w:t>
      </w:r>
      <w:r>
        <w:rPr>
          <w:rFonts w:hint="eastAsia" w:ascii="宋体" w:hAnsi="宋体" w:eastAsia="宋体" w:cs="宋体"/>
          <w:color w:val="auto"/>
          <w:sz w:val="22"/>
          <w:szCs w:val="22"/>
          <w:highlight w:val="none"/>
          <w:shd w:val="clear" w:color="auto" w:fill="FFFFFF"/>
          <w:lang w:eastAsia="zh-CN"/>
        </w:rPr>
        <w:t>；</w:t>
      </w:r>
    </w:p>
    <w:p w14:paraId="1DC1E9D1">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6.法律、行政法规规定的其他条件。</w:t>
      </w:r>
    </w:p>
    <w:p w14:paraId="796592E1">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（二）单位负责人为同一人或者存在直接控股、管理关系的不同供应商，不得参加同一合同项下的国企采购活动；</w:t>
      </w:r>
    </w:p>
    <w:p w14:paraId="3A81FD3A">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（三）本项目不接受联合体投标。</w:t>
      </w:r>
    </w:p>
    <w:p w14:paraId="04D7033B">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四</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本项目的特定资格要求：</w:t>
      </w:r>
      <w:r>
        <w:rPr>
          <w:rFonts w:hint="eastAsia" w:ascii="宋体" w:hAnsi="宋体" w:eastAsia="宋体" w:cs="宋体"/>
          <w:color w:val="auto"/>
          <w:sz w:val="22"/>
          <w:szCs w:val="22"/>
          <w:highlight w:val="none"/>
          <w:shd w:val="clear" w:color="auto" w:fill="FFFFFF"/>
          <w:lang w:val="en-US" w:eastAsia="zh-CN"/>
        </w:rPr>
        <w:t>无</w:t>
      </w:r>
      <w:r>
        <w:rPr>
          <w:rFonts w:hint="eastAsia" w:ascii="宋体" w:hAnsi="宋体" w:eastAsia="宋体" w:cs="宋体"/>
          <w:color w:val="auto"/>
          <w:sz w:val="22"/>
          <w:szCs w:val="22"/>
          <w:highlight w:val="none"/>
          <w:shd w:val="clear" w:color="auto" w:fill="FFFFFF"/>
          <w:lang w:eastAsia="zh-CN"/>
        </w:rPr>
        <w:t>。</w:t>
      </w:r>
    </w:p>
    <w:p w14:paraId="113B7AC5">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三、获取招标文件 </w:t>
      </w:r>
    </w:p>
    <w:p w14:paraId="22253C71">
      <w:pPr>
        <w:spacing w:line="360" w:lineRule="auto"/>
        <w:ind w:firstLine="440" w:firstLineChars="200"/>
        <w:rPr>
          <w:rFonts w:hint="eastAsia" w:ascii="宋体" w:hAnsi="宋体" w:eastAsia="宋体" w:cs="宋体"/>
          <w:color w:val="auto"/>
          <w:kern w:val="0"/>
          <w:sz w:val="22"/>
          <w:szCs w:val="22"/>
          <w:highlight w:val="none"/>
          <w:shd w:val="clear" w:color="auto" w:fill="FFFFFF"/>
          <w:lang w:val="en-US" w:eastAsia="zh-CN" w:bidi="ar-SA"/>
        </w:rPr>
      </w:pPr>
      <w:r>
        <w:rPr>
          <w:rFonts w:hint="eastAsia" w:ascii="宋体" w:hAnsi="宋体" w:eastAsia="宋体" w:cs="宋体"/>
          <w:color w:val="auto"/>
          <w:kern w:val="0"/>
          <w:sz w:val="22"/>
          <w:szCs w:val="22"/>
          <w:highlight w:val="none"/>
          <w:shd w:val="clear" w:color="auto" w:fill="FFFFFF"/>
          <w:lang w:val="en-US" w:eastAsia="zh-CN" w:bidi="ar-SA"/>
        </w:rPr>
        <w:t>时间：/至</w:t>
      </w:r>
      <w:r>
        <w:rPr>
          <w:rFonts w:hint="eastAsia" w:ascii="宋体" w:hAnsi="宋体" w:cs="宋体"/>
          <w:color w:val="auto"/>
          <w:kern w:val="0"/>
          <w:sz w:val="22"/>
          <w:szCs w:val="22"/>
          <w:highlight w:val="none"/>
          <w:shd w:val="clear" w:color="auto" w:fill="FFFFFF"/>
          <w:lang w:val="en-US" w:eastAsia="zh-CN" w:bidi="ar-SA"/>
        </w:rPr>
        <w:t>2025年06月20日</w:t>
      </w:r>
      <w:r>
        <w:rPr>
          <w:rFonts w:hint="eastAsia" w:ascii="宋体" w:hAnsi="宋体" w:eastAsia="宋体" w:cs="宋体"/>
          <w:color w:val="auto"/>
          <w:kern w:val="0"/>
          <w:sz w:val="22"/>
          <w:szCs w:val="22"/>
          <w:highlight w:val="none"/>
          <w:shd w:val="clear" w:color="auto" w:fill="FFFFFF"/>
          <w:lang w:val="en-US" w:eastAsia="zh-CN" w:bidi="ar-SA"/>
        </w:rPr>
        <w:t>，每天上午00:00至12:00 ，下午12:00至23:59（北京时间，线上获取法定节假日均可，线下获取文件法定节假日除外）</w:t>
      </w:r>
    </w:p>
    <w:p w14:paraId="0C63920A">
      <w:pPr>
        <w:spacing w:line="360" w:lineRule="auto"/>
        <w:ind w:firstLine="440" w:firstLineChars="200"/>
        <w:rPr>
          <w:rFonts w:hint="eastAsia" w:ascii="宋体" w:hAnsi="宋体" w:eastAsia="宋体" w:cs="宋体"/>
          <w:color w:val="auto"/>
          <w:kern w:val="0"/>
          <w:sz w:val="22"/>
          <w:szCs w:val="22"/>
          <w:highlight w:val="none"/>
          <w:shd w:val="clear" w:color="auto" w:fill="FFFFFF"/>
          <w:lang w:val="en-US" w:eastAsia="zh-CN" w:bidi="ar-SA"/>
        </w:rPr>
      </w:pPr>
      <w:r>
        <w:rPr>
          <w:rFonts w:hint="eastAsia" w:ascii="宋体" w:hAnsi="宋体" w:eastAsia="宋体" w:cs="宋体"/>
          <w:color w:val="auto"/>
          <w:kern w:val="0"/>
          <w:sz w:val="22"/>
          <w:szCs w:val="22"/>
          <w:highlight w:val="none"/>
          <w:shd w:val="clear" w:color="auto" w:fill="FFFFFF"/>
          <w:lang w:val="en-US" w:eastAsia="zh-CN" w:bidi="ar-SA"/>
        </w:rPr>
        <w:t xml:space="preserve">地点（网址）：乐采云平台（https://www.lecaiyun.com） </w:t>
      </w:r>
    </w:p>
    <w:p w14:paraId="35D61EAD">
      <w:pPr>
        <w:spacing w:line="360" w:lineRule="auto"/>
        <w:ind w:firstLine="440" w:firstLineChars="200"/>
        <w:rPr>
          <w:rFonts w:hint="eastAsia" w:ascii="宋体" w:hAnsi="宋体" w:eastAsia="宋体" w:cs="宋体"/>
          <w:color w:val="auto"/>
          <w:kern w:val="0"/>
          <w:sz w:val="22"/>
          <w:szCs w:val="22"/>
          <w:highlight w:val="none"/>
          <w:shd w:val="clear" w:color="auto" w:fill="FFFFFF"/>
          <w:lang w:val="en-US" w:eastAsia="zh-CN" w:bidi="ar-SA"/>
        </w:rPr>
      </w:pPr>
      <w:r>
        <w:rPr>
          <w:rFonts w:hint="eastAsia" w:ascii="宋体" w:hAnsi="宋体" w:eastAsia="宋体" w:cs="宋体"/>
          <w:color w:val="auto"/>
          <w:kern w:val="0"/>
          <w:sz w:val="22"/>
          <w:szCs w:val="22"/>
          <w:highlight w:val="none"/>
          <w:shd w:val="clear" w:color="auto" w:fill="FFFFFF"/>
          <w:lang w:val="en-US" w:eastAsia="zh-CN" w:bidi="ar-SA"/>
        </w:rPr>
        <w:t xml:space="preserve">方式：线上获取 </w:t>
      </w:r>
    </w:p>
    <w:p w14:paraId="018B5005">
      <w:pPr>
        <w:spacing w:line="360" w:lineRule="auto"/>
        <w:ind w:firstLine="440" w:firstLineChars="200"/>
        <w:rPr>
          <w:rFonts w:hint="eastAsia" w:ascii="宋体" w:hAnsi="宋体" w:eastAsia="宋体" w:cs="宋体"/>
          <w:color w:val="auto"/>
          <w:kern w:val="0"/>
          <w:sz w:val="22"/>
          <w:szCs w:val="22"/>
          <w:highlight w:val="none"/>
          <w:shd w:val="clear" w:color="auto" w:fill="FFFFFF"/>
          <w:lang w:val="en-US" w:eastAsia="zh-CN" w:bidi="ar-SA"/>
        </w:rPr>
      </w:pPr>
      <w:r>
        <w:rPr>
          <w:rFonts w:hint="eastAsia" w:ascii="宋体" w:hAnsi="宋体" w:eastAsia="宋体" w:cs="宋体"/>
          <w:color w:val="auto"/>
          <w:kern w:val="0"/>
          <w:sz w:val="22"/>
          <w:szCs w:val="22"/>
          <w:highlight w:val="none"/>
          <w:shd w:val="clear" w:color="auto" w:fill="FFFFFF"/>
          <w:lang w:val="en-US" w:eastAsia="zh-CN" w:bidi="ar-SA"/>
        </w:rPr>
        <w:t xml:space="preserve">售价（元）：0 </w:t>
      </w:r>
    </w:p>
    <w:p w14:paraId="2B188AC9">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四、提交投标文件截止时间、开标时间和地点</w:t>
      </w:r>
    </w:p>
    <w:p w14:paraId="7F2B695E">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1、投标截止时间：</w:t>
      </w:r>
      <w:r>
        <w:rPr>
          <w:rFonts w:hint="eastAsia" w:ascii="宋体" w:hAnsi="宋体" w:eastAsia="宋体" w:cs="宋体"/>
          <w:color w:val="auto"/>
          <w:sz w:val="22"/>
          <w:szCs w:val="22"/>
          <w:highlight w:val="none"/>
          <w:shd w:val="clear" w:color="auto" w:fill="FFFFFF"/>
          <w:lang w:eastAsia="zh-CN"/>
        </w:rPr>
        <w:t>2025年06月20日</w:t>
      </w:r>
      <w:r>
        <w:rPr>
          <w:rFonts w:hint="eastAsia" w:ascii="宋体" w:hAnsi="宋体" w:eastAsia="宋体" w:cs="宋体"/>
          <w:color w:val="auto"/>
          <w:sz w:val="22"/>
          <w:szCs w:val="22"/>
          <w:highlight w:val="none"/>
          <w:shd w:val="clear" w:color="auto" w:fill="FFFFFF"/>
          <w:lang w:val="en-US" w:eastAsia="zh-CN"/>
        </w:rPr>
        <w:t>09时00分</w:t>
      </w:r>
      <w:r>
        <w:rPr>
          <w:rFonts w:hint="eastAsia" w:ascii="宋体" w:hAnsi="宋体" w:eastAsia="宋体" w:cs="宋体"/>
          <w:color w:val="auto"/>
          <w:sz w:val="22"/>
          <w:szCs w:val="22"/>
          <w:highlight w:val="none"/>
          <w:shd w:val="clear" w:color="auto" w:fill="FFFFFF"/>
        </w:rPr>
        <w:t>（北京时间</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下同</w:t>
      </w:r>
      <w:r>
        <w:rPr>
          <w:rFonts w:hint="eastAsia" w:ascii="宋体" w:hAnsi="宋体" w:eastAsia="宋体" w:cs="宋体"/>
          <w:color w:val="auto"/>
          <w:sz w:val="22"/>
          <w:szCs w:val="22"/>
          <w:highlight w:val="none"/>
          <w:shd w:val="clear" w:color="auto" w:fill="FFFFFF"/>
        </w:rPr>
        <w:t>）</w:t>
      </w:r>
    </w:p>
    <w:p w14:paraId="53D3CB3E">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rPr>
      </w:pPr>
      <w:bookmarkStart w:id="2" w:name="_Toc35393794"/>
      <w:bookmarkStart w:id="3" w:name="_Toc28359084"/>
      <w:bookmarkStart w:id="4" w:name="_Toc35393625"/>
      <w:bookmarkStart w:id="5" w:name="_Toc28359007"/>
      <w:r>
        <w:rPr>
          <w:rFonts w:hint="eastAsia" w:ascii="宋体" w:hAnsi="宋体" w:eastAsia="宋体" w:cs="宋体"/>
          <w:color w:val="auto"/>
          <w:sz w:val="22"/>
          <w:szCs w:val="22"/>
          <w:highlight w:val="none"/>
          <w:shd w:val="clear" w:color="auto" w:fill="FFFFFF"/>
        </w:rPr>
        <w:t>2、投标地点(网址）：“</w:t>
      </w:r>
      <w:r>
        <w:rPr>
          <w:rFonts w:hint="eastAsia" w:ascii="宋体" w:hAnsi="宋体" w:eastAsia="宋体" w:cs="宋体"/>
          <w:color w:val="auto"/>
          <w:sz w:val="22"/>
          <w:szCs w:val="22"/>
          <w:highlight w:val="none"/>
          <w:shd w:val="clear" w:color="auto" w:fill="FFFFFF"/>
          <w:lang w:eastAsia="zh-CN"/>
        </w:rPr>
        <w:t>乐采云平台</w:t>
      </w:r>
      <w:r>
        <w:rPr>
          <w:rFonts w:hint="eastAsia" w:ascii="宋体" w:hAnsi="宋体" w:eastAsia="宋体" w:cs="宋体"/>
          <w:color w:val="auto"/>
          <w:sz w:val="22"/>
          <w:szCs w:val="22"/>
          <w:highlight w:val="none"/>
          <w:shd w:val="clear" w:color="auto" w:fill="FFFFFF"/>
        </w:rPr>
        <w:t>（</w:t>
      </w:r>
      <w:r>
        <w:rPr>
          <w:rFonts w:hint="eastAsia" w:ascii="宋体" w:hAnsi="宋体" w:eastAsia="宋体" w:cs="宋体"/>
          <w:color w:val="auto"/>
          <w:sz w:val="22"/>
          <w:szCs w:val="22"/>
          <w:highlight w:val="none"/>
          <w:shd w:val="clear" w:color="auto" w:fill="FFFFFF"/>
          <w:lang w:eastAsia="zh-CN"/>
        </w:rPr>
        <w:t>https://www.lecaiyun.com</w:t>
      </w:r>
      <w:r>
        <w:rPr>
          <w:rFonts w:hint="eastAsia" w:ascii="宋体" w:hAnsi="宋体" w:eastAsia="宋体" w:cs="宋体"/>
          <w:color w:val="auto"/>
          <w:sz w:val="22"/>
          <w:szCs w:val="22"/>
          <w:highlight w:val="none"/>
          <w:shd w:val="clear" w:color="auto" w:fill="FFFFFF"/>
        </w:rPr>
        <w:t>）”实行在线投标响应</w:t>
      </w:r>
    </w:p>
    <w:p w14:paraId="14235AFB">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3、开标时间：</w:t>
      </w:r>
      <w:bookmarkStart w:id="169" w:name="_GoBack"/>
      <w:bookmarkEnd w:id="169"/>
      <w:r>
        <w:rPr>
          <w:rFonts w:hint="eastAsia" w:ascii="宋体" w:hAnsi="宋体" w:eastAsia="宋体" w:cs="宋体"/>
          <w:color w:val="auto"/>
          <w:sz w:val="22"/>
          <w:szCs w:val="22"/>
          <w:highlight w:val="none"/>
          <w:shd w:val="clear" w:color="auto" w:fill="FFFFFF"/>
          <w:lang w:eastAsia="zh-CN"/>
        </w:rPr>
        <w:t>2025年06月20日</w:t>
      </w:r>
      <w:r>
        <w:rPr>
          <w:rFonts w:hint="eastAsia" w:ascii="宋体" w:hAnsi="宋体" w:eastAsia="宋体" w:cs="宋体"/>
          <w:color w:val="auto"/>
          <w:sz w:val="22"/>
          <w:szCs w:val="22"/>
          <w:highlight w:val="none"/>
          <w:shd w:val="clear" w:color="auto" w:fill="FFFFFF"/>
          <w:lang w:val="en-US" w:eastAsia="zh-CN"/>
        </w:rPr>
        <w:t>09时00分</w:t>
      </w:r>
    </w:p>
    <w:p w14:paraId="1D5822AE">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4、开评标地点（网址）：苍南县灵溪镇春晖路公投大厦--苍南县公共资源交易中心/“</w:t>
      </w:r>
      <w:r>
        <w:rPr>
          <w:rFonts w:hint="eastAsia" w:ascii="宋体" w:hAnsi="宋体" w:eastAsia="宋体" w:cs="宋体"/>
          <w:color w:val="auto"/>
          <w:sz w:val="22"/>
          <w:szCs w:val="22"/>
          <w:highlight w:val="none"/>
          <w:shd w:val="clear" w:color="auto" w:fill="FFFFFF"/>
          <w:lang w:eastAsia="zh-CN"/>
        </w:rPr>
        <w:t>乐采云平台</w:t>
      </w:r>
      <w:r>
        <w:rPr>
          <w:rFonts w:hint="eastAsia" w:ascii="宋体" w:hAnsi="宋体" w:eastAsia="宋体" w:cs="宋体"/>
          <w:color w:val="auto"/>
          <w:sz w:val="22"/>
          <w:szCs w:val="22"/>
          <w:highlight w:val="none"/>
          <w:shd w:val="clear" w:color="auto" w:fill="FFFFFF"/>
        </w:rPr>
        <w:t>（</w:t>
      </w:r>
      <w:r>
        <w:rPr>
          <w:rFonts w:hint="eastAsia" w:ascii="宋体" w:hAnsi="宋体" w:eastAsia="宋体" w:cs="宋体"/>
          <w:color w:val="auto"/>
          <w:sz w:val="22"/>
          <w:szCs w:val="22"/>
          <w:highlight w:val="none"/>
          <w:shd w:val="clear" w:color="auto" w:fill="FFFFFF"/>
          <w:lang w:eastAsia="zh-CN"/>
        </w:rPr>
        <w:t>https://www.lecaiyun.com</w:t>
      </w:r>
      <w:r>
        <w:rPr>
          <w:rFonts w:hint="eastAsia" w:ascii="宋体" w:hAnsi="宋体" w:eastAsia="宋体" w:cs="宋体"/>
          <w:color w:val="auto"/>
          <w:sz w:val="22"/>
          <w:szCs w:val="22"/>
          <w:highlight w:val="none"/>
          <w:shd w:val="clear" w:color="auto" w:fill="FFFFFF"/>
        </w:rPr>
        <w:t>）”</w:t>
      </w:r>
    </w:p>
    <w:p w14:paraId="40533C2F">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五、公告期限</w:t>
      </w:r>
      <w:bookmarkEnd w:id="2"/>
      <w:bookmarkEnd w:id="3"/>
      <w:bookmarkEnd w:id="4"/>
      <w:bookmarkEnd w:id="5"/>
    </w:p>
    <w:p w14:paraId="6D593437">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eastAsia="zh-CN"/>
        </w:rPr>
        <w:t>自本公告发布之日起5个工作日。</w:t>
      </w:r>
    </w:p>
    <w:p w14:paraId="3ED443BD">
      <w:pPr>
        <w:spacing w:line="360" w:lineRule="auto"/>
        <w:rPr>
          <w:rFonts w:hint="eastAsia" w:ascii="宋体" w:hAnsi="宋体" w:eastAsia="宋体" w:cs="宋体"/>
          <w:b/>
          <w:bCs/>
          <w:color w:val="auto"/>
          <w:sz w:val="24"/>
          <w:szCs w:val="24"/>
          <w:highlight w:val="none"/>
        </w:rPr>
      </w:pPr>
      <w:bookmarkStart w:id="6" w:name="_Toc35393626"/>
      <w:bookmarkStart w:id="7" w:name="_Toc35393795"/>
      <w:r>
        <w:rPr>
          <w:rFonts w:hint="eastAsia" w:ascii="宋体" w:hAnsi="宋体" w:eastAsia="宋体" w:cs="宋体"/>
          <w:b/>
          <w:bCs/>
          <w:color w:val="auto"/>
          <w:sz w:val="24"/>
          <w:szCs w:val="24"/>
          <w:highlight w:val="none"/>
        </w:rPr>
        <w:t>六、其他补充事宜</w:t>
      </w:r>
      <w:bookmarkEnd w:id="6"/>
      <w:bookmarkEnd w:id="7"/>
    </w:p>
    <w:p w14:paraId="4AA3FB1C">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eastAsia="zh-CN"/>
        </w:rPr>
      </w:pPr>
      <w:bookmarkStart w:id="8" w:name="_Toc35393627"/>
      <w:bookmarkStart w:id="9" w:name="_Toc28359008"/>
      <w:bookmarkStart w:id="10" w:name="_Toc35393796"/>
      <w:bookmarkStart w:id="11" w:name="_Toc28359085"/>
      <w:r>
        <w:rPr>
          <w:rFonts w:hint="eastAsia" w:ascii="宋体" w:hAnsi="宋体" w:eastAsia="宋体" w:cs="宋体"/>
          <w:color w:val="auto"/>
          <w:sz w:val="22"/>
          <w:szCs w:val="22"/>
          <w:highlight w:val="none"/>
          <w:shd w:val="clear" w:color="auto" w:fill="FFFFFF"/>
          <w:lang w:eastAsia="zh-CN"/>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人民法院提起诉讼。</w:t>
      </w:r>
    </w:p>
    <w:p w14:paraId="213952F4">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eastAsia="zh-CN"/>
        </w:rPr>
        <w:t>2.其他事项：投标供应商无需缴纳投标保证金。</w:t>
      </w:r>
    </w:p>
    <w:p w14:paraId="405C2681">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val="en-US" w:eastAsia="zh-CN"/>
        </w:rPr>
        <w:t>3.</w:t>
      </w:r>
      <w:r>
        <w:rPr>
          <w:rFonts w:hint="eastAsia" w:ascii="宋体" w:hAnsi="宋体" w:eastAsia="宋体" w:cs="宋体"/>
          <w:color w:val="auto"/>
          <w:sz w:val="22"/>
          <w:szCs w:val="22"/>
          <w:highlight w:val="none"/>
          <w:shd w:val="clear" w:color="auto" w:fill="FFFFFF"/>
          <w:lang w:eastAsia="zh-CN"/>
        </w:rPr>
        <w:t>本项目为</w:t>
      </w:r>
      <w:r>
        <w:rPr>
          <w:rFonts w:hint="eastAsia" w:ascii="宋体" w:hAnsi="宋体" w:eastAsia="宋体" w:cs="宋体"/>
          <w:color w:val="auto"/>
          <w:sz w:val="22"/>
          <w:szCs w:val="22"/>
          <w:highlight w:val="none"/>
          <w:shd w:val="clear" w:color="auto" w:fill="FFFFFF"/>
          <w:lang w:val="en-US" w:eastAsia="zh-CN"/>
        </w:rPr>
        <w:t>非政府</w:t>
      </w:r>
      <w:r>
        <w:rPr>
          <w:rFonts w:hint="eastAsia" w:ascii="宋体" w:hAnsi="宋体" w:eastAsia="宋体" w:cs="宋体"/>
          <w:color w:val="auto"/>
          <w:sz w:val="22"/>
          <w:szCs w:val="22"/>
          <w:highlight w:val="none"/>
          <w:shd w:val="clear" w:color="auto" w:fill="FFFFFF"/>
          <w:lang w:eastAsia="zh-CN"/>
        </w:rPr>
        <w:t>采购，参照相关规定执行，如与</w:t>
      </w:r>
      <w:r>
        <w:rPr>
          <w:rFonts w:hint="eastAsia" w:ascii="宋体" w:hAnsi="宋体" w:eastAsia="宋体" w:cs="宋体"/>
          <w:color w:val="auto"/>
          <w:sz w:val="22"/>
          <w:szCs w:val="22"/>
          <w:highlight w:val="none"/>
          <w:shd w:val="clear" w:color="auto" w:fill="FFFFFF"/>
          <w:lang w:val="en-US" w:eastAsia="zh-CN"/>
        </w:rPr>
        <w:t>政府采购法等</w:t>
      </w:r>
      <w:r>
        <w:rPr>
          <w:rFonts w:hint="eastAsia" w:ascii="宋体" w:hAnsi="宋体" w:eastAsia="宋体" w:cs="宋体"/>
          <w:color w:val="auto"/>
          <w:sz w:val="22"/>
          <w:szCs w:val="22"/>
          <w:highlight w:val="none"/>
          <w:shd w:val="clear" w:color="auto" w:fill="FFFFFF"/>
          <w:lang w:eastAsia="zh-CN"/>
        </w:rPr>
        <w:t>相关规定不一致以本采购文件为准。</w:t>
      </w:r>
    </w:p>
    <w:p w14:paraId="48CB6A02">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w:t>
      </w:r>
      <w:bookmarkEnd w:id="8"/>
      <w:bookmarkEnd w:id="9"/>
      <w:bookmarkEnd w:id="10"/>
      <w:bookmarkEnd w:id="11"/>
      <w:r>
        <w:rPr>
          <w:rFonts w:hint="eastAsia" w:ascii="宋体" w:hAnsi="宋体" w:eastAsia="宋体" w:cs="宋体"/>
          <w:b/>
          <w:bCs/>
          <w:color w:val="auto"/>
          <w:sz w:val="24"/>
          <w:szCs w:val="24"/>
          <w:highlight w:val="none"/>
        </w:rPr>
        <w:t>对本次采购提出询问、质疑，请按以下方式联系</w:t>
      </w:r>
    </w:p>
    <w:p w14:paraId="3DD2B0D0">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eastAsia="zh-CN"/>
        </w:rPr>
        <w:t>1.采购人信息</w:t>
      </w:r>
    </w:p>
    <w:p w14:paraId="4EDA1DB0">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eastAsia="zh-CN"/>
        </w:rPr>
        <w:t>名   称：苍南县交通建设材料科技有限公司</w:t>
      </w:r>
    </w:p>
    <w:p w14:paraId="22C90853">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eastAsia="zh-CN"/>
        </w:rPr>
        <w:t>地   址：浙江省温州市苍南县灵溪镇南路以北，规划站前综合楼东侧(苍南县交通发展集团有限公司2楼201室)</w:t>
      </w:r>
    </w:p>
    <w:p w14:paraId="372F2758">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eastAsia="zh-CN"/>
        </w:rPr>
        <w:t>传   </w:t>
      </w:r>
      <w:r>
        <w:rPr>
          <w:rFonts w:hint="eastAsia" w:ascii="宋体" w:hAnsi="宋体" w:eastAsia="宋体" w:cs="宋体"/>
          <w:color w:val="auto"/>
          <w:sz w:val="22"/>
          <w:szCs w:val="22"/>
          <w:highlight w:val="none"/>
          <w:shd w:val="clear" w:color="auto" w:fill="FFFFFF"/>
          <w:lang w:val="en-US" w:eastAsia="zh-CN"/>
        </w:rPr>
        <w:t xml:space="preserve"> </w:t>
      </w:r>
      <w:r>
        <w:rPr>
          <w:rFonts w:hint="eastAsia" w:ascii="宋体" w:hAnsi="宋体" w:eastAsia="宋体" w:cs="宋体"/>
          <w:color w:val="auto"/>
          <w:sz w:val="22"/>
          <w:szCs w:val="22"/>
          <w:highlight w:val="none"/>
          <w:shd w:val="clear" w:color="auto" w:fill="FFFFFF"/>
          <w:lang w:eastAsia="zh-CN"/>
        </w:rPr>
        <w:t>真：/</w:t>
      </w:r>
    </w:p>
    <w:p w14:paraId="2E24D5AD">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eastAsia="zh-CN"/>
        </w:rPr>
        <w:t>项目联系人（询问）：</w:t>
      </w:r>
      <w:r>
        <w:rPr>
          <w:rFonts w:hint="eastAsia" w:ascii="宋体" w:hAnsi="宋体" w:eastAsia="宋体" w:cs="宋体"/>
          <w:color w:val="auto"/>
          <w:sz w:val="22"/>
          <w:szCs w:val="22"/>
          <w:highlight w:val="none"/>
          <w:shd w:val="clear" w:color="auto" w:fill="FFFFFF"/>
          <w:lang w:val="en-US" w:eastAsia="zh-CN"/>
        </w:rPr>
        <w:t>章先生</w:t>
      </w:r>
    </w:p>
    <w:p w14:paraId="57DC69C6">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eastAsia="zh-CN"/>
        </w:rPr>
        <w:t>项目联系方式（询问）：0577-68800191</w:t>
      </w:r>
      <w:r>
        <w:rPr>
          <w:rFonts w:hint="eastAsia" w:ascii="宋体" w:hAnsi="宋体" w:eastAsia="宋体" w:cs="宋体"/>
          <w:i w:val="0"/>
          <w:iCs w:val="0"/>
          <w:caps w:val="0"/>
          <w:color w:val="auto"/>
          <w:spacing w:val="0"/>
          <w:sz w:val="22"/>
          <w:szCs w:val="22"/>
          <w:lang w:val="en-US" w:eastAsia="zh-CN"/>
        </w:rPr>
        <w:t xml:space="preserve"> </w:t>
      </w:r>
    </w:p>
    <w:p w14:paraId="37AF98F4">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eastAsia="zh-CN"/>
        </w:rPr>
        <w:t>2.采购代理机构信息</w:t>
      </w:r>
    </w:p>
    <w:p w14:paraId="774EC5C1">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eastAsia="zh-CN"/>
        </w:rPr>
        <w:t>名   称：浙江华域高宇项目管理有限公司</w:t>
      </w:r>
    </w:p>
    <w:p w14:paraId="1B803901">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eastAsia="zh-CN"/>
        </w:rPr>
        <w:t>地   址：苍南县灵溪镇矿业科技大厦A-1403室</w:t>
      </w:r>
    </w:p>
    <w:p w14:paraId="3829F955">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eastAsia="zh-CN"/>
        </w:rPr>
        <w:t>传    真：</w:t>
      </w:r>
      <w:r>
        <w:rPr>
          <w:rFonts w:hint="eastAsia" w:ascii="宋体" w:hAnsi="宋体" w:eastAsia="宋体" w:cs="宋体"/>
          <w:color w:val="auto"/>
          <w:sz w:val="22"/>
          <w:szCs w:val="22"/>
          <w:highlight w:val="none"/>
          <w:shd w:val="clear" w:color="auto" w:fill="FFFFFF"/>
          <w:lang w:val="en-US" w:eastAsia="zh-CN"/>
        </w:rPr>
        <w:t>/</w:t>
      </w:r>
    </w:p>
    <w:p w14:paraId="5C233AAD">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eastAsia="zh-CN"/>
        </w:rPr>
        <w:t>项目联系人（询问）：何先生</w:t>
      </w:r>
    </w:p>
    <w:p w14:paraId="6EC06E9E">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lang w:eastAsia="zh-CN"/>
        </w:rPr>
        <w:t>项目联系方式（询问）：15057385810</w:t>
      </w:r>
    </w:p>
    <w:p w14:paraId="79F41E3D">
      <w:pPr>
        <w:pStyle w:val="21"/>
        <w:shd w:val="clear" w:color="auto" w:fill="FFFFFF"/>
        <w:spacing w:before="60" w:beforeAutospacing="0" w:after="60" w:afterAutospacing="0" w:line="360" w:lineRule="auto"/>
        <w:ind w:firstLine="440" w:firstLineChars="200"/>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eastAsia="zh-CN"/>
        </w:rPr>
        <w:t>质疑联系人：</w:t>
      </w:r>
      <w:r>
        <w:rPr>
          <w:rFonts w:hint="eastAsia" w:ascii="宋体" w:hAnsi="宋体" w:eastAsia="宋体" w:cs="宋体"/>
          <w:color w:val="auto"/>
          <w:sz w:val="22"/>
          <w:szCs w:val="22"/>
          <w:highlight w:val="none"/>
          <w:shd w:val="clear" w:color="auto" w:fill="FFFFFF"/>
          <w:lang w:val="en-US" w:eastAsia="zh-CN"/>
        </w:rPr>
        <w:t>董玮靖</w:t>
      </w:r>
    </w:p>
    <w:p w14:paraId="6F101DA4">
      <w:pPr>
        <w:pStyle w:val="21"/>
        <w:shd w:val="clear" w:color="auto" w:fill="FFFFFF"/>
        <w:spacing w:before="60" w:beforeAutospacing="0" w:after="60" w:afterAutospacing="0" w:line="360" w:lineRule="auto"/>
        <w:ind w:firstLine="440" w:firstLineChars="200"/>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eastAsia="zh-CN"/>
        </w:rPr>
        <w:t>质疑联系方式：</w:t>
      </w:r>
      <w:r>
        <w:rPr>
          <w:rFonts w:hint="eastAsia" w:ascii="宋体" w:hAnsi="宋体" w:eastAsia="宋体" w:cs="宋体"/>
          <w:color w:val="auto"/>
          <w:sz w:val="22"/>
          <w:szCs w:val="22"/>
          <w:highlight w:val="none"/>
          <w:shd w:val="clear" w:color="auto" w:fill="FFFFFF"/>
          <w:lang w:val="en-US" w:eastAsia="zh-CN"/>
        </w:rPr>
        <w:t>0577-68875252</w:t>
      </w:r>
    </w:p>
    <w:p w14:paraId="41ED4330">
      <w:pPr>
        <w:pStyle w:val="21"/>
        <w:shd w:val="clear" w:color="auto" w:fill="FFFFFF"/>
        <w:spacing w:before="60" w:beforeAutospacing="0" w:after="60" w:afterAutospacing="0" w:line="360" w:lineRule="auto"/>
        <w:ind w:firstLine="440" w:firstLineChars="200"/>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3、备案机构信息</w:t>
      </w:r>
    </w:p>
    <w:p w14:paraId="3E3F5C16">
      <w:pPr>
        <w:pStyle w:val="21"/>
        <w:shd w:val="clear" w:color="auto" w:fill="FFFFFF"/>
        <w:spacing w:before="60" w:beforeAutospacing="0" w:after="60" w:afterAutospacing="0" w:line="360" w:lineRule="auto"/>
        <w:ind w:firstLine="440" w:firstLineChars="200"/>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名   称：苍南县交通发展集团有限公司</w:t>
      </w:r>
    </w:p>
    <w:p w14:paraId="1FD80BCC">
      <w:pPr>
        <w:pStyle w:val="21"/>
        <w:shd w:val="clear" w:color="auto" w:fill="FFFFFF"/>
        <w:spacing w:before="60" w:beforeAutospacing="0" w:after="60" w:afterAutospacing="0" w:line="360" w:lineRule="auto"/>
        <w:ind w:firstLine="440" w:firstLineChars="200"/>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地   址：温州市苍南县灵溪镇站南路以北，规划站前综合楼东侧</w:t>
      </w:r>
    </w:p>
    <w:p w14:paraId="00C846A3">
      <w:pPr>
        <w:pStyle w:val="21"/>
        <w:shd w:val="clear" w:color="auto" w:fill="FFFFFF"/>
        <w:spacing w:before="60" w:beforeAutospacing="0" w:after="60" w:afterAutospacing="0" w:line="360" w:lineRule="auto"/>
        <w:ind w:firstLine="440" w:firstLineChars="200"/>
        <w:rPr>
          <w:rFonts w:hint="eastAsia" w:ascii="宋体" w:hAnsi="宋体" w:eastAsia="宋体" w:cs="宋体"/>
          <w:color w:val="auto"/>
          <w:sz w:val="22"/>
          <w:szCs w:val="22"/>
          <w:highlight w:val="none"/>
          <w:shd w:val="clear" w:color="auto" w:fill="FFFFFF"/>
          <w:lang w:val="en-US" w:eastAsia="zh-CN"/>
        </w:rPr>
      </w:pPr>
      <w:bookmarkStart w:id="12" w:name="_Toc354996694"/>
      <w:bookmarkStart w:id="13" w:name="_Toc225840107"/>
    </w:p>
    <w:p w14:paraId="56603585">
      <w:pPr>
        <w:spacing w:line="360" w:lineRule="auto"/>
        <w:jc w:val="center"/>
        <w:outlineLvl w:val="0"/>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rPr>
        <w:br w:type="page"/>
      </w:r>
      <w:bookmarkStart w:id="14" w:name="_Toc4635"/>
      <w:r>
        <w:rPr>
          <w:rFonts w:hint="eastAsia" w:ascii="宋体" w:hAnsi="宋体" w:eastAsia="宋体" w:cs="宋体"/>
          <w:b/>
          <w:bCs/>
          <w:color w:val="auto"/>
          <w:sz w:val="28"/>
          <w:szCs w:val="28"/>
          <w:highlight w:val="none"/>
        </w:rPr>
        <w:t>第二部分  编制和提交投标文件须知</w:t>
      </w:r>
      <w:bookmarkEnd w:id="12"/>
      <w:bookmarkEnd w:id="14"/>
    </w:p>
    <w:p w14:paraId="5AE94791">
      <w:pPr>
        <w:keepNext/>
        <w:keepLines/>
        <w:shd w:val="clear" w:color="auto" w:fill="FFFFFF"/>
        <w:tabs>
          <w:tab w:val="left" w:pos="706"/>
        </w:tabs>
        <w:snapToGrid w:val="0"/>
        <w:spacing w:line="360" w:lineRule="auto"/>
        <w:ind w:left="560" w:firstLine="454"/>
        <w:jc w:val="center"/>
        <w:outlineLvl w:val="1"/>
        <w:rPr>
          <w:rFonts w:hint="eastAsia" w:ascii="宋体" w:hAnsi="宋体" w:eastAsia="宋体" w:cs="宋体"/>
          <w:b/>
          <w:bCs/>
          <w:color w:val="auto"/>
          <w:sz w:val="24"/>
          <w:highlight w:val="none"/>
        </w:rPr>
      </w:pPr>
      <w:bookmarkStart w:id="15" w:name="_Toc354996695"/>
      <w:bookmarkStart w:id="16" w:name="_Toc17543"/>
      <w:bookmarkStart w:id="17" w:name="_Toc233618971"/>
      <w:bookmarkStart w:id="18" w:name="_Toc33194387"/>
      <w:r>
        <w:rPr>
          <w:rFonts w:hint="eastAsia" w:ascii="宋体" w:hAnsi="宋体" w:eastAsia="宋体" w:cs="宋体"/>
          <w:b/>
          <w:bCs/>
          <w:color w:val="auto"/>
          <w:sz w:val="24"/>
          <w:highlight w:val="none"/>
        </w:rPr>
        <w:t>前 附 表</w:t>
      </w:r>
      <w:bookmarkEnd w:id="15"/>
      <w:bookmarkEnd w:id="16"/>
      <w:bookmarkEnd w:id="17"/>
      <w:bookmarkEnd w:id="18"/>
    </w:p>
    <w:tbl>
      <w:tblPr>
        <w:tblStyle w:val="23"/>
        <w:tblW w:w="90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28" w:type="dxa"/>
          <w:left w:w="28" w:type="dxa"/>
          <w:bottom w:w="28" w:type="dxa"/>
          <w:right w:w="28" w:type="dxa"/>
        </w:tblCellMar>
      </w:tblPr>
      <w:tblGrid>
        <w:gridCol w:w="655"/>
        <w:gridCol w:w="8438"/>
      </w:tblGrid>
      <w:tr w14:paraId="25814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9" w:hRule="atLeast"/>
          <w:tblHeader/>
          <w:jc w:val="center"/>
        </w:trPr>
        <w:tc>
          <w:tcPr>
            <w:tcW w:w="655" w:type="dxa"/>
            <w:tcBorders>
              <w:top w:val="single" w:color="000000" w:sz="8" w:space="0"/>
              <w:left w:val="single" w:color="000000" w:sz="8" w:space="0"/>
              <w:bottom w:val="single" w:color="000000" w:sz="2" w:space="0"/>
              <w:right w:val="single" w:color="000000" w:sz="2" w:space="0"/>
            </w:tcBorders>
            <w:noWrap w:val="0"/>
            <w:vAlign w:val="center"/>
          </w:tcPr>
          <w:p w14:paraId="08A6276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条款</w:t>
            </w:r>
          </w:p>
        </w:tc>
        <w:tc>
          <w:tcPr>
            <w:tcW w:w="8438" w:type="dxa"/>
            <w:tcBorders>
              <w:top w:val="single" w:color="000000" w:sz="8" w:space="0"/>
              <w:left w:val="single" w:color="000000" w:sz="2" w:space="0"/>
              <w:bottom w:val="single" w:color="000000" w:sz="2" w:space="0"/>
              <w:right w:val="single" w:color="000000" w:sz="8" w:space="0"/>
            </w:tcBorders>
            <w:noWrap w:val="0"/>
            <w:vAlign w:val="center"/>
          </w:tcPr>
          <w:p w14:paraId="1577B76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内容规定</w:t>
            </w:r>
          </w:p>
        </w:tc>
      </w:tr>
      <w:tr w14:paraId="52F88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71701D1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4B5BABAD">
            <w:pPr>
              <w:keepNext w:val="0"/>
              <w:keepLines w:val="0"/>
              <w:pageBreakBefore w:val="0"/>
              <w:kinsoku/>
              <w:wordWrap/>
              <w:overflowPunct/>
              <w:topLinePunct w:val="0"/>
              <w:bidi w:val="0"/>
              <w:adjustRightInd/>
              <w:snapToGrid w:val="0"/>
              <w:spacing w:line="36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项目说明</w:t>
            </w:r>
          </w:p>
          <w:p w14:paraId="3B5BB4ED">
            <w:pPr>
              <w:keepNext w:val="0"/>
              <w:keepLines w:val="0"/>
              <w:pageBreakBefore w:val="0"/>
              <w:tabs>
                <w:tab w:val="left" w:pos="3780"/>
              </w:tabs>
              <w:kinsoku/>
              <w:wordWrap/>
              <w:overflowPunct/>
              <w:topLinePunct w:val="0"/>
              <w:bidi w:val="0"/>
              <w:adjustRightInd/>
              <w:snapToGrid w:val="0"/>
              <w:spacing w:line="36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一、项目名称：</w:t>
            </w:r>
            <w:r>
              <w:rPr>
                <w:rFonts w:hint="eastAsia" w:ascii="宋体" w:hAnsi="宋体" w:cs="宋体"/>
                <w:bCs/>
                <w:color w:val="auto"/>
                <w:spacing w:val="-5"/>
                <w:kern w:val="20"/>
                <w:sz w:val="22"/>
                <w:szCs w:val="22"/>
                <w:highlight w:val="none"/>
                <w:lang w:eastAsia="zh-CN"/>
              </w:rPr>
              <w:t>苍南县交通工程养护基地项目热喷燃烧油采购</w:t>
            </w:r>
          </w:p>
          <w:p w14:paraId="71EDE1C3">
            <w:pPr>
              <w:keepNext w:val="0"/>
              <w:keepLines w:val="0"/>
              <w:pageBreakBefore w:val="0"/>
              <w:kinsoku/>
              <w:wordWrap/>
              <w:overflowPunct/>
              <w:topLinePunct w:val="0"/>
              <w:bidi w:val="0"/>
              <w:adjustRightInd/>
              <w:snapToGrid w:val="0"/>
              <w:spacing w:line="360" w:lineRule="exact"/>
              <w:jc w:val="both"/>
              <w:textAlignment w:val="auto"/>
              <w:rPr>
                <w:rFonts w:hint="eastAsia" w:ascii="宋体" w:hAnsi="宋体" w:eastAsia="宋体" w:cs="宋体"/>
                <w:bCs/>
                <w:color w:val="auto"/>
                <w:sz w:val="22"/>
                <w:szCs w:val="22"/>
                <w:highlight w:val="none"/>
              </w:rPr>
            </w:pPr>
            <w:bookmarkStart w:id="19" w:name="_Hlt75139851"/>
            <w:bookmarkEnd w:id="19"/>
            <w:r>
              <w:rPr>
                <w:rFonts w:hint="eastAsia" w:ascii="宋体" w:hAnsi="宋体" w:eastAsia="宋体" w:cs="宋体"/>
                <w:b/>
                <w:color w:val="auto"/>
                <w:sz w:val="22"/>
                <w:szCs w:val="22"/>
                <w:highlight w:val="none"/>
              </w:rPr>
              <w:t>二、项目实施地点：</w:t>
            </w:r>
            <w:r>
              <w:rPr>
                <w:rFonts w:hint="eastAsia" w:ascii="宋体" w:hAnsi="宋体" w:cs="宋体"/>
                <w:bCs/>
                <w:color w:val="auto"/>
                <w:spacing w:val="-5"/>
                <w:kern w:val="20"/>
                <w:sz w:val="22"/>
                <w:szCs w:val="22"/>
                <w:highlight w:val="none"/>
                <w:lang w:eastAsia="zh-CN"/>
              </w:rPr>
              <w:t>苍南县交通工程养护基地</w:t>
            </w:r>
          </w:p>
          <w:p w14:paraId="5734AF9C">
            <w:pPr>
              <w:keepNext w:val="0"/>
              <w:keepLines w:val="0"/>
              <w:pageBreakBefore w:val="0"/>
              <w:kinsoku/>
              <w:wordWrap/>
              <w:overflowPunct/>
              <w:topLinePunct w:val="0"/>
              <w:autoSpaceDE w:val="0"/>
              <w:autoSpaceDN w:val="0"/>
              <w:bidi w:val="0"/>
              <w:adjustRightInd/>
              <w:snapToGrid w:val="0"/>
              <w:spacing w:line="36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三、主要功能和性能要求：</w:t>
            </w:r>
            <w:r>
              <w:rPr>
                <w:rFonts w:hint="eastAsia" w:ascii="宋体" w:hAnsi="宋体" w:eastAsia="宋体" w:cs="宋体"/>
                <w:color w:val="auto"/>
                <w:sz w:val="22"/>
                <w:szCs w:val="22"/>
                <w:highlight w:val="none"/>
              </w:rPr>
              <w:t>详见第三部分——项目技术规范和服务要求。</w:t>
            </w:r>
          </w:p>
          <w:p w14:paraId="03BAC400">
            <w:pPr>
              <w:keepNext w:val="0"/>
              <w:keepLines w:val="0"/>
              <w:pageBreakBefore w:val="0"/>
              <w:shd w:val="clear" w:color="auto" w:fill="FFFFFF"/>
              <w:kinsoku/>
              <w:wordWrap/>
              <w:overflowPunct/>
              <w:topLinePunct w:val="0"/>
              <w:bidi w:val="0"/>
              <w:adjustRightInd/>
              <w:snapToGrid w:val="0"/>
              <w:spacing w:line="360" w:lineRule="exact"/>
              <w:jc w:val="both"/>
              <w:textAlignment w:val="auto"/>
              <w:rPr>
                <w:rFonts w:hint="eastAsia" w:ascii="宋体" w:hAnsi="宋体" w:eastAsia="宋体" w:cs="宋体"/>
                <w:b/>
                <w:bCs w:val="0"/>
                <w:sz w:val="22"/>
                <w:szCs w:val="22"/>
                <w:highlight w:val="none"/>
                <w:lang w:val="en-US" w:eastAsia="zh-CN"/>
              </w:rPr>
            </w:pPr>
            <w:r>
              <w:rPr>
                <w:rFonts w:hint="eastAsia" w:ascii="宋体" w:hAnsi="宋体" w:eastAsia="宋体" w:cs="宋体"/>
                <w:b/>
                <w:color w:val="auto"/>
                <w:sz w:val="22"/>
                <w:szCs w:val="22"/>
                <w:highlight w:val="none"/>
              </w:rPr>
              <w:t>四、</w:t>
            </w:r>
            <w:r>
              <w:rPr>
                <w:rFonts w:hint="eastAsia" w:ascii="宋体" w:hAnsi="宋体" w:cs="宋体"/>
                <w:b/>
                <w:color w:val="auto"/>
                <w:sz w:val="22"/>
                <w:szCs w:val="22"/>
                <w:highlight w:val="none"/>
                <w:lang w:val="en-US" w:eastAsia="zh-CN"/>
              </w:rPr>
              <w:t>供货期</w:t>
            </w:r>
            <w:r>
              <w:rPr>
                <w:rFonts w:hint="eastAsia" w:ascii="宋体" w:hAnsi="宋体" w:eastAsia="宋体" w:cs="宋体"/>
                <w:b/>
                <w:color w:val="auto"/>
                <w:sz w:val="22"/>
                <w:szCs w:val="22"/>
                <w:highlight w:val="none"/>
              </w:rPr>
              <w:t>：</w:t>
            </w:r>
            <w:r>
              <w:rPr>
                <w:rFonts w:hint="default" w:ascii="宋体" w:hAnsi="宋体" w:eastAsia="宋体" w:cs="宋体"/>
                <w:b/>
                <w:bCs w:val="0"/>
                <w:sz w:val="22"/>
                <w:szCs w:val="22"/>
                <w:highlight w:val="none"/>
                <w:lang w:val="en-US" w:eastAsia="zh-CN"/>
              </w:rPr>
              <w:t>采用1+1形式</w:t>
            </w:r>
            <w:r>
              <w:rPr>
                <w:rFonts w:hint="eastAsia" w:ascii="宋体" w:hAnsi="宋体" w:eastAsia="宋体" w:cs="宋体"/>
                <w:b/>
                <w:bCs w:val="0"/>
                <w:sz w:val="22"/>
                <w:szCs w:val="22"/>
                <w:highlight w:val="none"/>
                <w:lang w:val="en-US" w:eastAsia="zh-CN"/>
              </w:rPr>
              <w:t>。如供货期1年未满，预算额度已用完的合同自动终止；如供货期1年满后，预算额度未用完的合同自动终止。如中标供应商的货物及服务考核结果达到采购人要求，经采购人和相关部门同意后，可以参照相关规定按原合同续签下一年度合同；未达到采购人评定要求的，采购人有权拒绝签订下一年度合同。</w:t>
            </w:r>
          </w:p>
          <w:p w14:paraId="71DE4F87">
            <w:pPr>
              <w:keepNext w:val="0"/>
              <w:keepLines w:val="0"/>
              <w:pageBreakBefore w:val="0"/>
              <w:kinsoku/>
              <w:wordWrap/>
              <w:overflowPunct/>
              <w:topLinePunct w:val="0"/>
              <w:autoSpaceDE w:val="0"/>
              <w:autoSpaceDN w:val="0"/>
              <w:bidi w:val="0"/>
              <w:adjustRightInd/>
              <w:snapToGrid w:val="0"/>
              <w:spacing w:line="360" w:lineRule="exact"/>
              <w:jc w:val="both"/>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color w:val="auto"/>
                <w:sz w:val="22"/>
                <w:szCs w:val="22"/>
                <w:highlight w:val="none"/>
              </w:rPr>
              <w:t>五、</w:t>
            </w:r>
            <w:r>
              <w:rPr>
                <w:rFonts w:hint="eastAsia" w:ascii="宋体" w:hAnsi="宋体" w:eastAsia="宋体" w:cs="宋体"/>
                <w:b/>
                <w:color w:val="auto"/>
                <w:sz w:val="22"/>
                <w:szCs w:val="22"/>
                <w:highlight w:val="none"/>
                <w:lang w:val="zh-CN"/>
              </w:rPr>
              <w:t>采购预算</w:t>
            </w:r>
            <w:r>
              <w:rPr>
                <w:rFonts w:hint="eastAsia" w:ascii="宋体" w:hAnsi="宋体" w:eastAsia="宋体" w:cs="宋体"/>
                <w:b/>
                <w:color w:val="auto"/>
                <w:sz w:val="22"/>
                <w:szCs w:val="22"/>
                <w:highlight w:val="none"/>
              </w:rPr>
              <w:t>金额</w:t>
            </w:r>
            <w:r>
              <w:rPr>
                <w:rFonts w:hint="eastAsia" w:ascii="宋体" w:hAnsi="宋体" w:eastAsia="宋体" w:cs="宋体"/>
                <w:b/>
                <w:color w:val="auto"/>
                <w:sz w:val="22"/>
                <w:szCs w:val="22"/>
                <w:highlight w:val="none"/>
                <w:lang w:val="zh-CN"/>
              </w:rPr>
              <w:t>：</w:t>
            </w:r>
            <w:r>
              <w:rPr>
                <w:rFonts w:hint="eastAsia" w:ascii="宋体" w:hAnsi="宋体" w:eastAsia="宋体" w:cs="宋体"/>
                <w:b/>
                <w:bCs/>
                <w:color w:val="auto"/>
                <w:sz w:val="22"/>
                <w:szCs w:val="22"/>
                <w:highlight w:val="none"/>
                <w:lang w:val="zh-CN"/>
              </w:rPr>
              <w:t>人民币</w:t>
            </w:r>
            <w:r>
              <w:rPr>
                <w:rFonts w:hint="eastAsia" w:ascii="宋体" w:hAnsi="宋体" w:cs="宋体"/>
                <w:b/>
                <w:bCs/>
                <w:color w:val="auto"/>
                <w:sz w:val="22"/>
                <w:szCs w:val="22"/>
                <w:highlight w:val="none"/>
                <w:u w:val="single"/>
                <w:lang w:val="en-US" w:eastAsia="zh-CN"/>
              </w:rPr>
              <w:t xml:space="preserve"> 3390000 </w:t>
            </w:r>
            <w:r>
              <w:rPr>
                <w:rFonts w:hint="eastAsia" w:ascii="宋体" w:hAnsi="宋体" w:eastAsia="宋体" w:cs="宋体"/>
                <w:b/>
                <w:bCs/>
                <w:color w:val="auto"/>
                <w:sz w:val="22"/>
                <w:szCs w:val="22"/>
                <w:highlight w:val="none"/>
                <w:lang w:val="zh-CN"/>
              </w:rPr>
              <w:t>元</w:t>
            </w:r>
            <w:r>
              <w:rPr>
                <w:rFonts w:hint="eastAsia" w:ascii="宋体" w:hAnsi="宋体" w:eastAsia="宋体" w:cs="宋体"/>
                <w:color w:val="auto"/>
                <w:sz w:val="22"/>
                <w:szCs w:val="22"/>
                <w:highlight w:val="none"/>
                <w:shd w:val="clear" w:color="auto" w:fill="FFFFFF"/>
                <w:lang w:val="en-US" w:eastAsia="zh-CN"/>
              </w:rPr>
              <w:t>（</w:t>
            </w:r>
            <w:r>
              <w:rPr>
                <w:rFonts w:hint="eastAsia" w:ascii="宋体" w:hAnsi="宋体" w:eastAsia="宋体" w:cs="宋体"/>
                <w:b/>
                <w:bCs w:val="0"/>
                <w:sz w:val="22"/>
                <w:szCs w:val="22"/>
                <w:lang w:eastAsia="zh-CN"/>
              </w:rPr>
              <w:t>采购预算仅作参考，不作为结算依据</w:t>
            </w:r>
            <w:r>
              <w:rPr>
                <w:rFonts w:hint="eastAsia" w:ascii="宋体" w:hAnsi="宋体" w:eastAsia="宋体" w:cs="宋体"/>
                <w:b/>
                <w:bCs w:val="0"/>
                <w:sz w:val="22"/>
                <w:szCs w:val="22"/>
                <w:lang w:val="en-US" w:eastAsia="zh-CN"/>
              </w:rPr>
              <w:t>）</w:t>
            </w:r>
            <w:r>
              <w:rPr>
                <w:rFonts w:hint="eastAsia" w:ascii="宋体" w:hAnsi="宋体" w:cs="宋体"/>
                <w:b/>
                <w:bCs/>
                <w:color w:val="auto"/>
                <w:sz w:val="22"/>
                <w:szCs w:val="22"/>
                <w:highlight w:val="none"/>
                <w:lang w:val="zh-CN"/>
              </w:rPr>
              <w:t>。</w:t>
            </w:r>
            <w:r>
              <w:rPr>
                <w:rFonts w:hint="eastAsia" w:ascii="宋体" w:hAnsi="宋体" w:eastAsia="宋体" w:cs="宋体"/>
                <w:b/>
                <w:bCs/>
                <w:color w:val="auto"/>
                <w:kern w:val="2"/>
                <w:sz w:val="22"/>
                <w:szCs w:val="22"/>
                <w:highlight w:val="none"/>
                <w:u w:val="none"/>
                <w:lang w:val="en-US" w:eastAsia="zh-CN" w:bidi="ar-SA"/>
              </w:rPr>
              <w:t>报价采用折扣率形式，折扣率必须≤100%，折扣率未≤100%的作无效标处理（即折扣率≤100%为有效报价；如折扣率92%，即打9.2折）。</w:t>
            </w:r>
          </w:p>
        </w:tc>
      </w:tr>
      <w:tr w14:paraId="7A218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55EE59E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6750C23B">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投标</w:t>
            </w:r>
            <w:r>
              <w:rPr>
                <w:rFonts w:hint="eastAsia" w:ascii="宋体" w:hAnsi="宋体" w:eastAsia="宋体" w:cs="宋体"/>
                <w:b/>
                <w:bCs/>
                <w:color w:val="auto"/>
                <w:sz w:val="22"/>
                <w:szCs w:val="22"/>
                <w:highlight w:val="none"/>
              </w:rPr>
              <w:t>有效期：</w:t>
            </w:r>
            <w:r>
              <w:rPr>
                <w:rFonts w:hint="eastAsia" w:ascii="宋体" w:hAnsi="宋体" w:eastAsia="宋体" w:cs="宋体"/>
                <w:color w:val="auto"/>
                <w:sz w:val="22"/>
                <w:szCs w:val="22"/>
                <w:highlight w:val="none"/>
              </w:rPr>
              <w:t>自投标截止日起90天。</w:t>
            </w:r>
          </w:p>
        </w:tc>
      </w:tr>
      <w:tr w14:paraId="2BAA6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7B1C8E1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6ABA0CD8">
            <w:pPr>
              <w:keepNext w:val="0"/>
              <w:keepLines w:val="0"/>
              <w:pageBreakBefore w:val="0"/>
              <w:widowControl/>
              <w:kinsoku/>
              <w:wordWrap/>
              <w:overflowPunct/>
              <w:topLinePunct w:val="0"/>
              <w:bidi w:val="0"/>
              <w:adjustRightInd/>
              <w:snapToGrid w:val="0"/>
              <w:spacing w:line="36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w:t>
            </w:r>
            <w:r>
              <w:rPr>
                <w:rFonts w:hint="eastAsia" w:ascii="宋体" w:hAnsi="宋体" w:eastAsia="宋体" w:cs="宋体"/>
                <w:color w:val="auto"/>
                <w:sz w:val="22"/>
                <w:szCs w:val="22"/>
                <w:highlight w:val="none"/>
              </w:rPr>
              <w:t>投标供应商无需缴纳投标保证金。</w:t>
            </w:r>
          </w:p>
        </w:tc>
      </w:tr>
      <w:tr w14:paraId="31C3B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5B4D5BC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231D784C">
            <w:pPr>
              <w:pStyle w:val="57"/>
              <w:keepNext w:val="0"/>
              <w:keepLines w:val="0"/>
              <w:pageBreakBefore w:val="0"/>
              <w:widowControl/>
              <w:kinsoku/>
              <w:wordWrap/>
              <w:overflowPunct/>
              <w:topLinePunct w:val="0"/>
              <w:autoSpaceDE/>
              <w:autoSpaceDN/>
              <w:bidi w:val="0"/>
              <w:snapToGrid/>
              <w:spacing w:before="0" w:beforeAutospacing="0" w:afterAutospacing="0" w:line="440" w:lineRule="exact"/>
              <w:jc w:val="both"/>
              <w:textAlignment w:val="baseline"/>
              <w:rPr>
                <w:rStyle w:val="58"/>
                <w:rFonts w:hint="eastAsia" w:ascii="宋体" w:hAnsi="宋体" w:eastAsia="宋体" w:cs="宋体"/>
                <w:b w:val="0"/>
                <w:i w:val="0"/>
                <w:caps w:val="0"/>
                <w:color w:val="000000"/>
                <w:spacing w:val="0"/>
                <w:w w:val="100"/>
                <w:kern w:val="2"/>
                <w:sz w:val="22"/>
                <w:szCs w:val="22"/>
                <w:lang w:val="en-US" w:eastAsia="zh-CN" w:bidi="ar-SA"/>
              </w:rPr>
            </w:pPr>
            <w:r>
              <w:rPr>
                <w:rStyle w:val="58"/>
                <w:rFonts w:hint="eastAsia" w:ascii="宋体" w:hAnsi="宋体" w:eastAsia="宋体" w:cs="宋体"/>
                <w:b w:val="0"/>
                <w:i w:val="0"/>
                <w:caps w:val="0"/>
                <w:color w:val="000000"/>
                <w:spacing w:val="0"/>
                <w:w w:val="100"/>
                <w:kern w:val="2"/>
                <w:sz w:val="22"/>
                <w:szCs w:val="22"/>
                <w:lang w:val="en-US" w:eastAsia="zh-CN" w:bidi="ar-SA"/>
              </w:rPr>
              <w:t>如遇“乐采云平台”对系统调整的，按调整后执行，供应商需自行关注网站平台，代理机构或采购人不再另行通知。</w:t>
            </w:r>
          </w:p>
          <w:p w14:paraId="175CE9CF">
            <w:pPr>
              <w:keepNext w:val="0"/>
              <w:keepLines w:val="0"/>
              <w:pageBreakBefore w:val="0"/>
              <w:widowControl/>
              <w:kinsoku/>
              <w:wordWrap/>
              <w:overflowPunct/>
              <w:topLinePunct w:val="0"/>
              <w:autoSpaceDE/>
              <w:autoSpaceDN/>
              <w:bidi w:val="0"/>
              <w:adjustRightInd/>
              <w:snapToGrid/>
              <w:spacing w:line="440" w:lineRule="exact"/>
              <w:ind w:right="96"/>
              <w:jc w:val="both"/>
              <w:rPr>
                <w:rFonts w:hint="default" w:ascii="宋体" w:hAnsi="宋体" w:eastAsia="宋体" w:cs="宋体"/>
                <w:b w:val="0"/>
                <w:bCs w:val="0"/>
                <w:sz w:val="22"/>
                <w:szCs w:val="22"/>
                <w:highlight w:val="none"/>
                <w:u w:val="single"/>
                <w:lang w:val="en-US" w:eastAsia="zh-CN"/>
              </w:rPr>
            </w:pPr>
            <w:r>
              <w:rPr>
                <w:rFonts w:hint="eastAsia" w:ascii="宋体" w:hAnsi="宋体" w:eastAsia="宋体" w:cs="宋体"/>
                <w:b w:val="0"/>
                <w:bCs w:val="0"/>
                <w:color w:val="000000"/>
                <w:sz w:val="22"/>
                <w:szCs w:val="22"/>
                <w:highlight w:val="none"/>
              </w:rPr>
              <w:t>招标</w:t>
            </w:r>
            <w:r>
              <w:rPr>
                <w:rFonts w:hint="eastAsia" w:ascii="宋体" w:hAnsi="宋体" w:cs="宋体"/>
                <w:b w:val="0"/>
                <w:bCs w:val="0"/>
                <w:color w:val="000000"/>
                <w:sz w:val="22"/>
                <w:szCs w:val="22"/>
                <w:highlight w:val="none"/>
                <w:lang w:val="en-US" w:eastAsia="zh-CN"/>
              </w:rPr>
              <w:t>代理</w:t>
            </w:r>
            <w:r>
              <w:rPr>
                <w:rFonts w:hint="eastAsia" w:ascii="宋体" w:hAnsi="宋体" w:eastAsia="宋体" w:cs="宋体"/>
                <w:b w:val="0"/>
                <w:bCs w:val="0"/>
                <w:color w:val="000000"/>
                <w:sz w:val="22"/>
                <w:szCs w:val="22"/>
                <w:highlight w:val="none"/>
              </w:rPr>
              <w:t>服务费：</w:t>
            </w:r>
            <w:r>
              <w:rPr>
                <w:rFonts w:hint="eastAsia" w:ascii="宋体" w:hAnsi="宋体" w:eastAsia="宋体" w:cs="宋体"/>
                <w:b w:val="0"/>
                <w:bCs/>
                <w:sz w:val="22"/>
                <w:szCs w:val="22"/>
              </w:rPr>
              <w:t>中标人向招标代理机构支付</w:t>
            </w:r>
            <w:r>
              <w:rPr>
                <w:rFonts w:hint="eastAsia" w:ascii="宋体" w:hAnsi="宋体" w:cs="宋体"/>
                <w:b w:val="0"/>
                <w:bCs w:val="0"/>
                <w:color w:val="000000"/>
                <w:sz w:val="22"/>
                <w:szCs w:val="22"/>
                <w:highlight w:val="none"/>
                <w:u w:val="single"/>
                <w:lang w:val="en-US" w:eastAsia="zh-CN" w:bidi="ar-SA"/>
              </w:rPr>
              <w:t xml:space="preserve"> 45000</w:t>
            </w:r>
            <w:r>
              <w:rPr>
                <w:rFonts w:hint="eastAsia" w:ascii="宋体" w:hAnsi="宋体" w:eastAsia="宋体" w:cs="宋体"/>
                <w:b w:val="0"/>
                <w:bCs w:val="0"/>
                <w:color w:val="000000"/>
                <w:sz w:val="22"/>
                <w:szCs w:val="22"/>
                <w:highlight w:val="none"/>
                <w:u w:val="single"/>
                <w:lang w:val="en-US" w:eastAsia="zh-CN" w:bidi="ar-SA"/>
              </w:rPr>
              <w:t>元</w:t>
            </w:r>
            <w:r>
              <w:rPr>
                <w:rFonts w:hint="eastAsia" w:ascii="宋体" w:hAnsi="宋体" w:eastAsia="宋体" w:cs="宋体"/>
                <w:b w:val="0"/>
                <w:bCs/>
                <w:sz w:val="22"/>
                <w:szCs w:val="22"/>
              </w:rPr>
              <w:t>的招标代理服务费，招标代理服务费包含在投标总价中</w:t>
            </w:r>
            <w:r>
              <w:rPr>
                <w:rFonts w:hint="eastAsia" w:ascii="宋体" w:hAnsi="宋体" w:eastAsia="宋体" w:cs="宋体"/>
                <w:b w:val="0"/>
                <w:bCs/>
                <w:sz w:val="22"/>
                <w:szCs w:val="22"/>
                <w:lang w:eastAsia="zh-CN"/>
              </w:rPr>
              <w:t>，</w:t>
            </w:r>
            <w:r>
              <w:rPr>
                <w:rFonts w:hint="eastAsia" w:ascii="宋体" w:hAnsi="宋体" w:eastAsia="宋体" w:cs="宋体"/>
                <w:b w:val="0"/>
                <w:bCs/>
                <w:sz w:val="22"/>
                <w:szCs w:val="22"/>
                <w:lang w:val="en-US" w:eastAsia="zh-CN"/>
              </w:rPr>
              <w:t>不单列</w:t>
            </w:r>
            <w:r>
              <w:rPr>
                <w:rFonts w:hint="eastAsia" w:ascii="宋体" w:hAnsi="宋体" w:cs="宋体"/>
                <w:b w:val="0"/>
                <w:bCs w:val="0"/>
                <w:color w:val="000000"/>
                <w:sz w:val="22"/>
                <w:szCs w:val="22"/>
                <w:highlight w:val="none"/>
                <w:lang w:val="en-US" w:eastAsia="zh-CN"/>
              </w:rPr>
              <w:t>。</w:t>
            </w:r>
          </w:p>
          <w:p w14:paraId="614DA257">
            <w:pPr>
              <w:keepNext w:val="0"/>
              <w:keepLines w:val="0"/>
              <w:pageBreakBefore w:val="0"/>
              <w:widowControl/>
              <w:kinsoku/>
              <w:wordWrap/>
              <w:overflowPunct/>
              <w:topLinePunct w:val="0"/>
              <w:bidi w:val="0"/>
              <w:adjustRightInd/>
              <w:spacing w:before="99" w:after="99" w:line="360" w:lineRule="exact"/>
              <w:ind w:right="96"/>
              <w:jc w:val="both"/>
              <w:textAlignment w:val="auto"/>
              <w:rPr>
                <w:rFonts w:hint="eastAsia" w:ascii="宋体" w:hAnsi="宋体" w:eastAsia="宋体" w:cs="宋体"/>
                <w:color w:val="auto"/>
                <w:sz w:val="22"/>
                <w:szCs w:val="22"/>
                <w:highlight w:val="none"/>
              </w:rPr>
            </w:pPr>
            <w:r>
              <w:rPr>
                <w:rFonts w:hint="eastAsia" w:ascii="宋体" w:hAnsi="宋体" w:eastAsia="宋体" w:cs="宋体"/>
                <w:b w:val="0"/>
                <w:bCs w:val="0"/>
                <w:sz w:val="22"/>
                <w:szCs w:val="22"/>
                <w:highlight w:val="none"/>
                <w:u w:val="none"/>
              </w:rPr>
              <w:t>电子信息交易费</w:t>
            </w:r>
            <w:r>
              <w:rPr>
                <w:rFonts w:hint="eastAsia" w:ascii="宋体" w:hAnsi="宋体" w:eastAsia="宋体" w:cs="宋体"/>
                <w:b w:val="0"/>
                <w:bCs w:val="0"/>
                <w:sz w:val="22"/>
                <w:szCs w:val="22"/>
                <w:highlight w:val="none"/>
                <w:u w:val="none"/>
                <w:lang w:eastAsia="zh-CN"/>
              </w:rPr>
              <w:t>：</w:t>
            </w:r>
            <w:r>
              <w:rPr>
                <w:rFonts w:hint="eastAsia" w:ascii="宋体" w:hAnsi="宋体" w:eastAsia="宋体" w:cs="宋体"/>
                <w:b w:val="0"/>
                <w:bCs w:val="0"/>
                <w:sz w:val="22"/>
                <w:szCs w:val="22"/>
                <w:highlight w:val="none"/>
                <w:u w:val="none"/>
              </w:rPr>
              <w:t>中标供应商向乐采云公司支付中标价</w:t>
            </w:r>
            <w:r>
              <w:rPr>
                <w:rFonts w:hint="eastAsia" w:ascii="宋体" w:hAnsi="宋体" w:eastAsia="宋体" w:cs="宋体"/>
                <w:b w:val="0"/>
                <w:bCs w:val="0"/>
                <w:sz w:val="22"/>
                <w:szCs w:val="22"/>
                <w:highlight w:val="none"/>
                <w:u w:val="single"/>
              </w:rPr>
              <w:t>万分之五（下限500元，上限8000元）</w:t>
            </w:r>
            <w:r>
              <w:rPr>
                <w:rFonts w:hint="eastAsia" w:ascii="宋体" w:hAnsi="宋体" w:eastAsia="宋体" w:cs="宋体"/>
                <w:b w:val="0"/>
                <w:bCs w:val="0"/>
                <w:sz w:val="22"/>
                <w:szCs w:val="22"/>
                <w:highlight w:val="none"/>
                <w:u w:val="none"/>
              </w:rPr>
              <w:t>的电子信息交易费</w:t>
            </w:r>
            <w:r>
              <w:rPr>
                <w:rFonts w:hint="eastAsia" w:ascii="宋体" w:hAnsi="宋体" w:eastAsia="宋体" w:cs="宋体"/>
                <w:b w:val="0"/>
                <w:bCs w:val="0"/>
                <w:sz w:val="22"/>
                <w:szCs w:val="22"/>
                <w:highlight w:val="none"/>
                <w:u w:val="none"/>
                <w:lang w:eastAsia="zh-CN"/>
              </w:rPr>
              <w:t>，</w:t>
            </w:r>
            <w:r>
              <w:rPr>
                <w:rFonts w:hint="eastAsia" w:ascii="宋体" w:hAnsi="宋体" w:eastAsia="宋体" w:cs="宋体"/>
                <w:b w:val="0"/>
                <w:bCs w:val="0"/>
                <w:sz w:val="22"/>
                <w:szCs w:val="22"/>
                <w:highlight w:val="none"/>
                <w:u w:val="none"/>
                <w:lang w:val="en-US" w:eastAsia="zh-CN"/>
              </w:rPr>
              <w:t>不单列</w:t>
            </w:r>
            <w:r>
              <w:rPr>
                <w:rFonts w:hint="eastAsia" w:ascii="宋体" w:hAnsi="宋体" w:eastAsia="宋体" w:cs="宋体"/>
                <w:b w:val="0"/>
                <w:bCs w:val="0"/>
                <w:sz w:val="22"/>
                <w:szCs w:val="22"/>
                <w:highlight w:val="none"/>
                <w:u w:val="none"/>
              </w:rPr>
              <w:t>。</w:t>
            </w:r>
          </w:p>
        </w:tc>
      </w:tr>
      <w:tr w14:paraId="57F51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2F7B70D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4259C2D6">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b/>
                <w:bCs/>
                <w:color w:val="auto"/>
                <w:sz w:val="22"/>
                <w:szCs w:val="22"/>
                <w:highlight w:val="none"/>
                <w:lang w:bidi="ar"/>
              </w:rPr>
              <w:t>投标文件的组成：</w:t>
            </w:r>
            <w:r>
              <w:rPr>
                <w:rFonts w:hint="eastAsia" w:ascii="宋体" w:hAnsi="宋体" w:eastAsia="宋体" w:cs="宋体"/>
                <w:color w:val="auto"/>
                <w:sz w:val="22"/>
                <w:szCs w:val="22"/>
                <w:highlight w:val="none"/>
                <w:lang w:bidi="ar"/>
              </w:rPr>
              <w:t>完整的《投标文件》由“资格文件”、“报价文件”和“商务技术文件”三个部分组成。</w:t>
            </w:r>
          </w:p>
        </w:tc>
      </w:tr>
      <w:tr w14:paraId="62817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380EDAC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1F95CF67">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b/>
                <w:bCs/>
                <w:color w:val="auto"/>
                <w:sz w:val="22"/>
                <w:szCs w:val="22"/>
                <w:highlight w:val="none"/>
                <w:lang w:bidi="ar"/>
              </w:rPr>
              <w:t>投标文件的编制：</w:t>
            </w:r>
            <w:r>
              <w:rPr>
                <w:rFonts w:hint="eastAsia" w:ascii="宋体" w:hAnsi="宋体" w:eastAsia="宋体" w:cs="宋体"/>
                <w:color w:val="auto"/>
                <w:sz w:val="22"/>
                <w:szCs w:val="22"/>
                <w:highlight w:val="none"/>
                <w:lang w:bidi="ar"/>
              </w:rPr>
              <w:t>供应商应先安装“</w:t>
            </w:r>
            <w:r>
              <w:rPr>
                <w:rFonts w:hint="eastAsia" w:ascii="宋体" w:hAnsi="宋体" w:eastAsia="宋体" w:cs="宋体"/>
                <w:color w:val="auto"/>
                <w:sz w:val="22"/>
                <w:szCs w:val="22"/>
                <w:highlight w:val="none"/>
                <w:lang w:eastAsia="zh-CN" w:bidi="ar"/>
              </w:rPr>
              <w:t>乐采云电子交易客户端</w:t>
            </w:r>
            <w:r>
              <w:rPr>
                <w:rFonts w:hint="eastAsia" w:ascii="宋体" w:hAnsi="宋体" w:eastAsia="宋体" w:cs="宋体"/>
                <w:color w:val="auto"/>
                <w:sz w:val="22"/>
                <w:szCs w:val="22"/>
                <w:highlight w:val="none"/>
                <w:lang w:bidi="ar"/>
              </w:rPr>
              <w:t>”，并按照本招标文件和“</w:t>
            </w:r>
            <w:r>
              <w:rPr>
                <w:rFonts w:hint="eastAsia" w:ascii="宋体" w:hAnsi="宋体" w:eastAsia="宋体" w:cs="宋体"/>
                <w:color w:val="auto"/>
                <w:sz w:val="22"/>
                <w:szCs w:val="22"/>
                <w:highlight w:val="none"/>
                <w:lang w:eastAsia="zh-CN" w:bidi="ar"/>
              </w:rPr>
              <w:t>乐采云平台</w:t>
            </w:r>
            <w:r>
              <w:rPr>
                <w:rFonts w:hint="eastAsia" w:ascii="宋体" w:hAnsi="宋体" w:eastAsia="宋体" w:cs="宋体"/>
                <w:color w:val="auto"/>
                <w:sz w:val="22"/>
                <w:szCs w:val="22"/>
                <w:highlight w:val="none"/>
                <w:lang w:bidi="ar"/>
              </w:rPr>
              <w:t>”的要求，通过“</w:t>
            </w:r>
            <w:r>
              <w:rPr>
                <w:rFonts w:hint="eastAsia" w:ascii="宋体" w:hAnsi="宋体" w:eastAsia="宋体" w:cs="宋体"/>
                <w:color w:val="auto"/>
                <w:sz w:val="22"/>
                <w:szCs w:val="22"/>
                <w:highlight w:val="none"/>
                <w:lang w:eastAsia="zh-CN" w:bidi="ar"/>
              </w:rPr>
              <w:t>乐采云电子交易客户端</w:t>
            </w:r>
            <w:r>
              <w:rPr>
                <w:rFonts w:hint="eastAsia" w:ascii="宋体" w:hAnsi="宋体" w:eastAsia="宋体" w:cs="宋体"/>
                <w:color w:val="auto"/>
                <w:sz w:val="22"/>
                <w:szCs w:val="22"/>
                <w:highlight w:val="none"/>
                <w:lang w:bidi="ar"/>
              </w:rPr>
              <w:t>”编制并加密投标文件。</w:t>
            </w:r>
          </w:p>
        </w:tc>
      </w:tr>
      <w:tr w14:paraId="10BA9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78D5419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24C11A68">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在线投标响应（电子投标）说明：</w:t>
            </w:r>
          </w:p>
          <w:p w14:paraId="0A6C9510">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u w:val="single"/>
              </w:rPr>
              <w:t>本项目通过“采购云平台（</w:t>
            </w:r>
            <w:r>
              <w:rPr>
                <w:rFonts w:hint="eastAsia" w:ascii="宋体" w:hAnsi="宋体" w:eastAsia="宋体" w:cs="宋体"/>
                <w:b/>
                <w:color w:val="auto"/>
                <w:sz w:val="22"/>
                <w:szCs w:val="22"/>
                <w:highlight w:val="none"/>
                <w:u w:val="single"/>
                <w:lang w:eastAsia="zh-CN"/>
              </w:rPr>
              <w:t>https://www.lecaiyun.com</w:t>
            </w:r>
            <w:r>
              <w:rPr>
                <w:rFonts w:hint="eastAsia" w:ascii="宋体" w:hAnsi="宋体" w:eastAsia="宋体" w:cs="宋体"/>
                <w:b/>
                <w:color w:val="auto"/>
                <w:sz w:val="22"/>
                <w:szCs w:val="22"/>
                <w:highlight w:val="none"/>
                <w:u w:val="single"/>
              </w:rPr>
              <w:t>）”实行在线投标响应（电子投标），供应商应先安装“</w:t>
            </w:r>
            <w:r>
              <w:rPr>
                <w:rFonts w:hint="eastAsia" w:ascii="宋体" w:hAnsi="宋体" w:eastAsia="宋体" w:cs="宋体"/>
                <w:b/>
                <w:color w:val="auto"/>
                <w:sz w:val="22"/>
                <w:szCs w:val="22"/>
                <w:highlight w:val="none"/>
                <w:u w:val="single"/>
                <w:lang w:eastAsia="zh-CN"/>
              </w:rPr>
              <w:t>乐采云电子交易客户端</w:t>
            </w:r>
            <w:r>
              <w:rPr>
                <w:rFonts w:hint="eastAsia" w:ascii="宋体" w:hAnsi="宋体" w:eastAsia="宋体" w:cs="宋体"/>
                <w:b/>
                <w:color w:val="auto"/>
                <w:sz w:val="22"/>
                <w:szCs w:val="22"/>
                <w:highlight w:val="none"/>
                <w:u w:val="single"/>
              </w:rPr>
              <w:t>”，并按照本招标文件和“</w:t>
            </w:r>
            <w:r>
              <w:rPr>
                <w:rFonts w:hint="eastAsia" w:ascii="宋体" w:hAnsi="宋体" w:eastAsia="宋体" w:cs="宋体"/>
                <w:b/>
                <w:color w:val="auto"/>
                <w:sz w:val="22"/>
                <w:szCs w:val="22"/>
                <w:highlight w:val="none"/>
                <w:u w:val="single"/>
                <w:lang w:eastAsia="zh-CN"/>
              </w:rPr>
              <w:t>乐采云平台</w:t>
            </w:r>
            <w:r>
              <w:rPr>
                <w:rFonts w:hint="eastAsia" w:ascii="宋体" w:hAnsi="宋体" w:eastAsia="宋体" w:cs="宋体"/>
                <w:b/>
                <w:color w:val="auto"/>
                <w:sz w:val="22"/>
                <w:szCs w:val="22"/>
                <w:highlight w:val="none"/>
                <w:u w:val="single"/>
              </w:rPr>
              <w:t>”的要求，通过“</w:t>
            </w:r>
            <w:r>
              <w:rPr>
                <w:rFonts w:hint="eastAsia" w:ascii="宋体" w:hAnsi="宋体" w:eastAsia="宋体" w:cs="宋体"/>
                <w:b/>
                <w:color w:val="auto"/>
                <w:sz w:val="22"/>
                <w:szCs w:val="22"/>
                <w:highlight w:val="none"/>
                <w:u w:val="single"/>
                <w:lang w:eastAsia="zh-CN"/>
              </w:rPr>
              <w:t>乐采云电子交易客户端</w:t>
            </w:r>
            <w:r>
              <w:rPr>
                <w:rFonts w:hint="eastAsia" w:ascii="宋体" w:hAnsi="宋体" w:eastAsia="宋体" w:cs="宋体"/>
                <w:b/>
                <w:color w:val="auto"/>
                <w:sz w:val="22"/>
                <w:szCs w:val="22"/>
                <w:highlight w:val="none"/>
                <w:u w:val="single"/>
              </w:rPr>
              <w:t>”编制并加密投标文件。供应商未按规定加密的投标文件，“</w:t>
            </w:r>
            <w:r>
              <w:rPr>
                <w:rFonts w:hint="eastAsia" w:ascii="宋体" w:hAnsi="宋体" w:eastAsia="宋体" w:cs="宋体"/>
                <w:b/>
                <w:color w:val="auto"/>
                <w:sz w:val="22"/>
                <w:szCs w:val="22"/>
                <w:highlight w:val="none"/>
                <w:u w:val="single"/>
                <w:lang w:eastAsia="zh-CN"/>
              </w:rPr>
              <w:t>乐采云平台</w:t>
            </w:r>
            <w:r>
              <w:rPr>
                <w:rFonts w:hint="eastAsia" w:ascii="宋体" w:hAnsi="宋体" w:eastAsia="宋体" w:cs="宋体"/>
                <w:b/>
                <w:color w:val="auto"/>
                <w:sz w:val="22"/>
                <w:szCs w:val="22"/>
                <w:highlight w:val="none"/>
                <w:u w:val="single"/>
              </w:rPr>
              <w:t>”将予以拒收</w:t>
            </w:r>
            <w:r>
              <w:rPr>
                <w:rFonts w:hint="eastAsia" w:ascii="宋体" w:hAnsi="宋体" w:eastAsia="宋体" w:cs="宋体"/>
                <w:b/>
                <w:color w:val="auto"/>
                <w:sz w:val="22"/>
                <w:szCs w:val="22"/>
                <w:highlight w:val="none"/>
              </w:rPr>
              <w:t>。</w:t>
            </w:r>
          </w:p>
          <w:p w14:paraId="62A3A518">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b/>
                <w:color w:val="auto"/>
                <w:sz w:val="22"/>
                <w:szCs w:val="22"/>
                <w:highlight w:val="none"/>
                <w:u w:val="singl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eastAsia="zh-CN"/>
              </w:rPr>
              <w:t>乐采云电子交易客户端</w:t>
            </w:r>
            <w:r>
              <w:rPr>
                <w:rFonts w:hint="eastAsia" w:ascii="宋体" w:hAnsi="宋体" w:eastAsia="宋体" w:cs="宋体"/>
                <w:b/>
                <w:bCs/>
                <w:color w:val="auto"/>
                <w:sz w:val="22"/>
                <w:szCs w:val="22"/>
                <w:highlight w:val="none"/>
              </w:rPr>
              <w:t>”请自行前往“浙江政府采购网-下载专区-电子交易客户端”进行下载；电子投标具体操作流程详见本公告附件《供应商项目采购-电子招投标操作指南》；</w:t>
            </w:r>
            <w:r>
              <w:rPr>
                <w:rFonts w:hint="eastAsia" w:ascii="宋体" w:hAnsi="宋体" w:eastAsia="宋体" w:cs="宋体"/>
                <w:b/>
                <w:color w:val="auto"/>
                <w:sz w:val="22"/>
                <w:szCs w:val="22"/>
                <w:highlight w:val="none"/>
              </w:rPr>
              <w:t>通过“</w:t>
            </w:r>
            <w:r>
              <w:rPr>
                <w:rFonts w:hint="eastAsia" w:ascii="宋体" w:hAnsi="宋体" w:eastAsia="宋体" w:cs="宋体"/>
                <w:b/>
                <w:color w:val="auto"/>
                <w:sz w:val="22"/>
                <w:szCs w:val="22"/>
                <w:highlight w:val="none"/>
                <w:lang w:eastAsia="zh-CN"/>
              </w:rPr>
              <w:t>乐采云平台</w:t>
            </w:r>
            <w:r>
              <w:rPr>
                <w:rFonts w:hint="eastAsia" w:ascii="宋体" w:hAnsi="宋体" w:eastAsia="宋体" w:cs="宋体"/>
                <w:b/>
                <w:color w:val="auto"/>
                <w:sz w:val="22"/>
                <w:szCs w:val="22"/>
                <w:highlight w:val="none"/>
              </w:rPr>
              <w:t>”参与在线投标时如遇平台技术问题详询400-881-7190。</w:t>
            </w:r>
          </w:p>
          <w:p w14:paraId="6C10C447">
            <w:pPr>
              <w:keepNext w:val="0"/>
              <w:keepLines w:val="0"/>
              <w:pageBreakBefore w:val="0"/>
              <w:numPr>
                <w:ilvl w:val="0"/>
                <w:numId w:val="0"/>
              </w:numPr>
              <w:kinsoku/>
              <w:wordWrap/>
              <w:overflowPunct/>
              <w:topLinePunct w:val="0"/>
              <w:bidi w:val="0"/>
              <w:adjustRightInd/>
              <w:spacing w:line="360" w:lineRule="exact"/>
              <w:jc w:val="both"/>
              <w:textAlignment w:val="auto"/>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u w:val="single"/>
              </w:rPr>
              <w:t>为确保网上操作合法、有效和安全，投标供应商应当在投标截止时间前完成在“</w:t>
            </w:r>
            <w:r>
              <w:rPr>
                <w:rFonts w:hint="eastAsia" w:ascii="宋体" w:hAnsi="宋体" w:eastAsia="宋体" w:cs="宋体"/>
                <w:b/>
                <w:color w:val="auto"/>
                <w:sz w:val="22"/>
                <w:szCs w:val="22"/>
                <w:highlight w:val="none"/>
                <w:u w:val="single"/>
                <w:lang w:eastAsia="zh-CN"/>
              </w:rPr>
              <w:t>乐采云平台</w:t>
            </w:r>
            <w:r>
              <w:rPr>
                <w:rFonts w:hint="eastAsia" w:ascii="宋体" w:hAnsi="宋体" w:eastAsia="宋体" w:cs="宋体"/>
                <w:b/>
                <w:color w:val="auto"/>
                <w:sz w:val="22"/>
                <w:szCs w:val="22"/>
                <w:highlight w:val="none"/>
                <w:u w:val="single"/>
              </w:rPr>
              <w:t>”的身份认证，确保在电子投标过程中能够对相关数据电文进行加密和使用电子签章</w:t>
            </w:r>
            <w:r>
              <w:rPr>
                <w:rFonts w:hint="eastAsia" w:ascii="宋体" w:hAnsi="宋体" w:eastAsia="宋体" w:cs="宋体"/>
                <w:b/>
                <w:color w:val="auto"/>
                <w:sz w:val="22"/>
                <w:szCs w:val="22"/>
                <w:highlight w:val="none"/>
              </w:rPr>
              <w:t>。</w:t>
            </w:r>
            <w:r>
              <w:rPr>
                <w:rFonts w:hint="eastAsia" w:ascii="宋体" w:hAnsi="宋体" w:eastAsia="宋体" w:cs="宋体"/>
                <w:b/>
                <w:bCs/>
                <w:color w:val="auto"/>
                <w:sz w:val="22"/>
                <w:szCs w:val="22"/>
                <w:highlight w:val="none"/>
              </w:rPr>
              <w:t>使用“</w:t>
            </w:r>
            <w:r>
              <w:rPr>
                <w:rFonts w:hint="eastAsia" w:ascii="宋体" w:hAnsi="宋体" w:eastAsia="宋体" w:cs="宋体"/>
                <w:b/>
                <w:bCs/>
                <w:color w:val="auto"/>
                <w:sz w:val="22"/>
                <w:szCs w:val="22"/>
                <w:highlight w:val="none"/>
                <w:lang w:eastAsia="zh-CN"/>
              </w:rPr>
              <w:t>乐采云电子交易客户端</w:t>
            </w:r>
            <w:r>
              <w:rPr>
                <w:rFonts w:hint="eastAsia" w:ascii="宋体" w:hAnsi="宋体" w:eastAsia="宋体" w:cs="宋体"/>
                <w:b/>
                <w:bCs/>
                <w:color w:val="auto"/>
                <w:sz w:val="22"/>
                <w:szCs w:val="22"/>
                <w:highlight w:val="none"/>
              </w:rPr>
              <w:t>”需要提前申领CA数字证书，申领流程请自行前往“浙江政府采购网-下载专区-电子交易客户端-</w:t>
            </w: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 HYPERLINK "http://www.zjzfcg.gov.cn/bidClientTemplate/2019-05-27/12945.html" \o "CA驱动和申领流程" \t "_blank"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b/>
                <w:bCs/>
                <w:color w:val="auto"/>
                <w:sz w:val="22"/>
                <w:szCs w:val="22"/>
                <w:highlight w:val="none"/>
              </w:rPr>
              <w:t>CA驱动和申领流程</w:t>
            </w:r>
            <w:r>
              <w:rPr>
                <w:rFonts w:hint="eastAsia" w:ascii="宋体" w:hAnsi="宋体" w:eastAsia="宋体" w:cs="宋体"/>
                <w:b/>
                <w:bCs/>
                <w:color w:val="auto"/>
                <w:sz w:val="22"/>
                <w:szCs w:val="22"/>
                <w:highlight w:val="none"/>
              </w:rPr>
              <w:fldChar w:fldCharType="end"/>
            </w:r>
            <w:r>
              <w:rPr>
                <w:rFonts w:hint="eastAsia" w:ascii="宋体" w:hAnsi="宋体" w:eastAsia="宋体" w:cs="宋体"/>
                <w:b/>
                <w:bCs/>
                <w:color w:val="auto"/>
                <w:sz w:val="22"/>
                <w:szCs w:val="22"/>
                <w:highlight w:val="none"/>
              </w:rPr>
              <w:t>”进行查阅；</w:t>
            </w:r>
          </w:p>
          <w:p w14:paraId="7209742A">
            <w:pPr>
              <w:keepNext w:val="0"/>
              <w:keepLines w:val="0"/>
              <w:pageBreakBefore w:val="0"/>
              <w:numPr>
                <w:ilvl w:val="0"/>
                <w:numId w:val="0"/>
              </w:numPr>
              <w:kinsoku/>
              <w:wordWrap/>
              <w:overflowPunct/>
              <w:topLinePunct w:val="0"/>
              <w:bidi w:val="0"/>
              <w:adjustRightInd/>
              <w:spacing w:line="360" w:lineRule="exact"/>
              <w:jc w:val="both"/>
              <w:textAlignment w:val="auto"/>
              <w:rPr>
                <w:rFonts w:hint="eastAsia" w:ascii="宋体" w:hAnsi="宋体" w:eastAsia="宋体" w:cs="宋体"/>
                <w:b/>
                <w:bCs/>
                <w:color w:val="auto"/>
                <w:sz w:val="22"/>
                <w:szCs w:val="22"/>
                <w:highlight w:val="none"/>
                <w:lang w:bidi="ar"/>
              </w:rPr>
            </w:pPr>
            <w:r>
              <w:rPr>
                <w:rFonts w:hint="eastAsia" w:ascii="宋体" w:hAnsi="宋体" w:cs="宋体"/>
                <w:b/>
                <w:color w:val="auto"/>
                <w:sz w:val="22"/>
                <w:szCs w:val="22"/>
                <w:highlight w:val="none"/>
                <w:lang w:val="en-US" w:eastAsia="zh-CN"/>
              </w:rPr>
              <w:t>2、</w:t>
            </w:r>
            <w:r>
              <w:rPr>
                <w:rFonts w:hint="eastAsia" w:ascii="宋体" w:hAnsi="宋体" w:eastAsia="宋体" w:cs="宋体"/>
                <w:b/>
                <w:color w:val="auto"/>
                <w:sz w:val="22"/>
                <w:szCs w:val="22"/>
                <w:highlight w:val="none"/>
              </w:rPr>
              <w:t>◆注意：投标供应商在编制电子投标文件和上传文件时需确保“</w:t>
            </w:r>
            <w:r>
              <w:rPr>
                <w:rFonts w:hint="eastAsia" w:ascii="宋体" w:hAnsi="宋体" w:eastAsia="宋体" w:cs="宋体"/>
                <w:b/>
                <w:color w:val="auto"/>
                <w:sz w:val="22"/>
                <w:szCs w:val="22"/>
                <w:highlight w:val="none"/>
                <w:lang w:eastAsia="zh-CN"/>
              </w:rPr>
              <w:t>乐采云电子交易客户端</w:t>
            </w:r>
            <w:r>
              <w:rPr>
                <w:rFonts w:hint="eastAsia" w:ascii="宋体" w:hAnsi="宋体" w:eastAsia="宋体" w:cs="宋体"/>
                <w:b/>
                <w:color w:val="auto"/>
                <w:sz w:val="22"/>
                <w:szCs w:val="22"/>
                <w:highlight w:val="none"/>
              </w:rPr>
              <w:t>”和“CA驱动端”为最新版本，请各投标供应商及时查看更新。</w:t>
            </w:r>
          </w:p>
        </w:tc>
      </w:tr>
      <w:tr w14:paraId="26A89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294CBAB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18226E6E">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b/>
                <w:bCs/>
                <w:color w:val="auto"/>
                <w:sz w:val="22"/>
                <w:szCs w:val="22"/>
                <w:highlight w:val="none"/>
                <w:lang w:bidi="ar"/>
              </w:rPr>
              <w:t>投标文件的签章：</w:t>
            </w:r>
            <w:r>
              <w:rPr>
                <w:rFonts w:hint="eastAsia" w:ascii="宋体" w:hAnsi="宋体" w:eastAsia="宋体" w:cs="宋体"/>
                <w:color w:val="auto"/>
                <w:sz w:val="22"/>
                <w:szCs w:val="22"/>
                <w:highlight w:val="none"/>
                <w:lang w:bidi="ar"/>
              </w:rPr>
              <w:t>电子签章。</w:t>
            </w:r>
          </w:p>
        </w:tc>
      </w:tr>
      <w:tr w14:paraId="28005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3404F64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58C70FE9">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b/>
                <w:bCs/>
                <w:color w:val="auto"/>
                <w:sz w:val="22"/>
                <w:szCs w:val="22"/>
                <w:highlight w:val="none"/>
                <w:lang w:bidi="ar"/>
              </w:rPr>
              <w:t>投标文件的形式：</w:t>
            </w:r>
            <w:r>
              <w:rPr>
                <w:rFonts w:hint="eastAsia" w:ascii="宋体" w:hAnsi="宋体" w:eastAsia="宋体" w:cs="宋体"/>
                <w:color w:val="auto"/>
                <w:sz w:val="22"/>
                <w:szCs w:val="22"/>
                <w:highlight w:val="none"/>
                <w:lang w:bidi="ar"/>
              </w:rPr>
              <w:t>☑电子投标文件（包括“电子加密投标文件”和“备份投标文件”，在投标文件编制完成后同时生成）；</w:t>
            </w:r>
          </w:p>
          <w:p w14:paraId="3C880CA5">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（1）“电子加密投标文件”是指通过“</w:t>
            </w:r>
            <w:r>
              <w:rPr>
                <w:rFonts w:hint="eastAsia" w:ascii="宋体" w:hAnsi="宋体" w:eastAsia="宋体" w:cs="宋体"/>
                <w:color w:val="auto"/>
                <w:sz w:val="22"/>
                <w:szCs w:val="22"/>
                <w:highlight w:val="none"/>
                <w:lang w:eastAsia="zh-CN" w:bidi="ar"/>
              </w:rPr>
              <w:t>乐采云电子交易客户端</w:t>
            </w:r>
            <w:r>
              <w:rPr>
                <w:rFonts w:hint="eastAsia" w:ascii="宋体" w:hAnsi="宋体" w:eastAsia="宋体" w:cs="宋体"/>
                <w:color w:val="auto"/>
                <w:sz w:val="22"/>
                <w:szCs w:val="22"/>
                <w:highlight w:val="none"/>
                <w:lang w:bidi="ar"/>
              </w:rPr>
              <w:t>”完成投标文件编制后生成并加密的数据电文形式的投标文件。</w:t>
            </w:r>
          </w:p>
          <w:p w14:paraId="5DA1B3C5">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（2）“备份投标文件”是指与“电子加密投标文件”同时生成的数据电文形式的电子文件（备份标书），其他方式编制的备份投标文件视为无效备份投标文件。</w:t>
            </w:r>
          </w:p>
        </w:tc>
      </w:tr>
      <w:tr w14:paraId="6518C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0AFB58F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22EA74EB">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b/>
                <w:bCs/>
                <w:color w:val="auto"/>
                <w:sz w:val="22"/>
                <w:szCs w:val="22"/>
                <w:highlight w:val="none"/>
                <w:lang w:bidi="ar"/>
              </w:rPr>
              <w:t>投标文件份数：</w:t>
            </w:r>
            <w:r>
              <w:rPr>
                <w:rFonts w:hint="eastAsia" w:ascii="宋体" w:hAnsi="宋体" w:eastAsia="宋体" w:cs="宋体"/>
                <w:color w:val="auto"/>
                <w:sz w:val="22"/>
                <w:szCs w:val="22"/>
                <w:highlight w:val="none"/>
                <w:lang w:bidi="ar"/>
              </w:rPr>
              <w:t>（1）“电子加密投标文件”：在线上传递交、一份。（2）“备份投标文件”：密封包装后（EMS或顺丰邮寄形式）投标截止时间前递交、一份（邮寄地址：</w:t>
            </w:r>
            <w:r>
              <w:rPr>
                <w:rFonts w:hint="eastAsia" w:ascii="宋体" w:hAnsi="宋体" w:cs="宋体"/>
                <w:color w:val="auto"/>
                <w:sz w:val="22"/>
                <w:szCs w:val="22"/>
                <w:highlight w:val="none"/>
                <w:lang w:eastAsia="zh-CN" w:bidi="ar"/>
              </w:rPr>
              <w:t>苍南县灵溪镇矿业科技大厦A-1403室</w:t>
            </w:r>
            <w:r>
              <w:rPr>
                <w:rFonts w:hint="eastAsia" w:ascii="宋体" w:hAnsi="宋体" w:cs="宋体"/>
                <w:color w:val="auto"/>
                <w:sz w:val="22"/>
                <w:szCs w:val="22"/>
                <w:highlight w:val="none"/>
                <w:lang w:val="en-US" w:eastAsia="zh-CN" w:bidi="ar"/>
              </w:rPr>
              <w:t>；</w:t>
            </w:r>
            <w:r>
              <w:rPr>
                <w:rFonts w:hint="eastAsia" w:ascii="宋体" w:hAnsi="宋体" w:cs="宋体"/>
                <w:color w:val="auto"/>
                <w:sz w:val="22"/>
                <w:szCs w:val="22"/>
                <w:highlight w:val="none"/>
                <w:lang w:eastAsia="zh-CN" w:bidi="ar"/>
              </w:rPr>
              <w:t>何先生</w:t>
            </w:r>
            <w:r>
              <w:rPr>
                <w:rFonts w:hint="eastAsia" w:ascii="宋体" w:hAnsi="宋体" w:cs="宋体"/>
                <w:color w:val="auto"/>
                <w:sz w:val="22"/>
                <w:szCs w:val="22"/>
                <w:highlight w:val="none"/>
                <w:lang w:val="en-US" w:eastAsia="zh-CN" w:bidi="ar"/>
              </w:rPr>
              <w:t>；0577-68875252</w:t>
            </w:r>
            <w:r>
              <w:rPr>
                <w:rFonts w:hint="eastAsia" w:ascii="宋体" w:hAnsi="宋体" w:eastAsia="宋体" w:cs="宋体"/>
                <w:color w:val="auto"/>
                <w:sz w:val="22"/>
                <w:szCs w:val="22"/>
                <w:highlight w:val="none"/>
                <w:lang w:bidi="ar"/>
              </w:rPr>
              <w:t>收）。</w:t>
            </w:r>
          </w:p>
        </w:tc>
      </w:tr>
      <w:tr w14:paraId="3C953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39DDC26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1DCD7533">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b/>
                <w:bCs/>
                <w:color w:val="auto"/>
                <w:sz w:val="22"/>
                <w:szCs w:val="22"/>
                <w:highlight w:val="none"/>
                <w:lang w:bidi="ar"/>
              </w:rPr>
            </w:pPr>
            <w:r>
              <w:rPr>
                <w:rFonts w:hint="eastAsia" w:ascii="宋体" w:hAnsi="宋体" w:eastAsia="宋体" w:cs="宋体"/>
                <w:b/>
                <w:bCs/>
                <w:color w:val="auto"/>
                <w:sz w:val="22"/>
                <w:szCs w:val="22"/>
                <w:highlight w:val="none"/>
                <w:lang w:bidi="ar"/>
              </w:rPr>
              <w:t>投标文件的上传和递交：</w:t>
            </w:r>
          </w:p>
          <w:p w14:paraId="1086BE3A">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（1）“电子加密投标文件”的上传、递交：</w:t>
            </w:r>
          </w:p>
          <w:p w14:paraId="6F02709A">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a.投标供应商应在投标截止时间前将“电子加密投标文件”成功上传递交至“</w:t>
            </w:r>
            <w:r>
              <w:rPr>
                <w:rFonts w:hint="eastAsia" w:ascii="宋体" w:hAnsi="宋体" w:eastAsia="宋体" w:cs="宋体"/>
                <w:color w:val="auto"/>
                <w:sz w:val="22"/>
                <w:szCs w:val="22"/>
                <w:highlight w:val="none"/>
                <w:lang w:eastAsia="zh-CN" w:bidi="ar"/>
              </w:rPr>
              <w:t>乐采云平台</w:t>
            </w:r>
            <w:r>
              <w:rPr>
                <w:rFonts w:hint="eastAsia" w:ascii="宋体" w:hAnsi="宋体" w:eastAsia="宋体" w:cs="宋体"/>
                <w:color w:val="auto"/>
                <w:sz w:val="22"/>
                <w:szCs w:val="22"/>
                <w:highlight w:val="none"/>
                <w:lang w:bidi="ar"/>
              </w:rPr>
              <w:t>”，否则投标无效。</w:t>
            </w:r>
          </w:p>
          <w:p w14:paraId="03A3FEF9">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b.“电子加密投标文件”成功上传递交后，供应商可自行打印投标文件接收回执。</w:t>
            </w:r>
          </w:p>
          <w:p w14:paraId="6EE905C6">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（2）“备份投标文件”的密封包装、递交：</w:t>
            </w:r>
          </w:p>
          <w:p w14:paraId="700FB9A8">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a.投标供应商在“</w:t>
            </w:r>
            <w:r>
              <w:rPr>
                <w:rFonts w:hint="eastAsia" w:ascii="宋体" w:hAnsi="宋体" w:eastAsia="宋体" w:cs="宋体"/>
                <w:color w:val="auto"/>
                <w:sz w:val="22"/>
                <w:szCs w:val="22"/>
                <w:highlight w:val="none"/>
                <w:lang w:eastAsia="zh-CN" w:bidi="ar"/>
              </w:rPr>
              <w:t>乐采云平台</w:t>
            </w:r>
            <w:r>
              <w:rPr>
                <w:rFonts w:hint="eastAsia" w:ascii="宋体" w:hAnsi="宋体" w:eastAsia="宋体" w:cs="宋体"/>
                <w:color w:val="auto"/>
                <w:sz w:val="22"/>
                <w:szCs w:val="22"/>
                <w:highlight w:val="none"/>
                <w:lang w:bidi="ar"/>
              </w:rPr>
              <w:t>”完成“电子加密投标文件”的上传递交后，还可以（EMS或顺丰邮寄形式）在投标截止时间前递交以介质（U盘）存储的 “备份投标文件”（一份）；</w:t>
            </w:r>
          </w:p>
          <w:p w14:paraId="667538E8">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b.“备份投标文件”应当密封包装，并在包装上标注投标项目名称、投标单位名称并加盖公章。没有密封包装或者逾期邮寄送达至投标地点的“备份投标文件”将不予接收；</w:t>
            </w:r>
          </w:p>
          <w:p w14:paraId="71913971">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c.通过“</w:t>
            </w:r>
            <w:r>
              <w:rPr>
                <w:rFonts w:hint="eastAsia" w:ascii="宋体" w:hAnsi="宋体" w:eastAsia="宋体" w:cs="宋体"/>
                <w:color w:val="auto"/>
                <w:sz w:val="22"/>
                <w:szCs w:val="22"/>
                <w:highlight w:val="none"/>
                <w:lang w:eastAsia="zh-CN" w:bidi="ar"/>
              </w:rPr>
              <w:t>乐采云平台</w:t>
            </w:r>
            <w:r>
              <w:rPr>
                <w:rFonts w:hint="eastAsia" w:ascii="宋体" w:hAnsi="宋体" w:eastAsia="宋体" w:cs="宋体"/>
                <w:color w:val="auto"/>
                <w:sz w:val="22"/>
                <w:szCs w:val="22"/>
                <w:highlight w:val="none"/>
                <w:lang w:bidi="ar"/>
              </w:rPr>
              <w:t>”成功上传递交的“电子加密投标文件”已按时解密的，“备份投标文件”自动失效。投标截止时间前，投标供应商仅递交了“备份投标文件”而未将“电子加密投标文件”成功上传至“</w:t>
            </w:r>
            <w:r>
              <w:rPr>
                <w:rFonts w:hint="eastAsia" w:ascii="宋体" w:hAnsi="宋体" w:eastAsia="宋体" w:cs="宋体"/>
                <w:color w:val="auto"/>
                <w:sz w:val="22"/>
                <w:szCs w:val="22"/>
                <w:highlight w:val="none"/>
                <w:lang w:eastAsia="zh-CN" w:bidi="ar"/>
              </w:rPr>
              <w:t>乐采云平台</w:t>
            </w:r>
            <w:r>
              <w:rPr>
                <w:rFonts w:hint="eastAsia" w:ascii="宋体" w:hAnsi="宋体" w:eastAsia="宋体" w:cs="宋体"/>
                <w:color w:val="auto"/>
                <w:sz w:val="22"/>
                <w:szCs w:val="22"/>
                <w:highlight w:val="none"/>
                <w:lang w:bidi="ar"/>
              </w:rPr>
              <w:t>”的，投标无效。</w:t>
            </w:r>
          </w:p>
        </w:tc>
      </w:tr>
      <w:tr w14:paraId="1DC67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0A3631C1">
            <w:pPr>
              <w:keepNext w:val="0"/>
              <w:keepLines w:val="0"/>
              <w:pageBreakBefore w:val="0"/>
              <w:kinsoku/>
              <w:wordWrap/>
              <w:overflowPunct/>
              <w:topLinePunct w:val="0"/>
              <w:bidi w:val="0"/>
              <w:adjustRightInd/>
              <w:snapToGrid w:val="0"/>
              <w:spacing w:line="36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1BF83746">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b/>
                <w:bCs/>
                <w:color w:val="auto"/>
                <w:sz w:val="22"/>
                <w:szCs w:val="22"/>
                <w:highlight w:val="none"/>
                <w:lang w:bidi="ar"/>
              </w:rPr>
            </w:pPr>
            <w:r>
              <w:rPr>
                <w:rFonts w:hint="eastAsia" w:ascii="宋体" w:hAnsi="宋体" w:eastAsia="宋体" w:cs="宋体"/>
                <w:b/>
                <w:bCs/>
                <w:color w:val="auto"/>
                <w:sz w:val="22"/>
                <w:szCs w:val="22"/>
                <w:highlight w:val="none"/>
                <w:lang w:bidi="ar"/>
              </w:rPr>
              <w:t>电子加密投标文件的解密和异常情况处理：</w:t>
            </w:r>
          </w:p>
          <w:p w14:paraId="1F68B2E9">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（1）开标后，采购组织机构将向各投标供应商发出“电子加密投标文件”的解密通知，各投标供应商代表应当在接到解密通知后30分钟内自行完成“电子加密投标文件”的在线解密。</w:t>
            </w:r>
          </w:p>
          <w:p w14:paraId="1E7E9ABB">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（2）通过“</w:t>
            </w:r>
            <w:r>
              <w:rPr>
                <w:rFonts w:hint="eastAsia" w:ascii="宋体" w:hAnsi="宋体" w:eastAsia="宋体" w:cs="宋体"/>
                <w:color w:val="auto"/>
                <w:sz w:val="22"/>
                <w:szCs w:val="22"/>
                <w:highlight w:val="none"/>
                <w:lang w:eastAsia="zh-CN" w:bidi="ar"/>
              </w:rPr>
              <w:t>乐采云平台</w:t>
            </w:r>
            <w:r>
              <w:rPr>
                <w:rFonts w:hint="eastAsia" w:ascii="宋体" w:hAnsi="宋体" w:eastAsia="宋体" w:cs="宋体"/>
                <w:color w:val="auto"/>
                <w:sz w:val="22"/>
                <w:szCs w:val="22"/>
                <w:highlight w:val="none"/>
                <w:lang w:bidi="ar"/>
              </w:rPr>
              <w:t>”成功上传递交的“电子加密投标文件”无法按时解密，投标供应商如按规定递交了“备份投标文件”的，以“备份投标文件”为依据（由采购组织机构按“</w:t>
            </w:r>
            <w:r>
              <w:rPr>
                <w:rFonts w:hint="eastAsia" w:ascii="宋体" w:hAnsi="宋体" w:eastAsia="宋体" w:cs="宋体"/>
                <w:color w:val="auto"/>
                <w:sz w:val="22"/>
                <w:szCs w:val="22"/>
                <w:highlight w:val="none"/>
                <w:lang w:eastAsia="zh-CN" w:bidi="ar"/>
              </w:rPr>
              <w:t>乐采云平台</w:t>
            </w:r>
            <w:r>
              <w:rPr>
                <w:rFonts w:hint="eastAsia" w:ascii="宋体" w:hAnsi="宋体" w:eastAsia="宋体" w:cs="宋体"/>
                <w:color w:val="auto"/>
                <w:sz w:val="22"/>
                <w:szCs w:val="22"/>
                <w:highlight w:val="none"/>
                <w:lang w:bidi="ar"/>
              </w:rPr>
              <w:t>”操作规范将“备份投标文件”上传至“</w:t>
            </w:r>
            <w:r>
              <w:rPr>
                <w:rFonts w:hint="eastAsia" w:ascii="宋体" w:hAnsi="宋体" w:eastAsia="宋体" w:cs="宋体"/>
                <w:color w:val="auto"/>
                <w:sz w:val="22"/>
                <w:szCs w:val="22"/>
                <w:highlight w:val="none"/>
                <w:lang w:eastAsia="zh-CN" w:bidi="ar"/>
              </w:rPr>
              <w:t>乐采云平台</w:t>
            </w:r>
            <w:r>
              <w:rPr>
                <w:rFonts w:hint="eastAsia" w:ascii="宋体" w:hAnsi="宋体" w:eastAsia="宋体" w:cs="宋体"/>
                <w:color w:val="auto"/>
                <w:sz w:val="22"/>
                <w:szCs w:val="22"/>
                <w:highlight w:val="none"/>
                <w:lang w:bidi="ar"/>
              </w:rPr>
              <w:t>”，上传成功后，“电子加密投标文件”自动失效），否则视为投标文件撤回。</w:t>
            </w:r>
          </w:p>
          <w:p w14:paraId="559BF7D1">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（3）投标截止时间前，投标供应商仅递交了“备份投标文件”而未将电子加密投标文件上传至“</w:t>
            </w:r>
            <w:r>
              <w:rPr>
                <w:rFonts w:hint="eastAsia" w:ascii="宋体" w:hAnsi="宋体" w:eastAsia="宋体" w:cs="宋体"/>
                <w:color w:val="auto"/>
                <w:sz w:val="22"/>
                <w:szCs w:val="22"/>
                <w:highlight w:val="none"/>
                <w:lang w:eastAsia="zh-CN" w:bidi="ar"/>
              </w:rPr>
              <w:t>乐采云平台</w:t>
            </w:r>
            <w:r>
              <w:rPr>
                <w:rFonts w:hint="eastAsia" w:ascii="宋体" w:hAnsi="宋体" w:eastAsia="宋体" w:cs="宋体"/>
                <w:color w:val="auto"/>
                <w:sz w:val="22"/>
                <w:szCs w:val="22"/>
                <w:highlight w:val="none"/>
                <w:lang w:bidi="ar"/>
              </w:rPr>
              <w:t>”的，投标无效。</w:t>
            </w:r>
          </w:p>
        </w:tc>
      </w:tr>
      <w:tr w14:paraId="51C82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6805BA0F">
            <w:pPr>
              <w:keepNext w:val="0"/>
              <w:keepLines w:val="0"/>
              <w:pageBreakBefore w:val="0"/>
              <w:kinsoku/>
              <w:wordWrap/>
              <w:overflowPunct/>
              <w:topLinePunct w:val="0"/>
              <w:bidi w:val="0"/>
              <w:adjustRightInd/>
              <w:snapToGrid w:val="0"/>
              <w:spacing w:line="36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3B86805D">
            <w:pPr>
              <w:keepNext w:val="0"/>
              <w:keepLines w:val="0"/>
              <w:pageBreakBefore w:val="0"/>
              <w:kinsoku/>
              <w:wordWrap/>
              <w:overflowPunct/>
              <w:topLinePunct w:val="0"/>
              <w:bidi w:val="0"/>
              <w:adjustRightInd/>
              <w:snapToGrid w:val="0"/>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b/>
                <w:bCs/>
                <w:color w:val="auto"/>
                <w:sz w:val="22"/>
                <w:szCs w:val="22"/>
                <w:highlight w:val="none"/>
                <w:lang w:bidi="ar"/>
              </w:rPr>
              <w:t>投标截止时间：</w:t>
            </w:r>
            <w:r>
              <w:rPr>
                <w:rFonts w:hint="eastAsia" w:ascii="宋体" w:hAnsi="宋体" w:cs="宋体"/>
                <w:b/>
                <w:bCs/>
                <w:color w:val="auto"/>
                <w:sz w:val="22"/>
                <w:szCs w:val="22"/>
                <w:highlight w:val="none"/>
                <w:lang w:eastAsia="zh-CN" w:bidi="ar"/>
              </w:rPr>
              <w:t>2025年06月20日09时00分</w:t>
            </w:r>
            <w:r>
              <w:rPr>
                <w:rFonts w:hint="eastAsia" w:ascii="宋体" w:hAnsi="宋体" w:eastAsia="宋体" w:cs="宋体"/>
                <w:color w:val="auto"/>
                <w:sz w:val="22"/>
                <w:szCs w:val="22"/>
                <w:highlight w:val="none"/>
                <w:lang w:bidi="ar"/>
              </w:rPr>
              <w:t>。</w:t>
            </w:r>
          </w:p>
        </w:tc>
      </w:tr>
      <w:tr w14:paraId="7BC65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385C8CF9">
            <w:pPr>
              <w:keepNext w:val="0"/>
              <w:keepLines w:val="0"/>
              <w:pageBreakBefore w:val="0"/>
              <w:kinsoku/>
              <w:wordWrap/>
              <w:overflowPunct/>
              <w:topLinePunct w:val="0"/>
              <w:bidi w:val="0"/>
              <w:adjustRightInd/>
              <w:snapToGrid w:val="0"/>
              <w:spacing w:line="36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7DE03672">
            <w:pPr>
              <w:keepNext w:val="0"/>
              <w:keepLines w:val="0"/>
              <w:pageBreakBefore w:val="0"/>
              <w:widowControl/>
              <w:kinsoku/>
              <w:wordWrap/>
              <w:overflowPunct/>
              <w:topLinePunct w:val="0"/>
              <w:bidi w:val="0"/>
              <w:adjustRightInd/>
              <w:snapToGrid w:val="0"/>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b/>
                <w:bCs/>
                <w:color w:val="auto"/>
                <w:sz w:val="22"/>
                <w:szCs w:val="22"/>
                <w:highlight w:val="none"/>
                <w:lang w:bidi="ar"/>
              </w:rPr>
              <w:t>投标地点：</w:t>
            </w:r>
            <w:r>
              <w:rPr>
                <w:rFonts w:hint="eastAsia" w:ascii="宋体" w:hAnsi="宋体" w:eastAsia="宋体" w:cs="宋体"/>
                <w:b/>
                <w:color w:val="auto"/>
                <w:kern w:val="0"/>
                <w:sz w:val="22"/>
                <w:szCs w:val="22"/>
                <w:highlight w:val="none"/>
              </w:rPr>
              <w:t>“</w:t>
            </w:r>
            <w:r>
              <w:rPr>
                <w:rFonts w:hint="eastAsia" w:ascii="宋体" w:hAnsi="宋体" w:eastAsia="宋体" w:cs="宋体"/>
                <w:b/>
                <w:color w:val="auto"/>
                <w:kern w:val="0"/>
                <w:sz w:val="22"/>
                <w:szCs w:val="22"/>
                <w:highlight w:val="none"/>
                <w:lang w:eastAsia="zh-CN"/>
              </w:rPr>
              <w:t>乐采云平台</w:t>
            </w:r>
            <w:r>
              <w:rPr>
                <w:rFonts w:hint="eastAsia" w:ascii="宋体" w:hAnsi="宋体" w:eastAsia="宋体" w:cs="宋体"/>
                <w:b/>
                <w:color w:val="auto"/>
                <w:kern w:val="0"/>
                <w:sz w:val="22"/>
                <w:szCs w:val="22"/>
                <w:highlight w:val="none"/>
              </w:rPr>
              <w:t>（</w:t>
            </w:r>
            <w:r>
              <w:rPr>
                <w:rFonts w:hint="eastAsia" w:ascii="宋体" w:hAnsi="宋体" w:eastAsia="宋体" w:cs="宋体"/>
                <w:b/>
                <w:color w:val="auto"/>
                <w:kern w:val="0"/>
                <w:sz w:val="22"/>
                <w:szCs w:val="22"/>
                <w:highlight w:val="none"/>
                <w:lang w:eastAsia="zh-CN"/>
              </w:rPr>
              <w:t>https://www.lecaiyun.com</w:t>
            </w:r>
            <w:r>
              <w:rPr>
                <w:rFonts w:hint="eastAsia" w:ascii="宋体" w:hAnsi="宋体" w:eastAsia="宋体" w:cs="宋体"/>
                <w:b/>
                <w:color w:val="auto"/>
                <w:kern w:val="0"/>
                <w:sz w:val="22"/>
                <w:szCs w:val="22"/>
                <w:highlight w:val="none"/>
              </w:rPr>
              <w:t>）”实行在线投标响应</w:t>
            </w:r>
          </w:p>
        </w:tc>
      </w:tr>
      <w:tr w14:paraId="26203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auto" w:sz="4" w:space="0"/>
              <w:right w:val="single" w:color="000000" w:sz="2" w:space="0"/>
            </w:tcBorders>
            <w:noWrap w:val="0"/>
            <w:vAlign w:val="center"/>
          </w:tcPr>
          <w:p w14:paraId="7D2981E1">
            <w:pPr>
              <w:keepNext w:val="0"/>
              <w:keepLines w:val="0"/>
              <w:pageBreakBefore w:val="0"/>
              <w:kinsoku/>
              <w:wordWrap/>
              <w:overflowPunct/>
              <w:topLinePunct w:val="0"/>
              <w:bidi w:val="0"/>
              <w:adjustRightInd/>
              <w:snapToGrid w:val="0"/>
              <w:spacing w:line="36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w:t>
            </w:r>
          </w:p>
        </w:tc>
        <w:tc>
          <w:tcPr>
            <w:tcW w:w="8438" w:type="dxa"/>
            <w:tcBorders>
              <w:top w:val="single" w:color="000000" w:sz="2" w:space="0"/>
              <w:left w:val="single" w:color="000000" w:sz="2" w:space="0"/>
              <w:bottom w:val="single" w:color="auto" w:sz="4" w:space="0"/>
              <w:right w:val="single" w:color="000000" w:sz="8" w:space="0"/>
            </w:tcBorders>
            <w:noWrap w:val="0"/>
            <w:vAlign w:val="center"/>
          </w:tcPr>
          <w:p w14:paraId="31E4B35C">
            <w:pPr>
              <w:keepNext w:val="0"/>
              <w:keepLines w:val="0"/>
              <w:pageBreakBefore w:val="0"/>
              <w:kinsoku/>
              <w:wordWrap/>
              <w:overflowPunct/>
              <w:topLinePunct w:val="0"/>
              <w:bidi w:val="0"/>
              <w:adjustRightInd/>
              <w:spacing w:line="360" w:lineRule="exact"/>
              <w:jc w:val="both"/>
              <w:textAlignment w:val="auto"/>
              <w:rPr>
                <w:rFonts w:hint="eastAsia" w:ascii="宋体" w:hAnsi="宋体" w:eastAsia="宋体" w:cs="宋体"/>
                <w:color w:val="auto"/>
                <w:sz w:val="22"/>
                <w:szCs w:val="22"/>
                <w:highlight w:val="none"/>
                <w:lang w:bidi="ar"/>
              </w:rPr>
            </w:pPr>
            <w:r>
              <w:rPr>
                <w:rFonts w:hint="eastAsia" w:ascii="宋体" w:hAnsi="宋体" w:eastAsia="宋体" w:cs="宋体"/>
                <w:b/>
                <w:bCs/>
                <w:color w:val="auto"/>
                <w:sz w:val="22"/>
                <w:szCs w:val="22"/>
                <w:highlight w:val="none"/>
                <w:lang w:bidi="ar"/>
              </w:rPr>
              <w:t>开标时间和地点（网址）：</w:t>
            </w:r>
            <w:r>
              <w:rPr>
                <w:rFonts w:hint="eastAsia" w:ascii="宋体" w:hAnsi="宋体" w:cs="宋体"/>
                <w:b/>
                <w:bCs/>
                <w:color w:val="auto"/>
                <w:sz w:val="22"/>
                <w:szCs w:val="22"/>
                <w:highlight w:val="none"/>
                <w:lang w:eastAsia="zh-CN" w:bidi="ar"/>
              </w:rPr>
              <w:t>2025年06月20日09时00分</w:t>
            </w:r>
            <w:r>
              <w:rPr>
                <w:rFonts w:hint="eastAsia" w:ascii="宋体" w:hAnsi="宋体" w:eastAsia="宋体" w:cs="宋体"/>
                <w:color w:val="auto"/>
                <w:sz w:val="22"/>
                <w:szCs w:val="22"/>
                <w:highlight w:val="none"/>
                <w:lang w:bidi="ar"/>
              </w:rPr>
              <w:t>。</w:t>
            </w:r>
            <w:r>
              <w:rPr>
                <w:rFonts w:hint="eastAsia" w:ascii="宋体" w:hAnsi="宋体" w:eastAsia="宋体" w:cs="宋体"/>
                <w:color w:val="auto"/>
                <w:sz w:val="22"/>
                <w:szCs w:val="22"/>
                <w:highlight w:val="none"/>
                <w:lang w:eastAsia="zh-CN" w:bidi="ar"/>
              </w:rPr>
              <w:t>苍南县灵溪镇春晖路公投大厦--苍南县公共资源交易中心</w:t>
            </w:r>
            <w:r>
              <w:rPr>
                <w:rFonts w:hint="eastAsia" w:ascii="宋体" w:hAnsi="宋体" w:eastAsia="宋体" w:cs="宋体"/>
                <w:color w:val="auto"/>
                <w:sz w:val="22"/>
                <w:szCs w:val="22"/>
                <w:highlight w:val="none"/>
                <w:lang w:val="en-US" w:eastAsia="zh-CN" w:bidi="ar"/>
              </w:rPr>
              <w:t>/</w:t>
            </w:r>
            <w:r>
              <w:rPr>
                <w:rFonts w:hint="eastAsia" w:ascii="宋体" w:hAnsi="宋体" w:eastAsia="宋体" w:cs="宋体"/>
                <w:color w:val="auto"/>
                <w:sz w:val="22"/>
                <w:szCs w:val="22"/>
                <w:highlight w:val="none"/>
                <w:lang w:eastAsia="zh-CN" w:bidi="ar"/>
              </w:rPr>
              <w:t>“乐采云平台（https://www.lecaiyun.com）”</w:t>
            </w:r>
          </w:p>
        </w:tc>
      </w:tr>
      <w:tr w14:paraId="2C4CA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1336DD9D">
            <w:pPr>
              <w:keepNext w:val="0"/>
              <w:keepLines w:val="0"/>
              <w:pageBreakBefore w:val="0"/>
              <w:widowControl/>
              <w:kinsoku/>
              <w:wordWrap/>
              <w:overflowPunct/>
              <w:topLinePunct w:val="0"/>
              <w:bidi w:val="0"/>
              <w:adjustRightInd/>
              <w:snapToGrid w:val="0"/>
              <w:spacing w:line="360" w:lineRule="exact"/>
              <w:jc w:val="center"/>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kern w:val="0"/>
                <w:sz w:val="24"/>
                <w:highlight w:val="none"/>
                <w:lang w:bidi="ar"/>
              </w:rPr>
              <w:t>1</w:t>
            </w:r>
            <w:r>
              <w:rPr>
                <w:rFonts w:hint="eastAsia" w:ascii="宋体" w:hAnsi="宋体" w:cs="宋体"/>
                <w:b/>
                <w:bCs/>
                <w:color w:val="auto"/>
                <w:kern w:val="0"/>
                <w:sz w:val="24"/>
                <w:highlight w:val="none"/>
                <w:lang w:val="en-US" w:eastAsia="zh-CN" w:bidi="ar"/>
              </w:rPr>
              <w:t>6</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67DC8F2A">
            <w:pPr>
              <w:keepNext w:val="0"/>
              <w:keepLines w:val="0"/>
              <w:pageBreakBefore w:val="0"/>
              <w:kinsoku/>
              <w:wordWrap/>
              <w:overflowPunct/>
              <w:topLinePunct w:val="0"/>
              <w:bidi w:val="0"/>
              <w:adjustRightInd/>
              <w:snapToGrid w:val="0"/>
              <w:spacing w:line="36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b/>
                <w:color w:val="auto"/>
                <w:kern w:val="10"/>
                <w:sz w:val="22"/>
                <w:szCs w:val="22"/>
                <w:highlight w:val="none"/>
              </w:rPr>
              <w:t>潜在供应商需在</w:t>
            </w:r>
            <w:r>
              <w:rPr>
                <w:rFonts w:hint="eastAsia" w:ascii="宋体" w:hAnsi="宋体" w:eastAsia="宋体" w:cs="宋体"/>
                <w:b/>
                <w:color w:val="auto"/>
                <w:kern w:val="0"/>
                <w:sz w:val="22"/>
                <w:szCs w:val="22"/>
                <w:highlight w:val="none"/>
                <w:lang w:eastAsia="zh-CN"/>
              </w:rPr>
              <w:t>乐采云平台</w:t>
            </w:r>
            <w:r>
              <w:rPr>
                <w:rFonts w:hint="eastAsia" w:ascii="宋体" w:hAnsi="宋体" w:eastAsia="宋体" w:cs="宋体"/>
                <w:b/>
                <w:color w:val="auto"/>
                <w:kern w:val="0"/>
                <w:sz w:val="22"/>
                <w:szCs w:val="22"/>
                <w:highlight w:val="none"/>
              </w:rPr>
              <w:t>（</w:t>
            </w:r>
            <w:r>
              <w:rPr>
                <w:rFonts w:hint="eastAsia" w:ascii="宋体" w:hAnsi="宋体" w:eastAsia="宋体" w:cs="宋体"/>
                <w:b/>
                <w:color w:val="auto"/>
                <w:kern w:val="0"/>
                <w:sz w:val="22"/>
                <w:szCs w:val="22"/>
                <w:highlight w:val="none"/>
                <w:lang w:eastAsia="zh-CN"/>
              </w:rPr>
              <w:t>https://www.lecaiyun.com</w:t>
            </w:r>
            <w:r>
              <w:rPr>
                <w:rFonts w:hint="eastAsia" w:ascii="宋体" w:hAnsi="宋体" w:eastAsia="宋体" w:cs="宋体"/>
                <w:b/>
                <w:color w:val="auto"/>
                <w:kern w:val="0"/>
                <w:sz w:val="22"/>
                <w:szCs w:val="22"/>
                <w:highlight w:val="none"/>
              </w:rPr>
              <w:t>）</w:t>
            </w:r>
            <w:r>
              <w:rPr>
                <w:rFonts w:hint="eastAsia" w:ascii="宋体" w:hAnsi="宋体" w:eastAsia="宋体" w:cs="宋体"/>
                <w:b/>
                <w:color w:val="auto"/>
                <w:kern w:val="10"/>
                <w:sz w:val="22"/>
                <w:szCs w:val="22"/>
                <w:highlight w:val="none"/>
              </w:rPr>
              <w:t>/进行免费注册，具体详见浙江政府采购网供应商注册要求。</w:t>
            </w:r>
          </w:p>
        </w:tc>
      </w:tr>
      <w:tr w14:paraId="3BA6F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131A06CA">
            <w:pPr>
              <w:keepNext w:val="0"/>
              <w:keepLines w:val="0"/>
              <w:pageBreakBefore w:val="0"/>
              <w:widowControl/>
              <w:kinsoku/>
              <w:wordWrap/>
              <w:overflowPunct/>
              <w:topLinePunct w:val="0"/>
              <w:bidi w:val="0"/>
              <w:adjustRightInd/>
              <w:snapToGrid w:val="0"/>
              <w:spacing w:line="360" w:lineRule="exact"/>
              <w:jc w:val="center"/>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kern w:val="0"/>
                <w:sz w:val="24"/>
                <w:highlight w:val="none"/>
                <w:lang w:bidi="ar"/>
              </w:rPr>
              <w:t>1</w:t>
            </w:r>
            <w:r>
              <w:rPr>
                <w:rFonts w:hint="eastAsia" w:ascii="宋体" w:hAnsi="宋体" w:cs="宋体"/>
                <w:b/>
                <w:bCs/>
                <w:color w:val="auto"/>
                <w:kern w:val="0"/>
                <w:sz w:val="24"/>
                <w:highlight w:val="none"/>
                <w:lang w:val="en-US" w:eastAsia="zh-CN" w:bidi="ar"/>
              </w:rPr>
              <w:t>7</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0B9011EC">
            <w:pPr>
              <w:keepNext w:val="0"/>
              <w:keepLines w:val="0"/>
              <w:pageBreakBefore w:val="0"/>
              <w:kinsoku/>
              <w:wordWrap/>
              <w:overflowPunct/>
              <w:topLinePunct w:val="0"/>
              <w:bidi w:val="0"/>
              <w:adjustRightInd/>
              <w:snapToGrid w:val="0"/>
              <w:spacing w:line="360" w:lineRule="exact"/>
              <w:ind w:left="105" w:leftChars="5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不符合以下情况的，其投标将被拒绝。</w:t>
            </w:r>
          </w:p>
          <w:p w14:paraId="23F60AE6">
            <w:pPr>
              <w:pStyle w:val="21"/>
              <w:keepNext w:val="0"/>
              <w:keepLines w:val="0"/>
              <w:pageBreakBefore w:val="0"/>
              <w:shd w:val="clear" w:color="auto" w:fill="FFFFFF"/>
              <w:kinsoku/>
              <w:wordWrap/>
              <w:overflowPunct/>
              <w:topLinePunct w:val="0"/>
              <w:bidi w:val="0"/>
              <w:adjustRightInd/>
              <w:spacing w:before="48" w:beforeAutospacing="0" w:after="48" w:afterAutospacing="0" w:line="360" w:lineRule="exact"/>
              <w:ind w:right="45"/>
              <w:jc w:val="both"/>
              <w:textAlignment w:val="auto"/>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（一）投标人参加国有企业采购活动应当具备下列条件:</w:t>
            </w:r>
          </w:p>
          <w:p w14:paraId="53857273">
            <w:pPr>
              <w:pStyle w:val="21"/>
              <w:keepNext w:val="0"/>
              <w:keepLines w:val="0"/>
              <w:pageBreakBefore w:val="0"/>
              <w:shd w:val="clear" w:color="auto" w:fill="FFFFFF"/>
              <w:kinsoku/>
              <w:wordWrap/>
              <w:overflowPunct/>
              <w:topLinePunct w:val="0"/>
              <w:bidi w:val="0"/>
              <w:adjustRightInd/>
              <w:spacing w:before="60" w:beforeAutospacing="0" w:after="60" w:afterAutospacing="0" w:line="36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1.具有独立承担民事责任的能力；</w:t>
            </w:r>
          </w:p>
          <w:p w14:paraId="026CBF58">
            <w:pPr>
              <w:pStyle w:val="21"/>
              <w:keepNext w:val="0"/>
              <w:keepLines w:val="0"/>
              <w:pageBreakBefore w:val="0"/>
              <w:shd w:val="clear" w:color="auto" w:fill="FFFFFF"/>
              <w:kinsoku/>
              <w:wordWrap/>
              <w:overflowPunct/>
              <w:topLinePunct w:val="0"/>
              <w:bidi w:val="0"/>
              <w:adjustRightInd/>
              <w:spacing w:before="60" w:beforeAutospacing="0" w:after="60" w:afterAutospacing="0" w:line="36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2.具有良好的商业信誉和健全的财务会计制度；</w:t>
            </w:r>
          </w:p>
          <w:p w14:paraId="15CE3CFC">
            <w:pPr>
              <w:pStyle w:val="21"/>
              <w:keepNext w:val="0"/>
              <w:keepLines w:val="0"/>
              <w:pageBreakBefore w:val="0"/>
              <w:shd w:val="clear" w:color="auto" w:fill="FFFFFF"/>
              <w:kinsoku/>
              <w:wordWrap/>
              <w:overflowPunct/>
              <w:topLinePunct w:val="0"/>
              <w:bidi w:val="0"/>
              <w:adjustRightInd/>
              <w:spacing w:before="60" w:beforeAutospacing="0" w:after="60" w:afterAutospacing="0" w:line="36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3.具有履行合同所必需的设备和专业技术、售后保障等能力；</w:t>
            </w:r>
          </w:p>
          <w:p w14:paraId="48C2E539">
            <w:pPr>
              <w:pStyle w:val="21"/>
              <w:keepNext w:val="0"/>
              <w:keepLines w:val="0"/>
              <w:pageBreakBefore w:val="0"/>
              <w:shd w:val="clear" w:color="auto" w:fill="FFFFFF"/>
              <w:kinsoku/>
              <w:wordWrap/>
              <w:overflowPunct/>
              <w:topLinePunct w:val="0"/>
              <w:bidi w:val="0"/>
              <w:adjustRightInd/>
              <w:spacing w:before="60" w:beforeAutospacing="0" w:after="60" w:afterAutospacing="0" w:line="36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4.有依法缴纳税收和社会保障资金的良好记录；</w:t>
            </w:r>
          </w:p>
          <w:p w14:paraId="10806ECC">
            <w:pPr>
              <w:pStyle w:val="21"/>
              <w:keepNext w:val="0"/>
              <w:keepLines w:val="0"/>
              <w:pageBreakBefore w:val="0"/>
              <w:shd w:val="clear" w:color="auto" w:fill="FFFFFF"/>
              <w:kinsoku/>
              <w:wordWrap/>
              <w:overflowPunct/>
              <w:topLinePunct w:val="0"/>
              <w:bidi w:val="0"/>
              <w:adjustRightInd/>
              <w:spacing w:before="60" w:beforeAutospacing="0" w:after="60" w:afterAutospacing="0" w:line="36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5.参加采购活动前三年内（时间截止到开标之日，新成立不满三年的组织机构自成立之日起算），在经营活动中没有重大违法记录、严重失信行为和行贿记录，未被“信用中国”（www.creditchina.gov.cn)、中国政府采购网（www.ccgp.gov.cn）列入失信被执行人、重大税收违法案件当事人名单。</w:t>
            </w:r>
          </w:p>
          <w:p w14:paraId="5E3130A8">
            <w:pPr>
              <w:pStyle w:val="21"/>
              <w:keepNext w:val="0"/>
              <w:keepLines w:val="0"/>
              <w:pageBreakBefore w:val="0"/>
              <w:shd w:val="clear" w:color="auto" w:fill="FFFFFF"/>
              <w:kinsoku/>
              <w:wordWrap/>
              <w:overflowPunct/>
              <w:topLinePunct w:val="0"/>
              <w:bidi w:val="0"/>
              <w:adjustRightInd/>
              <w:spacing w:before="60" w:beforeAutospacing="0" w:after="60" w:afterAutospacing="0" w:line="36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6.法律、行政法规规定的其他条件。</w:t>
            </w:r>
          </w:p>
          <w:p w14:paraId="2EC97473">
            <w:pPr>
              <w:pStyle w:val="21"/>
              <w:keepNext w:val="0"/>
              <w:keepLines w:val="0"/>
              <w:pageBreakBefore w:val="0"/>
              <w:shd w:val="clear" w:color="auto" w:fill="FFFFFF"/>
              <w:kinsoku/>
              <w:wordWrap/>
              <w:overflowPunct/>
              <w:topLinePunct w:val="0"/>
              <w:bidi w:val="0"/>
              <w:adjustRightInd/>
              <w:spacing w:before="60" w:beforeAutospacing="0" w:after="60" w:afterAutospacing="0" w:line="360" w:lineRule="exact"/>
              <w:jc w:val="both"/>
              <w:textAlignment w:val="auto"/>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（二）单位负责人为同一人或者存在直接控股、管理关系的不同供应商，不得参加同一合同项下的国企采购活动；</w:t>
            </w:r>
          </w:p>
          <w:p w14:paraId="4257D66E">
            <w:pPr>
              <w:pStyle w:val="21"/>
              <w:keepNext w:val="0"/>
              <w:keepLines w:val="0"/>
              <w:pageBreakBefore w:val="0"/>
              <w:shd w:val="clear" w:color="auto" w:fill="FFFFFF"/>
              <w:kinsoku/>
              <w:wordWrap/>
              <w:overflowPunct/>
              <w:topLinePunct w:val="0"/>
              <w:bidi w:val="0"/>
              <w:adjustRightInd/>
              <w:spacing w:before="48" w:beforeAutospacing="0" w:after="48" w:afterAutospacing="0" w:line="360" w:lineRule="exact"/>
              <w:ind w:right="45"/>
              <w:jc w:val="both"/>
              <w:textAlignment w:val="auto"/>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（三）本项目不接受联合体投标。</w:t>
            </w:r>
          </w:p>
          <w:p w14:paraId="66A4C597">
            <w:pPr>
              <w:pStyle w:val="21"/>
              <w:keepNext w:val="0"/>
              <w:keepLines w:val="0"/>
              <w:pageBreakBefore w:val="0"/>
              <w:shd w:val="clear" w:color="auto" w:fill="FFFFFF"/>
              <w:kinsoku/>
              <w:wordWrap/>
              <w:overflowPunct/>
              <w:topLinePunct w:val="0"/>
              <w:bidi w:val="0"/>
              <w:adjustRightInd/>
              <w:spacing w:before="48" w:beforeAutospacing="0" w:after="48" w:afterAutospacing="0" w:line="360" w:lineRule="exact"/>
              <w:ind w:right="45"/>
              <w:jc w:val="both"/>
              <w:textAlignment w:val="auto"/>
              <w:rPr>
                <w:rFonts w:hint="eastAsia" w:ascii="宋体" w:hAnsi="宋体" w:eastAsia="宋体" w:cs="宋体"/>
                <w:b/>
                <w:color w:val="auto"/>
                <w:kern w:val="10"/>
                <w:sz w:val="22"/>
                <w:szCs w:val="22"/>
                <w:highlight w:val="none"/>
                <w:lang w:eastAsia="zh-CN"/>
              </w:rPr>
            </w:pP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四</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本项目的特定资格要求：</w:t>
            </w:r>
            <w:r>
              <w:rPr>
                <w:rFonts w:hint="eastAsia" w:ascii="宋体" w:hAnsi="宋体" w:eastAsia="宋体" w:cs="宋体"/>
                <w:color w:val="auto"/>
                <w:sz w:val="22"/>
                <w:szCs w:val="22"/>
                <w:highlight w:val="none"/>
                <w:shd w:val="clear" w:color="auto" w:fill="FFFFFF"/>
                <w:lang w:val="en-US" w:eastAsia="zh-CN"/>
              </w:rPr>
              <w:t>无</w:t>
            </w:r>
            <w:r>
              <w:rPr>
                <w:rFonts w:hint="eastAsia" w:ascii="宋体" w:hAnsi="宋体" w:eastAsia="宋体" w:cs="宋体"/>
                <w:color w:val="auto"/>
                <w:sz w:val="22"/>
                <w:szCs w:val="22"/>
                <w:highlight w:val="none"/>
                <w:shd w:val="clear" w:color="auto" w:fill="FFFFFF"/>
                <w:lang w:eastAsia="zh-CN"/>
              </w:rPr>
              <w:t>。</w:t>
            </w:r>
          </w:p>
        </w:tc>
      </w:tr>
      <w:tr w14:paraId="13933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1D0A6204">
            <w:pPr>
              <w:keepNext w:val="0"/>
              <w:keepLines w:val="0"/>
              <w:pageBreakBefore w:val="0"/>
              <w:kinsoku/>
              <w:wordWrap/>
              <w:overflowPunct/>
              <w:topLinePunct w:val="0"/>
              <w:bidi w:val="0"/>
              <w:adjustRightInd/>
              <w:spacing w:line="360" w:lineRule="exact"/>
              <w:ind w:leftChars="0"/>
              <w:jc w:val="center"/>
              <w:textAlignment w:val="auto"/>
              <w:rPr>
                <w:rFonts w:hint="eastAsia" w:ascii="宋体" w:hAnsi="宋体" w:eastAsia="宋体" w:cs="宋体"/>
                <w:b/>
                <w:bCs/>
                <w:color w:val="auto"/>
                <w:kern w:val="0"/>
                <w:sz w:val="24"/>
                <w:highlight w:val="none"/>
                <w:lang w:val="en-US" w:eastAsia="zh-CN" w:bidi="ar"/>
              </w:rPr>
            </w:pPr>
            <w:r>
              <w:rPr>
                <w:rFonts w:hint="eastAsia" w:ascii="宋体" w:hAnsi="宋体" w:eastAsia="宋体" w:cs="宋体"/>
                <w:b/>
                <w:bCs/>
                <w:color w:val="auto"/>
                <w:kern w:val="0"/>
                <w:sz w:val="24"/>
                <w:highlight w:val="none"/>
                <w:lang w:bidi="ar"/>
              </w:rPr>
              <w:t>1</w:t>
            </w:r>
            <w:r>
              <w:rPr>
                <w:rFonts w:hint="eastAsia" w:ascii="宋体" w:hAnsi="宋体" w:cs="宋体"/>
                <w:b/>
                <w:bCs/>
                <w:color w:val="auto"/>
                <w:kern w:val="0"/>
                <w:sz w:val="24"/>
                <w:highlight w:val="none"/>
                <w:lang w:val="en-US" w:eastAsia="zh-CN" w:bidi="ar"/>
              </w:rPr>
              <w:t>8</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3AE0D568">
            <w:pPr>
              <w:keepNext w:val="0"/>
              <w:keepLines w:val="0"/>
              <w:pageBreakBefore w:val="0"/>
              <w:kinsoku/>
              <w:wordWrap/>
              <w:overflowPunct/>
              <w:topLinePunct w:val="0"/>
              <w:bidi w:val="0"/>
              <w:adjustRightInd/>
              <w:snapToGrid w:val="0"/>
              <w:spacing w:line="360" w:lineRule="exact"/>
              <w:ind w:left="105" w:leftChars="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中标供应商须在中标通知书发出之日起</w:t>
            </w:r>
            <w:r>
              <w:rPr>
                <w:rFonts w:hint="eastAsia" w:ascii="宋体" w:hAnsi="宋体" w:cs="宋体"/>
                <w:color w:val="auto"/>
                <w:sz w:val="22"/>
                <w:szCs w:val="22"/>
                <w:highlight w:val="none"/>
                <w:lang w:val="en-US" w:eastAsia="zh-CN"/>
              </w:rPr>
              <w:t>30</w:t>
            </w:r>
            <w:r>
              <w:rPr>
                <w:rFonts w:hint="eastAsia" w:ascii="宋体" w:hAnsi="宋体" w:eastAsia="宋体" w:cs="宋体"/>
                <w:color w:val="auto"/>
                <w:sz w:val="22"/>
                <w:szCs w:val="22"/>
                <w:highlight w:val="none"/>
              </w:rPr>
              <w:t>日历天内与采购人签订合同。</w:t>
            </w:r>
          </w:p>
        </w:tc>
      </w:tr>
      <w:tr w14:paraId="3C4DF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7B57465E">
            <w:pPr>
              <w:keepNext w:val="0"/>
              <w:keepLines w:val="0"/>
              <w:pageBreakBefore w:val="0"/>
              <w:kinsoku/>
              <w:wordWrap/>
              <w:overflowPunct/>
              <w:topLinePunct w:val="0"/>
              <w:bidi w:val="0"/>
              <w:adjustRightInd/>
              <w:spacing w:line="360" w:lineRule="exact"/>
              <w:ind w:leftChars="0"/>
              <w:jc w:val="center"/>
              <w:textAlignment w:val="auto"/>
              <w:rPr>
                <w:rFonts w:hint="default" w:ascii="宋体" w:hAnsi="宋体" w:eastAsia="宋体" w:cs="宋体"/>
                <w:b/>
                <w:bCs/>
                <w:color w:val="auto"/>
                <w:kern w:val="0"/>
                <w:sz w:val="24"/>
                <w:highlight w:val="none"/>
                <w:lang w:val="en-US" w:eastAsia="zh-CN" w:bidi="ar"/>
              </w:rPr>
            </w:pPr>
            <w:r>
              <w:rPr>
                <w:rFonts w:hint="eastAsia" w:ascii="宋体" w:hAnsi="宋体" w:cs="宋体"/>
                <w:b/>
                <w:bCs/>
                <w:color w:val="auto"/>
                <w:kern w:val="0"/>
                <w:sz w:val="24"/>
                <w:highlight w:val="none"/>
                <w:lang w:val="en-US" w:eastAsia="zh-CN" w:bidi="ar"/>
              </w:rPr>
              <w:t>19</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4E01BA2D">
            <w:pPr>
              <w:snapToGrid w:val="0"/>
              <w:spacing w:line="320" w:lineRule="exact"/>
              <w:rPr>
                <w:rFonts w:hint="eastAsia" w:ascii="宋体" w:hAnsi="宋体" w:eastAsia="宋体" w:cs="宋体"/>
                <w:b/>
                <w:bCs/>
                <w:sz w:val="22"/>
                <w:szCs w:val="22"/>
              </w:rPr>
            </w:pPr>
            <w:r>
              <w:rPr>
                <w:rFonts w:hint="eastAsia" w:ascii="宋体" w:hAnsi="宋体" w:eastAsia="宋体" w:cs="宋体"/>
                <w:bCs/>
                <w:sz w:val="22"/>
                <w:szCs w:val="22"/>
              </w:rPr>
              <w:t>信用记录</w:t>
            </w:r>
            <w:r>
              <w:rPr>
                <w:rFonts w:hint="eastAsia" w:ascii="宋体" w:hAnsi="宋体" w:eastAsia="宋体" w:cs="宋体"/>
                <w:bCs/>
                <w:sz w:val="22"/>
                <w:szCs w:val="22"/>
                <w:lang w:eastAsia="zh-CN"/>
              </w:rPr>
              <w:t>：</w:t>
            </w:r>
            <w:r>
              <w:rPr>
                <w:rFonts w:hint="eastAsia" w:ascii="宋体" w:hAnsi="宋体" w:eastAsia="宋体" w:cs="宋体"/>
                <w:bCs/>
                <w:sz w:val="22"/>
                <w:szCs w:val="22"/>
              </w:rPr>
              <w:t>评审时采购组织机构将统一通过“信用中国”网站（www.creditchina.gov.cn）、中国政府采购网（www.ccgp.gov.cn）查询供应商信用记录，对供应商信用记录进行甄别。</w:t>
            </w:r>
            <w:r>
              <w:rPr>
                <w:rFonts w:hint="eastAsia" w:ascii="宋体" w:hAnsi="宋体" w:eastAsia="宋体" w:cs="宋体"/>
                <w:b/>
                <w:bCs/>
                <w:sz w:val="22"/>
                <w:szCs w:val="22"/>
              </w:rPr>
              <w:t>凡是列入失信被执行人、重大税收违法案件当事人名单、政府采购严重违法失信行为记录名单及资格条件要求条件的供应商，将拒绝其参加本次采购活动。</w:t>
            </w:r>
          </w:p>
          <w:p w14:paraId="56E5B6A7">
            <w:pPr>
              <w:snapToGrid w:val="0"/>
              <w:spacing w:line="320" w:lineRule="exact"/>
              <w:rPr>
                <w:rFonts w:hint="eastAsia" w:ascii="宋体" w:hAnsi="宋体" w:eastAsia="宋体" w:cs="宋体"/>
                <w:bCs/>
                <w:sz w:val="22"/>
                <w:szCs w:val="22"/>
              </w:rPr>
            </w:pPr>
            <w:r>
              <w:rPr>
                <w:rFonts w:hint="eastAsia" w:ascii="宋体" w:hAnsi="宋体" w:eastAsia="宋体" w:cs="宋体"/>
                <w:bCs/>
                <w:sz w:val="22"/>
                <w:szCs w:val="22"/>
              </w:rPr>
              <w:t>本项目详细处理办法如下：</w:t>
            </w:r>
          </w:p>
          <w:p w14:paraId="4CD4C4DF">
            <w:pPr>
              <w:snapToGrid w:val="0"/>
              <w:spacing w:line="32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（1）投标截止时间前发现报名供应商存在上述“被拒绝情形”的，取消其报名资格，拒绝其参加采购活动。</w:t>
            </w:r>
          </w:p>
          <w:p w14:paraId="4405E7C9">
            <w:pPr>
              <w:snapToGrid w:val="0"/>
              <w:spacing w:line="32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（2）投标截止时间后、采购结果公告前发现投标供应商存在上述“被拒绝情形”的，按资格审查不通过对其递交的</w:t>
            </w:r>
            <w:r>
              <w:rPr>
                <w:rFonts w:hint="eastAsia" w:ascii="宋体" w:hAnsi="宋体" w:eastAsia="宋体" w:cs="宋体"/>
                <w:bCs/>
                <w:sz w:val="22"/>
                <w:szCs w:val="22"/>
                <w:lang w:val="en-US" w:eastAsia="zh-CN"/>
              </w:rPr>
              <w:t>投标文件</w:t>
            </w:r>
            <w:r>
              <w:rPr>
                <w:rFonts w:hint="eastAsia" w:ascii="宋体" w:hAnsi="宋体" w:eastAsia="宋体" w:cs="宋体"/>
                <w:bCs/>
                <w:sz w:val="22"/>
                <w:szCs w:val="22"/>
              </w:rPr>
              <w:t>作无效标处理。</w:t>
            </w:r>
          </w:p>
          <w:p w14:paraId="772806A2">
            <w:pPr>
              <w:snapToGrid w:val="0"/>
              <w:spacing w:line="32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（3）采购结果公告后（合同签订前）发现中标（成交）供应商存在上述“被拒绝情形”的，按资格审查不通过取消其中标（成交）资格。</w:t>
            </w:r>
          </w:p>
          <w:p w14:paraId="2B9811D8">
            <w:pPr>
              <w:snapToGrid w:val="0"/>
              <w:spacing w:line="32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（4）“被拒绝情形”是指列入失信被执行人、重大税收违法案件当事人名单、政府采购严重违法失信行为记录名单。</w:t>
            </w:r>
          </w:p>
          <w:p w14:paraId="3EA7382F">
            <w:pPr>
              <w:snapToGrid w:val="0"/>
              <w:spacing w:line="32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（5）查询工作由采购组织机构（采购人或采购代理机构）统一进行，并以书面形式留存备案。</w:t>
            </w:r>
          </w:p>
          <w:p w14:paraId="0AD66F54">
            <w:pPr>
              <w:snapToGrid w:val="0"/>
              <w:spacing w:line="3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bCs/>
                <w:sz w:val="22"/>
                <w:szCs w:val="22"/>
              </w:rPr>
              <w:t>（6）以联合体形式参加采购活动的，联合体中任何一方存在“被拒绝情形”的视同联合体存在“被拒绝情形”。</w:t>
            </w:r>
          </w:p>
        </w:tc>
      </w:tr>
      <w:tr w14:paraId="324D4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1FB54FD1">
            <w:pPr>
              <w:keepNext w:val="0"/>
              <w:keepLines w:val="0"/>
              <w:pageBreakBefore w:val="0"/>
              <w:kinsoku/>
              <w:wordWrap/>
              <w:overflowPunct/>
              <w:topLinePunct w:val="0"/>
              <w:bidi w:val="0"/>
              <w:adjustRightInd/>
              <w:spacing w:line="360" w:lineRule="exact"/>
              <w:ind w:leftChars="0"/>
              <w:jc w:val="center"/>
              <w:textAlignment w:val="auto"/>
              <w:rPr>
                <w:rFonts w:hint="default" w:ascii="宋体" w:hAnsi="宋体" w:eastAsia="宋体" w:cs="宋体"/>
                <w:b/>
                <w:bCs/>
                <w:color w:val="auto"/>
                <w:kern w:val="0"/>
                <w:sz w:val="24"/>
                <w:highlight w:val="none"/>
                <w:lang w:val="en-US" w:eastAsia="zh-CN" w:bidi="ar"/>
              </w:rPr>
            </w:pPr>
            <w:r>
              <w:rPr>
                <w:rFonts w:hint="eastAsia" w:ascii="宋体" w:hAnsi="宋体" w:cs="宋体"/>
                <w:b/>
                <w:bCs/>
                <w:color w:val="auto"/>
                <w:kern w:val="0"/>
                <w:sz w:val="24"/>
                <w:highlight w:val="none"/>
                <w:lang w:val="en-US" w:eastAsia="zh-CN" w:bidi="ar"/>
              </w:rPr>
              <w:t>20</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422E96A8">
            <w:pPr>
              <w:keepNext w:val="0"/>
              <w:keepLines w:val="0"/>
              <w:pageBreakBefore w:val="0"/>
              <w:kinsoku/>
              <w:wordWrap/>
              <w:overflowPunct/>
              <w:topLinePunct w:val="0"/>
              <w:bidi w:val="0"/>
              <w:adjustRightInd/>
              <w:snapToGrid w:val="0"/>
              <w:spacing w:line="360" w:lineRule="exact"/>
              <w:ind w:left="105" w:leftChars="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kern w:val="0"/>
                <w:sz w:val="22"/>
                <w:szCs w:val="22"/>
              </w:rPr>
              <w:t>特殊说明</w:t>
            </w:r>
            <w:r>
              <w:rPr>
                <w:rFonts w:hint="eastAsia" w:ascii="宋体" w:hAnsi="宋体" w:eastAsia="宋体" w:cs="宋体"/>
                <w:kern w:val="0"/>
                <w:sz w:val="22"/>
                <w:szCs w:val="22"/>
                <w:lang w:eastAsia="zh-CN"/>
              </w:rPr>
              <w:t>：</w:t>
            </w:r>
            <w:r>
              <w:rPr>
                <w:rFonts w:hint="eastAsia" w:ascii="宋体" w:hAnsi="宋体" w:eastAsia="宋体" w:cs="宋体"/>
                <w:bCs/>
                <w:sz w:val="22"/>
                <w:szCs w:val="22"/>
              </w:rPr>
              <w:t>金融、保险、通讯等特定行业的全国性企业所设立的区域性分支机构，以及个体工商户、个人独资企业、合伙企业，允许满足上述规定条款的供应商独立参加采购活动。上述机构独立参加本次项目的投标，必须同时满足以下条件：（1）投标截止时间前已依法办理工商、税务及社保登记；（2）取得总公司（或总机构）出具的授权，或能够提供房产权证（或其他有效财产证明材料）证明其具备实际承担责任的能力和法定的缔结合同能力。本</w:t>
            </w:r>
            <w:r>
              <w:rPr>
                <w:rFonts w:hint="eastAsia" w:ascii="宋体" w:hAnsi="宋体" w:eastAsia="宋体" w:cs="宋体"/>
                <w:bCs/>
                <w:sz w:val="22"/>
                <w:szCs w:val="22"/>
                <w:lang w:eastAsia="zh-CN"/>
              </w:rPr>
              <w:t>磋商文件</w:t>
            </w:r>
            <w:r>
              <w:rPr>
                <w:rFonts w:hint="eastAsia" w:ascii="宋体" w:hAnsi="宋体" w:eastAsia="宋体" w:cs="宋体"/>
                <w:bCs/>
                <w:sz w:val="22"/>
                <w:szCs w:val="22"/>
              </w:rPr>
              <w:t>中所列“法定代表人”也是指该机构营业执照上所列的“负责人”等。</w:t>
            </w:r>
          </w:p>
        </w:tc>
      </w:tr>
      <w:tr w14:paraId="65C20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1570"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59E0F470">
            <w:pPr>
              <w:keepNext w:val="0"/>
              <w:keepLines w:val="0"/>
              <w:pageBreakBefore w:val="0"/>
              <w:kinsoku/>
              <w:wordWrap/>
              <w:overflowPunct/>
              <w:topLinePunct w:val="0"/>
              <w:bidi w:val="0"/>
              <w:adjustRightInd/>
              <w:spacing w:line="360" w:lineRule="exact"/>
              <w:ind w:leftChars="0"/>
              <w:jc w:val="center"/>
              <w:textAlignment w:val="auto"/>
              <w:rPr>
                <w:rFonts w:hint="default" w:ascii="宋体" w:hAnsi="宋体" w:eastAsia="宋体" w:cs="宋体"/>
                <w:b/>
                <w:bCs/>
                <w:color w:val="auto"/>
                <w:kern w:val="0"/>
                <w:sz w:val="24"/>
                <w:highlight w:val="none"/>
                <w:lang w:val="en-US" w:eastAsia="zh-CN" w:bidi="ar"/>
              </w:rPr>
            </w:pPr>
            <w:r>
              <w:rPr>
                <w:rFonts w:hint="eastAsia" w:ascii="宋体" w:hAnsi="宋体" w:cs="宋体"/>
                <w:b/>
                <w:bCs/>
                <w:color w:val="auto"/>
                <w:kern w:val="0"/>
                <w:sz w:val="24"/>
                <w:highlight w:val="none"/>
                <w:lang w:val="en-US" w:eastAsia="zh-CN" w:bidi="ar"/>
              </w:rPr>
              <w:t>21</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4DF75630">
            <w:pPr>
              <w:spacing w:line="320" w:lineRule="exact"/>
              <w:rPr>
                <w:rFonts w:hint="eastAsia" w:ascii="宋体" w:hAnsi="宋体" w:eastAsia="宋体" w:cs="宋体"/>
                <w:color w:val="auto"/>
                <w:sz w:val="22"/>
                <w:szCs w:val="22"/>
                <w:highlight w:val="none"/>
                <w:lang w:eastAsia="zh-CN"/>
              </w:rPr>
            </w:pPr>
            <w:r>
              <w:rPr>
                <w:rFonts w:hint="eastAsia" w:ascii="宋体" w:hAnsi="宋体" w:eastAsia="宋体" w:cs="宋体"/>
                <w:bCs/>
                <w:sz w:val="22"/>
                <w:szCs w:val="22"/>
              </w:rPr>
              <w:t>免责声明</w:t>
            </w:r>
            <w:r>
              <w:rPr>
                <w:rFonts w:hint="eastAsia" w:ascii="宋体" w:hAnsi="宋体" w:eastAsia="宋体" w:cs="宋体"/>
                <w:bCs/>
                <w:sz w:val="22"/>
                <w:szCs w:val="22"/>
                <w:lang w:eastAsia="zh-CN"/>
              </w:rPr>
              <w:t>：</w:t>
            </w:r>
            <w:r>
              <w:rPr>
                <w:rFonts w:hint="eastAsia" w:ascii="宋体" w:hAnsi="宋体" w:eastAsia="宋体" w:cs="宋体"/>
                <w:bCs/>
                <w:sz w:val="22"/>
                <w:szCs w:val="22"/>
              </w:rPr>
              <w:t>1、投标供应商自行承担投标过程中产生的费用。无论何种因素导致采购项目延期开标、废标（流标）、投标供应商未中标、项目暂停、项目终止采购的，采购人与代理机构均不承担供应商投标费用。2、投标供应商在投标、合同履行过程中必须做好安全保障工作，不因项目实施而危及自身及第三方人员、财产安全。若发生任何安全事故，由中标供应商自行承担一切责任并赔偿损失。</w:t>
            </w:r>
          </w:p>
        </w:tc>
      </w:tr>
      <w:tr w14:paraId="5CB15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567" w:hRule="atLeast"/>
          <w:jc w:val="center"/>
        </w:trPr>
        <w:tc>
          <w:tcPr>
            <w:tcW w:w="655" w:type="dxa"/>
            <w:tcBorders>
              <w:top w:val="single" w:color="000000" w:sz="2" w:space="0"/>
              <w:left w:val="single" w:color="000000" w:sz="8" w:space="0"/>
              <w:bottom w:val="single" w:color="000000" w:sz="2" w:space="0"/>
              <w:right w:val="single" w:color="000000" w:sz="2" w:space="0"/>
            </w:tcBorders>
            <w:noWrap w:val="0"/>
            <w:vAlign w:val="center"/>
          </w:tcPr>
          <w:p w14:paraId="0E636C12">
            <w:pPr>
              <w:keepNext w:val="0"/>
              <w:keepLines w:val="0"/>
              <w:pageBreakBefore w:val="0"/>
              <w:kinsoku/>
              <w:wordWrap/>
              <w:overflowPunct/>
              <w:topLinePunct w:val="0"/>
              <w:bidi w:val="0"/>
              <w:adjustRightInd/>
              <w:spacing w:line="360" w:lineRule="exact"/>
              <w:ind w:leftChars="0"/>
              <w:jc w:val="center"/>
              <w:textAlignment w:val="auto"/>
              <w:rPr>
                <w:rFonts w:hint="default" w:ascii="宋体" w:hAnsi="宋体" w:eastAsia="宋体" w:cs="宋体"/>
                <w:b/>
                <w:bCs/>
                <w:color w:val="auto"/>
                <w:kern w:val="0"/>
                <w:sz w:val="24"/>
                <w:highlight w:val="none"/>
                <w:lang w:val="en-US" w:eastAsia="zh-CN" w:bidi="ar"/>
              </w:rPr>
            </w:pPr>
            <w:r>
              <w:rPr>
                <w:rFonts w:hint="eastAsia" w:ascii="宋体" w:hAnsi="宋体" w:cs="宋体"/>
                <w:b/>
                <w:bCs/>
                <w:color w:val="auto"/>
                <w:kern w:val="0"/>
                <w:sz w:val="24"/>
                <w:highlight w:val="none"/>
                <w:lang w:val="en-US" w:eastAsia="zh-CN" w:bidi="ar"/>
              </w:rPr>
              <w:t>22</w:t>
            </w:r>
          </w:p>
        </w:tc>
        <w:tc>
          <w:tcPr>
            <w:tcW w:w="8438" w:type="dxa"/>
            <w:tcBorders>
              <w:top w:val="single" w:color="000000" w:sz="2" w:space="0"/>
              <w:left w:val="single" w:color="000000" w:sz="2" w:space="0"/>
              <w:bottom w:val="single" w:color="000000" w:sz="2" w:space="0"/>
              <w:right w:val="single" w:color="000000" w:sz="8" w:space="0"/>
            </w:tcBorders>
            <w:noWrap w:val="0"/>
            <w:vAlign w:val="center"/>
          </w:tcPr>
          <w:p w14:paraId="01D08F2E">
            <w:pPr>
              <w:pStyle w:val="11"/>
              <w:snapToGrid w:val="0"/>
              <w:spacing w:before="0" w:line="320" w:lineRule="exact"/>
              <w:rPr>
                <w:rFonts w:hint="eastAsia" w:ascii="宋体" w:hAnsi="宋体" w:eastAsia="宋体" w:cs="宋体"/>
                <w:b w:val="0"/>
                <w:color w:val="auto"/>
                <w:kern w:val="2"/>
                <w:sz w:val="22"/>
                <w:szCs w:val="22"/>
              </w:rPr>
            </w:pPr>
            <w:r>
              <w:rPr>
                <w:rFonts w:hint="eastAsia" w:ascii="宋体" w:hAnsi="宋体" w:eastAsia="宋体" w:cs="宋体"/>
                <w:b w:val="0"/>
                <w:color w:val="auto"/>
                <w:sz w:val="22"/>
                <w:szCs w:val="22"/>
              </w:rPr>
              <w:t>备注</w:t>
            </w:r>
            <w:r>
              <w:rPr>
                <w:rFonts w:hint="eastAsia" w:ascii="宋体" w:hAnsi="宋体" w:eastAsia="宋体" w:cs="宋体"/>
                <w:b w:val="0"/>
                <w:color w:val="auto"/>
                <w:sz w:val="22"/>
                <w:szCs w:val="22"/>
                <w:lang w:eastAsia="zh-CN"/>
              </w:rPr>
              <w:t>：</w:t>
            </w:r>
            <w:r>
              <w:rPr>
                <w:rFonts w:hint="eastAsia" w:ascii="宋体" w:hAnsi="宋体" w:eastAsia="宋体" w:cs="宋体"/>
                <w:b w:val="0"/>
                <w:color w:val="auto"/>
                <w:kern w:val="2"/>
                <w:sz w:val="22"/>
                <w:szCs w:val="22"/>
              </w:rPr>
              <w:t>如发现</w:t>
            </w:r>
            <w:r>
              <w:rPr>
                <w:rFonts w:hint="eastAsia" w:ascii="宋体" w:hAnsi="宋体" w:eastAsia="宋体" w:cs="宋体"/>
                <w:b w:val="0"/>
                <w:color w:val="auto"/>
                <w:kern w:val="2"/>
                <w:sz w:val="22"/>
                <w:szCs w:val="22"/>
                <w:lang w:val="en-US" w:eastAsia="zh-CN"/>
              </w:rPr>
              <w:t>招标</w:t>
            </w:r>
            <w:r>
              <w:rPr>
                <w:rFonts w:hint="eastAsia" w:ascii="宋体" w:hAnsi="宋体" w:eastAsia="宋体" w:cs="宋体"/>
                <w:b w:val="0"/>
                <w:color w:val="auto"/>
                <w:kern w:val="2"/>
                <w:sz w:val="22"/>
                <w:szCs w:val="22"/>
                <w:lang w:eastAsia="zh-CN"/>
              </w:rPr>
              <w:t>文件</w:t>
            </w:r>
            <w:r>
              <w:rPr>
                <w:rFonts w:hint="eastAsia" w:ascii="宋体" w:hAnsi="宋体" w:eastAsia="宋体" w:cs="宋体"/>
                <w:b w:val="0"/>
                <w:color w:val="auto"/>
                <w:kern w:val="2"/>
                <w:sz w:val="22"/>
                <w:szCs w:val="22"/>
              </w:rPr>
              <w:t>及其评标办法中存在含糊不清、相互矛盾、多种含义以及歧视性不公正条款或违法违规等内容时，请在规定的招标质疑截止时间前向采购机构书面反映，逾期不得再对</w:t>
            </w:r>
            <w:r>
              <w:rPr>
                <w:rFonts w:hint="eastAsia" w:ascii="宋体" w:hAnsi="宋体" w:eastAsia="宋体" w:cs="宋体"/>
                <w:b w:val="0"/>
                <w:color w:val="auto"/>
                <w:kern w:val="2"/>
                <w:sz w:val="22"/>
                <w:szCs w:val="22"/>
                <w:lang w:eastAsia="zh-CN"/>
              </w:rPr>
              <w:t>磋商文件</w:t>
            </w:r>
            <w:r>
              <w:rPr>
                <w:rFonts w:hint="eastAsia" w:ascii="宋体" w:hAnsi="宋体" w:eastAsia="宋体" w:cs="宋体"/>
                <w:b w:val="0"/>
                <w:color w:val="auto"/>
                <w:kern w:val="2"/>
                <w:sz w:val="22"/>
                <w:szCs w:val="22"/>
              </w:rPr>
              <w:t>的条款提出质疑。</w:t>
            </w:r>
            <w:r>
              <w:rPr>
                <w:rFonts w:hint="eastAsia" w:ascii="宋体" w:hAnsi="宋体" w:eastAsia="宋体" w:cs="宋体"/>
                <w:b w:val="0"/>
                <w:color w:val="auto"/>
                <w:kern w:val="2"/>
                <w:sz w:val="22"/>
                <w:szCs w:val="22"/>
                <w:lang w:val="en-US" w:eastAsia="zh-CN"/>
              </w:rPr>
              <w:t>招标</w:t>
            </w:r>
            <w:r>
              <w:rPr>
                <w:rFonts w:hint="eastAsia" w:ascii="宋体" w:hAnsi="宋体" w:eastAsia="宋体" w:cs="宋体"/>
                <w:b w:val="0"/>
                <w:color w:val="auto"/>
                <w:kern w:val="2"/>
                <w:sz w:val="22"/>
                <w:szCs w:val="22"/>
                <w:lang w:eastAsia="zh-CN"/>
              </w:rPr>
              <w:t>文件</w:t>
            </w:r>
            <w:r>
              <w:rPr>
                <w:rFonts w:hint="eastAsia" w:ascii="宋体" w:hAnsi="宋体" w:eastAsia="宋体" w:cs="宋体"/>
                <w:b w:val="0"/>
                <w:color w:val="auto"/>
                <w:kern w:val="2"/>
                <w:sz w:val="22"/>
                <w:szCs w:val="22"/>
              </w:rPr>
              <w:t>如有更正补充将按规定时间发布在</w:t>
            </w:r>
            <w:r>
              <w:rPr>
                <w:rFonts w:hint="eastAsia" w:ascii="宋体" w:hAnsi="宋体" w:eastAsia="宋体" w:cs="宋体"/>
                <w:b w:val="0"/>
                <w:color w:val="auto"/>
                <w:kern w:val="2"/>
                <w:sz w:val="22"/>
                <w:szCs w:val="22"/>
                <w:lang w:eastAsia="zh-CN"/>
              </w:rPr>
              <w:t>乐采云平台</w:t>
            </w:r>
            <w:r>
              <w:rPr>
                <w:rFonts w:hint="eastAsia" w:ascii="宋体" w:hAnsi="宋体" w:eastAsia="宋体" w:cs="宋体"/>
                <w:b w:val="0"/>
                <w:color w:val="auto"/>
                <w:kern w:val="2"/>
                <w:sz w:val="22"/>
                <w:szCs w:val="22"/>
              </w:rPr>
              <w:t>和苍南县公共资源交易中心网站，请供应商注意查看并按更正补充文件投标，如供应商未按更正补充文件投标，后果自负。</w:t>
            </w:r>
          </w:p>
          <w:p w14:paraId="3A09BC31">
            <w:pPr>
              <w:keepNext w:val="0"/>
              <w:keepLines w:val="0"/>
              <w:pageBreakBefore w:val="0"/>
              <w:kinsoku/>
              <w:wordWrap/>
              <w:overflowPunct/>
              <w:topLinePunct w:val="0"/>
              <w:bidi w:val="0"/>
              <w:adjustRightInd/>
              <w:snapToGrid w:val="0"/>
              <w:spacing w:line="360" w:lineRule="exact"/>
              <w:ind w:left="105" w:leftChars="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val="0"/>
                <w:color w:val="auto"/>
                <w:kern w:val="2"/>
                <w:sz w:val="22"/>
                <w:szCs w:val="22"/>
              </w:rPr>
              <w:t>★</w:t>
            </w:r>
            <w:r>
              <w:rPr>
                <w:rFonts w:hint="eastAsia" w:ascii="宋体" w:hAnsi="宋体" w:eastAsia="宋体" w:cs="宋体"/>
                <w:b w:val="0"/>
                <w:color w:val="auto"/>
                <w:kern w:val="2"/>
                <w:sz w:val="22"/>
                <w:szCs w:val="22"/>
                <w:lang w:val="en-US" w:eastAsia="zh-CN"/>
              </w:rPr>
              <w:t>招标</w:t>
            </w:r>
            <w:r>
              <w:rPr>
                <w:rFonts w:hint="eastAsia" w:ascii="宋体" w:hAnsi="宋体" w:eastAsia="宋体" w:cs="宋体"/>
                <w:b w:val="0"/>
                <w:color w:val="auto"/>
                <w:kern w:val="2"/>
                <w:sz w:val="22"/>
                <w:szCs w:val="22"/>
                <w:lang w:eastAsia="zh-CN"/>
              </w:rPr>
              <w:t>文件</w:t>
            </w:r>
            <w:r>
              <w:rPr>
                <w:rFonts w:hint="eastAsia" w:ascii="宋体" w:hAnsi="宋体" w:eastAsia="宋体" w:cs="宋体"/>
                <w:b w:val="0"/>
                <w:color w:val="auto"/>
                <w:kern w:val="2"/>
                <w:sz w:val="22"/>
                <w:szCs w:val="22"/>
              </w:rPr>
              <w:t>解释权归</w:t>
            </w:r>
            <w:r>
              <w:rPr>
                <w:rFonts w:hint="eastAsia" w:ascii="宋体" w:hAnsi="宋体" w:eastAsia="宋体" w:cs="宋体"/>
                <w:b w:val="0"/>
                <w:color w:val="auto"/>
                <w:kern w:val="2"/>
                <w:sz w:val="22"/>
                <w:szCs w:val="22"/>
                <w:lang w:val="en-US" w:eastAsia="zh-CN"/>
              </w:rPr>
              <w:t>代理机构和</w:t>
            </w:r>
            <w:r>
              <w:rPr>
                <w:rFonts w:hint="eastAsia" w:ascii="宋体" w:hAnsi="宋体" w:eastAsia="宋体" w:cs="宋体"/>
                <w:b w:val="0"/>
                <w:color w:val="auto"/>
                <w:kern w:val="2"/>
                <w:sz w:val="22"/>
                <w:szCs w:val="22"/>
              </w:rPr>
              <w:t>采购人所有。</w:t>
            </w:r>
          </w:p>
        </w:tc>
      </w:tr>
    </w:tbl>
    <w:p w14:paraId="1B3BF65D">
      <w:pPr>
        <w:shd w:val="clear" w:color="auto" w:fill="FFFFFF"/>
        <w:snapToGrid w:val="0"/>
        <w:spacing w:line="360" w:lineRule="auto"/>
        <w:jc w:val="center"/>
        <w:outlineLvl w:val="1"/>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br w:type="page"/>
      </w:r>
      <w:bookmarkEnd w:id="13"/>
      <w:bookmarkStart w:id="20" w:name="_Toc233618972"/>
      <w:bookmarkStart w:id="21" w:name="_Toc33194388"/>
      <w:bookmarkStart w:id="22" w:name="_Toc29897"/>
      <w:bookmarkStart w:id="23" w:name="_Toc354996696"/>
      <w:bookmarkStart w:id="24" w:name="_Toc225840109"/>
      <w:bookmarkStart w:id="25" w:name="_Toc226106516"/>
      <w:bookmarkStart w:id="26" w:name="_Toc226521904"/>
      <w:bookmarkStart w:id="27" w:name="_Toc226106467"/>
      <w:r>
        <w:rPr>
          <w:rFonts w:hint="eastAsia" w:ascii="宋体" w:hAnsi="宋体" w:eastAsia="宋体" w:cs="宋体"/>
          <w:b/>
          <w:bCs/>
          <w:color w:val="auto"/>
          <w:sz w:val="28"/>
          <w:szCs w:val="28"/>
          <w:highlight w:val="none"/>
        </w:rPr>
        <w:t>一、总 则</w:t>
      </w:r>
      <w:bookmarkEnd w:id="20"/>
      <w:bookmarkEnd w:id="21"/>
      <w:bookmarkEnd w:id="22"/>
      <w:bookmarkEnd w:id="23"/>
    </w:p>
    <w:p w14:paraId="2102AEAB">
      <w:pPr>
        <w:snapToGrid w:val="0"/>
        <w:spacing w:line="360" w:lineRule="auto"/>
        <w:rPr>
          <w:rFonts w:hint="eastAsia" w:ascii="宋体" w:hAnsi="宋体" w:eastAsia="宋体" w:cs="宋体"/>
          <w:b/>
          <w:color w:val="auto"/>
          <w:sz w:val="24"/>
          <w:highlight w:val="none"/>
        </w:rPr>
      </w:pPr>
      <w:bookmarkStart w:id="28" w:name="_Toc91899872"/>
      <w:bookmarkStart w:id="29" w:name="_Hlt74730208"/>
      <w:bookmarkStart w:id="30" w:name="_Hlt74730112"/>
      <w:bookmarkStart w:id="31" w:name="_Toc354996697"/>
      <w:bookmarkStart w:id="32" w:name="_Toc233618973"/>
      <w:r>
        <w:rPr>
          <w:rFonts w:hint="eastAsia" w:ascii="宋体" w:hAnsi="宋体" w:eastAsia="宋体" w:cs="宋体"/>
          <w:b/>
          <w:color w:val="auto"/>
          <w:sz w:val="24"/>
          <w:highlight w:val="none"/>
        </w:rPr>
        <w:t>（一）项目说明</w:t>
      </w:r>
      <w:bookmarkEnd w:id="28"/>
    </w:p>
    <w:p w14:paraId="01C03A56">
      <w:pPr>
        <w:pStyle w:val="33"/>
        <w:snapToGrid w:val="0"/>
        <w:rPr>
          <w:rFonts w:hint="eastAsia" w:ascii="宋体" w:hAnsi="宋体" w:eastAsia="宋体" w:cs="宋体"/>
          <w:color w:val="auto"/>
          <w:sz w:val="22"/>
          <w:szCs w:val="22"/>
          <w:highlight w:val="none"/>
        </w:rPr>
      </w:pPr>
      <w:r>
        <w:rPr>
          <w:rFonts w:hint="eastAsia" w:cs="宋体"/>
          <w:color w:val="auto"/>
          <w:sz w:val="22"/>
          <w:szCs w:val="22"/>
          <w:highlight w:val="none"/>
          <w:lang w:val="en-US" w:eastAsia="zh-CN"/>
        </w:rPr>
        <w:t>1.</w:t>
      </w:r>
      <w:r>
        <w:rPr>
          <w:rFonts w:hint="eastAsia" w:ascii="宋体" w:hAnsi="宋体" w:eastAsia="宋体" w:cs="宋体"/>
          <w:color w:val="auto"/>
          <w:sz w:val="22"/>
          <w:szCs w:val="22"/>
          <w:highlight w:val="none"/>
        </w:rPr>
        <w:t>1、项目说明见投标须知前附表(以下称“前附表”)第1项所述。</w:t>
      </w:r>
    </w:p>
    <w:p w14:paraId="4A2D4DE7">
      <w:pPr>
        <w:pStyle w:val="33"/>
        <w:tabs>
          <w:tab w:val="left" w:pos="6510"/>
        </w:tabs>
        <w:snapToGrid w:val="0"/>
        <w:ind w:firstLine="480"/>
        <w:rPr>
          <w:rFonts w:hint="eastAsia" w:ascii="宋体" w:hAnsi="宋体" w:eastAsia="宋体" w:cs="宋体"/>
          <w:color w:val="auto"/>
          <w:sz w:val="22"/>
          <w:szCs w:val="22"/>
          <w:highlight w:val="none"/>
        </w:rPr>
      </w:pPr>
      <w:r>
        <w:rPr>
          <w:rFonts w:hint="eastAsia" w:cs="宋体"/>
          <w:color w:val="auto"/>
          <w:sz w:val="22"/>
          <w:szCs w:val="22"/>
          <w:highlight w:val="none"/>
          <w:lang w:val="en-US" w:eastAsia="zh-CN"/>
        </w:rPr>
        <w:t>1.</w:t>
      </w:r>
      <w:r>
        <w:rPr>
          <w:rFonts w:hint="eastAsia" w:ascii="宋体" w:hAnsi="宋体" w:eastAsia="宋体" w:cs="宋体"/>
          <w:color w:val="auto"/>
          <w:sz w:val="22"/>
          <w:szCs w:val="22"/>
          <w:highlight w:val="none"/>
        </w:rPr>
        <w:t>2、采购单位</w:t>
      </w:r>
      <w:r>
        <w:rPr>
          <w:rFonts w:hint="eastAsia" w:cs="宋体"/>
          <w:color w:val="auto"/>
          <w:sz w:val="22"/>
          <w:szCs w:val="22"/>
          <w:highlight w:val="none"/>
          <w:lang w:eastAsia="zh-CN"/>
        </w:rPr>
        <w:t>苍南县交通建设材料科技有限公司</w:t>
      </w:r>
      <w:r>
        <w:rPr>
          <w:rFonts w:hint="eastAsia" w:ascii="宋体" w:hAnsi="宋体" w:eastAsia="宋体" w:cs="宋体"/>
          <w:color w:val="auto"/>
          <w:sz w:val="22"/>
          <w:szCs w:val="22"/>
          <w:highlight w:val="none"/>
        </w:rPr>
        <w:t>为本项目的采购人（合同中的甲方），</w:t>
      </w:r>
      <w:r>
        <w:rPr>
          <w:rFonts w:hint="eastAsia" w:cs="宋体"/>
          <w:color w:val="auto"/>
          <w:sz w:val="22"/>
          <w:szCs w:val="22"/>
          <w:highlight w:val="none"/>
          <w:lang w:eastAsia="zh-CN"/>
        </w:rPr>
        <w:t>浙江华域高宇项目管理有限公司</w:t>
      </w:r>
      <w:r>
        <w:rPr>
          <w:rFonts w:hint="eastAsia" w:ascii="宋体" w:hAnsi="宋体" w:eastAsia="宋体" w:cs="宋体"/>
          <w:color w:val="auto"/>
          <w:sz w:val="22"/>
          <w:szCs w:val="22"/>
          <w:highlight w:val="none"/>
        </w:rPr>
        <w:t>为采购代理机构，</w:t>
      </w:r>
      <w:r>
        <w:rPr>
          <w:rFonts w:hint="eastAsia" w:cs="宋体"/>
          <w:color w:val="auto"/>
          <w:sz w:val="22"/>
          <w:szCs w:val="22"/>
          <w:highlight w:val="none"/>
          <w:lang w:eastAsia="zh-CN"/>
        </w:rPr>
        <w:t>苍南县交通发展集团有限公司</w:t>
      </w:r>
      <w:r>
        <w:rPr>
          <w:rFonts w:hint="eastAsia" w:ascii="宋体" w:hAnsi="宋体" w:eastAsia="宋体" w:cs="宋体"/>
          <w:color w:val="auto"/>
          <w:sz w:val="22"/>
          <w:szCs w:val="22"/>
          <w:highlight w:val="none"/>
        </w:rPr>
        <w:t>为国企采购备案机构，自愿参加本次项目投标的法人、其他组织为投标供应商，经评审产生并经批准的投标供应商为中标供应商，签订合同后的中标供应商为供应商(合同中的乙方)。</w:t>
      </w:r>
    </w:p>
    <w:p w14:paraId="0453274A">
      <w:pPr>
        <w:pStyle w:val="33"/>
        <w:snapToGrid w:val="0"/>
        <w:ind w:firstLine="480"/>
        <w:rPr>
          <w:rFonts w:hint="eastAsia" w:ascii="宋体" w:hAnsi="宋体" w:eastAsia="宋体" w:cs="宋体"/>
          <w:color w:val="auto"/>
          <w:sz w:val="22"/>
          <w:szCs w:val="22"/>
          <w:highlight w:val="none"/>
        </w:rPr>
      </w:pPr>
      <w:r>
        <w:rPr>
          <w:rFonts w:hint="eastAsia" w:cs="宋体"/>
          <w:color w:val="auto"/>
          <w:sz w:val="22"/>
          <w:szCs w:val="22"/>
          <w:highlight w:val="none"/>
          <w:lang w:val="en-US" w:eastAsia="zh-CN"/>
        </w:rPr>
        <w:t>1.</w:t>
      </w:r>
      <w:r>
        <w:rPr>
          <w:rFonts w:hint="eastAsia" w:ascii="宋体" w:hAnsi="宋体" w:eastAsia="宋体" w:cs="宋体"/>
          <w:color w:val="auto"/>
          <w:sz w:val="22"/>
          <w:szCs w:val="22"/>
          <w:highlight w:val="none"/>
        </w:rPr>
        <w:t>3、投标供应商一旦参与本次招标活动，即被视为接受了本招标文件的所有内容，如有任何异议，均已在答疑截止时间前提出。</w:t>
      </w:r>
    </w:p>
    <w:p w14:paraId="3CCEA05C">
      <w:pPr>
        <w:tabs>
          <w:tab w:val="left" w:pos="3780"/>
        </w:tabs>
        <w:snapToGrid w:val="0"/>
        <w:spacing w:line="360" w:lineRule="auto"/>
        <w:ind w:firstLine="440" w:firstLineChars="200"/>
        <w:rPr>
          <w:rFonts w:hint="eastAsia" w:ascii="宋体" w:hAnsi="宋体" w:eastAsia="宋体" w:cs="宋体"/>
          <w:color w:val="auto"/>
          <w:sz w:val="24"/>
          <w:highlight w:val="none"/>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4、投标供应商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宋体" w:hAnsi="宋体" w:eastAsia="宋体" w:cs="宋体"/>
          <w:color w:val="auto"/>
          <w:kern w:val="0"/>
          <w:sz w:val="22"/>
          <w:szCs w:val="22"/>
          <w:highlight w:val="none"/>
          <w:lang w:val="zh-CN"/>
        </w:rPr>
        <w:t>供应商</w:t>
      </w:r>
      <w:r>
        <w:rPr>
          <w:rFonts w:hint="eastAsia" w:ascii="宋体" w:hAnsi="宋体" w:eastAsia="宋体" w:cs="宋体"/>
          <w:color w:val="auto"/>
          <w:sz w:val="22"/>
          <w:szCs w:val="22"/>
          <w:highlight w:val="none"/>
        </w:rPr>
        <w:t>应承担相应后果，</w:t>
      </w:r>
      <w:r>
        <w:rPr>
          <w:rFonts w:hint="eastAsia" w:ascii="宋体" w:hAnsi="宋体" w:eastAsia="宋体" w:cs="宋体"/>
          <w:color w:val="auto"/>
          <w:kern w:val="0"/>
          <w:sz w:val="22"/>
          <w:szCs w:val="22"/>
          <w:highlight w:val="none"/>
          <w:lang w:val="zh-CN"/>
        </w:rPr>
        <w:t>并负责赔偿。</w:t>
      </w:r>
      <w:r>
        <w:rPr>
          <w:rFonts w:hint="eastAsia" w:ascii="宋体" w:hAnsi="宋体" w:eastAsia="宋体" w:cs="宋体"/>
          <w:color w:val="auto"/>
          <w:sz w:val="22"/>
          <w:szCs w:val="22"/>
          <w:highlight w:val="none"/>
        </w:rPr>
        <w:t>供应商为执行本项目合同而提供的技术资料等归采购人所有。</w:t>
      </w:r>
      <w:bookmarkStart w:id="33" w:name="_Toc91899873"/>
    </w:p>
    <w:p w14:paraId="2B614A7A">
      <w:pPr>
        <w:tabs>
          <w:tab w:val="left" w:pos="3780"/>
        </w:tabs>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（二）采购方式</w:t>
      </w:r>
      <w:bookmarkEnd w:id="33"/>
    </w:p>
    <w:p w14:paraId="19D153CC">
      <w:pPr>
        <w:pStyle w:val="33"/>
        <w:snapToGrid w:val="0"/>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公开招标。</w:t>
      </w:r>
      <w:bookmarkEnd w:id="29"/>
      <w:bookmarkEnd w:id="30"/>
      <w:bookmarkStart w:id="34" w:name="_Hlt74388212"/>
      <w:bookmarkEnd w:id="34"/>
      <w:bookmarkStart w:id="35" w:name="_Hlt68516771"/>
      <w:bookmarkEnd w:id="35"/>
    </w:p>
    <w:p w14:paraId="61FD3888">
      <w:pPr>
        <w:snapToGrid w:val="0"/>
        <w:spacing w:line="360" w:lineRule="auto"/>
        <w:rPr>
          <w:rFonts w:hint="eastAsia" w:ascii="宋体" w:hAnsi="宋体" w:eastAsia="宋体" w:cs="宋体"/>
          <w:b/>
          <w:color w:val="auto"/>
          <w:sz w:val="24"/>
          <w:highlight w:val="none"/>
        </w:rPr>
      </w:pPr>
      <w:bookmarkStart w:id="36" w:name="_Hlt74730303"/>
      <w:bookmarkStart w:id="37" w:name="_Toc91899877"/>
      <w:r>
        <w:rPr>
          <w:rFonts w:hint="eastAsia" w:ascii="宋体" w:hAnsi="宋体" w:eastAsia="宋体" w:cs="宋体"/>
          <w:b/>
          <w:color w:val="auto"/>
          <w:sz w:val="24"/>
          <w:highlight w:val="none"/>
        </w:rPr>
        <w:t>（三）</w:t>
      </w:r>
      <w:r>
        <w:rPr>
          <w:rFonts w:hint="eastAsia" w:ascii="宋体" w:hAnsi="宋体" w:eastAsia="宋体" w:cs="宋体"/>
          <w:b/>
          <w:color w:val="auto"/>
          <w:kern w:val="0"/>
          <w:sz w:val="24"/>
          <w:highlight w:val="none"/>
          <w:lang w:val="zh-CN"/>
        </w:rPr>
        <w:t>定义</w:t>
      </w:r>
    </w:p>
    <w:p w14:paraId="583CEA60">
      <w:pPr>
        <w:snapToGrid w:val="0"/>
        <w:spacing w:line="360" w:lineRule="auto"/>
        <w:ind w:firstLine="442" w:firstLineChars="200"/>
        <w:rPr>
          <w:rFonts w:hint="eastAsia" w:ascii="宋体" w:hAnsi="宋体" w:eastAsia="宋体" w:cs="宋体"/>
          <w:color w:val="auto"/>
          <w:kern w:val="0"/>
          <w:sz w:val="22"/>
          <w:szCs w:val="22"/>
          <w:highlight w:val="none"/>
          <w:lang w:val="zh-CN"/>
        </w:rPr>
      </w:pPr>
      <w:r>
        <w:rPr>
          <w:rFonts w:hint="eastAsia" w:ascii="宋体" w:hAnsi="宋体" w:cs="宋体"/>
          <w:b/>
          <w:color w:val="auto"/>
          <w:kern w:val="0"/>
          <w:sz w:val="22"/>
          <w:szCs w:val="22"/>
          <w:highlight w:val="none"/>
          <w:lang w:val="en-US" w:eastAsia="zh-CN"/>
        </w:rPr>
        <w:t>3.</w:t>
      </w:r>
      <w:r>
        <w:rPr>
          <w:rFonts w:hint="eastAsia" w:ascii="宋体" w:hAnsi="宋体" w:eastAsia="宋体" w:cs="宋体"/>
          <w:b/>
          <w:color w:val="auto"/>
          <w:kern w:val="0"/>
          <w:sz w:val="22"/>
          <w:szCs w:val="22"/>
          <w:highlight w:val="none"/>
          <w:lang w:val="zh-CN"/>
        </w:rPr>
        <w:t>1、合格的投标供应商应具备的资格要求，</w:t>
      </w:r>
      <w:r>
        <w:rPr>
          <w:rFonts w:hint="eastAsia" w:ascii="宋体" w:hAnsi="宋体" w:eastAsia="宋体" w:cs="宋体"/>
          <w:color w:val="auto"/>
          <w:kern w:val="0"/>
          <w:sz w:val="22"/>
          <w:szCs w:val="22"/>
          <w:highlight w:val="none"/>
          <w:lang w:val="zh-CN"/>
        </w:rPr>
        <w:t>见招标文件第一部分“招标公告”。</w:t>
      </w:r>
    </w:p>
    <w:p w14:paraId="29F7AC4B">
      <w:pPr>
        <w:tabs>
          <w:tab w:val="left" w:pos="0"/>
        </w:tabs>
        <w:autoSpaceDE w:val="0"/>
        <w:autoSpaceDN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2、内容</w:t>
      </w:r>
    </w:p>
    <w:p w14:paraId="56DA3D94">
      <w:pPr>
        <w:spacing w:line="360" w:lineRule="auto"/>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详见第三部分——项目技术规范和服务要求。</w:t>
      </w:r>
    </w:p>
    <w:p w14:paraId="60A4BA52">
      <w:pPr>
        <w:pStyle w:val="13"/>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（四）投标费用</w:t>
      </w:r>
    </w:p>
    <w:p w14:paraId="7908AD81">
      <w:pPr>
        <w:snapToGrid w:val="0"/>
        <w:spacing w:line="360" w:lineRule="auto"/>
        <w:ind w:firstLine="479" w:firstLineChars="218"/>
        <w:rPr>
          <w:rFonts w:hint="eastAsia" w:ascii="宋体" w:hAnsi="宋体" w:eastAsia="宋体" w:cs="宋体"/>
          <w:color w:val="auto"/>
          <w:sz w:val="24"/>
          <w:szCs w:val="24"/>
          <w:highlight w:val="none"/>
        </w:rPr>
      </w:pPr>
      <w:r>
        <w:rPr>
          <w:rFonts w:hint="eastAsia" w:ascii="宋体" w:hAnsi="宋体" w:eastAsia="宋体" w:cs="宋体"/>
          <w:color w:val="auto"/>
          <w:sz w:val="22"/>
          <w:szCs w:val="22"/>
          <w:highlight w:val="none"/>
        </w:rPr>
        <w:t>投标供应商需自行承担涉及投标的一切税、费用</w:t>
      </w:r>
      <w:r>
        <w:rPr>
          <w:rFonts w:hint="eastAsia" w:ascii="宋体" w:hAnsi="宋体" w:eastAsia="宋体" w:cs="宋体"/>
          <w:color w:val="auto"/>
          <w:sz w:val="22"/>
          <w:szCs w:val="22"/>
          <w:highlight w:val="none"/>
          <w:lang w:val="zh-CN"/>
        </w:rPr>
        <w:t>。</w:t>
      </w:r>
    </w:p>
    <w:bookmarkEnd w:id="36"/>
    <w:bookmarkEnd w:id="37"/>
    <w:p w14:paraId="404ED1E8">
      <w:pPr>
        <w:snapToGrid w:val="0"/>
        <w:spacing w:line="360" w:lineRule="auto"/>
        <w:ind w:firstLine="523" w:firstLineChars="218"/>
        <w:rPr>
          <w:rFonts w:hint="eastAsia" w:ascii="宋体" w:hAnsi="宋体" w:eastAsia="宋体" w:cs="宋体"/>
          <w:color w:val="auto"/>
          <w:sz w:val="24"/>
          <w:highlight w:val="none"/>
          <w:lang w:val="zh-CN"/>
        </w:rPr>
      </w:pPr>
    </w:p>
    <w:p w14:paraId="4D21F3DB">
      <w:pPr>
        <w:shd w:val="clear" w:color="auto" w:fill="FFFFFF"/>
        <w:snapToGrid w:val="0"/>
        <w:spacing w:line="360" w:lineRule="auto"/>
        <w:jc w:val="center"/>
        <w:outlineLvl w:val="1"/>
        <w:rPr>
          <w:rFonts w:hint="eastAsia" w:ascii="宋体" w:hAnsi="宋体" w:eastAsia="宋体" w:cs="宋体"/>
          <w:b/>
          <w:bCs/>
          <w:color w:val="auto"/>
          <w:sz w:val="24"/>
          <w:highlight w:val="none"/>
        </w:rPr>
      </w:pPr>
      <w:bookmarkStart w:id="38" w:name="_Toc33194389"/>
      <w:bookmarkStart w:id="39" w:name="_Toc10272"/>
      <w:r>
        <w:rPr>
          <w:rFonts w:hint="eastAsia" w:ascii="宋体" w:hAnsi="宋体" w:eastAsia="宋体" w:cs="宋体"/>
          <w:b/>
          <w:bCs/>
          <w:color w:val="auto"/>
          <w:sz w:val="28"/>
          <w:szCs w:val="28"/>
          <w:highlight w:val="none"/>
        </w:rPr>
        <w:t>二、招标文件</w:t>
      </w:r>
      <w:bookmarkEnd w:id="31"/>
      <w:bookmarkEnd w:id="32"/>
      <w:bookmarkEnd w:id="38"/>
      <w:bookmarkEnd w:id="39"/>
    </w:p>
    <w:p w14:paraId="4EDE3CA1">
      <w:pPr>
        <w:shd w:val="clear" w:color="auto" w:fill="FFFFFF"/>
        <w:snapToGrid w:val="0"/>
        <w:spacing w:line="360" w:lineRule="auto"/>
        <w:rPr>
          <w:rFonts w:hint="eastAsia" w:ascii="宋体" w:hAnsi="宋体" w:eastAsia="宋体" w:cs="宋体"/>
          <w:b/>
          <w:bCs/>
          <w:color w:val="auto"/>
          <w:sz w:val="24"/>
          <w:highlight w:val="none"/>
        </w:rPr>
      </w:pPr>
      <w:bookmarkStart w:id="40" w:name="_Toc91899880"/>
      <w:bookmarkStart w:id="41" w:name="_Hlt74730307"/>
      <w:r>
        <w:rPr>
          <w:rFonts w:hint="eastAsia" w:ascii="宋体" w:hAnsi="宋体" w:eastAsia="宋体" w:cs="宋体"/>
          <w:b/>
          <w:bCs/>
          <w:color w:val="auto"/>
          <w:sz w:val="24"/>
          <w:highlight w:val="none"/>
        </w:rPr>
        <w:t>（一）招标文件的构成</w:t>
      </w:r>
      <w:bookmarkEnd w:id="40"/>
    </w:p>
    <w:bookmarkEnd w:id="41"/>
    <w:p w14:paraId="3F298E0E">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1、招标文件包括下列文件及附件</w:t>
      </w:r>
    </w:p>
    <w:p w14:paraId="3C84947E">
      <w:pPr>
        <w:numPr>
          <w:ilvl w:val="0"/>
          <w:numId w:val="3"/>
        </w:numPr>
        <w:shd w:val="clear" w:color="auto" w:fill="FFFFFF"/>
        <w:snapToGrid w:val="0"/>
        <w:spacing w:line="360" w:lineRule="auto"/>
        <w:ind w:left="900" w:hanging="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第一部分  招标公告</w:t>
      </w:r>
    </w:p>
    <w:p w14:paraId="01F3FC34">
      <w:pPr>
        <w:numPr>
          <w:ilvl w:val="0"/>
          <w:numId w:val="3"/>
        </w:numPr>
        <w:shd w:val="clear" w:color="auto" w:fill="FFFFFF"/>
        <w:snapToGrid w:val="0"/>
        <w:spacing w:line="360" w:lineRule="auto"/>
        <w:ind w:left="900" w:hanging="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第二部分  编制和提交投标文件须知</w:t>
      </w:r>
    </w:p>
    <w:p w14:paraId="235BE4E2">
      <w:pPr>
        <w:numPr>
          <w:ilvl w:val="0"/>
          <w:numId w:val="3"/>
        </w:numPr>
        <w:shd w:val="clear" w:color="auto" w:fill="FFFFFF"/>
        <w:snapToGrid w:val="0"/>
        <w:spacing w:line="360" w:lineRule="auto"/>
        <w:ind w:left="900" w:hanging="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第三部分  项目技术规范和服务要求</w:t>
      </w:r>
    </w:p>
    <w:p w14:paraId="1F292134">
      <w:pPr>
        <w:numPr>
          <w:ilvl w:val="0"/>
          <w:numId w:val="3"/>
        </w:numPr>
        <w:shd w:val="clear" w:color="auto" w:fill="FFFFFF"/>
        <w:snapToGrid w:val="0"/>
        <w:spacing w:line="360" w:lineRule="auto"/>
        <w:ind w:left="900" w:hanging="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第四部分  合同主要条款</w:t>
      </w:r>
    </w:p>
    <w:p w14:paraId="19CC968C">
      <w:pPr>
        <w:numPr>
          <w:ilvl w:val="0"/>
          <w:numId w:val="3"/>
        </w:numPr>
        <w:shd w:val="clear" w:color="auto" w:fill="FFFFFF"/>
        <w:snapToGrid w:val="0"/>
        <w:spacing w:line="360" w:lineRule="auto"/>
        <w:ind w:left="900" w:hanging="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第五部分  应提交的有关格式范例</w:t>
      </w:r>
    </w:p>
    <w:p w14:paraId="22E83686">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2、投标供应商应认真审阅招标文件中所有的内容，包括编制和提交投标文件须知、项目技术规范和服务要求、采购合同主要条款、应提交的有关格式范例等。如果投标供应商编制的投标文件没有从实质上响应招标文件的要求，其投标文件将被拒绝。</w:t>
      </w:r>
    </w:p>
    <w:p w14:paraId="5F2F06EE">
      <w:pPr>
        <w:pStyle w:val="13"/>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（二）招标文件的澄清</w:t>
      </w:r>
    </w:p>
    <w:p w14:paraId="13A0C0C6">
      <w:pPr>
        <w:pStyle w:val="34"/>
        <w:snapToGrid w:val="0"/>
        <w:spacing w:before="0"/>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1、供应商认为招标文件使自己的权益受到损害的，可以自获取招标文件之日（获取截止日之后收到招标文件的，以获取截止日为准）起7个工作日内，以书面形式向采购人和采购代理机构提出质疑。</w:t>
      </w:r>
    </w:p>
    <w:p w14:paraId="3E05FF9B">
      <w:pPr>
        <w:pStyle w:val="34"/>
        <w:snapToGrid w:val="0"/>
        <w:spacing w:before="0"/>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2、投标供应商一旦参与本次采购活动，即被视为接受了本招标文件的所有内容，如有任何异议，均已在答疑截止时间前提出。</w:t>
      </w:r>
    </w:p>
    <w:p w14:paraId="5A3B4717">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（三）招标文件的修改</w:t>
      </w:r>
    </w:p>
    <w:p w14:paraId="265903A1">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1、招标文件澄清、答复、修改、补充的内容为招标文件的组成部分。当招标文件与招标文件的答复、澄清、修改、补充通知就同一内容的表述不一致时，以最后发出的文件为准。</w:t>
      </w:r>
    </w:p>
    <w:p w14:paraId="1473D1E4">
      <w:pPr>
        <w:shd w:val="clear" w:color="auto" w:fill="FFFFFF"/>
        <w:snapToGrid w:val="0"/>
        <w:spacing w:line="360" w:lineRule="auto"/>
        <w:ind w:firstLine="440" w:firstLineChars="200"/>
        <w:rPr>
          <w:rFonts w:hint="eastAsia" w:ascii="宋体" w:hAnsi="宋体" w:eastAsia="宋体" w:cs="宋体"/>
          <w:color w:val="auto"/>
          <w:sz w:val="22"/>
          <w:szCs w:val="22"/>
          <w:highlight w:val="none"/>
          <w:lang w:val="zh-CN"/>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2、若有必要，采购代理机构将酌情延长递交投标文件的截止日期。</w:t>
      </w:r>
    </w:p>
    <w:p w14:paraId="1EE8037F">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（四）投标报价</w:t>
      </w:r>
    </w:p>
    <w:p w14:paraId="636DD42C">
      <w:pPr>
        <w:pStyle w:val="34"/>
        <w:snapToGrid w:val="0"/>
        <w:spacing w:before="0"/>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1、报价</w:t>
      </w:r>
    </w:p>
    <w:p w14:paraId="30964A51">
      <w:pPr>
        <w:adjustRightIn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有关本项目所需的一切费用均计入报价。投标供应商应根据《开标一览表》填写相关内容。《开标一览表》是报价的唯一载体。</w:t>
      </w:r>
    </w:p>
    <w:p w14:paraId="7041A4AF">
      <w:pPr>
        <w:adjustRightInd w:val="0"/>
        <w:spacing w:line="360" w:lineRule="auto"/>
        <w:ind w:firstLine="431" w:firstLineChars="196"/>
        <w:rPr>
          <w:rFonts w:hint="eastAsia" w:ascii="宋体" w:hAnsi="宋体" w:cs="宋体"/>
          <w:b/>
          <w:sz w:val="22"/>
          <w:szCs w:val="22"/>
        </w:rPr>
      </w:pPr>
      <w:r>
        <w:rPr>
          <w:rFonts w:hint="eastAsia" w:ascii="宋体" w:hAnsi="宋体" w:eastAsia="宋体" w:cs="宋体"/>
          <w:b w:val="0"/>
          <w:bCs/>
          <w:color w:val="auto"/>
          <w:kern w:val="2"/>
          <w:sz w:val="22"/>
          <w:szCs w:val="22"/>
          <w:highlight w:val="none"/>
          <w:lang w:val="en-US" w:eastAsia="zh-CN" w:bidi="ar-SA"/>
        </w:rPr>
        <w:t>▲</w:t>
      </w:r>
      <w:r>
        <w:rPr>
          <w:rFonts w:hint="eastAsia" w:ascii="宋体" w:hAnsi="宋体"/>
          <w:bCs/>
          <w:color w:val="auto"/>
          <w:sz w:val="22"/>
          <w:szCs w:val="22"/>
          <w:highlight w:val="none"/>
          <w:lang w:val="en-US" w:eastAsia="zh-CN"/>
        </w:rPr>
        <w:t>投标报价包括</w:t>
      </w:r>
      <w:r>
        <w:rPr>
          <w:rFonts w:hint="eastAsia" w:ascii="宋体" w:hAnsi="宋体"/>
          <w:bCs/>
          <w:color w:val="auto"/>
          <w:sz w:val="22"/>
          <w:szCs w:val="22"/>
          <w:highlight w:val="none"/>
        </w:rPr>
        <w:t>出厂价的优惠、所有税费（包括产品商检等）、损耗、国内运杂费（包括产品到最终用户的装货、卸车、就位费等）、国内运输保险费（是否保险由供应商负责）、检验及验收费（包括检验人员的食宿、交通等）、其他保险费</w:t>
      </w:r>
      <w:r>
        <w:rPr>
          <w:rFonts w:hint="eastAsia" w:ascii="宋体" w:hAnsi="宋体"/>
          <w:bCs/>
          <w:color w:val="auto"/>
          <w:sz w:val="22"/>
          <w:szCs w:val="22"/>
          <w:highlight w:val="none"/>
          <w:lang w:eastAsia="zh-CN"/>
        </w:rPr>
        <w:t>及</w:t>
      </w:r>
      <w:r>
        <w:rPr>
          <w:rFonts w:hint="eastAsia" w:ascii="宋体" w:hAnsi="宋体"/>
          <w:bCs/>
          <w:color w:val="auto"/>
          <w:sz w:val="22"/>
          <w:szCs w:val="22"/>
          <w:highlight w:val="none"/>
        </w:rPr>
        <w:t>完成合同所需的一切本身和不可或缺的所有工作开支、政策性文件规定及合同包含的所有风险、责任等各项全部费用</w:t>
      </w:r>
      <w:r>
        <w:rPr>
          <w:rFonts w:hint="eastAsia" w:ascii="宋体" w:hAnsi="宋体"/>
          <w:bCs/>
          <w:color w:val="auto"/>
          <w:sz w:val="22"/>
          <w:szCs w:val="22"/>
          <w:highlight w:val="none"/>
          <w:lang w:eastAsia="zh-CN"/>
        </w:rPr>
        <w:t>，</w:t>
      </w:r>
      <w:r>
        <w:rPr>
          <w:rFonts w:hint="eastAsia" w:ascii="宋体" w:hAnsi="宋体"/>
          <w:bCs/>
          <w:color w:val="auto"/>
          <w:sz w:val="22"/>
          <w:szCs w:val="22"/>
          <w:highlight w:val="none"/>
          <w:lang w:val="en-US" w:eastAsia="zh-CN"/>
        </w:rPr>
        <w:t>合同期内中标折扣率不作调整</w:t>
      </w:r>
      <w:r>
        <w:rPr>
          <w:rFonts w:hint="eastAsia" w:ascii="宋体" w:hAnsi="宋体"/>
          <w:bCs/>
          <w:color w:val="auto"/>
          <w:sz w:val="22"/>
          <w:szCs w:val="22"/>
          <w:highlight w:val="none"/>
        </w:rPr>
        <w:t>。</w:t>
      </w:r>
      <w:r>
        <w:rPr>
          <w:rFonts w:hint="eastAsia" w:ascii="宋体" w:hAnsi="宋体"/>
          <w:bCs/>
          <w:color w:val="auto"/>
          <w:sz w:val="22"/>
          <w:szCs w:val="22"/>
          <w:highlight w:val="none"/>
          <w:lang w:val="en-US" w:eastAsia="zh-CN"/>
        </w:rPr>
        <w:t>统一</w:t>
      </w:r>
      <w:r>
        <w:rPr>
          <w:rFonts w:hint="eastAsia" w:ascii="宋体" w:hAnsi="宋体" w:cs="宋体"/>
          <w:i w:val="0"/>
          <w:iCs w:val="0"/>
          <w:color w:val="000000"/>
          <w:kern w:val="0"/>
          <w:sz w:val="22"/>
          <w:szCs w:val="22"/>
          <w:highlight w:val="none"/>
          <w:u w:val="none"/>
          <w:lang w:val="en-US" w:eastAsia="zh-CN" w:bidi="ar"/>
        </w:rPr>
        <w:t>以</w:t>
      </w:r>
      <w:r>
        <w:rPr>
          <w:rFonts w:hint="eastAsia" w:ascii="宋体" w:hAnsi="宋体"/>
          <w:bCs/>
          <w:color w:val="auto"/>
          <w:sz w:val="22"/>
          <w:szCs w:val="22"/>
          <w:highlight w:val="none"/>
        </w:rPr>
        <w:t>“生意社”网站（</w:t>
      </w:r>
      <w:r>
        <w:rPr>
          <w:rFonts w:hint="eastAsia" w:ascii="宋体" w:hAnsi="宋体"/>
          <w:bCs/>
          <w:color w:val="auto"/>
          <w:sz w:val="22"/>
          <w:szCs w:val="22"/>
          <w:highlight w:val="none"/>
        </w:rPr>
        <w:fldChar w:fldCharType="begin"/>
      </w:r>
      <w:r>
        <w:rPr>
          <w:rFonts w:hint="eastAsia" w:ascii="宋体" w:hAnsi="宋体"/>
          <w:bCs/>
          <w:color w:val="auto"/>
          <w:sz w:val="22"/>
          <w:szCs w:val="22"/>
          <w:highlight w:val="none"/>
        </w:rPr>
        <w:instrText xml:space="preserve"> HYPERLINK "http://www.100ppi.com/" </w:instrText>
      </w:r>
      <w:r>
        <w:rPr>
          <w:rFonts w:hint="eastAsia" w:ascii="宋体" w:hAnsi="宋体"/>
          <w:bCs/>
          <w:color w:val="auto"/>
          <w:sz w:val="22"/>
          <w:szCs w:val="22"/>
          <w:highlight w:val="none"/>
        </w:rPr>
        <w:fldChar w:fldCharType="separate"/>
      </w:r>
      <w:r>
        <w:rPr>
          <w:rFonts w:hint="eastAsia" w:ascii="宋体" w:hAnsi="宋体"/>
          <w:bCs/>
          <w:color w:val="auto"/>
          <w:sz w:val="22"/>
          <w:szCs w:val="22"/>
          <w:highlight w:val="none"/>
        </w:rPr>
        <w:t>http://www.100ppi.com/</w:t>
      </w:r>
      <w:r>
        <w:rPr>
          <w:rFonts w:hint="eastAsia" w:ascii="宋体" w:hAnsi="宋体"/>
          <w:bCs/>
          <w:color w:val="auto"/>
          <w:sz w:val="22"/>
          <w:szCs w:val="22"/>
          <w:highlight w:val="none"/>
        </w:rPr>
        <w:fldChar w:fldCharType="end"/>
      </w:r>
      <w:r>
        <w:rPr>
          <w:rFonts w:hint="eastAsia" w:ascii="宋体" w:hAnsi="宋体"/>
          <w:bCs/>
          <w:color w:val="auto"/>
          <w:sz w:val="22"/>
          <w:szCs w:val="22"/>
          <w:highlight w:val="none"/>
        </w:rPr>
        <w:t>）</w:t>
      </w:r>
      <w:r>
        <w:rPr>
          <w:rFonts w:hint="eastAsia" w:ascii="宋体" w:hAnsi="宋体"/>
          <w:bCs/>
          <w:color w:val="auto"/>
          <w:sz w:val="22"/>
          <w:szCs w:val="22"/>
          <w:highlight w:val="none"/>
          <w:lang w:val="en-US" w:eastAsia="zh-CN"/>
        </w:rPr>
        <w:t>最新</w:t>
      </w:r>
      <w:r>
        <w:rPr>
          <w:rFonts w:hint="eastAsia" w:ascii="宋体" w:hAnsi="宋体"/>
          <w:bCs/>
          <w:color w:val="auto"/>
          <w:sz w:val="22"/>
          <w:szCs w:val="22"/>
          <w:highlight w:val="none"/>
        </w:rPr>
        <w:t>发布的中燃（型号：180CST）宁波地区市场价</w:t>
      </w:r>
      <w:r>
        <w:rPr>
          <w:rFonts w:hint="eastAsia" w:ascii="宋体" w:hAnsi="宋体"/>
          <w:bCs/>
          <w:color w:val="auto"/>
          <w:sz w:val="22"/>
          <w:szCs w:val="22"/>
          <w:highlight w:val="none"/>
          <w:lang w:eastAsia="zh-CN"/>
        </w:rPr>
        <w:t>的</w:t>
      </w:r>
      <w:r>
        <w:rPr>
          <w:rFonts w:hint="eastAsia" w:ascii="宋体" w:hAnsi="宋体"/>
          <w:bCs/>
          <w:color w:val="auto"/>
          <w:sz w:val="22"/>
          <w:szCs w:val="22"/>
          <w:highlight w:val="none"/>
          <w:lang w:val="en-US" w:eastAsia="zh-CN"/>
        </w:rPr>
        <w:t>100%</w:t>
      </w:r>
      <w:r>
        <w:rPr>
          <w:rFonts w:hint="eastAsia" w:ascii="宋体" w:hAnsi="宋体"/>
          <w:bCs/>
          <w:color w:val="auto"/>
          <w:sz w:val="22"/>
          <w:szCs w:val="22"/>
          <w:highlight w:val="none"/>
        </w:rPr>
        <w:t>为</w:t>
      </w:r>
      <w:r>
        <w:rPr>
          <w:rFonts w:hint="eastAsia" w:ascii="宋体" w:hAnsi="宋体"/>
          <w:bCs/>
          <w:color w:val="auto"/>
          <w:sz w:val="22"/>
          <w:szCs w:val="22"/>
          <w:highlight w:val="none"/>
          <w:lang w:val="en-US" w:eastAsia="zh-CN"/>
        </w:rPr>
        <w:t>基础</w:t>
      </w:r>
      <w:r>
        <w:rPr>
          <w:rFonts w:hint="eastAsia" w:ascii="宋体" w:hAnsi="宋体"/>
          <w:bCs/>
          <w:color w:val="auto"/>
          <w:sz w:val="22"/>
          <w:szCs w:val="22"/>
          <w:highlight w:val="none"/>
        </w:rPr>
        <w:t>，根据中标折扣率按实结算</w:t>
      </w:r>
      <w:r>
        <w:rPr>
          <w:rFonts w:hint="eastAsia" w:ascii="宋体" w:hAnsi="宋体" w:eastAsia="宋体" w:cs="Arial"/>
          <w:b/>
          <w:bCs/>
          <w:color w:val="auto"/>
          <w:sz w:val="22"/>
          <w:szCs w:val="22"/>
          <w:highlight w:val="none"/>
          <w:lang w:val="en-US" w:eastAsia="zh-CN"/>
        </w:rPr>
        <w:t>。报价包含税金、运费、保险费、装卸费等一切完成合同所需费用</w:t>
      </w:r>
      <w:r>
        <w:rPr>
          <w:rFonts w:hint="eastAsia" w:ascii="宋体" w:hAnsi="宋体" w:eastAsia="宋体" w:cs="宋体"/>
          <w:color w:val="000000"/>
          <w:kern w:val="2"/>
          <w:sz w:val="22"/>
          <w:szCs w:val="22"/>
          <w:highlight w:val="none"/>
          <w:lang w:val="en-US" w:eastAsia="zh-CN" w:bidi="ar-SA"/>
        </w:rPr>
        <w:t>。</w:t>
      </w:r>
      <w:r>
        <w:rPr>
          <w:rFonts w:hint="eastAsia" w:ascii="宋体" w:hAnsi="宋体" w:cs="宋体"/>
          <w:b/>
          <w:bCs/>
          <w:sz w:val="22"/>
          <w:szCs w:val="22"/>
          <w:u w:val="single"/>
          <w:lang w:val="en-US" w:eastAsia="zh-CN"/>
        </w:rPr>
        <w:t>各标段如发生第一次招标失败需进行重新招标的情形，相关费用由本项目的中标单位自行承担。</w:t>
      </w:r>
      <w:r>
        <w:rPr>
          <w:rFonts w:hint="eastAsia" w:ascii="宋体" w:hAnsi="宋体" w:cs="宋体"/>
          <w:b/>
          <w:sz w:val="22"/>
          <w:szCs w:val="22"/>
        </w:rPr>
        <w:t>供应商须自行现场勘察，以求得准确的报价依据。供应商须自行考虑投标报价的风险。</w:t>
      </w:r>
    </w:p>
    <w:p w14:paraId="12DBD61E">
      <w:pPr>
        <w:adjustRightInd w:val="0"/>
        <w:spacing w:line="360" w:lineRule="auto"/>
        <w:ind w:firstLine="433" w:firstLineChars="196"/>
        <w:rPr>
          <w:rFonts w:hint="eastAsia" w:ascii="宋体" w:hAnsi="宋体" w:eastAsia="宋体" w:cs="宋体"/>
          <w:color w:val="auto"/>
          <w:sz w:val="22"/>
          <w:szCs w:val="22"/>
          <w:highlight w:val="none"/>
        </w:rPr>
      </w:pPr>
      <w:r>
        <w:rPr>
          <w:rFonts w:hint="eastAsia" w:ascii="宋体" w:hAnsi="宋体" w:eastAsia="宋体" w:cs="宋体"/>
          <w:b/>
          <w:bCs/>
          <w:color w:val="auto"/>
          <w:kern w:val="2"/>
          <w:sz w:val="22"/>
          <w:szCs w:val="22"/>
          <w:highlight w:val="none"/>
          <w:u w:val="none"/>
          <w:lang w:val="en-US" w:eastAsia="zh-CN" w:bidi="ar-SA"/>
        </w:rPr>
        <w:t>报价采用折扣率形式，折扣率必须≤100%，折扣率未≤100%的作无效标处理（即折扣率≤100%为有效报价；如折扣率92%，即打9.2折）。</w:t>
      </w:r>
    </w:p>
    <w:p w14:paraId="26BD5482">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2、其它费用处理</w:t>
      </w:r>
    </w:p>
    <w:p w14:paraId="6FFFC718">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招标文件未列明，而投标供应商认为必需的费用也需列入报价。投标供应商在投标报价中应充分考虑所有可能发生的费用，否则采购人将视投标总价中已包括所有费用。</w:t>
      </w:r>
    </w:p>
    <w:p w14:paraId="569E78A8">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3、投标货币</w:t>
      </w:r>
    </w:p>
    <w:p w14:paraId="333BCA7C">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投标文件中价格全部采用人民币报价。报价应是唯一的，不接受有选择的报价。</w:t>
      </w:r>
    </w:p>
    <w:p w14:paraId="64714A73">
      <w:pPr>
        <w:shd w:val="clear" w:color="auto" w:fill="FFFFFF"/>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4、投标供应商对在合同执行中，除上述费用及招标文件规定的由中标供应商负责的工作范围以外需要采购人协调或提供便利的工作应当在投标文件中说明。</w:t>
      </w:r>
    </w:p>
    <w:p w14:paraId="10EAA7FC">
      <w:pPr>
        <w:tabs>
          <w:tab w:val="left" w:pos="3780"/>
        </w:tabs>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5、其他注意事项：</w:t>
      </w:r>
    </w:p>
    <w:p w14:paraId="5B6EF73C">
      <w:pPr>
        <w:tabs>
          <w:tab w:val="left" w:pos="3780"/>
        </w:tabs>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投标供应商在投标活动中提供任何虚假材料，其投标无效，并上报监管部门。</w:t>
      </w:r>
    </w:p>
    <w:p w14:paraId="14B67A53">
      <w:pPr>
        <w:snapToGrid w:val="0"/>
        <w:spacing w:line="360" w:lineRule="auto"/>
        <w:rPr>
          <w:rFonts w:hint="eastAsia" w:ascii="宋体" w:hAnsi="宋体" w:eastAsia="宋体" w:cs="宋体"/>
          <w:color w:val="auto"/>
          <w:highlight w:val="none"/>
        </w:rPr>
      </w:pPr>
    </w:p>
    <w:p w14:paraId="2795206F">
      <w:pPr>
        <w:shd w:val="clear" w:color="auto" w:fill="FFFFFF"/>
        <w:snapToGrid w:val="0"/>
        <w:spacing w:line="360" w:lineRule="auto"/>
        <w:jc w:val="center"/>
        <w:outlineLvl w:val="1"/>
        <w:rPr>
          <w:rFonts w:hint="eastAsia" w:ascii="宋体" w:hAnsi="宋体" w:eastAsia="宋体" w:cs="宋体"/>
          <w:b/>
          <w:bCs/>
          <w:color w:val="auto"/>
          <w:sz w:val="24"/>
          <w:highlight w:val="none"/>
        </w:rPr>
      </w:pPr>
      <w:bookmarkStart w:id="42" w:name="_Toc33194390"/>
      <w:bookmarkStart w:id="43" w:name="_Toc12729"/>
      <w:r>
        <w:rPr>
          <w:rFonts w:hint="eastAsia" w:ascii="宋体" w:hAnsi="宋体" w:eastAsia="宋体" w:cs="宋体"/>
          <w:b/>
          <w:bCs/>
          <w:color w:val="auto"/>
          <w:sz w:val="24"/>
          <w:highlight w:val="none"/>
        </w:rPr>
        <w:t>三、</w:t>
      </w:r>
      <w:bookmarkStart w:id="44" w:name="_Hlt75236011"/>
      <w:bookmarkEnd w:id="44"/>
      <w:bookmarkStart w:id="45" w:name="_Toc233618974"/>
      <w:bookmarkStart w:id="46" w:name="_Toc91899884"/>
      <w:bookmarkStart w:id="47" w:name="_Toc354996698"/>
      <w:r>
        <w:rPr>
          <w:rFonts w:hint="eastAsia" w:ascii="宋体" w:hAnsi="宋体" w:eastAsia="宋体" w:cs="宋体"/>
          <w:b/>
          <w:bCs/>
          <w:color w:val="auto"/>
          <w:sz w:val="24"/>
          <w:highlight w:val="none"/>
        </w:rPr>
        <w:t>投标文件</w:t>
      </w:r>
      <w:bookmarkEnd w:id="42"/>
      <w:bookmarkEnd w:id="43"/>
      <w:bookmarkEnd w:id="45"/>
      <w:bookmarkEnd w:id="46"/>
      <w:bookmarkEnd w:id="47"/>
    </w:p>
    <w:p w14:paraId="701E7313">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（一）投标文件的语言</w:t>
      </w:r>
    </w:p>
    <w:p w14:paraId="248E7804">
      <w:pPr>
        <w:shd w:val="clear" w:color="auto" w:fill="FFFFFF"/>
        <w:snapToGrid w:val="0"/>
        <w:spacing w:line="360" w:lineRule="auto"/>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投标文件及投标供应商与采购有关的来往通知、函件和文件均应使用中文。</w:t>
      </w:r>
    </w:p>
    <w:p w14:paraId="010DEAD7">
      <w:pPr>
        <w:pStyle w:val="34"/>
        <w:snapToGrid w:val="0"/>
        <w:spacing w:before="0"/>
        <w:ind w:firstLine="0" w:firstLineChars="0"/>
        <w:rPr>
          <w:rFonts w:hint="eastAsia" w:ascii="宋体" w:hAnsi="宋体" w:eastAsia="宋体" w:cs="宋体"/>
          <w:b/>
          <w:color w:val="auto"/>
          <w:szCs w:val="24"/>
          <w:highlight w:val="none"/>
        </w:rPr>
      </w:pPr>
      <w:bookmarkStart w:id="48" w:name="_Toc91899887"/>
      <w:r>
        <w:rPr>
          <w:rFonts w:hint="eastAsia" w:ascii="宋体" w:hAnsi="宋体" w:eastAsia="宋体" w:cs="宋体"/>
          <w:b/>
          <w:color w:val="auto"/>
          <w:szCs w:val="24"/>
          <w:highlight w:val="none"/>
        </w:rPr>
        <w:t>（二）投标文件的组成</w:t>
      </w:r>
    </w:p>
    <w:p w14:paraId="14D2202D">
      <w:pPr>
        <w:snapToGrid w:val="0"/>
        <w:spacing w:line="360" w:lineRule="auto"/>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投标</w:t>
      </w:r>
      <w:r>
        <w:rPr>
          <w:rFonts w:hint="eastAsia" w:ascii="宋体" w:hAnsi="宋体" w:eastAsia="宋体" w:cs="宋体"/>
          <w:color w:val="auto"/>
          <w:kern w:val="0"/>
          <w:sz w:val="22"/>
          <w:szCs w:val="22"/>
          <w:highlight w:val="none"/>
          <w:lang w:val="zh-CN"/>
        </w:rPr>
        <w:t>文件应当包括以下主要内容：资格文件、报价文件、商务技术文件。</w:t>
      </w:r>
    </w:p>
    <w:p w14:paraId="606F319E">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val="zh-CN"/>
        </w:rPr>
        <w:t>1、投标供应商的</w:t>
      </w:r>
      <w:r>
        <w:rPr>
          <w:rFonts w:hint="eastAsia" w:ascii="宋体" w:hAnsi="宋体" w:eastAsia="宋体" w:cs="宋体"/>
          <w:b/>
          <w:bCs/>
          <w:color w:val="auto"/>
          <w:kern w:val="0"/>
          <w:sz w:val="22"/>
          <w:szCs w:val="22"/>
          <w:highlight w:val="none"/>
          <w:lang w:val="zh-CN"/>
        </w:rPr>
        <w:t>资格文件</w:t>
      </w:r>
      <w:r>
        <w:rPr>
          <w:rFonts w:hint="eastAsia" w:ascii="宋体" w:hAnsi="宋体" w:eastAsia="宋体" w:cs="宋体"/>
          <w:color w:val="auto"/>
          <w:sz w:val="22"/>
          <w:szCs w:val="22"/>
          <w:highlight w:val="none"/>
        </w:rPr>
        <w:t xml:space="preserve">至少应包括以下内容： </w:t>
      </w:r>
    </w:p>
    <w:p w14:paraId="708DBD45">
      <w:pPr>
        <w:keepNext w:val="0"/>
        <w:keepLines w:val="0"/>
        <w:pageBreakBefore w:val="0"/>
        <w:kinsoku/>
        <w:wordWrap/>
        <w:overflowPunct/>
        <w:topLinePunct w:val="0"/>
        <w:bidi w:val="0"/>
        <w:spacing w:line="360" w:lineRule="auto"/>
        <w:ind w:firstLine="440"/>
        <w:jc w:val="both"/>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 xml:space="preserve">1）营业执照(或事业法人登记证书或其它工商等登记证明材料；自然人参与国企采购，提供身份证)复印件； </w:t>
      </w:r>
    </w:p>
    <w:p w14:paraId="298275D9">
      <w:pPr>
        <w:keepNext w:val="0"/>
        <w:keepLines w:val="0"/>
        <w:pageBreakBefore w:val="0"/>
        <w:kinsoku/>
        <w:wordWrap/>
        <w:overflowPunct/>
        <w:topLinePunct w:val="0"/>
        <w:bidi w:val="0"/>
        <w:spacing w:line="360" w:lineRule="auto"/>
        <w:ind w:firstLine="440"/>
        <w:jc w:val="both"/>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注：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国企采购活动，由单位负责人签署相关文件材料；</w:t>
      </w:r>
    </w:p>
    <w:p w14:paraId="6EA8CDFB">
      <w:pPr>
        <w:keepNext w:val="0"/>
        <w:keepLines w:val="0"/>
        <w:pageBreakBefore w:val="0"/>
        <w:kinsoku/>
        <w:wordWrap/>
        <w:overflowPunct/>
        <w:topLinePunct w:val="0"/>
        <w:bidi w:val="0"/>
        <w:spacing w:line="360" w:lineRule="auto"/>
        <w:ind w:firstLine="440"/>
        <w:jc w:val="both"/>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2）具有良好的商业信誉和健全的财务会计制度的承诺函；</w:t>
      </w:r>
    </w:p>
    <w:p w14:paraId="4386D388">
      <w:pPr>
        <w:keepNext w:val="0"/>
        <w:keepLines w:val="0"/>
        <w:pageBreakBefore w:val="0"/>
        <w:kinsoku/>
        <w:wordWrap/>
        <w:overflowPunct/>
        <w:topLinePunct w:val="0"/>
        <w:bidi w:val="0"/>
        <w:spacing w:line="360" w:lineRule="auto"/>
        <w:ind w:firstLine="440"/>
        <w:jc w:val="both"/>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3）具有履行合同所必需的场地、设备和专业技术能力的承诺函；</w:t>
      </w:r>
    </w:p>
    <w:p w14:paraId="15F083B1">
      <w:pPr>
        <w:keepNext w:val="0"/>
        <w:keepLines w:val="0"/>
        <w:pageBreakBefore w:val="0"/>
        <w:kinsoku/>
        <w:wordWrap/>
        <w:overflowPunct/>
        <w:topLinePunct w:val="0"/>
        <w:bidi w:val="0"/>
        <w:spacing w:line="360" w:lineRule="auto"/>
        <w:ind w:firstLine="440"/>
        <w:jc w:val="both"/>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4）依法缴纳税收和社会保障资金的承诺函；</w:t>
      </w:r>
    </w:p>
    <w:p w14:paraId="30702404">
      <w:pPr>
        <w:keepNext w:val="0"/>
        <w:keepLines w:val="0"/>
        <w:pageBreakBefore w:val="0"/>
        <w:kinsoku/>
        <w:wordWrap/>
        <w:overflowPunct/>
        <w:topLinePunct w:val="0"/>
        <w:bidi w:val="0"/>
        <w:spacing w:line="360" w:lineRule="auto"/>
        <w:ind w:firstLine="440"/>
        <w:jc w:val="both"/>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5）参加国企采购活动前3年内在经营活动中没有重大违法记录的声明函；</w:t>
      </w:r>
    </w:p>
    <w:p w14:paraId="10C81E97">
      <w:pPr>
        <w:keepNext w:val="0"/>
        <w:keepLines w:val="0"/>
        <w:pageBreakBefore w:val="0"/>
        <w:kinsoku/>
        <w:wordWrap/>
        <w:overflowPunct/>
        <w:topLinePunct w:val="0"/>
        <w:bidi w:val="0"/>
        <w:spacing w:line="360" w:lineRule="auto"/>
        <w:ind w:firstLine="440"/>
        <w:jc w:val="both"/>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6）单位负责人为同一人或者存在直接控股、管理关系的不同供应商，不得参加同一合同项下的国企采购活动承诺函；</w:t>
      </w:r>
    </w:p>
    <w:p w14:paraId="4B35C995">
      <w:pPr>
        <w:keepNext w:val="0"/>
        <w:keepLines w:val="0"/>
        <w:pageBreakBefore w:val="0"/>
        <w:kinsoku/>
        <w:wordWrap/>
        <w:overflowPunct/>
        <w:topLinePunct w:val="0"/>
        <w:bidi w:val="0"/>
        <w:spacing w:line="360" w:lineRule="auto"/>
        <w:ind w:firstLine="440"/>
        <w:jc w:val="both"/>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7）投标供应商没有失信记录承诺函；</w:t>
      </w:r>
    </w:p>
    <w:p w14:paraId="77A423C4">
      <w:pPr>
        <w:snapToGrid w:val="0"/>
        <w:spacing w:line="360" w:lineRule="auto"/>
        <w:ind w:left="105" w:leftChars="50"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上述资格条件审查材料有一项不提供的，视为资格审查不通过。</w:t>
      </w:r>
    </w:p>
    <w:p w14:paraId="32E20749">
      <w:pPr>
        <w:snapToGrid w:val="0"/>
        <w:spacing w:line="360" w:lineRule="auto"/>
        <w:ind w:firstLine="440" w:firstLineChars="200"/>
        <w:rPr>
          <w:rFonts w:hint="eastAsia" w:ascii="宋体" w:hAnsi="宋体" w:eastAsia="宋体" w:cs="宋体"/>
          <w:color w:val="auto"/>
          <w:sz w:val="22"/>
          <w:szCs w:val="22"/>
          <w:highlight w:val="none"/>
          <w:u w:val="single"/>
          <w:lang w:val="zh-CN"/>
        </w:rPr>
      </w:pPr>
      <w:bookmarkStart w:id="49" w:name="_Toc500208478"/>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val="zh-CN"/>
        </w:rPr>
        <w:t>2、</w:t>
      </w:r>
      <w:r>
        <w:rPr>
          <w:rFonts w:hint="eastAsia" w:ascii="宋体" w:hAnsi="宋体" w:eastAsia="宋体" w:cs="宋体"/>
          <w:color w:val="auto"/>
          <w:sz w:val="22"/>
          <w:szCs w:val="22"/>
          <w:highlight w:val="none"/>
        </w:rPr>
        <w:t>投标供应商的</w:t>
      </w:r>
      <w:r>
        <w:rPr>
          <w:rFonts w:hint="eastAsia" w:ascii="宋体" w:hAnsi="宋体" w:eastAsia="宋体" w:cs="宋体"/>
          <w:b/>
          <w:color w:val="auto"/>
          <w:sz w:val="22"/>
          <w:szCs w:val="22"/>
          <w:highlight w:val="none"/>
        </w:rPr>
        <w:t>报价文件</w:t>
      </w:r>
      <w:r>
        <w:rPr>
          <w:rFonts w:hint="eastAsia" w:ascii="宋体" w:hAnsi="宋体" w:eastAsia="宋体" w:cs="宋体"/>
          <w:color w:val="auto"/>
          <w:sz w:val="22"/>
          <w:szCs w:val="22"/>
          <w:highlight w:val="none"/>
        </w:rPr>
        <w:t xml:space="preserve">至少应包括以下内容： </w:t>
      </w:r>
    </w:p>
    <w:p w14:paraId="470A4FE3">
      <w:pPr>
        <w:keepNext w:val="0"/>
        <w:keepLines w:val="0"/>
        <w:pageBreakBefore w:val="0"/>
        <w:kinsoku/>
        <w:wordWrap/>
        <w:overflowPunct/>
        <w:topLinePunct w:val="0"/>
        <w:autoSpaceDE w:val="0"/>
        <w:autoSpaceDN w:val="0"/>
        <w:bidi w:val="0"/>
        <w:adjustRightInd w:val="0"/>
        <w:snapToGrid w:val="0"/>
        <w:spacing w:line="360" w:lineRule="auto"/>
        <w:ind w:firstLine="440" w:firstLineChars="200"/>
        <w:jc w:val="both"/>
        <w:textAlignment w:val="bottom"/>
        <w:rPr>
          <w:rFonts w:hint="eastAsia" w:ascii="宋体" w:hAnsi="宋体" w:eastAsia="宋体" w:cs="宋体"/>
          <w:b w:val="0"/>
          <w:sz w:val="22"/>
          <w:szCs w:val="22"/>
        </w:rPr>
      </w:pPr>
      <w:r>
        <w:rPr>
          <w:rFonts w:hint="eastAsia" w:ascii="宋体" w:hAnsi="宋体" w:eastAsia="宋体" w:cs="宋体"/>
          <w:b w:val="0"/>
          <w:sz w:val="22"/>
          <w:szCs w:val="22"/>
        </w:rPr>
        <w:t>1）封面（</w:t>
      </w:r>
      <w:r>
        <w:rPr>
          <w:rStyle w:val="58"/>
          <w:rFonts w:hint="eastAsia" w:ascii="宋体" w:hAnsi="宋体" w:eastAsia="宋体" w:cs="宋体"/>
          <w:b w:val="0"/>
          <w:i w:val="0"/>
          <w:caps w:val="0"/>
          <w:spacing w:val="0"/>
          <w:w w:val="100"/>
          <w:kern w:val="2"/>
          <w:sz w:val="22"/>
          <w:szCs w:val="22"/>
          <w:lang w:val="en-US" w:eastAsia="zh-CN" w:bidi="ar-SA"/>
        </w:rPr>
        <w:t>格式自拟</w:t>
      </w:r>
      <w:r>
        <w:rPr>
          <w:rFonts w:hint="eastAsia" w:ascii="宋体" w:hAnsi="宋体" w:eastAsia="宋体" w:cs="宋体"/>
          <w:b w:val="0"/>
          <w:sz w:val="22"/>
          <w:szCs w:val="22"/>
        </w:rPr>
        <w:t>）</w:t>
      </w:r>
    </w:p>
    <w:p w14:paraId="39F5D6B3">
      <w:pPr>
        <w:pStyle w:val="13"/>
        <w:snapToGrid w:val="0"/>
        <w:spacing w:line="360" w:lineRule="auto"/>
        <w:ind w:firstLine="440" w:firstLineChars="200"/>
        <w:rPr>
          <w:rFonts w:hint="eastAsia" w:ascii="宋体" w:hAnsi="宋体" w:eastAsia="宋体" w:cs="宋体"/>
          <w:b w:val="0"/>
          <w:sz w:val="22"/>
          <w:szCs w:val="22"/>
        </w:rPr>
      </w:pPr>
      <w:r>
        <w:rPr>
          <w:rFonts w:hint="eastAsia" w:ascii="宋体" w:hAnsi="宋体" w:cs="宋体"/>
          <w:b w:val="0"/>
          <w:sz w:val="22"/>
          <w:szCs w:val="22"/>
          <w:lang w:val="en-US" w:eastAsia="zh-CN"/>
        </w:rPr>
        <w:t>2</w:t>
      </w:r>
      <w:r>
        <w:rPr>
          <w:rFonts w:hint="eastAsia" w:ascii="宋体" w:hAnsi="宋体" w:eastAsia="宋体" w:cs="宋体"/>
          <w:b w:val="0"/>
          <w:sz w:val="22"/>
          <w:szCs w:val="22"/>
        </w:rPr>
        <w:t>）开标一览表</w:t>
      </w:r>
      <w:bookmarkEnd w:id="49"/>
    </w:p>
    <w:p w14:paraId="2DEDF05C">
      <w:pPr>
        <w:pStyle w:val="13"/>
        <w:snapToGrid w:val="0"/>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val="0"/>
          <w:sz w:val="22"/>
          <w:szCs w:val="22"/>
          <w:lang w:val="en-US" w:eastAsia="zh-CN"/>
        </w:rPr>
        <w:t>3）资金周转承诺函（格式自拟）</w:t>
      </w:r>
    </w:p>
    <w:p w14:paraId="14FF17AF">
      <w:pPr>
        <w:pStyle w:val="59"/>
        <w:spacing w:line="360" w:lineRule="auto"/>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3、投标供应商的</w:t>
      </w:r>
      <w:r>
        <w:rPr>
          <w:rFonts w:hint="eastAsia" w:ascii="宋体" w:hAnsi="宋体" w:eastAsia="宋体" w:cs="宋体"/>
          <w:b/>
          <w:bCs/>
          <w:color w:val="auto"/>
          <w:kern w:val="0"/>
          <w:sz w:val="22"/>
          <w:szCs w:val="22"/>
          <w:highlight w:val="none"/>
          <w:lang w:val="zh-CN"/>
        </w:rPr>
        <w:t>商务技术文件</w:t>
      </w:r>
      <w:r>
        <w:rPr>
          <w:rFonts w:hint="eastAsia" w:ascii="宋体" w:hAnsi="宋体" w:eastAsia="宋体" w:cs="宋体"/>
          <w:color w:val="auto"/>
          <w:kern w:val="0"/>
          <w:sz w:val="22"/>
          <w:szCs w:val="22"/>
          <w:highlight w:val="none"/>
          <w:lang w:val="zh-CN"/>
        </w:rPr>
        <w:t xml:space="preserve">至少应包括以下内容： </w:t>
      </w:r>
    </w:p>
    <w:p w14:paraId="05DCE423">
      <w:pPr>
        <w:keepNext w:val="0"/>
        <w:keepLines w:val="0"/>
        <w:pageBreakBefore w:val="0"/>
        <w:kinsoku/>
        <w:wordWrap/>
        <w:overflowPunct/>
        <w:topLinePunct w:val="0"/>
        <w:autoSpaceDE w:val="0"/>
        <w:autoSpaceDN w:val="0"/>
        <w:bidi w:val="0"/>
        <w:adjustRightInd w:val="0"/>
        <w:snapToGrid w:val="0"/>
        <w:spacing w:line="360" w:lineRule="auto"/>
        <w:ind w:firstLine="440" w:firstLineChars="200"/>
        <w:jc w:val="both"/>
        <w:textAlignment w:val="bottom"/>
        <w:rPr>
          <w:rFonts w:hint="eastAsia" w:ascii="宋体" w:hAnsi="宋体" w:eastAsia="宋体" w:cs="宋体"/>
          <w:b w:val="0"/>
          <w:sz w:val="22"/>
          <w:szCs w:val="22"/>
        </w:rPr>
      </w:pPr>
      <w:r>
        <w:rPr>
          <w:rFonts w:hint="eastAsia" w:ascii="宋体" w:hAnsi="宋体" w:eastAsia="宋体" w:cs="宋体"/>
          <w:b w:val="0"/>
          <w:sz w:val="22"/>
          <w:szCs w:val="22"/>
        </w:rPr>
        <w:t>1) 封面（</w:t>
      </w:r>
      <w:r>
        <w:rPr>
          <w:rStyle w:val="58"/>
          <w:rFonts w:hint="eastAsia" w:ascii="宋体" w:hAnsi="宋体" w:eastAsia="宋体" w:cs="宋体"/>
          <w:b w:val="0"/>
          <w:i w:val="0"/>
          <w:caps w:val="0"/>
          <w:spacing w:val="0"/>
          <w:w w:val="100"/>
          <w:kern w:val="2"/>
          <w:sz w:val="22"/>
          <w:szCs w:val="22"/>
          <w:lang w:val="en-US" w:eastAsia="zh-CN" w:bidi="ar-SA"/>
        </w:rPr>
        <w:t>格式自拟</w:t>
      </w:r>
      <w:r>
        <w:rPr>
          <w:rFonts w:hint="eastAsia" w:ascii="宋体" w:hAnsi="宋体" w:eastAsia="宋体" w:cs="宋体"/>
          <w:b w:val="0"/>
          <w:sz w:val="22"/>
          <w:szCs w:val="22"/>
        </w:rPr>
        <w:t>）</w:t>
      </w:r>
    </w:p>
    <w:p w14:paraId="1DD33FBD">
      <w:pPr>
        <w:keepNext w:val="0"/>
        <w:keepLines w:val="0"/>
        <w:pageBreakBefore w:val="0"/>
        <w:kinsoku/>
        <w:wordWrap/>
        <w:overflowPunct/>
        <w:topLinePunct w:val="0"/>
        <w:autoSpaceDE w:val="0"/>
        <w:autoSpaceDN w:val="0"/>
        <w:bidi w:val="0"/>
        <w:adjustRightInd w:val="0"/>
        <w:snapToGrid w:val="0"/>
        <w:spacing w:line="360" w:lineRule="auto"/>
        <w:ind w:firstLine="440" w:firstLineChars="200"/>
        <w:jc w:val="both"/>
        <w:textAlignment w:val="bottom"/>
        <w:rPr>
          <w:rFonts w:hint="eastAsia" w:ascii="宋体" w:hAnsi="宋体" w:eastAsia="宋体" w:cs="宋体"/>
          <w:b w:val="0"/>
          <w:sz w:val="22"/>
          <w:szCs w:val="22"/>
        </w:rPr>
      </w:pPr>
      <w:r>
        <w:rPr>
          <w:rFonts w:hint="eastAsia" w:ascii="宋体" w:hAnsi="宋体" w:eastAsia="宋体" w:cs="宋体"/>
          <w:b w:val="0"/>
          <w:sz w:val="22"/>
          <w:szCs w:val="22"/>
        </w:rPr>
        <w:t>2）目录或评分索引（格式自拟）</w:t>
      </w:r>
    </w:p>
    <w:p w14:paraId="321CC7D9">
      <w:pPr>
        <w:keepNext w:val="0"/>
        <w:keepLines w:val="0"/>
        <w:pageBreakBefore w:val="0"/>
        <w:kinsoku/>
        <w:wordWrap/>
        <w:overflowPunct/>
        <w:topLinePunct w:val="0"/>
        <w:autoSpaceDE w:val="0"/>
        <w:autoSpaceDN w:val="0"/>
        <w:bidi w:val="0"/>
        <w:adjustRightInd w:val="0"/>
        <w:snapToGrid w:val="0"/>
        <w:spacing w:line="360" w:lineRule="auto"/>
        <w:ind w:firstLine="440" w:firstLineChars="200"/>
        <w:jc w:val="both"/>
        <w:textAlignment w:val="bottom"/>
        <w:rPr>
          <w:rFonts w:hint="eastAsia" w:ascii="宋体" w:hAnsi="宋体" w:eastAsia="宋体" w:cs="宋体"/>
          <w:b w:val="0"/>
          <w:sz w:val="22"/>
          <w:szCs w:val="22"/>
        </w:rPr>
      </w:pPr>
      <w:r>
        <w:rPr>
          <w:rFonts w:hint="eastAsia" w:ascii="宋体" w:hAnsi="宋体" w:eastAsia="宋体" w:cs="宋体"/>
          <w:b w:val="0"/>
          <w:sz w:val="22"/>
          <w:szCs w:val="22"/>
        </w:rPr>
        <w:t>3）投标函；</w:t>
      </w:r>
    </w:p>
    <w:p w14:paraId="4097E0CC">
      <w:pPr>
        <w:keepNext w:val="0"/>
        <w:keepLines w:val="0"/>
        <w:pageBreakBefore w:val="0"/>
        <w:kinsoku/>
        <w:wordWrap/>
        <w:overflowPunct/>
        <w:topLinePunct w:val="0"/>
        <w:autoSpaceDE w:val="0"/>
        <w:autoSpaceDN w:val="0"/>
        <w:bidi w:val="0"/>
        <w:adjustRightInd w:val="0"/>
        <w:snapToGrid w:val="0"/>
        <w:spacing w:line="360" w:lineRule="auto"/>
        <w:ind w:firstLine="440" w:firstLineChars="200"/>
        <w:jc w:val="both"/>
        <w:textAlignment w:val="bottom"/>
        <w:rPr>
          <w:rFonts w:hint="eastAsia" w:ascii="宋体" w:hAnsi="宋体" w:eastAsia="宋体" w:cs="宋体"/>
          <w:b w:val="0"/>
          <w:sz w:val="22"/>
          <w:szCs w:val="22"/>
        </w:rPr>
      </w:pPr>
      <w:r>
        <w:rPr>
          <w:rFonts w:hint="eastAsia" w:ascii="宋体" w:hAnsi="宋体" w:eastAsia="宋体" w:cs="宋体"/>
          <w:b w:val="0"/>
          <w:sz w:val="22"/>
          <w:szCs w:val="22"/>
        </w:rPr>
        <w:t>4）法定代表人授权书；（格式自拟）</w:t>
      </w:r>
    </w:p>
    <w:p w14:paraId="1A006471">
      <w:pPr>
        <w:keepNext w:val="0"/>
        <w:keepLines w:val="0"/>
        <w:pageBreakBefore w:val="0"/>
        <w:kinsoku/>
        <w:wordWrap/>
        <w:overflowPunct/>
        <w:topLinePunct w:val="0"/>
        <w:autoSpaceDE w:val="0"/>
        <w:autoSpaceDN w:val="0"/>
        <w:bidi w:val="0"/>
        <w:adjustRightInd w:val="0"/>
        <w:snapToGrid w:val="0"/>
        <w:spacing w:line="360" w:lineRule="auto"/>
        <w:ind w:firstLine="440" w:firstLineChars="200"/>
        <w:jc w:val="both"/>
        <w:textAlignment w:val="bottom"/>
        <w:rPr>
          <w:rFonts w:hint="eastAsia" w:ascii="宋体" w:hAnsi="宋体" w:eastAsia="宋体" w:cs="宋体"/>
          <w:b w:val="0"/>
          <w:sz w:val="22"/>
          <w:szCs w:val="22"/>
        </w:rPr>
      </w:pPr>
      <w:r>
        <w:rPr>
          <w:rFonts w:hint="eastAsia" w:ascii="宋体" w:hAnsi="宋体" w:eastAsia="宋体" w:cs="宋体"/>
          <w:b w:val="0"/>
          <w:sz w:val="22"/>
          <w:szCs w:val="22"/>
        </w:rPr>
        <w:t>5）商务偏离表、技术偏离表；</w:t>
      </w:r>
    </w:p>
    <w:p w14:paraId="13072816">
      <w:pPr>
        <w:keepNext w:val="0"/>
        <w:keepLines w:val="0"/>
        <w:pageBreakBefore w:val="0"/>
        <w:kinsoku/>
        <w:wordWrap/>
        <w:overflowPunct/>
        <w:topLinePunct w:val="0"/>
        <w:autoSpaceDE w:val="0"/>
        <w:autoSpaceDN w:val="0"/>
        <w:bidi w:val="0"/>
        <w:adjustRightInd w:val="0"/>
        <w:snapToGrid w:val="0"/>
        <w:spacing w:line="360" w:lineRule="auto"/>
        <w:ind w:firstLine="440" w:firstLineChars="200"/>
        <w:jc w:val="both"/>
        <w:textAlignment w:val="bottom"/>
        <w:rPr>
          <w:rFonts w:hint="eastAsia" w:ascii="宋体" w:hAnsi="宋体" w:eastAsia="宋体" w:cs="宋体"/>
          <w:b w:val="0"/>
          <w:sz w:val="22"/>
          <w:szCs w:val="22"/>
        </w:rPr>
      </w:pPr>
      <w:r>
        <w:rPr>
          <w:rFonts w:hint="eastAsia" w:ascii="宋体" w:hAnsi="宋体" w:eastAsia="宋体" w:cs="宋体"/>
          <w:b w:val="0"/>
          <w:sz w:val="22"/>
          <w:szCs w:val="22"/>
        </w:rPr>
        <w:t>6）投标供应商情况声明；</w:t>
      </w:r>
    </w:p>
    <w:p w14:paraId="32653836">
      <w:pPr>
        <w:keepNext w:val="0"/>
        <w:keepLines w:val="0"/>
        <w:pageBreakBefore w:val="0"/>
        <w:kinsoku/>
        <w:wordWrap/>
        <w:overflowPunct/>
        <w:topLinePunct w:val="0"/>
        <w:autoSpaceDE w:val="0"/>
        <w:autoSpaceDN w:val="0"/>
        <w:bidi w:val="0"/>
        <w:adjustRightInd w:val="0"/>
        <w:snapToGrid w:val="0"/>
        <w:spacing w:line="360" w:lineRule="auto"/>
        <w:ind w:firstLine="440" w:firstLineChars="200"/>
        <w:jc w:val="both"/>
        <w:textAlignment w:val="bottom"/>
        <w:rPr>
          <w:rFonts w:hint="eastAsia" w:ascii="宋体" w:hAnsi="宋体" w:eastAsia="宋体" w:cs="宋体"/>
          <w:b w:val="0"/>
          <w:sz w:val="22"/>
          <w:szCs w:val="22"/>
        </w:rPr>
      </w:pPr>
      <w:r>
        <w:rPr>
          <w:rFonts w:hint="eastAsia" w:ascii="宋体" w:hAnsi="宋体" w:cs="宋体"/>
          <w:b w:val="0"/>
          <w:sz w:val="22"/>
          <w:szCs w:val="22"/>
          <w:lang w:val="en-US" w:eastAsia="zh-CN"/>
        </w:rPr>
        <w:t>7</w:t>
      </w:r>
      <w:r>
        <w:rPr>
          <w:rFonts w:hint="eastAsia" w:ascii="宋体" w:hAnsi="宋体" w:eastAsia="宋体" w:cs="宋体"/>
          <w:b w:val="0"/>
          <w:sz w:val="22"/>
          <w:szCs w:val="22"/>
        </w:rPr>
        <w:t>）供应商相关资质、资信或信用证书（</w:t>
      </w:r>
      <w:r>
        <w:rPr>
          <w:rFonts w:hint="eastAsia" w:ascii="宋体" w:hAnsi="宋体" w:cs="宋体"/>
          <w:b w:val="0"/>
          <w:sz w:val="22"/>
          <w:szCs w:val="22"/>
          <w:lang w:val="en-US" w:eastAsia="zh-CN"/>
        </w:rPr>
        <w:t>如有，</w:t>
      </w:r>
      <w:r>
        <w:rPr>
          <w:rFonts w:hint="eastAsia" w:ascii="宋体" w:hAnsi="宋体" w:eastAsia="宋体" w:cs="宋体"/>
          <w:b w:val="0"/>
          <w:sz w:val="22"/>
          <w:szCs w:val="22"/>
          <w:lang w:val="en-US" w:eastAsia="zh-CN"/>
        </w:rPr>
        <w:t>扫描件加盖电子签章</w:t>
      </w:r>
      <w:r>
        <w:rPr>
          <w:rFonts w:hint="eastAsia" w:ascii="宋体" w:hAnsi="宋体" w:eastAsia="宋体" w:cs="宋体"/>
          <w:b w:val="0"/>
          <w:sz w:val="22"/>
          <w:szCs w:val="22"/>
        </w:rPr>
        <w:t>）；</w:t>
      </w:r>
    </w:p>
    <w:p w14:paraId="3507E77F">
      <w:pPr>
        <w:keepNext w:val="0"/>
        <w:keepLines w:val="0"/>
        <w:pageBreakBefore w:val="0"/>
        <w:kinsoku/>
        <w:wordWrap/>
        <w:overflowPunct/>
        <w:topLinePunct w:val="0"/>
        <w:autoSpaceDE w:val="0"/>
        <w:autoSpaceDN w:val="0"/>
        <w:bidi w:val="0"/>
        <w:adjustRightInd w:val="0"/>
        <w:snapToGrid w:val="0"/>
        <w:spacing w:line="360" w:lineRule="auto"/>
        <w:ind w:left="1097" w:leftChars="208" w:hanging="660" w:hangingChars="300"/>
        <w:jc w:val="both"/>
        <w:textAlignment w:val="bottom"/>
        <w:rPr>
          <w:rFonts w:hint="eastAsia" w:ascii="宋体" w:hAnsi="宋体" w:eastAsia="宋体" w:cs="宋体"/>
          <w:b w:val="0"/>
          <w:sz w:val="22"/>
          <w:szCs w:val="22"/>
        </w:rPr>
      </w:pPr>
      <w:r>
        <w:rPr>
          <w:rFonts w:hint="eastAsia" w:ascii="宋体" w:hAnsi="宋体" w:cs="宋体"/>
          <w:b w:val="0"/>
          <w:sz w:val="22"/>
          <w:szCs w:val="22"/>
          <w:lang w:val="en-US" w:eastAsia="zh-CN"/>
        </w:rPr>
        <w:t>8</w:t>
      </w:r>
      <w:r>
        <w:rPr>
          <w:rFonts w:hint="eastAsia" w:ascii="宋体" w:hAnsi="宋体" w:eastAsia="宋体" w:cs="宋体"/>
          <w:b w:val="0"/>
          <w:sz w:val="22"/>
          <w:szCs w:val="22"/>
        </w:rPr>
        <w:t>）投标供应商项目业绩一览表；</w:t>
      </w:r>
    </w:p>
    <w:p w14:paraId="2A70DE0A">
      <w:pPr>
        <w:keepNext w:val="0"/>
        <w:keepLines w:val="0"/>
        <w:pageBreakBefore w:val="0"/>
        <w:kinsoku/>
        <w:wordWrap/>
        <w:overflowPunct/>
        <w:topLinePunct w:val="0"/>
        <w:autoSpaceDE w:val="0"/>
        <w:autoSpaceDN w:val="0"/>
        <w:bidi w:val="0"/>
        <w:adjustRightInd w:val="0"/>
        <w:snapToGrid w:val="0"/>
        <w:spacing w:line="360" w:lineRule="auto"/>
        <w:ind w:left="1097" w:leftChars="208" w:hanging="660" w:hangingChars="300"/>
        <w:jc w:val="both"/>
        <w:textAlignment w:val="bottom"/>
        <w:rPr>
          <w:rFonts w:hint="eastAsia" w:ascii="宋体" w:hAnsi="宋体" w:cs="宋体"/>
          <w:color w:val="auto"/>
          <w:sz w:val="22"/>
          <w:szCs w:val="22"/>
          <w:highlight w:val="none"/>
          <w:lang w:val="en-US" w:eastAsia="zh-CN"/>
        </w:rPr>
      </w:pPr>
      <w:r>
        <w:rPr>
          <w:rFonts w:hint="eastAsia" w:ascii="宋体" w:hAnsi="宋体" w:cs="宋体"/>
          <w:b w:val="0"/>
          <w:sz w:val="22"/>
          <w:szCs w:val="22"/>
          <w:lang w:val="en-US" w:eastAsia="zh-CN"/>
        </w:rPr>
        <w:t>9</w:t>
      </w:r>
      <w:r>
        <w:rPr>
          <w:rFonts w:hint="eastAsia" w:ascii="宋体" w:hAnsi="宋体" w:cs="宋体"/>
          <w:b w:val="0"/>
          <w:sz w:val="22"/>
          <w:szCs w:val="22"/>
          <w:lang w:eastAsia="zh-CN"/>
        </w:rPr>
        <w:t>）</w:t>
      </w:r>
      <w:r>
        <w:rPr>
          <w:rFonts w:hint="eastAsia" w:ascii="宋体" w:hAnsi="宋体" w:eastAsia="宋体" w:cs="宋体"/>
          <w:color w:val="auto"/>
          <w:sz w:val="22"/>
          <w:szCs w:val="22"/>
          <w:highlight w:val="none"/>
          <w:lang w:val="en-US" w:eastAsia="zh-CN"/>
        </w:rPr>
        <w:t>项目的难点要点分析及解决措施</w:t>
      </w:r>
      <w:r>
        <w:rPr>
          <w:rFonts w:hint="eastAsia" w:ascii="宋体" w:hAnsi="宋体" w:cs="宋体"/>
          <w:color w:val="auto"/>
          <w:sz w:val="22"/>
          <w:szCs w:val="22"/>
          <w:highlight w:val="none"/>
          <w:lang w:val="en-US" w:eastAsia="zh-CN"/>
        </w:rPr>
        <w:t>；</w:t>
      </w:r>
    </w:p>
    <w:p w14:paraId="11A1178E">
      <w:pPr>
        <w:keepNext w:val="0"/>
        <w:keepLines w:val="0"/>
        <w:pageBreakBefore w:val="0"/>
        <w:kinsoku/>
        <w:wordWrap/>
        <w:overflowPunct/>
        <w:topLinePunct w:val="0"/>
        <w:autoSpaceDE w:val="0"/>
        <w:autoSpaceDN w:val="0"/>
        <w:bidi w:val="0"/>
        <w:adjustRightInd w:val="0"/>
        <w:snapToGrid w:val="0"/>
        <w:spacing w:line="360" w:lineRule="auto"/>
        <w:ind w:left="1097" w:leftChars="208" w:hanging="660" w:hangingChars="300"/>
        <w:jc w:val="both"/>
        <w:textAlignment w:val="bottom"/>
        <w:rPr>
          <w:rFonts w:hint="default" w:ascii="宋体" w:hAnsi="宋体" w:eastAsia="宋体" w:cs="宋体"/>
          <w:b w:val="0"/>
          <w:sz w:val="22"/>
          <w:szCs w:val="22"/>
          <w:lang w:val="en-US"/>
        </w:rPr>
      </w:pP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lang w:val="en-US" w:eastAsia="zh-CN"/>
        </w:rPr>
        <w:t>油品质量保证措施</w:t>
      </w:r>
      <w:r>
        <w:rPr>
          <w:rFonts w:hint="eastAsia" w:ascii="宋体" w:hAnsi="宋体" w:cs="宋体"/>
          <w:color w:val="auto"/>
          <w:sz w:val="22"/>
          <w:szCs w:val="22"/>
          <w:highlight w:val="none"/>
          <w:lang w:val="en-US" w:eastAsia="zh-CN"/>
        </w:rPr>
        <w:t>；</w:t>
      </w:r>
    </w:p>
    <w:p w14:paraId="48A93CDD">
      <w:pPr>
        <w:keepNext w:val="0"/>
        <w:keepLines w:val="0"/>
        <w:pageBreakBefore w:val="0"/>
        <w:kinsoku/>
        <w:wordWrap/>
        <w:overflowPunct/>
        <w:topLinePunct w:val="0"/>
        <w:autoSpaceDE w:val="0"/>
        <w:autoSpaceDN w:val="0"/>
        <w:bidi w:val="0"/>
        <w:adjustRightInd w:val="0"/>
        <w:snapToGrid w:val="0"/>
        <w:spacing w:line="360" w:lineRule="auto"/>
        <w:ind w:firstLine="440" w:firstLineChars="200"/>
        <w:jc w:val="both"/>
        <w:textAlignment w:val="bottom"/>
        <w:rPr>
          <w:rFonts w:hint="eastAsia" w:ascii="宋体" w:hAnsi="宋体" w:eastAsia="宋体" w:cs="宋体"/>
          <w:b w:val="0"/>
          <w:sz w:val="22"/>
          <w:szCs w:val="22"/>
        </w:rPr>
      </w:pPr>
      <w:r>
        <w:rPr>
          <w:rFonts w:hint="eastAsia" w:ascii="宋体" w:hAnsi="宋体" w:cs="宋体"/>
          <w:b w:val="0"/>
          <w:sz w:val="22"/>
          <w:szCs w:val="22"/>
          <w:lang w:val="en-US" w:eastAsia="zh-CN"/>
        </w:rPr>
        <w:t>11</w:t>
      </w:r>
      <w:r>
        <w:rPr>
          <w:rFonts w:hint="eastAsia" w:ascii="宋体" w:hAnsi="宋体" w:eastAsia="宋体" w:cs="宋体"/>
          <w:b w:val="0"/>
          <w:sz w:val="22"/>
          <w:szCs w:val="22"/>
        </w:rPr>
        <w:t>）</w:t>
      </w:r>
      <w:r>
        <w:rPr>
          <w:rFonts w:hint="eastAsia" w:ascii="宋体" w:hAnsi="宋体" w:eastAsia="宋体" w:cs="宋体"/>
          <w:color w:val="auto"/>
          <w:sz w:val="22"/>
          <w:szCs w:val="22"/>
          <w:highlight w:val="none"/>
          <w:lang w:val="en-US" w:eastAsia="zh-CN"/>
        </w:rPr>
        <w:t>项目实施方案</w:t>
      </w:r>
      <w:r>
        <w:rPr>
          <w:rFonts w:hint="eastAsia" w:ascii="宋体" w:hAnsi="宋体" w:eastAsia="宋体" w:cs="宋体"/>
          <w:b w:val="0"/>
          <w:sz w:val="22"/>
          <w:szCs w:val="22"/>
        </w:rPr>
        <w:t>；</w:t>
      </w:r>
    </w:p>
    <w:p w14:paraId="310BAA9E">
      <w:pPr>
        <w:keepNext w:val="0"/>
        <w:keepLines w:val="0"/>
        <w:pageBreakBefore w:val="0"/>
        <w:kinsoku/>
        <w:wordWrap/>
        <w:overflowPunct/>
        <w:topLinePunct w:val="0"/>
        <w:autoSpaceDE w:val="0"/>
        <w:autoSpaceDN w:val="0"/>
        <w:bidi w:val="0"/>
        <w:adjustRightInd w:val="0"/>
        <w:snapToGrid w:val="0"/>
        <w:spacing w:line="360" w:lineRule="auto"/>
        <w:ind w:left="0" w:leftChars="0" w:firstLine="440" w:firstLineChars="200"/>
        <w:jc w:val="both"/>
        <w:textAlignment w:val="bottom"/>
        <w:rPr>
          <w:rFonts w:hint="eastAsia" w:ascii="宋体" w:hAnsi="宋体" w:eastAsia="宋体" w:cs="宋体"/>
          <w:b w:val="0"/>
          <w:color w:val="auto"/>
          <w:sz w:val="22"/>
          <w:szCs w:val="22"/>
        </w:rPr>
      </w:pPr>
      <w:r>
        <w:rPr>
          <w:rFonts w:hint="eastAsia" w:ascii="宋体" w:hAnsi="宋体" w:cs="宋体"/>
          <w:b w:val="0"/>
          <w:color w:val="auto"/>
          <w:sz w:val="22"/>
          <w:szCs w:val="22"/>
          <w:lang w:val="en-US" w:eastAsia="zh-CN"/>
        </w:rPr>
        <w:t>12</w:t>
      </w:r>
      <w:r>
        <w:rPr>
          <w:rFonts w:hint="eastAsia" w:ascii="宋体" w:hAnsi="宋体" w:eastAsia="宋体" w:cs="宋体"/>
          <w:b w:val="0"/>
          <w:color w:val="auto"/>
          <w:sz w:val="22"/>
          <w:szCs w:val="22"/>
        </w:rPr>
        <w:t>）</w:t>
      </w:r>
      <w:r>
        <w:rPr>
          <w:rFonts w:hint="eastAsia" w:ascii="宋体" w:hAnsi="宋体" w:cs="宋体"/>
          <w:b w:val="0"/>
          <w:color w:val="auto"/>
          <w:sz w:val="22"/>
          <w:szCs w:val="22"/>
          <w:lang w:val="en-US" w:eastAsia="zh-CN"/>
        </w:rPr>
        <w:t>安全管理制度</w:t>
      </w:r>
      <w:r>
        <w:rPr>
          <w:rFonts w:hint="eastAsia" w:ascii="宋体" w:hAnsi="宋体" w:eastAsia="宋体" w:cs="宋体"/>
          <w:b w:val="0"/>
          <w:color w:val="auto"/>
          <w:sz w:val="22"/>
          <w:szCs w:val="22"/>
        </w:rPr>
        <w:t>；</w:t>
      </w:r>
    </w:p>
    <w:p w14:paraId="53115EEE">
      <w:pPr>
        <w:keepNext w:val="0"/>
        <w:keepLines w:val="0"/>
        <w:pageBreakBefore w:val="0"/>
        <w:kinsoku/>
        <w:wordWrap/>
        <w:overflowPunct/>
        <w:topLinePunct w:val="0"/>
        <w:autoSpaceDE w:val="0"/>
        <w:autoSpaceDN w:val="0"/>
        <w:bidi w:val="0"/>
        <w:adjustRightInd w:val="0"/>
        <w:snapToGrid w:val="0"/>
        <w:spacing w:line="360" w:lineRule="auto"/>
        <w:ind w:firstLine="440" w:firstLineChars="200"/>
        <w:jc w:val="both"/>
        <w:textAlignment w:val="bottom"/>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w:t>
      </w:r>
      <w:r>
        <w:rPr>
          <w:rFonts w:hint="eastAsia" w:ascii="宋体" w:hAnsi="宋体" w:cs="宋体"/>
          <w:b w:val="0"/>
          <w:bCs/>
          <w:color w:val="auto"/>
          <w:sz w:val="22"/>
          <w:szCs w:val="22"/>
          <w:lang w:val="en-US" w:eastAsia="zh-CN"/>
        </w:rPr>
        <w:t>3</w:t>
      </w:r>
      <w:r>
        <w:rPr>
          <w:rFonts w:hint="eastAsia" w:ascii="宋体" w:hAnsi="宋体" w:eastAsia="宋体" w:cs="宋体"/>
          <w:b w:val="0"/>
          <w:bCs/>
          <w:color w:val="auto"/>
          <w:sz w:val="22"/>
          <w:szCs w:val="22"/>
        </w:rPr>
        <w:t>）</w:t>
      </w:r>
      <w:r>
        <w:rPr>
          <w:rFonts w:hint="eastAsia" w:ascii="宋体" w:hAnsi="宋体" w:cs="宋体"/>
          <w:b w:val="0"/>
          <w:bCs/>
          <w:color w:val="auto"/>
          <w:sz w:val="22"/>
          <w:szCs w:val="22"/>
          <w:lang w:val="en-US" w:eastAsia="zh-CN"/>
        </w:rPr>
        <w:t>安全保障措施</w:t>
      </w:r>
      <w:r>
        <w:rPr>
          <w:rFonts w:hint="eastAsia" w:ascii="宋体" w:hAnsi="宋体" w:eastAsia="宋体" w:cs="宋体"/>
          <w:b w:val="0"/>
          <w:bCs/>
          <w:color w:val="auto"/>
          <w:sz w:val="22"/>
          <w:szCs w:val="22"/>
        </w:rPr>
        <w:t xml:space="preserve">； </w:t>
      </w:r>
    </w:p>
    <w:p w14:paraId="26593BC9">
      <w:pPr>
        <w:keepNext w:val="0"/>
        <w:keepLines w:val="0"/>
        <w:pageBreakBefore w:val="0"/>
        <w:kinsoku/>
        <w:wordWrap/>
        <w:overflowPunct/>
        <w:topLinePunct w:val="0"/>
        <w:autoSpaceDE w:val="0"/>
        <w:autoSpaceDN w:val="0"/>
        <w:bidi w:val="0"/>
        <w:adjustRightInd w:val="0"/>
        <w:snapToGrid w:val="0"/>
        <w:spacing w:line="360" w:lineRule="auto"/>
        <w:ind w:firstLine="440" w:firstLineChars="200"/>
        <w:jc w:val="both"/>
        <w:textAlignment w:val="bottom"/>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1</w:t>
      </w:r>
      <w:r>
        <w:rPr>
          <w:rFonts w:hint="eastAsia" w:ascii="宋体" w:hAnsi="宋体" w:cs="宋体"/>
          <w:b w:val="0"/>
          <w:bCs/>
          <w:color w:val="auto"/>
          <w:sz w:val="22"/>
          <w:szCs w:val="22"/>
          <w:lang w:val="en-US" w:eastAsia="zh-CN"/>
        </w:rPr>
        <w:t>4</w:t>
      </w:r>
      <w:r>
        <w:rPr>
          <w:rFonts w:hint="eastAsia" w:ascii="宋体" w:hAnsi="宋体" w:eastAsia="宋体" w:cs="宋体"/>
          <w:b w:val="0"/>
          <w:bCs/>
          <w:color w:val="auto"/>
          <w:sz w:val="22"/>
          <w:szCs w:val="22"/>
        </w:rPr>
        <w:t>）</w:t>
      </w:r>
      <w:r>
        <w:rPr>
          <w:rFonts w:hint="eastAsia" w:ascii="宋体" w:hAnsi="宋体" w:cs="宋体"/>
          <w:b w:val="0"/>
          <w:bCs/>
          <w:color w:val="auto"/>
          <w:sz w:val="22"/>
          <w:szCs w:val="22"/>
          <w:lang w:val="en-US" w:eastAsia="zh-CN"/>
        </w:rPr>
        <w:t>应急方案</w:t>
      </w:r>
      <w:r>
        <w:rPr>
          <w:rFonts w:hint="eastAsia" w:ascii="宋体" w:hAnsi="宋体" w:eastAsia="宋体" w:cs="宋体"/>
          <w:b w:val="0"/>
          <w:bCs/>
          <w:color w:val="auto"/>
          <w:sz w:val="22"/>
          <w:szCs w:val="22"/>
        </w:rPr>
        <w:t xml:space="preserve">； </w:t>
      </w:r>
    </w:p>
    <w:p w14:paraId="296DF4C2">
      <w:pPr>
        <w:keepNext w:val="0"/>
        <w:keepLines w:val="0"/>
        <w:pageBreakBefore w:val="0"/>
        <w:kinsoku/>
        <w:wordWrap/>
        <w:overflowPunct/>
        <w:topLinePunct w:val="0"/>
        <w:autoSpaceDE w:val="0"/>
        <w:autoSpaceDN w:val="0"/>
        <w:bidi w:val="0"/>
        <w:adjustRightInd w:val="0"/>
        <w:snapToGrid w:val="0"/>
        <w:spacing w:line="360" w:lineRule="auto"/>
        <w:ind w:firstLine="440" w:firstLineChars="200"/>
        <w:jc w:val="both"/>
        <w:textAlignment w:val="bottom"/>
        <w:rPr>
          <w:rFonts w:hint="default" w:ascii="宋体" w:hAnsi="宋体" w:eastAsia="宋体" w:cs="宋体"/>
          <w:b w:val="0"/>
          <w:bCs/>
          <w:sz w:val="22"/>
          <w:szCs w:val="22"/>
          <w:lang w:val="en-US"/>
        </w:rPr>
      </w:pPr>
      <w:r>
        <w:rPr>
          <w:rFonts w:hint="eastAsia" w:ascii="宋体" w:hAnsi="宋体" w:cs="宋体"/>
          <w:b w:val="0"/>
          <w:bCs/>
          <w:sz w:val="22"/>
          <w:szCs w:val="22"/>
          <w:lang w:val="en-US" w:eastAsia="zh-CN"/>
        </w:rPr>
        <w:t>15</w:t>
      </w:r>
      <w:r>
        <w:rPr>
          <w:rFonts w:hint="eastAsia" w:ascii="宋体" w:hAnsi="宋体" w:cs="宋体"/>
          <w:b w:val="0"/>
          <w:bCs/>
          <w:sz w:val="22"/>
          <w:szCs w:val="22"/>
          <w:lang w:eastAsia="zh-CN"/>
        </w:rPr>
        <w:t>）</w:t>
      </w:r>
      <w:r>
        <w:rPr>
          <w:rFonts w:hint="eastAsia" w:ascii="宋体" w:hAnsi="宋体" w:cs="宋体"/>
          <w:b w:val="0"/>
          <w:bCs/>
          <w:sz w:val="22"/>
          <w:szCs w:val="22"/>
          <w:lang w:val="en-US" w:eastAsia="zh-CN"/>
        </w:rPr>
        <w:t>售后服务；</w:t>
      </w:r>
    </w:p>
    <w:p w14:paraId="104934FF">
      <w:pPr>
        <w:keepNext w:val="0"/>
        <w:keepLines w:val="0"/>
        <w:pageBreakBefore w:val="0"/>
        <w:kinsoku/>
        <w:wordWrap/>
        <w:overflowPunct/>
        <w:topLinePunct w:val="0"/>
        <w:autoSpaceDE w:val="0"/>
        <w:autoSpaceDN w:val="0"/>
        <w:bidi w:val="0"/>
        <w:adjustRightInd w:val="0"/>
        <w:snapToGrid w:val="0"/>
        <w:spacing w:line="360" w:lineRule="auto"/>
        <w:ind w:firstLine="440" w:firstLineChars="200"/>
        <w:jc w:val="both"/>
        <w:textAlignment w:val="bottom"/>
        <w:rPr>
          <w:rFonts w:hint="eastAsia" w:ascii="宋体" w:hAnsi="宋体" w:eastAsia="宋体" w:cs="宋体"/>
          <w:b w:val="0"/>
          <w:spacing w:val="-4"/>
          <w:sz w:val="22"/>
          <w:szCs w:val="22"/>
          <w:u w:val="single"/>
        </w:rPr>
      </w:pPr>
      <w:r>
        <w:rPr>
          <w:rFonts w:hint="eastAsia" w:ascii="宋体" w:hAnsi="宋体" w:eastAsia="宋体" w:cs="宋体"/>
          <w:b w:val="0"/>
          <w:sz w:val="22"/>
          <w:szCs w:val="22"/>
        </w:rPr>
        <w:t>1</w:t>
      </w:r>
      <w:r>
        <w:rPr>
          <w:rFonts w:hint="eastAsia" w:ascii="宋体" w:hAnsi="宋体" w:cs="宋体"/>
          <w:b w:val="0"/>
          <w:sz w:val="22"/>
          <w:szCs w:val="22"/>
          <w:lang w:val="en-US" w:eastAsia="zh-CN"/>
        </w:rPr>
        <w:t>6</w:t>
      </w:r>
      <w:r>
        <w:rPr>
          <w:rFonts w:hint="eastAsia" w:ascii="宋体" w:hAnsi="宋体" w:eastAsia="宋体" w:cs="宋体"/>
          <w:b w:val="0"/>
          <w:sz w:val="22"/>
          <w:szCs w:val="22"/>
        </w:rPr>
        <w:t>）根据招标文件中的采购内容与技术要求及评审办法等编写及需要提供的其它文件和资料；</w:t>
      </w:r>
    </w:p>
    <w:p w14:paraId="1E58B9B8">
      <w:pPr>
        <w:pStyle w:val="13"/>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b w:val="0"/>
          <w:sz w:val="22"/>
          <w:szCs w:val="22"/>
        </w:rPr>
        <w:t>1</w:t>
      </w:r>
      <w:r>
        <w:rPr>
          <w:rFonts w:hint="eastAsia" w:ascii="宋体" w:hAnsi="宋体" w:cs="宋体"/>
          <w:b w:val="0"/>
          <w:sz w:val="22"/>
          <w:szCs w:val="22"/>
          <w:lang w:val="en-US" w:eastAsia="zh-CN"/>
        </w:rPr>
        <w:t>7</w:t>
      </w:r>
      <w:r>
        <w:rPr>
          <w:rFonts w:hint="eastAsia" w:ascii="宋体" w:hAnsi="宋体" w:eastAsia="宋体" w:cs="宋体"/>
          <w:b w:val="0"/>
          <w:sz w:val="22"/>
          <w:szCs w:val="22"/>
        </w:rPr>
        <w:t>）提供符合招标文件实质性要求的承诺材料和供应商认为需要提供的文件和资料。</w:t>
      </w:r>
    </w:p>
    <w:p w14:paraId="69D9C214">
      <w:pPr>
        <w:pStyle w:val="13"/>
        <w:snapToGrid w:val="0"/>
        <w:spacing w:line="360" w:lineRule="auto"/>
        <w:ind w:firstLine="442" w:firstLineChars="200"/>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投标文件中所需的各种证书、证件、证明资料如是复印件，须在复印件上加盖有效公章。</w:t>
      </w:r>
    </w:p>
    <w:p w14:paraId="3A69864E">
      <w:pPr>
        <w:pStyle w:val="13"/>
        <w:snapToGrid w:val="0"/>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以上目录是编制响应内容的基本格式要求，供参考，投标人可根据评标标准及自身情况进一步补充、细化、优化。</w:t>
      </w:r>
    </w:p>
    <w:p w14:paraId="11DD5FF1">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（三）投标有效期</w:t>
      </w:r>
    </w:p>
    <w:p w14:paraId="2952E85C">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1、投标文件合格投递后，自投标截止日期起，至前附表所列的日期内有效。</w:t>
      </w:r>
    </w:p>
    <w:p w14:paraId="5E84EA54">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2、在原定投标有效期之前，如果出现特殊情况，采购代理机构可以以书面形式通知投标供应商延长投标有效期。</w:t>
      </w:r>
    </w:p>
    <w:p w14:paraId="0E39BDDD">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（四）投标保证金</w:t>
      </w:r>
    </w:p>
    <w:p w14:paraId="2B76A722">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p w14:paraId="250E7197">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w:t>
      </w:r>
      <w:bookmarkEnd w:id="48"/>
      <w:bookmarkStart w:id="50" w:name="_Hlt68072998"/>
      <w:bookmarkEnd w:id="50"/>
      <w:bookmarkStart w:id="51" w:name="_Hlt68403820"/>
      <w:bookmarkEnd w:id="51"/>
      <w:bookmarkStart w:id="52" w:name="_Hlt68073093"/>
      <w:bookmarkEnd w:id="52"/>
      <w:bookmarkStart w:id="53" w:name="_Toc91899892"/>
      <w:bookmarkStart w:id="54" w:name="_Toc86216991"/>
      <w:bookmarkStart w:id="55" w:name="_Toc233618975"/>
      <w:r>
        <w:rPr>
          <w:rFonts w:hint="eastAsia" w:ascii="宋体" w:hAnsi="宋体" w:eastAsia="宋体" w:cs="宋体"/>
          <w:b/>
          <w:bCs/>
          <w:color w:val="auto"/>
          <w:sz w:val="24"/>
          <w:highlight w:val="none"/>
        </w:rPr>
        <w:t>投标文件编制</w:t>
      </w:r>
    </w:p>
    <w:p w14:paraId="7577CC4C">
      <w:pPr>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cs="宋体"/>
          <w:b/>
          <w:color w:val="auto"/>
          <w:kern w:val="0"/>
          <w:sz w:val="22"/>
          <w:szCs w:val="22"/>
          <w:highlight w:val="none"/>
          <w:lang w:val="en-US" w:eastAsia="zh-CN"/>
        </w:rPr>
        <w:t>5.1、</w:t>
      </w:r>
      <w:r>
        <w:rPr>
          <w:rFonts w:hint="eastAsia" w:ascii="宋体" w:hAnsi="宋体" w:eastAsia="宋体" w:cs="宋体"/>
          <w:b/>
          <w:color w:val="auto"/>
          <w:sz w:val="22"/>
          <w:szCs w:val="22"/>
          <w:highlight w:val="none"/>
        </w:rPr>
        <w:t>本项目通过“</w:t>
      </w:r>
      <w:r>
        <w:rPr>
          <w:rFonts w:hint="eastAsia" w:ascii="宋体" w:hAnsi="宋体" w:eastAsia="宋体" w:cs="宋体"/>
          <w:b/>
          <w:color w:val="auto"/>
          <w:sz w:val="22"/>
          <w:szCs w:val="22"/>
          <w:highlight w:val="none"/>
          <w:lang w:eastAsia="zh-CN"/>
        </w:rPr>
        <w:t>乐采云平台</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eastAsia="zh-CN"/>
        </w:rPr>
        <w:t>https://www.lecaiyun.com</w:t>
      </w:r>
      <w:r>
        <w:rPr>
          <w:rFonts w:hint="eastAsia" w:ascii="宋体" w:hAnsi="宋体" w:eastAsia="宋体" w:cs="宋体"/>
          <w:b/>
          <w:color w:val="auto"/>
          <w:sz w:val="22"/>
          <w:szCs w:val="22"/>
          <w:highlight w:val="none"/>
        </w:rPr>
        <w:t>）”实行在线投标响应（电子投标）。供应商应通过“</w:t>
      </w:r>
      <w:r>
        <w:rPr>
          <w:rFonts w:hint="eastAsia" w:ascii="宋体" w:hAnsi="宋体" w:eastAsia="宋体" w:cs="宋体"/>
          <w:b/>
          <w:color w:val="auto"/>
          <w:sz w:val="22"/>
          <w:szCs w:val="22"/>
          <w:highlight w:val="none"/>
          <w:lang w:eastAsia="zh-CN"/>
        </w:rPr>
        <w:t>乐采云电子交易客户端</w:t>
      </w:r>
      <w:r>
        <w:rPr>
          <w:rFonts w:hint="eastAsia" w:ascii="宋体" w:hAnsi="宋体" w:eastAsia="宋体" w:cs="宋体"/>
          <w:b/>
          <w:color w:val="auto"/>
          <w:sz w:val="22"/>
          <w:szCs w:val="22"/>
          <w:highlight w:val="none"/>
        </w:rPr>
        <w:t>”，并按照本招标文件和“</w:t>
      </w:r>
      <w:r>
        <w:rPr>
          <w:rFonts w:hint="eastAsia" w:ascii="宋体" w:hAnsi="宋体" w:eastAsia="宋体" w:cs="宋体"/>
          <w:b/>
          <w:color w:val="auto"/>
          <w:sz w:val="22"/>
          <w:szCs w:val="22"/>
          <w:highlight w:val="none"/>
          <w:lang w:eastAsia="zh-CN"/>
        </w:rPr>
        <w:t>乐采云平台</w:t>
      </w:r>
      <w:r>
        <w:rPr>
          <w:rFonts w:hint="eastAsia" w:ascii="宋体" w:hAnsi="宋体" w:eastAsia="宋体" w:cs="宋体"/>
          <w:b/>
          <w:color w:val="auto"/>
          <w:sz w:val="22"/>
          <w:szCs w:val="22"/>
          <w:highlight w:val="none"/>
        </w:rPr>
        <w:t>”的要求编制并加密投标文件。</w:t>
      </w:r>
    </w:p>
    <w:p w14:paraId="042A3E96">
      <w:pPr>
        <w:spacing w:line="360" w:lineRule="auto"/>
        <w:ind w:firstLine="387" w:firstLineChars="175"/>
        <w:rPr>
          <w:rFonts w:hint="eastAsia" w:ascii="宋体" w:hAnsi="宋体" w:eastAsia="宋体" w:cs="宋体"/>
          <w:b/>
          <w:color w:val="auto"/>
          <w:kern w:val="0"/>
          <w:sz w:val="22"/>
          <w:szCs w:val="22"/>
          <w:highlight w:val="none"/>
        </w:rPr>
      </w:pPr>
      <w:r>
        <w:rPr>
          <w:rFonts w:hint="eastAsia" w:ascii="宋体" w:hAnsi="宋体" w:cs="宋体"/>
          <w:b/>
          <w:color w:val="auto"/>
          <w:kern w:val="0"/>
          <w:sz w:val="22"/>
          <w:szCs w:val="22"/>
          <w:highlight w:val="none"/>
          <w:lang w:val="en-US" w:eastAsia="zh-CN"/>
        </w:rPr>
        <w:t>5.2、</w:t>
      </w:r>
      <w:r>
        <w:rPr>
          <w:rFonts w:hint="eastAsia" w:ascii="宋体" w:hAnsi="宋体" w:eastAsia="宋体" w:cs="宋体"/>
          <w:b/>
          <w:color w:val="auto"/>
          <w:kern w:val="0"/>
          <w:sz w:val="22"/>
          <w:szCs w:val="22"/>
          <w:highlight w:val="none"/>
        </w:rPr>
        <w:t>投标供应商应当按照本章节 “投标文件组成”规定的内容及顺序在“</w:t>
      </w:r>
      <w:r>
        <w:rPr>
          <w:rFonts w:hint="eastAsia" w:ascii="宋体" w:hAnsi="宋体" w:eastAsia="宋体" w:cs="宋体"/>
          <w:b/>
          <w:color w:val="auto"/>
          <w:kern w:val="0"/>
          <w:sz w:val="22"/>
          <w:szCs w:val="22"/>
          <w:highlight w:val="none"/>
          <w:lang w:eastAsia="zh-CN"/>
        </w:rPr>
        <w:t>乐采云电子交易客户端</w:t>
      </w:r>
      <w:r>
        <w:rPr>
          <w:rFonts w:hint="eastAsia" w:ascii="宋体" w:hAnsi="宋体" w:eastAsia="宋体" w:cs="宋体"/>
          <w:b/>
          <w:color w:val="auto"/>
          <w:kern w:val="0"/>
          <w:sz w:val="22"/>
          <w:szCs w:val="22"/>
          <w:highlight w:val="none"/>
        </w:rPr>
        <w:t>”编制投标文件。其中《资格文件》和《商务技术文件》中不得出现本项目投标报价，如因投标供应商原因提前泄露投标报价，是投标供应商的责任。</w:t>
      </w:r>
    </w:p>
    <w:p w14:paraId="4E2D2637">
      <w:pPr>
        <w:spacing w:line="360" w:lineRule="auto"/>
        <w:ind w:firstLine="387" w:firstLineChars="175"/>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5.3、</w:t>
      </w:r>
      <w:r>
        <w:rPr>
          <w:rFonts w:hint="eastAsia" w:ascii="宋体" w:hAnsi="宋体" w:eastAsia="宋体" w:cs="宋体"/>
          <w:b/>
          <w:color w:val="auto"/>
          <w:sz w:val="22"/>
          <w:szCs w:val="22"/>
          <w:highlight w:val="none"/>
        </w:rPr>
        <w:t>本文件《第五部分 应提交的有关格式范例》中有提供格式的，投标供应商须参照格式进行编制（格式中要求提供相关证明材料的还需后附相关证明材料），并按格式要求在指定位置根据要求进行签章，否则视为未提供；本文件《第五部分  应提交的有关格式范例》未提供格式的，请各投标单位自行拟定格式，并加盖单位公章并由法定代表人或其授权代表签署（签字或盖章），否则视为未提供。</w:t>
      </w:r>
    </w:p>
    <w:p w14:paraId="7F721CD9">
      <w:pPr>
        <w:spacing w:line="360" w:lineRule="auto"/>
        <w:ind w:firstLine="385" w:firstLineChars="175"/>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5.4、</w:t>
      </w:r>
      <w:r>
        <w:rPr>
          <w:rFonts w:hint="eastAsia" w:ascii="宋体" w:hAnsi="宋体" w:eastAsia="宋体" w:cs="宋体"/>
          <w:color w:val="auto"/>
          <w:kern w:val="0"/>
          <w:sz w:val="22"/>
          <w:szCs w:val="22"/>
          <w:highlight w:val="none"/>
        </w:rPr>
        <w:t>《投标文件》内容不完整、编排混乱导致《投标文件》被误读、漏读或者查找不到相关内容的，是投标供应商的责任。</w:t>
      </w:r>
    </w:p>
    <w:p w14:paraId="59000C9D">
      <w:pPr>
        <w:spacing w:line="360" w:lineRule="auto"/>
        <w:ind w:firstLine="385" w:firstLineChars="175"/>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5.5、</w:t>
      </w:r>
      <w:r>
        <w:rPr>
          <w:rFonts w:hint="eastAsia" w:ascii="宋体" w:hAnsi="宋体" w:eastAsia="宋体" w:cs="宋体"/>
          <w:color w:val="auto"/>
          <w:kern w:val="0"/>
          <w:sz w:val="22"/>
          <w:szCs w:val="22"/>
          <w:highlight w:val="none"/>
        </w:rPr>
        <w:t>《投标文件》因字迹潦草或表达不清所引起的后果由投标供应商负责。</w:t>
      </w:r>
    </w:p>
    <w:p w14:paraId="5DA5E832">
      <w:pPr>
        <w:spacing w:line="360" w:lineRule="auto"/>
        <w:ind w:firstLine="385" w:firstLineChars="175"/>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5.6、</w:t>
      </w:r>
      <w:r>
        <w:rPr>
          <w:rFonts w:hint="eastAsia" w:ascii="宋体" w:hAnsi="宋体" w:eastAsia="宋体" w:cs="宋体"/>
          <w:color w:val="auto"/>
          <w:kern w:val="0"/>
          <w:sz w:val="22"/>
          <w:szCs w:val="22"/>
          <w:highlight w:val="none"/>
        </w:rPr>
        <w:t>投标供应商没有按照本章节“投标文件组成”要求提供全部资料，或者没有仔细阅读招标文件，或者没有对招标文件在各方面的要求作出实质性响应是投标供应商的风险，由此造成的一切后果由投标供应商自行承担。</w:t>
      </w:r>
    </w:p>
    <w:p w14:paraId="4BE4158B">
      <w:pPr>
        <w:pStyle w:val="9"/>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（六）投标文件的签章</w:t>
      </w:r>
    </w:p>
    <w:p w14:paraId="76226F29">
      <w:pPr>
        <w:spacing w:line="360" w:lineRule="auto"/>
        <w:ind w:firstLine="424" w:firstLineChars="192"/>
        <w:rPr>
          <w:rFonts w:hint="eastAsia" w:ascii="宋体" w:hAnsi="宋体" w:eastAsia="宋体" w:cs="宋体"/>
          <w:b/>
          <w:color w:val="auto"/>
          <w:kern w:val="0"/>
          <w:sz w:val="22"/>
          <w:szCs w:val="22"/>
          <w:highlight w:val="none"/>
        </w:rPr>
      </w:pPr>
      <w:r>
        <w:rPr>
          <w:rFonts w:hint="eastAsia" w:ascii="宋体" w:hAnsi="宋体" w:cs="宋体"/>
          <w:b/>
          <w:color w:val="auto"/>
          <w:kern w:val="0"/>
          <w:sz w:val="22"/>
          <w:szCs w:val="22"/>
          <w:highlight w:val="none"/>
          <w:lang w:val="en-US" w:eastAsia="zh-CN"/>
        </w:rPr>
        <w:t>6.1、</w:t>
      </w:r>
      <w:r>
        <w:rPr>
          <w:rFonts w:hint="eastAsia" w:ascii="宋体" w:hAnsi="宋体" w:eastAsia="宋体" w:cs="宋体"/>
          <w:b/>
          <w:color w:val="auto"/>
          <w:kern w:val="0"/>
          <w:sz w:val="22"/>
          <w:szCs w:val="22"/>
          <w:highlight w:val="none"/>
        </w:rPr>
        <w:t>《投标文件》的签章：</w:t>
      </w:r>
      <w:r>
        <w:rPr>
          <w:rFonts w:hint="eastAsia" w:ascii="宋体" w:hAnsi="宋体" w:eastAsia="宋体" w:cs="宋体"/>
          <w:b/>
          <w:color w:val="auto"/>
          <w:sz w:val="22"/>
          <w:szCs w:val="22"/>
          <w:highlight w:val="none"/>
        </w:rPr>
        <w:t>见《前附表》；</w:t>
      </w:r>
    </w:p>
    <w:p w14:paraId="7940449A">
      <w:pPr>
        <w:spacing w:line="360" w:lineRule="auto"/>
        <w:ind w:firstLine="424" w:firstLineChars="192"/>
        <w:rPr>
          <w:rFonts w:hint="eastAsia" w:ascii="宋体" w:hAnsi="宋体" w:eastAsia="宋体" w:cs="宋体"/>
          <w:b/>
          <w:color w:val="auto"/>
          <w:kern w:val="0"/>
          <w:sz w:val="22"/>
          <w:szCs w:val="22"/>
          <w:highlight w:val="none"/>
        </w:rPr>
      </w:pPr>
      <w:r>
        <w:rPr>
          <w:rFonts w:hint="eastAsia" w:ascii="宋体" w:hAnsi="宋体" w:cs="宋体"/>
          <w:b/>
          <w:color w:val="auto"/>
          <w:kern w:val="0"/>
          <w:sz w:val="22"/>
          <w:szCs w:val="22"/>
          <w:highlight w:val="none"/>
          <w:lang w:val="en-US" w:eastAsia="zh-CN"/>
        </w:rPr>
        <w:t>6.2、</w:t>
      </w:r>
      <w:r>
        <w:rPr>
          <w:rFonts w:hint="eastAsia" w:ascii="宋体" w:hAnsi="宋体" w:eastAsia="宋体" w:cs="宋体"/>
          <w:b/>
          <w:color w:val="auto"/>
          <w:kern w:val="0"/>
          <w:sz w:val="22"/>
          <w:szCs w:val="22"/>
          <w:highlight w:val="none"/>
        </w:rPr>
        <w:t>《投标文件》应由投标供应商法定代表人或其授权代表签字（或盖章），并时加盖投标供应商公章。</w:t>
      </w:r>
    </w:p>
    <w:p w14:paraId="3B22633A">
      <w:pPr>
        <w:spacing w:line="360" w:lineRule="auto"/>
        <w:ind w:firstLine="389" w:firstLineChars="176"/>
        <w:rPr>
          <w:rFonts w:hint="eastAsia" w:ascii="宋体" w:hAnsi="宋体" w:eastAsia="宋体" w:cs="宋体"/>
          <w:color w:val="auto"/>
          <w:sz w:val="22"/>
          <w:szCs w:val="22"/>
          <w:highlight w:val="none"/>
        </w:rPr>
      </w:pPr>
      <w:r>
        <w:rPr>
          <w:rFonts w:hint="eastAsia" w:ascii="宋体" w:hAnsi="宋体" w:cs="宋体"/>
          <w:b/>
          <w:color w:val="auto"/>
          <w:kern w:val="0"/>
          <w:sz w:val="22"/>
          <w:szCs w:val="22"/>
          <w:highlight w:val="none"/>
          <w:lang w:val="en-US" w:eastAsia="zh-CN"/>
        </w:rPr>
        <w:t>6.3、</w:t>
      </w:r>
      <w:r>
        <w:rPr>
          <w:rFonts w:hint="eastAsia" w:ascii="宋体" w:hAnsi="宋体" w:eastAsia="宋体" w:cs="宋体"/>
          <w:b/>
          <w:color w:val="auto"/>
          <w:kern w:val="0"/>
          <w:sz w:val="22"/>
          <w:szCs w:val="22"/>
          <w:highlight w:val="none"/>
        </w:rPr>
        <w:t>电子签章操作指南详见采购公告附件</w:t>
      </w:r>
      <w:r>
        <w:rPr>
          <w:rFonts w:hint="eastAsia" w:ascii="宋体" w:hAnsi="宋体" w:eastAsia="宋体" w:cs="宋体"/>
          <w:b/>
          <w:color w:val="auto"/>
          <w:sz w:val="22"/>
          <w:szCs w:val="22"/>
          <w:highlight w:val="none"/>
        </w:rPr>
        <w:t>《供应商项目采购-电子招投标操作指南》</w:t>
      </w:r>
      <w:r>
        <w:rPr>
          <w:rFonts w:hint="eastAsia" w:ascii="宋体" w:hAnsi="宋体" w:eastAsia="宋体" w:cs="宋体"/>
          <w:color w:val="auto"/>
          <w:sz w:val="22"/>
          <w:szCs w:val="22"/>
          <w:highlight w:val="none"/>
        </w:rPr>
        <w:t>。</w:t>
      </w:r>
    </w:p>
    <w:p w14:paraId="621D51A9">
      <w:pPr>
        <w:pStyle w:val="9"/>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（七）投标文件的形式</w:t>
      </w:r>
    </w:p>
    <w:p w14:paraId="70A27104">
      <w:pPr>
        <w:spacing w:line="360" w:lineRule="auto"/>
        <w:ind w:firstLine="389" w:firstLineChars="176"/>
        <w:rPr>
          <w:rFonts w:hint="eastAsia" w:ascii="宋体" w:hAnsi="宋体" w:eastAsia="宋体" w:cs="宋体"/>
          <w:color w:val="auto"/>
          <w:sz w:val="22"/>
          <w:szCs w:val="22"/>
          <w:highlight w:val="none"/>
        </w:rPr>
      </w:pPr>
      <w:r>
        <w:rPr>
          <w:rFonts w:hint="eastAsia" w:ascii="宋体" w:hAnsi="宋体" w:cs="宋体"/>
          <w:b/>
          <w:color w:val="auto"/>
          <w:sz w:val="22"/>
          <w:szCs w:val="22"/>
          <w:highlight w:val="none"/>
          <w:lang w:val="en-US" w:eastAsia="zh-CN"/>
        </w:rPr>
        <w:t>7.1、</w:t>
      </w:r>
      <w:r>
        <w:rPr>
          <w:rFonts w:hint="eastAsia" w:ascii="宋体" w:hAnsi="宋体" w:eastAsia="宋体" w:cs="宋体"/>
          <w:b/>
          <w:color w:val="auto"/>
          <w:sz w:val="22"/>
          <w:szCs w:val="22"/>
          <w:highlight w:val="none"/>
        </w:rPr>
        <w:t>投标文件的形式：见《前附表》；</w:t>
      </w:r>
    </w:p>
    <w:p w14:paraId="5B89024A">
      <w:pPr>
        <w:spacing w:line="360" w:lineRule="auto"/>
        <w:ind w:firstLine="389" w:firstLineChars="176"/>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7.2、</w:t>
      </w:r>
      <w:r>
        <w:rPr>
          <w:rFonts w:hint="eastAsia" w:ascii="宋体" w:hAnsi="宋体" w:eastAsia="宋体" w:cs="宋体"/>
          <w:b/>
          <w:color w:val="auto"/>
          <w:sz w:val="22"/>
          <w:szCs w:val="22"/>
          <w:highlight w:val="none"/>
        </w:rPr>
        <w:t>“电子加密投标文件”：“电子加密投标文件”是指通过“</w:t>
      </w:r>
      <w:r>
        <w:rPr>
          <w:rFonts w:hint="eastAsia" w:ascii="宋体" w:hAnsi="宋体" w:eastAsia="宋体" w:cs="宋体"/>
          <w:b/>
          <w:color w:val="auto"/>
          <w:sz w:val="22"/>
          <w:szCs w:val="22"/>
          <w:highlight w:val="none"/>
          <w:lang w:eastAsia="zh-CN"/>
        </w:rPr>
        <w:t>乐采云电子交易客户端</w:t>
      </w:r>
      <w:r>
        <w:rPr>
          <w:rFonts w:hint="eastAsia" w:ascii="宋体" w:hAnsi="宋体" w:eastAsia="宋体" w:cs="宋体"/>
          <w:b/>
          <w:color w:val="auto"/>
          <w:sz w:val="22"/>
          <w:szCs w:val="22"/>
          <w:highlight w:val="none"/>
        </w:rPr>
        <w:t>”完成投标文件编制后生成并加密的数据电文形式的投标文件。</w:t>
      </w:r>
    </w:p>
    <w:p w14:paraId="6B66BC4A">
      <w:pPr>
        <w:spacing w:line="360" w:lineRule="auto"/>
        <w:ind w:firstLine="389" w:firstLineChars="176"/>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7.3</w:t>
      </w:r>
      <w:r>
        <w:rPr>
          <w:rFonts w:hint="eastAsia" w:ascii="宋体" w:hAnsi="宋体" w:eastAsia="宋体" w:cs="宋体"/>
          <w:b/>
          <w:color w:val="auto"/>
          <w:sz w:val="22"/>
          <w:szCs w:val="22"/>
          <w:highlight w:val="none"/>
        </w:rPr>
        <w:t>“备份投标文件”：“备份投标文件”是指与“电子加密投标文件”同时生成的数据电文形式的电子文件（备份标书），其他方式编制的“备份投标文件”视为无效的“备份投标文件”。</w:t>
      </w:r>
    </w:p>
    <w:p w14:paraId="1A625FB3">
      <w:pPr>
        <w:pStyle w:val="9"/>
        <w:numPr>
          <w:ilvl w:val="0"/>
          <w:numId w:val="0"/>
        </w:numPr>
        <w:spacing w:before="0" w:after="0"/>
        <w:ind w:left="720" w:hanging="72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（八）投标文件的份数</w:t>
      </w:r>
    </w:p>
    <w:p w14:paraId="349E0566">
      <w:pPr>
        <w:spacing w:line="360" w:lineRule="auto"/>
        <w:ind w:firstLine="389" w:firstLineChars="17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8.1投标文件的份数：见《前附表》。</w:t>
      </w:r>
    </w:p>
    <w:p w14:paraId="1CF4A0CB">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cs="宋体"/>
          <w:b/>
          <w:color w:val="auto"/>
          <w:sz w:val="22"/>
          <w:szCs w:val="22"/>
          <w:highlight w:val="none"/>
          <w:lang w:val="en-US" w:eastAsia="zh-CN"/>
        </w:rPr>
        <w:t>8.2</w:t>
      </w:r>
      <w:r>
        <w:rPr>
          <w:rFonts w:hint="eastAsia" w:ascii="宋体" w:hAnsi="宋体" w:eastAsia="宋体" w:cs="宋体"/>
          <w:b/>
          <w:color w:val="auto"/>
          <w:sz w:val="22"/>
          <w:szCs w:val="22"/>
          <w:highlight w:val="none"/>
        </w:rPr>
        <w:t>中标供应商应提供电子投标文件的纸质版一正</w:t>
      </w:r>
      <w:r>
        <w:rPr>
          <w:rFonts w:hint="eastAsia" w:ascii="宋体" w:hAnsi="宋体" w:cs="宋体"/>
          <w:b/>
          <w:color w:val="auto"/>
          <w:sz w:val="22"/>
          <w:szCs w:val="22"/>
          <w:highlight w:val="none"/>
          <w:lang w:val="en-US" w:eastAsia="zh-CN"/>
        </w:rPr>
        <w:t>二</w:t>
      </w:r>
      <w:r>
        <w:rPr>
          <w:rFonts w:hint="eastAsia" w:ascii="宋体" w:hAnsi="宋体" w:eastAsia="宋体" w:cs="宋体"/>
          <w:b/>
          <w:color w:val="auto"/>
          <w:sz w:val="22"/>
          <w:szCs w:val="22"/>
          <w:highlight w:val="none"/>
        </w:rPr>
        <w:t>副给</w:t>
      </w:r>
      <w:r>
        <w:rPr>
          <w:rFonts w:hint="eastAsia" w:ascii="宋体" w:hAnsi="宋体" w:cs="宋体"/>
          <w:b/>
          <w:color w:val="auto"/>
          <w:sz w:val="22"/>
          <w:szCs w:val="22"/>
          <w:highlight w:val="none"/>
          <w:lang w:val="en-US" w:eastAsia="zh-CN"/>
        </w:rPr>
        <w:t>采购人或</w:t>
      </w:r>
      <w:r>
        <w:rPr>
          <w:rFonts w:hint="eastAsia" w:ascii="宋体" w:hAnsi="宋体" w:eastAsia="宋体" w:cs="宋体"/>
          <w:b/>
          <w:color w:val="auto"/>
          <w:sz w:val="22"/>
          <w:szCs w:val="22"/>
          <w:highlight w:val="none"/>
        </w:rPr>
        <w:t>采购代理机构。</w:t>
      </w:r>
    </w:p>
    <w:p w14:paraId="48762049">
      <w:pPr>
        <w:shd w:val="clear" w:color="auto" w:fill="FFFFFF"/>
        <w:snapToGrid w:val="0"/>
        <w:spacing w:line="360" w:lineRule="auto"/>
        <w:rPr>
          <w:rFonts w:hint="eastAsia" w:ascii="宋体" w:hAnsi="宋体" w:eastAsia="宋体" w:cs="宋体"/>
          <w:b/>
          <w:bCs/>
          <w:color w:val="auto"/>
          <w:sz w:val="24"/>
          <w:highlight w:val="none"/>
        </w:rPr>
      </w:pPr>
    </w:p>
    <w:p w14:paraId="10EAC1C3">
      <w:pPr>
        <w:snapToGrid w:val="0"/>
        <w:spacing w:line="360" w:lineRule="auto"/>
        <w:jc w:val="center"/>
        <w:outlineLvl w:val="1"/>
        <w:rPr>
          <w:rFonts w:hint="eastAsia" w:ascii="宋体" w:hAnsi="宋体" w:eastAsia="宋体" w:cs="宋体"/>
          <w:b/>
          <w:color w:val="auto"/>
          <w:sz w:val="24"/>
          <w:highlight w:val="none"/>
        </w:rPr>
      </w:pPr>
      <w:bookmarkStart w:id="56" w:name="_Toc33194391"/>
      <w:bookmarkStart w:id="57" w:name="_Toc6721"/>
      <w:bookmarkStart w:id="58" w:name="_Toc412730341"/>
      <w:bookmarkStart w:id="59" w:name="_Toc462229099"/>
      <w:bookmarkStart w:id="60" w:name="_Toc354996699"/>
      <w:r>
        <w:rPr>
          <w:rFonts w:hint="eastAsia" w:ascii="宋体" w:hAnsi="宋体" w:eastAsia="宋体" w:cs="宋体"/>
          <w:b/>
          <w:color w:val="auto"/>
          <w:sz w:val="24"/>
          <w:highlight w:val="none"/>
        </w:rPr>
        <w:t>四、投标</w:t>
      </w:r>
      <w:bookmarkEnd w:id="56"/>
      <w:bookmarkEnd w:id="57"/>
      <w:bookmarkEnd w:id="58"/>
      <w:bookmarkEnd w:id="59"/>
    </w:p>
    <w:p w14:paraId="6EDA6BFD">
      <w:pPr>
        <w:pStyle w:val="9"/>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（一）投标文件的上传和递交</w:t>
      </w:r>
    </w:p>
    <w:p w14:paraId="2F0CF78D">
      <w:pPr>
        <w:spacing w:line="360" w:lineRule="auto"/>
        <w:ind w:firstLine="391" w:firstLineChars="177"/>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1.1“投标文件”的上传、递交：</w:t>
      </w:r>
      <w:r>
        <w:rPr>
          <w:rFonts w:hint="eastAsia" w:ascii="宋体" w:hAnsi="宋体" w:eastAsia="宋体" w:cs="宋体"/>
          <w:b/>
          <w:color w:val="auto"/>
          <w:sz w:val="22"/>
          <w:szCs w:val="22"/>
          <w:highlight w:val="none"/>
        </w:rPr>
        <w:t>见《前附表》。</w:t>
      </w:r>
    </w:p>
    <w:p w14:paraId="1E6EF3E2">
      <w:pPr>
        <w:pStyle w:val="9"/>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（二）“电子加密投标文件”解密和异常情况处理</w:t>
      </w:r>
    </w:p>
    <w:p w14:paraId="6E23968A">
      <w:pPr>
        <w:spacing w:line="360" w:lineRule="auto"/>
        <w:ind w:firstLine="391" w:firstLineChars="177"/>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rPr>
        <w:t>2.1“电子加密投标文件”解密：</w:t>
      </w:r>
      <w:r>
        <w:rPr>
          <w:rFonts w:hint="eastAsia" w:ascii="宋体" w:hAnsi="宋体" w:eastAsia="宋体" w:cs="宋体"/>
          <w:b/>
          <w:color w:val="auto"/>
          <w:sz w:val="22"/>
          <w:szCs w:val="22"/>
          <w:highlight w:val="none"/>
        </w:rPr>
        <w:t>见《前附表》。</w:t>
      </w:r>
    </w:p>
    <w:p w14:paraId="777F2939">
      <w:pPr>
        <w:pStyle w:val="9"/>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（三）投标文件的补充、修改或撤回</w:t>
      </w:r>
    </w:p>
    <w:p w14:paraId="0CD1D644">
      <w:pPr>
        <w:spacing w:line="360" w:lineRule="auto"/>
        <w:ind w:firstLine="391" w:firstLineChars="177"/>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ascii="宋体" w:hAnsi="宋体" w:eastAsia="宋体" w:cs="宋体"/>
          <w:b/>
          <w:color w:val="auto"/>
          <w:kern w:val="0"/>
          <w:sz w:val="22"/>
          <w:szCs w:val="22"/>
          <w:highlight w:val="none"/>
          <w:lang w:eastAsia="zh-CN"/>
        </w:rPr>
        <w:t>乐采云平台</w:t>
      </w:r>
      <w:r>
        <w:rPr>
          <w:rFonts w:hint="eastAsia" w:ascii="宋体" w:hAnsi="宋体" w:eastAsia="宋体" w:cs="宋体"/>
          <w:b/>
          <w:color w:val="auto"/>
          <w:kern w:val="0"/>
          <w:sz w:val="22"/>
          <w:szCs w:val="22"/>
          <w:highlight w:val="none"/>
        </w:rPr>
        <w:t>”将予以拒收。</w:t>
      </w:r>
    </w:p>
    <w:p w14:paraId="30F1707F">
      <w:pPr>
        <w:spacing w:line="360" w:lineRule="auto"/>
        <w:ind w:firstLine="391" w:firstLineChars="177"/>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3.2投标截止时间后，投标供应商不得撤回、修改《投标文件》。</w:t>
      </w:r>
    </w:p>
    <w:p w14:paraId="21DF2F3B">
      <w:pPr>
        <w:pStyle w:val="9"/>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（四）投标文件的备选方案</w:t>
      </w:r>
    </w:p>
    <w:p w14:paraId="245EFE7C">
      <w:pPr>
        <w:spacing w:line="360" w:lineRule="auto"/>
        <w:ind w:firstLine="391" w:firstLineChars="17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4.1投标供应商不得递交任何的</w:t>
      </w:r>
      <w:r>
        <w:rPr>
          <w:rFonts w:hint="eastAsia" w:ascii="宋体" w:hAnsi="宋体" w:eastAsia="宋体" w:cs="宋体"/>
          <w:b/>
          <w:color w:val="auto"/>
          <w:kern w:val="0"/>
          <w:sz w:val="22"/>
          <w:szCs w:val="22"/>
          <w:highlight w:val="none"/>
        </w:rPr>
        <w:t>投标备选（替代）方案</w:t>
      </w:r>
      <w:r>
        <w:rPr>
          <w:rFonts w:hint="eastAsia" w:ascii="宋体" w:hAnsi="宋体" w:eastAsia="宋体" w:cs="宋体"/>
          <w:b/>
          <w:color w:val="auto"/>
          <w:sz w:val="22"/>
          <w:szCs w:val="22"/>
          <w:highlight w:val="none"/>
        </w:rPr>
        <w:t>，否则其投标文件将作无效标处理。与“电子加密投标文件”同时生成的“备份投标文件”不是投标备选（替代）方案。</w:t>
      </w:r>
    </w:p>
    <w:p w14:paraId="64305B06">
      <w:pPr>
        <w:pStyle w:val="34"/>
        <w:snapToGrid w:val="0"/>
        <w:spacing w:before="0" w:line="260" w:lineRule="exact"/>
        <w:ind w:firstLine="482"/>
        <w:rPr>
          <w:rFonts w:hint="eastAsia" w:ascii="宋体" w:hAnsi="宋体" w:eastAsia="宋体" w:cs="宋体"/>
          <w:b/>
          <w:color w:val="auto"/>
          <w:szCs w:val="24"/>
          <w:highlight w:val="none"/>
        </w:rPr>
      </w:pPr>
    </w:p>
    <w:p w14:paraId="1FA359E1">
      <w:pPr>
        <w:snapToGrid w:val="0"/>
        <w:spacing w:line="360" w:lineRule="auto"/>
        <w:jc w:val="center"/>
        <w:outlineLvl w:val="1"/>
        <w:rPr>
          <w:rFonts w:hint="eastAsia" w:ascii="宋体" w:hAnsi="宋体" w:eastAsia="宋体" w:cs="宋体"/>
          <w:b/>
          <w:color w:val="auto"/>
          <w:sz w:val="24"/>
          <w:highlight w:val="none"/>
        </w:rPr>
      </w:pPr>
      <w:bookmarkStart w:id="61" w:name="_Toc462229100"/>
      <w:bookmarkStart w:id="62" w:name="_Toc16410"/>
      <w:bookmarkStart w:id="63" w:name="_Toc33194392"/>
      <w:r>
        <w:rPr>
          <w:rFonts w:hint="eastAsia" w:ascii="宋体" w:hAnsi="宋体" w:eastAsia="宋体" w:cs="宋体"/>
          <w:b/>
          <w:color w:val="auto"/>
          <w:sz w:val="24"/>
          <w:highlight w:val="none"/>
        </w:rPr>
        <w:t>五、开 标</w:t>
      </w:r>
      <w:bookmarkEnd w:id="61"/>
      <w:bookmarkEnd w:id="62"/>
      <w:bookmarkEnd w:id="63"/>
    </w:p>
    <w:p w14:paraId="2C888CE5">
      <w:pPr>
        <w:pStyle w:val="9"/>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（一）开标形式</w:t>
      </w:r>
    </w:p>
    <w:p w14:paraId="3F75CB4D">
      <w:pPr>
        <w:spacing w:line="360" w:lineRule="auto"/>
        <w:ind w:firstLine="391" w:firstLineChars="17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 采购组织机构将按照招标文件规定的时间通过“</w:t>
      </w:r>
      <w:r>
        <w:rPr>
          <w:rFonts w:hint="eastAsia" w:ascii="宋体" w:hAnsi="宋体" w:eastAsia="宋体" w:cs="宋体"/>
          <w:b/>
          <w:color w:val="auto"/>
          <w:sz w:val="22"/>
          <w:szCs w:val="22"/>
          <w:highlight w:val="none"/>
          <w:lang w:eastAsia="zh-CN"/>
        </w:rPr>
        <w:t>乐采云平台</w:t>
      </w:r>
      <w:r>
        <w:rPr>
          <w:rFonts w:hint="eastAsia" w:ascii="宋体" w:hAnsi="宋体" w:eastAsia="宋体" w:cs="宋体"/>
          <w:b/>
          <w:color w:val="auto"/>
          <w:sz w:val="22"/>
          <w:szCs w:val="22"/>
          <w:highlight w:val="none"/>
        </w:rPr>
        <w:t>”组织开标、开启投标文件，所有供应商均应当准时在线参加。</w:t>
      </w:r>
    </w:p>
    <w:p w14:paraId="097CC09A">
      <w:pPr>
        <w:pStyle w:val="9"/>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 开标准备</w:t>
      </w:r>
    </w:p>
    <w:p w14:paraId="08ECCE00">
      <w:pPr>
        <w:spacing w:line="360" w:lineRule="auto"/>
        <w:ind w:firstLine="387" w:firstLineChars="17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2.1开标的准备工作由采购组织机构负责落实；</w:t>
      </w:r>
    </w:p>
    <w:p w14:paraId="5D2184F8">
      <w:pPr>
        <w:spacing w:line="360" w:lineRule="auto"/>
        <w:ind w:firstLine="387" w:firstLineChars="17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w:t>
      </w:r>
      <w:r>
        <w:rPr>
          <w:rFonts w:hint="eastAsia" w:ascii="宋体" w:hAnsi="宋体" w:eastAsia="宋体" w:cs="宋体"/>
          <w:b/>
          <w:color w:val="auto"/>
          <w:sz w:val="22"/>
          <w:szCs w:val="22"/>
          <w:highlight w:val="none"/>
        </w:rPr>
        <w:t>采购组织机构将按照招标文件规定的时间通过“</w:t>
      </w:r>
      <w:r>
        <w:rPr>
          <w:rFonts w:hint="eastAsia" w:ascii="宋体" w:hAnsi="宋体" w:eastAsia="宋体" w:cs="宋体"/>
          <w:b/>
          <w:color w:val="auto"/>
          <w:sz w:val="22"/>
          <w:szCs w:val="22"/>
          <w:highlight w:val="none"/>
          <w:lang w:eastAsia="zh-CN"/>
        </w:rPr>
        <w:t>乐采云平台</w:t>
      </w:r>
      <w:r>
        <w:rPr>
          <w:rFonts w:hint="eastAsia" w:ascii="宋体" w:hAnsi="宋体" w:eastAsia="宋体" w:cs="宋体"/>
          <w:b/>
          <w:color w:val="auto"/>
          <w:sz w:val="22"/>
          <w:szCs w:val="22"/>
          <w:highlight w:val="none"/>
        </w:rPr>
        <w:t>”组织开标、开启投标文件，所有供应商均应当准时在线参加。</w:t>
      </w:r>
      <w:r>
        <w:rPr>
          <w:rFonts w:hint="eastAsia" w:ascii="宋体" w:hAnsi="宋体" w:eastAsia="宋体" w:cs="宋体"/>
          <w:b/>
          <w:color w:val="auto"/>
          <w:kern w:val="0"/>
          <w:sz w:val="22"/>
          <w:szCs w:val="22"/>
          <w:highlight w:val="none"/>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63E7B3AC">
      <w:pPr>
        <w:pStyle w:val="9"/>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（三）开标流程（两阶段：通过“</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szCs w:val="24"/>
          <w:highlight w:val="none"/>
        </w:rPr>
        <w:t>”按以下流程实施）</w:t>
      </w:r>
    </w:p>
    <w:p w14:paraId="2E905282">
      <w:pPr>
        <w:spacing w:line="360" w:lineRule="auto"/>
        <w:ind w:firstLine="391" w:firstLineChars="177"/>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3.1开标第一阶段</w:t>
      </w:r>
    </w:p>
    <w:p w14:paraId="390C4075">
      <w:pPr>
        <w:spacing w:line="360" w:lineRule="auto"/>
        <w:ind w:firstLine="389" w:firstLineChars="177"/>
        <w:jc w:val="left"/>
        <w:rPr>
          <w:rFonts w:hint="eastAsia" w:ascii="宋体" w:hAnsi="宋体" w:eastAsia="宋体" w:cs="宋体"/>
          <w:b/>
          <w:bCs/>
          <w:color w:val="auto"/>
          <w:kern w:val="0"/>
          <w:sz w:val="22"/>
          <w:szCs w:val="22"/>
          <w:highlight w:val="none"/>
        </w:rPr>
      </w:pPr>
      <w:r>
        <w:rPr>
          <w:rFonts w:hint="eastAsia" w:ascii="宋体" w:hAnsi="宋体" w:eastAsia="宋体" w:cs="宋体"/>
          <w:color w:val="auto"/>
          <w:kern w:val="0"/>
          <w:sz w:val="22"/>
          <w:szCs w:val="22"/>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w:t>
      </w:r>
      <w:r>
        <w:rPr>
          <w:rFonts w:hint="eastAsia" w:ascii="宋体" w:hAnsi="宋体" w:eastAsia="宋体" w:cs="宋体"/>
          <w:color w:val="auto"/>
          <w:kern w:val="0"/>
          <w:sz w:val="22"/>
          <w:szCs w:val="22"/>
          <w:highlight w:val="none"/>
          <w:lang w:eastAsia="zh-CN"/>
        </w:rPr>
        <w:t>乐采云平台</w:t>
      </w:r>
      <w:r>
        <w:rPr>
          <w:rFonts w:hint="eastAsia" w:ascii="宋体" w:hAnsi="宋体" w:eastAsia="宋体" w:cs="宋体"/>
          <w:color w:val="auto"/>
          <w:kern w:val="0"/>
          <w:sz w:val="22"/>
          <w:szCs w:val="22"/>
          <w:highlight w:val="none"/>
        </w:rPr>
        <w:t>”操作规范将备份投标文件上传至“</w:t>
      </w:r>
      <w:r>
        <w:rPr>
          <w:rFonts w:hint="eastAsia" w:ascii="宋体" w:hAnsi="宋体" w:eastAsia="宋体" w:cs="宋体"/>
          <w:color w:val="auto"/>
          <w:kern w:val="0"/>
          <w:sz w:val="22"/>
          <w:szCs w:val="22"/>
          <w:highlight w:val="none"/>
          <w:lang w:eastAsia="zh-CN"/>
        </w:rPr>
        <w:t>乐采云平台</w:t>
      </w:r>
      <w:r>
        <w:rPr>
          <w:rFonts w:hint="eastAsia" w:ascii="宋体" w:hAnsi="宋体" w:eastAsia="宋体" w:cs="宋体"/>
          <w:color w:val="auto"/>
          <w:kern w:val="0"/>
          <w:sz w:val="22"/>
          <w:szCs w:val="22"/>
          <w:highlight w:val="none"/>
        </w:rPr>
        <w:t>”，上传成功后，“电子加密投标文件”自动失效；</w:t>
      </w:r>
      <w:r>
        <w:rPr>
          <w:rFonts w:hint="eastAsia" w:ascii="宋体" w:hAnsi="宋体" w:eastAsia="宋体" w:cs="宋体"/>
          <w:b/>
          <w:bCs/>
          <w:color w:val="auto"/>
          <w:kern w:val="0"/>
          <w:sz w:val="22"/>
          <w:szCs w:val="22"/>
          <w:highlight w:val="none"/>
        </w:rPr>
        <w:t>注：提交的备份文件上传解密失败的将做无效标处理。</w:t>
      </w:r>
    </w:p>
    <w:p w14:paraId="32A37B12">
      <w:pPr>
        <w:spacing w:line="360" w:lineRule="auto"/>
        <w:ind w:firstLine="389" w:firstLineChars="177"/>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（2）投标文件解密结束，通过在线询标形式发送各投标供应商组织签署《采购活动现场确认声明书》，未在规定时间内提交视为默认；</w:t>
      </w:r>
    </w:p>
    <w:p w14:paraId="5D331744">
      <w:pPr>
        <w:spacing w:line="360" w:lineRule="auto"/>
        <w:ind w:firstLine="389" w:firstLineChars="177"/>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（3）开启投标文件，进入资格审查；</w:t>
      </w:r>
    </w:p>
    <w:p w14:paraId="28D4420B">
      <w:pPr>
        <w:spacing w:line="360" w:lineRule="auto"/>
        <w:ind w:firstLine="389" w:firstLineChars="177"/>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（4）开启资格审查通过的投标供应商的商务技术文件进入符合性审查、商务技术评审；</w:t>
      </w:r>
    </w:p>
    <w:p w14:paraId="5F4ED22A">
      <w:pPr>
        <w:spacing w:line="360" w:lineRule="auto"/>
        <w:ind w:firstLine="389" w:firstLineChars="177"/>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（5）第一阶段开标结束。</w:t>
      </w:r>
    </w:p>
    <w:p w14:paraId="412673AE">
      <w:pPr>
        <w:spacing w:line="360" w:lineRule="auto"/>
        <w:ind w:firstLine="391" w:firstLineChars="177"/>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0AF1D98B">
      <w:pPr>
        <w:spacing w:line="480" w:lineRule="exact"/>
        <w:ind w:firstLine="391" w:firstLineChars="177"/>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3.2开标大会第二阶段</w:t>
      </w:r>
    </w:p>
    <w:p w14:paraId="33B30476">
      <w:pPr>
        <w:spacing w:line="480" w:lineRule="exact"/>
        <w:ind w:firstLine="389" w:firstLineChars="177"/>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（1）符合性审查、商务技术评审结束后，举行开标大会第二阶段会议。首先通过</w:t>
      </w:r>
      <w:r>
        <w:rPr>
          <w:rFonts w:hint="eastAsia" w:ascii="宋体" w:hAnsi="宋体" w:eastAsia="宋体" w:cs="宋体"/>
          <w:color w:val="auto"/>
          <w:kern w:val="0"/>
          <w:sz w:val="22"/>
          <w:szCs w:val="22"/>
          <w:highlight w:val="none"/>
          <w:lang w:eastAsia="zh-CN"/>
        </w:rPr>
        <w:t>乐采云平台</w:t>
      </w:r>
      <w:r>
        <w:rPr>
          <w:rFonts w:hint="eastAsia" w:ascii="宋体" w:hAnsi="宋体" w:eastAsia="宋体" w:cs="宋体"/>
          <w:color w:val="auto"/>
          <w:kern w:val="0"/>
          <w:sz w:val="22"/>
          <w:szCs w:val="22"/>
          <w:highlight w:val="none"/>
        </w:rPr>
        <w:t>公布符合性审查、商务技术评审无效供应商名称及理由；公布经商务技术评审后有效投标供应商的名单，同时公布其商务技术部分得分情况。</w:t>
      </w:r>
    </w:p>
    <w:p w14:paraId="63DBFE73">
      <w:pPr>
        <w:spacing w:line="480" w:lineRule="exact"/>
        <w:ind w:firstLine="389" w:firstLineChars="177"/>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（2）开启有效投标供应商的《报价文件》，公布开标一览表有关内容，制作开标记录表，由供应商代表及相关人员进行确认（通过“</w:t>
      </w:r>
      <w:r>
        <w:rPr>
          <w:rFonts w:hint="eastAsia" w:ascii="宋体" w:hAnsi="宋体" w:eastAsia="宋体" w:cs="宋体"/>
          <w:color w:val="auto"/>
          <w:kern w:val="0"/>
          <w:sz w:val="22"/>
          <w:szCs w:val="22"/>
          <w:highlight w:val="none"/>
          <w:lang w:eastAsia="zh-CN"/>
        </w:rPr>
        <w:t>乐采云平台</w:t>
      </w:r>
      <w:r>
        <w:rPr>
          <w:rFonts w:hint="eastAsia" w:ascii="宋体" w:hAnsi="宋体" w:eastAsia="宋体" w:cs="宋体"/>
          <w:color w:val="auto"/>
          <w:kern w:val="0"/>
          <w:sz w:val="22"/>
          <w:szCs w:val="22"/>
          <w:highlight w:val="none"/>
        </w:rPr>
        <w:t>在线确认”），供应商不予确认的应说明理由，否则视为无异议；</w:t>
      </w:r>
    </w:p>
    <w:p w14:paraId="519E0C91">
      <w:pPr>
        <w:spacing w:line="480" w:lineRule="exact"/>
        <w:ind w:firstLine="389" w:firstLineChars="177"/>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（3）公布报价文件无效供应商名称及理由，公布有效投标供应商的报价得分； </w:t>
      </w:r>
    </w:p>
    <w:p w14:paraId="7EBFE4D6">
      <w:pPr>
        <w:spacing w:line="480" w:lineRule="exact"/>
        <w:ind w:firstLine="389" w:firstLineChars="177"/>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（4）公布评审结果、中标候选供应商名单及采购人最终确定中标或成交供应商 名单的时间和公告方式等。 </w:t>
      </w:r>
    </w:p>
    <w:p w14:paraId="09AEBEEA">
      <w:pPr>
        <w:spacing w:line="480" w:lineRule="exact"/>
        <w:ind w:firstLine="391" w:firstLineChars="177"/>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2"/>
          <w:szCs w:val="22"/>
          <w:highlight w:val="none"/>
        </w:rPr>
        <w:t>特别说明：如遇“</w:t>
      </w:r>
      <w:r>
        <w:rPr>
          <w:rFonts w:hint="eastAsia" w:ascii="宋体" w:hAnsi="宋体" w:eastAsia="宋体" w:cs="宋体"/>
          <w:b/>
          <w:color w:val="auto"/>
          <w:kern w:val="0"/>
          <w:sz w:val="22"/>
          <w:szCs w:val="22"/>
          <w:highlight w:val="none"/>
          <w:lang w:eastAsia="zh-CN"/>
        </w:rPr>
        <w:t>乐采云平台</w:t>
      </w:r>
      <w:r>
        <w:rPr>
          <w:rFonts w:hint="eastAsia" w:ascii="宋体" w:hAnsi="宋体" w:eastAsia="宋体" w:cs="宋体"/>
          <w:b/>
          <w:color w:val="auto"/>
          <w:kern w:val="0"/>
          <w:sz w:val="22"/>
          <w:szCs w:val="22"/>
          <w:highlight w:val="none"/>
        </w:rPr>
        <w:t>”电子化开标或评审程序调整的，按调整后程序执行。</w:t>
      </w:r>
    </w:p>
    <w:p w14:paraId="6525BB36">
      <w:pPr>
        <w:pStyle w:val="8"/>
        <w:numPr>
          <w:ilvl w:val="0"/>
          <w:numId w:val="0"/>
        </w:numPr>
        <w:spacing w:line="480" w:lineRule="exact"/>
        <w:rPr>
          <w:rFonts w:hint="eastAsia" w:ascii="宋体" w:hAnsi="宋体" w:eastAsia="宋体" w:cs="宋体"/>
          <w:color w:val="auto"/>
          <w:sz w:val="24"/>
          <w:szCs w:val="24"/>
          <w:highlight w:val="none"/>
        </w:rPr>
      </w:pPr>
      <w:bookmarkStart w:id="64" w:name="_Toc8686"/>
      <w:bookmarkStart w:id="65" w:name="_Toc33194393"/>
      <w:bookmarkStart w:id="66" w:name="_Toc24550037"/>
      <w:r>
        <w:rPr>
          <w:rFonts w:hint="eastAsia" w:ascii="宋体" w:hAnsi="宋体" w:eastAsia="宋体" w:cs="宋体"/>
          <w:color w:val="auto"/>
          <w:sz w:val="24"/>
          <w:szCs w:val="24"/>
          <w:highlight w:val="none"/>
        </w:rPr>
        <w:t>（四）投标供应商资格审查</w:t>
      </w:r>
      <w:bookmarkEnd w:id="64"/>
      <w:bookmarkEnd w:id="65"/>
      <w:bookmarkEnd w:id="66"/>
    </w:p>
    <w:p w14:paraId="42391C81">
      <w:pPr>
        <w:spacing w:line="480" w:lineRule="exact"/>
        <w:ind w:firstLine="391" w:firstLineChars="177"/>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4.1开标大会第一阶段结束后，采购人或采购代理机构首先依法对各投标供应商的资格进行审查，审查各投标供应商的资格是否满足招标文件的要求。</w:t>
      </w:r>
      <w:r>
        <w:rPr>
          <w:rFonts w:hint="eastAsia" w:ascii="宋体" w:hAnsi="宋体" w:eastAsia="宋体" w:cs="宋体"/>
          <w:color w:val="auto"/>
          <w:sz w:val="22"/>
          <w:szCs w:val="22"/>
          <w:highlight w:val="none"/>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2C032912">
      <w:pPr>
        <w:spacing w:line="480" w:lineRule="exact"/>
        <w:ind w:firstLine="391" w:firstLineChars="177"/>
        <w:rPr>
          <w:rFonts w:hint="eastAsia" w:ascii="宋体" w:hAnsi="宋体" w:eastAsia="宋体" w:cs="宋体"/>
          <w:b/>
          <w:color w:val="auto"/>
          <w:kern w:val="0"/>
          <w:sz w:val="22"/>
          <w:szCs w:val="22"/>
          <w:highlight w:val="none"/>
        </w:rPr>
      </w:pPr>
      <w:r>
        <w:rPr>
          <w:rFonts w:hint="eastAsia" w:ascii="宋体" w:hAnsi="宋体" w:eastAsia="宋体" w:cs="宋体"/>
          <w:b/>
          <w:color w:val="auto"/>
          <w:sz w:val="22"/>
          <w:szCs w:val="22"/>
          <w:highlight w:val="none"/>
        </w:rPr>
        <w:t>4.2投标供应商提交的资格证明材料无法证明其符合招标文件规定的“投标供应商资格要求”的，采购人或采购代理机构</w:t>
      </w:r>
      <w:r>
        <w:rPr>
          <w:rFonts w:hint="eastAsia" w:ascii="宋体" w:hAnsi="宋体" w:eastAsia="宋体" w:cs="宋体"/>
          <w:b/>
          <w:color w:val="auto"/>
          <w:kern w:val="0"/>
          <w:sz w:val="22"/>
          <w:szCs w:val="22"/>
          <w:highlight w:val="none"/>
        </w:rPr>
        <w:t>将对其作资格审查不通过处理（无效投标），并不再将其投标提交评标委员会进行后续评审。</w:t>
      </w:r>
    </w:p>
    <w:p w14:paraId="248FAD4B">
      <w:pPr>
        <w:spacing w:line="480" w:lineRule="exact"/>
        <w:ind w:firstLine="391" w:firstLineChars="177"/>
        <w:rPr>
          <w:rFonts w:hint="eastAsia" w:ascii="宋体" w:hAnsi="宋体" w:eastAsia="宋体" w:cs="宋体"/>
          <w:b/>
          <w:color w:val="auto"/>
          <w:kern w:val="0"/>
          <w:sz w:val="22"/>
          <w:szCs w:val="22"/>
          <w:highlight w:val="none"/>
        </w:rPr>
      </w:pPr>
      <w:r>
        <w:rPr>
          <w:rFonts w:hint="eastAsia" w:ascii="宋体" w:hAnsi="宋体" w:eastAsia="宋体" w:cs="宋体"/>
          <w:b/>
          <w:color w:val="auto"/>
          <w:sz w:val="22"/>
          <w:szCs w:val="22"/>
          <w:highlight w:val="none"/>
        </w:rPr>
        <w:t>4</w:t>
      </w:r>
      <w:r>
        <w:rPr>
          <w:rFonts w:hint="eastAsia" w:ascii="宋体" w:hAnsi="宋体" w:eastAsia="宋体" w:cs="宋体"/>
          <w:b/>
          <w:color w:val="auto"/>
          <w:kern w:val="0"/>
          <w:sz w:val="22"/>
          <w:szCs w:val="22"/>
          <w:highlight w:val="none"/>
        </w:rPr>
        <w:t>.3单位负责人为同一人或者存在直接控股、管理关系的不同供应商参加同一合同项下的国企采购活动的，相关投标供应商均作资格无效处理。</w:t>
      </w:r>
    </w:p>
    <w:bookmarkEnd w:id="53"/>
    <w:bookmarkEnd w:id="54"/>
    <w:bookmarkEnd w:id="55"/>
    <w:bookmarkEnd w:id="60"/>
    <w:p w14:paraId="4D9FD996">
      <w:pPr>
        <w:snapToGrid w:val="0"/>
        <w:spacing w:line="360" w:lineRule="auto"/>
        <w:jc w:val="center"/>
        <w:outlineLvl w:val="1"/>
        <w:rPr>
          <w:rFonts w:hint="eastAsia" w:ascii="宋体" w:hAnsi="宋体" w:eastAsia="宋体" w:cs="宋体"/>
          <w:b/>
          <w:color w:val="auto"/>
          <w:sz w:val="24"/>
          <w:highlight w:val="none"/>
        </w:rPr>
      </w:pPr>
      <w:bookmarkStart w:id="67" w:name="_Toc33194394"/>
      <w:bookmarkStart w:id="68" w:name="_Toc412730343"/>
      <w:bookmarkStart w:id="69" w:name="_Toc462229101"/>
      <w:bookmarkStart w:id="70" w:name="_Toc233618978"/>
      <w:bookmarkStart w:id="71" w:name="_Toc86216994"/>
      <w:bookmarkStart w:id="72" w:name="_Toc354996702"/>
    </w:p>
    <w:p w14:paraId="6FA931C8">
      <w:pPr>
        <w:snapToGrid w:val="0"/>
        <w:spacing w:line="360" w:lineRule="auto"/>
        <w:jc w:val="center"/>
        <w:outlineLvl w:val="1"/>
        <w:rPr>
          <w:rFonts w:hint="eastAsia" w:ascii="宋体" w:hAnsi="宋体" w:eastAsia="宋体" w:cs="宋体"/>
          <w:b/>
          <w:color w:val="auto"/>
          <w:sz w:val="24"/>
          <w:highlight w:val="none"/>
        </w:rPr>
      </w:pPr>
      <w:bookmarkStart w:id="73" w:name="_Toc27978"/>
      <w:r>
        <w:rPr>
          <w:rFonts w:hint="eastAsia" w:ascii="宋体" w:hAnsi="宋体" w:eastAsia="宋体" w:cs="宋体"/>
          <w:b/>
          <w:color w:val="auto"/>
          <w:sz w:val="24"/>
          <w:highlight w:val="none"/>
        </w:rPr>
        <w:t>六、评 标</w:t>
      </w:r>
      <w:bookmarkEnd w:id="67"/>
      <w:bookmarkEnd w:id="68"/>
      <w:bookmarkEnd w:id="69"/>
      <w:bookmarkEnd w:id="73"/>
    </w:p>
    <w:p w14:paraId="6224A7ED">
      <w:pPr>
        <w:pStyle w:val="9"/>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（一）评审工作的组织</w:t>
      </w:r>
    </w:p>
    <w:p w14:paraId="2CD28DF9">
      <w:pPr>
        <w:spacing w:line="360" w:lineRule="auto"/>
        <w:ind w:firstLine="387" w:firstLineChars="17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1.1采购人或采购代理机构负责组织本项目的评审工作。</w:t>
      </w:r>
    </w:p>
    <w:p w14:paraId="7F74F40B">
      <w:pPr>
        <w:pStyle w:val="9"/>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（二）评标委员会的组建</w:t>
      </w:r>
    </w:p>
    <w:p w14:paraId="4B0CF795">
      <w:pPr>
        <w:spacing w:line="360" w:lineRule="auto"/>
        <w:ind w:firstLine="387" w:firstLineChars="17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2.1评标委员会由采购人或采购代理机构依法组建，成员包括采购人代表和评审专家，成员人数为</w:t>
      </w:r>
      <w:r>
        <w:rPr>
          <w:rFonts w:hint="eastAsia" w:ascii="宋体" w:hAnsi="宋体" w:eastAsia="宋体" w:cs="宋体"/>
          <w:color w:val="auto"/>
          <w:kern w:val="0"/>
          <w:sz w:val="22"/>
          <w:szCs w:val="22"/>
          <w:highlight w:val="none"/>
          <w:lang w:val="en-US" w:eastAsia="zh-CN"/>
        </w:rPr>
        <w:t>五</w:t>
      </w:r>
      <w:r>
        <w:rPr>
          <w:rFonts w:hint="eastAsia" w:ascii="宋体" w:hAnsi="宋体" w:eastAsia="宋体" w:cs="宋体"/>
          <w:color w:val="auto"/>
          <w:kern w:val="0"/>
          <w:sz w:val="22"/>
          <w:szCs w:val="22"/>
          <w:highlight w:val="none"/>
        </w:rPr>
        <w:t>人或以上单数，其中评审专家不少于成员总数的三分之二。</w:t>
      </w:r>
    </w:p>
    <w:p w14:paraId="1108BBE0">
      <w:pPr>
        <w:spacing w:line="360" w:lineRule="auto"/>
        <w:ind w:firstLine="387" w:firstLineChars="176"/>
        <w:rPr>
          <w:rFonts w:hint="eastAsia" w:ascii="宋体" w:hAnsi="宋体" w:eastAsia="宋体" w:cs="宋体"/>
          <w:color w:val="auto"/>
          <w:kern w:val="0"/>
          <w:sz w:val="24"/>
          <w:highlight w:val="none"/>
        </w:rPr>
      </w:pPr>
      <w:r>
        <w:rPr>
          <w:rFonts w:hint="eastAsia" w:ascii="宋体" w:hAnsi="宋体" w:eastAsia="宋体" w:cs="宋体"/>
          <w:color w:val="auto"/>
          <w:kern w:val="0"/>
          <w:sz w:val="22"/>
          <w:szCs w:val="22"/>
          <w:highlight w:val="none"/>
        </w:rPr>
        <w:t>2.2评标委员会成员名单在评审结果（采购结果）公告前保密。</w:t>
      </w:r>
    </w:p>
    <w:p w14:paraId="0DE0FC58">
      <w:pPr>
        <w:pStyle w:val="9"/>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（三）评标委员会的职责</w:t>
      </w:r>
    </w:p>
    <w:p w14:paraId="442858D5">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3.1评标委员会负责具体评审事务，并独立履行下列职责：</w:t>
      </w:r>
    </w:p>
    <w:p w14:paraId="417B3086">
      <w:pPr>
        <w:spacing w:line="360" w:lineRule="auto"/>
        <w:ind w:firstLine="387" w:firstLineChars="17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（1）审查、评价投标文件是否符合招标文件的商务、技术等实质性要求；</w:t>
      </w:r>
    </w:p>
    <w:p w14:paraId="4217170A">
      <w:pPr>
        <w:spacing w:line="360" w:lineRule="auto"/>
        <w:ind w:firstLine="387" w:firstLineChars="17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（2）要求投标供应商对投标文件有关事项作出澄清或者说明；</w:t>
      </w:r>
    </w:p>
    <w:p w14:paraId="7C6BC5C1">
      <w:pPr>
        <w:spacing w:line="360" w:lineRule="auto"/>
        <w:ind w:firstLine="387" w:firstLineChars="17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（3）对投标文件进行比较和评价；</w:t>
      </w:r>
    </w:p>
    <w:p w14:paraId="64963125">
      <w:pPr>
        <w:spacing w:line="360" w:lineRule="auto"/>
        <w:ind w:firstLine="387" w:firstLineChars="17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（4）确定中标候选人名单，以及根据采购人委托直接确定中标供应商；</w:t>
      </w:r>
    </w:p>
    <w:p w14:paraId="6221B4AE">
      <w:pPr>
        <w:spacing w:line="360" w:lineRule="auto"/>
        <w:ind w:firstLine="387" w:firstLineChars="176"/>
        <w:rPr>
          <w:rFonts w:hint="eastAsia" w:ascii="宋体" w:hAnsi="宋体" w:eastAsia="宋体" w:cs="宋体"/>
          <w:color w:val="auto"/>
          <w:kern w:val="0"/>
          <w:sz w:val="24"/>
          <w:highlight w:val="none"/>
        </w:rPr>
      </w:pPr>
      <w:r>
        <w:rPr>
          <w:rFonts w:hint="eastAsia" w:ascii="宋体" w:hAnsi="宋体" w:eastAsia="宋体" w:cs="宋体"/>
          <w:color w:val="auto"/>
          <w:kern w:val="0"/>
          <w:sz w:val="22"/>
          <w:szCs w:val="22"/>
          <w:highlight w:val="none"/>
        </w:rPr>
        <w:t>（5）向采购人、采购代理机构或者有关部门报告评审中发现的违法行为。</w:t>
      </w:r>
    </w:p>
    <w:p w14:paraId="49909A23">
      <w:pPr>
        <w:pStyle w:val="9"/>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（四）评审原则</w:t>
      </w:r>
    </w:p>
    <w:p w14:paraId="5158F233">
      <w:pPr>
        <w:spacing w:line="360" w:lineRule="auto"/>
        <w:ind w:firstLine="389" w:firstLineChars="17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4.1评审原则：</w:t>
      </w:r>
      <w:r>
        <w:rPr>
          <w:rFonts w:hint="eastAsia" w:ascii="宋体" w:hAnsi="宋体" w:eastAsia="宋体" w:cs="宋体"/>
          <w:color w:val="auto"/>
          <w:kern w:val="0"/>
          <w:sz w:val="22"/>
          <w:szCs w:val="22"/>
          <w:highlight w:val="none"/>
        </w:rPr>
        <w:t>评标委员会</w:t>
      </w:r>
      <w:r>
        <w:rPr>
          <w:rFonts w:hint="eastAsia" w:ascii="宋体" w:hAnsi="宋体" w:eastAsia="宋体" w:cs="宋体"/>
          <w:color w:val="auto"/>
          <w:sz w:val="22"/>
          <w:szCs w:val="22"/>
          <w:highlight w:val="none"/>
        </w:rPr>
        <w:t>按照客观、公正、审慎、择优的原则，根据招标文件规定的评审程序、评审方法和评审标准进行独立评审。</w:t>
      </w:r>
    </w:p>
    <w:p w14:paraId="79BFF0AB">
      <w:pPr>
        <w:spacing w:line="360" w:lineRule="auto"/>
        <w:ind w:firstLine="389" w:firstLineChars="17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4.2评审工作将依据</w:t>
      </w:r>
      <w:r>
        <w:rPr>
          <w:rFonts w:hint="eastAsia" w:ascii="宋体" w:hAnsi="宋体" w:eastAsia="宋体" w:cs="宋体"/>
          <w:color w:val="auto"/>
          <w:kern w:val="0"/>
          <w:sz w:val="22"/>
          <w:szCs w:val="22"/>
          <w:highlight w:val="none"/>
        </w:rPr>
        <w:t>招标文件、投标文件及招标文件中事先已列明的内容进行（如现场方案讲解、演示等）。</w:t>
      </w:r>
    </w:p>
    <w:p w14:paraId="5D4B499E">
      <w:pPr>
        <w:pStyle w:val="9"/>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（五）评审意见的争议处理</w:t>
      </w:r>
    </w:p>
    <w:p w14:paraId="042BB85F">
      <w:pPr>
        <w:spacing w:line="360" w:lineRule="auto"/>
        <w:ind w:firstLine="389" w:firstLineChars="177"/>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5.1评标委员会成员对需要共同认定的事项存在争议的，按照少数服从多数的原则作出结论。持不同意见的评标委员会成员应当在评审报告上签署不同意见及理由，否则视为同意评审报告。</w:t>
      </w:r>
    </w:p>
    <w:p w14:paraId="3E4FB1B5">
      <w:pPr>
        <w:pStyle w:val="9"/>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（六）评委纪律</w:t>
      </w:r>
    </w:p>
    <w:p w14:paraId="4B8132FC">
      <w:pPr>
        <w:spacing w:line="360" w:lineRule="auto"/>
        <w:ind w:firstLine="389" w:firstLineChars="177"/>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6.1评标委员会成员必须严格遵守保密规定，不得泄露评审的有关情况，任何单位和个人不得干扰、影响评标的正常进行，评标委员会成员不得私下与投标供应商接触，不得出现采购活动现场组织管理办法中规定的其他禁止行为。</w:t>
      </w:r>
    </w:p>
    <w:p w14:paraId="68954009">
      <w:pPr>
        <w:pStyle w:val="8"/>
        <w:numPr>
          <w:ilvl w:val="0"/>
          <w:numId w:val="0"/>
        </w:numPr>
        <w:rPr>
          <w:rFonts w:hint="eastAsia" w:ascii="宋体" w:hAnsi="宋体" w:eastAsia="宋体" w:cs="宋体"/>
          <w:color w:val="auto"/>
          <w:sz w:val="24"/>
          <w:szCs w:val="24"/>
          <w:highlight w:val="none"/>
        </w:rPr>
      </w:pPr>
      <w:bookmarkStart w:id="74" w:name="_Toc24550043"/>
      <w:bookmarkStart w:id="75" w:name="_Toc33194395"/>
      <w:bookmarkStart w:id="76" w:name="_Toc14307"/>
      <w:r>
        <w:rPr>
          <w:rFonts w:hint="eastAsia" w:ascii="宋体" w:hAnsi="宋体" w:eastAsia="宋体" w:cs="宋体"/>
          <w:color w:val="auto"/>
          <w:sz w:val="24"/>
          <w:szCs w:val="24"/>
          <w:highlight w:val="none"/>
        </w:rPr>
        <w:t>（七）</w:t>
      </w:r>
      <w:bookmarkEnd w:id="74"/>
      <w:bookmarkStart w:id="77" w:name="_Toc24550044"/>
      <w:r>
        <w:rPr>
          <w:rFonts w:hint="eastAsia" w:ascii="宋体" w:hAnsi="宋体" w:eastAsia="宋体" w:cs="宋体"/>
          <w:color w:val="auto"/>
          <w:sz w:val="24"/>
          <w:szCs w:val="24"/>
          <w:highlight w:val="none"/>
        </w:rPr>
        <w:t>评审流程及内容</w:t>
      </w:r>
      <w:bookmarkEnd w:id="75"/>
      <w:bookmarkEnd w:id="76"/>
      <w:bookmarkEnd w:id="77"/>
    </w:p>
    <w:p w14:paraId="73E04643">
      <w:pPr>
        <w:spacing w:line="360" w:lineRule="auto"/>
        <w:ind w:firstLine="389" w:firstLineChars="176"/>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rPr>
        <w:t>本项目具体的评审事务由评标委员会负责，评审流程及内容如下：</w:t>
      </w:r>
    </w:p>
    <w:p w14:paraId="0B023B64">
      <w:pPr>
        <w:pStyle w:val="9"/>
        <w:numPr>
          <w:ilvl w:val="0"/>
          <w:numId w:val="0"/>
        </w:numPr>
        <w:spacing w:before="0" w:after="0"/>
        <w:ind w:left="720" w:hanging="72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 评审前准备</w:t>
      </w:r>
    </w:p>
    <w:p w14:paraId="40AE429A">
      <w:pPr>
        <w:spacing w:line="360" w:lineRule="auto"/>
        <w:ind w:firstLine="389" w:firstLineChars="177"/>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7.1.1由评审专家推选评审小组组长，采购人代表不得担任评审小组组长。</w:t>
      </w:r>
    </w:p>
    <w:p w14:paraId="6F52F295">
      <w:pPr>
        <w:spacing w:line="360" w:lineRule="auto"/>
        <w:ind w:firstLine="389" w:firstLineChars="177"/>
        <w:rPr>
          <w:rFonts w:hint="eastAsia" w:ascii="宋体" w:hAnsi="宋体" w:eastAsia="宋体" w:cs="宋体"/>
          <w:b/>
          <w:color w:val="auto"/>
          <w:kern w:val="0"/>
          <w:sz w:val="22"/>
          <w:szCs w:val="22"/>
          <w:highlight w:val="none"/>
        </w:rPr>
      </w:pPr>
      <w:r>
        <w:rPr>
          <w:rFonts w:hint="eastAsia" w:ascii="宋体" w:hAnsi="宋体" w:eastAsia="宋体" w:cs="宋体"/>
          <w:color w:val="auto"/>
          <w:kern w:val="0"/>
          <w:sz w:val="22"/>
          <w:szCs w:val="22"/>
          <w:highlight w:val="none"/>
        </w:rPr>
        <w:t>7.1.2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14:paraId="6843BDD4">
      <w:pPr>
        <w:pStyle w:val="9"/>
        <w:numPr>
          <w:ilvl w:val="0"/>
          <w:numId w:val="0"/>
        </w:numPr>
        <w:spacing w:before="0" w:after="0"/>
        <w:ind w:left="720" w:hanging="72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7.2投标文件的初步审查、符合性审查</w:t>
      </w:r>
    </w:p>
    <w:p w14:paraId="1FF49A9B">
      <w:pPr>
        <w:spacing w:line="360" w:lineRule="auto"/>
        <w:ind w:firstLine="391" w:firstLineChars="177"/>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对所有通过资格审查的投标供应商的投标文件进行初步审查，审查、评价投标文件是否符合招标文件的商务、技术、服务等实质性要求。</w:t>
      </w:r>
    </w:p>
    <w:p w14:paraId="55987A1F">
      <w:pPr>
        <w:spacing w:line="360" w:lineRule="auto"/>
        <w:ind w:firstLine="389" w:firstLineChars="17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7.2.1评标委员会首先对所有通过资格审查的投标供应商的投标文件进行符合性审查，审查每份投标文件是否实质上响应了招标文件的要求（实质性响应的投标文件是指投标文件符合招标文件规定的实质性内容、条件和规定）。</w:t>
      </w:r>
    </w:p>
    <w:p w14:paraId="0246E61E">
      <w:pPr>
        <w:pStyle w:val="9"/>
        <w:numPr>
          <w:ilvl w:val="0"/>
          <w:numId w:val="0"/>
        </w:numPr>
        <w:spacing w:before="0" w:after="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7.3 投标文件的澄清、说明或补正</w:t>
      </w:r>
    </w:p>
    <w:p w14:paraId="5299B844">
      <w:pPr>
        <w:spacing w:line="360" w:lineRule="auto"/>
        <w:ind w:firstLine="389" w:firstLineChars="177"/>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7.3.1对于投标文件中含义不明确、同类问题表述不一致或者有明显文字和计算错误的内容，评标委员会将以书面形式（或通过“</w:t>
      </w:r>
      <w:r>
        <w:rPr>
          <w:rFonts w:hint="eastAsia" w:ascii="宋体" w:hAnsi="宋体" w:eastAsia="宋体" w:cs="宋体"/>
          <w:color w:val="auto"/>
          <w:kern w:val="0"/>
          <w:sz w:val="22"/>
          <w:szCs w:val="22"/>
          <w:highlight w:val="none"/>
          <w:lang w:eastAsia="zh-CN"/>
        </w:rPr>
        <w:t>乐采云平台</w:t>
      </w:r>
      <w:r>
        <w:rPr>
          <w:rFonts w:hint="eastAsia" w:ascii="宋体" w:hAnsi="宋体" w:eastAsia="宋体" w:cs="宋体"/>
          <w:color w:val="auto"/>
          <w:kern w:val="0"/>
          <w:sz w:val="22"/>
          <w:szCs w:val="22"/>
          <w:highlight w:val="none"/>
        </w:rPr>
        <w:t>”在线询标）的形式要求投标供应商在规定的时间内作出必要的澄清、说明或者补正，投标供应商澄清、说明或补正时间为30分钟。</w:t>
      </w:r>
    </w:p>
    <w:p w14:paraId="7F10DE7B">
      <w:pPr>
        <w:spacing w:line="360" w:lineRule="auto"/>
        <w:ind w:firstLine="389" w:firstLineChars="177"/>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7.3.2投标供应商的澄清、说明或者补正应当采用书面（或通过“</w:t>
      </w:r>
      <w:r>
        <w:rPr>
          <w:rFonts w:hint="eastAsia" w:ascii="宋体" w:hAnsi="宋体" w:eastAsia="宋体" w:cs="宋体"/>
          <w:color w:val="auto"/>
          <w:kern w:val="0"/>
          <w:sz w:val="22"/>
          <w:szCs w:val="22"/>
          <w:highlight w:val="none"/>
          <w:lang w:eastAsia="zh-CN"/>
        </w:rPr>
        <w:t>乐采云平台</w:t>
      </w:r>
      <w:r>
        <w:rPr>
          <w:rFonts w:hint="eastAsia" w:ascii="宋体" w:hAnsi="宋体" w:eastAsia="宋体" w:cs="宋体"/>
          <w:color w:val="auto"/>
          <w:kern w:val="0"/>
          <w:sz w:val="22"/>
          <w:szCs w:val="22"/>
          <w:highlight w:val="none"/>
        </w:rPr>
        <w:t>”在线答复）形式提交，并加盖公章，或者由法定代表人或其授权的代表签字。投标供应商的澄清、说明或者补正不得超出投标文件的范围或者改变投标文件的实质性内容。</w:t>
      </w:r>
    </w:p>
    <w:p w14:paraId="1F1CAA0D">
      <w:pPr>
        <w:pStyle w:val="9"/>
        <w:numPr>
          <w:ilvl w:val="0"/>
          <w:numId w:val="0"/>
        </w:numPr>
        <w:spacing w:before="0" w:after="0"/>
        <w:ind w:left="720" w:hanging="72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7.4 投标文件的错误修正</w:t>
      </w:r>
    </w:p>
    <w:p w14:paraId="769C21D6">
      <w:pPr>
        <w:spacing w:line="360" w:lineRule="auto"/>
        <w:ind w:firstLine="387" w:firstLineChars="17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7.4.1《投标文件》如果出现计算或表达上的错误，修正错误的原则如下：</w:t>
      </w:r>
    </w:p>
    <w:p w14:paraId="17B79ED1">
      <w:pPr>
        <w:spacing w:line="360" w:lineRule="auto"/>
        <w:ind w:firstLine="385" w:firstLineChars="17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（1）投标文件中开标一览表（报价表）内容与投标文件中相应内容不一致的，以开标一览表（报价表）为准。</w:t>
      </w:r>
    </w:p>
    <w:p w14:paraId="7D053FDA">
      <w:pPr>
        <w:spacing w:line="360" w:lineRule="auto"/>
        <w:ind w:firstLine="385" w:firstLineChars="17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（2）《投标文件》的大写金额和小写金额不一致的，以大写金额为准；</w:t>
      </w:r>
    </w:p>
    <w:p w14:paraId="3F078913">
      <w:pPr>
        <w:spacing w:line="360" w:lineRule="auto"/>
        <w:ind w:firstLine="385" w:firstLineChars="17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（3）单价金额小数点或者百分比有明显错位的，应以开标一览表（报价表）的总价为准，并修改单价；</w:t>
      </w:r>
    </w:p>
    <w:p w14:paraId="4C510E72">
      <w:pPr>
        <w:spacing w:line="360" w:lineRule="auto"/>
        <w:ind w:firstLine="385" w:firstLineChars="17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（4）总价金额与按单价汇总金额不一致的，以单价金额计算结果为准。</w:t>
      </w:r>
    </w:p>
    <w:p w14:paraId="60139CFA">
      <w:pPr>
        <w:spacing w:line="360" w:lineRule="auto"/>
        <w:ind w:firstLine="385" w:firstLineChars="17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7.4.2对不同文字文本《投标文件》的解释发生异议的，以中文文本为准。</w:t>
      </w:r>
    </w:p>
    <w:p w14:paraId="2A7BE909">
      <w:pPr>
        <w:pStyle w:val="35"/>
        <w:autoSpaceDE/>
        <w:adjustRightInd/>
        <w:snapToGrid w:val="0"/>
        <w:spacing w:before="0" w:line="360" w:lineRule="auto"/>
        <w:ind w:left="0" w:firstLine="0"/>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（八）投标文件有下列情况之一者将视为无效：</w:t>
      </w:r>
    </w:p>
    <w:p w14:paraId="17B5603C">
      <w:pPr>
        <w:spacing w:line="360" w:lineRule="auto"/>
        <w:ind w:firstLine="389" w:firstLineChars="176"/>
        <w:rPr>
          <w:rFonts w:hint="eastAsia" w:ascii="宋体" w:hAnsi="宋体" w:eastAsia="宋体" w:cs="宋体"/>
          <w:b/>
          <w:color w:val="auto"/>
          <w:kern w:val="0"/>
          <w:sz w:val="22"/>
          <w:szCs w:val="22"/>
          <w:highlight w:val="none"/>
        </w:rPr>
      </w:pPr>
      <w:bookmarkStart w:id="78" w:name="_Hlk33211013"/>
      <w:r>
        <w:rPr>
          <w:rFonts w:hint="eastAsia" w:ascii="宋体" w:hAnsi="宋体" w:eastAsia="宋体" w:cs="宋体"/>
          <w:b/>
          <w:color w:val="auto"/>
          <w:kern w:val="0"/>
          <w:sz w:val="22"/>
          <w:szCs w:val="22"/>
          <w:highlight w:val="none"/>
        </w:rPr>
        <w:t>8.1商务、技术文件符合性审查中，存在下列情形之一的，经评标委员会认定后作无效标处理：</w:t>
      </w:r>
    </w:p>
    <w:p w14:paraId="320F66D4">
      <w:pPr>
        <w:spacing w:line="360" w:lineRule="auto"/>
        <w:ind w:firstLine="389" w:firstLineChars="176"/>
        <w:rPr>
          <w:rFonts w:hint="eastAsia" w:ascii="宋体" w:hAnsi="宋体" w:eastAsia="宋体" w:cs="宋体"/>
          <w:b/>
          <w:color w:val="auto"/>
          <w:kern w:val="0"/>
          <w:sz w:val="22"/>
          <w:szCs w:val="22"/>
          <w:highlight w:val="none"/>
        </w:rPr>
      </w:pPr>
      <w:bookmarkStart w:id="79" w:name="_Toc33194396"/>
      <w:r>
        <w:rPr>
          <w:rFonts w:hint="eastAsia" w:ascii="宋体" w:hAnsi="宋体" w:eastAsia="宋体" w:cs="宋体"/>
          <w:b/>
          <w:color w:val="auto"/>
          <w:kern w:val="0"/>
          <w:sz w:val="22"/>
          <w:szCs w:val="22"/>
          <w:highlight w:val="none"/>
        </w:rPr>
        <w:t>（1）投标文件未有效授权，法定代表人授权委托书等填写不完整或有涂改的；</w:t>
      </w:r>
      <w:bookmarkEnd w:id="79"/>
    </w:p>
    <w:p w14:paraId="614222DE">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（2）投标文件没有对本招标文件作出实质性响应的，或不满足（不响应）本招标文件中标注“▲”的实质性要求条款的，或存在招标文件中明确规定的其他无效标情形的；</w:t>
      </w:r>
    </w:p>
    <w:p w14:paraId="384395E7">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（3）投标文件存在一个或一个以上备选（替代）投标方案的；</w:t>
      </w:r>
    </w:p>
    <w:p w14:paraId="434268CE">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（4）仅提交“备份投标文件”的；</w:t>
      </w:r>
    </w:p>
    <w:p w14:paraId="6479E5CA">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（5）文件组成内容不齐全，本招标文件规定必须提供而未提供的（属于资格审查范围的除外）；</w:t>
      </w:r>
    </w:p>
    <w:p w14:paraId="02F3438C">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（6）投标文件标注的响应或偏离情况与事实不符，或提供了虚假材料的；</w:t>
      </w:r>
    </w:p>
    <w:p w14:paraId="779E4E4A">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（7）不响应或擅自改变本招标文件要求或投标文件有采购人不能接受的附加条件的；</w:t>
      </w:r>
    </w:p>
    <w:p w14:paraId="24BD5A87">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（8）参加同一合同项下采购活动的不同供应商之间存在利害关系并且存在影响采购公平竞争行为的；</w:t>
      </w:r>
    </w:p>
    <w:p w14:paraId="118C40E6">
      <w:pPr>
        <w:spacing w:line="360" w:lineRule="auto"/>
        <w:ind w:firstLine="389" w:firstLineChars="176"/>
        <w:rPr>
          <w:rFonts w:hint="eastAsia" w:ascii="宋体" w:hAnsi="宋体" w:eastAsia="宋体" w:cs="宋体"/>
          <w:b/>
          <w:color w:val="auto"/>
          <w:kern w:val="0"/>
          <w:sz w:val="22"/>
          <w:szCs w:val="22"/>
          <w:highlight w:val="none"/>
        </w:rPr>
      </w:pPr>
      <w:bookmarkStart w:id="80" w:name="_Toc33194397"/>
      <w:r>
        <w:rPr>
          <w:rFonts w:hint="eastAsia" w:ascii="宋体" w:hAnsi="宋体" w:eastAsia="宋体" w:cs="宋体"/>
          <w:b/>
          <w:color w:val="auto"/>
          <w:kern w:val="0"/>
          <w:sz w:val="22"/>
          <w:szCs w:val="22"/>
          <w:highlight w:val="none"/>
        </w:rPr>
        <w:t>（9）</w:t>
      </w:r>
      <w:bookmarkEnd w:id="80"/>
      <w:r>
        <w:rPr>
          <w:rFonts w:hint="eastAsia" w:ascii="宋体" w:hAnsi="宋体" w:eastAsia="宋体" w:cs="宋体"/>
          <w:b/>
          <w:color w:val="auto"/>
          <w:kern w:val="0"/>
          <w:sz w:val="22"/>
          <w:szCs w:val="22"/>
          <w:highlight w:val="none"/>
        </w:rPr>
        <w:t>违反国家或政府部门相关法律、法规、文件规定的。</w:t>
      </w:r>
      <w:bookmarkEnd w:id="78"/>
    </w:p>
    <w:p w14:paraId="763867E4">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8.2报价文件符合性审查中，存在下列情形之一的，经评标委员会认定后作无效标处理：</w:t>
      </w:r>
    </w:p>
    <w:p w14:paraId="552179FC">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（1）投标文件没有对本招标文件作出实质性响应的，或不满足（不响应）本招标文件中标注“▲”的实质性要求条款的，或存在招标文件中明确规定的其他无效标情形的；</w:t>
      </w:r>
    </w:p>
    <w:p w14:paraId="097270A4">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（2）投标文件存在一个或一个以上备选（替代）投标方案的；</w:t>
      </w:r>
    </w:p>
    <w:p w14:paraId="01D082C5">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（3）未按照招标文件标明的币种报价的，或者投标报价涵盖的内容不符合招标文件要求的；</w:t>
      </w:r>
    </w:p>
    <w:p w14:paraId="56CBC1B7">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（4）《开标一览表》内容与《投标报价明细表》内容不一致且拒不接受修正的；</w:t>
      </w:r>
    </w:p>
    <w:p w14:paraId="1CC3BF46">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（5）投标报价具有选择性，唱标价格与《投标文件》承诺的优惠（折扣）后价格不一致的；</w:t>
      </w:r>
    </w:p>
    <w:p w14:paraId="23D5C06A">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（6）投标报价超过采购预算（或最高限价）的；</w:t>
      </w:r>
    </w:p>
    <w:p w14:paraId="0B292504">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（7）仅提交“备份投标文件”的；</w:t>
      </w:r>
    </w:p>
    <w:p w14:paraId="639A1D62">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（8）投标文件组成内容不齐全，本招标文件规定必须提供而未提供的（属于资格审查范围的除外）；</w:t>
      </w:r>
    </w:p>
    <w:p w14:paraId="558A9A37">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（9）投标文件标注的响应或偏离情况与事实不符，或提供了虚假材料的；</w:t>
      </w:r>
    </w:p>
    <w:p w14:paraId="20A92293">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（10）不响应或擅自改变本招标文件要求或投标文件有采购人不能接受的附加条件的；</w:t>
      </w:r>
    </w:p>
    <w:p w14:paraId="0F12BFA1">
      <w:pPr>
        <w:spacing w:line="360" w:lineRule="auto"/>
        <w:ind w:firstLine="389" w:firstLineChars="17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11）评审委员会认为供应商报价明显低于其他合格供应商的报价，有可能影响产品质量或者不能诚信履约的，应当要求其在合理时间内提供书面说明，必要时提供相关证明材料；投标供应商不能证明其报价合理性的，评审委员会应当将其作为无效投标或者无效响应处理；</w:t>
      </w:r>
    </w:p>
    <w:p w14:paraId="33007EA0">
      <w:pPr>
        <w:spacing w:line="360" w:lineRule="auto"/>
        <w:ind w:firstLine="389" w:firstLineChars="176"/>
        <w:rPr>
          <w:rFonts w:hint="eastAsia" w:ascii="宋体" w:hAnsi="宋体" w:eastAsia="宋体" w:cs="宋体"/>
          <w:b/>
          <w:color w:val="auto"/>
          <w:kern w:val="0"/>
          <w:sz w:val="24"/>
          <w:highlight w:val="none"/>
        </w:rPr>
      </w:pPr>
      <w:r>
        <w:rPr>
          <w:rFonts w:hint="eastAsia" w:ascii="宋体" w:hAnsi="宋体" w:eastAsia="宋体" w:cs="宋体"/>
          <w:b/>
          <w:color w:val="auto"/>
          <w:kern w:val="0"/>
          <w:sz w:val="22"/>
          <w:szCs w:val="22"/>
          <w:highlight w:val="none"/>
        </w:rPr>
        <w:t>（12）违反国家或政府部门相关法律、法规、文件规定的。</w:t>
      </w:r>
    </w:p>
    <w:p w14:paraId="7EA3A655">
      <w:pPr>
        <w:pStyle w:val="9"/>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（九）投标文件的评估、比较、评分</w:t>
      </w:r>
    </w:p>
    <w:p w14:paraId="60BD0037">
      <w:pPr>
        <w:spacing w:line="360" w:lineRule="auto"/>
        <w:ind w:firstLine="389" w:firstLineChars="177"/>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9.1评标委员会应当按照招标文件中规定的评审方法和标准，对符合性审查合格的投标文件进行商务和技术评估，综合比较与评价。评标时，评标委员会各成员将独立对每个投标供应商的投标文件进行评价，并汇总每个投标供应商的得分。评审细则详见本章第七款。</w:t>
      </w:r>
    </w:p>
    <w:p w14:paraId="5C2F87A9">
      <w:pPr>
        <w:spacing w:line="360" w:lineRule="auto"/>
        <w:ind w:firstLine="389" w:firstLineChars="177"/>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9.2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14:paraId="69ADCEF7">
      <w:pPr>
        <w:pStyle w:val="9"/>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（十）修改评审结果</w:t>
      </w:r>
    </w:p>
    <w:p w14:paraId="70AFE959">
      <w:pPr>
        <w:spacing w:line="360" w:lineRule="auto"/>
        <w:ind w:firstLine="446" w:firstLineChars="20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10.1评标结果汇总完成后，除下列情形外，任何人不得修改评标结果：</w:t>
      </w:r>
    </w:p>
    <w:p w14:paraId="2A95B9C8">
      <w:pPr>
        <w:spacing w:line="360" w:lineRule="auto"/>
        <w:ind w:firstLine="444" w:firstLineChars="20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14:paraId="0214207D">
      <w:pPr>
        <w:spacing w:line="360" w:lineRule="auto"/>
        <w:ind w:firstLine="444" w:firstLineChars="20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14:paraId="5806DD59">
      <w:pPr>
        <w:spacing w:line="360" w:lineRule="auto"/>
        <w:ind w:firstLine="444" w:firstLineChars="20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14:paraId="2A3A86DD">
      <w:pPr>
        <w:spacing w:line="360" w:lineRule="auto"/>
        <w:ind w:firstLine="444" w:firstLineChars="20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14:paraId="5957AC8F">
      <w:pPr>
        <w:spacing w:line="360" w:lineRule="auto"/>
        <w:ind w:firstLine="446" w:firstLineChars="20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10.2评标报告签署前，经复核发现存在以上情形之一的，评标委员会将当场修改评标结果，并在评标报告中记载。</w:t>
      </w:r>
    </w:p>
    <w:p w14:paraId="01C0AB13">
      <w:pPr>
        <w:pStyle w:val="9"/>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（十一）供应商排序及推荐中标（成交）候选供应商</w:t>
      </w:r>
    </w:p>
    <w:p w14:paraId="30EC93DE">
      <w:pPr>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评标委员会根据以下规定确定供应商排名并推荐中标（成交）候选供应商。</w:t>
      </w:r>
    </w:p>
    <w:p w14:paraId="0F8789A4">
      <w:pPr>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11.1评标委员会根据各投标供应商的综合得分（商务技术分与报价得分之和）从高到低依次进行排名排序。特殊情形按以下原则处理：</w:t>
      </w:r>
    </w:p>
    <w:p w14:paraId="40BC6AD5">
      <w:pPr>
        <w:spacing w:line="360" w:lineRule="auto"/>
        <w:ind w:firstLine="424" w:firstLineChars="19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（1）综合得分相同的，按投标报价低的优先原则确定排名；</w:t>
      </w:r>
    </w:p>
    <w:p w14:paraId="3F83EDC7">
      <w:pPr>
        <w:spacing w:line="360" w:lineRule="auto"/>
        <w:ind w:firstLine="424" w:firstLineChars="19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（2）综合得分和投标报价均相同的，按技术资信得分从高到低确定排名；</w:t>
      </w:r>
    </w:p>
    <w:p w14:paraId="33421FAB">
      <w:pPr>
        <w:spacing w:line="360" w:lineRule="auto"/>
        <w:ind w:firstLine="424" w:firstLineChars="19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（3）综合得分、投标报价和技术资信得分均相同的，投标文件满足招标文件全部实质性要求，且按照评审因素的量化指标评审得分最高的投标人为排名第一的中标候选人。</w:t>
      </w:r>
    </w:p>
    <w:p w14:paraId="36106156">
      <w:pPr>
        <w:spacing w:line="360" w:lineRule="auto"/>
        <w:ind w:firstLine="391" w:firstLineChars="17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11.2根据最终得分排序，通过书面评审报告的形式，向采购人推荐</w:t>
      </w:r>
      <w:r>
        <w:rPr>
          <w:rFonts w:hint="eastAsia" w:ascii="宋体" w:hAnsi="宋体" w:eastAsia="宋体" w:cs="宋体"/>
          <w:b/>
          <w:color w:val="auto"/>
          <w:kern w:val="0"/>
          <w:sz w:val="22"/>
          <w:szCs w:val="22"/>
          <w:highlight w:val="none"/>
        </w:rPr>
        <w:t>排名第一的投标供应商为中标（成交）候选供应商</w:t>
      </w:r>
      <w:r>
        <w:rPr>
          <w:rFonts w:hint="eastAsia" w:ascii="宋体" w:hAnsi="宋体" w:eastAsia="宋体" w:cs="宋体"/>
          <w:b/>
          <w:color w:val="auto"/>
          <w:sz w:val="22"/>
          <w:szCs w:val="22"/>
          <w:highlight w:val="none"/>
        </w:rPr>
        <w:t>。</w:t>
      </w:r>
    </w:p>
    <w:p w14:paraId="7BBFFA32">
      <w:pPr>
        <w:pStyle w:val="9"/>
        <w:numPr>
          <w:ilvl w:val="0"/>
          <w:numId w:val="0"/>
        </w:numPr>
        <w:spacing w:before="0" w:after="0"/>
        <w:ind w:left="720" w:hanging="7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（十二）起草、签署评审报告</w:t>
      </w:r>
    </w:p>
    <w:p w14:paraId="7C1A4C37">
      <w:pPr>
        <w:spacing w:line="360" w:lineRule="auto"/>
        <w:ind w:firstLine="424" w:firstLineChars="19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评审结束后，评标委员会将通过“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”起草评审报告，评标委员会成员应当在评审报告上签字，对自己的评审意见承担法律责任。对评审报告有异议的，应当在评审报告上签署不同意见，并说明理由，否则视为同意评审报告。</w:t>
      </w:r>
    </w:p>
    <w:p w14:paraId="18CA7865">
      <w:pPr>
        <w:pStyle w:val="13"/>
        <w:snapToGrid w:val="0"/>
        <w:spacing w:line="360" w:lineRule="auto"/>
        <w:rPr>
          <w:rFonts w:hint="eastAsia" w:ascii="宋体" w:hAnsi="宋体" w:eastAsia="宋体" w:cs="宋体"/>
          <w:b/>
          <w:color w:val="auto"/>
          <w:sz w:val="24"/>
          <w:szCs w:val="24"/>
          <w:highlight w:val="none"/>
        </w:rPr>
      </w:pPr>
      <w:bookmarkStart w:id="81" w:name="_Toc91899903"/>
      <w:r>
        <w:rPr>
          <w:rFonts w:hint="eastAsia" w:ascii="宋体" w:hAnsi="宋体" w:eastAsia="宋体" w:cs="宋体"/>
          <w:b/>
          <w:color w:val="auto"/>
          <w:sz w:val="24"/>
          <w:szCs w:val="24"/>
          <w:highlight w:val="none"/>
        </w:rPr>
        <w:t>（十三）评标办法</w:t>
      </w:r>
    </w:p>
    <w:p w14:paraId="61AB26C0">
      <w:pPr>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cs="宋体"/>
          <w:b/>
          <w:bCs/>
          <w:color w:val="auto"/>
          <w:sz w:val="22"/>
          <w:szCs w:val="22"/>
          <w:highlight w:val="none"/>
          <w:lang w:val="en-US" w:eastAsia="zh-CN"/>
        </w:rPr>
        <w:t>13.</w:t>
      </w:r>
      <w:r>
        <w:rPr>
          <w:rFonts w:hint="eastAsia" w:ascii="宋体" w:hAnsi="宋体" w:eastAsia="宋体" w:cs="宋体"/>
          <w:b/>
          <w:bCs/>
          <w:color w:val="auto"/>
          <w:sz w:val="22"/>
          <w:szCs w:val="22"/>
          <w:highlight w:val="none"/>
        </w:rPr>
        <w:t>1、</w:t>
      </w:r>
      <w:r>
        <w:rPr>
          <w:rFonts w:hint="eastAsia" w:ascii="宋体" w:hAnsi="宋体" w:eastAsia="宋体" w:cs="宋体"/>
          <w:b/>
          <w:color w:val="auto"/>
          <w:sz w:val="22"/>
          <w:szCs w:val="22"/>
          <w:highlight w:val="none"/>
        </w:rPr>
        <w:t>本项目采用综合评分法</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总分为100分，其中商务、技术</w:t>
      </w:r>
      <w:r>
        <w:rPr>
          <w:rFonts w:hint="eastAsia" w:ascii="宋体" w:hAnsi="宋体" w:cs="宋体"/>
          <w:b/>
          <w:color w:val="auto"/>
          <w:sz w:val="22"/>
          <w:szCs w:val="22"/>
          <w:highlight w:val="none"/>
          <w:lang w:val="en-US" w:eastAsia="zh-CN"/>
        </w:rPr>
        <w:t>40</w:t>
      </w:r>
      <w:r>
        <w:rPr>
          <w:rFonts w:hint="eastAsia" w:ascii="宋体" w:hAnsi="宋体" w:eastAsia="宋体" w:cs="宋体"/>
          <w:b/>
          <w:color w:val="auto"/>
          <w:sz w:val="22"/>
          <w:szCs w:val="22"/>
          <w:highlight w:val="none"/>
        </w:rPr>
        <w:t>分，价格分</w:t>
      </w:r>
      <w:r>
        <w:rPr>
          <w:rFonts w:hint="eastAsia" w:ascii="宋体" w:hAnsi="宋体" w:cs="宋体"/>
          <w:b/>
          <w:color w:val="auto"/>
          <w:sz w:val="22"/>
          <w:szCs w:val="22"/>
          <w:highlight w:val="none"/>
          <w:lang w:val="en-US" w:eastAsia="zh-CN"/>
        </w:rPr>
        <w:t>60</w:t>
      </w:r>
      <w:r>
        <w:rPr>
          <w:rFonts w:hint="eastAsia" w:ascii="宋体" w:hAnsi="宋体" w:eastAsia="宋体" w:cs="宋体"/>
          <w:b/>
          <w:color w:val="auto"/>
          <w:sz w:val="22"/>
          <w:szCs w:val="22"/>
          <w:highlight w:val="none"/>
        </w:rPr>
        <w:t>分。</w:t>
      </w:r>
    </w:p>
    <w:p w14:paraId="082FA2AA">
      <w:pPr>
        <w:keepNext w:val="0"/>
        <w:keepLines w:val="0"/>
        <w:pageBreakBefore w:val="0"/>
        <w:widowControl/>
        <w:kinsoku/>
        <w:wordWrap/>
        <w:overflowPunct/>
        <w:topLinePunct w:val="0"/>
        <w:autoSpaceDE/>
        <w:autoSpaceDN/>
        <w:bidi w:val="0"/>
        <w:adjustRightInd/>
        <w:snapToGrid w:val="0"/>
        <w:spacing w:line="240" w:lineRule="auto"/>
        <w:ind w:firstLine="442" w:firstLineChars="200"/>
        <w:rPr>
          <w:rFonts w:hint="eastAsia" w:ascii="宋体" w:hAnsi="宋体" w:eastAsia="宋体" w:cs="宋体"/>
          <w:color w:val="auto"/>
          <w:sz w:val="22"/>
          <w:szCs w:val="22"/>
          <w:highlight w:val="none"/>
          <w:lang w:val="en-US" w:eastAsia="zh-CN"/>
        </w:rPr>
      </w:pPr>
      <w:r>
        <w:rPr>
          <w:rFonts w:hint="eastAsia" w:ascii="宋体" w:hAnsi="宋体" w:cs="宋体"/>
          <w:b/>
          <w:color w:val="auto"/>
          <w:sz w:val="22"/>
          <w:szCs w:val="22"/>
          <w:highlight w:val="none"/>
          <w:lang w:val="en-US" w:eastAsia="zh-CN"/>
        </w:rPr>
        <w:t>13.</w:t>
      </w:r>
      <w:r>
        <w:rPr>
          <w:rFonts w:hint="eastAsia" w:ascii="宋体" w:hAnsi="宋体" w:eastAsia="宋体" w:cs="宋体"/>
          <w:b/>
          <w:color w:val="auto"/>
          <w:sz w:val="22"/>
          <w:szCs w:val="22"/>
          <w:highlight w:val="none"/>
        </w:rPr>
        <w:t>2、</w:t>
      </w:r>
      <w:r>
        <w:rPr>
          <w:rFonts w:hint="eastAsia" w:ascii="宋体" w:hAnsi="宋体" w:eastAsia="宋体" w:cs="宋体"/>
          <w:color w:val="auto"/>
          <w:sz w:val="22"/>
          <w:szCs w:val="22"/>
          <w:highlight w:val="none"/>
        </w:rPr>
        <w:t>商务、技术评标细则（</w:t>
      </w:r>
      <w:r>
        <w:rPr>
          <w:rFonts w:hint="eastAsia" w:ascii="宋体" w:hAnsi="宋体" w:cs="宋体"/>
          <w:color w:val="auto"/>
          <w:sz w:val="22"/>
          <w:szCs w:val="22"/>
          <w:highlight w:val="none"/>
          <w:lang w:val="en-US" w:eastAsia="zh-CN"/>
        </w:rPr>
        <w:t>40</w:t>
      </w:r>
      <w:r>
        <w:rPr>
          <w:rFonts w:hint="eastAsia" w:ascii="宋体" w:hAnsi="宋体" w:eastAsia="宋体" w:cs="宋体"/>
          <w:color w:val="auto"/>
          <w:sz w:val="22"/>
          <w:szCs w:val="22"/>
          <w:highlight w:val="none"/>
        </w:rPr>
        <w:t>分）</w:t>
      </w:r>
    </w:p>
    <w:tbl>
      <w:tblPr>
        <w:tblStyle w:val="23"/>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425"/>
        <w:gridCol w:w="6420"/>
        <w:gridCol w:w="944"/>
      </w:tblGrid>
      <w:tr w14:paraId="52A0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65" w:type="dxa"/>
            <w:tcBorders>
              <w:top w:val="single" w:color="auto" w:sz="4" w:space="0"/>
              <w:left w:val="single" w:color="auto" w:sz="4" w:space="0"/>
              <w:right w:val="single" w:color="auto" w:sz="4" w:space="0"/>
            </w:tcBorders>
            <w:shd w:val="clear" w:color="auto" w:fill="auto"/>
            <w:noWrap w:val="0"/>
            <w:vAlign w:val="center"/>
          </w:tcPr>
          <w:p w14:paraId="740C727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序号</w:t>
            </w:r>
          </w:p>
        </w:tc>
        <w:tc>
          <w:tcPr>
            <w:tcW w:w="1425" w:type="dxa"/>
            <w:tcBorders>
              <w:top w:val="single" w:color="auto" w:sz="4" w:space="0"/>
              <w:left w:val="single" w:color="auto" w:sz="4" w:space="0"/>
              <w:right w:val="single" w:color="auto" w:sz="4" w:space="0"/>
            </w:tcBorders>
            <w:shd w:val="clear" w:color="auto" w:fill="auto"/>
            <w:noWrap w:val="0"/>
            <w:vAlign w:val="center"/>
          </w:tcPr>
          <w:p w14:paraId="654BDC3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评分</w:t>
            </w:r>
          </w:p>
          <w:p w14:paraId="656FA8E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项目</w:t>
            </w:r>
          </w:p>
        </w:tc>
        <w:tc>
          <w:tcPr>
            <w:tcW w:w="6420" w:type="dxa"/>
            <w:tcBorders>
              <w:top w:val="single" w:color="auto" w:sz="4" w:space="0"/>
              <w:left w:val="single" w:color="auto" w:sz="4" w:space="0"/>
              <w:right w:val="single" w:color="auto" w:sz="4" w:space="0"/>
            </w:tcBorders>
            <w:shd w:val="clear" w:color="auto" w:fill="FFFFFF"/>
            <w:noWrap w:val="0"/>
            <w:vAlign w:val="center"/>
          </w:tcPr>
          <w:p w14:paraId="619D58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评分标准</w:t>
            </w:r>
          </w:p>
        </w:tc>
        <w:tc>
          <w:tcPr>
            <w:tcW w:w="9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B86F4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最高分值</w:t>
            </w:r>
          </w:p>
        </w:tc>
      </w:tr>
      <w:tr w14:paraId="12F9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765" w:type="dxa"/>
            <w:tcBorders>
              <w:left w:val="single" w:color="auto" w:sz="4" w:space="0"/>
              <w:right w:val="single" w:color="auto" w:sz="4" w:space="0"/>
            </w:tcBorders>
            <w:noWrap w:val="0"/>
            <w:vAlign w:val="center"/>
          </w:tcPr>
          <w:p w14:paraId="172839D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w:t>
            </w:r>
          </w:p>
        </w:tc>
        <w:tc>
          <w:tcPr>
            <w:tcW w:w="1425" w:type="dxa"/>
            <w:tcBorders>
              <w:left w:val="single" w:color="auto" w:sz="4" w:space="0"/>
              <w:right w:val="single" w:color="auto" w:sz="4" w:space="0"/>
            </w:tcBorders>
            <w:noWrap w:val="0"/>
            <w:vAlign w:val="center"/>
          </w:tcPr>
          <w:p w14:paraId="600E507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rPr>
              <w:t>业绩</w:t>
            </w:r>
          </w:p>
        </w:tc>
        <w:tc>
          <w:tcPr>
            <w:tcW w:w="6420" w:type="dxa"/>
            <w:tcBorders>
              <w:top w:val="single" w:color="auto" w:sz="4" w:space="0"/>
              <w:left w:val="single" w:color="auto" w:sz="4" w:space="0"/>
              <w:bottom w:val="single" w:color="auto" w:sz="4" w:space="0"/>
              <w:right w:val="single" w:color="auto" w:sz="4" w:space="0"/>
            </w:tcBorders>
            <w:noWrap w:val="0"/>
            <w:vAlign w:val="center"/>
          </w:tcPr>
          <w:p w14:paraId="1283EF0B">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投标人提供自2021年10月1日以来（以合同签订时间为准）承接过的</w:t>
            </w:r>
            <w:r>
              <w:rPr>
                <w:rFonts w:hint="eastAsia" w:ascii="宋体" w:hAnsi="宋体" w:cs="宋体"/>
                <w:color w:val="auto"/>
                <w:sz w:val="22"/>
                <w:szCs w:val="22"/>
                <w:highlight w:val="none"/>
                <w:lang w:val="en-US" w:eastAsia="zh-CN"/>
              </w:rPr>
              <w:t>燃烧油（重油）</w:t>
            </w:r>
            <w:r>
              <w:rPr>
                <w:rFonts w:hint="eastAsia" w:ascii="宋体" w:hAnsi="宋体" w:eastAsia="宋体" w:cs="宋体"/>
                <w:color w:val="auto"/>
                <w:sz w:val="22"/>
                <w:szCs w:val="22"/>
                <w:highlight w:val="none"/>
                <w:lang w:val="en-US" w:eastAsia="zh-CN"/>
              </w:rPr>
              <w:t>项目业绩，每提供一个业绩得</w:t>
            </w:r>
            <w:r>
              <w:rPr>
                <w:rFonts w:hint="eastAsia" w:ascii="宋体" w:hAnsi="宋体" w:cs="宋体"/>
                <w:color w:val="auto"/>
                <w:sz w:val="22"/>
                <w:szCs w:val="22"/>
                <w:highlight w:val="none"/>
                <w:lang w:val="en-US" w:eastAsia="zh-CN"/>
              </w:rPr>
              <w:t>2.5</w:t>
            </w:r>
            <w:r>
              <w:rPr>
                <w:rFonts w:hint="eastAsia" w:ascii="宋体" w:hAnsi="宋体" w:eastAsia="宋体" w:cs="宋体"/>
                <w:color w:val="auto"/>
                <w:sz w:val="22"/>
                <w:szCs w:val="22"/>
                <w:highlight w:val="none"/>
                <w:lang w:val="en-US" w:eastAsia="zh-CN"/>
              </w:rPr>
              <w:t>分，最高得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分。（注：</w:t>
            </w:r>
            <w:r>
              <w:rPr>
                <w:rFonts w:hint="eastAsia" w:ascii="宋体" w:hAnsi="宋体" w:eastAsia="宋体" w:cs="宋体"/>
                <w:b w:val="0"/>
                <w:bCs/>
                <w:kern w:val="0"/>
                <w:sz w:val="22"/>
                <w:szCs w:val="22"/>
                <w:highlight w:val="none"/>
                <w:lang w:val="en-US" w:eastAsia="zh-CN" w:bidi="ar-SA"/>
              </w:rPr>
              <w:t>提供公告、中标通知书、以及合同扫描件，中标公告需提供查询网址</w:t>
            </w:r>
            <w:r>
              <w:rPr>
                <w:rFonts w:hint="eastAsia" w:ascii="宋体" w:hAnsi="宋体" w:cs="宋体"/>
                <w:b w:val="0"/>
                <w:bCs/>
                <w:kern w:val="0"/>
                <w:sz w:val="22"/>
                <w:szCs w:val="22"/>
                <w:highlight w:val="none"/>
                <w:lang w:val="en-US" w:eastAsia="zh-CN" w:bidi="ar-SA"/>
              </w:rPr>
              <w:t>，</w:t>
            </w:r>
            <w:r>
              <w:rPr>
                <w:rFonts w:hint="eastAsia" w:ascii="宋体" w:hAnsi="宋体" w:eastAsia="宋体" w:cs="宋体"/>
                <w:color w:val="auto"/>
                <w:sz w:val="22"/>
                <w:szCs w:val="22"/>
                <w:highlight w:val="none"/>
                <w:lang w:val="en-US" w:eastAsia="zh-CN"/>
              </w:rPr>
              <w:t>上述材料加盖CA签章，未提供或提供不全</w:t>
            </w:r>
            <w:r>
              <w:rPr>
                <w:rFonts w:hint="eastAsia" w:ascii="宋体" w:hAnsi="宋体" w:eastAsia="宋体" w:cs="宋体"/>
                <w:b w:val="0"/>
                <w:bCs/>
                <w:kern w:val="0"/>
                <w:sz w:val="22"/>
                <w:szCs w:val="22"/>
                <w:highlight w:val="none"/>
                <w:lang w:val="en-US" w:eastAsia="zh-CN" w:bidi="ar-SA"/>
              </w:rPr>
              <w:t>则不得分。</w:t>
            </w:r>
            <w:r>
              <w:rPr>
                <w:rFonts w:hint="eastAsia" w:ascii="宋体" w:hAnsi="宋体" w:eastAsia="宋体" w:cs="宋体"/>
                <w:color w:val="auto"/>
                <w:sz w:val="22"/>
                <w:szCs w:val="22"/>
                <w:highlight w:val="none"/>
                <w:lang w:val="en-US" w:eastAsia="zh-CN"/>
              </w:rPr>
              <w:t>）</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2ED00F8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0-</w:t>
            </w:r>
            <w:r>
              <w:rPr>
                <w:rFonts w:hint="eastAsia" w:ascii="宋体" w:hAnsi="宋体" w:cs="宋体"/>
                <w:color w:val="auto"/>
                <w:sz w:val="22"/>
                <w:szCs w:val="22"/>
                <w:highlight w:val="none"/>
                <w:vertAlign w:val="baseline"/>
                <w:lang w:val="en-US" w:eastAsia="zh-CN"/>
              </w:rPr>
              <w:t>5</w:t>
            </w:r>
            <w:r>
              <w:rPr>
                <w:rFonts w:hint="eastAsia" w:ascii="宋体" w:hAnsi="宋体" w:eastAsia="宋体" w:cs="宋体"/>
                <w:color w:val="auto"/>
                <w:sz w:val="22"/>
                <w:szCs w:val="22"/>
                <w:highlight w:val="none"/>
                <w:vertAlign w:val="baseline"/>
                <w:lang w:val="en-US" w:eastAsia="zh-CN"/>
              </w:rPr>
              <w:t>分</w:t>
            </w:r>
          </w:p>
        </w:tc>
      </w:tr>
      <w:tr w14:paraId="6D25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65" w:type="dxa"/>
            <w:tcBorders>
              <w:left w:val="single" w:color="auto" w:sz="4" w:space="0"/>
              <w:right w:val="single" w:color="auto" w:sz="4" w:space="0"/>
            </w:tcBorders>
            <w:noWrap w:val="0"/>
            <w:vAlign w:val="center"/>
          </w:tcPr>
          <w:p w14:paraId="3ABC572D">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1425" w:type="dxa"/>
            <w:tcBorders>
              <w:left w:val="single" w:color="auto" w:sz="4" w:space="0"/>
              <w:right w:val="single" w:color="auto" w:sz="4" w:space="0"/>
            </w:tcBorders>
            <w:noWrap w:val="0"/>
            <w:vAlign w:val="center"/>
          </w:tcPr>
          <w:p w14:paraId="189DD4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项目的难点要点分析及解决措施</w:t>
            </w:r>
          </w:p>
        </w:tc>
        <w:tc>
          <w:tcPr>
            <w:tcW w:w="6420" w:type="dxa"/>
            <w:tcBorders>
              <w:top w:val="single" w:color="auto" w:sz="4" w:space="0"/>
              <w:left w:val="single" w:color="auto" w:sz="4" w:space="0"/>
              <w:bottom w:val="single" w:color="auto" w:sz="4" w:space="0"/>
              <w:right w:val="single" w:color="auto" w:sz="4" w:space="0"/>
            </w:tcBorders>
            <w:noWrap w:val="0"/>
            <w:vAlign w:val="center"/>
          </w:tcPr>
          <w:p w14:paraId="52DD2C53">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根据投标人针对本项目的理解程度，现存在的问题和服务的难点、要点等问题进行调查剖析及难点、要点的解决措施进行综合打分；</w:t>
            </w:r>
          </w:p>
          <w:p w14:paraId="500E2A4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（1）本项目存在的问题和服务的难点要点的分析（0-</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p>
          <w:p w14:paraId="64ADF04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2"/>
                <w:szCs w:val="22"/>
                <w:lang w:val="en-US" w:eastAsia="zh-CN"/>
              </w:rPr>
            </w:pPr>
            <w:r>
              <w:rPr>
                <w:rFonts w:hint="eastAsia" w:ascii="宋体" w:hAnsi="宋体" w:eastAsia="宋体" w:cs="宋体"/>
                <w:color w:val="auto"/>
                <w:sz w:val="22"/>
                <w:szCs w:val="22"/>
                <w:highlight w:val="none"/>
                <w:lang w:val="en-US" w:eastAsia="zh-CN"/>
              </w:rPr>
              <w:t>（2）难点、要点的解决措施（0-</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62C296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分</w:t>
            </w:r>
          </w:p>
        </w:tc>
      </w:tr>
      <w:tr w14:paraId="3A60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765" w:type="dxa"/>
            <w:tcBorders>
              <w:left w:val="single" w:color="auto" w:sz="4" w:space="0"/>
              <w:right w:val="single" w:color="auto" w:sz="4" w:space="0"/>
            </w:tcBorders>
            <w:noWrap w:val="0"/>
            <w:vAlign w:val="center"/>
          </w:tcPr>
          <w:p w14:paraId="3AD12446">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c>
          <w:tcPr>
            <w:tcW w:w="1425" w:type="dxa"/>
            <w:tcBorders>
              <w:left w:val="single" w:color="auto" w:sz="4" w:space="0"/>
              <w:right w:val="single" w:color="auto" w:sz="4" w:space="0"/>
            </w:tcBorders>
            <w:noWrap w:val="0"/>
            <w:vAlign w:val="center"/>
          </w:tcPr>
          <w:p w14:paraId="66930B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油品质量保证措施</w:t>
            </w:r>
          </w:p>
        </w:tc>
        <w:tc>
          <w:tcPr>
            <w:tcW w:w="6420" w:type="dxa"/>
            <w:tcBorders>
              <w:top w:val="single" w:color="auto" w:sz="4" w:space="0"/>
              <w:left w:val="single" w:color="auto" w:sz="4" w:space="0"/>
              <w:bottom w:val="single" w:color="auto" w:sz="4" w:space="0"/>
              <w:right w:val="single" w:color="auto" w:sz="4" w:space="0"/>
            </w:tcBorders>
            <w:noWrap w:val="0"/>
            <w:vAlign w:val="center"/>
          </w:tcPr>
          <w:p w14:paraId="7E15FC73">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根据投标人提供油品质量的保证措施，送达现场后的保护措施和要求等情况进行综合打分：</w:t>
            </w:r>
          </w:p>
          <w:p w14:paraId="0F39BCEF">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（1）油品质量的保证措施（0-</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p>
          <w:p w14:paraId="211F1247">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（2）送达现场后的保护措施和要求（0-</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43903DF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分</w:t>
            </w:r>
          </w:p>
        </w:tc>
      </w:tr>
      <w:tr w14:paraId="201A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765" w:type="dxa"/>
            <w:tcBorders>
              <w:left w:val="single" w:color="auto" w:sz="4" w:space="0"/>
              <w:right w:val="single" w:color="auto" w:sz="4" w:space="0"/>
            </w:tcBorders>
            <w:noWrap w:val="0"/>
            <w:vAlign w:val="center"/>
          </w:tcPr>
          <w:p w14:paraId="24CF83D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4</w:t>
            </w:r>
          </w:p>
        </w:tc>
        <w:tc>
          <w:tcPr>
            <w:tcW w:w="1425" w:type="dxa"/>
            <w:tcBorders>
              <w:left w:val="single" w:color="auto" w:sz="4" w:space="0"/>
              <w:right w:val="single" w:color="auto" w:sz="4" w:space="0"/>
            </w:tcBorders>
            <w:noWrap w:val="0"/>
            <w:vAlign w:val="center"/>
          </w:tcPr>
          <w:p w14:paraId="67BAE4B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项目实施方案</w:t>
            </w:r>
          </w:p>
        </w:tc>
        <w:tc>
          <w:tcPr>
            <w:tcW w:w="6420" w:type="dxa"/>
            <w:tcBorders>
              <w:top w:val="single" w:color="auto" w:sz="4" w:space="0"/>
              <w:left w:val="single" w:color="auto" w:sz="4" w:space="0"/>
              <w:bottom w:val="single" w:color="auto" w:sz="4" w:space="0"/>
              <w:right w:val="single" w:color="auto" w:sz="4" w:space="0"/>
            </w:tcBorders>
            <w:noWrap w:val="0"/>
            <w:vAlign w:val="center"/>
          </w:tcPr>
          <w:p w14:paraId="4116FBFA">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根据投标人提供的油品运输方案；运输进度计划、物资配送资源配备、装运作业流程及油品交接验收、运输人员配备等情况进行综合打分。</w:t>
            </w:r>
          </w:p>
          <w:p w14:paraId="096D560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运输进度计划、物资资源的配备（0-</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分）装运作业流程及油品交接验收（0-</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分）运输人员配备（0-</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1959B00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0-</w:t>
            </w:r>
            <w:r>
              <w:rPr>
                <w:rFonts w:hint="eastAsia" w:ascii="宋体" w:hAnsi="宋体" w:cs="宋体"/>
                <w:color w:val="auto"/>
                <w:sz w:val="22"/>
                <w:szCs w:val="22"/>
                <w:highlight w:val="none"/>
                <w:vertAlign w:val="baseline"/>
                <w:lang w:val="en-US" w:eastAsia="zh-CN"/>
              </w:rPr>
              <w:t>6</w:t>
            </w:r>
            <w:r>
              <w:rPr>
                <w:rFonts w:hint="eastAsia" w:ascii="宋体" w:hAnsi="宋体" w:eastAsia="宋体" w:cs="宋体"/>
                <w:color w:val="auto"/>
                <w:sz w:val="22"/>
                <w:szCs w:val="22"/>
                <w:highlight w:val="none"/>
                <w:vertAlign w:val="baseline"/>
                <w:lang w:val="en-US" w:eastAsia="zh-CN"/>
              </w:rPr>
              <w:t>分</w:t>
            </w:r>
          </w:p>
        </w:tc>
      </w:tr>
      <w:tr w14:paraId="4C3D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65" w:type="dxa"/>
            <w:tcBorders>
              <w:left w:val="single" w:color="auto" w:sz="4" w:space="0"/>
              <w:right w:val="single" w:color="auto" w:sz="4" w:space="0"/>
            </w:tcBorders>
            <w:noWrap w:val="0"/>
            <w:vAlign w:val="center"/>
          </w:tcPr>
          <w:p w14:paraId="238E2B6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5</w:t>
            </w:r>
          </w:p>
        </w:tc>
        <w:tc>
          <w:tcPr>
            <w:tcW w:w="1425" w:type="dxa"/>
            <w:tcBorders>
              <w:left w:val="single" w:color="auto" w:sz="4" w:space="0"/>
              <w:right w:val="single" w:color="auto" w:sz="4" w:space="0"/>
            </w:tcBorders>
            <w:noWrap w:val="0"/>
            <w:vAlign w:val="center"/>
          </w:tcPr>
          <w:p w14:paraId="46980A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安全管理</w:t>
            </w:r>
          </w:p>
          <w:p w14:paraId="6B39C8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制度</w:t>
            </w:r>
          </w:p>
        </w:tc>
        <w:tc>
          <w:tcPr>
            <w:tcW w:w="6420" w:type="dxa"/>
            <w:tcBorders>
              <w:top w:val="single" w:color="auto" w:sz="4" w:space="0"/>
              <w:left w:val="single" w:color="auto" w:sz="4" w:space="0"/>
              <w:bottom w:val="single" w:color="auto" w:sz="4" w:space="0"/>
              <w:right w:val="single" w:color="auto" w:sz="4" w:space="0"/>
            </w:tcBorders>
            <w:noWrap w:val="0"/>
            <w:vAlign w:val="center"/>
          </w:tcPr>
          <w:p w14:paraId="479DF0EE">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根据投标人提供的安全管理制度的严密性、合理性等等情况进行综合打分。</w:t>
            </w:r>
          </w:p>
          <w:p w14:paraId="796F4D3C">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（1）安全管理制度的严密性（0-</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p>
          <w:p w14:paraId="41BA8229">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（2）安全管理制度的合理性（0-</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320BE3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分</w:t>
            </w:r>
          </w:p>
        </w:tc>
      </w:tr>
      <w:tr w14:paraId="191E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65" w:type="dxa"/>
            <w:tcBorders>
              <w:left w:val="single" w:color="auto" w:sz="4" w:space="0"/>
              <w:right w:val="single" w:color="auto" w:sz="4" w:space="0"/>
            </w:tcBorders>
            <w:noWrap w:val="0"/>
            <w:vAlign w:val="center"/>
          </w:tcPr>
          <w:p w14:paraId="4EC18A3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6</w:t>
            </w:r>
          </w:p>
        </w:tc>
        <w:tc>
          <w:tcPr>
            <w:tcW w:w="1425" w:type="dxa"/>
            <w:tcBorders>
              <w:left w:val="single" w:color="auto" w:sz="4" w:space="0"/>
              <w:right w:val="single" w:color="auto" w:sz="4" w:space="0"/>
            </w:tcBorders>
            <w:noWrap w:val="0"/>
            <w:vAlign w:val="center"/>
          </w:tcPr>
          <w:p w14:paraId="1F4697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安全保障</w:t>
            </w:r>
          </w:p>
          <w:p w14:paraId="7AA3E6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措施</w:t>
            </w:r>
          </w:p>
        </w:tc>
        <w:tc>
          <w:tcPr>
            <w:tcW w:w="6420" w:type="dxa"/>
            <w:tcBorders>
              <w:top w:val="single" w:color="auto" w:sz="4" w:space="0"/>
              <w:left w:val="single" w:color="auto" w:sz="4" w:space="0"/>
              <w:bottom w:val="single" w:color="auto" w:sz="4" w:space="0"/>
              <w:right w:val="single" w:color="auto" w:sz="4" w:space="0"/>
            </w:tcBorders>
            <w:noWrap w:val="0"/>
            <w:vAlign w:val="center"/>
          </w:tcPr>
          <w:p w14:paraId="46DDFA89">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根据投标人提供的安全保障措施的合理、可行且与本项目实际情况有针对性等情况进行综合打分。</w:t>
            </w:r>
          </w:p>
          <w:p w14:paraId="001C660F">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（1）安全保障措施的合理、可行性（0-</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p>
          <w:p w14:paraId="227EE01A">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left"/>
              <w:textAlignment w:val="auto"/>
              <w:rPr>
                <w:rFonts w:hint="eastAsia" w:ascii="宋体" w:hAnsi="宋体" w:eastAsia="宋体" w:cs="宋体"/>
                <w:color w:val="auto"/>
                <w:sz w:val="22"/>
                <w:szCs w:val="22"/>
                <w:lang w:val="en-US"/>
              </w:rPr>
            </w:pPr>
            <w:r>
              <w:rPr>
                <w:rFonts w:hint="eastAsia" w:ascii="宋体" w:hAnsi="宋体" w:eastAsia="宋体" w:cs="宋体"/>
                <w:color w:val="auto"/>
                <w:sz w:val="22"/>
                <w:szCs w:val="22"/>
                <w:highlight w:val="none"/>
                <w:lang w:val="en-US" w:eastAsia="zh-CN"/>
              </w:rPr>
              <w:t>（2）安全保障措施与本项目实际情况有针对性（0-</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55F7C9C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0-</w:t>
            </w:r>
            <w:r>
              <w:rPr>
                <w:rFonts w:hint="eastAsia" w:ascii="宋体" w:hAnsi="宋体" w:cs="宋体"/>
                <w:color w:val="auto"/>
                <w:sz w:val="22"/>
                <w:szCs w:val="22"/>
                <w:highlight w:val="none"/>
                <w:vertAlign w:val="baseline"/>
                <w:lang w:val="en-US" w:eastAsia="zh-CN"/>
              </w:rPr>
              <w:t>4</w:t>
            </w:r>
            <w:r>
              <w:rPr>
                <w:rFonts w:hint="eastAsia" w:ascii="宋体" w:hAnsi="宋体" w:eastAsia="宋体" w:cs="宋体"/>
                <w:color w:val="auto"/>
                <w:sz w:val="22"/>
                <w:szCs w:val="22"/>
                <w:highlight w:val="none"/>
                <w:vertAlign w:val="baseline"/>
                <w:lang w:val="en-US" w:eastAsia="zh-CN"/>
              </w:rPr>
              <w:t>分</w:t>
            </w:r>
          </w:p>
        </w:tc>
      </w:tr>
      <w:tr w14:paraId="7CE1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jc w:val="center"/>
        </w:trPr>
        <w:tc>
          <w:tcPr>
            <w:tcW w:w="765" w:type="dxa"/>
            <w:tcBorders>
              <w:left w:val="single" w:color="auto" w:sz="4" w:space="0"/>
              <w:right w:val="single" w:color="auto" w:sz="4" w:space="0"/>
            </w:tcBorders>
            <w:noWrap w:val="0"/>
            <w:vAlign w:val="center"/>
          </w:tcPr>
          <w:p w14:paraId="19B964B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7</w:t>
            </w:r>
          </w:p>
        </w:tc>
        <w:tc>
          <w:tcPr>
            <w:tcW w:w="1425" w:type="dxa"/>
            <w:tcBorders>
              <w:left w:val="single" w:color="auto" w:sz="4" w:space="0"/>
              <w:right w:val="single" w:color="auto" w:sz="4" w:space="0"/>
            </w:tcBorders>
            <w:noWrap w:val="0"/>
            <w:vAlign w:val="center"/>
          </w:tcPr>
          <w:p w14:paraId="12375C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应急方案</w:t>
            </w:r>
          </w:p>
        </w:tc>
        <w:tc>
          <w:tcPr>
            <w:tcW w:w="6420" w:type="dxa"/>
            <w:tcBorders>
              <w:top w:val="single" w:color="auto" w:sz="4" w:space="0"/>
              <w:left w:val="single" w:color="auto" w:sz="4" w:space="0"/>
              <w:bottom w:val="single" w:color="auto" w:sz="4" w:space="0"/>
              <w:right w:val="single" w:color="auto" w:sz="4" w:space="0"/>
            </w:tcBorders>
            <w:noWrap w:val="0"/>
            <w:vAlign w:val="center"/>
          </w:tcPr>
          <w:p w14:paraId="43349A0B">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根据投标人针对本项目供油过程中</w:t>
            </w:r>
            <w:r>
              <w:rPr>
                <w:rFonts w:hint="eastAsia" w:ascii="宋体" w:hAnsi="宋体" w:eastAsia="宋体" w:cs="宋体"/>
                <w:sz w:val="22"/>
                <w:szCs w:val="22"/>
                <w:lang w:val="en-US" w:eastAsia="zh-CN"/>
              </w:rPr>
              <w:t>可能出现</w:t>
            </w:r>
            <w:r>
              <w:rPr>
                <w:rFonts w:hint="eastAsia" w:ascii="宋体" w:hAnsi="宋体" w:eastAsia="宋体" w:cs="宋体"/>
                <w:sz w:val="22"/>
                <w:szCs w:val="22"/>
              </w:rPr>
              <w:t>道路货物运输事故、灾害性天气等不可抗力可能影响按时供油等突发事件</w:t>
            </w:r>
            <w:r>
              <w:rPr>
                <w:rFonts w:hint="eastAsia" w:ascii="宋体" w:hAnsi="宋体" w:eastAsia="宋体" w:cs="宋体"/>
                <w:sz w:val="22"/>
                <w:szCs w:val="22"/>
                <w:lang w:eastAsia="zh-CN"/>
              </w:rPr>
              <w:t>的</w:t>
            </w:r>
            <w:r>
              <w:rPr>
                <w:rFonts w:hint="eastAsia" w:ascii="宋体" w:hAnsi="宋体" w:eastAsia="宋体" w:cs="宋体"/>
                <w:sz w:val="22"/>
                <w:szCs w:val="22"/>
                <w:lang w:val="en-US" w:eastAsia="zh-CN"/>
              </w:rPr>
              <w:t>应急预案及处理措施进行综合打分；</w:t>
            </w:r>
          </w:p>
          <w:p w14:paraId="0F53C221">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w:t>
            </w:r>
            <w:r>
              <w:rPr>
                <w:rFonts w:hint="eastAsia" w:ascii="宋体" w:hAnsi="宋体" w:eastAsia="宋体" w:cs="宋体"/>
                <w:sz w:val="22"/>
                <w:szCs w:val="22"/>
                <w:lang w:eastAsia="zh-CN"/>
              </w:rPr>
              <w:t>）</w:t>
            </w:r>
            <w:r>
              <w:rPr>
                <w:rFonts w:hint="eastAsia" w:ascii="宋体" w:hAnsi="宋体" w:eastAsia="宋体" w:cs="宋体"/>
                <w:sz w:val="22"/>
                <w:szCs w:val="22"/>
              </w:rPr>
              <w:t>道路运输事故</w:t>
            </w:r>
            <w:r>
              <w:rPr>
                <w:rFonts w:hint="eastAsia" w:ascii="宋体" w:hAnsi="宋体" w:eastAsia="宋体" w:cs="宋体"/>
                <w:sz w:val="22"/>
                <w:szCs w:val="22"/>
                <w:lang w:eastAsia="zh-CN"/>
              </w:rPr>
              <w:t>的</w:t>
            </w:r>
            <w:r>
              <w:rPr>
                <w:rFonts w:hint="eastAsia" w:ascii="宋体" w:hAnsi="宋体" w:eastAsia="宋体" w:cs="宋体"/>
                <w:sz w:val="22"/>
                <w:szCs w:val="22"/>
                <w:lang w:val="en-US" w:eastAsia="zh-CN"/>
              </w:rPr>
              <w:t>应急预案及处理措施（0-2分）</w:t>
            </w:r>
          </w:p>
          <w:p w14:paraId="238BD1D1">
            <w:pPr>
              <w:pStyle w:val="5"/>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w:t>
            </w:r>
            <w:r>
              <w:rPr>
                <w:rFonts w:hint="eastAsia" w:ascii="宋体" w:hAnsi="宋体" w:eastAsia="宋体" w:cs="宋体"/>
                <w:sz w:val="22"/>
                <w:szCs w:val="22"/>
              </w:rPr>
              <w:t>灾害性天气等不可抗力可能影响按时供油</w:t>
            </w:r>
            <w:r>
              <w:rPr>
                <w:rFonts w:hint="eastAsia" w:ascii="宋体" w:hAnsi="宋体" w:eastAsia="宋体" w:cs="宋体"/>
                <w:sz w:val="22"/>
                <w:szCs w:val="22"/>
                <w:lang w:eastAsia="zh-CN"/>
              </w:rPr>
              <w:t>的</w:t>
            </w:r>
            <w:r>
              <w:rPr>
                <w:rFonts w:hint="eastAsia" w:ascii="宋体" w:hAnsi="宋体" w:eastAsia="宋体" w:cs="宋体"/>
                <w:sz w:val="22"/>
                <w:szCs w:val="22"/>
                <w:lang w:val="en-US" w:eastAsia="zh-CN"/>
              </w:rPr>
              <w:t>应急预案及处理措施（0-2分）</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51B0FAB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0-</w:t>
            </w:r>
            <w:r>
              <w:rPr>
                <w:rFonts w:hint="eastAsia" w:ascii="宋体" w:hAnsi="宋体" w:cs="宋体"/>
                <w:color w:val="auto"/>
                <w:sz w:val="22"/>
                <w:szCs w:val="22"/>
                <w:highlight w:val="none"/>
                <w:vertAlign w:val="baseline"/>
                <w:lang w:val="en-US" w:eastAsia="zh-CN"/>
              </w:rPr>
              <w:t>4</w:t>
            </w:r>
            <w:r>
              <w:rPr>
                <w:rFonts w:hint="eastAsia" w:ascii="宋体" w:hAnsi="宋体" w:eastAsia="宋体" w:cs="宋体"/>
                <w:color w:val="auto"/>
                <w:sz w:val="22"/>
                <w:szCs w:val="22"/>
                <w:highlight w:val="none"/>
                <w:vertAlign w:val="baseline"/>
                <w:lang w:val="en-US" w:eastAsia="zh-CN"/>
              </w:rPr>
              <w:t>分</w:t>
            </w:r>
          </w:p>
        </w:tc>
      </w:tr>
      <w:tr w14:paraId="74B5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65" w:type="dxa"/>
            <w:tcBorders>
              <w:left w:val="single" w:color="auto" w:sz="4" w:space="0"/>
              <w:right w:val="single" w:color="auto" w:sz="4" w:space="0"/>
            </w:tcBorders>
            <w:noWrap w:val="0"/>
            <w:vAlign w:val="center"/>
          </w:tcPr>
          <w:p w14:paraId="5F176C3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8</w:t>
            </w:r>
          </w:p>
        </w:tc>
        <w:tc>
          <w:tcPr>
            <w:tcW w:w="1425" w:type="dxa"/>
            <w:tcBorders>
              <w:left w:val="single" w:color="auto" w:sz="4" w:space="0"/>
              <w:right w:val="single" w:color="auto" w:sz="4" w:space="0"/>
            </w:tcBorders>
            <w:noWrap w:val="0"/>
            <w:vAlign w:val="center"/>
          </w:tcPr>
          <w:p w14:paraId="70DCEFC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售后服务</w:t>
            </w:r>
          </w:p>
        </w:tc>
        <w:tc>
          <w:tcPr>
            <w:tcW w:w="6420" w:type="dxa"/>
            <w:tcBorders>
              <w:top w:val="single" w:color="auto" w:sz="4" w:space="0"/>
              <w:left w:val="single" w:color="auto" w:sz="4" w:space="0"/>
              <w:bottom w:val="single" w:color="auto" w:sz="4" w:space="0"/>
              <w:right w:val="single" w:color="auto" w:sz="4" w:space="0"/>
            </w:tcBorders>
            <w:noWrap w:val="0"/>
            <w:vAlign w:val="center"/>
          </w:tcPr>
          <w:p w14:paraId="2344BF45">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根据投标人提供</w:t>
            </w:r>
            <w:r>
              <w:rPr>
                <w:rFonts w:hint="eastAsia" w:ascii="宋体" w:hAnsi="宋体" w:eastAsia="宋体" w:cs="宋体"/>
                <w:sz w:val="22"/>
                <w:szCs w:val="22"/>
                <w:lang w:eastAsia="zh-CN"/>
              </w:rPr>
              <w:t>的</w:t>
            </w:r>
            <w:r>
              <w:rPr>
                <w:rFonts w:hint="eastAsia" w:ascii="宋体" w:hAnsi="宋体" w:eastAsia="宋体" w:cs="宋体"/>
                <w:sz w:val="22"/>
                <w:szCs w:val="22"/>
                <w:lang w:val="en-US" w:eastAsia="zh-CN"/>
              </w:rPr>
              <w:t>售后</w:t>
            </w:r>
            <w:r>
              <w:rPr>
                <w:rFonts w:hint="eastAsia" w:ascii="宋体" w:hAnsi="宋体" w:eastAsia="宋体" w:cs="宋体"/>
                <w:sz w:val="22"/>
                <w:szCs w:val="22"/>
              </w:rPr>
              <w:t>服务响应</w:t>
            </w:r>
            <w:r>
              <w:rPr>
                <w:rFonts w:hint="eastAsia" w:ascii="宋体" w:hAnsi="宋体" w:eastAsia="宋体" w:cs="宋体"/>
                <w:sz w:val="22"/>
                <w:szCs w:val="22"/>
                <w:lang w:val="en-US" w:eastAsia="zh-CN"/>
              </w:rPr>
              <w:t>时间</w:t>
            </w:r>
            <w:r>
              <w:rPr>
                <w:rFonts w:hint="eastAsia" w:ascii="宋体" w:hAnsi="宋体" w:eastAsia="宋体" w:cs="宋体"/>
                <w:sz w:val="22"/>
                <w:szCs w:val="22"/>
              </w:rPr>
              <w:t>、出现货品质量问题退换流程及保障措施等</w:t>
            </w:r>
            <w:r>
              <w:rPr>
                <w:rFonts w:hint="eastAsia" w:ascii="宋体" w:hAnsi="宋体" w:eastAsia="宋体" w:cs="宋体"/>
                <w:sz w:val="22"/>
                <w:szCs w:val="22"/>
                <w:lang w:val="en-US" w:eastAsia="zh-CN"/>
              </w:rPr>
              <w:t>情况进行综合打分；</w:t>
            </w:r>
          </w:p>
          <w:p w14:paraId="0F9B0A75">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售后</w:t>
            </w:r>
            <w:r>
              <w:rPr>
                <w:rFonts w:hint="eastAsia" w:ascii="宋体" w:hAnsi="宋体" w:eastAsia="宋体" w:cs="宋体"/>
                <w:sz w:val="22"/>
                <w:szCs w:val="22"/>
              </w:rPr>
              <w:t>服务响应</w:t>
            </w:r>
            <w:r>
              <w:rPr>
                <w:rFonts w:hint="eastAsia" w:ascii="宋体" w:hAnsi="宋体" w:eastAsia="宋体" w:cs="宋体"/>
                <w:sz w:val="22"/>
                <w:szCs w:val="22"/>
                <w:lang w:val="en-US" w:eastAsia="zh-CN"/>
              </w:rPr>
              <w:t>时间</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0-</w:t>
            </w:r>
            <w:r>
              <w:rPr>
                <w:rFonts w:hint="eastAsia" w:ascii="宋体" w:hAnsi="宋体" w:cs="宋体"/>
                <w:sz w:val="22"/>
                <w:szCs w:val="22"/>
                <w:lang w:val="en-US" w:eastAsia="zh-CN"/>
              </w:rPr>
              <w:t>3</w:t>
            </w:r>
            <w:r>
              <w:rPr>
                <w:rFonts w:hint="eastAsia" w:ascii="宋体" w:hAnsi="宋体" w:eastAsia="宋体" w:cs="宋体"/>
                <w:sz w:val="22"/>
                <w:szCs w:val="22"/>
                <w:lang w:val="en-US" w:eastAsia="zh-CN"/>
              </w:rPr>
              <w:t>分</w:t>
            </w:r>
            <w:r>
              <w:rPr>
                <w:rFonts w:hint="eastAsia" w:ascii="宋体" w:hAnsi="宋体" w:eastAsia="宋体" w:cs="宋体"/>
                <w:sz w:val="22"/>
                <w:szCs w:val="22"/>
                <w:lang w:eastAsia="zh-CN"/>
              </w:rPr>
              <w:t>）</w:t>
            </w:r>
          </w:p>
          <w:p w14:paraId="08418DE5">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sz w:val="22"/>
                <w:szCs w:val="22"/>
              </w:rPr>
              <w:t>出现货品质量问题退换流程及保障措施</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0-</w:t>
            </w:r>
            <w:r>
              <w:rPr>
                <w:rFonts w:hint="eastAsia" w:ascii="宋体" w:hAnsi="宋体" w:cs="宋体"/>
                <w:sz w:val="22"/>
                <w:szCs w:val="22"/>
                <w:lang w:val="en-US" w:eastAsia="zh-CN"/>
              </w:rPr>
              <w:t>3</w:t>
            </w:r>
            <w:r>
              <w:rPr>
                <w:rFonts w:hint="eastAsia" w:ascii="宋体" w:hAnsi="宋体" w:eastAsia="宋体" w:cs="宋体"/>
                <w:sz w:val="22"/>
                <w:szCs w:val="22"/>
                <w:lang w:val="en-US" w:eastAsia="zh-CN"/>
              </w:rPr>
              <w:t>分</w:t>
            </w:r>
            <w:r>
              <w:rPr>
                <w:rFonts w:hint="eastAsia" w:ascii="宋体" w:hAnsi="宋体" w:eastAsia="宋体" w:cs="宋体"/>
                <w:sz w:val="22"/>
                <w:szCs w:val="22"/>
                <w:lang w:eastAsia="zh-CN"/>
              </w:rPr>
              <w:t>）</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11C3E45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0-</w:t>
            </w:r>
            <w:r>
              <w:rPr>
                <w:rFonts w:hint="eastAsia" w:ascii="宋体" w:hAnsi="宋体" w:cs="宋体"/>
                <w:color w:val="auto"/>
                <w:sz w:val="22"/>
                <w:szCs w:val="22"/>
                <w:highlight w:val="none"/>
                <w:vertAlign w:val="baseline"/>
                <w:lang w:val="en-US" w:eastAsia="zh-CN"/>
              </w:rPr>
              <w:t>6</w:t>
            </w:r>
            <w:r>
              <w:rPr>
                <w:rFonts w:hint="eastAsia" w:ascii="宋体" w:hAnsi="宋体" w:eastAsia="宋体" w:cs="宋体"/>
                <w:color w:val="auto"/>
                <w:sz w:val="22"/>
                <w:szCs w:val="22"/>
                <w:highlight w:val="none"/>
                <w:vertAlign w:val="baseline"/>
                <w:lang w:val="en-US" w:eastAsia="zh-CN"/>
              </w:rPr>
              <w:t>分</w:t>
            </w:r>
          </w:p>
        </w:tc>
      </w:tr>
      <w:tr w14:paraId="44FA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65" w:type="dxa"/>
            <w:tcBorders>
              <w:left w:val="single" w:color="auto" w:sz="4" w:space="0"/>
              <w:right w:val="single" w:color="auto" w:sz="4" w:space="0"/>
            </w:tcBorders>
            <w:noWrap w:val="0"/>
            <w:vAlign w:val="center"/>
          </w:tcPr>
          <w:p w14:paraId="2F41FC1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9</w:t>
            </w:r>
          </w:p>
        </w:tc>
        <w:tc>
          <w:tcPr>
            <w:tcW w:w="1425" w:type="dxa"/>
            <w:tcBorders>
              <w:left w:val="single" w:color="auto" w:sz="4" w:space="0"/>
              <w:right w:val="single" w:color="auto" w:sz="4" w:space="0"/>
            </w:tcBorders>
            <w:noWrap w:val="0"/>
            <w:vAlign w:val="center"/>
          </w:tcPr>
          <w:p w14:paraId="6D3E593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000000"/>
                <w:szCs w:val="21"/>
              </w:rPr>
              <w:t>响应时效性</w:t>
            </w:r>
          </w:p>
        </w:tc>
        <w:tc>
          <w:tcPr>
            <w:tcW w:w="6420" w:type="dxa"/>
            <w:tcBorders>
              <w:top w:val="single" w:color="auto" w:sz="4" w:space="0"/>
              <w:left w:val="single" w:color="auto" w:sz="4" w:space="0"/>
              <w:right w:val="single" w:color="auto" w:sz="4" w:space="0"/>
            </w:tcBorders>
            <w:noWrap w:val="0"/>
            <w:vAlign w:val="center"/>
          </w:tcPr>
          <w:p w14:paraId="184E3A83">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投标人承诺提供3-4小时以内的响应，10-12小时以内完成采购人提出的供油等要求得1分。</w:t>
            </w:r>
          </w:p>
          <w:p w14:paraId="3B784CCF">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投标人承诺提供2-3小时以内的响应，8-10小时以内完成采购人提出的供油等要求得2分。</w:t>
            </w:r>
          </w:p>
          <w:p w14:paraId="140B742B">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投标人承诺提供2小时以内的响应，8小时以内完成采购人提出的供油等要求得3分。</w:t>
            </w:r>
          </w:p>
          <w:p w14:paraId="614C3DC3">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sz w:val="22"/>
                <w:szCs w:val="22"/>
              </w:rPr>
            </w:pPr>
            <w:r>
              <w:rPr>
                <w:rFonts w:hint="eastAsia" w:ascii="宋体" w:hAnsi="宋体" w:eastAsia="宋体" w:cs="宋体"/>
                <w:b/>
                <w:bCs/>
                <w:sz w:val="22"/>
                <w:szCs w:val="22"/>
                <w:lang w:val="en-US" w:eastAsia="zh-CN"/>
              </w:rPr>
              <w:t>注：投标文件内提供承诺书，评标时以承诺书内容为准，各投标人应根据实际情况如实承诺，未作出承诺或承诺时效超出以上时间的，不得分。</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093A514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cs="宋体"/>
                <w:color w:val="auto"/>
                <w:sz w:val="22"/>
                <w:szCs w:val="22"/>
                <w:highlight w:val="none"/>
                <w:vertAlign w:val="baseline"/>
                <w:lang w:val="en-US" w:eastAsia="zh-CN"/>
              </w:rPr>
              <w:t>0-3分</w:t>
            </w:r>
          </w:p>
        </w:tc>
      </w:tr>
    </w:tbl>
    <w:p w14:paraId="08FEC5A5">
      <w:pPr>
        <w:spacing w:line="360" w:lineRule="auto"/>
        <w:jc w:val="both"/>
        <w:rPr>
          <w:rFonts w:hint="default" w:ascii="宋体" w:hAnsi="宋体" w:eastAsia="宋体" w:cs="宋体"/>
          <w:b/>
          <w:color w:val="auto"/>
          <w:sz w:val="22"/>
          <w:szCs w:val="22"/>
          <w:highlight w:val="yellow"/>
          <w:lang w:val="en-US" w:eastAsia="zh-CN"/>
        </w:rPr>
      </w:pPr>
    </w:p>
    <w:p w14:paraId="5E9A2827">
      <w:pPr>
        <w:spacing w:line="360" w:lineRule="auto"/>
        <w:jc w:val="both"/>
        <w:rPr>
          <w:rFonts w:hint="default" w:eastAsia="宋体" w:cs="Times New Roman"/>
          <w:color w:val="auto"/>
          <w:sz w:val="22"/>
          <w:szCs w:val="22"/>
          <w:highlight w:val="none"/>
          <w:lang w:val="en-US" w:eastAsia="zh-CN"/>
        </w:rPr>
      </w:pPr>
      <w:r>
        <w:rPr>
          <w:rFonts w:hint="eastAsia" w:ascii="宋体" w:hAnsi="宋体" w:eastAsia="宋体" w:cs="宋体"/>
          <w:b/>
          <w:color w:val="auto"/>
          <w:sz w:val="22"/>
          <w:szCs w:val="22"/>
          <w:highlight w:val="none"/>
        </w:rPr>
        <w:t>注：</w:t>
      </w:r>
      <w:r>
        <w:rPr>
          <w:rFonts w:hint="eastAsia" w:ascii="宋体" w:hAnsi="宋体" w:eastAsia="宋体" w:cs="宋体"/>
          <w:b/>
          <w:color w:val="auto"/>
          <w:sz w:val="22"/>
          <w:szCs w:val="22"/>
          <w:highlight w:val="none"/>
          <w:lang w:val="en-US" w:eastAsia="zh-CN"/>
        </w:rPr>
        <w:t>①</w:t>
      </w:r>
      <w:r>
        <w:rPr>
          <w:rFonts w:hint="eastAsia" w:ascii="宋体" w:hAnsi="宋体" w:eastAsia="宋体" w:cs="宋体"/>
          <w:b/>
          <w:color w:val="auto"/>
          <w:sz w:val="22"/>
          <w:szCs w:val="22"/>
          <w:highlight w:val="none"/>
        </w:rPr>
        <w:t>上述资料</w:t>
      </w:r>
      <w:r>
        <w:rPr>
          <w:rFonts w:hint="eastAsia" w:ascii="宋体" w:hAnsi="宋体" w:eastAsia="宋体" w:cs="宋体"/>
          <w:b/>
          <w:bCs/>
          <w:color w:val="auto"/>
          <w:kern w:val="0"/>
          <w:sz w:val="22"/>
          <w:szCs w:val="22"/>
          <w:highlight w:val="none"/>
          <w:lang w:bidi="ar"/>
        </w:rPr>
        <w:t>若核实后有涉假的，将直接废标，并上报有关部门纳入诚信管理系统。</w:t>
      </w:r>
    </w:p>
    <w:p w14:paraId="16C118BE">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13.</w:t>
      </w:r>
      <w:r>
        <w:rPr>
          <w:rFonts w:hint="eastAsia" w:ascii="宋体" w:hAnsi="宋体" w:eastAsia="宋体" w:cs="宋体"/>
          <w:color w:val="auto"/>
          <w:sz w:val="22"/>
          <w:szCs w:val="22"/>
          <w:highlight w:val="none"/>
        </w:rPr>
        <w:t>3、商务、技术分=评标委员会所有成员评分合计数/评标委员会组成人员数</w:t>
      </w:r>
    </w:p>
    <w:p w14:paraId="648BEE7D">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13.</w:t>
      </w:r>
      <w:r>
        <w:rPr>
          <w:rFonts w:hint="eastAsia" w:ascii="宋体" w:hAnsi="宋体" w:eastAsia="宋体" w:cs="宋体"/>
          <w:color w:val="auto"/>
          <w:sz w:val="22"/>
          <w:szCs w:val="22"/>
          <w:highlight w:val="none"/>
        </w:rPr>
        <w:t>4、价格分（</w:t>
      </w:r>
      <w:r>
        <w:rPr>
          <w:rFonts w:hint="eastAsia" w:ascii="宋体" w:hAnsi="宋体" w:cs="宋体"/>
          <w:color w:val="auto"/>
          <w:sz w:val="22"/>
          <w:szCs w:val="22"/>
          <w:highlight w:val="none"/>
          <w:lang w:val="en-US" w:eastAsia="zh-CN"/>
        </w:rPr>
        <w:t>60</w:t>
      </w:r>
      <w:r>
        <w:rPr>
          <w:rFonts w:hint="eastAsia" w:ascii="宋体" w:hAnsi="宋体" w:eastAsia="宋体" w:cs="宋体"/>
          <w:color w:val="auto"/>
          <w:sz w:val="22"/>
          <w:szCs w:val="22"/>
          <w:highlight w:val="none"/>
        </w:rPr>
        <w:t>分）采用低价优先法计算，即满足招标文件要求且投标价格最低的投标报价</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即优惠程度最高</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为评标基准价，其他投标供应商的价格分按照下列公式计算：</w:t>
      </w:r>
    </w:p>
    <w:p w14:paraId="49A15BAC">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价格分=（评标基准价/投标报价）×</w:t>
      </w:r>
      <w:r>
        <w:rPr>
          <w:rFonts w:hint="eastAsia" w:ascii="宋体" w:hAnsi="宋体" w:cs="宋体"/>
          <w:color w:val="auto"/>
          <w:sz w:val="22"/>
          <w:szCs w:val="22"/>
          <w:highlight w:val="none"/>
          <w:lang w:val="en-US" w:eastAsia="zh-CN"/>
        </w:rPr>
        <w:t>60</w:t>
      </w:r>
      <w:r>
        <w:rPr>
          <w:rFonts w:hint="eastAsia" w:ascii="宋体" w:hAnsi="宋体" w:eastAsia="宋体" w:cs="宋体"/>
          <w:color w:val="auto"/>
          <w:sz w:val="22"/>
          <w:szCs w:val="22"/>
          <w:highlight w:val="none"/>
        </w:rPr>
        <w:t>%×100</w:t>
      </w:r>
    </w:p>
    <w:p w14:paraId="4F65F3AA">
      <w:pPr>
        <w:snapToGrid w:val="0"/>
        <w:spacing w:line="360" w:lineRule="auto"/>
        <w:ind w:firstLine="440" w:firstLineChars="200"/>
        <w:rPr>
          <w:rFonts w:hint="eastAsia" w:ascii="宋体" w:hAnsi="宋体" w:eastAsia="宋体" w:cs="宋体"/>
          <w:b/>
          <w:color w:val="auto"/>
          <w:sz w:val="22"/>
          <w:szCs w:val="22"/>
          <w:highlight w:val="none"/>
        </w:rPr>
      </w:pPr>
      <w:r>
        <w:rPr>
          <w:rFonts w:hint="eastAsia" w:ascii="宋体" w:hAnsi="宋体" w:cs="宋体"/>
          <w:color w:val="auto"/>
          <w:sz w:val="22"/>
          <w:szCs w:val="22"/>
          <w:highlight w:val="none"/>
          <w:lang w:val="en-US" w:eastAsia="zh-CN"/>
        </w:rPr>
        <w:t>13.</w:t>
      </w:r>
      <w:r>
        <w:rPr>
          <w:rFonts w:hint="eastAsia" w:ascii="宋体" w:hAnsi="宋体" w:eastAsia="宋体" w:cs="宋体"/>
          <w:color w:val="auto"/>
          <w:sz w:val="22"/>
          <w:szCs w:val="22"/>
          <w:highlight w:val="none"/>
        </w:rPr>
        <w:t>5、投标供应商评标综合得分=价格分+商务、技术分</w:t>
      </w:r>
    </w:p>
    <w:p w14:paraId="705B60F6">
      <w:pPr>
        <w:pStyle w:val="33"/>
        <w:snapToGrid w:val="0"/>
        <w:ind w:left="48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注：以上所涉及的证明材料，需提供扫描件，未提供的不得分。</w:t>
      </w:r>
    </w:p>
    <w:p w14:paraId="4AC12EEF">
      <w:pPr>
        <w:snapToGrid w:val="0"/>
        <w:spacing w:line="360" w:lineRule="auto"/>
        <w:ind w:firstLine="433" w:firstLineChars="19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报价是中标的一个重要因素，但最低报价不是中标的唯一依据。</w:t>
      </w:r>
    </w:p>
    <w:p w14:paraId="7A702B59">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（十四）评标内容的保密</w:t>
      </w:r>
    </w:p>
    <w:p w14:paraId="2D25E2F2">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14.</w:t>
      </w:r>
      <w:r>
        <w:rPr>
          <w:rFonts w:hint="eastAsia" w:ascii="宋体" w:hAnsi="宋体" w:eastAsia="宋体" w:cs="宋体"/>
          <w:color w:val="auto"/>
          <w:sz w:val="22"/>
          <w:szCs w:val="22"/>
          <w:highlight w:val="none"/>
        </w:rPr>
        <w:t>1、公开开标后，直到宣布中标单位止，凡属于审查、澄清、评价和比较投标的所有资料，都不应向投标供应商或与评标无关的其他人泄露。</w:t>
      </w:r>
    </w:p>
    <w:p w14:paraId="0869F07B">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14.</w:t>
      </w:r>
      <w:r>
        <w:rPr>
          <w:rFonts w:hint="eastAsia" w:ascii="宋体" w:hAnsi="宋体" w:eastAsia="宋体" w:cs="宋体"/>
          <w:color w:val="auto"/>
          <w:sz w:val="22"/>
          <w:szCs w:val="22"/>
          <w:highlight w:val="none"/>
        </w:rPr>
        <w:t>2、在投标文件的审查、澄清、评价和比较以及确定中标供应商过程中，投标供应商对采购人、采购代理机构和评标委员会施加影响的任何行为，都将导致取消资格。</w:t>
      </w:r>
    </w:p>
    <w:bookmarkEnd w:id="81"/>
    <w:p w14:paraId="7AE04B97">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（十五）废标</w:t>
      </w:r>
    </w:p>
    <w:p w14:paraId="5A71C194">
      <w:pPr>
        <w:snapToGrid w:val="0"/>
        <w:spacing w:line="360" w:lineRule="auto"/>
        <w:ind w:firstLine="433" w:firstLineChars="196"/>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在采购中，出现下列情形之一的，应予废标：</w:t>
      </w:r>
    </w:p>
    <w:p w14:paraId="492ED791">
      <w:pPr>
        <w:snapToGrid w:val="0"/>
        <w:spacing w:line="360" w:lineRule="auto"/>
        <w:ind w:firstLine="433" w:firstLineChars="196"/>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15.1、</w:t>
      </w:r>
      <w:r>
        <w:rPr>
          <w:rFonts w:hint="eastAsia" w:ascii="宋体" w:hAnsi="宋体" w:eastAsia="宋体" w:cs="宋体"/>
          <w:b/>
          <w:color w:val="auto"/>
          <w:sz w:val="22"/>
          <w:szCs w:val="22"/>
          <w:highlight w:val="none"/>
        </w:rPr>
        <w:t>符合专业条件的供应商或者对招标文件作实质响应的供应商不足3家的；</w:t>
      </w:r>
    </w:p>
    <w:p w14:paraId="3DB0AEA9">
      <w:pPr>
        <w:snapToGrid w:val="0"/>
        <w:spacing w:line="360" w:lineRule="auto"/>
        <w:ind w:firstLine="433" w:firstLineChars="196"/>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15.2、</w:t>
      </w:r>
      <w:r>
        <w:rPr>
          <w:rFonts w:hint="eastAsia" w:ascii="宋体" w:hAnsi="宋体" w:eastAsia="宋体" w:cs="宋体"/>
          <w:b/>
          <w:color w:val="auto"/>
          <w:sz w:val="22"/>
          <w:szCs w:val="22"/>
          <w:highlight w:val="none"/>
        </w:rPr>
        <w:t>出现影响采购公正的违法、违规行为的；</w:t>
      </w:r>
    </w:p>
    <w:p w14:paraId="76AC3113">
      <w:pPr>
        <w:snapToGrid w:val="0"/>
        <w:spacing w:line="360" w:lineRule="auto"/>
        <w:ind w:firstLine="433" w:firstLineChars="196"/>
        <w:rPr>
          <w:rFonts w:hint="eastAsia" w:ascii="宋体" w:hAnsi="宋体" w:eastAsia="宋体" w:cs="宋体"/>
          <w:b/>
          <w:color w:val="auto"/>
          <w:sz w:val="22"/>
          <w:szCs w:val="22"/>
          <w:highlight w:val="none"/>
        </w:rPr>
      </w:pPr>
      <w:r>
        <w:rPr>
          <w:rFonts w:hint="eastAsia" w:ascii="宋体" w:hAnsi="宋体" w:cs="宋体"/>
          <w:b/>
          <w:color w:val="auto"/>
          <w:sz w:val="22"/>
          <w:szCs w:val="22"/>
          <w:highlight w:val="none"/>
          <w:lang w:val="en-US" w:eastAsia="zh-CN"/>
        </w:rPr>
        <w:t>15.3、</w:t>
      </w:r>
      <w:r>
        <w:rPr>
          <w:rFonts w:hint="eastAsia" w:ascii="宋体" w:hAnsi="宋体" w:eastAsia="宋体" w:cs="宋体"/>
          <w:b/>
          <w:color w:val="auto"/>
          <w:sz w:val="22"/>
          <w:szCs w:val="22"/>
          <w:highlight w:val="none"/>
        </w:rPr>
        <w:t>报价均超过预算，不能支付的；</w:t>
      </w:r>
    </w:p>
    <w:p w14:paraId="055448DB">
      <w:pPr>
        <w:snapToGrid w:val="0"/>
        <w:spacing w:line="360" w:lineRule="auto"/>
        <w:ind w:firstLine="433" w:firstLineChars="196"/>
        <w:rPr>
          <w:rFonts w:hint="eastAsia" w:ascii="宋体" w:hAnsi="宋体" w:eastAsia="宋体" w:cs="宋体"/>
          <w:b/>
          <w:bCs/>
          <w:color w:val="auto"/>
          <w:sz w:val="22"/>
          <w:szCs w:val="22"/>
          <w:highlight w:val="none"/>
        </w:rPr>
      </w:pPr>
      <w:r>
        <w:rPr>
          <w:rFonts w:hint="eastAsia" w:ascii="宋体" w:hAnsi="宋体" w:cs="宋体"/>
          <w:b/>
          <w:color w:val="auto"/>
          <w:sz w:val="22"/>
          <w:szCs w:val="22"/>
          <w:highlight w:val="none"/>
          <w:lang w:val="en-US" w:eastAsia="zh-CN"/>
        </w:rPr>
        <w:t>15.4、</w:t>
      </w:r>
      <w:r>
        <w:rPr>
          <w:rFonts w:hint="eastAsia" w:ascii="宋体" w:hAnsi="宋体" w:eastAsia="宋体" w:cs="宋体"/>
          <w:b/>
          <w:color w:val="auto"/>
          <w:sz w:val="22"/>
          <w:szCs w:val="22"/>
          <w:highlight w:val="none"/>
        </w:rPr>
        <w:t>因重大变故，采购任务取消的。</w:t>
      </w:r>
    </w:p>
    <w:p w14:paraId="0332DB65">
      <w:pPr>
        <w:pStyle w:val="9"/>
        <w:numPr>
          <w:ilvl w:val="0"/>
          <w:numId w:val="0"/>
        </w:numPr>
        <w:spacing w:before="0" w:after="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（十六）可中止电子交易活动的情形</w:t>
      </w:r>
    </w:p>
    <w:p w14:paraId="12DC001E">
      <w:pPr>
        <w:spacing w:line="360" w:lineRule="auto"/>
        <w:ind w:firstLine="389" w:firstLineChars="176"/>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采购过程中出现以下情形，导致电子交易平台无法正常运行，或者无法保证电子交易的公平、公正和安全时，采购组织机构可中止电子交易活动：</w:t>
      </w:r>
    </w:p>
    <w:p w14:paraId="33C8B37A">
      <w:pPr>
        <w:spacing w:line="360" w:lineRule="auto"/>
        <w:ind w:firstLine="387" w:firstLineChars="176"/>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16.1、</w:t>
      </w:r>
      <w:r>
        <w:rPr>
          <w:rFonts w:hint="eastAsia" w:ascii="宋体" w:hAnsi="宋体" w:eastAsia="宋体" w:cs="宋体"/>
          <w:color w:val="auto"/>
          <w:sz w:val="22"/>
          <w:szCs w:val="22"/>
          <w:highlight w:val="none"/>
        </w:rPr>
        <w:t>电子交易平台发生故障而无法登录访问的；</w:t>
      </w:r>
    </w:p>
    <w:p w14:paraId="0C206BA9">
      <w:pPr>
        <w:spacing w:line="360" w:lineRule="auto"/>
        <w:ind w:firstLine="387" w:firstLineChars="176"/>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16.</w:t>
      </w:r>
      <w:r>
        <w:rPr>
          <w:rFonts w:hint="eastAsia" w:ascii="宋体" w:hAnsi="宋体" w:eastAsia="宋体" w:cs="宋体"/>
          <w:color w:val="auto"/>
          <w:sz w:val="22"/>
          <w:szCs w:val="22"/>
          <w:highlight w:val="none"/>
        </w:rPr>
        <w:t>2、电子交易平台应用或数据库出现错误，不能进行正常操作的；</w:t>
      </w:r>
    </w:p>
    <w:p w14:paraId="638845C7">
      <w:pPr>
        <w:spacing w:line="360" w:lineRule="auto"/>
        <w:ind w:firstLine="387" w:firstLineChars="176"/>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16.</w:t>
      </w:r>
      <w:r>
        <w:rPr>
          <w:rFonts w:hint="eastAsia" w:ascii="宋体" w:hAnsi="宋体" w:eastAsia="宋体" w:cs="宋体"/>
          <w:color w:val="auto"/>
          <w:sz w:val="22"/>
          <w:szCs w:val="22"/>
          <w:highlight w:val="none"/>
        </w:rPr>
        <w:t>3、电子交易平台发现严重安全漏洞，有潜在泄密危险的；</w:t>
      </w:r>
    </w:p>
    <w:p w14:paraId="612B097F">
      <w:pPr>
        <w:spacing w:line="360" w:lineRule="auto"/>
        <w:ind w:firstLine="387" w:firstLineChars="176"/>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16.</w:t>
      </w:r>
      <w:r>
        <w:rPr>
          <w:rFonts w:hint="eastAsia" w:ascii="宋体" w:hAnsi="宋体" w:eastAsia="宋体" w:cs="宋体"/>
          <w:color w:val="auto"/>
          <w:sz w:val="22"/>
          <w:szCs w:val="22"/>
          <w:highlight w:val="none"/>
        </w:rPr>
        <w:t>4、病毒发作导致不能进行正常操作的；</w:t>
      </w:r>
    </w:p>
    <w:p w14:paraId="5286F23E">
      <w:pPr>
        <w:spacing w:line="360" w:lineRule="auto"/>
        <w:ind w:firstLine="387" w:firstLineChars="176"/>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16.</w:t>
      </w:r>
      <w:r>
        <w:rPr>
          <w:rFonts w:hint="eastAsia" w:ascii="宋体" w:hAnsi="宋体" w:eastAsia="宋体" w:cs="宋体"/>
          <w:color w:val="auto"/>
          <w:sz w:val="22"/>
          <w:szCs w:val="22"/>
          <w:highlight w:val="none"/>
        </w:rPr>
        <w:t>5、其他无法保证电子交易的公平、公正和安全的情况。</w:t>
      </w:r>
    </w:p>
    <w:p w14:paraId="63C2130D">
      <w:pPr>
        <w:spacing w:line="360" w:lineRule="auto"/>
        <w:ind w:firstLine="389" w:firstLineChars="176"/>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出现前款规定情形，不影响采购公平、公正性的，采购组织机构可以待上述情形消除后继续组织电子交易活动；影响或可能影响采购公平、公正性的，应当重新采购。</w:t>
      </w:r>
    </w:p>
    <w:bookmarkEnd w:id="70"/>
    <w:bookmarkEnd w:id="71"/>
    <w:bookmarkEnd w:id="72"/>
    <w:p w14:paraId="34DB4529">
      <w:pPr>
        <w:rPr>
          <w:rFonts w:hint="eastAsia" w:ascii="宋体" w:hAnsi="宋体" w:eastAsia="宋体" w:cs="宋体"/>
          <w:b/>
          <w:bCs/>
          <w:color w:val="auto"/>
          <w:sz w:val="36"/>
          <w:szCs w:val="36"/>
          <w:highlight w:val="none"/>
        </w:rPr>
      </w:pPr>
      <w:bookmarkStart w:id="82" w:name="_Toc86216995"/>
      <w:bookmarkStart w:id="83" w:name="_Toc33194399"/>
      <w:bookmarkStart w:id="84" w:name="_Toc233618979"/>
      <w:bookmarkStart w:id="85" w:name="_Toc354996703"/>
      <w:bookmarkStart w:id="86" w:name="_Toc91899910"/>
      <w:r>
        <w:rPr>
          <w:rFonts w:hint="eastAsia" w:ascii="宋体" w:hAnsi="宋体" w:eastAsia="宋体" w:cs="宋体"/>
          <w:b/>
          <w:bCs/>
          <w:color w:val="auto"/>
          <w:sz w:val="36"/>
          <w:szCs w:val="36"/>
          <w:highlight w:val="none"/>
        </w:rPr>
        <w:br w:type="page"/>
      </w:r>
    </w:p>
    <w:p w14:paraId="63B40A5E">
      <w:pPr>
        <w:keepNext w:val="0"/>
        <w:keepLines w:val="0"/>
        <w:pageBreakBefore w:val="0"/>
        <w:widowControl w:val="0"/>
        <w:shd w:val="clear" w:color="auto" w:fill="FFFFFF"/>
        <w:kinsoku/>
        <w:wordWrap/>
        <w:overflowPunct/>
        <w:topLinePunct w:val="0"/>
        <w:autoSpaceDE/>
        <w:autoSpaceDN/>
        <w:bidi w:val="0"/>
        <w:adjustRightInd/>
        <w:snapToGrid w:val="0"/>
        <w:spacing w:before="469" w:beforeLines="150" w:line="360" w:lineRule="auto"/>
        <w:jc w:val="center"/>
        <w:textAlignment w:val="auto"/>
        <w:outlineLvl w:val="1"/>
        <w:rPr>
          <w:rFonts w:hint="eastAsia" w:ascii="宋体" w:hAnsi="宋体" w:eastAsia="宋体" w:cs="宋体"/>
          <w:b/>
          <w:bCs/>
          <w:color w:val="auto"/>
          <w:sz w:val="36"/>
          <w:szCs w:val="36"/>
          <w:highlight w:val="none"/>
        </w:rPr>
      </w:pPr>
      <w:bookmarkStart w:id="87" w:name="_Toc16938"/>
      <w:r>
        <w:rPr>
          <w:rFonts w:hint="eastAsia" w:ascii="宋体" w:hAnsi="宋体" w:eastAsia="宋体" w:cs="宋体"/>
          <w:b/>
          <w:bCs/>
          <w:color w:val="auto"/>
          <w:sz w:val="36"/>
          <w:szCs w:val="36"/>
          <w:highlight w:val="none"/>
        </w:rPr>
        <w:t>七、</w:t>
      </w:r>
      <w:bookmarkEnd w:id="82"/>
      <w:r>
        <w:rPr>
          <w:rFonts w:hint="eastAsia" w:ascii="宋体" w:hAnsi="宋体" w:eastAsia="宋体" w:cs="宋体"/>
          <w:b/>
          <w:bCs/>
          <w:color w:val="auto"/>
          <w:sz w:val="36"/>
          <w:szCs w:val="36"/>
          <w:highlight w:val="none"/>
        </w:rPr>
        <w:t>合同签订及其他</w:t>
      </w:r>
      <w:bookmarkEnd w:id="83"/>
      <w:bookmarkEnd w:id="84"/>
      <w:bookmarkEnd w:id="85"/>
      <w:bookmarkEnd w:id="87"/>
    </w:p>
    <w:bookmarkEnd w:id="86"/>
    <w:p w14:paraId="3BFE4D65">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（一）中标通知书</w:t>
      </w:r>
    </w:p>
    <w:p w14:paraId="76C64DE5">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1、确定中标供应商后，采购代理机构将在发布招标公告的网站上公布评标结果。</w:t>
      </w:r>
    </w:p>
    <w:p w14:paraId="42756D6D">
      <w:pPr>
        <w:shd w:val="clear" w:color="auto" w:fill="FFFFFF"/>
        <w:tabs>
          <w:tab w:val="left" w:pos="0"/>
        </w:tabs>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中标供应商拒绝承担中标的项目，或提出招标方不能接受的条件，致使合同无法签订，招标方将取消其中标资格，并根据评标委员会推荐的中标候选人先后顺序，将下一顺序的中标候选人作为预中标供应商进行公示，或由招标方组织评标委员会复议后提出重新组织采购等建议。</w:t>
      </w:r>
    </w:p>
    <w:p w14:paraId="0D0ECF00">
      <w:pPr>
        <w:shd w:val="clear" w:color="auto" w:fill="FFFFFF"/>
        <w:tabs>
          <w:tab w:val="left" w:pos="0"/>
        </w:tabs>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3、在中标供应商签订合同并生效后，采购代理机构及时将未中标的结果通知其他投标供应商。</w:t>
      </w:r>
    </w:p>
    <w:p w14:paraId="5B4E8551">
      <w:pPr>
        <w:shd w:val="clear" w:color="auto" w:fill="FFFFFF"/>
        <w:tabs>
          <w:tab w:val="left" w:pos="0"/>
        </w:tabs>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4、如签订合同并生效后，供应商无故拒绝或延期，除按照合同条款处罚外，列入不良行为记录一次，并给予通报。</w:t>
      </w:r>
    </w:p>
    <w:p w14:paraId="04E352D5">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（二）合同的签订</w:t>
      </w:r>
    </w:p>
    <w:p w14:paraId="66503F14">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中标供应商按规定的日期、时间、地点，由法定代表人或授权代表人与采购人代表签订合同。</w:t>
      </w:r>
    </w:p>
    <w:p w14:paraId="625739E2">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（三）履约保证金</w:t>
      </w:r>
    </w:p>
    <w:p w14:paraId="2CC37E3F">
      <w:pPr>
        <w:shd w:val="clear" w:color="auto" w:fill="FFFFFF"/>
        <w:snapToGrid w:val="0"/>
        <w:spacing w:line="360" w:lineRule="auto"/>
        <w:ind w:firstLine="440" w:firstLineChars="200"/>
        <w:rPr>
          <w:rFonts w:hint="eastAsia" w:ascii="宋体" w:hAnsi="宋体" w:eastAsia="宋体" w:cs="宋体"/>
          <w:color w:val="auto"/>
          <w:sz w:val="22"/>
          <w:szCs w:val="22"/>
        </w:rPr>
      </w:pPr>
      <w:r>
        <w:rPr>
          <w:rFonts w:hint="eastAsia" w:ascii="宋体" w:hAnsi="宋体" w:cs="宋体"/>
          <w:color w:val="auto"/>
          <w:sz w:val="22"/>
          <w:szCs w:val="22"/>
          <w:lang w:val="en-US" w:eastAsia="zh-CN"/>
        </w:rPr>
        <w:t>1、</w:t>
      </w:r>
      <w:r>
        <w:rPr>
          <w:rFonts w:hint="eastAsia" w:ascii="宋体" w:hAnsi="宋体" w:eastAsia="宋体" w:cs="宋体"/>
          <w:color w:val="auto"/>
          <w:sz w:val="22"/>
          <w:szCs w:val="22"/>
        </w:rPr>
        <w:t>中标供应商应向采购人</w:t>
      </w:r>
      <w:r>
        <w:rPr>
          <w:rFonts w:hint="eastAsia" w:ascii="宋体" w:hAnsi="宋体" w:cs="宋体"/>
          <w:color w:val="auto"/>
          <w:sz w:val="22"/>
          <w:szCs w:val="22"/>
          <w:lang w:val="en-US" w:eastAsia="zh-CN"/>
        </w:rPr>
        <w:t>交纳预算金额2.5%</w:t>
      </w:r>
      <w:r>
        <w:rPr>
          <w:rFonts w:hint="eastAsia" w:ascii="宋体" w:hAnsi="宋体" w:eastAsia="宋体" w:cs="宋体"/>
          <w:color w:val="auto"/>
          <w:sz w:val="22"/>
          <w:szCs w:val="22"/>
          <w:lang w:val="en-US"/>
        </w:rPr>
        <w:t>的</w:t>
      </w:r>
      <w:r>
        <w:rPr>
          <w:rFonts w:hint="eastAsia" w:ascii="宋体" w:hAnsi="宋体" w:eastAsia="宋体" w:cs="宋体"/>
          <w:color w:val="auto"/>
          <w:sz w:val="22"/>
          <w:szCs w:val="22"/>
        </w:rPr>
        <w:t>履约保证</w:t>
      </w:r>
      <w:r>
        <w:rPr>
          <w:rFonts w:hint="eastAsia" w:ascii="宋体" w:hAnsi="宋体" w:cs="宋体"/>
          <w:color w:val="auto"/>
          <w:sz w:val="22"/>
          <w:szCs w:val="22"/>
          <w:lang w:val="en-US" w:eastAsia="zh-CN"/>
        </w:rPr>
        <w:t>金（银行转账或银行保函或保险机构保证保险保单或融资担保公司保函），采用保函形式须提供见索即付。</w:t>
      </w:r>
      <w:r>
        <w:rPr>
          <w:rFonts w:hint="eastAsia" w:ascii="宋体" w:hAnsi="宋体" w:eastAsia="宋体" w:cs="宋体"/>
          <w:color w:val="auto"/>
          <w:sz w:val="22"/>
          <w:szCs w:val="22"/>
          <w:lang w:val="en-US"/>
        </w:rPr>
        <w:t>项目完成并</w:t>
      </w:r>
      <w:r>
        <w:rPr>
          <w:rFonts w:hint="eastAsia" w:ascii="宋体" w:hAnsi="宋体" w:cs="宋体"/>
          <w:color w:val="auto"/>
          <w:sz w:val="22"/>
          <w:szCs w:val="22"/>
          <w:lang w:val="en-US" w:eastAsia="zh-CN"/>
        </w:rPr>
        <w:t>最终</w:t>
      </w:r>
      <w:r>
        <w:rPr>
          <w:rFonts w:hint="eastAsia" w:ascii="宋体" w:hAnsi="宋体" w:eastAsia="宋体" w:cs="宋体"/>
          <w:color w:val="auto"/>
          <w:sz w:val="22"/>
          <w:szCs w:val="22"/>
          <w:lang w:val="en-US"/>
        </w:rPr>
        <w:t>验收合格后，</w:t>
      </w:r>
      <w:r>
        <w:rPr>
          <w:rFonts w:hint="eastAsia" w:ascii="宋体" w:hAnsi="宋体" w:eastAsia="宋体" w:cs="宋体"/>
          <w:color w:val="auto"/>
          <w:sz w:val="22"/>
          <w:szCs w:val="22"/>
          <w:lang w:val="en-US" w:eastAsia="zh-CN"/>
        </w:rPr>
        <w:t>15个工日内无息退还</w:t>
      </w:r>
      <w:r>
        <w:rPr>
          <w:rFonts w:hint="eastAsia" w:ascii="宋体" w:hAnsi="宋体" w:eastAsia="宋体" w:cs="宋体"/>
          <w:color w:val="auto"/>
          <w:sz w:val="22"/>
          <w:szCs w:val="22"/>
        </w:rPr>
        <w:t>。</w:t>
      </w:r>
    </w:p>
    <w:p w14:paraId="187D2351">
      <w:pPr>
        <w:shd w:val="clear" w:color="auto" w:fill="FFFFFF"/>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b w:val="0"/>
          <w:bCs/>
          <w:sz w:val="22"/>
          <w:szCs w:val="22"/>
          <w:lang w:val="en-US" w:eastAsia="zh-CN"/>
        </w:rPr>
        <w:t>注：合同履行期内，因中标人原因造成履约保证金的扣除，中标人须在履约保证金扣除后的7个工作日内补足</w:t>
      </w:r>
      <w:r>
        <w:rPr>
          <w:rFonts w:hint="eastAsia" w:ascii="宋体" w:hAnsi="宋体" w:cs="宋体"/>
          <w:b w:val="0"/>
          <w:bCs/>
          <w:sz w:val="22"/>
          <w:szCs w:val="22"/>
          <w:lang w:val="en-US" w:eastAsia="zh-CN"/>
        </w:rPr>
        <w:t>预算</w:t>
      </w:r>
      <w:r>
        <w:rPr>
          <w:rFonts w:hint="eastAsia" w:ascii="宋体" w:hAnsi="宋体" w:eastAsia="宋体" w:cs="宋体"/>
          <w:b w:val="0"/>
          <w:bCs/>
          <w:sz w:val="22"/>
          <w:szCs w:val="22"/>
        </w:rPr>
        <w:t>金额</w:t>
      </w:r>
      <w:r>
        <w:rPr>
          <w:rFonts w:hint="eastAsia" w:ascii="宋体" w:hAnsi="宋体" w:eastAsia="宋体" w:cs="宋体"/>
          <w:b w:val="0"/>
          <w:bCs/>
          <w:sz w:val="22"/>
          <w:szCs w:val="22"/>
          <w:lang w:eastAsia="zh-CN"/>
        </w:rPr>
        <w:t>的</w:t>
      </w:r>
      <w:r>
        <w:rPr>
          <w:rFonts w:hint="eastAsia" w:ascii="宋体" w:hAnsi="宋体" w:eastAsia="宋体" w:cs="宋体"/>
          <w:b w:val="0"/>
          <w:bCs/>
          <w:sz w:val="22"/>
          <w:szCs w:val="22"/>
          <w:lang w:val="en-US" w:eastAsia="zh-CN"/>
        </w:rPr>
        <w:t>2.5</w:t>
      </w:r>
      <w:r>
        <w:rPr>
          <w:rFonts w:hint="eastAsia" w:ascii="宋体" w:hAnsi="宋体" w:eastAsia="宋体" w:cs="宋体"/>
          <w:b w:val="0"/>
          <w:bCs/>
          <w:sz w:val="22"/>
          <w:szCs w:val="22"/>
        </w:rPr>
        <w:t>%</w:t>
      </w:r>
      <w:r>
        <w:rPr>
          <w:rFonts w:hint="eastAsia" w:ascii="宋体" w:hAnsi="宋体" w:eastAsia="宋体" w:cs="宋体"/>
          <w:b w:val="0"/>
          <w:bCs/>
          <w:sz w:val="22"/>
          <w:szCs w:val="22"/>
          <w:lang w:eastAsia="zh-CN"/>
        </w:rPr>
        <w:t>。</w:t>
      </w:r>
    </w:p>
    <w:p w14:paraId="10E77AFB">
      <w:pPr>
        <w:shd w:val="clear" w:color="auto" w:fill="FFFFFF"/>
        <w:snapToGrid w:val="0"/>
        <w:spacing w:line="360" w:lineRule="auto"/>
        <w:ind w:firstLine="440" w:firstLineChars="200"/>
        <w:rPr>
          <w:rFonts w:hint="eastAsia" w:ascii="宋体" w:hAnsi="宋体" w:eastAsia="宋体" w:cs="宋体"/>
          <w:color w:val="auto"/>
          <w:sz w:val="22"/>
          <w:szCs w:val="22"/>
        </w:rPr>
      </w:pPr>
      <w:r>
        <w:rPr>
          <w:rFonts w:hint="eastAsia" w:ascii="宋体" w:hAnsi="宋体" w:cs="宋体"/>
          <w:color w:val="auto"/>
          <w:sz w:val="22"/>
          <w:szCs w:val="22"/>
          <w:lang w:val="en-US" w:eastAsia="zh-CN"/>
        </w:rPr>
        <w:t>2</w:t>
      </w:r>
      <w:r>
        <w:rPr>
          <w:rFonts w:hint="eastAsia" w:ascii="宋体" w:hAnsi="宋体" w:eastAsia="宋体" w:cs="宋体"/>
          <w:color w:val="auto"/>
          <w:sz w:val="22"/>
          <w:szCs w:val="22"/>
        </w:rPr>
        <w:t>、中标供应商如未按时交纳履约保证金，采购人有权</w:t>
      </w:r>
      <w:r>
        <w:rPr>
          <w:rFonts w:hint="eastAsia" w:ascii="宋体" w:hAnsi="宋体" w:eastAsia="宋体" w:cs="宋体"/>
          <w:color w:val="auto"/>
          <w:sz w:val="22"/>
          <w:szCs w:val="22"/>
          <w:lang w:val="en-US" w:eastAsia="zh-CN"/>
        </w:rPr>
        <w:t>解除合同</w:t>
      </w:r>
      <w:r>
        <w:rPr>
          <w:rFonts w:hint="eastAsia" w:ascii="宋体" w:hAnsi="宋体" w:eastAsia="宋体" w:cs="宋体"/>
          <w:color w:val="auto"/>
          <w:sz w:val="22"/>
          <w:szCs w:val="22"/>
        </w:rPr>
        <w:t>。</w:t>
      </w:r>
    </w:p>
    <w:p w14:paraId="36510F20">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（四）付款结算方式</w:t>
      </w:r>
    </w:p>
    <w:p w14:paraId="6CF1F4D6">
      <w:pPr>
        <w:shd w:val="clear" w:color="auto" w:fill="FFFFFF"/>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1、不支付预付款；实行先交货后付款</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采购人根据实际需求确定每批次的</w:t>
      </w:r>
      <w:r>
        <w:rPr>
          <w:rFonts w:hint="eastAsia" w:ascii="宋体" w:hAnsi="宋体" w:cs="宋体"/>
          <w:color w:val="auto"/>
          <w:sz w:val="22"/>
          <w:szCs w:val="22"/>
          <w:lang w:val="en-US" w:eastAsia="zh-CN"/>
        </w:rPr>
        <w:t>燃料油</w:t>
      </w:r>
      <w:r>
        <w:rPr>
          <w:rFonts w:hint="eastAsia" w:ascii="宋体" w:hAnsi="宋体" w:eastAsia="宋体" w:cs="宋体"/>
          <w:color w:val="auto"/>
          <w:sz w:val="22"/>
          <w:szCs w:val="22"/>
          <w:lang w:val="en-US" w:eastAsia="zh-CN"/>
        </w:rPr>
        <w:t>供货量，货送到经验收合格后7个工作日内付清该批次货款。</w:t>
      </w:r>
    </w:p>
    <w:p w14:paraId="3D333DC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rPr>
      </w:pPr>
      <w:r>
        <w:rPr>
          <w:rFonts w:hint="eastAsia" w:ascii="宋体" w:hAnsi="宋体" w:eastAsia="宋体" w:cs="宋体"/>
          <w:b w:val="0"/>
          <w:bCs/>
          <w:sz w:val="22"/>
          <w:szCs w:val="22"/>
          <w:lang w:val="en-US" w:eastAsia="zh-CN"/>
        </w:rPr>
        <w:t>2、</w:t>
      </w:r>
      <w:r>
        <w:rPr>
          <w:rFonts w:hint="eastAsia" w:ascii="宋体" w:hAnsi="宋体" w:eastAsia="宋体" w:cs="宋体"/>
          <w:color w:val="auto"/>
          <w:sz w:val="22"/>
          <w:szCs w:val="22"/>
          <w:lang w:val="en-US" w:eastAsia="zh-CN"/>
        </w:rPr>
        <w:t>本项目采用固定综合单价，数量按实结算，合同期内折扣率不予调整</w:t>
      </w:r>
      <w:r>
        <w:rPr>
          <w:rFonts w:hint="eastAsia" w:ascii="宋体" w:hAnsi="宋体" w:eastAsia="宋体" w:cs="宋体"/>
          <w:color w:val="auto"/>
          <w:sz w:val="22"/>
          <w:szCs w:val="22"/>
        </w:rPr>
        <w:t>；</w:t>
      </w:r>
    </w:p>
    <w:p w14:paraId="6F381496">
      <w:pPr>
        <w:shd w:val="clear" w:color="auto" w:fill="FFFFFF"/>
        <w:snapToGrid w:val="0"/>
        <w:spacing w:line="360" w:lineRule="auto"/>
        <w:ind w:firstLine="440" w:firstLineChars="200"/>
        <w:rPr>
          <w:rFonts w:hint="eastAsia" w:ascii="宋体" w:hAnsi="宋体" w:eastAsia="宋体" w:cs="宋体"/>
          <w:color w:val="auto"/>
          <w:sz w:val="22"/>
          <w:szCs w:val="22"/>
          <w:lang w:val="zh-CN" w:eastAsia="zh-CN"/>
        </w:rPr>
      </w:pPr>
      <w:r>
        <w:rPr>
          <w:rFonts w:hint="eastAsia" w:ascii="宋体" w:hAnsi="宋体" w:eastAsia="宋体" w:cs="宋体"/>
          <w:b w:val="0"/>
          <w:bCs/>
          <w:sz w:val="22"/>
          <w:szCs w:val="22"/>
          <w:lang w:val="en-US" w:eastAsia="zh-CN"/>
        </w:rPr>
        <w:t>3</w:t>
      </w:r>
      <w:r>
        <w:rPr>
          <w:rFonts w:hint="eastAsia" w:ascii="宋体" w:hAnsi="宋体" w:eastAsia="宋体" w:cs="宋体"/>
          <w:b w:val="0"/>
          <w:bCs/>
          <w:sz w:val="22"/>
          <w:szCs w:val="22"/>
          <w:lang w:eastAsia="zh-CN"/>
        </w:rPr>
        <w:t>、</w:t>
      </w:r>
      <w:r>
        <w:rPr>
          <w:rFonts w:hint="eastAsia" w:ascii="宋体" w:hAnsi="宋体" w:eastAsia="宋体" w:cs="宋体"/>
          <w:color w:val="auto"/>
          <w:sz w:val="22"/>
          <w:szCs w:val="22"/>
          <w:lang w:val="en-US" w:eastAsia="zh-CN"/>
        </w:rPr>
        <w:t>分批供货。供货价格</w:t>
      </w:r>
      <w:r>
        <w:rPr>
          <w:rFonts w:hint="eastAsia" w:ascii="宋体" w:hAnsi="宋体" w:cs="宋体"/>
          <w:i w:val="0"/>
          <w:iCs w:val="0"/>
          <w:color w:val="000000"/>
          <w:kern w:val="0"/>
          <w:sz w:val="22"/>
          <w:szCs w:val="22"/>
          <w:highlight w:val="none"/>
          <w:u w:val="none"/>
          <w:lang w:val="en-US" w:eastAsia="zh-CN" w:bidi="ar"/>
        </w:rPr>
        <w:t>以</w:t>
      </w:r>
      <w:r>
        <w:rPr>
          <w:rFonts w:hint="eastAsia" w:ascii="宋体" w:hAnsi="宋体"/>
          <w:bCs/>
          <w:color w:val="auto"/>
          <w:sz w:val="22"/>
          <w:szCs w:val="22"/>
          <w:highlight w:val="none"/>
        </w:rPr>
        <w:t>“生意社”网站（</w:t>
      </w:r>
      <w:r>
        <w:rPr>
          <w:rFonts w:hint="eastAsia" w:ascii="宋体" w:hAnsi="宋体"/>
          <w:bCs/>
          <w:color w:val="auto"/>
          <w:sz w:val="22"/>
          <w:szCs w:val="22"/>
          <w:highlight w:val="none"/>
        </w:rPr>
        <w:fldChar w:fldCharType="begin"/>
      </w:r>
      <w:r>
        <w:rPr>
          <w:rFonts w:hint="eastAsia" w:ascii="宋体" w:hAnsi="宋体"/>
          <w:bCs/>
          <w:color w:val="auto"/>
          <w:sz w:val="22"/>
          <w:szCs w:val="22"/>
          <w:highlight w:val="none"/>
        </w:rPr>
        <w:instrText xml:space="preserve"> HYPERLINK "http://www.100ppi.com/" </w:instrText>
      </w:r>
      <w:r>
        <w:rPr>
          <w:rFonts w:hint="eastAsia" w:ascii="宋体" w:hAnsi="宋体"/>
          <w:bCs/>
          <w:color w:val="auto"/>
          <w:sz w:val="22"/>
          <w:szCs w:val="22"/>
          <w:highlight w:val="none"/>
        </w:rPr>
        <w:fldChar w:fldCharType="separate"/>
      </w:r>
      <w:r>
        <w:rPr>
          <w:rFonts w:hint="eastAsia" w:ascii="宋体" w:hAnsi="宋体"/>
          <w:bCs/>
          <w:color w:val="auto"/>
          <w:sz w:val="22"/>
          <w:szCs w:val="22"/>
          <w:highlight w:val="none"/>
        </w:rPr>
        <w:t>http://www.100ppi.com/</w:t>
      </w:r>
      <w:r>
        <w:rPr>
          <w:rFonts w:hint="eastAsia" w:ascii="宋体" w:hAnsi="宋体"/>
          <w:bCs/>
          <w:color w:val="auto"/>
          <w:sz w:val="22"/>
          <w:szCs w:val="22"/>
          <w:highlight w:val="none"/>
        </w:rPr>
        <w:fldChar w:fldCharType="end"/>
      </w:r>
      <w:r>
        <w:rPr>
          <w:rFonts w:hint="eastAsia" w:ascii="宋体" w:hAnsi="宋体"/>
          <w:bCs/>
          <w:color w:val="auto"/>
          <w:sz w:val="22"/>
          <w:szCs w:val="22"/>
          <w:highlight w:val="none"/>
        </w:rPr>
        <w:t>）</w:t>
      </w:r>
      <w:r>
        <w:rPr>
          <w:rFonts w:hint="eastAsia" w:ascii="宋体" w:hAnsi="宋体"/>
          <w:bCs/>
          <w:color w:val="auto"/>
          <w:sz w:val="22"/>
          <w:szCs w:val="22"/>
          <w:highlight w:val="none"/>
          <w:lang w:val="en-US" w:eastAsia="zh-CN"/>
        </w:rPr>
        <w:t>最新</w:t>
      </w:r>
      <w:r>
        <w:rPr>
          <w:rFonts w:hint="eastAsia" w:ascii="宋体" w:hAnsi="宋体"/>
          <w:bCs/>
          <w:color w:val="auto"/>
          <w:sz w:val="22"/>
          <w:szCs w:val="22"/>
          <w:highlight w:val="none"/>
        </w:rPr>
        <w:t>发布的中燃（型号：180CST）宁波地区市场价</w:t>
      </w:r>
      <w:r>
        <w:rPr>
          <w:rFonts w:hint="eastAsia" w:ascii="宋体" w:hAnsi="宋体"/>
          <w:bCs/>
          <w:color w:val="auto"/>
          <w:sz w:val="22"/>
          <w:szCs w:val="22"/>
          <w:highlight w:val="none"/>
          <w:lang w:eastAsia="zh-CN"/>
        </w:rPr>
        <w:t>的</w:t>
      </w:r>
      <w:r>
        <w:rPr>
          <w:rFonts w:hint="eastAsia" w:ascii="宋体" w:hAnsi="宋体"/>
          <w:bCs/>
          <w:color w:val="auto"/>
          <w:sz w:val="22"/>
          <w:szCs w:val="22"/>
          <w:highlight w:val="none"/>
          <w:lang w:val="en-US" w:eastAsia="zh-CN"/>
        </w:rPr>
        <w:t>100%</w:t>
      </w:r>
      <w:r>
        <w:rPr>
          <w:rFonts w:hint="eastAsia" w:ascii="宋体" w:hAnsi="宋体"/>
          <w:bCs/>
          <w:color w:val="auto"/>
          <w:sz w:val="22"/>
          <w:szCs w:val="22"/>
          <w:highlight w:val="none"/>
        </w:rPr>
        <w:t>为</w:t>
      </w:r>
      <w:r>
        <w:rPr>
          <w:rFonts w:hint="eastAsia" w:ascii="宋体" w:hAnsi="宋体"/>
          <w:bCs/>
          <w:color w:val="auto"/>
          <w:sz w:val="22"/>
          <w:szCs w:val="22"/>
          <w:highlight w:val="none"/>
          <w:lang w:val="en-US" w:eastAsia="zh-CN"/>
        </w:rPr>
        <w:t>基础，</w:t>
      </w:r>
      <w:r>
        <w:rPr>
          <w:rFonts w:hint="eastAsia" w:ascii="宋体" w:hAnsi="宋体" w:eastAsia="宋体" w:cs="宋体"/>
          <w:color w:val="auto"/>
          <w:sz w:val="22"/>
          <w:szCs w:val="22"/>
          <w:lang w:val="en-US" w:eastAsia="zh-CN"/>
        </w:rPr>
        <w:t>乘以中标折扣率进行结算。</w:t>
      </w:r>
    </w:p>
    <w:p w14:paraId="12E577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（五）</w:t>
      </w:r>
      <w:r>
        <w:rPr>
          <w:rFonts w:hint="eastAsia" w:ascii="宋体" w:hAnsi="宋体" w:cs="宋体"/>
          <w:b/>
          <w:bCs/>
          <w:color w:val="auto"/>
          <w:sz w:val="24"/>
          <w:szCs w:val="24"/>
          <w:highlight w:val="none"/>
          <w:lang w:eastAsia="zh-CN"/>
        </w:rPr>
        <w:t>服务期限</w:t>
      </w:r>
    </w:p>
    <w:p w14:paraId="2F11BD89">
      <w:pPr>
        <w:shd w:val="clear" w:color="auto" w:fill="FFFFFF"/>
        <w:snapToGrid w:val="0"/>
        <w:spacing w:line="360" w:lineRule="auto"/>
        <w:ind w:firstLine="440" w:firstLineChars="200"/>
        <w:rPr>
          <w:rFonts w:hint="eastAsia"/>
          <w:color w:val="auto"/>
          <w:sz w:val="22"/>
          <w:szCs w:val="22"/>
          <w:lang w:val="en-US" w:eastAsia="zh-CN"/>
        </w:rPr>
      </w:pPr>
      <w:r>
        <w:rPr>
          <w:rFonts w:hint="eastAsia" w:ascii="宋体" w:hAnsi="宋体" w:eastAsia="宋体" w:cs="宋体"/>
          <w:color w:val="auto"/>
          <w:sz w:val="22"/>
          <w:szCs w:val="22"/>
          <w:lang w:val="en-US" w:eastAsia="zh-CN"/>
        </w:rPr>
        <w:t>供货期：自合同签订生效起1年。如供货期1年未满，预算额度已用完的合同自动终止；如供货期1年满后，预算额度未用完的合同自动终止。</w:t>
      </w:r>
    </w:p>
    <w:p w14:paraId="28F627FE">
      <w:pPr>
        <w:shd w:val="clear" w:color="auto" w:fill="FFFFFF"/>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bCs/>
          <w:color w:val="auto"/>
          <w:sz w:val="24"/>
          <w:highlight w:val="none"/>
        </w:rPr>
        <w:t>（六）采购方式改变</w:t>
      </w:r>
    </w:p>
    <w:p w14:paraId="5D051392">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在符合资格的投标供应商不足规定数量或投标供应商提供的服务及其报价、服务承诺等不能满足采购人要求，以及招标过程中出现其他不正常情况时，经批准，采购代理机构</w:t>
      </w:r>
      <w:r>
        <w:rPr>
          <w:rFonts w:hint="eastAsia" w:ascii="宋体" w:hAnsi="宋体" w:eastAsia="宋体" w:cs="宋体"/>
          <w:color w:val="auto"/>
          <w:sz w:val="22"/>
          <w:szCs w:val="22"/>
          <w:highlight w:val="none"/>
          <w:lang w:val="zh-CN"/>
        </w:rPr>
        <w:t>将</w:t>
      </w:r>
      <w:r>
        <w:rPr>
          <w:rFonts w:hint="eastAsia" w:ascii="宋体" w:hAnsi="宋体" w:eastAsia="宋体" w:cs="宋体"/>
          <w:color w:val="auto"/>
          <w:sz w:val="22"/>
          <w:szCs w:val="22"/>
          <w:highlight w:val="none"/>
        </w:rPr>
        <w:t>重新选择合适的方式进行采购。</w:t>
      </w:r>
    </w:p>
    <w:p w14:paraId="73489049">
      <w:pPr>
        <w:shd w:val="clear" w:color="auto" w:fill="FFFFFF"/>
        <w:tabs>
          <w:tab w:val="left" w:pos="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（七）售后服务考核</w:t>
      </w:r>
    </w:p>
    <w:p w14:paraId="46A0E0A9">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对供应商进行考核，发现弄虚作假，偷工减料，以次充好，达不到国家、行业有关标准和技术文件规定的，一经查实，采购人将视情况终止合同，并上报</w:t>
      </w:r>
      <w:r>
        <w:rPr>
          <w:rFonts w:hint="eastAsia" w:ascii="宋体" w:hAnsi="宋体" w:cs="宋体"/>
          <w:color w:val="auto"/>
          <w:sz w:val="22"/>
          <w:szCs w:val="22"/>
          <w:highlight w:val="none"/>
          <w:lang w:val="en-US" w:eastAsia="zh-CN"/>
        </w:rPr>
        <w:t>相关监督管理部门</w:t>
      </w:r>
      <w:r>
        <w:rPr>
          <w:rFonts w:hint="eastAsia" w:ascii="宋体" w:hAnsi="宋体" w:eastAsia="宋体" w:cs="宋体"/>
          <w:color w:val="auto"/>
          <w:sz w:val="22"/>
          <w:szCs w:val="22"/>
          <w:highlight w:val="none"/>
        </w:rPr>
        <w:t>。</w:t>
      </w:r>
    </w:p>
    <w:p w14:paraId="1D72E609">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（八）质疑</w:t>
      </w:r>
    </w:p>
    <w:p w14:paraId="66F6F24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投标供应商对采购活动事项有疑问的，可以向采购人和采购代理机构提出询问，采购人和采购代理机构应当及时作出答复，但答复的内容不得涉及商业秘密。</w:t>
      </w:r>
    </w:p>
    <w:p w14:paraId="5CB0D1D8">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1、供应商认为招标文件、采购过程和成交、成交结果使自己的权益受到损害的，可以在知道或者应知其权益受到损害之日起七个工作日内，以书面形式向采购人、采购代理机构提出质疑。</w:t>
      </w:r>
    </w:p>
    <w:p w14:paraId="05F6C0DC">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（1）对可以质疑的招标文件提出质疑的，为收到招标文件之日或者招标文件公告期限届满之日；</w:t>
      </w:r>
    </w:p>
    <w:p w14:paraId="51726101">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（2）对采购过程提出质疑的，为各采购程序环节结束之日；</w:t>
      </w:r>
    </w:p>
    <w:p w14:paraId="54917F13">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（3）对成交结果提出质疑的，为成交结果公告期限届满之日。</w:t>
      </w:r>
    </w:p>
    <w:p w14:paraId="39D7C376">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2、采购人或者采购代理机构应当在3个工作日内对供应商依法提出的询问作出答复。</w:t>
      </w:r>
    </w:p>
    <w:p w14:paraId="7F2EF5D7">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供应商提出的询问或者质疑超出采购人对采购代理机构委托授权范围的，采购代理机构应当告知供应商向采购人提出。</w:t>
      </w:r>
    </w:p>
    <w:p w14:paraId="4459CCD7">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采购评审专家应当配合采购人或者采购代理机构答复供应商的询问和质疑。</w:t>
      </w:r>
    </w:p>
    <w:p w14:paraId="7316E03A">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3、质疑供应商对采购人、采购代理机构的答复不满意或者采购人、采购代理机构未在规定时间内作出答复的，可以在答复期满后十五个工作日内向人民法院提起诉讼。</w:t>
      </w:r>
    </w:p>
    <w:p w14:paraId="527A6468">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4、要求投标供应商在法定质疑期内一次性提出针对同一招标程序环节的质疑。</w:t>
      </w:r>
    </w:p>
    <w:p w14:paraId="7AE14913">
      <w:pPr>
        <w:shd w:val="clear" w:color="auto" w:fill="FFFFFF"/>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lang w:val="zh-CN"/>
        </w:rPr>
        <w:t>（九）</w:t>
      </w:r>
      <w:r>
        <w:rPr>
          <w:rFonts w:hint="eastAsia" w:ascii="宋体" w:hAnsi="宋体" w:eastAsia="宋体" w:cs="宋体"/>
          <w:b/>
          <w:bCs/>
          <w:color w:val="auto"/>
          <w:sz w:val="24"/>
          <w:highlight w:val="none"/>
        </w:rPr>
        <w:t>解释权</w:t>
      </w:r>
    </w:p>
    <w:p w14:paraId="176D21B9">
      <w:pPr>
        <w:shd w:val="clear" w:color="auto" w:fill="FFFFFF"/>
        <w:snapToGrid w:val="0"/>
        <w:spacing w:line="360" w:lineRule="auto"/>
        <w:ind w:firstLine="440" w:firstLineChars="200"/>
        <w:rPr>
          <w:rFonts w:hint="eastAsia" w:ascii="宋体" w:hAnsi="宋体" w:eastAsia="宋体" w:cs="宋体"/>
          <w:b/>
          <w:bCs/>
          <w:color w:val="auto"/>
          <w:sz w:val="22"/>
          <w:szCs w:val="22"/>
          <w:highlight w:val="none"/>
        </w:rPr>
        <w:sectPr>
          <w:footerReference r:id="rId3" w:type="default"/>
          <w:pgSz w:w="11906" w:h="16838"/>
          <w:pgMar w:top="1440" w:right="1106" w:bottom="1440" w:left="1134" w:header="851" w:footer="992" w:gutter="0"/>
          <w:pgBorders>
            <w:top w:val="none" w:sz="0" w:space="0"/>
            <w:left w:val="none" w:sz="0" w:space="0"/>
            <w:bottom w:val="none" w:sz="0" w:space="0"/>
            <w:right w:val="none" w:sz="0" w:space="0"/>
          </w:pgBorders>
          <w:pgNumType w:fmt="decimal" w:start="1"/>
          <w:cols w:space="0" w:num="1"/>
          <w:rtlGutter w:val="0"/>
          <w:docGrid w:linePitch="312" w:charSpace="0"/>
        </w:sectPr>
      </w:pPr>
      <w:r>
        <w:rPr>
          <w:rFonts w:hint="eastAsia" w:ascii="宋体" w:hAnsi="宋体" w:eastAsia="宋体" w:cs="宋体"/>
          <w:color w:val="auto"/>
          <w:sz w:val="22"/>
          <w:szCs w:val="22"/>
          <w:highlight w:val="none"/>
        </w:rPr>
        <w:t>招标文件的解释权均属于</w:t>
      </w:r>
      <w:r>
        <w:rPr>
          <w:rFonts w:hint="eastAsia" w:ascii="宋体" w:hAnsi="宋体" w:cs="宋体"/>
          <w:color w:val="auto"/>
          <w:sz w:val="22"/>
          <w:szCs w:val="22"/>
          <w:highlight w:val="none"/>
          <w:lang w:eastAsia="zh-CN"/>
        </w:rPr>
        <w:t>苍南县交通建设材料科技有限公司</w:t>
      </w:r>
      <w:r>
        <w:rPr>
          <w:rFonts w:hint="eastAsia" w:ascii="宋体" w:hAnsi="宋体" w:eastAsia="宋体" w:cs="宋体"/>
          <w:color w:val="auto"/>
          <w:sz w:val="22"/>
          <w:szCs w:val="22"/>
          <w:highlight w:val="none"/>
        </w:rPr>
        <w:t>和</w:t>
      </w:r>
      <w:r>
        <w:rPr>
          <w:rFonts w:hint="eastAsia" w:ascii="宋体" w:hAnsi="宋体" w:cs="宋体"/>
          <w:color w:val="auto"/>
          <w:sz w:val="22"/>
          <w:szCs w:val="22"/>
          <w:highlight w:val="none"/>
          <w:lang w:eastAsia="zh-CN"/>
        </w:rPr>
        <w:t>浙江华域高宇项目管理有限公司</w:t>
      </w:r>
      <w:r>
        <w:rPr>
          <w:rFonts w:hint="eastAsia" w:ascii="宋体" w:hAnsi="宋体" w:eastAsia="宋体" w:cs="宋体"/>
          <w:color w:val="auto"/>
          <w:sz w:val="22"/>
          <w:szCs w:val="22"/>
          <w:highlight w:val="none"/>
        </w:rPr>
        <w:t>。</w:t>
      </w:r>
    </w:p>
    <w:p w14:paraId="095E7CC4">
      <w:pPr>
        <w:pageBreakBefore/>
        <w:shd w:val="clear" w:color="auto" w:fill="FFFFFF"/>
        <w:snapToGrid w:val="0"/>
        <w:spacing w:line="360" w:lineRule="auto"/>
        <w:jc w:val="center"/>
        <w:outlineLvl w:val="0"/>
        <w:rPr>
          <w:rFonts w:hint="eastAsia" w:ascii="宋体" w:hAnsi="宋体" w:eastAsia="宋体" w:cs="宋体"/>
          <w:b/>
          <w:bCs/>
          <w:color w:val="auto"/>
          <w:sz w:val="32"/>
          <w:szCs w:val="32"/>
          <w:highlight w:val="none"/>
        </w:rPr>
      </w:pPr>
      <w:bookmarkStart w:id="88" w:name="_Toc17567"/>
      <w:r>
        <w:rPr>
          <w:rFonts w:hint="eastAsia" w:ascii="宋体" w:hAnsi="宋体" w:eastAsia="宋体" w:cs="宋体"/>
          <w:b/>
          <w:bCs/>
          <w:color w:val="auto"/>
          <w:sz w:val="32"/>
          <w:szCs w:val="32"/>
          <w:highlight w:val="none"/>
          <w:lang w:val="en-US" w:eastAsia="zh-CN"/>
        </w:rPr>
        <w:t xml:space="preserve">第三部分 </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en-US" w:eastAsia="zh-CN"/>
        </w:rPr>
        <w:t>采购内容及要求</w:t>
      </w:r>
      <w:bookmarkEnd w:id="88"/>
    </w:p>
    <w:p w14:paraId="20FD2D7F">
      <w:pPr>
        <w:spacing w:line="360" w:lineRule="auto"/>
        <w:ind w:firstLine="221" w:firstLineChars="100"/>
        <w:jc w:val="left"/>
        <w:rPr>
          <w:rFonts w:hint="eastAsia" w:ascii="宋体" w:hAnsi="宋体" w:eastAsia="宋体" w:cs="宋体"/>
          <w:b/>
          <w:sz w:val="22"/>
          <w:szCs w:val="22"/>
          <w:highlight w:val="none"/>
        </w:rPr>
      </w:pPr>
      <w:bookmarkStart w:id="89" w:name="_Toc1033"/>
      <w:r>
        <w:rPr>
          <w:rFonts w:hint="eastAsia" w:ascii="宋体" w:hAnsi="宋体" w:eastAsia="宋体" w:cs="宋体"/>
          <w:b/>
          <w:sz w:val="22"/>
          <w:szCs w:val="22"/>
          <w:highlight w:val="none"/>
          <w:lang w:val="en-US" w:eastAsia="zh-CN"/>
        </w:rPr>
        <w:t>一</w:t>
      </w:r>
      <w:r>
        <w:rPr>
          <w:rFonts w:hint="eastAsia" w:ascii="宋体" w:hAnsi="宋体" w:eastAsia="宋体" w:cs="宋体"/>
          <w:b/>
          <w:sz w:val="22"/>
          <w:szCs w:val="22"/>
          <w:highlight w:val="none"/>
        </w:rPr>
        <w:t>、采购内容</w:t>
      </w:r>
    </w:p>
    <w:tbl>
      <w:tblPr>
        <w:tblStyle w:val="23"/>
        <w:tblW w:w="963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95"/>
        <w:gridCol w:w="1110"/>
        <w:gridCol w:w="1695"/>
        <w:gridCol w:w="4395"/>
      </w:tblGrid>
      <w:tr w14:paraId="4F31A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35" w:type="dxa"/>
            <w:vAlign w:val="center"/>
          </w:tcPr>
          <w:p w14:paraId="025C218F">
            <w:pPr>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序号</w:t>
            </w:r>
          </w:p>
        </w:tc>
        <w:tc>
          <w:tcPr>
            <w:tcW w:w="1695" w:type="dxa"/>
            <w:vAlign w:val="center"/>
          </w:tcPr>
          <w:p w14:paraId="398BEC57">
            <w:pPr>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采购内容</w:t>
            </w:r>
          </w:p>
        </w:tc>
        <w:tc>
          <w:tcPr>
            <w:tcW w:w="1110" w:type="dxa"/>
            <w:vAlign w:val="center"/>
          </w:tcPr>
          <w:p w14:paraId="03CD815C">
            <w:pPr>
              <w:spacing w:line="360" w:lineRule="auto"/>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供货期</w:t>
            </w:r>
          </w:p>
        </w:tc>
        <w:tc>
          <w:tcPr>
            <w:tcW w:w="1695" w:type="dxa"/>
            <w:vAlign w:val="center"/>
          </w:tcPr>
          <w:p w14:paraId="72E21E57">
            <w:pPr>
              <w:spacing w:line="360" w:lineRule="auto"/>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预算价</w:t>
            </w:r>
          </w:p>
        </w:tc>
        <w:tc>
          <w:tcPr>
            <w:tcW w:w="4395" w:type="dxa"/>
            <w:vAlign w:val="center"/>
          </w:tcPr>
          <w:p w14:paraId="685C3CEE">
            <w:pPr>
              <w:spacing w:line="360" w:lineRule="auto"/>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单价最高限价</w:t>
            </w:r>
          </w:p>
        </w:tc>
      </w:tr>
      <w:tr w14:paraId="6FED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35" w:type="dxa"/>
            <w:vAlign w:val="center"/>
          </w:tcPr>
          <w:p w14:paraId="25F36C91">
            <w:pPr>
              <w:spacing w:line="360" w:lineRule="auto"/>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1695" w:type="dxa"/>
            <w:vAlign w:val="center"/>
          </w:tcPr>
          <w:p w14:paraId="6CB852D7">
            <w:pPr>
              <w:spacing w:line="360" w:lineRule="auto"/>
              <w:jc w:val="center"/>
              <w:rPr>
                <w:rFonts w:hint="default" w:ascii="宋体" w:hAnsi="宋体" w:eastAsia="宋体" w:cs="宋体"/>
                <w:sz w:val="22"/>
                <w:szCs w:val="22"/>
                <w:highlight w:val="none"/>
                <w:lang w:val="en-US" w:eastAsia="zh-CN"/>
              </w:rPr>
            </w:pPr>
            <w:r>
              <w:rPr>
                <w:rFonts w:hint="eastAsia" w:ascii="宋体" w:hAnsi="宋体" w:eastAsia="宋体" w:cs="宋体"/>
                <w:bCs/>
                <w:sz w:val="22"/>
                <w:szCs w:val="22"/>
                <w:highlight w:val="none"/>
                <w:lang w:val="en-US" w:eastAsia="zh-CN"/>
              </w:rPr>
              <w:t xml:space="preserve"> </w:t>
            </w:r>
            <w:r>
              <w:rPr>
                <w:rFonts w:hint="eastAsia" w:ascii="宋体" w:hAnsi="宋体" w:cs="宋体"/>
                <w:sz w:val="22"/>
                <w:szCs w:val="22"/>
                <w:highlight w:val="none"/>
                <w:lang w:val="en-US" w:eastAsia="zh-CN"/>
              </w:rPr>
              <w:t>热喷燃烧油</w:t>
            </w:r>
          </w:p>
        </w:tc>
        <w:tc>
          <w:tcPr>
            <w:tcW w:w="1110" w:type="dxa"/>
            <w:vAlign w:val="center"/>
          </w:tcPr>
          <w:p w14:paraId="58C236F9">
            <w:pPr>
              <w:spacing w:line="360" w:lineRule="auto"/>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w:t>
            </w:r>
            <w:r>
              <w:rPr>
                <w:rFonts w:hint="eastAsia" w:ascii="宋体" w:hAnsi="宋体" w:cs="宋体"/>
                <w:sz w:val="22"/>
                <w:szCs w:val="22"/>
                <w:highlight w:val="none"/>
                <w:lang w:val="en-US" w:eastAsia="zh-CN"/>
              </w:rPr>
              <w:t>+1形式</w:t>
            </w:r>
          </w:p>
        </w:tc>
        <w:tc>
          <w:tcPr>
            <w:tcW w:w="1695" w:type="dxa"/>
            <w:vAlign w:val="center"/>
          </w:tcPr>
          <w:p w14:paraId="1A70939E">
            <w:pPr>
              <w:spacing w:line="360" w:lineRule="auto"/>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3390000</w:t>
            </w:r>
            <w:r>
              <w:rPr>
                <w:rFonts w:hint="eastAsia" w:ascii="宋体" w:hAnsi="宋体" w:eastAsia="宋体" w:cs="宋体"/>
                <w:sz w:val="22"/>
                <w:szCs w:val="22"/>
                <w:highlight w:val="none"/>
                <w:lang w:val="en-US" w:eastAsia="zh-CN"/>
              </w:rPr>
              <w:t>元</w:t>
            </w:r>
            <w:r>
              <w:rPr>
                <w:rFonts w:hint="eastAsia" w:ascii="宋体" w:hAnsi="宋体" w:cs="宋体"/>
                <w:sz w:val="22"/>
                <w:szCs w:val="22"/>
                <w:highlight w:val="none"/>
                <w:lang w:val="en-US" w:eastAsia="zh-CN"/>
              </w:rPr>
              <w:t>/年</w:t>
            </w:r>
          </w:p>
        </w:tc>
        <w:tc>
          <w:tcPr>
            <w:tcW w:w="4395" w:type="dxa"/>
            <w:vAlign w:val="center"/>
          </w:tcPr>
          <w:p w14:paraId="144DDFFB">
            <w:pPr>
              <w:spacing w:line="360" w:lineRule="auto"/>
              <w:jc w:val="left"/>
              <w:rPr>
                <w:rFonts w:hint="eastAsia" w:ascii="宋体" w:hAnsi="宋体" w:eastAsia="宋体" w:cs="宋体"/>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单价最高限价：</w:t>
            </w:r>
            <w:r>
              <w:rPr>
                <w:rFonts w:hint="eastAsia" w:ascii="宋体" w:hAnsi="宋体" w:cs="宋体"/>
                <w:i w:val="0"/>
                <w:iCs w:val="0"/>
                <w:color w:val="000000"/>
                <w:kern w:val="0"/>
                <w:sz w:val="22"/>
                <w:szCs w:val="22"/>
                <w:highlight w:val="none"/>
                <w:u w:val="none"/>
                <w:lang w:val="en-US" w:eastAsia="zh-CN" w:bidi="ar"/>
              </w:rPr>
              <w:t>以</w:t>
            </w:r>
            <w:r>
              <w:rPr>
                <w:rFonts w:hint="eastAsia" w:ascii="宋体" w:hAnsi="宋体"/>
                <w:bCs/>
                <w:color w:val="auto"/>
                <w:sz w:val="22"/>
                <w:szCs w:val="22"/>
                <w:highlight w:val="none"/>
              </w:rPr>
              <w:t>“生意社”网站（</w:t>
            </w:r>
            <w:r>
              <w:rPr>
                <w:rFonts w:hint="eastAsia" w:ascii="宋体" w:hAnsi="宋体"/>
                <w:bCs/>
                <w:color w:val="auto"/>
                <w:sz w:val="22"/>
                <w:szCs w:val="22"/>
                <w:highlight w:val="none"/>
              </w:rPr>
              <w:fldChar w:fldCharType="begin"/>
            </w:r>
            <w:r>
              <w:rPr>
                <w:rFonts w:hint="eastAsia" w:ascii="宋体" w:hAnsi="宋体"/>
                <w:bCs/>
                <w:color w:val="auto"/>
                <w:sz w:val="22"/>
                <w:szCs w:val="22"/>
                <w:highlight w:val="none"/>
              </w:rPr>
              <w:instrText xml:space="preserve"> HYPERLINK "http://www.100ppi.com/" </w:instrText>
            </w:r>
            <w:r>
              <w:rPr>
                <w:rFonts w:hint="eastAsia" w:ascii="宋体" w:hAnsi="宋体"/>
                <w:bCs/>
                <w:color w:val="auto"/>
                <w:sz w:val="22"/>
                <w:szCs w:val="22"/>
                <w:highlight w:val="none"/>
              </w:rPr>
              <w:fldChar w:fldCharType="separate"/>
            </w:r>
            <w:r>
              <w:rPr>
                <w:rFonts w:hint="eastAsia" w:ascii="宋体" w:hAnsi="宋体"/>
                <w:bCs/>
                <w:color w:val="auto"/>
                <w:sz w:val="22"/>
                <w:szCs w:val="22"/>
                <w:highlight w:val="none"/>
              </w:rPr>
              <w:t>http://www.100ppi.com/</w:t>
            </w:r>
            <w:r>
              <w:rPr>
                <w:rFonts w:hint="eastAsia" w:ascii="宋体" w:hAnsi="宋体"/>
                <w:bCs/>
                <w:color w:val="auto"/>
                <w:sz w:val="22"/>
                <w:szCs w:val="22"/>
                <w:highlight w:val="none"/>
              </w:rPr>
              <w:fldChar w:fldCharType="end"/>
            </w:r>
            <w:r>
              <w:rPr>
                <w:rFonts w:hint="eastAsia" w:ascii="宋体" w:hAnsi="宋体"/>
                <w:bCs/>
                <w:color w:val="auto"/>
                <w:sz w:val="22"/>
                <w:szCs w:val="22"/>
                <w:highlight w:val="none"/>
              </w:rPr>
              <w:t>）</w:t>
            </w:r>
            <w:r>
              <w:rPr>
                <w:rFonts w:hint="eastAsia" w:ascii="宋体" w:hAnsi="宋体"/>
                <w:bCs/>
                <w:color w:val="auto"/>
                <w:sz w:val="22"/>
                <w:szCs w:val="22"/>
                <w:highlight w:val="none"/>
                <w:lang w:val="en-US" w:eastAsia="zh-CN"/>
              </w:rPr>
              <w:t>最新</w:t>
            </w:r>
            <w:r>
              <w:rPr>
                <w:rFonts w:hint="eastAsia" w:ascii="宋体" w:hAnsi="宋体"/>
                <w:bCs/>
                <w:color w:val="auto"/>
                <w:sz w:val="22"/>
                <w:szCs w:val="22"/>
                <w:highlight w:val="none"/>
              </w:rPr>
              <w:t>发布的中燃（型号：180CST）宁波地区市场价</w:t>
            </w:r>
            <w:r>
              <w:rPr>
                <w:rFonts w:hint="eastAsia" w:ascii="宋体" w:hAnsi="宋体"/>
                <w:bCs/>
                <w:color w:val="auto"/>
                <w:sz w:val="22"/>
                <w:szCs w:val="22"/>
                <w:highlight w:val="none"/>
                <w:lang w:eastAsia="zh-CN"/>
              </w:rPr>
              <w:t>的</w:t>
            </w:r>
            <w:r>
              <w:rPr>
                <w:rFonts w:hint="eastAsia" w:ascii="宋体" w:hAnsi="宋体"/>
                <w:bCs/>
                <w:color w:val="auto"/>
                <w:sz w:val="22"/>
                <w:szCs w:val="22"/>
                <w:highlight w:val="none"/>
                <w:lang w:val="en-US" w:eastAsia="zh-CN"/>
              </w:rPr>
              <w:t>100%</w:t>
            </w:r>
            <w:r>
              <w:rPr>
                <w:rFonts w:hint="eastAsia" w:ascii="宋体" w:hAnsi="宋体"/>
                <w:bCs/>
                <w:color w:val="auto"/>
                <w:sz w:val="22"/>
                <w:szCs w:val="22"/>
                <w:highlight w:val="none"/>
              </w:rPr>
              <w:t>为</w:t>
            </w:r>
            <w:r>
              <w:rPr>
                <w:rFonts w:hint="eastAsia" w:ascii="宋体" w:hAnsi="宋体"/>
                <w:bCs/>
                <w:color w:val="auto"/>
                <w:sz w:val="22"/>
                <w:szCs w:val="22"/>
                <w:highlight w:val="none"/>
                <w:lang w:val="en-US" w:eastAsia="zh-CN"/>
              </w:rPr>
              <w:t>基础</w:t>
            </w:r>
            <w:r>
              <w:rPr>
                <w:rFonts w:hint="eastAsia" w:ascii="宋体" w:hAnsi="宋体" w:eastAsia="宋体" w:cs="宋体"/>
                <w:color w:val="auto"/>
                <w:sz w:val="22"/>
                <w:szCs w:val="22"/>
                <w:lang w:val="en-US" w:eastAsia="zh-CN"/>
              </w:rPr>
              <w:t>。</w:t>
            </w:r>
          </w:p>
        </w:tc>
      </w:tr>
    </w:tbl>
    <w:p w14:paraId="6A660E3E">
      <w:pPr>
        <w:pStyle w:val="14"/>
        <w:spacing w:line="360" w:lineRule="auto"/>
        <w:ind w:left="0" w:leftChars="0"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备注：</w:t>
      </w:r>
      <w:r>
        <w:rPr>
          <w:rFonts w:hint="eastAsia" w:ascii="宋体" w:hAnsi="宋体" w:eastAsia="宋体" w:cs="宋体"/>
          <w:color w:val="auto"/>
          <w:sz w:val="22"/>
          <w:szCs w:val="22"/>
        </w:rPr>
        <w:t>结算按实际供货量计算。分次供货；所供油品须在接到招标人通知后24小时内送达指定地点。</w:t>
      </w:r>
    </w:p>
    <w:p w14:paraId="7CE39266">
      <w:pPr>
        <w:numPr>
          <w:ilvl w:val="0"/>
          <w:numId w:val="0"/>
        </w:numPr>
        <w:spacing w:line="360" w:lineRule="auto"/>
        <w:ind w:firstLine="221" w:firstLineChars="100"/>
        <w:jc w:val="left"/>
        <w:rPr>
          <w:rFonts w:hint="eastAsia" w:ascii="宋体" w:hAnsi="宋体" w:eastAsia="宋体" w:cs="宋体"/>
          <w:b/>
          <w:bCs/>
          <w:color w:val="auto"/>
          <w:sz w:val="22"/>
          <w:szCs w:val="22"/>
        </w:rPr>
      </w:pPr>
      <w:r>
        <w:rPr>
          <w:rFonts w:hint="eastAsia" w:ascii="宋体" w:hAnsi="宋体" w:eastAsia="宋体" w:cs="宋体"/>
          <w:b/>
          <w:bCs/>
          <w:color w:val="auto"/>
          <w:sz w:val="22"/>
          <w:szCs w:val="22"/>
          <w:lang w:val="en-US" w:eastAsia="zh-CN"/>
        </w:rPr>
        <w:t>二</w:t>
      </w:r>
      <w:r>
        <w:rPr>
          <w:rFonts w:hint="eastAsia" w:ascii="宋体" w:hAnsi="宋体" w:cs="宋体"/>
          <w:b/>
          <w:bCs/>
          <w:color w:val="auto"/>
          <w:sz w:val="22"/>
          <w:szCs w:val="22"/>
          <w:lang w:val="en-US" w:eastAsia="zh-CN"/>
        </w:rPr>
        <w:t>、</w:t>
      </w:r>
      <w:r>
        <w:rPr>
          <w:rFonts w:hint="eastAsia" w:ascii="宋体" w:hAnsi="宋体" w:eastAsia="宋体" w:cs="宋体"/>
          <w:b/>
          <w:bCs/>
          <w:color w:val="auto"/>
          <w:sz w:val="22"/>
          <w:szCs w:val="22"/>
          <w:lang w:val="en-US" w:eastAsia="zh-CN"/>
        </w:rPr>
        <w:t>技术要求</w:t>
      </w:r>
    </w:p>
    <w:tbl>
      <w:tblPr>
        <w:tblStyle w:val="23"/>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5176"/>
        <w:gridCol w:w="2919"/>
      </w:tblGrid>
      <w:tr w14:paraId="1A30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3" w:type="dxa"/>
            <w:noWrap w:val="0"/>
            <w:vAlign w:val="center"/>
          </w:tcPr>
          <w:p w14:paraId="3C34F86A">
            <w:pPr>
              <w:spacing w:line="360" w:lineRule="exact"/>
              <w:jc w:val="center"/>
              <w:rPr>
                <w:rFonts w:hint="eastAsia" w:ascii="宋体" w:hAnsi="宋体"/>
                <w:szCs w:val="21"/>
              </w:rPr>
            </w:pPr>
            <w:r>
              <w:rPr>
                <w:rFonts w:hint="eastAsia" w:ascii="宋体" w:hAnsi="宋体"/>
                <w:szCs w:val="21"/>
              </w:rPr>
              <w:t>序号</w:t>
            </w:r>
          </w:p>
        </w:tc>
        <w:tc>
          <w:tcPr>
            <w:tcW w:w="5176" w:type="dxa"/>
            <w:noWrap w:val="0"/>
            <w:vAlign w:val="center"/>
          </w:tcPr>
          <w:p w14:paraId="0C1C4A53">
            <w:pPr>
              <w:spacing w:line="360" w:lineRule="exact"/>
              <w:jc w:val="center"/>
              <w:rPr>
                <w:rFonts w:hint="eastAsia" w:ascii="宋体" w:hAnsi="宋体"/>
                <w:szCs w:val="21"/>
              </w:rPr>
            </w:pPr>
            <w:r>
              <w:rPr>
                <w:rFonts w:hint="eastAsia" w:ascii="宋体" w:hAnsi="宋体"/>
                <w:szCs w:val="21"/>
              </w:rPr>
              <w:t>成分</w:t>
            </w:r>
          </w:p>
        </w:tc>
        <w:tc>
          <w:tcPr>
            <w:tcW w:w="2919" w:type="dxa"/>
            <w:noWrap w:val="0"/>
            <w:vAlign w:val="center"/>
          </w:tcPr>
          <w:p w14:paraId="2880CE81">
            <w:pPr>
              <w:spacing w:line="360" w:lineRule="exact"/>
              <w:jc w:val="center"/>
              <w:rPr>
                <w:rFonts w:hint="eastAsia" w:ascii="宋体" w:hAnsi="宋体"/>
                <w:szCs w:val="21"/>
              </w:rPr>
            </w:pPr>
            <w:r>
              <w:rPr>
                <w:rFonts w:hint="eastAsia" w:ascii="宋体" w:hAnsi="宋体"/>
                <w:szCs w:val="21"/>
              </w:rPr>
              <w:t>指标要求</w:t>
            </w:r>
          </w:p>
        </w:tc>
      </w:tr>
      <w:tr w14:paraId="3231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3" w:type="dxa"/>
            <w:noWrap w:val="0"/>
            <w:vAlign w:val="center"/>
          </w:tcPr>
          <w:p w14:paraId="7928CEF9">
            <w:pPr>
              <w:spacing w:line="360" w:lineRule="exact"/>
              <w:jc w:val="center"/>
              <w:rPr>
                <w:rFonts w:ascii="宋体" w:hAnsi="宋体"/>
                <w:szCs w:val="21"/>
              </w:rPr>
            </w:pPr>
            <w:r>
              <w:rPr>
                <w:rFonts w:hint="eastAsia" w:ascii="宋体" w:hAnsi="宋体"/>
                <w:szCs w:val="21"/>
              </w:rPr>
              <w:t>1</w:t>
            </w:r>
          </w:p>
        </w:tc>
        <w:tc>
          <w:tcPr>
            <w:tcW w:w="5176" w:type="dxa"/>
            <w:noWrap w:val="0"/>
            <w:vAlign w:val="center"/>
          </w:tcPr>
          <w:p w14:paraId="6A4339C3">
            <w:pPr>
              <w:spacing w:line="360" w:lineRule="exact"/>
              <w:jc w:val="center"/>
              <w:rPr>
                <w:rFonts w:ascii="宋体" w:hAnsi="宋体"/>
                <w:szCs w:val="21"/>
              </w:rPr>
            </w:pPr>
            <w:r>
              <w:rPr>
                <w:rFonts w:hint="eastAsia" w:ascii="宋体" w:hAnsi="宋体"/>
                <w:szCs w:val="21"/>
              </w:rPr>
              <w:t>运动粘度（50°C)CST</w:t>
            </w:r>
          </w:p>
        </w:tc>
        <w:tc>
          <w:tcPr>
            <w:tcW w:w="2919" w:type="dxa"/>
            <w:noWrap w:val="0"/>
            <w:vAlign w:val="center"/>
          </w:tcPr>
          <w:p w14:paraId="328E7369">
            <w:pPr>
              <w:spacing w:line="360" w:lineRule="exact"/>
              <w:jc w:val="center"/>
              <w:rPr>
                <w:rFonts w:hint="eastAsia" w:ascii="宋体" w:hAnsi="宋体"/>
                <w:szCs w:val="21"/>
              </w:rPr>
            </w:pPr>
            <w:r>
              <w:rPr>
                <w:rFonts w:hint="eastAsia" w:ascii="宋体" w:hAnsi="宋体"/>
                <w:szCs w:val="21"/>
              </w:rPr>
              <w:t>不高于180</w:t>
            </w:r>
          </w:p>
        </w:tc>
      </w:tr>
      <w:tr w14:paraId="06F7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3" w:type="dxa"/>
            <w:noWrap w:val="0"/>
            <w:vAlign w:val="center"/>
          </w:tcPr>
          <w:p w14:paraId="40743F8A">
            <w:pPr>
              <w:spacing w:line="360" w:lineRule="exact"/>
              <w:jc w:val="center"/>
              <w:rPr>
                <w:rFonts w:ascii="宋体" w:hAnsi="宋体"/>
                <w:szCs w:val="21"/>
              </w:rPr>
            </w:pPr>
            <w:r>
              <w:rPr>
                <w:rFonts w:hint="eastAsia" w:ascii="宋体" w:hAnsi="宋体"/>
                <w:szCs w:val="21"/>
              </w:rPr>
              <w:t>2</w:t>
            </w:r>
          </w:p>
        </w:tc>
        <w:tc>
          <w:tcPr>
            <w:tcW w:w="5176" w:type="dxa"/>
            <w:noWrap w:val="0"/>
            <w:vAlign w:val="center"/>
          </w:tcPr>
          <w:p w14:paraId="2FBC0616">
            <w:pPr>
              <w:spacing w:line="360" w:lineRule="exact"/>
              <w:jc w:val="center"/>
              <w:rPr>
                <w:rFonts w:hint="eastAsia" w:ascii="宋体" w:hAnsi="宋体"/>
                <w:szCs w:val="21"/>
              </w:rPr>
            </w:pPr>
            <w:r>
              <w:rPr>
                <w:rFonts w:hint="eastAsia" w:ascii="宋体" w:hAnsi="宋体"/>
                <w:bCs/>
                <w:szCs w:val="21"/>
              </w:rPr>
              <w:t>闪点（开口）℃</w:t>
            </w:r>
          </w:p>
        </w:tc>
        <w:tc>
          <w:tcPr>
            <w:tcW w:w="2919" w:type="dxa"/>
            <w:noWrap w:val="0"/>
            <w:vAlign w:val="center"/>
          </w:tcPr>
          <w:p w14:paraId="53EB2012">
            <w:pPr>
              <w:spacing w:line="360" w:lineRule="exact"/>
              <w:jc w:val="center"/>
              <w:rPr>
                <w:rFonts w:hint="eastAsia" w:ascii="宋体" w:hAnsi="宋体"/>
                <w:szCs w:val="21"/>
              </w:rPr>
            </w:pPr>
            <w:r>
              <w:rPr>
                <w:rFonts w:hint="eastAsia" w:ascii="宋体" w:hAnsi="宋体" w:cs="宋体"/>
                <w:bCs/>
                <w:szCs w:val="21"/>
              </w:rPr>
              <w:t>不低于</w:t>
            </w:r>
            <w:r>
              <w:rPr>
                <w:rFonts w:hint="eastAsia" w:ascii="宋体" w:hAnsi="宋体"/>
                <w:bCs/>
                <w:szCs w:val="21"/>
              </w:rPr>
              <w:t>80</w:t>
            </w:r>
          </w:p>
        </w:tc>
      </w:tr>
      <w:tr w14:paraId="5DEA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3" w:type="dxa"/>
            <w:noWrap w:val="0"/>
            <w:vAlign w:val="center"/>
          </w:tcPr>
          <w:p w14:paraId="68E3DD42">
            <w:pPr>
              <w:spacing w:line="360" w:lineRule="exact"/>
              <w:jc w:val="center"/>
              <w:rPr>
                <w:rFonts w:ascii="宋体" w:hAnsi="宋体"/>
                <w:szCs w:val="21"/>
              </w:rPr>
            </w:pPr>
            <w:r>
              <w:rPr>
                <w:rFonts w:hint="eastAsia" w:ascii="宋体" w:hAnsi="宋体"/>
                <w:szCs w:val="21"/>
              </w:rPr>
              <w:t>3</w:t>
            </w:r>
          </w:p>
        </w:tc>
        <w:tc>
          <w:tcPr>
            <w:tcW w:w="5176" w:type="dxa"/>
            <w:noWrap w:val="0"/>
            <w:vAlign w:val="center"/>
          </w:tcPr>
          <w:p w14:paraId="543DA854">
            <w:pPr>
              <w:spacing w:line="360" w:lineRule="exact"/>
              <w:jc w:val="center"/>
              <w:rPr>
                <w:rFonts w:hint="eastAsia" w:ascii="宋体" w:hAnsi="宋体"/>
                <w:szCs w:val="21"/>
              </w:rPr>
            </w:pPr>
            <w:r>
              <w:rPr>
                <w:rFonts w:hint="eastAsia" w:ascii="宋体" w:hAnsi="宋体"/>
                <w:szCs w:val="21"/>
              </w:rPr>
              <w:t>倾点</w:t>
            </w:r>
            <w:r>
              <w:rPr>
                <w:rFonts w:hint="eastAsia" w:ascii="宋体" w:hAnsi="宋体"/>
                <w:bCs/>
                <w:szCs w:val="21"/>
              </w:rPr>
              <w:t>℃</w:t>
            </w:r>
          </w:p>
        </w:tc>
        <w:tc>
          <w:tcPr>
            <w:tcW w:w="2919" w:type="dxa"/>
            <w:noWrap w:val="0"/>
            <w:vAlign w:val="center"/>
          </w:tcPr>
          <w:p w14:paraId="6D18FDEB">
            <w:pPr>
              <w:spacing w:line="360" w:lineRule="exact"/>
              <w:jc w:val="center"/>
              <w:rPr>
                <w:rFonts w:ascii="宋体" w:hAnsi="宋体"/>
                <w:szCs w:val="21"/>
              </w:rPr>
            </w:pPr>
            <w:r>
              <w:rPr>
                <w:rFonts w:hint="eastAsia" w:ascii="宋体" w:hAnsi="宋体" w:cs="宋体"/>
                <w:szCs w:val="21"/>
              </w:rPr>
              <w:t>不高于</w:t>
            </w:r>
            <w:r>
              <w:rPr>
                <w:rFonts w:hint="eastAsia" w:ascii="宋体" w:hAnsi="宋体"/>
                <w:szCs w:val="21"/>
              </w:rPr>
              <w:t>24</w:t>
            </w:r>
          </w:p>
        </w:tc>
      </w:tr>
      <w:tr w14:paraId="3C78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3" w:type="dxa"/>
            <w:noWrap w:val="0"/>
            <w:vAlign w:val="center"/>
          </w:tcPr>
          <w:p w14:paraId="6B4AF560">
            <w:pPr>
              <w:spacing w:line="360" w:lineRule="exact"/>
              <w:jc w:val="center"/>
              <w:rPr>
                <w:rFonts w:ascii="宋体" w:hAnsi="宋体"/>
                <w:szCs w:val="21"/>
              </w:rPr>
            </w:pPr>
            <w:r>
              <w:rPr>
                <w:rFonts w:hint="eastAsia" w:ascii="宋体" w:hAnsi="宋体"/>
                <w:szCs w:val="21"/>
              </w:rPr>
              <w:t>4</w:t>
            </w:r>
          </w:p>
        </w:tc>
        <w:tc>
          <w:tcPr>
            <w:tcW w:w="5176" w:type="dxa"/>
            <w:noWrap w:val="0"/>
            <w:vAlign w:val="center"/>
          </w:tcPr>
          <w:p w14:paraId="67201DB6">
            <w:pPr>
              <w:spacing w:line="360" w:lineRule="exact"/>
              <w:jc w:val="center"/>
              <w:rPr>
                <w:rFonts w:ascii="宋体" w:hAnsi="宋体"/>
                <w:szCs w:val="21"/>
              </w:rPr>
            </w:pPr>
            <w:r>
              <w:rPr>
                <w:rFonts w:hint="eastAsia" w:ascii="宋体" w:hAnsi="宋体"/>
                <w:szCs w:val="21"/>
              </w:rPr>
              <w:t>水分（m/m)%</w:t>
            </w:r>
          </w:p>
        </w:tc>
        <w:tc>
          <w:tcPr>
            <w:tcW w:w="2919" w:type="dxa"/>
            <w:noWrap w:val="0"/>
            <w:vAlign w:val="center"/>
          </w:tcPr>
          <w:p w14:paraId="6941B157">
            <w:pPr>
              <w:spacing w:line="360" w:lineRule="exact"/>
              <w:jc w:val="center"/>
              <w:rPr>
                <w:rFonts w:ascii="宋体" w:hAnsi="宋体"/>
                <w:szCs w:val="21"/>
              </w:rPr>
            </w:pPr>
            <w:r>
              <w:rPr>
                <w:rFonts w:hint="eastAsia" w:ascii="宋体" w:hAnsi="宋体"/>
                <w:szCs w:val="21"/>
              </w:rPr>
              <w:t>不高于0.5</w:t>
            </w:r>
          </w:p>
        </w:tc>
      </w:tr>
      <w:tr w14:paraId="07B8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3" w:type="dxa"/>
            <w:noWrap w:val="0"/>
            <w:vAlign w:val="center"/>
          </w:tcPr>
          <w:p w14:paraId="79DC28FF">
            <w:pPr>
              <w:spacing w:line="360" w:lineRule="exact"/>
              <w:jc w:val="center"/>
              <w:rPr>
                <w:rFonts w:ascii="宋体" w:hAnsi="宋体"/>
                <w:szCs w:val="21"/>
              </w:rPr>
            </w:pPr>
            <w:r>
              <w:rPr>
                <w:rFonts w:hint="eastAsia" w:ascii="宋体" w:hAnsi="宋体"/>
                <w:szCs w:val="21"/>
              </w:rPr>
              <w:t>5</w:t>
            </w:r>
          </w:p>
        </w:tc>
        <w:tc>
          <w:tcPr>
            <w:tcW w:w="5176" w:type="dxa"/>
            <w:noWrap w:val="0"/>
            <w:vAlign w:val="center"/>
          </w:tcPr>
          <w:p w14:paraId="691623DE">
            <w:pPr>
              <w:spacing w:line="360" w:lineRule="exact"/>
              <w:jc w:val="center"/>
              <w:rPr>
                <w:rFonts w:ascii="宋体" w:hAnsi="宋体"/>
                <w:szCs w:val="21"/>
              </w:rPr>
            </w:pPr>
            <w:r>
              <w:rPr>
                <w:rFonts w:hint="eastAsia" w:ascii="宋体" w:hAnsi="宋体"/>
                <w:szCs w:val="21"/>
              </w:rPr>
              <w:t>灰分（m/m)%</w:t>
            </w:r>
          </w:p>
        </w:tc>
        <w:tc>
          <w:tcPr>
            <w:tcW w:w="2919" w:type="dxa"/>
            <w:noWrap w:val="0"/>
            <w:vAlign w:val="center"/>
          </w:tcPr>
          <w:p w14:paraId="1B6A878B">
            <w:pPr>
              <w:spacing w:line="360" w:lineRule="exact"/>
              <w:jc w:val="center"/>
              <w:rPr>
                <w:rFonts w:ascii="宋体" w:hAnsi="宋体"/>
                <w:szCs w:val="21"/>
              </w:rPr>
            </w:pPr>
            <w:r>
              <w:rPr>
                <w:rFonts w:hint="eastAsia" w:ascii="宋体" w:hAnsi="宋体"/>
                <w:szCs w:val="21"/>
              </w:rPr>
              <w:t>不高于0.1</w:t>
            </w:r>
          </w:p>
        </w:tc>
      </w:tr>
      <w:tr w14:paraId="4792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3" w:type="dxa"/>
            <w:noWrap w:val="0"/>
            <w:vAlign w:val="center"/>
          </w:tcPr>
          <w:p w14:paraId="23B42928">
            <w:pPr>
              <w:spacing w:line="360" w:lineRule="exact"/>
              <w:jc w:val="center"/>
              <w:rPr>
                <w:rFonts w:ascii="宋体" w:hAnsi="宋体"/>
                <w:szCs w:val="21"/>
              </w:rPr>
            </w:pPr>
            <w:r>
              <w:rPr>
                <w:rFonts w:hint="eastAsia" w:ascii="宋体" w:hAnsi="宋体"/>
                <w:szCs w:val="21"/>
              </w:rPr>
              <w:t>6</w:t>
            </w:r>
          </w:p>
        </w:tc>
        <w:tc>
          <w:tcPr>
            <w:tcW w:w="5176" w:type="dxa"/>
            <w:noWrap w:val="0"/>
            <w:vAlign w:val="center"/>
          </w:tcPr>
          <w:p w14:paraId="3A23BAE3">
            <w:pPr>
              <w:spacing w:line="360" w:lineRule="exact"/>
              <w:jc w:val="center"/>
              <w:rPr>
                <w:rFonts w:hint="eastAsia" w:ascii="宋体" w:hAnsi="宋体"/>
                <w:szCs w:val="21"/>
              </w:rPr>
            </w:pPr>
            <w:r>
              <w:rPr>
                <w:rFonts w:hint="eastAsia" w:ascii="宋体" w:hAnsi="宋体"/>
                <w:szCs w:val="21"/>
              </w:rPr>
              <w:t>矾含量PPM</w:t>
            </w:r>
          </w:p>
        </w:tc>
        <w:tc>
          <w:tcPr>
            <w:tcW w:w="2919" w:type="dxa"/>
            <w:noWrap w:val="0"/>
            <w:vAlign w:val="center"/>
          </w:tcPr>
          <w:p w14:paraId="0A693065">
            <w:pPr>
              <w:spacing w:line="360" w:lineRule="exact"/>
              <w:jc w:val="center"/>
              <w:rPr>
                <w:rFonts w:hint="eastAsia" w:ascii="宋体" w:hAnsi="宋体"/>
                <w:szCs w:val="21"/>
              </w:rPr>
            </w:pPr>
            <w:r>
              <w:rPr>
                <w:rFonts w:hint="eastAsia" w:ascii="宋体" w:hAnsi="宋体"/>
                <w:szCs w:val="21"/>
              </w:rPr>
              <w:t>不高于150</w:t>
            </w:r>
          </w:p>
        </w:tc>
      </w:tr>
      <w:tr w14:paraId="388F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3" w:type="dxa"/>
            <w:noWrap w:val="0"/>
            <w:vAlign w:val="center"/>
          </w:tcPr>
          <w:p w14:paraId="7E9C822A">
            <w:pPr>
              <w:spacing w:line="360" w:lineRule="exact"/>
              <w:jc w:val="center"/>
              <w:rPr>
                <w:rFonts w:ascii="宋体" w:hAnsi="宋体"/>
                <w:szCs w:val="21"/>
              </w:rPr>
            </w:pPr>
            <w:r>
              <w:rPr>
                <w:rFonts w:hint="eastAsia" w:ascii="宋体" w:hAnsi="宋体"/>
                <w:szCs w:val="21"/>
              </w:rPr>
              <w:t>7</w:t>
            </w:r>
          </w:p>
        </w:tc>
        <w:tc>
          <w:tcPr>
            <w:tcW w:w="5176" w:type="dxa"/>
            <w:noWrap w:val="0"/>
            <w:vAlign w:val="center"/>
          </w:tcPr>
          <w:p w14:paraId="5B4E30CD">
            <w:pPr>
              <w:spacing w:line="360" w:lineRule="exact"/>
              <w:jc w:val="center"/>
              <w:rPr>
                <w:rFonts w:hint="eastAsia" w:ascii="宋体" w:hAnsi="宋体"/>
                <w:szCs w:val="21"/>
              </w:rPr>
            </w:pPr>
            <w:r>
              <w:rPr>
                <w:rFonts w:hint="eastAsia" w:ascii="宋体" w:hAnsi="宋体"/>
                <w:szCs w:val="21"/>
              </w:rPr>
              <w:t>总机械杂质（m/m)%</w:t>
            </w:r>
          </w:p>
        </w:tc>
        <w:tc>
          <w:tcPr>
            <w:tcW w:w="2919" w:type="dxa"/>
            <w:noWrap w:val="0"/>
            <w:vAlign w:val="center"/>
          </w:tcPr>
          <w:p w14:paraId="69A42A56">
            <w:pPr>
              <w:spacing w:line="360" w:lineRule="exact"/>
              <w:jc w:val="center"/>
              <w:rPr>
                <w:rFonts w:hint="eastAsia" w:ascii="宋体" w:hAnsi="宋体"/>
                <w:szCs w:val="21"/>
              </w:rPr>
            </w:pPr>
            <w:r>
              <w:rPr>
                <w:rFonts w:hint="eastAsia" w:ascii="宋体" w:hAnsi="宋体" w:cs="宋体"/>
                <w:szCs w:val="21"/>
              </w:rPr>
              <w:t>不高于</w:t>
            </w:r>
            <w:r>
              <w:rPr>
                <w:rFonts w:hint="eastAsia" w:ascii="宋体" w:hAnsi="宋体"/>
                <w:szCs w:val="21"/>
              </w:rPr>
              <w:t>0.1</w:t>
            </w:r>
          </w:p>
        </w:tc>
      </w:tr>
      <w:tr w14:paraId="7E96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3" w:type="dxa"/>
            <w:noWrap w:val="0"/>
            <w:vAlign w:val="center"/>
          </w:tcPr>
          <w:p w14:paraId="5FA56020">
            <w:pPr>
              <w:spacing w:line="360" w:lineRule="exact"/>
              <w:jc w:val="center"/>
              <w:rPr>
                <w:rFonts w:ascii="宋体" w:hAnsi="宋体"/>
                <w:szCs w:val="21"/>
              </w:rPr>
            </w:pPr>
            <w:r>
              <w:rPr>
                <w:rFonts w:hint="eastAsia" w:ascii="宋体" w:hAnsi="宋体"/>
                <w:szCs w:val="21"/>
              </w:rPr>
              <w:t>8</w:t>
            </w:r>
          </w:p>
        </w:tc>
        <w:tc>
          <w:tcPr>
            <w:tcW w:w="5176" w:type="dxa"/>
            <w:noWrap w:val="0"/>
            <w:vAlign w:val="center"/>
          </w:tcPr>
          <w:p w14:paraId="57AD42BF">
            <w:pPr>
              <w:spacing w:line="360" w:lineRule="exact"/>
              <w:jc w:val="center"/>
              <w:rPr>
                <w:rFonts w:ascii="宋体" w:hAnsi="宋体"/>
                <w:szCs w:val="21"/>
              </w:rPr>
            </w:pPr>
            <w:r>
              <w:rPr>
                <w:rFonts w:hint="eastAsia" w:ascii="宋体" w:hAnsi="宋体"/>
                <w:szCs w:val="21"/>
              </w:rPr>
              <w:t>硫含量（m/m)%</w:t>
            </w:r>
          </w:p>
        </w:tc>
        <w:tc>
          <w:tcPr>
            <w:tcW w:w="2919" w:type="dxa"/>
            <w:noWrap w:val="0"/>
            <w:vAlign w:val="center"/>
          </w:tcPr>
          <w:p w14:paraId="6C2D9137">
            <w:pPr>
              <w:spacing w:line="360" w:lineRule="exact"/>
              <w:jc w:val="center"/>
              <w:rPr>
                <w:rFonts w:ascii="宋体" w:hAnsi="宋体"/>
                <w:szCs w:val="21"/>
              </w:rPr>
            </w:pPr>
            <w:r>
              <w:rPr>
                <w:rFonts w:hint="eastAsia" w:ascii="宋体" w:hAnsi="宋体" w:cs="宋体"/>
                <w:szCs w:val="21"/>
              </w:rPr>
              <w:t>不高于</w:t>
            </w:r>
            <w:r>
              <w:rPr>
                <w:rFonts w:hint="eastAsia" w:ascii="宋体" w:hAnsi="宋体"/>
                <w:szCs w:val="21"/>
              </w:rPr>
              <w:t>3.5</w:t>
            </w:r>
          </w:p>
        </w:tc>
      </w:tr>
      <w:tr w14:paraId="15D0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3" w:type="dxa"/>
            <w:noWrap w:val="0"/>
            <w:vAlign w:val="center"/>
          </w:tcPr>
          <w:p w14:paraId="1598DD43">
            <w:pPr>
              <w:spacing w:line="360" w:lineRule="exact"/>
              <w:jc w:val="center"/>
              <w:rPr>
                <w:rFonts w:ascii="宋体" w:hAnsi="宋体"/>
                <w:szCs w:val="21"/>
              </w:rPr>
            </w:pPr>
            <w:r>
              <w:rPr>
                <w:rFonts w:hint="eastAsia" w:ascii="宋体" w:hAnsi="宋体"/>
                <w:szCs w:val="21"/>
              </w:rPr>
              <w:t>9</w:t>
            </w:r>
          </w:p>
        </w:tc>
        <w:tc>
          <w:tcPr>
            <w:tcW w:w="5176" w:type="dxa"/>
            <w:noWrap w:val="0"/>
            <w:vAlign w:val="center"/>
          </w:tcPr>
          <w:p w14:paraId="3C3F4518">
            <w:pPr>
              <w:spacing w:line="360" w:lineRule="exact"/>
              <w:jc w:val="center"/>
              <w:rPr>
                <w:rFonts w:hint="eastAsia" w:ascii="宋体" w:hAnsi="宋体"/>
                <w:szCs w:val="21"/>
              </w:rPr>
            </w:pPr>
            <w:r>
              <w:rPr>
                <w:rFonts w:hint="eastAsia" w:ascii="宋体" w:hAnsi="宋体"/>
                <w:szCs w:val="21"/>
              </w:rPr>
              <w:t>低热值MJ/kg</w:t>
            </w:r>
          </w:p>
        </w:tc>
        <w:tc>
          <w:tcPr>
            <w:tcW w:w="2919" w:type="dxa"/>
            <w:noWrap w:val="0"/>
            <w:vAlign w:val="center"/>
          </w:tcPr>
          <w:p w14:paraId="57625D6A">
            <w:pPr>
              <w:spacing w:line="360" w:lineRule="exact"/>
              <w:jc w:val="center"/>
              <w:rPr>
                <w:rFonts w:hint="default" w:ascii="宋体" w:hAnsi="宋体" w:eastAsia="宋体"/>
                <w:szCs w:val="21"/>
                <w:lang w:val="en-US" w:eastAsia="zh-CN"/>
              </w:rPr>
            </w:pPr>
            <w:r>
              <w:rPr>
                <w:rFonts w:hint="eastAsia" w:ascii="宋体" w:hAnsi="宋体"/>
                <w:szCs w:val="21"/>
              </w:rPr>
              <w:t>不低于</w:t>
            </w:r>
            <w:r>
              <w:rPr>
                <w:rFonts w:hint="eastAsia" w:ascii="宋体" w:hAnsi="宋体"/>
                <w:szCs w:val="21"/>
                <w:lang w:val="en-US" w:eastAsia="zh-CN"/>
              </w:rPr>
              <w:t>8500</w:t>
            </w:r>
          </w:p>
        </w:tc>
      </w:tr>
      <w:tr w14:paraId="138F7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3" w:type="dxa"/>
            <w:noWrap w:val="0"/>
            <w:vAlign w:val="center"/>
          </w:tcPr>
          <w:p w14:paraId="34A51088">
            <w:pPr>
              <w:spacing w:line="360" w:lineRule="exact"/>
              <w:jc w:val="center"/>
              <w:rPr>
                <w:rFonts w:ascii="宋体" w:hAnsi="宋体"/>
                <w:szCs w:val="21"/>
              </w:rPr>
            </w:pPr>
            <w:r>
              <w:rPr>
                <w:rFonts w:hint="eastAsia" w:ascii="宋体" w:hAnsi="宋体"/>
                <w:szCs w:val="21"/>
              </w:rPr>
              <w:t>10</w:t>
            </w:r>
          </w:p>
        </w:tc>
        <w:tc>
          <w:tcPr>
            <w:tcW w:w="5176" w:type="dxa"/>
            <w:noWrap w:val="0"/>
            <w:vAlign w:val="center"/>
          </w:tcPr>
          <w:p w14:paraId="504415EB">
            <w:pPr>
              <w:spacing w:line="360" w:lineRule="exact"/>
              <w:jc w:val="center"/>
              <w:rPr>
                <w:rFonts w:ascii="宋体" w:hAnsi="宋体"/>
                <w:szCs w:val="21"/>
              </w:rPr>
            </w:pPr>
            <w:r>
              <w:rPr>
                <w:rFonts w:hint="eastAsia" w:ascii="宋体" w:hAnsi="宋体"/>
                <w:szCs w:val="21"/>
              </w:rPr>
              <w:t>密度(15°C)g/cm³</w:t>
            </w:r>
          </w:p>
        </w:tc>
        <w:tc>
          <w:tcPr>
            <w:tcW w:w="2919" w:type="dxa"/>
            <w:noWrap w:val="0"/>
            <w:vAlign w:val="center"/>
          </w:tcPr>
          <w:p w14:paraId="17BB5A50">
            <w:pPr>
              <w:spacing w:line="360" w:lineRule="exact"/>
              <w:jc w:val="center"/>
              <w:rPr>
                <w:rFonts w:ascii="宋体" w:hAnsi="宋体"/>
                <w:szCs w:val="21"/>
              </w:rPr>
            </w:pPr>
            <w:r>
              <w:rPr>
                <w:rFonts w:hint="eastAsia" w:ascii="宋体" w:hAnsi="宋体"/>
                <w:szCs w:val="21"/>
              </w:rPr>
              <w:t>不高于0.985</w:t>
            </w:r>
          </w:p>
        </w:tc>
      </w:tr>
    </w:tbl>
    <w:p w14:paraId="5213A89C">
      <w:pPr>
        <w:numPr>
          <w:ilvl w:val="0"/>
          <w:numId w:val="0"/>
        </w:numPr>
        <w:spacing w:line="360" w:lineRule="auto"/>
        <w:ind w:firstLine="221" w:firstLineChars="100"/>
        <w:jc w:val="left"/>
        <w:rPr>
          <w:rFonts w:hint="eastAsia" w:ascii="宋体" w:hAnsi="宋体" w:eastAsia="宋体" w:cs="宋体"/>
          <w:b/>
          <w:bCs/>
          <w:color w:val="auto"/>
          <w:sz w:val="22"/>
          <w:szCs w:val="22"/>
          <w:lang w:val="en-US" w:eastAsia="zh-CN"/>
        </w:rPr>
      </w:pPr>
      <w:r>
        <w:rPr>
          <w:rFonts w:hint="eastAsia" w:ascii="宋体" w:hAnsi="宋体" w:cs="宋体"/>
          <w:b/>
          <w:bCs/>
          <w:color w:val="auto"/>
          <w:sz w:val="22"/>
          <w:szCs w:val="22"/>
          <w:lang w:val="en-US" w:eastAsia="zh-CN"/>
        </w:rPr>
        <w:t>三</w:t>
      </w:r>
      <w:r>
        <w:rPr>
          <w:rFonts w:hint="eastAsia" w:ascii="宋体" w:hAnsi="宋体" w:eastAsia="宋体" w:cs="宋体"/>
          <w:b/>
          <w:bCs/>
          <w:color w:val="auto"/>
          <w:sz w:val="22"/>
          <w:szCs w:val="22"/>
          <w:lang w:val="en-US" w:eastAsia="zh-CN"/>
        </w:rPr>
        <w:t>、服务要求</w:t>
      </w:r>
    </w:p>
    <w:p w14:paraId="2790C2C3">
      <w:pPr>
        <w:pStyle w:val="14"/>
        <w:spacing w:line="360" w:lineRule="auto"/>
        <w:ind w:left="0" w:leftChars="0"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1、本次所需油品数量按采购人要求供货，分批供货；所供油品须在接到采购人通知后 24 小时内送达指定地点，须采用油罐车运输。</w:t>
      </w:r>
    </w:p>
    <w:p w14:paraId="620BEDD3">
      <w:pPr>
        <w:pStyle w:val="14"/>
        <w:spacing w:line="360" w:lineRule="auto"/>
        <w:ind w:left="0" w:leftChars="0"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2、供应商不得以市场行情紧张等为借口，少送或迟送采购人通知的送货量。</w:t>
      </w:r>
    </w:p>
    <w:p w14:paraId="15AB4945">
      <w:pPr>
        <w:pStyle w:val="14"/>
        <w:spacing w:line="360" w:lineRule="auto"/>
        <w:ind w:left="0" w:leftChars="0" w:firstLine="221" w:firstLineChars="100"/>
        <w:rPr>
          <w:rFonts w:hint="eastAsia" w:ascii="宋体" w:hAnsi="宋体"/>
          <w:b/>
          <w:szCs w:val="21"/>
        </w:rPr>
      </w:pPr>
      <w:r>
        <w:rPr>
          <w:rFonts w:hint="eastAsia" w:ascii="宋体" w:hAnsi="宋体" w:eastAsia="宋体" w:cs="宋体"/>
          <w:b/>
          <w:bCs/>
          <w:color w:val="auto"/>
          <w:sz w:val="22"/>
          <w:szCs w:val="22"/>
          <w:lang w:val="en-US" w:eastAsia="zh-CN"/>
        </w:rPr>
        <w:t>四、售后服务要求</w:t>
      </w:r>
    </w:p>
    <w:p w14:paraId="15BE4E65">
      <w:pPr>
        <w:pStyle w:val="14"/>
        <w:spacing w:line="360" w:lineRule="auto"/>
        <w:ind w:left="0" w:leftChars="0"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1、产品销售后，如出现质量问题，无条件包退包换。</w:t>
      </w:r>
    </w:p>
    <w:p w14:paraId="4DBFFE38">
      <w:pPr>
        <w:pStyle w:val="14"/>
        <w:spacing w:line="360" w:lineRule="auto"/>
        <w:ind w:left="0" w:leftChars="0"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2、如接到采购人投诉，中标人授权代表须在 8 小时内赴现场察看，主动协商，妥善解决，直到采购人满意为止。</w:t>
      </w:r>
    </w:p>
    <w:p w14:paraId="58149AC2">
      <w:pPr>
        <w:spacing w:line="360" w:lineRule="auto"/>
        <w:ind w:right="25" w:rightChars="12" w:firstLine="221" w:firstLineChars="100"/>
        <w:rPr>
          <w:rFonts w:hint="eastAsia" w:ascii="宋体" w:hAnsi="宋体"/>
          <w:b/>
          <w:szCs w:val="21"/>
        </w:rPr>
      </w:pPr>
      <w:r>
        <w:rPr>
          <w:rFonts w:hint="eastAsia" w:ascii="宋体" w:hAnsi="宋体" w:cs="宋体"/>
          <w:b/>
          <w:bCs/>
          <w:color w:val="auto"/>
          <w:kern w:val="2"/>
          <w:sz w:val="22"/>
          <w:szCs w:val="22"/>
          <w:lang w:val="en-US" w:eastAsia="zh-CN" w:bidi="ar-SA"/>
        </w:rPr>
        <w:t>五</w:t>
      </w:r>
      <w:r>
        <w:rPr>
          <w:rFonts w:hint="eastAsia" w:ascii="宋体" w:hAnsi="宋体" w:eastAsia="宋体" w:cs="宋体"/>
          <w:b/>
          <w:bCs/>
          <w:color w:val="auto"/>
          <w:kern w:val="2"/>
          <w:sz w:val="22"/>
          <w:szCs w:val="22"/>
          <w:lang w:val="en-US" w:eastAsia="zh-CN" w:bidi="ar-SA"/>
        </w:rPr>
        <w:t>、质量目标</w:t>
      </w:r>
    </w:p>
    <w:p w14:paraId="1B854D90">
      <w:pPr>
        <w:pStyle w:val="14"/>
        <w:spacing w:line="360" w:lineRule="auto"/>
        <w:ind w:left="0" w:leftChars="0"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1、燃油必须符合国家相关标准，在正常使用情况下，能确保运输、贮存、使用安全，并保证不会对相关设施如贮罐、日用油箱、输油泵、锅炉等造成不良影响。</w:t>
      </w:r>
    </w:p>
    <w:p w14:paraId="46E29A93">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2、所供油品必须符合采购人现有设备（沥青拌合楼）使用条件，</w:t>
      </w:r>
      <w:r>
        <w:rPr>
          <w:rFonts w:hint="eastAsia" w:hAnsi="宋体" w:cs="宋体"/>
          <w:color w:val="auto"/>
          <w:sz w:val="22"/>
          <w:szCs w:val="22"/>
          <w:lang w:val="en-US" w:eastAsia="zh-CN"/>
        </w:rPr>
        <w:t>并提供燃料的检验证明及合格证，</w:t>
      </w:r>
      <w:r>
        <w:rPr>
          <w:rFonts w:hint="eastAsia" w:ascii="宋体" w:hAnsi="宋体" w:eastAsia="宋体" w:cs="宋体"/>
          <w:color w:val="auto"/>
          <w:sz w:val="22"/>
          <w:szCs w:val="22"/>
        </w:rPr>
        <w:t>须符合环保要求。</w:t>
      </w:r>
    </w:p>
    <w:p w14:paraId="62932D8C">
      <w:pPr>
        <w:spacing w:line="360" w:lineRule="auto"/>
        <w:ind w:firstLine="221" w:firstLineChars="100"/>
        <w:rPr>
          <w:rFonts w:hint="eastAsia" w:ascii="宋体" w:hAnsi="宋体" w:eastAsia="宋体" w:cs="宋体"/>
          <w:sz w:val="22"/>
          <w:szCs w:val="22"/>
        </w:rPr>
      </w:pPr>
      <w:r>
        <w:rPr>
          <w:rFonts w:hint="eastAsia" w:ascii="宋体" w:hAnsi="宋体" w:eastAsia="宋体" w:cs="宋体"/>
          <w:b/>
          <w:bCs/>
          <w:sz w:val="22"/>
          <w:szCs w:val="22"/>
          <w:lang w:val="en-US" w:eastAsia="zh-CN"/>
        </w:rPr>
        <w:t>六、验收要求</w:t>
      </w:r>
    </w:p>
    <w:p w14:paraId="1F6F45D1">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1、验收时间</w:t>
      </w:r>
    </w:p>
    <w:p w14:paraId="0781A6DC">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中标人将油品运至采购人指定的地点后，由采购人、中标人双方各委托一名相关人员（作为双方代表）对油品的数量、质量共同验收，并在相关记录上签字确认，如有异议必须现场及时提出，否则视同认可验收结果。</w:t>
      </w:r>
    </w:p>
    <w:p w14:paraId="0269D54D">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2、数量验收</w:t>
      </w:r>
    </w:p>
    <w:p w14:paraId="5F95758C">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1）中标人每次供货时都需随车提供送货单，中标人结算提供的送货清单要求品名、单价、数量、总金额、签收人等内容登记详尽。</w:t>
      </w:r>
    </w:p>
    <w:p w14:paraId="23EDBA31">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油量数量确认：以采购人过磅数量或油罐油表数量为准。如采购人对供货数量有异议的，配送车辆进出场时均需现场过磅。若验收数量与提供货单数量误差在正负千分之三范围内，且出库前中标人将油罐车所有出口铅封，则以中标人油库发油时发油计量数为准（计量交易）：磅差超出千分之三范围由中标人承担。如中标人对采购人收货数量有异议时，可选择有资质的第三方机构进行复核。复核费由中标人付费。</w:t>
      </w:r>
    </w:p>
    <w:p w14:paraId="3DD9D243">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3、质量验收</w:t>
      </w:r>
    </w:p>
    <w:p w14:paraId="78550498">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1）如采购人对供货质量有异议的，中标人需向采购人提供该批次油品《质量合格证》或《质量检验报告》，双方按现行规定的方法进行检验，取样方法按照标准执行。</w:t>
      </w:r>
    </w:p>
    <w:p w14:paraId="164B9FA9">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供货期内，采购人有权任意选取若干次到货货物进行质量检测，中标人代表须在2小时内到达现场，否则采购人有权单方面进行抽样，中标人必须认可抽样结果。采购人将委托技术监督部门授权的质量检验鉴定机构进行油品质量鉴定，有鉴定部门出具油品质量鉴定报告，鉴定费用由中标人承担。鉴定油品存在质量问题的，中标人还应当更换货物，给采购人造成损失的，还应当赔偿损失</w:t>
      </w:r>
      <w:r>
        <w:rPr>
          <w:rFonts w:hint="eastAsia" w:ascii="宋体" w:hAnsi="宋体" w:cs="宋体"/>
          <w:sz w:val="22"/>
          <w:szCs w:val="22"/>
          <w:lang w:eastAsia="zh-CN"/>
        </w:rPr>
        <w:t>，</w:t>
      </w:r>
      <w:r>
        <w:rPr>
          <w:rFonts w:hint="eastAsia" w:ascii="宋体" w:hAnsi="宋体" w:cs="宋体"/>
          <w:color w:val="auto"/>
          <w:sz w:val="22"/>
          <w:szCs w:val="22"/>
          <w:u w:val="none"/>
          <w:lang w:val="en-US" w:eastAsia="zh-CN"/>
        </w:rPr>
        <w:t>包括但不限于给生产设备造成的故障维修、沥青混凝土延期交付造成的工程工期延期等</w:t>
      </w:r>
      <w:r>
        <w:rPr>
          <w:rFonts w:hint="eastAsia" w:ascii="宋体" w:hAnsi="宋体" w:eastAsia="宋体" w:cs="宋体"/>
          <w:b w:val="0"/>
          <w:bCs/>
          <w:sz w:val="22"/>
          <w:szCs w:val="22"/>
          <w:lang w:val="en-US" w:eastAsia="zh-CN"/>
        </w:rPr>
        <w:t>实际经济损失</w:t>
      </w:r>
      <w:r>
        <w:rPr>
          <w:rFonts w:hint="eastAsia" w:ascii="宋体" w:hAnsi="宋体" w:eastAsia="宋体" w:cs="宋体"/>
          <w:sz w:val="22"/>
          <w:szCs w:val="22"/>
        </w:rPr>
        <w:t>。合同履约期内，中标人无故不响应1次或油品累计发生两次及以上不合格的，采购人有权没收其全部未支付款项并有权单方面解除合同。</w:t>
      </w:r>
    </w:p>
    <w:p w14:paraId="4BCCB6CF">
      <w:pPr>
        <w:spacing w:line="360" w:lineRule="auto"/>
        <w:ind w:left="210" w:leftChars="100"/>
        <w:jc w:val="left"/>
        <w:rPr>
          <w:rFonts w:hint="eastAsia" w:ascii="宋体" w:hAnsi="宋体" w:eastAsia="宋体" w:cs="宋体"/>
          <w:b/>
          <w:bCs/>
          <w:color w:val="auto"/>
          <w:sz w:val="22"/>
          <w:szCs w:val="22"/>
        </w:rPr>
      </w:pPr>
      <w:r>
        <w:rPr>
          <w:rFonts w:hint="eastAsia" w:ascii="宋体" w:hAnsi="宋体" w:eastAsia="宋体" w:cs="宋体"/>
          <w:b/>
          <w:bCs/>
          <w:color w:val="auto"/>
          <w:sz w:val="22"/>
          <w:szCs w:val="22"/>
          <w:lang w:val="en-US" w:eastAsia="zh-CN"/>
        </w:rPr>
        <w:t>七.</w:t>
      </w:r>
      <w:r>
        <w:rPr>
          <w:rFonts w:hint="eastAsia" w:ascii="宋体" w:hAnsi="宋体" w:eastAsia="宋体" w:cs="宋体"/>
          <w:b/>
          <w:bCs/>
          <w:color w:val="auto"/>
          <w:sz w:val="22"/>
          <w:szCs w:val="22"/>
        </w:rPr>
        <w:t>售后服务要求</w:t>
      </w:r>
    </w:p>
    <w:p w14:paraId="386E446C">
      <w:pPr>
        <w:spacing w:line="360" w:lineRule="auto"/>
        <w:ind w:firstLine="220" w:firstLineChars="100"/>
        <w:jc w:val="left"/>
        <w:rPr>
          <w:rFonts w:hint="eastAsia" w:ascii="宋体" w:hAnsi="宋体" w:eastAsia="宋体" w:cs="宋体"/>
          <w:color w:val="auto"/>
          <w:sz w:val="22"/>
          <w:szCs w:val="22"/>
          <w:u w:val="none"/>
        </w:rPr>
      </w:pPr>
      <w:r>
        <w:rPr>
          <w:rFonts w:hint="eastAsia" w:ascii="宋体" w:hAnsi="宋体" w:eastAsia="宋体" w:cs="宋体"/>
          <w:color w:val="auto"/>
          <w:sz w:val="22"/>
          <w:szCs w:val="22"/>
          <w:u w:val="none"/>
          <w:lang w:eastAsia="zh-CN"/>
        </w:rPr>
        <w:t>（</w:t>
      </w:r>
      <w:r>
        <w:rPr>
          <w:rFonts w:hint="eastAsia" w:ascii="宋体" w:hAnsi="宋体" w:eastAsia="宋体" w:cs="宋体"/>
          <w:color w:val="auto"/>
          <w:sz w:val="22"/>
          <w:szCs w:val="22"/>
          <w:u w:val="none"/>
          <w:lang w:val="en-US" w:eastAsia="zh-CN"/>
        </w:rPr>
        <w:t>1）质保期：交货验收合格之日起至少6个月</w:t>
      </w:r>
      <w:r>
        <w:rPr>
          <w:rFonts w:hint="eastAsia" w:ascii="宋体" w:hAnsi="宋体" w:eastAsia="宋体" w:cs="宋体"/>
          <w:color w:val="auto"/>
          <w:sz w:val="22"/>
          <w:szCs w:val="22"/>
          <w:u w:val="none"/>
        </w:rPr>
        <w:t>。</w:t>
      </w:r>
    </w:p>
    <w:p w14:paraId="6AE6F0B7">
      <w:pPr>
        <w:pStyle w:val="14"/>
        <w:spacing w:line="360" w:lineRule="auto"/>
        <w:ind w:left="0" w:leftChars="0"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u w:val="none"/>
          <w:lang w:eastAsia="zh-CN"/>
        </w:rPr>
        <w:t>（</w:t>
      </w:r>
      <w:r>
        <w:rPr>
          <w:rFonts w:hint="eastAsia" w:ascii="宋体" w:hAnsi="宋体" w:eastAsia="宋体" w:cs="宋体"/>
          <w:color w:val="auto"/>
          <w:sz w:val="22"/>
          <w:szCs w:val="22"/>
          <w:u w:val="none"/>
          <w:lang w:val="en-US" w:eastAsia="zh-CN"/>
        </w:rPr>
        <w:t>2）鉴定油品存在质量问题的，中标人应当更换货物，给采购人造成损失的，还应当赔偿损失</w:t>
      </w:r>
      <w:r>
        <w:rPr>
          <w:rFonts w:hint="eastAsia" w:ascii="宋体" w:hAnsi="宋体" w:cs="宋体"/>
          <w:color w:val="auto"/>
          <w:sz w:val="22"/>
          <w:szCs w:val="22"/>
          <w:u w:val="none"/>
          <w:lang w:val="en-US" w:eastAsia="zh-CN"/>
        </w:rPr>
        <w:t>，包括但不限于给生产设备造成的故障维修、沥青混凝土延期交付造成的工程工期延期等</w:t>
      </w:r>
      <w:r>
        <w:rPr>
          <w:rFonts w:hint="eastAsia" w:ascii="宋体" w:hAnsi="宋体" w:eastAsia="宋体" w:cs="宋体"/>
          <w:b w:val="0"/>
          <w:bCs/>
          <w:sz w:val="22"/>
          <w:szCs w:val="22"/>
          <w:lang w:val="en-US" w:eastAsia="zh-CN"/>
        </w:rPr>
        <w:t>实际经济损失</w:t>
      </w:r>
      <w:r>
        <w:rPr>
          <w:rFonts w:hint="eastAsia" w:ascii="宋体" w:hAnsi="宋体" w:eastAsia="宋体" w:cs="宋体"/>
          <w:color w:val="auto"/>
          <w:sz w:val="22"/>
          <w:szCs w:val="22"/>
          <w:u w:val="none"/>
          <w:lang w:val="en-US" w:eastAsia="zh-CN"/>
        </w:rPr>
        <w:t>。合同履约期内，中标人无故不响应1次或油品累计发生两次及以上不合格的，采购人有权没收其全部未支付款项并有权单方面解除合同，由此产生的一切责任均由中标人承担。</w:t>
      </w:r>
    </w:p>
    <w:p w14:paraId="43BFEC6E">
      <w:pPr>
        <w:pStyle w:val="14"/>
        <w:spacing w:line="360" w:lineRule="auto"/>
        <w:ind w:left="0" w:leftChars="0" w:firstLine="221" w:firstLineChars="100"/>
        <w:rPr>
          <w:rFonts w:hint="eastAsia" w:ascii="宋体" w:hAnsi="宋体" w:eastAsia="宋体" w:cs="宋体"/>
          <w:b/>
          <w:bCs/>
          <w:i w:val="0"/>
          <w:iCs w:val="0"/>
          <w:color w:val="000000"/>
          <w:kern w:val="0"/>
          <w:sz w:val="22"/>
          <w:szCs w:val="22"/>
          <w:highlight w:val="none"/>
          <w:u w:val="none"/>
          <w:lang w:val="en-US" w:eastAsia="zh-CN" w:bidi="ar"/>
        </w:rPr>
      </w:pPr>
      <w:r>
        <w:rPr>
          <w:rFonts w:hint="eastAsia" w:hAnsi="宋体" w:cs="宋体"/>
          <w:b/>
          <w:bCs/>
          <w:i w:val="0"/>
          <w:iCs w:val="0"/>
          <w:color w:val="000000"/>
          <w:kern w:val="0"/>
          <w:sz w:val="22"/>
          <w:szCs w:val="22"/>
          <w:highlight w:val="none"/>
          <w:u w:val="none"/>
          <w:lang w:val="en-US" w:eastAsia="zh-CN" w:bidi="ar"/>
        </w:rPr>
        <w:t>八</w:t>
      </w:r>
      <w:r>
        <w:rPr>
          <w:rFonts w:hint="eastAsia" w:ascii="宋体" w:hAnsi="宋体" w:eastAsia="宋体" w:cs="宋体"/>
          <w:b/>
          <w:bCs/>
          <w:i w:val="0"/>
          <w:iCs w:val="0"/>
          <w:color w:val="000000"/>
          <w:kern w:val="0"/>
          <w:sz w:val="22"/>
          <w:szCs w:val="22"/>
          <w:highlight w:val="none"/>
          <w:u w:val="none"/>
          <w:lang w:val="en-US" w:eastAsia="zh-CN" w:bidi="ar"/>
        </w:rPr>
        <w:t>、其他要求</w:t>
      </w:r>
    </w:p>
    <w:p w14:paraId="03536323">
      <w:pPr>
        <w:pStyle w:val="14"/>
        <w:spacing w:line="360" w:lineRule="auto"/>
        <w:ind w:left="0" w:leftChars="0" w:firstLine="221" w:firstLineChars="100"/>
        <w:rPr>
          <w:rFonts w:hint="default" w:ascii="宋体" w:hAnsi="宋体" w:eastAsia="宋体" w:cs="宋体"/>
          <w:color w:val="auto"/>
          <w:sz w:val="22"/>
          <w:szCs w:val="22"/>
          <w:lang w:val="en-US" w:eastAsia="zh-CN"/>
        </w:rPr>
      </w:pPr>
      <w:r>
        <w:rPr>
          <w:rFonts w:hint="eastAsia" w:ascii="宋体" w:hAnsi="宋体" w:eastAsia="宋体" w:cs="宋体"/>
          <w:b/>
          <w:bCs/>
          <w:color w:val="auto"/>
          <w:sz w:val="22"/>
          <w:szCs w:val="22"/>
          <w:lang w:val="en-US" w:eastAsia="zh-CN"/>
        </w:rPr>
        <w:t>▲</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lang w:val="en-US" w:eastAsia="zh-CN"/>
        </w:rPr>
        <w:t>3</w:t>
      </w:r>
      <w:r>
        <w:rPr>
          <w:rFonts w:hint="eastAsia" w:ascii="宋体" w:hAnsi="宋体" w:eastAsia="宋体" w:cs="宋体"/>
          <w:b/>
          <w:bCs/>
          <w:color w:val="auto"/>
          <w:sz w:val="22"/>
          <w:szCs w:val="22"/>
          <w:lang w:eastAsia="zh-CN"/>
        </w:rPr>
        <w:t>）</w:t>
      </w:r>
      <w:r>
        <w:rPr>
          <w:rFonts w:hint="eastAsia" w:ascii="宋体" w:hAnsi="宋体" w:eastAsia="宋体" w:cs="宋体"/>
          <w:b/>
          <w:bCs/>
          <w:color w:val="auto"/>
          <w:sz w:val="22"/>
          <w:szCs w:val="22"/>
          <w:lang w:val="en-US" w:eastAsia="zh-CN"/>
        </w:rPr>
        <w:t>本项目不支付预付款，要求卖方中标人提供货物周转资金(即货物垫资)，并在投标报价文件中对提供货物周转资金(即货物垫资)作出金额承诺；若供应商承诺所提供垫资金额</w:t>
      </w:r>
      <w:r>
        <w:rPr>
          <w:rFonts w:hint="eastAsia" w:ascii="宋体" w:hAnsi="宋体" w:eastAsia="宋体" w:cs="宋体"/>
          <w:b/>
          <w:bCs/>
          <w:color w:val="auto"/>
          <w:sz w:val="22"/>
          <w:szCs w:val="22"/>
          <w:highlight w:val="none"/>
          <w:lang w:val="en-US" w:eastAsia="zh-CN"/>
        </w:rPr>
        <w:t>少于</w:t>
      </w:r>
      <w:r>
        <w:rPr>
          <w:rFonts w:hint="eastAsia" w:hAnsi="宋体" w:cs="宋体"/>
          <w:b/>
          <w:bCs/>
          <w:color w:val="auto"/>
          <w:sz w:val="22"/>
          <w:szCs w:val="22"/>
          <w:highlight w:val="none"/>
          <w:lang w:val="en-US" w:eastAsia="zh-CN"/>
        </w:rPr>
        <w:t>18</w:t>
      </w:r>
      <w:r>
        <w:rPr>
          <w:rFonts w:hint="eastAsia" w:ascii="宋体" w:hAnsi="宋体" w:eastAsia="宋体" w:cs="宋体"/>
          <w:b/>
          <w:bCs/>
          <w:color w:val="auto"/>
          <w:sz w:val="22"/>
          <w:szCs w:val="22"/>
          <w:highlight w:val="none"/>
          <w:lang w:val="en-US" w:eastAsia="zh-CN"/>
        </w:rPr>
        <w:t>万</w:t>
      </w:r>
      <w:r>
        <w:rPr>
          <w:rFonts w:hint="eastAsia" w:ascii="宋体" w:hAnsi="宋体" w:eastAsia="宋体" w:cs="宋体"/>
          <w:b/>
          <w:bCs/>
          <w:color w:val="auto"/>
          <w:sz w:val="22"/>
          <w:szCs w:val="22"/>
          <w:lang w:val="en-US" w:eastAsia="zh-CN"/>
        </w:rPr>
        <w:t>元人民币，将否决其投标。</w:t>
      </w:r>
    </w:p>
    <w:p w14:paraId="1561D994">
      <w:pPr>
        <w:pStyle w:val="14"/>
        <w:spacing w:line="360" w:lineRule="auto"/>
        <w:ind w:left="0" w:leftChars="0" w:firstLine="221" w:firstLineChars="100"/>
        <w:rPr>
          <w:rFonts w:hint="eastAsia" w:ascii="宋体" w:hAnsi="宋体" w:eastAsia="宋体" w:cs="宋体"/>
          <w:b/>
          <w:bCs/>
          <w:i w:val="0"/>
          <w:iCs w:val="0"/>
          <w:color w:val="000000"/>
          <w:kern w:val="0"/>
          <w:sz w:val="22"/>
          <w:szCs w:val="22"/>
          <w:highlight w:val="none"/>
          <w:u w:val="none"/>
          <w:lang w:val="en-US" w:eastAsia="zh-CN" w:bidi="ar"/>
        </w:rPr>
      </w:pPr>
      <w:r>
        <w:rPr>
          <w:rFonts w:hint="eastAsia" w:hAnsi="宋体" w:cs="宋体"/>
          <w:b/>
          <w:bCs/>
          <w:i w:val="0"/>
          <w:iCs w:val="0"/>
          <w:color w:val="000000"/>
          <w:kern w:val="0"/>
          <w:sz w:val="22"/>
          <w:szCs w:val="22"/>
          <w:highlight w:val="none"/>
          <w:u w:val="none"/>
          <w:lang w:val="en-US" w:eastAsia="zh-CN" w:bidi="ar"/>
        </w:rPr>
        <w:t>九</w:t>
      </w:r>
      <w:r>
        <w:rPr>
          <w:rFonts w:hint="eastAsia" w:ascii="宋体" w:hAnsi="宋体" w:eastAsia="宋体" w:cs="宋体"/>
          <w:b/>
          <w:bCs/>
          <w:i w:val="0"/>
          <w:iCs w:val="0"/>
          <w:color w:val="000000"/>
          <w:kern w:val="0"/>
          <w:sz w:val="22"/>
          <w:szCs w:val="22"/>
          <w:highlight w:val="none"/>
          <w:u w:val="none"/>
          <w:lang w:val="en-US" w:eastAsia="zh-CN" w:bidi="ar"/>
        </w:rPr>
        <w:t>、资信及商务要求表</w:t>
      </w:r>
    </w:p>
    <w:tbl>
      <w:tblPr>
        <w:tblStyle w:val="23"/>
        <w:tblpPr w:leftFromText="180" w:rightFromText="180" w:vertAnchor="text" w:horzAnchor="page" w:tblpX="1057" w:tblpY="172"/>
        <w:tblOverlap w:val="never"/>
        <w:tblW w:w="9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8201"/>
      </w:tblGrid>
      <w:tr w14:paraId="0A898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724" w:type="dxa"/>
            <w:noWrap w:val="0"/>
            <w:vAlign w:val="center"/>
          </w:tcPr>
          <w:p w14:paraId="1636738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供货期</w:t>
            </w:r>
          </w:p>
        </w:tc>
        <w:tc>
          <w:tcPr>
            <w:tcW w:w="8201" w:type="dxa"/>
            <w:noWrap w:val="0"/>
            <w:vAlign w:val="center"/>
          </w:tcPr>
          <w:p w14:paraId="013592FE">
            <w:pPr>
              <w:pStyle w:val="13"/>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leftChars="0" w:right="0" w:firstLine="221" w:firstLineChars="100"/>
              <w:textAlignment w:val="auto"/>
              <w:rPr>
                <w:rFonts w:hint="eastAsia"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b/>
                <w:bCs w:val="0"/>
                <w:sz w:val="22"/>
                <w:szCs w:val="22"/>
                <w:highlight w:val="none"/>
                <w:lang w:val="en-US" w:eastAsia="zh-CN"/>
              </w:rPr>
              <w:t>采用1+1形式</w:t>
            </w:r>
            <w:r>
              <w:rPr>
                <w:rFonts w:hint="eastAsia" w:ascii="宋体" w:hAnsi="宋体" w:eastAsia="宋体" w:cs="宋体"/>
                <w:b/>
                <w:bCs w:val="0"/>
                <w:sz w:val="22"/>
                <w:szCs w:val="22"/>
                <w:highlight w:val="none"/>
                <w:lang w:val="en-US" w:eastAsia="zh-CN"/>
              </w:rPr>
              <w:t>。如供货期1年未满，预算额度已用完的合同自动终止；如供货期1年满后，预算额度未用完的合同自动终止。如中标供应商的货物及服务考核结果达到采购人要求，经采购人和相关部门同意后，可以参照相关规定按原合同续签下一年度合同；未达到采购人评定要求的，采购人有权拒绝签订下一年度合同。</w:t>
            </w:r>
          </w:p>
        </w:tc>
      </w:tr>
      <w:tr w14:paraId="665C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724" w:type="dxa"/>
            <w:noWrap w:val="0"/>
            <w:vAlign w:val="center"/>
          </w:tcPr>
          <w:p w14:paraId="32414EA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交货地点及交货时间要求</w:t>
            </w:r>
          </w:p>
        </w:tc>
        <w:tc>
          <w:tcPr>
            <w:tcW w:w="8201" w:type="dxa"/>
            <w:noWrap w:val="0"/>
            <w:vAlign w:val="center"/>
          </w:tcPr>
          <w:p w14:paraId="3000B8C7">
            <w:pPr>
              <w:keepNext w:val="0"/>
              <w:keepLines w:val="0"/>
              <w:pageBreakBefore w:val="0"/>
              <w:widowControl/>
              <w:suppressLineNumbers w:val="0"/>
              <w:kinsoku/>
              <w:wordWrap/>
              <w:overflowPunct/>
              <w:topLinePunct w:val="0"/>
              <w:autoSpaceDE/>
              <w:autoSpaceDN/>
              <w:bidi w:val="0"/>
              <w:adjustRightInd w:val="0"/>
              <w:snapToGrid/>
              <w:spacing w:line="360" w:lineRule="auto"/>
              <w:ind w:firstLine="220" w:firstLineChars="10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1.交货地点：采购人指定地点。</w:t>
            </w:r>
          </w:p>
          <w:p w14:paraId="3323F9B0">
            <w:pPr>
              <w:snapToGrid w:val="0"/>
              <w:spacing w:line="360" w:lineRule="auto"/>
              <w:ind w:firstLine="220" w:firstLineChars="10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2.交货时间要求：中标单位接到采购人需要油品数量的书面或电话通知后，在</w:t>
            </w:r>
            <w:r>
              <w:rPr>
                <w:rFonts w:hint="eastAsia" w:ascii="宋体" w:hAnsi="宋体" w:eastAsia="宋体" w:cs="宋体"/>
                <w:i w:val="0"/>
                <w:iCs w:val="0"/>
                <w:color w:val="000000"/>
                <w:kern w:val="0"/>
                <w:sz w:val="22"/>
                <w:szCs w:val="22"/>
                <w:highlight w:val="none"/>
                <w:u w:val="single"/>
                <w:lang w:val="en-US" w:eastAsia="zh-CN" w:bidi="ar"/>
              </w:rPr>
              <w:t xml:space="preserve"> 24 </w:t>
            </w:r>
            <w:r>
              <w:rPr>
                <w:rFonts w:hint="eastAsia" w:ascii="宋体" w:hAnsi="宋体" w:eastAsia="宋体" w:cs="宋体"/>
                <w:i w:val="0"/>
                <w:iCs w:val="0"/>
                <w:color w:val="000000"/>
                <w:kern w:val="0"/>
                <w:sz w:val="22"/>
                <w:szCs w:val="22"/>
                <w:highlight w:val="none"/>
                <w:u w:val="none"/>
                <w:lang w:val="en-US" w:eastAsia="zh-CN" w:bidi="ar"/>
              </w:rPr>
              <w:t>小时内必须将油品保质保量配送至采购人指定的油库，如遇资源紧张时，原则上不能超过两天。</w:t>
            </w:r>
          </w:p>
          <w:p w14:paraId="55173360">
            <w:pPr>
              <w:snapToGrid w:val="0"/>
              <w:spacing w:line="360" w:lineRule="auto"/>
              <w:ind w:firstLine="220" w:firstLineChars="10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3.供应商不得以市场行情紧张等为借口，少送或迟送采购人通知的送货量。</w:t>
            </w:r>
          </w:p>
        </w:tc>
      </w:tr>
      <w:tr w14:paraId="712E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724" w:type="dxa"/>
            <w:noWrap w:val="0"/>
            <w:vAlign w:val="center"/>
          </w:tcPr>
          <w:p w14:paraId="214D1580">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结算方式</w:t>
            </w:r>
          </w:p>
        </w:tc>
        <w:tc>
          <w:tcPr>
            <w:tcW w:w="8201" w:type="dxa"/>
            <w:noWrap w:val="0"/>
            <w:vAlign w:val="center"/>
          </w:tcPr>
          <w:p w14:paraId="22B58790">
            <w:pPr>
              <w:keepNext w:val="0"/>
              <w:keepLines w:val="0"/>
              <w:pageBreakBefore w:val="0"/>
              <w:widowControl/>
              <w:suppressLineNumbers w:val="0"/>
              <w:kinsoku/>
              <w:wordWrap/>
              <w:overflowPunct/>
              <w:topLinePunct w:val="0"/>
              <w:autoSpaceDE/>
              <w:autoSpaceDN/>
              <w:bidi w:val="0"/>
              <w:adjustRightInd w:val="0"/>
              <w:snapToGrid/>
              <w:spacing w:line="360" w:lineRule="auto"/>
              <w:ind w:firstLine="220" w:firstLineChars="10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1.本项目采用固定综合单价，数量按实结算，合同期内折扣率不予调整。</w:t>
            </w:r>
          </w:p>
          <w:p w14:paraId="537A3187">
            <w:pPr>
              <w:numPr>
                <w:ilvl w:val="0"/>
                <w:numId w:val="0"/>
              </w:numPr>
              <w:autoSpaceDE w:val="0"/>
              <w:autoSpaceDN w:val="0"/>
              <w:adjustRightInd w:val="0"/>
              <w:snapToGrid w:val="0"/>
              <w:spacing w:line="360" w:lineRule="auto"/>
              <w:ind w:firstLine="220" w:firstLineChars="100"/>
              <w:textAlignment w:val="bottom"/>
              <w:rPr>
                <w:rFonts w:hint="eastAsia" w:ascii="宋体" w:hAnsi="宋体" w:eastAsia="宋体" w:cs="宋体"/>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2.分批供货。供货价格</w:t>
            </w:r>
            <w:r>
              <w:rPr>
                <w:rFonts w:hint="eastAsia" w:ascii="宋体" w:hAnsi="宋体" w:cs="宋体"/>
                <w:i w:val="0"/>
                <w:iCs w:val="0"/>
                <w:color w:val="000000"/>
                <w:kern w:val="0"/>
                <w:sz w:val="22"/>
                <w:szCs w:val="22"/>
                <w:highlight w:val="none"/>
                <w:u w:val="none"/>
                <w:lang w:val="en-US" w:eastAsia="zh-CN" w:bidi="ar"/>
              </w:rPr>
              <w:t>以</w:t>
            </w:r>
            <w:r>
              <w:rPr>
                <w:rFonts w:hint="eastAsia" w:ascii="宋体" w:hAnsi="宋体"/>
                <w:bCs/>
                <w:color w:val="auto"/>
                <w:sz w:val="22"/>
                <w:szCs w:val="22"/>
                <w:highlight w:val="none"/>
              </w:rPr>
              <w:t>“生意社”网站（</w:t>
            </w:r>
            <w:r>
              <w:rPr>
                <w:rFonts w:hint="eastAsia" w:ascii="宋体" w:hAnsi="宋体"/>
                <w:bCs/>
                <w:color w:val="auto"/>
                <w:sz w:val="22"/>
                <w:szCs w:val="22"/>
                <w:highlight w:val="none"/>
              </w:rPr>
              <w:fldChar w:fldCharType="begin"/>
            </w:r>
            <w:r>
              <w:rPr>
                <w:rFonts w:hint="eastAsia" w:ascii="宋体" w:hAnsi="宋体"/>
                <w:bCs/>
                <w:color w:val="auto"/>
                <w:sz w:val="22"/>
                <w:szCs w:val="22"/>
                <w:highlight w:val="none"/>
              </w:rPr>
              <w:instrText xml:space="preserve"> HYPERLINK "http://www.100ppi.com/" </w:instrText>
            </w:r>
            <w:r>
              <w:rPr>
                <w:rFonts w:hint="eastAsia" w:ascii="宋体" w:hAnsi="宋体"/>
                <w:bCs/>
                <w:color w:val="auto"/>
                <w:sz w:val="22"/>
                <w:szCs w:val="22"/>
                <w:highlight w:val="none"/>
              </w:rPr>
              <w:fldChar w:fldCharType="separate"/>
            </w:r>
            <w:r>
              <w:rPr>
                <w:rFonts w:hint="eastAsia" w:ascii="宋体" w:hAnsi="宋体"/>
                <w:bCs/>
                <w:color w:val="auto"/>
                <w:sz w:val="22"/>
                <w:szCs w:val="22"/>
                <w:highlight w:val="none"/>
              </w:rPr>
              <w:t>http://www.100ppi.com/</w:t>
            </w:r>
            <w:r>
              <w:rPr>
                <w:rFonts w:hint="eastAsia" w:ascii="宋体" w:hAnsi="宋体"/>
                <w:bCs/>
                <w:color w:val="auto"/>
                <w:sz w:val="22"/>
                <w:szCs w:val="22"/>
                <w:highlight w:val="none"/>
              </w:rPr>
              <w:fldChar w:fldCharType="end"/>
            </w:r>
            <w:r>
              <w:rPr>
                <w:rFonts w:hint="eastAsia" w:ascii="宋体" w:hAnsi="宋体"/>
                <w:bCs/>
                <w:color w:val="auto"/>
                <w:sz w:val="22"/>
                <w:szCs w:val="22"/>
                <w:highlight w:val="none"/>
              </w:rPr>
              <w:t>）</w:t>
            </w:r>
            <w:r>
              <w:rPr>
                <w:rFonts w:hint="eastAsia" w:ascii="宋体" w:hAnsi="宋体"/>
                <w:bCs/>
                <w:color w:val="auto"/>
                <w:sz w:val="22"/>
                <w:szCs w:val="22"/>
                <w:highlight w:val="none"/>
                <w:lang w:val="en-US" w:eastAsia="zh-CN"/>
              </w:rPr>
              <w:t>最新</w:t>
            </w:r>
            <w:r>
              <w:rPr>
                <w:rFonts w:hint="eastAsia" w:ascii="宋体" w:hAnsi="宋体"/>
                <w:bCs/>
                <w:color w:val="auto"/>
                <w:sz w:val="22"/>
                <w:szCs w:val="22"/>
                <w:highlight w:val="none"/>
              </w:rPr>
              <w:t>发布的中燃（型号：180CST）宁波地区市场价</w:t>
            </w:r>
            <w:r>
              <w:rPr>
                <w:rFonts w:hint="eastAsia" w:ascii="宋体" w:hAnsi="宋体"/>
                <w:bCs/>
                <w:color w:val="auto"/>
                <w:sz w:val="22"/>
                <w:szCs w:val="22"/>
                <w:highlight w:val="none"/>
                <w:lang w:eastAsia="zh-CN"/>
              </w:rPr>
              <w:t>的</w:t>
            </w:r>
            <w:r>
              <w:rPr>
                <w:rFonts w:hint="eastAsia" w:ascii="宋体" w:hAnsi="宋体"/>
                <w:bCs/>
                <w:color w:val="auto"/>
                <w:sz w:val="22"/>
                <w:szCs w:val="22"/>
                <w:highlight w:val="none"/>
                <w:lang w:val="en-US" w:eastAsia="zh-CN"/>
              </w:rPr>
              <w:t>100%</w:t>
            </w:r>
            <w:r>
              <w:rPr>
                <w:rFonts w:hint="eastAsia" w:ascii="宋体" w:hAnsi="宋体"/>
                <w:bCs/>
                <w:color w:val="auto"/>
                <w:sz w:val="22"/>
                <w:szCs w:val="22"/>
                <w:highlight w:val="none"/>
              </w:rPr>
              <w:t>为</w:t>
            </w:r>
            <w:r>
              <w:rPr>
                <w:rFonts w:hint="eastAsia" w:ascii="宋体" w:hAnsi="宋体"/>
                <w:bCs/>
                <w:color w:val="auto"/>
                <w:sz w:val="22"/>
                <w:szCs w:val="22"/>
                <w:highlight w:val="none"/>
                <w:lang w:val="en-US" w:eastAsia="zh-CN"/>
              </w:rPr>
              <w:t>基础,乘以中标折扣率进行结</w:t>
            </w:r>
            <w:r>
              <w:rPr>
                <w:rFonts w:hint="eastAsia" w:ascii="宋体" w:hAnsi="宋体" w:eastAsia="宋体" w:cs="宋体"/>
                <w:i w:val="0"/>
                <w:iCs w:val="0"/>
                <w:color w:val="000000"/>
                <w:kern w:val="0"/>
                <w:sz w:val="22"/>
                <w:szCs w:val="22"/>
                <w:highlight w:val="none"/>
                <w:u w:val="none"/>
                <w:lang w:val="en-US" w:eastAsia="zh-CN" w:bidi="ar"/>
              </w:rPr>
              <w:t xml:space="preserve">算。 </w:t>
            </w:r>
          </w:p>
        </w:tc>
      </w:tr>
      <w:tr w14:paraId="0995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724" w:type="dxa"/>
            <w:noWrap w:val="0"/>
            <w:vAlign w:val="center"/>
          </w:tcPr>
          <w:p w14:paraId="4D92E11A">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付款方式</w:t>
            </w:r>
          </w:p>
        </w:tc>
        <w:tc>
          <w:tcPr>
            <w:tcW w:w="8201" w:type="dxa"/>
            <w:noWrap w:val="0"/>
            <w:vAlign w:val="center"/>
          </w:tcPr>
          <w:p w14:paraId="25A7AF3F">
            <w:pPr>
              <w:spacing w:line="360" w:lineRule="auto"/>
              <w:ind w:firstLine="220" w:firstLineChars="10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批支付，采购人根据实际需求确定每批次的燃烧油供货量，货送到经验收合格</w:t>
            </w:r>
            <w:r>
              <w:rPr>
                <w:rFonts w:hint="eastAsia" w:ascii="宋体" w:hAnsi="宋体" w:cs="宋体"/>
                <w:i w:val="0"/>
                <w:iCs w:val="0"/>
                <w:color w:val="000000"/>
                <w:kern w:val="0"/>
                <w:sz w:val="22"/>
                <w:szCs w:val="22"/>
                <w:highlight w:val="none"/>
                <w:u w:val="none"/>
                <w:lang w:val="en-US" w:eastAsia="zh-CN" w:bidi="ar"/>
              </w:rPr>
              <w:t>并开具专用发票</w:t>
            </w:r>
            <w:r>
              <w:rPr>
                <w:rFonts w:hint="eastAsia" w:ascii="宋体" w:hAnsi="宋体" w:eastAsia="宋体" w:cs="宋体"/>
                <w:i w:val="0"/>
                <w:iCs w:val="0"/>
                <w:color w:val="000000"/>
                <w:kern w:val="0"/>
                <w:sz w:val="22"/>
                <w:szCs w:val="22"/>
                <w:highlight w:val="none"/>
                <w:u w:val="none"/>
                <w:lang w:val="en-US" w:eastAsia="zh-CN" w:bidi="ar"/>
              </w:rPr>
              <w:t>后7个工作日内付清该批次货款。</w:t>
            </w:r>
          </w:p>
          <w:p w14:paraId="5588D2FF">
            <w:pPr>
              <w:spacing w:line="360" w:lineRule="auto"/>
              <w:ind w:firstLine="220" w:firstLineChars="10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Cs/>
                <w:color w:val="auto"/>
                <w:sz w:val="22"/>
                <w:szCs w:val="22"/>
                <w:highlight w:val="none"/>
                <w:lang w:val="en-US" w:eastAsia="zh-CN"/>
              </w:rPr>
              <w:t>注：每次付款前中标单位需提供正式发票，因中标单位不能及时提供发票导致采购人未能按约付款的，由中标单位自行承担相应责任。</w:t>
            </w:r>
            <w:r>
              <w:rPr>
                <w:rFonts w:hint="default" w:ascii="Times New Roman" w:hAnsi="Times New Roman" w:eastAsia="宋体" w:cs="Times New Roman"/>
                <w:color w:val="auto"/>
                <w:kern w:val="0"/>
                <w:sz w:val="22"/>
                <w:szCs w:val="22"/>
                <w:highlight w:val="none"/>
              </w:rPr>
              <w:t>如因</w:t>
            </w:r>
            <w:r>
              <w:rPr>
                <w:rFonts w:hint="eastAsia" w:ascii="Times New Roman" w:hAnsi="Times New Roman" w:cs="Times New Roman"/>
                <w:color w:val="auto"/>
                <w:kern w:val="0"/>
                <w:sz w:val="22"/>
                <w:szCs w:val="22"/>
                <w:highlight w:val="none"/>
                <w:lang w:val="en-US" w:eastAsia="zh-CN"/>
              </w:rPr>
              <w:t>采购人</w:t>
            </w:r>
            <w:r>
              <w:rPr>
                <w:rFonts w:hint="default" w:ascii="Times New Roman" w:hAnsi="Times New Roman" w:eastAsia="宋体" w:cs="Times New Roman"/>
                <w:color w:val="auto"/>
                <w:kern w:val="0"/>
                <w:sz w:val="22"/>
                <w:szCs w:val="22"/>
                <w:highlight w:val="none"/>
              </w:rPr>
              <w:t>结算</w:t>
            </w:r>
            <w:r>
              <w:rPr>
                <w:rFonts w:hint="default" w:ascii="Times New Roman" w:hAnsi="Times New Roman" w:eastAsia="宋体" w:cs="Times New Roman"/>
                <w:color w:val="auto"/>
                <w:kern w:val="0"/>
                <w:sz w:val="22"/>
                <w:szCs w:val="22"/>
                <w:highlight w:val="none"/>
                <w:lang w:eastAsia="zh-CN"/>
              </w:rPr>
              <w:t>、</w:t>
            </w:r>
            <w:r>
              <w:rPr>
                <w:rFonts w:hint="default" w:ascii="Times New Roman" w:hAnsi="Times New Roman" w:eastAsia="宋体" w:cs="Times New Roman"/>
                <w:color w:val="auto"/>
                <w:kern w:val="0"/>
                <w:sz w:val="22"/>
                <w:szCs w:val="22"/>
                <w:highlight w:val="none"/>
              </w:rPr>
              <w:t>用款额度未下达等原因导致的支付延迟，供应商应无条件接受。</w:t>
            </w:r>
          </w:p>
        </w:tc>
      </w:tr>
      <w:tr w14:paraId="4ABD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724" w:type="dxa"/>
            <w:noWrap w:val="0"/>
            <w:vAlign w:val="center"/>
          </w:tcPr>
          <w:p w14:paraId="4652FB5C">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履约保证金</w:t>
            </w:r>
          </w:p>
        </w:tc>
        <w:tc>
          <w:tcPr>
            <w:tcW w:w="8201" w:type="dxa"/>
            <w:noWrap w:val="0"/>
            <w:vAlign w:val="center"/>
          </w:tcPr>
          <w:p w14:paraId="0E611ADC">
            <w:pPr>
              <w:keepNext w:val="0"/>
              <w:keepLines w:val="0"/>
              <w:pageBreakBefore w:val="0"/>
              <w:widowControl/>
              <w:suppressLineNumbers w:val="0"/>
              <w:kinsoku/>
              <w:wordWrap/>
              <w:overflowPunct/>
              <w:topLinePunct w:val="0"/>
              <w:autoSpaceDE/>
              <w:autoSpaceDN/>
              <w:bidi w:val="0"/>
              <w:adjustRightInd w:val="0"/>
              <w:snapToGrid/>
              <w:spacing w:line="360" w:lineRule="auto"/>
              <w:ind w:firstLine="220" w:firstLineChars="10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Cs/>
                <w:color w:val="auto"/>
                <w:sz w:val="22"/>
                <w:szCs w:val="22"/>
                <w:highlight w:val="none"/>
                <w:lang w:val="en-US" w:eastAsia="zh-CN"/>
              </w:rPr>
              <w:t>履约保证金按预算金额的2.5%计取，中标供应商中标通知书发出后7个工作日内向采购人递交履约保证金</w:t>
            </w:r>
            <w:r>
              <w:rPr>
                <w:rFonts w:hint="eastAsia" w:ascii="宋体" w:hAnsi="宋体" w:cs="宋体"/>
                <w:color w:val="auto"/>
                <w:sz w:val="22"/>
                <w:szCs w:val="22"/>
                <w:lang w:val="en-US" w:eastAsia="zh-CN"/>
              </w:rPr>
              <w:t>（银行转账或银行保函或保险机构保证保险保单或融资担保公司保函）</w:t>
            </w:r>
            <w:r>
              <w:rPr>
                <w:rFonts w:hint="eastAsia" w:ascii="宋体" w:hAnsi="宋体" w:eastAsia="宋体" w:cs="宋体"/>
                <w:bCs/>
                <w:color w:val="auto"/>
                <w:sz w:val="22"/>
                <w:szCs w:val="22"/>
                <w:highlight w:val="none"/>
                <w:lang w:val="en-US" w:eastAsia="zh-CN"/>
              </w:rPr>
              <w:t>，履约保证金待供货期满后30日内无息退还。</w:t>
            </w:r>
          </w:p>
        </w:tc>
      </w:tr>
      <w:tr w14:paraId="2EAC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24" w:type="dxa"/>
            <w:noWrap w:val="0"/>
            <w:vAlign w:val="center"/>
          </w:tcPr>
          <w:p w14:paraId="422EE077">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strike w:val="0"/>
                <w:dstrike w:val="0"/>
                <w:color w:val="auto"/>
                <w:sz w:val="22"/>
                <w:szCs w:val="22"/>
                <w:highlight w:val="none"/>
                <w:lang w:val="en-US" w:eastAsia="zh-CN"/>
              </w:rPr>
              <w:t>特别约定</w:t>
            </w:r>
          </w:p>
        </w:tc>
        <w:tc>
          <w:tcPr>
            <w:tcW w:w="8201" w:type="dxa"/>
            <w:noWrap w:val="0"/>
            <w:vAlign w:val="center"/>
          </w:tcPr>
          <w:p w14:paraId="24D14A84">
            <w:pPr>
              <w:keepNext w:val="0"/>
              <w:keepLines w:val="0"/>
              <w:pageBreakBefore w:val="0"/>
              <w:widowControl/>
              <w:kinsoku/>
              <w:wordWrap/>
              <w:overflowPunct/>
              <w:topLinePunct w:val="0"/>
              <w:autoSpaceDE/>
              <w:autoSpaceDN/>
              <w:bidi w:val="0"/>
              <w:adjustRightInd w:val="0"/>
              <w:snapToGrid w:val="0"/>
              <w:spacing w:line="360" w:lineRule="auto"/>
              <w:ind w:firstLine="220" w:firstLineChars="100"/>
              <w:jc w:val="left"/>
              <w:rPr>
                <w:rFonts w:hint="eastAsia" w:ascii="宋体" w:hAnsi="宋体" w:eastAsia="宋体" w:cs="宋体"/>
                <w:color w:val="auto"/>
                <w:sz w:val="22"/>
                <w:szCs w:val="22"/>
                <w:highlight w:val="none"/>
                <w:lang w:val="en-US" w:eastAsia="zh-CN"/>
              </w:rPr>
            </w:pPr>
            <w:r>
              <w:rPr>
                <w:rFonts w:hint="eastAsia" w:ascii="宋体" w:hAnsi="宋体" w:eastAsia="宋体" w:cs="宋体"/>
                <w:strike w:val="0"/>
                <w:dstrike w:val="0"/>
                <w:color w:val="auto"/>
                <w:sz w:val="22"/>
                <w:szCs w:val="22"/>
                <w:highlight w:val="none"/>
                <w:u w:val="none"/>
              </w:rPr>
              <w:t>1</w:t>
            </w:r>
            <w:r>
              <w:rPr>
                <w:rFonts w:hint="eastAsia" w:ascii="宋体" w:hAnsi="宋体" w:eastAsia="宋体" w:cs="宋体"/>
                <w:strike w:val="0"/>
                <w:dstrike w:val="0"/>
                <w:color w:val="auto"/>
                <w:sz w:val="22"/>
                <w:szCs w:val="22"/>
                <w:highlight w:val="none"/>
                <w:u w:val="none"/>
                <w:lang w:val="en-US" w:eastAsia="zh-CN"/>
              </w:rPr>
              <w:t>.</w:t>
            </w:r>
            <w:r>
              <w:rPr>
                <w:rFonts w:hint="eastAsia" w:ascii="宋体" w:hAnsi="宋体" w:eastAsia="宋体" w:cs="宋体"/>
                <w:strike w:val="0"/>
                <w:dstrike w:val="0"/>
                <w:color w:val="auto"/>
                <w:sz w:val="22"/>
                <w:szCs w:val="22"/>
                <w:highlight w:val="none"/>
                <w:lang w:val="en-US" w:eastAsia="zh-CN"/>
              </w:rPr>
              <w:t>根据采购人实际需要，中标单位应配合甲方做好涉及油料、油管等的安全检测工作。</w:t>
            </w:r>
          </w:p>
          <w:p w14:paraId="290F073B">
            <w:pPr>
              <w:keepNext w:val="0"/>
              <w:keepLines w:val="0"/>
              <w:pageBreakBefore w:val="0"/>
              <w:widowControl/>
              <w:suppressLineNumbers w:val="0"/>
              <w:kinsoku/>
              <w:wordWrap/>
              <w:overflowPunct/>
              <w:topLinePunct w:val="0"/>
              <w:autoSpaceDE/>
              <w:autoSpaceDN/>
              <w:bidi w:val="0"/>
              <w:adjustRightInd w:val="0"/>
              <w:snapToGrid/>
              <w:spacing w:line="360" w:lineRule="auto"/>
              <w:ind w:firstLine="220" w:firstLineChars="10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color w:val="auto"/>
                <w:sz w:val="22"/>
                <w:szCs w:val="22"/>
                <w:highlight w:val="none"/>
                <w:lang w:val="en-US" w:eastAsia="zh-CN"/>
              </w:rPr>
              <w:t>2.中标单位</w:t>
            </w:r>
            <w:r>
              <w:rPr>
                <w:rFonts w:hint="eastAsia" w:ascii="宋体" w:hAnsi="宋体" w:eastAsia="宋体" w:cs="宋体"/>
                <w:color w:val="auto"/>
                <w:sz w:val="22"/>
                <w:szCs w:val="22"/>
                <w:highlight w:val="none"/>
              </w:rPr>
              <w:t>应遵守相关石油运输的安全管理制度，规范操作，</w:t>
            </w:r>
            <w:r>
              <w:rPr>
                <w:rFonts w:hint="eastAsia" w:ascii="宋体" w:hAnsi="宋体" w:eastAsia="宋体" w:cs="宋体"/>
                <w:color w:val="auto"/>
                <w:sz w:val="22"/>
                <w:szCs w:val="22"/>
                <w:highlight w:val="none"/>
                <w:lang w:val="en-US" w:eastAsia="zh-CN"/>
              </w:rPr>
              <w:t>中标单位</w:t>
            </w:r>
            <w:r>
              <w:rPr>
                <w:rFonts w:hint="eastAsia" w:ascii="宋体" w:hAnsi="宋体" w:eastAsia="宋体" w:cs="宋体"/>
                <w:color w:val="auto"/>
                <w:sz w:val="22"/>
                <w:szCs w:val="22"/>
                <w:highlight w:val="none"/>
              </w:rPr>
              <w:t>自行承担所有因输送石油</w:t>
            </w:r>
            <w:r>
              <w:rPr>
                <w:rFonts w:hint="eastAsia" w:ascii="宋体" w:hAnsi="宋体" w:eastAsia="宋体" w:cs="宋体"/>
                <w:color w:val="auto"/>
                <w:sz w:val="22"/>
                <w:szCs w:val="22"/>
                <w:highlight w:val="none"/>
                <w:lang w:val="en-US" w:eastAsia="zh-CN"/>
              </w:rPr>
              <w:t>或注油入库过程中</w:t>
            </w:r>
            <w:r>
              <w:rPr>
                <w:rFonts w:hint="eastAsia" w:ascii="宋体" w:hAnsi="宋体" w:eastAsia="宋体" w:cs="宋体"/>
                <w:color w:val="auto"/>
                <w:sz w:val="22"/>
                <w:szCs w:val="22"/>
                <w:highlight w:val="none"/>
              </w:rPr>
              <w:t>产生的安全事故责任，</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rPr>
              <w:t>不承担任何责任</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由此造成的一切后果由中标单位承担</w:t>
            </w:r>
            <w:r>
              <w:rPr>
                <w:rFonts w:hint="eastAsia" w:ascii="宋体" w:hAnsi="宋体" w:eastAsia="宋体" w:cs="宋体"/>
                <w:color w:val="auto"/>
                <w:sz w:val="22"/>
                <w:szCs w:val="22"/>
                <w:highlight w:val="none"/>
              </w:rPr>
              <w:t>。</w:t>
            </w:r>
          </w:p>
        </w:tc>
      </w:tr>
    </w:tbl>
    <w:p w14:paraId="7100AEF8">
      <w:pPr>
        <w:jc w:val="center"/>
        <w:rPr>
          <w:rFonts w:hint="eastAsia" w:ascii="宋体" w:hAnsi="宋体" w:eastAsia="宋体" w:cs="宋体"/>
          <w:b/>
          <w:bCs/>
          <w:color w:val="auto"/>
          <w:sz w:val="28"/>
          <w:szCs w:val="28"/>
          <w:highlight w:val="none"/>
        </w:rPr>
      </w:pPr>
    </w:p>
    <w:p w14:paraId="59618A4E">
      <w:pPr>
        <w:numPr>
          <w:ilvl w:val="0"/>
          <w:numId w:val="5"/>
        </w:numPr>
        <w:shd w:val="clear" w:color="auto" w:fill="FFFFFF"/>
        <w:snapToGrid w:val="0"/>
        <w:spacing w:line="360" w:lineRule="auto"/>
        <w:jc w:val="both"/>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售后服务考核</w:t>
      </w:r>
    </w:p>
    <w:p w14:paraId="765096FA">
      <w:pPr>
        <w:numPr>
          <w:ilvl w:val="0"/>
          <w:numId w:val="0"/>
        </w:numPr>
        <w:shd w:val="clear" w:color="auto" w:fill="FFFFFF"/>
        <w:snapToGrid w:val="0"/>
        <w:spacing w:line="360" w:lineRule="auto"/>
        <w:ind w:firstLine="440" w:firstLineChars="200"/>
        <w:jc w:val="both"/>
        <w:rPr>
          <w:rFonts w:hint="eastAsia" w:ascii="宋体" w:hAnsi="宋体" w:eastAsia="宋体" w:cs="宋体"/>
          <w:b/>
          <w:bCs/>
          <w:i w:val="0"/>
          <w:iCs w:val="0"/>
          <w:color w:val="000000"/>
          <w:kern w:val="0"/>
          <w:sz w:val="22"/>
          <w:szCs w:val="22"/>
          <w:highlight w:val="none"/>
          <w:u w:val="none"/>
          <w:lang w:val="en-US" w:eastAsia="zh-CN" w:bidi="ar"/>
        </w:rPr>
      </w:pPr>
      <w:r>
        <w:rPr>
          <w:rFonts w:hint="default" w:ascii="宋体" w:hAnsi="宋体" w:eastAsia="宋体" w:cs="宋体"/>
          <w:color w:val="auto"/>
          <w:sz w:val="22"/>
          <w:szCs w:val="22"/>
          <w:highlight w:val="none"/>
        </w:rPr>
        <w:t>为规范</w:t>
      </w:r>
      <w:r>
        <w:rPr>
          <w:rFonts w:hint="eastAsia" w:ascii="宋体" w:hAnsi="宋体" w:cs="宋体"/>
          <w:color w:val="auto"/>
          <w:sz w:val="22"/>
          <w:szCs w:val="22"/>
          <w:highlight w:val="none"/>
          <w:lang w:val="en-US" w:eastAsia="zh-CN"/>
        </w:rPr>
        <w:t>燃烧油</w:t>
      </w:r>
      <w:r>
        <w:rPr>
          <w:rFonts w:hint="default" w:ascii="宋体" w:hAnsi="宋体" w:eastAsia="宋体" w:cs="宋体"/>
          <w:color w:val="auto"/>
          <w:sz w:val="22"/>
          <w:szCs w:val="22"/>
          <w:highlight w:val="none"/>
        </w:rPr>
        <w:t>采购的售后服务管理，确保供应商提供高质量的售后服务，特制定本考核明细表</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供参考</w:t>
      </w:r>
      <w:r>
        <w:rPr>
          <w:rFonts w:hint="eastAsia" w:ascii="宋体" w:hAnsi="宋体" w:cs="宋体"/>
          <w:color w:val="auto"/>
          <w:sz w:val="22"/>
          <w:szCs w:val="22"/>
          <w:highlight w:val="none"/>
          <w:lang w:eastAsia="zh-CN"/>
        </w:rPr>
        <w:t>）</w:t>
      </w:r>
      <w:r>
        <w:rPr>
          <w:rFonts w:hint="default" w:ascii="宋体" w:hAnsi="宋体" w:eastAsia="宋体" w:cs="宋体"/>
          <w:color w:val="auto"/>
          <w:sz w:val="22"/>
          <w:szCs w:val="22"/>
          <w:highlight w:val="none"/>
        </w:rPr>
        <w:t>。</w:t>
      </w:r>
      <w:r>
        <w:rPr>
          <w:rFonts w:hint="eastAsia" w:ascii="宋体" w:hAnsi="宋体" w:cs="宋体"/>
          <w:color w:val="auto"/>
          <w:sz w:val="22"/>
          <w:szCs w:val="22"/>
          <w:highlight w:val="none"/>
          <w:lang w:eastAsia="zh-CN"/>
        </w:rPr>
        <w:t>该考核为</w:t>
      </w:r>
      <w:r>
        <w:rPr>
          <w:rFonts w:hint="eastAsia" w:ascii="宋体" w:hAnsi="宋体" w:cs="宋体"/>
          <w:color w:val="auto"/>
          <w:sz w:val="22"/>
          <w:szCs w:val="22"/>
          <w:highlight w:val="none"/>
          <w:lang w:val="en-US" w:eastAsia="zh-CN"/>
        </w:rPr>
        <w:t>每批次供货</w:t>
      </w:r>
      <w:r>
        <w:rPr>
          <w:rFonts w:hint="eastAsia" w:ascii="宋体" w:hAnsi="宋体" w:cs="宋体"/>
          <w:color w:val="auto"/>
          <w:sz w:val="22"/>
          <w:szCs w:val="22"/>
          <w:highlight w:val="none"/>
          <w:lang w:eastAsia="zh-CN"/>
        </w:rPr>
        <w:t>考核，</w:t>
      </w:r>
      <w:r>
        <w:rPr>
          <w:rFonts w:hint="default" w:ascii="宋体" w:hAnsi="宋体" w:eastAsia="宋体" w:cs="宋体"/>
          <w:color w:val="auto"/>
          <w:sz w:val="22"/>
          <w:szCs w:val="22"/>
          <w:highlight w:val="none"/>
        </w:rPr>
        <w:t>本表用于对供应商的售后服务进行量化考核，</w:t>
      </w:r>
      <w:r>
        <w:rPr>
          <w:rFonts w:hint="eastAsia" w:ascii="宋体" w:hAnsi="宋体" w:cs="宋体"/>
          <w:color w:val="auto"/>
          <w:sz w:val="22"/>
          <w:szCs w:val="22"/>
          <w:highlight w:val="none"/>
          <w:lang w:val="en-US" w:eastAsia="zh-CN"/>
        </w:rPr>
        <w:t>考核平均分高于80分的，采购人视情况确定是否续签下一年度合同</w:t>
      </w:r>
      <w:r>
        <w:rPr>
          <w:rFonts w:hint="default" w:ascii="宋体" w:hAnsi="宋体" w:eastAsia="宋体" w:cs="宋体"/>
          <w:color w:val="auto"/>
          <w:sz w:val="22"/>
          <w:szCs w:val="22"/>
          <w:highlight w:val="none"/>
        </w:rPr>
        <w:t>。</w:t>
      </w:r>
    </w:p>
    <w:p w14:paraId="0D1E40F0">
      <w:pPr>
        <w:numPr>
          <w:ilvl w:val="0"/>
          <w:numId w:val="0"/>
        </w:numPr>
        <w:shd w:val="clear" w:color="auto" w:fill="FFFFFF"/>
        <w:snapToGrid w:val="0"/>
        <w:spacing w:line="360" w:lineRule="auto"/>
        <w:jc w:val="center"/>
        <w:rPr>
          <w:rFonts w:hint="default"/>
        </w:rPr>
      </w:pPr>
      <w:r>
        <w:rPr>
          <w:rStyle w:val="26"/>
          <w:rFonts w:hint="default" w:ascii="Segoe UI" w:hAnsi="Segoe UI" w:eastAsia="Segoe UI" w:cs="Segoe UI"/>
          <w:b/>
          <w:i w:val="0"/>
          <w:iCs w:val="0"/>
          <w:caps w:val="0"/>
          <w:color w:val="404040"/>
          <w:spacing w:val="0"/>
          <w:sz w:val="24"/>
          <w:szCs w:val="24"/>
        </w:rPr>
        <w:t>考核指标及评分标准</w:t>
      </w:r>
    </w:p>
    <w:tbl>
      <w:tblPr>
        <w:tblStyle w:val="23"/>
        <w:tblW w:w="10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3425"/>
        <w:gridCol w:w="3858"/>
        <w:gridCol w:w="695"/>
        <w:gridCol w:w="720"/>
      </w:tblGrid>
      <w:tr w14:paraId="2768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862" w:type="dxa"/>
            <w:noWrap w:val="0"/>
            <w:vAlign w:val="center"/>
          </w:tcPr>
          <w:p w14:paraId="506D96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考核内容</w:t>
            </w:r>
          </w:p>
        </w:tc>
        <w:tc>
          <w:tcPr>
            <w:tcW w:w="3425" w:type="dxa"/>
            <w:noWrap w:val="0"/>
            <w:vAlign w:val="center"/>
          </w:tcPr>
          <w:p w14:paraId="472185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考核标准</w:t>
            </w:r>
          </w:p>
        </w:tc>
        <w:tc>
          <w:tcPr>
            <w:tcW w:w="3858" w:type="dxa"/>
            <w:noWrap w:val="0"/>
            <w:vAlign w:val="center"/>
          </w:tcPr>
          <w:p w14:paraId="4CAD3B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评分细则</w:t>
            </w:r>
          </w:p>
        </w:tc>
        <w:tc>
          <w:tcPr>
            <w:tcW w:w="695" w:type="dxa"/>
            <w:noWrap w:val="0"/>
            <w:vAlign w:val="center"/>
          </w:tcPr>
          <w:p w14:paraId="4D6391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分值</w:t>
            </w:r>
          </w:p>
        </w:tc>
        <w:tc>
          <w:tcPr>
            <w:tcW w:w="720" w:type="dxa"/>
            <w:noWrap w:val="0"/>
            <w:vAlign w:val="center"/>
          </w:tcPr>
          <w:p w14:paraId="319F5D9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得分</w:t>
            </w:r>
          </w:p>
        </w:tc>
      </w:tr>
      <w:tr w14:paraId="071B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1862" w:type="dxa"/>
            <w:vMerge w:val="restart"/>
            <w:noWrap w:val="0"/>
            <w:vAlign w:val="center"/>
          </w:tcPr>
          <w:p w14:paraId="59367E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油品质量</w:t>
            </w:r>
          </w:p>
        </w:tc>
        <w:tc>
          <w:tcPr>
            <w:tcW w:w="3425" w:type="dxa"/>
            <w:noWrap w:val="0"/>
            <w:vAlign w:val="center"/>
          </w:tcPr>
          <w:p w14:paraId="4DBB17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油品质量是否采购标准，是否符合合同约定的技术标准</w:t>
            </w:r>
          </w:p>
        </w:tc>
        <w:tc>
          <w:tcPr>
            <w:tcW w:w="3858" w:type="dxa"/>
            <w:noWrap w:val="0"/>
            <w:vAlign w:val="center"/>
          </w:tcPr>
          <w:p w14:paraId="59BF8BF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满分</w:t>
            </w:r>
            <w:r>
              <w:rPr>
                <w:rFonts w:hint="eastAsia" w:ascii="宋体" w:hAnsi="宋体" w:cs="宋体"/>
                <w:b w:val="0"/>
                <w:bCs w:val="0"/>
                <w:color w:val="auto"/>
                <w:kern w:val="2"/>
                <w:sz w:val="22"/>
                <w:szCs w:val="22"/>
                <w:highlight w:val="none"/>
                <w:lang w:val="en-US" w:eastAsia="zh-CN" w:bidi="ar-SA"/>
              </w:rPr>
              <w:t>20</w:t>
            </w:r>
            <w:r>
              <w:rPr>
                <w:rFonts w:hint="eastAsia" w:ascii="宋体" w:hAnsi="宋体" w:eastAsia="宋体" w:cs="宋体"/>
                <w:b w:val="0"/>
                <w:bCs w:val="0"/>
                <w:color w:val="auto"/>
                <w:kern w:val="2"/>
                <w:sz w:val="22"/>
                <w:szCs w:val="22"/>
                <w:highlight w:val="none"/>
                <w:lang w:val="en-US" w:eastAsia="zh-CN" w:bidi="ar-SA"/>
              </w:rPr>
              <w:t>分，</w:t>
            </w:r>
            <w:r>
              <w:rPr>
                <w:rFonts w:hint="eastAsia" w:ascii="宋体" w:hAnsi="宋体" w:cs="宋体"/>
                <w:b w:val="0"/>
                <w:bCs w:val="0"/>
                <w:color w:val="auto"/>
                <w:kern w:val="2"/>
                <w:sz w:val="22"/>
                <w:szCs w:val="22"/>
                <w:highlight w:val="none"/>
                <w:lang w:val="en-US" w:eastAsia="zh-CN" w:bidi="ar-SA"/>
              </w:rPr>
              <w:t>该批</w:t>
            </w:r>
            <w:r>
              <w:rPr>
                <w:rFonts w:hint="eastAsia" w:ascii="宋体" w:hAnsi="宋体" w:eastAsia="宋体" w:cs="宋体"/>
                <w:b w:val="0"/>
                <w:bCs w:val="0"/>
                <w:color w:val="auto"/>
                <w:kern w:val="2"/>
                <w:sz w:val="22"/>
                <w:szCs w:val="22"/>
                <w:highlight w:val="none"/>
                <w:lang w:val="en-US" w:eastAsia="zh-CN" w:bidi="ar-SA"/>
              </w:rPr>
              <w:t>次不符合标准扣</w:t>
            </w:r>
            <w:r>
              <w:rPr>
                <w:rFonts w:hint="eastAsia" w:ascii="宋体" w:hAnsi="宋体" w:cs="宋体"/>
                <w:b w:val="0"/>
                <w:bCs w:val="0"/>
                <w:color w:val="auto"/>
                <w:kern w:val="2"/>
                <w:sz w:val="22"/>
                <w:szCs w:val="22"/>
                <w:highlight w:val="none"/>
                <w:lang w:val="en-US" w:eastAsia="zh-CN" w:bidi="ar-SA"/>
              </w:rPr>
              <w:t>的20</w:t>
            </w:r>
            <w:r>
              <w:rPr>
                <w:rFonts w:hint="eastAsia" w:ascii="宋体" w:hAnsi="宋体" w:eastAsia="宋体" w:cs="宋体"/>
                <w:b w:val="0"/>
                <w:bCs w:val="0"/>
                <w:color w:val="auto"/>
                <w:kern w:val="2"/>
                <w:sz w:val="22"/>
                <w:szCs w:val="22"/>
                <w:highlight w:val="none"/>
                <w:lang w:val="en-US" w:eastAsia="zh-CN" w:bidi="ar-SA"/>
              </w:rPr>
              <w:t>分，</w:t>
            </w:r>
            <w:r>
              <w:rPr>
                <w:rFonts w:hint="eastAsia" w:ascii="宋体" w:hAnsi="宋体" w:cs="宋体"/>
                <w:b w:val="0"/>
                <w:bCs w:val="0"/>
                <w:color w:val="auto"/>
                <w:kern w:val="2"/>
                <w:sz w:val="22"/>
                <w:szCs w:val="22"/>
                <w:highlight w:val="none"/>
                <w:lang w:val="en-US" w:eastAsia="zh-CN" w:bidi="ar-SA"/>
              </w:rPr>
              <w:t>（</w:t>
            </w:r>
            <w:r>
              <w:rPr>
                <w:rFonts w:hint="eastAsia" w:ascii="宋体" w:hAnsi="宋体" w:eastAsia="宋体" w:cs="宋体"/>
                <w:color w:val="auto"/>
                <w:sz w:val="22"/>
                <w:szCs w:val="22"/>
                <w:u w:val="none"/>
                <w:lang w:val="en-US" w:eastAsia="zh-CN"/>
              </w:rPr>
              <w:t>油品累计发生两次及以上不合格的，采购人有权没收其全部未支付款项并有权单方面解除合同，由此产生的一切责任均由中标人承担</w:t>
            </w:r>
            <w:r>
              <w:rPr>
                <w:rFonts w:hint="eastAsia" w:ascii="宋体" w:hAnsi="宋体" w:cs="宋体"/>
                <w:b w:val="0"/>
                <w:bCs w:val="0"/>
                <w:color w:val="auto"/>
                <w:kern w:val="2"/>
                <w:sz w:val="22"/>
                <w:szCs w:val="22"/>
                <w:highlight w:val="none"/>
                <w:lang w:val="en-US" w:eastAsia="zh-CN" w:bidi="ar-SA"/>
              </w:rPr>
              <w:t>）</w:t>
            </w:r>
          </w:p>
        </w:tc>
        <w:tc>
          <w:tcPr>
            <w:tcW w:w="695" w:type="dxa"/>
            <w:noWrap w:val="0"/>
            <w:vAlign w:val="center"/>
          </w:tcPr>
          <w:p w14:paraId="746E3D3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kern w:val="2"/>
                <w:sz w:val="22"/>
                <w:szCs w:val="22"/>
                <w:highlight w:val="none"/>
                <w:lang w:val="en-US" w:eastAsia="zh-CN" w:bidi="ar-SA"/>
              </w:rPr>
              <w:t>20</w:t>
            </w:r>
          </w:p>
        </w:tc>
        <w:tc>
          <w:tcPr>
            <w:tcW w:w="720" w:type="dxa"/>
            <w:noWrap w:val="0"/>
            <w:vAlign w:val="center"/>
          </w:tcPr>
          <w:p w14:paraId="57987B5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p>
        </w:tc>
      </w:tr>
      <w:tr w14:paraId="1A31D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62" w:type="dxa"/>
            <w:noWrap w:val="0"/>
            <w:vAlign w:val="center"/>
          </w:tcPr>
          <w:p w14:paraId="4AC5EA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响应时效性</w:t>
            </w:r>
          </w:p>
        </w:tc>
        <w:tc>
          <w:tcPr>
            <w:tcW w:w="3425" w:type="dxa"/>
            <w:noWrap w:val="0"/>
            <w:vAlign w:val="center"/>
          </w:tcPr>
          <w:p w14:paraId="6B621A1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default" w:ascii="宋体" w:hAnsi="宋体" w:eastAsia="宋体" w:cs="宋体"/>
                <w:b w:val="0"/>
                <w:bCs w:val="0"/>
                <w:color w:val="auto"/>
                <w:kern w:val="2"/>
                <w:sz w:val="22"/>
                <w:szCs w:val="22"/>
                <w:highlight w:val="none"/>
                <w:lang w:val="en-US" w:eastAsia="zh-CN" w:bidi="ar-SA"/>
              </w:rPr>
              <w:t>供应商对客户需求的响应时间</w:t>
            </w:r>
          </w:p>
        </w:tc>
        <w:tc>
          <w:tcPr>
            <w:tcW w:w="3858" w:type="dxa"/>
            <w:noWrap w:val="0"/>
            <w:vAlign w:val="center"/>
          </w:tcPr>
          <w:p w14:paraId="2782E7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未</w:t>
            </w:r>
            <w:r>
              <w:rPr>
                <w:rFonts w:hint="eastAsia" w:ascii="宋体" w:hAnsi="宋体" w:cs="宋体"/>
                <w:b w:val="0"/>
                <w:bCs w:val="0"/>
                <w:color w:val="auto"/>
                <w:kern w:val="2"/>
                <w:sz w:val="22"/>
                <w:szCs w:val="22"/>
                <w:highlight w:val="none"/>
                <w:lang w:val="en-US" w:eastAsia="zh-CN" w:bidi="ar-SA"/>
              </w:rPr>
              <w:t>按投标承诺响应的</w:t>
            </w:r>
            <w:r>
              <w:rPr>
                <w:rFonts w:hint="eastAsia" w:ascii="宋体" w:hAnsi="宋体" w:eastAsia="宋体" w:cs="宋体"/>
                <w:b w:val="0"/>
                <w:bCs w:val="0"/>
                <w:color w:val="auto"/>
                <w:kern w:val="2"/>
                <w:sz w:val="22"/>
                <w:szCs w:val="22"/>
                <w:highlight w:val="none"/>
                <w:lang w:val="en-US" w:eastAsia="zh-CN" w:bidi="ar-SA"/>
              </w:rPr>
              <w:t>，扣</w:t>
            </w:r>
            <w:r>
              <w:rPr>
                <w:rFonts w:hint="eastAsia" w:ascii="宋体" w:hAnsi="宋体" w:cs="宋体"/>
                <w:b w:val="0"/>
                <w:bCs w:val="0"/>
                <w:color w:val="auto"/>
                <w:kern w:val="2"/>
                <w:sz w:val="22"/>
                <w:szCs w:val="22"/>
                <w:highlight w:val="none"/>
                <w:lang w:val="en-US" w:eastAsia="zh-CN" w:bidi="ar-SA"/>
              </w:rPr>
              <w:t>10</w:t>
            </w:r>
            <w:r>
              <w:rPr>
                <w:rFonts w:hint="eastAsia" w:ascii="宋体" w:hAnsi="宋体" w:eastAsia="宋体" w:cs="宋体"/>
                <w:b w:val="0"/>
                <w:bCs w:val="0"/>
                <w:color w:val="auto"/>
                <w:kern w:val="2"/>
                <w:sz w:val="22"/>
                <w:szCs w:val="22"/>
                <w:highlight w:val="none"/>
                <w:lang w:val="en-US" w:eastAsia="zh-CN" w:bidi="ar-SA"/>
              </w:rPr>
              <w:t>分</w:t>
            </w:r>
          </w:p>
        </w:tc>
        <w:tc>
          <w:tcPr>
            <w:tcW w:w="695" w:type="dxa"/>
            <w:noWrap w:val="0"/>
            <w:vAlign w:val="center"/>
          </w:tcPr>
          <w:p w14:paraId="18F929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kern w:val="2"/>
                <w:sz w:val="22"/>
                <w:szCs w:val="22"/>
                <w:highlight w:val="none"/>
                <w:lang w:val="en-US" w:eastAsia="zh-CN" w:bidi="ar-SA"/>
              </w:rPr>
              <w:t>10</w:t>
            </w:r>
          </w:p>
        </w:tc>
        <w:tc>
          <w:tcPr>
            <w:tcW w:w="720" w:type="dxa"/>
            <w:noWrap w:val="0"/>
            <w:vAlign w:val="center"/>
          </w:tcPr>
          <w:p w14:paraId="698ACE96">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p>
        </w:tc>
      </w:tr>
      <w:tr w14:paraId="797F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862" w:type="dxa"/>
            <w:vMerge w:val="restart"/>
            <w:noWrap w:val="0"/>
            <w:vAlign w:val="center"/>
          </w:tcPr>
          <w:p w14:paraId="5B45229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交货的及时性</w:t>
            </w:r>
            <w:r>
              <w:rPr>
                <w:rFonts w:hint="eastAsia" w:ascii="宋体" w:hAnsi="宋体" w:cs="宋体"/>
                <w:b w:val="0"/>
                <w:bCs w:val="0"/>
                <w:color w:val="auto"/>
                <w:kern w:val="2"/>
                <w:sz w:val="22"/>
                <w:szCs w:val="22"/>
                <w:highlight w:val="none"/>
                <w:lang w:val="en-US" w:eastAsia="zh-CN" w:bidi="ar-SA"/>
              </w:rPr>
              <w:t>及数量</w:t>
            </w:r>
          </w:p>
        </w:tc>
        <w:tc>
          <w:tcPr>
            <w:tcW w:w="3425" w:type="dxa"/>
            <w:noWrap w:val="0"/>
            <w:vAlign w:val="center"/>
          </w:tcPr>
          <w:p w14:paraId="15C9C1A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供应商是否有在承诺时间内，按时为采购人提供所需油品</w:t>
            </w:r>
          </w:p>
        </w:tc>
        <w:tc>
          <w:tcPr>
            <w:tcW w:w="3858" w:type="dxa"/>
            <w:noWrap w:val="0"/>
            <w:vAlign w:val="center"/>
          </w:tcPr>
          <w:p w14:paraId="2796EE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s="宋体"/>
                <w:b w:val="0"/>
                <w:bCs w:val="0"/>
                <w:color w:val="auto"/>
                <w:kern w:val="2"/>
                <w:sz w:val="22"/>
                <w:szCs w:val="22"/>
                <w:highlight w:val="none"/>
                <w:lang w:val="en-US" w:eastAsia="zh-CN" w:bidi="ar-SA"/>
              </w:rPr>
            </w:pPr>
            <w:r>
              <w:rPr>
                <w:rFonts w:hint="eastAsia" w:ascii="宋体" w:hAnsi="宋体" w:cs="宋体"/>
                <w:b w:val="0"/>
                <w:bCs w:val="0"/>
                <w:color w:val="auto"/>
                <w:kern w:val="2"/>
                <w:sz w:val="22"/>
                <w:szCs w:val="22"/>
                <w:highlight w:val="none"/>
                <w:lang w:val="en-US" w:eastAsia="zh-CN" w:bidi="ar-SA"/>
              </w:rPr>
              <w:t>超过承诺时间，扣10分</w:t>
            </w:r>
          </w:p>
        </w:tc>
        <w:tc>
          <w:tcPr>
            <w:tcW w:w="695" w:type="dxa"/>
            <w:noWrap w:val="0"/>
            <w:vAlign w:val="center"/>
          </w:tcPr>
          <w:p w14:paraId="27DD2E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kern w:val="2"/>
                <w:sz w:val="22"/>
                <w:szCs w:val="22"/>
                <w:highlight w:val="none"/>
                <w:lang w:val="en-US" w:eastAsia="zh-CN" w:bidi="ar-SA"/>
              </w:rPr>
              <w:t>10</w:t>
            </w:r>
          </w:p>
        </w:tc>
        <w:tc>
          <w:tcPr>
            <w:tcW w:w="720" w:type="dxa"/>
            <w:noWrap w:val="0"/>
            <w:vAlign w:val="center"/>
          </w:tcPr>
          <w:p w14:paraId="2B26433B">
            <w:pPr>
              <w:shd w:val="clear" w:color="auto" w:fill="FFFFFF"/>
              <w:snapToGrid w:val="0"/>
              <w:spacing w:line="360" w:lineRule="auto"/>
              <w:ind w:firstLine="440" w:firstLineChars="200"/>
              <w:rPr>
                <w:rFonts w:hint="eastAsia" w:ascii="宋体" w:hAnsi="宋体" w:eastAsia="宋体" w:cs="宋体"/>
                <w:color w:val="auto"/>
                <w:sz w:val="22"/>
                <w:szCs w:val="22"/>
                <w:highlight w:val="none"/>
                <w:lang w:val="en-US" w:eastAsia="zh-CN"/>
              </w:rPr>
            </w:pPr>
          </w:p>
        </w:tc>
      </w:tr>
      <w:tr w14:paraId="2E80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862" w:type="dxa"/>
            <w:vMerge w:val="continue"/>
            <w:noWrap w:val="0"/>
            <w:vAlign w:val="center"/>
          </w:tcPr>
          <w:p w14:paraId="15B4B69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p>
        </w:tc>
        <w:tc>
          <w:tcPr>
            <w:tcW w:w="3425" w:type="dxa"/>
            <w:noWrap w:val="0"/>
            <w:vAlign w:val="center"/>
          </w:tcPr>
          <w:p w14:paraId="21BD18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供应商是否按采购人要求提供足量油品（</w:t>
            </w:r>
            <w:r>
              <w:rPr>
                <w:rFonts w:hint="eastAsia" w:ascii="宋体" w:hAnsi="宋体" w:eastAsia="宋体" w:cs="宋体"/>
                <w:sz w:val="22"/>
                <w:szCs w:val="22"/>
              </w:rPr>
              <w:t>误差在千分之三范围内</w:t>
            </w:r>
            <w:r>
              <w:rPr>
                <w:rFonts w:hint="eastAsia" w:ascii="宋体" w:hAnsi="宋体" w:eastAsia="宋体" w:cs="宋体"/>
                <w:sz w:val="22"/>
                <w:szCs w:val="22"/>
                <w:lang w:eastAsia="zh-CN"/>
              </w:rPr>
              <w:t>）</w:t>
            </w:r>
          </w:p>
        </w:tc>
        <w:tc>
          <w:tcPr>
            <w:tcW w:w="3858" w:type="dxa"/>
            <w:noWrap w:val="0"/>
            <w:vAlign w:val="center"/>
          </w:tcPr>
          <w:p w14:paraId="30A420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s="宋体"/>
                <w:b w:val="0"/>
                <w:bCs w:val="0"/>
                <w:color w:val="auto"/>
                <w:kern w:val="2"/>
                <w:sz w:val="22"/>
                <w:szCs w:val="22"/>
                <w:highlight w:val="none"/>
                <w:lang w:val="en-US" w:eastAsia="zh-CN" w:bidi="ar-SA"/>
              </w:rPr>
            </w:pPr>
            <w:r>
              <w:rPr>
                <w:rFonts w:hint="eastAsia" w:ascii="宋体" w:hAnsi="宋体" w:cs="宋体"/>
                <w:b w:val="0"/>
                <w:bCs w:val="0"/>
                <w:color w:val="auto"/>
                <w:kern w:val="2"/>
                <w:sz w:val="22"/>
                <w:szCs w:val="22"/>
                <w:highlight w:val="none"/>
                <w:lang w:val="en-US" w:eastAsia="zh-CN" w:bidi="ar-SA"/>
              </w:rPr>
              <w:t>超出误差范围的，扣10分</w:t>
            </w:r>
          </w:p>
        </w:tc>
        <w:tc>
          <w:tcPr>
            <w:tcW w:w="695" w:type="dxa"/>
            <w:noWrap w:val="0"/>
            <w:vAlign w:val="center"/>
          </w:tcPr>
          <w:p w14:paraId="11BF6F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kern w:val="2"/>
                <w:sz w:val="22"/>
                <w:szCs w:val="22"/>
                <w:highlight w:val="none"/>
                <w:lang w:val="en-US" w:eastAsia="zh-CN" w:bidi="ar-SA"/>
              </w:rPr>
              <w:t>10</w:t>
            </w:r>
          </w:p>
        </w:tc>
        <w:tc>
          <w:tcPr>
            <w:tcW w:w="720" w:type="dxa"/>
            <w:noWrap w:val="0"/>
            <w:vAlign w:val="center"/>
          </w:tcPr>
          <w:p w14:paraId="1EEE937F">
            <w:pPr>
              <w:shd w:val="clear" w:color="auto" w:fill="FFFFFF"/>
              <w:snapToGrid w:val="0"/>
              <w:spacing w:line="360" w:lineRule="auto"/>
              <w:ind w:firstLine="440" w:firstLineChars="200"/>
              <w:rPr>
                <w:rFonts w:hint="eastAsia" w:ascii="宋体" w:hAnsi="宋体" w:eastAsia="宋体" w:cs="宋体"/>
                <w:color w:val="auto"/>
                <w:sz w:val="22"/>
                <w:szCs w:val="22"/>
                <w:highlight w:val="none"/>
                <w:lang w:val="en-US" w:eastAsia="zh-CN"/>
              </w:rPr>
            </w:pPr>
          </w:p>
        </w:tc>
      </w:tr>
      <w:tr w14:paraId="7309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862" w:type="dxa"/>
            <w:vMerge w:val="restart"/>
            <w:shd w:val="clear" w:color="auto" w:fill="auto"/>
            <w:noWrap w:val="0"/>
            <w:vAlign w:val="center"/>
          </w:tcPr>
          <w:p w14:paraId="6FD8737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default" w:ascii="宋体" w:hAnsi="宋体" w:eastAsia="宋体" w:cs="宋体"/>
                <w:b w:val="0"/>
                <w:bCs w:val="0"/>
                <w:color w:val="auto"/>
                <w:kern w:val="2"/>
                <w:sz w:val="22"/>
                <w:szCs w:val="22"/>
                <w:highlight w:val="none"/>
                <w:lang w:val="en-US" w:eastAsia="zh-CN" w:bidi="ar-SA"/>
              </w:rPr>
              <w:t>服务质量</w:t>
            </w:r>
          </w:p>
        </w:tc>
        <w:tc>
          <w:tcPr>
            <w:tcW w:w="3425" w:type="dxa"/>
            <w:shd w:val="clear" w:color="auto" w:fill="auto"/>
            <w:noWrap w:val="0"/>
            <w:vAlign w:val="center"/>
          </w:tcPr>
          <w:p w14:paraId="4DC06E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default" w:ascii="宋体" w:hAnsi="宋体" w:eastAsia="宋体" w:cs="宋体"/>
                <w:b w:val="0"/>
                <w:bCs w:val="0"/>
                <w:color w:val="auto"/>
                <w:kern w:val="2"/>
                <w:sz w:val="22"/>
                <w:szCs w:val="22"/>
                <w:highlight w:val="none"/>
                <w:lang w:val="en-US" w:eastAsia="zh-CN" w:bidi="ar-SA"/>
              </w:rPr>
              <w:t>售后服务人员的专业水平、服务态度</w:t>
            </w:r>
            <w:r>
              <w:rPr>
                <w:rFonts w:hint="eastAsia" w:ascii="宋体" w:hAnsi="宋体" w:eastAsia="宋体" w:cs="宋体"/>
                <w:b w:val="0"/>
                <w:bCs w:val="0"/>
                <w:color w:val="auto"/>
                <w:kern w:val="2"/>
                <w:sz w:val="22"/>
                <w:szCs w:val="22"/>
                <w:highlight w:val="none"/>
                <w:lang w:val="en-US" w:eastAsia="zh-CN" w:bidi="ar-SA"/>
              </w:rPr>
              <w:t>、配合程度。</w:t>
            </w:r>
          </w:p>
        </w:tc>
        <w:tc>
          <w:tcPr>
            <w:tcW w:w="3858" w:type="dxa"/>
            <w:vMerge w:val="restart"/>
            <w:shd w:val="clear" w:color="auto" w:fill="auto"/>
            <w:noWrap w:val="0"/>
            <w:vAlign w:val="center"/>
          </w:tcPr>
          <w:p w14:paraId="224EBA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sz w:val="22"/>
                <w:szCs w:val="22"/>
                <w:highlight w:val="none"/>
                <w:lang w:val="en-US" w:eastAsia="zh-CN"/>
              </w:rPr>
            </w:pPr>
          </w:p>
          <w:p w14:paraId="1E16B49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 xml:space="preserve"> 非常满意：</w:t>
            </w:r>
            <w:r>
              <w:rPr>
                <w:rFonts w:hint="eastAsia" w:ascii="宋体" w:hAnsi="宋体" w:cs="宋体"/>
                <w:color w:val="auto"/>
                <w:sz w:val="22"/>
                <w:szCs w:val="22"/>
                <w:highlight w:val="none"/>
                <w:lang w:val="en-US" w:eastAsia="zh-CN"/>
              </w:rPr>
              <w:t>8</w:t>
            </w:r>
            <w:r>
              <w:rPr>
                <w:rFonts w:hint="default" w:ascii="宋体" w:hAnsi="宋体" w:eastAsia="宋体" w:cs="宋体"/>
                <w:color w:val="auto"/>
                <w:sz w:val="22"/>
                <w:szCs w:val="22"/>
                <w:highlight w:val="none"/>
                <w:lang w:val="en-US" w:eastAsia="zh-CN"/>
              </w:rPr>
              <w:t>分</w:t>
            </w:r>
            <w:r>
              <w:rPr>
                <w:rFonts w:hint="default" w:ascii="宋体" w:hAnsi="宋体" w:eastAsia="宋体" w:cs="宋体"/>
                <w:color w:val="auto"/>
                <w:sz w:val="22"/>
                <w:szCs w:val="22"/>
                <w:highlight w:val="none"/>
                <w:lang w:val="en-US" w:eastAsia="zh-CN"/>
              </w:rPr>
              <w:br w:type="textWrapping"/>
            </w:r>
            <w:r>
              <w:rPr>
                <w:rFonts w:hint="default" w:ascii="宋体" w:hAnsi="宋体" w:eastAsia="宋体" w:cs="宋体"/>
                <w:color w:val="auto"/>
                <w:sz w:val="22"/>
                <w:szCs w:val="22"/>
                <w:highlight w:val="none"/>
                <w:lang w:val="en-US" w:eastAsia="zh-CN"/>
              </w:rPr>
              <w:t>满意：</w:t>
            </w:r>
            <w:r>
              <w:rPr>
                <w:rFonts w:hint="eastAsia" w:ascii="宋体" w:hAnsi="宋体" w:cs="宋体"/>
                <w:color w:val="auto"/>
                <w:sz w:val="22"/>
                <w:szCs w:val="22"/>
                <w:highlight w:val="none"/>
                <w:lang w:val="en-US" w:eastAsia="zh-CN"/>
              </w:rPr>
              <w:t>6</w:t>
            </w:r>
            <w:r>
              <w:rPr>
                <w:rFonts w:hint="default" w:ascii="宋体" w:hAnsi="宋体" w:eastAsia="宋体" w:cs="宋体"/>
                <w:color w:val="auto"/>
                <w:sz w:val="22"/>
                <w:szCs w:val="22"/>
                <w:highlight w:val="none"/>
                <w:lang w:val="en-US" w:eastAsia="zh-CN"/>
              </w:rPr>
              <w:t>分</w:t>
            </w:r>
            <w:r>
              <w:rPr>
                <w:rFonts w:hint="default" w:ascii="宋体" w:hAnsi="宋体" w:eastAsia="宋体" w:cs="宋体"/>
                <w:color w:val="auto"/>
                <w:sz w:val="22"/>
                <w:szCs w:val="22"/>
                <w:highlight w:val="none"/>
                <w:lang w:val="en-US" w:eastAsia="zh-CN"/>
              </w:rPr>
              <w:br w:type="textWrapping"/>
            </w:r>
            <w:r>
              <w:rPr>
                <w:rFonts w:hint="default" w:ascii="宋体" w:hAnsi="宋体" w:eastAsia="宋体" w:cs="宋体"/>
                <w:color w:val="auto"/>
                <w:sz w:val="22"/>
                <w:szCs w:val="22"/>
                <w:highlight w:val="none"/>
                <w:lang w:val="en-US" w:eastAsia="zh-CN"/>
              </w:rPr>
              <w:t>一般：</w:t>
            </w:r>
            <w:r>
              <w:rPr>
                <w:rFonts w:hint="eastAsia" w:ascii="宋体" w:hAnsi="宋体" w:cs="宋体"/>
                <w:color w:val="auto"/>
                <w:sz w:val="22"/>
                <w:szCs w:val="22"/>
                <w:highlight w:val="none"/>
                <w:lang w:val="en-US" w:eastAsia="zh-CN"/>
              </w:rPr>
              <w:t>3</w:t>
            </w:r>
            <w:r>
              <w:rPr>
                <w:rFonts w:hint="default" w:ascii="宋体" w:hAnsi="宋体" w:eastAsia="宋体" w:cs="宋体"/>
                <w:color w:val="auto"/>
                <w:sz w:val="22"/>
                <w:szCs w:val="22"/>
                <w:highlight w:val="none"/>
                <w:lang w:val="en-US" w:eastAsia="zh-CN"/>
              </w:rPr>
              <w:t>分</w:t>
            </w:r>
          </w:p>
          <w:p w14:paraId="6E4218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不满意：0分</w:t>
            </w:r>
            <w:r>
              <w:rPr>
                <w:rFonts w:hint="default" w:ascii="宋体" w:hAnsi="宋体" w:eastAsia="宋体" w:cs="宋体"/>
                <w:color w:val="auto"/>
                <w:sz w:val="22"/>
                <w:szCs w:val="22"/>
                <w:highlight w:val="none"/>
                <w:lang w:val="en-US" w:eastAsia="zh-CN"/>
              </w:rPr>
              <w:br w:type="textWrapping"/>
            </w:r>
          </w:p>
        </w:tc>
        <w:tc>
          <w:tcPr>
            <w:tcW w:w="695" w:type="dxa"/>
            <w:noWrap w:val="0"/>
            <w:vAlign w:val="center"/>
          </w:tcPr>
          <w:p w14:paraId="7EC3D36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kern w:val="2"/>
                <w:sz w:val="22"/>
                <w:szCs w:val="22"/>
                <w:highlight w:val="none"/>
                <w:lang w:val="en-US" w:eastAsia="zh-CN" w:bidi="ar-SA"/>
              </w:rPr>
              <w:t>8</w:t>
            </w:r>
          </w:p>
        </w:tc>
        <w:tc>
          <w:tcPr>
            <w:tcW w:w="720" w:type="dxa"/>
            <w:noWrap w:val="0"/>
            <w:vAlign w:val="center"/>
          </w:tcPr>
          <w:p w14:paraId="2009BD86">
            <w:pPr>
              <w:shd w:val="clear" w:color="auto" w:fill="FFFFFF"/>
              <w:snapToGrid w:val="0"/>
              <w:spacing w:line="360" w:lineRule="auto"/>
              <w:ind w:firstLine="440" w:firstLineChars="200"/>
              <w:rPr>
                <w:rFonts w:hint="eastAsia" w:ascii="宋体" w:hAnsi="宋体" w:eastAsia="宋体" w:cs="宋体"/>
                <w:color w:val="auto"/>
                <w:sz w:val="22"/>
                <w:szCs w:val="22"/>
                <w:highlight w:val="none"/>
                <w:lang w:val="en-US" w:eastAsia="zh-CN"/>
              </w:rPr>
            </w:pPr>
          </w:p>
        </w:tc>
      </w:tr>
      <w:tr w14:paraId="6E16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862" w:type="dxa"/>
            <w:vMerge w:val="continue"/>
            <w:shd w:val="clear" w:color="auto" w:fill="auto"/>
            <w:noWrap w:val="0"/>
            <w:vAlign w:val="center"/>
          </w:tcPr>
          <w:p w14:paraId="0A1DFDE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p>
        </w:tc>
        <w:tc>
          <w:tcPr>
            <w:tcW w:w="3425" w:type="dxa"/>
            <w:shd w:val="clear" w:color="auto" w:fill="auto"/>
            <w:noWrap w:val="0"/>
            <w:vAlign w:val="center"/>
          </w:tcPr>
          <w:p w14:paraId="18BE49D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供应商在合作过程中是否保持积极沟通，是否积极配合解决问题。</w:t>
            </w:r>
          </w:p>
        </w:tc>
        <w:tc>
          <w:tcPr>
            <w:tcW w:w="3858" w:type="dxa"/>
            <w:vMerge w:val="continue"/>
            <w:shd w:val="clear" w:color="auto" w:fill="auto"/>
            <w:noWrap w:val="0"/>
            <w:vAlign w:val="center"/>
          </w:tcPr>
          <w:p w14:paraId="70C28F4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p>
        </w:tc>
        <w:tc>
          <w:tcPr>
            <w:tcW w:w="695" w:type="dxa"/>
            <w:noWrap w:val="0"/>
            <w:vAlign w:val="center"/>
          </w:tcPr>
          <w:p w14:paraId="7D7771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kern w:val="2"/>
                <w:sz w:val="22"/>
                <w:szCs w:val="22"/>
                <w:highlight w:val="none"/>
                <w:lang w:val="en-US" w:eastAsia="zh-CN" w:bidi="ar-SA"/>
              </w:rPr>
              <w:t>8</w:t>
            </w:r>
          </w:p>
        </w:tc>
        <w:tc>
          <w:tcPr>
            <w:tcW w:w="720" w:type="dxa"/>
            <w:noWrap w:val="0"/>
            <w:vAlign w:val="center"/>
          </w:tcPr>
          <w:p w14:paraId="2F913E67">
            <w:pPr>
              <w:shd w:val="clear" w:color="auto" w:fill="FFFFFF"/>
              <w:snapToGrid w:val="0"/>
              <w:spacing w:line="360" w:lineRule="auto"/>
              <w:ind w:firstLine="440" w:firstLineChars="200"/>
              <w:rPr>
                <w:rFonts w:hint="eastAsia" w:ascii="宋体" w:hAnsi="宋体" w:eastAsia="宋体" w:cs="宋体"/>
                <w:color w:val="auto"/>
                <w:sz w:val="22"/>
                <w:szCs w:val="22"/>
                <w:highlight w:val="none"/>
                <w:lang w:val="en-US" w:eastAsia="zh-CN"/>
              </w:rPr>
            </w:pPr>
          </w:p>
        </w:tc>
      </w:tr>
      <w:tr w14:paraId="4BF5D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862" w:type="dxa"/>
            <w:shd w:val="clear" w:color="auto" w:fill="auto"/>
            <w:noWrap w:val="0"/>
            <w:vAlign w:val="center"/>
          </w:tcPr>
          <w:p w14:paraId="299B5D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default" w:ascii="宋体" w:hAnsi="宋体" w:eastAsia="宋体" w:cs="宋体"/>
                <w:b w:val="0"/>
                <w:bCs w:val="0"/>
                <w:color w:val="auto"/>
                <w:kern w:val="2"/>
                <w:sz w:val="22"/>
                <w:szCs w:val="22"/>
                <w:highlight w:val="none"/>
                <w:lang w:val="en-US" w:eastAsia="zh-CN" w:bidi="ar-SA"/>
              </w:rPr>
              <w:t>客户满意度</w:t>
            </w:r>
          </w:p>
        </w:tc>
        <w:tc>
          <w:tcPr>
            <w:tcW w:w="3425" w:type="dxa"/>
            <w:shd w:val="clear" w:color="auto" w:fill="auto"/>
            <w:noWrap w:val="0"/>
            <w:vAlign w:val="center"/>
          </w:tcPr>
          <w:p w14:paraId="2812E3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default" w:ascii="宋体" w:hAnsi="宋体" w:eastAsia="宋体" w:cs="宋体"/>
                <w:b w:val="0"/>
                <w:bCs w:val="0"/>
                <w:color w:val="auto"/>
                <w:kern w:val="2"/>
                <w:sz w:val="22"/>
                <w:szCs w:val="22"/>
                <w:highlight w:val="none"/>
                <w:lang w:val="en-US" w:eastAsia="zh-CN" w:bidi="ar-SA"/>
              </w:rPr>
              <w:t>客户对供应商售后服务的整体满意度</w:t>
            </w:r>
          </w:p>
        </w:tc>
        <w:tc>
          <w:tcPr>
            <w:tcW w:w="3858" w:type="dxa"/>
            <w:shd w:val="clear" w:color="auto" w:fill="auto"/>
            <w:noWrap w:val="0"/>
            <w:vAlign w:val="center"/>
          </w:tcPr>
          <w:p w14:paraId="73FA68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default" w:ascii="宋体" w:hAnsi="宋体" w:eastAsia="宋体" w:cs="宋体"/>
                <w:b w:val="0"/>
                <w:bCs w:val="0"/>
                <w:color w:val="auto"/>
                <w:kern w:val="2"/>
                <w:sz w:val="22"/>
                <w:szCs w:val="22"/>
                <w:highlight w:val="none"/>
                <w:lang w:val="en-US" w:eastAsia="zh-CN" w:bidi="ar-SA"/>
              </w:rPr>
              <w:t xml:space="preserve"> 非常满意：</w:t>
            </w:r>
            <w:r>
              <w:rPr>
                <w:rFonts w:hint="eastAsia" w:ascii="宋体" w:hAnsi="宋体" w:cs="宋体"/>
                <w:b w:val="0"/>
                <w:bCs w:val="0"/>
                <w:color w:val="auto"/>
                <w:kern w:val="2"/>
                <w:sz w:val="22"/>
                <w:szCs w:val="22"/>
                <w:highlight w:val="none"/>
                <w:lang w:val="en-US" w:eastAsia="zh-CN" w:bidi="ar-SA"/>
              </w:rPr>
              <w:t>8</w:t>
            </w:r>
            <w:r>
              <w:rPr>
                <w:rFonts w:hint="default" w:ascii="宋体" w:hAnsi="宋体" w:eastAsia="宋体" w:cs="宋体"/>
                <w:b w:val="0"/>
                <w:bCs w:val="0"/>
                <w:color w:val="auto"/>
                <w:kern w:val="2"/>
                <w:sz w:val="22"/>
                <w:szCs w:val="22"/>
                <w:highlight w:val="none"/>
                <w:lang w:val="en-US" w:eastAsia="zh-CN" w:bidi="ar-SA"/>
              </w:rPr>
              <w:t>分</w:t>
            </w:r>
            <w:r>
              <w:rPr>
                <w:rFonts w:hint="default" w:ascii="宋体" w:hAnsi="宋体" w:eastAsia="宋体" w:cs="宋体"/>
                <w:b w:val="0"/>
                <w:bCs w:val="0"/>
                <w:color w:val="auto"/>
                <w:kern w:val="2"/>
                <w:sz w:val="22"/>
                <w:szCs w:val="22"/>
                <w:highlight w:val="none"/>
                <w:lang w:val="en-US" w:eastAsia="zh-CN" w:bidi="ar-SA"/>
              </w:rPr>
              <w:br w:type="textWrapping"/>
            </w:r>
            <w:r>
              <w:rPr>
                <w:rFonts w:hint="default" w:ascii="宋体" w:hAnsi="宋体" w:eastAsia="宋体" w:cs="宋体"/>
                <w:b w:val="0"/>
                <w:bCs w:val="0"/>
                <w:color w:val="auto"/>
                <w:kern w:val="2"/>
                <w:sz w:val="22"/>
                <w:szCs w:val="22"/>
                <w:highlight w:val="none"/>
                <w:lang w:val="en-US" w:eastAsia="zh-CN" w:bidi="ar-SA"/>
              </w:rPr>
              <w:t>满意：</w:t>
            </w:r>
            <w:r>
              <w:rPr>
                <w:rFonts w:hint="eastAsia" w:ascii="宋体" w:hAnsi="宋体" w:cs="宋体"/>
                <w:b w:val="0"/>
                <w:bCs w:val="0"/>
                <w:color w:val="auto"/>
                <w:kern w:val="2"/>
                <w:sz w:val="22"/>
                <w:szCs w:val="22"/>
                <w:highlight w:val="none"/>
                <w:lang w:val="en-US" w:eastAsia="zh-CN" w:bidi="ar-SA"/>
              </w:rPr>
              <w:t>6</w:t>
            </w:r>
            <w:r>
              <w:rPr>
                <w:rFonts w:hint="default" w:ascii="宋体" w:hAnsi="宋体" w:eastAsia="宋体" w:cs="宋体"/>
                <w:b w:val="0"/>
                <w:bCs w:val="0"/>
                <w:color w:val="auto"/>
                <w:kern w:val="2"/>
                <w:sz w:val="22"/>
                <w:szCs w:val="22"/>
                <w:highlight w:val="none"/>
                <w:lang w:val="en-US" w:eastAsia="zh-CN" w:bidi="ar-SA"/>
              </w:rPr>
              <w:t>分</w:t>
            </w:r>
            <w:r>
              <w:rPr>
                <w:rFonts w:hint="default" w:ascii="宋体" w:hAnsi="宋体" w:eastAsia="宋体" w:cs="宋体"/>
                <w:b w:val="0"/>
                <w:bCs w:val="0"/>
                <w:color w:val="auto"/>
                <w:kern w:val="2"/>
                <w:sz w:val="22"/>
                <w:szCs w:val="22"/>
                <w:highlight w:val="none"/>
                <w:lang w:val="en-US" w:eastAsia="zh-CN" w:bidi="ar-SA"/>
              </w:rPr>
              <w:br w:type="textWrapping"/>
            </w:r>
            <w:r>
              <w:rPr>
                <w:rFonts w:hint="default" w:ascii="宋体" w:hAnsi="宋体" w:eastAsia="宋体" w:cs="宋体"/>
                <w:b w:val="0"/>
                <w:bCs w:val="0"/>
                <w:color w:val="auto"/>
                <w:kern w:val="2"/>
                <w:sz w:val="22"/>
                <w:szCs w:val="22"/>
                <w:highlight w:val="none"/>
                <w:lang w:val="en-US" w:eastAsia="zh-CN" w:bidi="ar-SA"/>
              </w:rPr>
              <w:t>一般：</w:t>
            </w:r>
            <w:r>
              <w:rPr>
                <w:rFonts w:hint="eastAsia" w:ascii="宋体" w:hAnsi="宋体" w:cs="宋体"/>
                <w:b w:val="0"/>
                <w:bCs w:val="0"/>
                <w:color w:val="auto"/>
                <w:kern w:val="2"/>
                <w:sz w:val="22"/>
                <w:szCs w:val="22"/>
                <w:highlight w:val="none"/>
                <w:lang w:val="en-US" w:eastAsia="zh-CN" w:bidi="ar-SA"/>
              </w:rPr>
              <w:t>3</w:t>
            </w:r>
            <w:r>
              <w:rPr>
                <w:rFonts w:hint="default" w:ascii="宋体" w:hAnsi="宋体" w:eastAsia="宋体" w:cs="宋体"/>
                <w:b w:val="0"/>
                <w:bCs w:val="0"/>
                <w:color w:val="auto"/>
                <w:kern w:val="2"/>
                <w:sz w:val="22"/>
                <w:szCs w:val="22"/>
                <w:highlight w:val="none"/>
                <w:lang w:val="en-US" w:eastAsia="zh-CN" w:bidi="ar-SA"/>
              </w:rPr>
              <w:t>分</w:t>
            </w:r>
          </w:p>
          <w:p w14:paraId="3B9186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不满意：0分</w:t>
            </w:r>
          </w:p>
        </w:tc>
        <w:tc>
          <w:tcPr>
            <w:tcW w:w="695" w:type="dxa"/>
            <w:noWrap w:val="0"/>
            <w:vAlign w:val="center"/>
          </w:tcPr>
          <w:p w14:paraId="72FEC2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kern w:val="2"/>
                <w:sz w:val="22"/>
                <w:szCs w:val="22"/>
                <w:highlight w:val="none"/>
                <w:lang w:val="en-US" w:eastAsia="zh-CN" w:bidi="ar-SA"/>
              </w:rPr>
              <w:t>8</w:t>
            </w:r>
          </w:p>
        </w:tc>
        <w:tc>
          <w:tcPr>
            <w:tcW w:w="720" w:type="dxa"/>
            <w:noWrap w:val="0"/>
            <w:vAlign w:val="center"/>
          </w:tcPr>
          <w:p w14:paraId="7D1D16D5">
            <w:pPr>
              <w:shd w:val="clear" w:color="auto" w:fill="FFFFFF"/>
              <w:snapToGrid w:val="0"/>
              <w:spacing w:line="360" w:lineRule="auto"/>
              <w:jc w:val="center"/>
              <w:rPr>
                <w:rFonts w:hint="eastAsia" w:ascii="宋体" w:hAnsi="宋体" w:eastAsia="宋体" w:cs="宋体"/>
                <w:color w:val="auto"/>
                <w:sz w:val="22"/>
                <w:szCs w:val="22"/>
                <w:highlight w:val="none"/>
                <w:lang w:val="en-US" w:eastAsia="zh-CN"/>
              </w:rPr>
            </w:pPr>
          </w:p>
        </w:tc>
      </w:tr>
      <w:tr w14:paraId="28C0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862" w:type="dxa"/>
            <w:shd w:val="clear" w:color="auto" w:fill="auto"/>
            <w:vAlign w:val="center"/>
          </w:tcPr>
          <w:p w14:paraId="7E406A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kern w:val="2"/>
                <w:sz w:val="22"/>
                <w:szCs w:val="22"/>
                <w:highlight w:val="none"/>
                <w:lang w:val="en-US" w:eastAsia="zh-CN" w:bidi="ar-SA"/>
              </w:rPr>
              <w:t>运输设备</w:t>
            </w:r>
          </w:p>
        </w:tc>
        <w:tc>
          <w:tcPr>
            <w:tcW w:w="3425" w:type="dxa"/>
            <w:shd w:val="clear" w:color="auto" w:fill="auto"/>
            <w:vAlign w:val="center"/>
          </w:tcPr>
          <w:p w14:paraId="2CEEEA6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供应商是否按照规定提供运输设备</w:t>
            </w:r>
          </w:p>
        </w:tc>
        <w:tc>
          <w:tcPr>
            <w:tcW w:w="3858" w:type="dxa"/>
            <w:shd w:val="clear" w:color="auto" w:fill="auto"/>
            <w:vAlign w:val="center"/>
          </w:tcPr>
          <w:p w14:paraId="5405FFA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未按照规定提供运输设备进行运输</w:t>
            </w:r>
            <w:r>
              <w:rPr>
                <w:rFonts w:hint="eastAsia" w:ascii="宋体" w:hAnsi="宋体" w:cs="宋体"/>
                <w:b w:val="0"/>
                <w:bCs w:val="0"/>
                <w:color w:val="auto"/>
                <w:kern w:val="2"/>
                <w:sz w:val="22"/>
                <w:szCs w:val="22"/>
                <w:highlight w:val="none"/>
                <w:lang w:val="en-US" w:eastAsia="zh-CN" w:bidi="ar-SA"/>
              </w:rPr>
              <w:t>的</w:t>
            </w:r>
            <w:r>
              <w:rPr>
                <w:rFonts w:hint="eastAsia" w:ascii="宋体" w:hAnsi="宋体" w:eastAsia="宋体" w:cs="宋体"/>
                <w:b w:val="0"/>
                <w:bCs w:val="0"/>
                <w:color w:val="auto"/>
                <w:kern w:val="2"/>
                <w:sz w:val="22"/>
                <w:szCs w:val="22"/>
                <w:highlight w:val="none"/>
                <w:lang w:val="en-US" w:eastAsia="zh-CN" w:bidi="ar-SA"/>
              </w:rPr>
              <w:t>，扣10分</w:t>
            </w:r>
          </w:p>
        </w:tc>
        <w:tc>
          <w:tcPr>
            <w:tcW w:w="695" w:type="dxa"/>
            <w:shd w:val="clear" w:color="auto" w:fill="auto"/>
            <w:vAlign w:val="center"/>
          </w:tcPr>
          <w:p w14:paraId="6F0143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kern w:val="2"/>
                <w:sz w:val="22"/>
                <w:szCs w:val="22"/>
                <w:highlight w:val="none"/>
                <w:lang w:val="en-US" w:eastAsia="zh-CN" w:bidi="ar-SA"/>
              </w:rPr>
              <w:t>10</w:t>
            </w:r>
          </w:p>
        </w:tc>
        <w:tc>
          <w:tcPr>
            <w:tcW w:w="720" w:type="dxa"/>
          </w:tcPr>
          <w:p w14:paraId="3645FFB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p>
        </w:tc>
      </w:tr>
      <w:tr w14:paraId="76E5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862" w:type="dxa"/>
            <w:vMerge w:val="restart"/>
            <w:shd w:val="clear" w:color="auto" w:fill="auto"/>
            <w:vAlign w:val="center"/>
          </w:tcPr>
          <w:p w14:paraId="44BB80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信息记录</w:t>
            </w:r>
          </w:p>
        </w:tc>
        <w:tc>
          <w:tcPr>
            <w:tcW w:w="3425" w:type="dxa"/>
            <w:shd w:val="clear" w:color="auto" w:fill="auto"/>
            <w:vAlign w:val="center"/>
          </w:tcPr>
          <w:p w14:paraId="3FFA68F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运输相关档案是否记录完整、准确</w:t>
            </w:r>
          </w:p>
        </w:tc>
        <w:tc>
          <w:tcPr>
            <w:tcW w:w="3858" w:type="dxa"/>
            <w:shd w:val="clear" w:color="auto" w:fill="auto"/>
            <w:vAlign w:val="center"/>
          </w:tcPr>
          <w:p w14:paraId="16E7DA6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满分</w:t>
            </w:r>
            <w:r>
              <w:rPr>
                <w:rFonts w:hint="eastAsia" w:ascii="宋体" w:hAnsi="宋体" w:cs="宋体"/>
                <w:b w:val="0"/>
                <w:bCs w:val="0"/>
                <w:color w:val="auto"/>
                <w:kern w:val="2"/>
                <w:sz w:val="22"/>
                <w:szCs w:val="22"/>
                <w:highlight w:val="none"/>
                <w:lang w:val="en-US" w:eastAsia="zh-CN" w:bidi="ar-SA"/>
              </w:rPr>
              <w:t>8</w:t>
            </w:r>
            <w:r>
              <w:rPr>
                <w:rFonts w:hint="eastAsia" w:ascii="宋体" w:hAnsi="宋体" w:eastAsia="宋体" w:cs="宋体"/>
                <w:b w:val="0"/>
                <w:bCs w:val="0"/>
                <w:color w:val="auto"/>
                <w:kern w:val="2"/>
                <w:sz w:val="22"/>
                <w:szCs w:val="22"/>
                <w:highlight w:val="none"/>
                <w:lang w:val="en-US" w:eastAsia="zh-CN" w:bidi="ar-SA"/>
              </w:rPr>
              <w:t>分，缺少一次记录扣</w:t>
            </w:r>
            <w:r>
              <w:rPr>
                <w:rFonts w:hint="eastAsia" w:ascii="宋体" w:hAnsi="宋体" w:cs="宋体"/>
                <w:b w:val="0"/>
                <w:bCs w:val="0"/>
                <w:color w:val="auto"/>
                <w:kern w:val="2"/>
                <w:sz w:val="22"/>
                <w:szCs w:val="22"/>
                <w:highlight w:val="none"/>
                <w:lang w:val="en-US" w:eastAsia="zh-CN" w:bidi="ar-SA"/>
              </w:rPr>
              <w:t>2</w:t>
            </w:r>
            <w:r>
              <w:rPr>
                <w:rFonts w:hint="eastAsia" w:ascii="宋体" w:hAnsi="宋体" w:eastAsia="宋体" w:cs="宋体"/>
                <w:b w:val="0"/>
                <w:bCs w:val="0"/>
                <w:color w:val="auto"/>
                <w:kern w:val="2"/>
                <w:sz w:val="22"/>
                <w:szCs w:val="22"/>
                <w:highlight w:val="none"/>
                <w:lang w:val="en-US" w:eastAsia="zh-CN" w:bidi="ar-SA"/>
              </w:rPr>
              <w:t>分</w:t>
            </w:r>
          </w:p>
        </w:tc>
        <w:tc>
          <w:tcPr>
            <w:tcW w:w="695" w:type="dxa"/>
            <w:shd w:val="clear" w:color="auto" w:fill="auto"/>
            <w:vAlign w:val="center"/>
          </w:tcPr>
          <w:p w14:paraId="31A455D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kern w:val="2"/>
                <w:sz w:val="22"/>
                <w:szCs w:val="22"/>
                <w:highlight w:val="none"/>
                <w:lang w:val="en-US" w:eastAsia="zh-CN" w:bidi="ar-SA"/>
              </w:rPr>
              <w:t>8</w:t>
            </w:r>
          </w:p>
        </w:tc>
        <w:tc>
          <w:tcPr>
            <w:tcW w:w="720" w:type="dxa"/>
          </w:tcPr>
          <w:p w14:paraId="22E8D5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p>
        </w:tc>
      </w:tr>
      <w:tr w14:paraId="0142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862" w:type="dxa"/>
            <w:vMerge w:val="continue"/>
            <w:shd w:val="clear" w:color="auto" w:fill="auto"/>
            <w:vAlign w:val="center"/>
          </w:tcPr>
          <w:p w14:paraId="629CBC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p>
        </w:tc>
        <w:tc>
          <w:tcPr>
            <w:tcW w:w="3425" w:type="dxa"/>
            <w:shd w:val="clear" w:color="auto" w:fill="auto"/>
            <w:vAlign w:val="center"/>
          </w:tcPr>
          <w:p w14:paraId="1DC9FB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客户档案、信息、服务记录等是否完善、并及时更新</w:t>
            </w:r>
          </w:p>
        </w:tc>
        <w:tc>
          <w:tcPr>
            <w:tcW w:w="3858" w:type="dxa"/>
            <w:shd w:val="clear" w:color="auto" w:fill="auto"/>
            <w:vAlign w:val="center"/>
          </w:tcPr>
          <w:p w14:paraId="1200B31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满分</w:t>
            </w:r>
            <w:r>
              <w:rPr>
                <w:rFonts w:hint="eastAsia" w:ascii="宋体" w:hAnsi="宋体" w:cs="宋体"/>
                <w:b w:val="0"/>
                <w:bCs w:val="0"/>
                <w:color w:val="auto"/>
                <w:kern w:val="2"/>
                <w:sz w:val="22"/>
                <w:szCs w:val="22"/>
                <w:highlight w:val="none"/>
                <w:lang w:val="en-US" w:eastAsia="zh-CN" w:bidi="ar-SA"/>
              </w:rPr>
              <w:t>8</w:t>
            </w:r>
            <w:r>
              <w:rPr>
                <w:rFonts w:hint="eastAsia" w:ascii="宋体" w:hAnsi="宋体" w:eastAsia="宋体" w:cs="宋体"/>
                <w:b w:val="0"/>
                <w:bCs w:val="0"/>
                <w:color w:val="auto"/>
                <w:kern w:val="2"/>
                <w:sz w:val="22"/>
                <w:szCs w:val="22"/>
                <w:highlight w:val="none"/>
                <w:lang w:val="en-US" w:eastAsia="zh-CN" w:bidi="ar-SA"/>
              </w:rPr>
              <w:t>分，缺少一次记录扣</w:t>
            </w:r>
            <w:r>
              <w:rPr>
                <w:rFonts w:hint="eastAsia" w:ascii="宋体" w:hAnsi="宋体" w:cs="宋体"/>
                <w:b w:val="0"/>
                <w:bCs w:val="0"/>
                <w:color w:val="auto"/>
                <w:kern w:val="2"/>
                <w:sz w:val="22"/>
                <w:szCs w:val="22"/>
                <w:highlight w:val="none"/>
                <w:lang w:val="en-US" w:eastAsia="zh-CN" w:bidi="ar-SA"/>
              </w:rPr>
              <w:t>2</w:t>
            </w:r>
            <w:r>
              <w:rPr>
                <w:rFonts w:hint="eastAsia" w:ascii="宋体" w:hAnsi="宋体" w:eastAsia="宋体" w:cs="宋体"/>
                <w:b w:val="0"/>
                <w:bCs w:val="0"/>
                <w:color w:val="auto"/>
                <w:kern w:val="2"/>
                <w:sz w:val="22"/>
                <w:szCs w:val="22"/>
                <w:highlight w:val="none"/>
                <w:lang w:val="en-US" w:eastAsia="zh-CN" w:bidi="ar-SA"/>
              </w:rPr>
              <w:t>分</w:t>
            </w:r>
          </w:p>
        </w:tc>
        <w:tc>
          <w:tcPr>
            <w:tcW w:w="695" w:type="dxa"/>
            <w:shd w:val="clear" w:color="auto" w:fill="auto"/>
            <w:vAlign w:val="center"/>
          </w:tcPr>
          <w:p w14:paraId="4D62EDA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cs="宋体"/>
                <w:b w:val="0"/>
                <w:bCs w:val="0"/>
                <w:color w:val="auto"/>
                <w:kern w:val="2"/>
                <w:sz w:val="22"/>
                <w:szCs w:val="22"/>
                <w:highlight w:val="none"/>
                <w:lang w:val="en-US" w:eastAsia="zh-CN" w:bidi="ar-SA"/>
              </w:rPr>
              <w:t>8</w:t>
            </w:r>
          </w:p>
        </w:tc>
        <w:tc>
          <w:tcPr>
            <w:tcW w:w="720" w:type="dxa"/>
          </w:tcPr>
          <w:p w14:paraId="6812546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kern w:val="2"/>
                <w:sz w:val="22"/>
                <w:szCs w:val="22"/>
                <w:highlight w:val="none"/>
                <w:lang w:val="en-US" w:eastAsia="zh-CN" w:bidi="ar-SA"/>
              </w:rPr>
            </w:pPr>
          </w:p>
        </w:tc>
      </w:tr>
      <w:tr w14:paraId="1CE2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145" w:type="dxa"/>
            <w:gridSpan w:val="3"/>
            <w:shd w:val="clear" w:color="auto" w:fill="auto"/>
            <w:vAlign w:val="center"/>
          </w:tcPr>
          <w:p w14:paraId="1DE78E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bidi="ar-SA"/>
              </w:rPr>
              <w:t>总分</w:t>
            </w:r>
          </w:p>
        </w:tc>
        <w:tc>
          <w:tcPr>
            <w:tcW w:w="695" w:type="dxa"/>
            <w:shd w:val="clear" w:color="auto" w:fill="auto"/>
            <w:vAlign w:val="center"/>
          </w:tcPr>
          <w:p w14:paraId="573752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100</w:t>
            </w:r>
          </w:p>
        </w:tc>
        <w:tc>
          <w:tcPr>
            <w:tcW w:w="720" w:type="dxa"/>
            <w:shd w:val="clear" w:color="auto" w:fill="auto"/>
            <w:vAlign w:val="center"/>
          </w:tcPr>
          <w:p w14:paraId="0A6BB7BB">
            <w:pPr>
              <w:shd w:val="clear" w:color="auto" w:fill="FFFFFF"/>
              <w:snapToGrid w:val="0"/>
              <w:spacing w:line="360" w:lineRule="auto"/>
              <w:ind w:firstLine="440" w:firstLineChars="200"/>
              <w:rPr>
                <w:rFonts w:hint="eastAsia" w:ascii="宋体" w:hAnsi="宋体" w:eastAsia="宋体" w:cs="宋体"/>
                <w:color w:val="auto"/>
                <w:kern w:val="2"/>
                <w:sz w:val="22"/>
                <w:szCs w:val="22"/>
                <w:highlight w:val="none"/>
                <w:lang w:val="en-US" w:eastAsia="zh-CN" w:bidi="ar-SA"/>
              </w:rPr>
            </w:pPr>
          </w:p>
        </w:tc>
      </w:tr>
    </w:tbl>
    <w:p w14:paraId="1765A4D9">
      <w:pPr>
        <w:pStyle w:val="14"/>
        <w:spacing w:line="360" w:lineRule="auto"/>
        <w:ind w:left="0" w:leftChars="0" w:firstLine="221" w:firstLineChars="100"/>
        <w:rPr>
          <w:rFonts w:hint="eastAsia" w:ascii="宋体" w:hAnsi="宋体" w:eastAsia="宋体" w:cs="宋体"/>
          <w:b/>
          <w:bCs/>
          <w:i w:val="0"/>
          <w:iCs w:val="0"/>
          <w:color w:val="000000"/>
          <w:kern w:val="0"/>
          <w:sz w:val="22"/>
          <w:szCs w:val="22"/>
          <w:highlight w:val="none"/>
          <w:u w:val="none"/>
          <w:lang w:val="en-US" w:eastAsia="zh-CN" w:bidi="ar"/>
        </w:rPr>
      </w:pPr>
    </w:p>
    <w:p w14:paraId="07147D08">
      <w:pPr>
        <w:jc w:val="center"/>
        <w:rPr>
          <w:rFonts w:hint="eastAsia" w:ascii="宋体" w:hAnsi="宋体" w:eastAsia="宋体" w:cs="宋体"/>
          <w:b/>
          <w:bCs/>
          <w:color w:val="auto"/>
          <w:sz w:val="28"/>
          <w:szCs w:val="28"/>
          <w:highlight w:val="none"/>
        </w:rPr>
      </w:pPr>
    </w:p>
    <w:p w14:paraId="67E09DE4">
      <w:pPr>
        <w:jc w:val="center"/>
        <w:rPr>
          <w:rFonts w:hint="eastAsia" w:ascii="宋体" w:hAnsi="宋体" w:eastAsia="宋体" w:cs="宋体"/>
          <w:b/>
          <w:bCs/>
          <w:color w:val="auto"/>
          <w:sz w:val="28"/>
          <w:szCs w:val="28"/>
          <w:highlight w:val="none"/>
        </w:rPr>
      </w:pPr>
    </w:p>
    <w:p w14:paraId="52F700C6">
      <w:pPr>
        <w:jc w:val="center"/>
        <w:rPr>
          <w:rFonts w:hint="eastAsia" w:ascii="宋体" w:hAnsi="宋体" w:eastAsia="宋体" w:cs="宋体"/>
          <w:b/>
          <w:bCs/>
          <w:color w:val="auto"/>
          <w:sz w:val="28"/>
          <w:szCs w:val="28"/>
          <w:highlight w:val="none"/>
        </w:rPr>
      </w:pPr>
    </w:p>
    <w:p w14:paraId="2D261834">
      <w:pPr>
        <w:pStyle w:val="2"/>
        <w:rPr>
          <w:rFonts w:hint="eastAsia" w:ascii="宋体" w:hAnsi="宋体" w:eastAsia="宋体" w:cs="宋体"/>
          <w:b/>
          <w:bCs/>
          <w:color w:val="auto"/>
          <w:sz w:val="28"/>
          <w:szCs w:val="28"/>
          <w:highlight w:val="none"/>
        </w:rPr>
      </w:pPr>
    </w:p>
    <w:p w14:paraId="2CB7822D">
      <w:pPr>
        <w:pStyle w:val="5"/>
        <w:rPr>
          <w:rFonts w:hint="eastAsia" w:ascii="宋体" w:hAnsi="宋体" w:eastAsia="宋体" w:cs="宋体"/>
          <w:b/>
          <w:bCs/>
          <w:color w:val="auto"/>
          <w:sz w:val="28"/>
          <w:szCs w:val="28"/>
          <w:highlight w:val="none"/>
        </w:rPr>
      </w:pPr>
    </w:p>
    <w:p w14:paraId="3AA0E93B">
      <w:pPr>
        <w:pStyle w:val="6"/>
        <w:rPr>
          <w:rFonts w:hint="eastAsia" w:ascii="宋体" w:hAnsi="宋体" w:eastAsia="宋体" w:cs="宋体"/>
          <w:b/>
          <w:bCs/>
          <w:color w:val="auto"/>
          <w:sz w:val="28"/>
          <w:szCs w:val="28"/>
          <w:highlight w:val="none"/>
        </w:rPr>
      </w:pPr>
    </w:p>
    <w:p w14:paraId="38E971AF">
      <w:pPr>
        <w:rPr>
          <w:rFonts w:hint="eastAsia" w:ascii="宋体" w:hAnsi="宋体" w:eastAsia="宋体" w:cs="宋体"/>
          <w:b/>
          <w:bCs/>
          <w:color w:val="auto"/>
          <w:sz w:val="28"/>
          <w:szCs w:val="28"/>
          <w:highlight w:val="none"/>
        </w:rPr>
      </w:pPr>
    </w:p>
    <w:p w14:paraId="37872153">
      <w:pPr>
        <w:pStyle w:val="2"/>
        <w:rPr>
          <w:rFonts w:hint="eastAsia" w:ascii="宋体" w:hAnsi="宋体" w:eastAsia="宋体" w:cs="宋体"/>
          <w:b/>
          <w:bCs/>
          <w:color w:val="auto"/>
          <w:sz w:val="28"/>
          <w:szCs w:val="28"/>
          <w:highlight w:val="none"/>
        </w:rPr>
      </w:pPr>
    </w:p>
    <w:p w14:paraId="3E4895D9">
      <w:pPr>
        <w:pStyle w:val="5"/>
        <w:rPr>
          <w:rFonts w:hint="eastAsia" w:ascii="宋体" w:hAnsi="宋体" w:eastAsia="宋体" w:cs="宋体"/>
          <w:b/>
          <w:bCs/>
          <w:color w:val="auto"/>
          <w:sz w:val="28"/>
          <w:szCs w:val="28"/>
          <w:highlight w:val="none"/>
        </w:rPr>
      </w:pPr>
    </w:p>
    <w:p w14:paraId="238391BB">
      <w:pPr>
        <w:pStyle w:val="6"/>
        <w:rPr>
          <w:rFonts w:hint="eastAsia"/>
        </w:rPr>
      </w:pPr>
    </w:p>
    <w:p w14:paraId="6C9FC1BB">
      <w:pPr>
        <w:jc w:val="center"/>
        <w:rPr>
          <w:rFonts w:hint="eastAsia" w:ascii="宋体" w:hAnsi="宋体" w:eastAsia="宋体" w:cs="宋体"/>
          <w:b/>
          <w:bCs/>
          <w:color w:val="auto"/>
          <w:sz w:val="28"/>
          <w:szCs w:val="28"/>
          <w:highlight w:val="none"/>
        </w:rPr>
      </w:pPr>
    </w:p>
    <w:p w14:paraId="69E8E2F3">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第四部分  合同主要条款</w:t>
      </w:r>
      <w:bookmarkEnd w:id="89"/>
    </w:p>
    <w:p w14:paraId="32477AE2">
      <w:pPr>
        <w:snapToGrid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（以最终合同为准）</w:t>
      </w:r>
    </w:p>
    <w:p w14:paraId="49F2C94E">
      <w:pPr>
        <w:pStyle w:val="7"/>
        <w:overflowPunct w:val="0"/>
        <w:spacing w:line="460" w:lineRule="exact"/>
        <w:jc w:val="center"/>
        <w:rPr>
          <w:rFonts w:hint="eastAsia" w:ascii="宋体" w:hAnsi="宋体" w:cs="宋体"/>
          <w:color w:val="auto"/>
          <w:sz w:val="36"/>
          <w:highlight w:val="none"/>
        </w:rPr>
      </w:pPr>
      <w:bookmarkStart w:id="90" w:name="_Toc354996706"/>
      <w:bookmarkStart w:id="91" w:name="_Toc86217003"/>
      <w:bookmarkStart w:id="92" w:name="_Toc233618986"/>
      <w:r>
        <w:rPr>
          <w:rFonts w:hint="eastAsia" w:ascii="宋体" w:hAnsi="宋体" w:cs="宋体"/>
          <w:color w:val="auto"/>
          <w:sz w:val="36"/>
          <w:highlight w:val="none"/>
        </w:rPr>
        <w:t>协议主要条款</w:t>
      </w:r>
    </w:p>
    <w:p w14:paraId="5E952BE9">
      <w:pPr>
        <w:snapToGrid w:val="0"/>
        <w:spacing w:line="400" w:lineRule="exact"/>
        <w:ind w:left="660" w:hanging="660" w:hangingChars="300"/>
        <w:rPr>
          <w:rFonts w:hint="eastAsia" w:ascii="宋体" w:hAnsi="宋体"/>
          <w:bCs/>
          <w:color w:val="auto"/>
          <w:sz w:val="22"/>
          <w:szCs w:val="22"/>
          <w:highlight w:val="none"/>
        </w:rPr>
      </w:pPr>
      <w:bookmarkStart w:id="93" w:name="_Toc346043709"/>
      <w:r>
        <w:rPr>
          <w:rFonts w:hint="eastAsia" w:ascii="宋体" w:hAnsi="宋体"/>
          <w:bCs/>
          <w:color w:val="auto"/>
          <w:sz w:val="22"/>
          <w:szCs w:val="22"/>
          <w:highlight w:val="none"/>
        </w:rPr>
        <w:t>1.   综合说明</w:t>
      </w:r>
    </w:p>
    <w:p w14:paraId="6FEBC6FA">
      <w:pPr>
        <w:snapToGrid w:val="0"/>
        <w:spacing w:line="400" w:lineRule="exact"/>
        <w:ind w:left="660" w:hanging="660" w:hangingChars="300"/>
        <w:rPr>
          <w:rFonts w:hint="eastAsia" w:ascii="宋体" w:hAnsi="宋体"/>
          <w:color w:val="auto"/>
          <w:sz w:val="22"/>
          <w:szCs w:val="22"/>
          <w:highlight w:val="none"/>
          <w:u w:val="single"/>
        </w:rPr>
      </w:pPr>
      <w:r>
        <w:rPr>
          <w:rFonts w:hint="eastAsia" w:ascii="宋体" w:hAnsi="宋体"/>
          <w:bCs/>
          <w:color w:val="auto"/>
          <w:sz w:val="22"/>
          <w:szCs w:val="22"/>
          <w:highlight w:val="none"/>
        </w:rPr>
        <w:t xml:space="preserve">1.1    </w:t>
      </w:r>
      <w:r>
        <w:rPr>
          <w:rFonts w:hint="eastAsia" w:ascii="宋体" w:hAnsi="宋体"/>
          <w:bCs/>
          <w:color w:val="auto"/>
          <w:sz w:val="22"/>
          <w:szCs w:val="22"/>
          <w:highlight w:val="none"/>
          <w:u w:val="single"/>
        </w:rPr>
        <w:t>买方（</w:t>
      </w:r>
      <w:r>
        <w:rPr>
          <w:rFonts w:hint="eastAsia" w:ascii="宋体" w:hAnsi="宋体"/>
          <w:color w:val="auto"/>
          <w:sz w:val="22"/>
          <w:szCs w:val="22"/>
          <w:highlight w:val="none"/>
          <w:u w:val="single"/>
        </w:rPr>
        <w:t>甲方）：</w:t>
      </w:r>
      <w:r>
        <w:rPr>
          <w:rFonts w:hint="eastAsia" w:ascii="宋体" w:hAnsi="宋体"/>
          <w:color w:val="auto"/>
          <w:spacing w:val="6"/>
          <w:sz w:val="22"/>
          <w:szCs w:val="22"/>
          <w:highlight w:val="none"/>
          <w:u w:val="single"/>
          <w:lang w:val="en-US" w:eastAsia="zh-CN"/>
        </w:rPr>
        <w:t xml:space="preserve">                                  </w:t>
      </w:r>
      <w:r>
        <w:rPr>
          <w:rFonts w:hint="eastAsia" w:ascii="宋体" w:hAnsi="宋体"/>
          <w:color w:val="auto"/>
          <w:spacing w:val="6"/>
          <w:sz w:val="22"/>
          <w:szCs w:val="22"/>
          <w:highlight w:val="none"/>
          <w:u w:val="single"/>
        </w:rPr>
        <w:t xml:space="preserve">           </w:t>
      </w:r>
    </w:p>
    <w:p w14:paraId="01C9FB7F">
      <w:pPr>
        <w:snapToGrid w:val="0"/>
        <w:spacing w:line="400" w:lineRule="exact"/>
        <w:ind w:left="657" w:leftChars="313" w:firstLine="110" w:firstLineChars="50"/>
        <w:rPr>
          <w:rFonts w:hint="eastAsia" w:ascii="宋体" w:hAnsi="宋体"/>
          <w:bCs/>
          <w:color w:val="auto"/>
          <w:sz w:val="22"/>
          <w:szCs w:val="22"/>
          <w:highlight w:val="none"/>
          <w:u w:val="single"/>
        </w:rPr>
      </w:pPr>
      <w:r>
        <w:rPr>
          <w:rFonts w:hint="eastAsia" w:ascii="宋体" w:hAnsi="宋体"/>
          <w:color w:val="auto"/>
          <w:sz w:val="22"/>
          <w:szCs w:val="22"/>
          <w:highlight w:val="none"/>
          <w:u w:val="single"/>
        </w:rPr>
        <w:t xml:space="preserve">卖方（乙方）：                                                  </w:t>
      </w:r>
    </w:p>
    <w:p w14:paraId="45005725">
      <w:pPr>
        <w:snapToGrid w:val="0"/>
        <w:spacing w:line="400" w:lineRule="exact"/>
        <w:ind w:left="660" w:hanging="660" w:hangingChars="300"/>
        <w:rPr>
          <w:rFonts w:hint="eastAsia" w:ascii="宋体" w:hAnsi="宋体" w:eastAsia="宋体"/>
          <w:bCs/>
          <w:color w:val="auto"/>
          <w:sz w:val="22"/>
          <w:szCs w:val="22"/>
          <w:highlight w:val="none"/>
          <w:lang w:eastAsia="zh-CN"/>
        </w:rPr>
      </w:pPr>
      <w:r>
        <w:rPr>
          <w:rFonts w:hint="eastAsia" w:ascii="宋体" w:hAnsi="宋体"/>
          <w:bCs/>
          <w:color w:val="auto"/>
          <w:sz w:val="22"/>
          <w:szCs w:val="22"/>
          <w:highlight w:val="none"/>
        </w:rPr>
        <w:t>1.2   双方约定卖方向买方供应符合要求</w:t>
      </w:r>
      <w:r>
        <w:rPr>
          <w:rFonts w:hint="eastAsia" w:ascii="宋体" w:hAnsi="宋体" w:eastAsia="宋体" w:cs="Times New Roman"/>
          <w:bCs/>
          <w:color w:val="auto"/>
          <w:sz w:val="22"/>
          <w:szCs w:val="22"/>
          <w:highlight w:val="none"/>
        </w:rPr>
        <w:t>的</w:t>
      </w:r>
      <w:r>
        <w:rPr>
          <w:rFonts w:hint="eastAsia" w:ascii="宋体" w:hAnsi="宋体" w:cs="Times New Roman"/>
          <w:bCs/>
          <w:color w:val="auto"/>
          <w:sz w:val="22"/>
          <w:szCs w:val="22"/>
          <w:highlight w:val="none"/>
          <w:lang w:val="en-US" w:eastAsia="zh-CN"/>
        </w:rPr>
        <w:t>热喷燃烧油</w:t>
      </w:r>
      <w:r>
        <w:rPr>
          <w:rFonts w:hint="eastAsia" w:ascii="宋体" w:hAnsi="宋体" w:eastAsia="宋体" w:cs="Times New Roman"/>
          <w:bCs/>
          <w:color w:val="auto"/>
          <w:sz w:val="22"/>
          <w:szCs w:val="22"/>
          <w:highlight w:val="none"/>
        </w:rPr>
        <w:t>，</w:t>
      </w:r>
      <w:r>
        <w:rPr>
          <w:rFonts w:hint="eastAsia" w:ascii="宋体" w:hAnsi="宋体"/>
          <w:bCs/>
          <w:color w:val="auto"/>
          <w:sz w:val="22"/>
          <w:szCs w:val="22"/>
          <w:highlight w:val="none"/>
        </w:rPr>
        <w:t>并按买方要求的批次分批运抵买方指定的地点</w:t>
      </w:r>
      <w:r>
        <w:rPr>
          <w:rFonts w:hint="eastAsia" w:ascii="宋体" w:hAnsi="宋体"/>
          <w:bCs/>
          <w:color w:val="auto"/>
          <w:sz w:val="22"/>
          <w:szCs w:val="22"/>
          <w:highlight w:val="none"/>
          <w:lang w:eastAsia="zh-CN"/>
        </w:rPr>
        <w:t>。</w:t>
      </w:r>
    </w:p>
    <w:p w14:paraId="620415CF">
      <w:pPr>
        <w:snapToGrid w:val="0"/>
        <w:spacing w:line="400" w:lineRule="exact"/>
        <w:ind w:left="655" w:leftChars="312" w:firstLine="0" w:firstLineChars="0"/>
        <w:rPr>
          <w:rFonts w:hint="eastAsia" w:hAnsi="宋体"/>
          <w:b w:val="0"/>
          <w:bCs w:val="0"/>
          <w:color w:val="auto"/>
          <w:sz w:val="22"/>
          <w:szCs w:val="22"/>
          <w:highlight w:val="none"/>
          <w:u w:val="none"/>
          <w:lang w:eastAsia="zh-CN"/>
        </w:rPr>
      </w:pPr>
      <w:r>
        <w:rPr>
          <w:rFonts w:hint="eastAsia" w:hAnsi="宋体"/>
          <w:b w:val="0"/>
          <w:bCs w:val="0"/>
          <w:color w:val="auto"/>
          <w:sz w:val="22"/>
          <w:szCs w:val="22"/>
          <w:highlight w:val="none"/>
          <w:u w:val="none"/>
          <w:lang w:eastAsia="zh-CN"/>
        </w:rPr>
        <w:t>实际结算价格单价：</w:t>
      </w:r>
    </w:p>
    <w:p w14:paraId="57CA2C59">
      <w:pPr>
        <w:snapToGrid w:val="0"/>
        <w:spacing w:line="400" w:lineRule="exact"/>
        <w:ind w:left="655" w:leftChars="312" w:firstLine="0" w:firstLineChars="0"/>
        <w:rPr>
          <w:rFonts w:hint="eastAsia"/>
          <w:lang w:val="en-US" w:eastAsia="zh-CN"/>
        </w:rPr>
      </w:pPr>
      <w:r>
        <w:rPr>
          <w:rFonts w:hint="eastAsia" w:ascii="宋体" w:hAnsi="宋体" w:cs="Times New Roman"/>
          <w:bCs/>
          <w:color w:val="auto"/>
          <w:sz w:val="22"/>
          <w:szCs w:val="22"/>
          <w:highlight w:val="none"/>
          <w:lang w:val="en-US" w:eastAsia="zh-CN"/>
        </w:rPr>
        <w:t>热喷燃烧油</w:t>
      </w:r>
      <w:r>
        <w:rPr>
          <w:rFonts w:hint="eastAsia" w:ascii="宋体" w:hAnsi="宋体" w:eastAsia="宋体" w:cs="Times New Roman"/>
          <w:bCs/>
          <w:color w:val="auto"/>
          <w:sz w:val="22"/>
          <w:szCs w:val="22"/>
          <w:highlight w:val="none"/>
          <w:lang w:eastAsia="zh-CN"/>
        </w:rPr>
        <w:t>：</w:t>
      </w:r>
      <w:r>
        <w:rPr>
          <w:rFonts w:hint="eastAsia" w:ascii="宋体" w:hAnsi="宋体" w:cs="宋体"/>
          <w:i w:val="0"/>
          <w:iCs w:val="0"/>
          <w:color w:val="000000"/>
          <w:kern w:val="0"/>
          <w:sz w:val="22"/>
          <w:szCs w:val="22"/>
          <w:highlight w:val="none"/>
          <w:u w:val="none"/>
          <w:lang w:val="en-US" w:eastAsia="zh-CN" w:bidi="ar"/>
        </w:rPr>
        <w:t>以</w:t>
      </w:r>
      <w:r>
        <w:rPr>
          <w:rFonts w:hint="eastAsia" w:ascii="宋体" w:hAnsi="宋体"/>
          <w:bCs/>
          <w:color w:val="auto"/>
          <w:sz w:val="22"/>
          <w:szCs w:val="22"/>
          <w:highlight w:val="none"/>
        </w:rPr>
        <w:t>“生意社”网站（</w:t>
      </w:r>
      <w:r>
        <w:rPr>
          <w:rFonts w:hint="eastAsia" w:ascii="宋体" w:hAnsi="宋体"/>
          <w:bCs/>
          <w:color w:val="auto"/>
          <w:sz w:val="22"/>
          <w:szCs w:val="22"/>
          <w:highlight w:val="none"/>
        </w:rPr>
        <w:fldChar w:fldCharType="begin"/>
      </w:r>
      <w:r>
        <w:rPr>
          <w:rFonts w:hint="eastAsia" w:ascii="宋体" w:hAnsi="宋体"/>
          <w:bCs/>
          <w:color w:val="auto"/>
          <w:sz w:val="22"/>
          <w:szCs w:val="22"/>
          <w:highlight w:val="none"/>
        </w:rPr>
        <w:instrText xml:space="preserve"> HYPERLINK "http://www.100ppi.com/" </w:instrText>
      </w:r>
      <w:r>
        <w:rPr>
          <w:rFonts w:hint="eastAsia" w:ascii="宋体" w:hAnsi="宋体"/>
          <w:bCs/>
          <w:color w:val="auto"/>
          <w:sz w:val="22"/>
          <w:szCs w:val="22"/>
          <w:highlight w:val="none"/>
        </w:rPr>
        <w:fldChar w:fldCharType="separate"/>
      </w:r>
      <w:r>
        <w:rPr>
          <w:rFonts w:hint="eastAsia" w:ascii="宋体" w:hAnsi="宋体"/>
          <w:bCs/>
          <w:color w:val="auto"/>
          <w:sz w:val="22"/>
          <w:szCs w:val="22"/>
          <w:highlight w:val="none"/>
        </w:rPr>
        <w:t>http://www.100ppi.com/</w:t>
      </w:r>
      <w:r>
        <w:rPr>
          <w:rFonts w:hint="eastAsia" w:ascii="宋体" w:hAnsi="宋体"/>
          <w:bCs/>
          <w:color w:val="auto"/>
          <w:sz w:val="22"/>
          <w:szCs w:val="22"/>
          <w:highlight w:val="none"/>
        </w:rPr>
        <w:fldChar w:fldCharType="end"/>
      </w:r>
      <w:r>
        <w:rPr>
          <w:rFonts w:hint="eastAsia" w:ascii="宋体" w:hAnsi="宋体"/>
          <w:bCs/>
          <w:color w:val="auto"/>
          <w:sz w:val="22"/>
          <w:szCs w:val="22"/>
          <w:highlight w:val="none"/>
        </w:rPr>
        <w:t>）</w:t>
      </w:r>
      <w:r>
        <w:rPr>
          <w:rFonts w:hint="eastAsia" w:ascii="宋体" w:hAnsi="宋体"/>
          <w:bCs/>
          <w:color w:val="auto"/>
          <w:sz w:val="22"/>
          <w:szCs w:val="22"/>
          <w:highlight w:val="none"/>
          <w:lang w:val="en-US" w:eastAsia="zh-CN"/>
        </w:rPr>
        <w:t>最新</w:t>
      </w:r>
      <w:r>
        <w:rPr>
          <w:rFonts w:hint="eastAsia" w:ascii="宋体" w:hAnsi="宋体"/>
          <w:bCs/>
          <w:color w:val="auto"/>
          <w:sz w:val="22"/>
          <w:szCs w:val="22"/>
          <w:highlight w:val="none"/>
        </w:rPr>
        <w:t>发布的中燃（型号：180CST）宁波地区市场价</w:t>
      </w:r>
      <w:r>
        <w:rPr>
          <w:rFonts w:hint="eastAsia" w:ascii="宋体" w:hAnsi="宋体"/>
          <w:bCs/>
          <w:color w:val="auto"/>
          <w:sz w:val="22"/>
          <w:szCs w:val="22"/>
          <w:highlight w:val="none"/>
          <w:lang w:eastAsia="zh-CN"/>
        </w:rPr>
        <w:t>的</w:t>
      </w:r>
      <w:r>
        <w:rPr>
          <w:rFonts w:hint="eastAsia" w:ascii="宋体" w:hAnsi="宋体"/>
          <w:bCs/>
          <w:color w:val="auto"/>
          <w:sz w:val="22"/>
          <w:szCs w:val="22"/>
          <w:highlight w:val="none"/>
          <w:lang w:val="en-US" w:eastAsia="zh-CN"/>
        </w:rPr>
        <w:t>100%</w:t>
      </w:r>
      <w:r>
        <w:rPr>
          <w:rFonts w:hint="eastAsia" w:ascii="宋体" w:hAnsi="宋体" w:eastAsia="宋体" w:cs="Arial"/>
          <w:b/>
          <w:bCs/>
          <w:color w:val="auto"/>
          <w:sz w:val="22"/>
          <w:szCs w:val="22"/>
          <w:highlight w:val="none"/>
          <w:lang w:val="en-US" w:eastAsia="zh-CN"/>
        </w:rPr>
        <w:t>*中标折扣率；</w:t>
      </w:r>
    </w:p>
    <w:p w14:paraId="4F4BF8C7">
      <w:pPr>
        <w:snapToGrid w:val="0"/>
        <w:spacing w:line="400" w:lineRule="exact"/>
        <w:ind w:left="657" w:leftChars="313"/>
        <w:rPr>
          <w:rFonts w:hint="eastAsia" w:ascii="宋体" w:hAnsi="宋体"/>
          <w:bCs/>
          <w:color w:val="auto"/>
          <w:sz w:val="22"/>
          <w:szCs w:val="22"/>
          <w:highlight w:val="none"/>
        </w:rPr>
      </w:pPr>
      <w:r>
        <w:rPr>
          <w:rFonts w:hint="eastAsia" w:ascii="宋体" w:hAnsi="宋体"/>
          <w:bCs/>
          <w:color w:val="auto"/>
          <w:sz w:val="22"/>
          <w:szCs w:val="22"/>
          <w:highlight w:val="none"/>
          <w:lang w:val="en-US" w:eastAsia="zh-CN"/>
        </w:rPr>
        <w:t>费用包括</w:t>
      </w:r>
      <w:r>
        <w:rPr>
          <w:rFonts w:hint="eastAsia" w:ascii="宋体" w:hAnsi="宋体"/>
          <w:bCs/>
          <w:color w:val="auto"/>
          <w:sz w:val="22"/>
          <w:szCs w:val="22"/>
          <w:highlight w:val="none"/>
        </w:rPr>
        <w:t>出厂价的优惠、所有税费（包括产品商检等）、损耗、国内运杂费（包括产品到最终用户的装货、卸车、就位费等）、国内运输保险费（是否保险由供应商负责）、检验及验收费（包括检验人员的食宿、交通等）、其他保险费</w:t>
      </w:r>
      <w:r>
        <w:rPr>
          <w:rFonts w:hint="eastAsia" w:ascii="宋体" w:hAnsi="宋体"/>
          <w:bCs/>
          <w:color w:val="auto"/>
          <w:sz w:val="22"/>
          <w:szCs w:val="22"/>
          <w:highlight w:val="none"/>
          <w:lang w:eastAsia="zh-CN"/>
        </w:rPr>
        <w:t>及</w:t>
      </w:r>
      <w:r>
        <w:rPr>
          <w:rFonts w:hint="eastAsia" w:ascii="宋体" w:hAnsi="宋体"/>
          <w:bCs/>
          <w:color w:val="auto"/>
          <w:sz w:val="22"/>
          <w:szCs w:val="22"/>
          <w:highlight w:val="none"/>
        </w:rPr>
        <w:t>完成合同所需的一切本身和不可或缺的所有工作开支、政策性文件规定及合同包含的所有风险、责任等各项全部费用</w:t>
      </w:r>
      <w:r>
        <w:rPr>
          <w:rFonts w:hint="eastAsia" w:ascii="宋体" w:hAnsi="宋体"/>
          <w:bCs/>
          <w:color w:val="auto"/>
          <w:sz w:val="22"/>
          <w:szCs w:val="22"/>
          <w:highlight w:val="none"/>
          <w:lang w:eastAsia="zh-CN"/>
        </w:rPr>
        <w:t>，</w:t>
      </w:r>
      <w:r>
        <w:rPr>
          <w:rFonts w:hint="eastAsia" w:ascii="宋体" w:hAnsi="宋体"/>
          <w:bCs/>
          <w:color w:val="auto"/>
          <w:sz w:val="22"/>
          <w:szCs w:val="22"/>
          <w:highlight w:val="none"/>
          <w:lang w:val="en-US" w:eastAsia="zh-CN"/>
        </w:rPr>
        <w:t>合同期内中标折扣率不作调整</w:t>
      </w:r>
      <w:r>
        <w:rPr>
          <w:rFonts w:hint="eastAsia" w:ascii="宋体" w:hAnsi="宋体"/>
          <w:bCs/>
          <w:color w:val="auto"/>
          <w:sz w:val="22"/>
          <w:szCs w:val="22"/>
          <w:highlight w:val="none"/>
        </w:rPr>
        <w:t>。</w:t>
      </w:r>
    </w:p>
    <w:p w14:paraId="2211A421">
      <w:pPr>
        <w:snapToGrid w:val="0"/>
        <w:spacing w:line="400" w:lineRule="exact"/>
        <w:rPr>
          <w:rFonts w:hint="eastAsia" w:ascii="宋体" w:hAnsi="宋体"/>
          <w:bCs/>
          <w:color w:val="auto"/>
          <w:sz w:val="22"/>
          <w:szCs w:val="22"/>
          <w:highlight w:val="none"/>
        </w:rPr>
      </w:pPr>
      <w:r>
        <w:rPr>
          <w:rFonts w:hint="eastAsia" w:ascii="宋体" w:hAnsi="宋体"/>
          <w:bCs/>
          <w:color w:val="auto"/>
          <w:sz w:val="22"/>
          <w:szCs w:val="22"/>
          <w:highlight w:val="none"/>
        </w:rPr>
        <w:t>2.    标准</w:t>
      </w:r>
    </w:p>
    <w:p w14:paraId="407BF857">
      <w:pPr>
        <w:snapToGrid w:val="0"/>
        <w:spacing w:line="400" w:lineRule="exact"/>
        <w:ind w:left="719" w:hanging="719" w:hangingChars="327"/>
        <w:rPr>
          <w:rFonts w:hint="eastAsia" w:ascii="宋体" w:hAnsi="宋体"/>
          <w:color w:val="auto"/>
          <w:sz w:val="22"/>
          <w:szCs w:val="22"/>
          <w:highlight w:val="none"/>
        </w:rPr>
      </w:pPr>
      <w:r>
        <w:rPr>
          <w:rFonts w:hint="eastAsia" w:ascii="宋体" w:hAnsi="宋体"/>
          <w:color w:val="auto"/>
          <w:sz w:val="22"/>
          <w:szCs w:val="22"/>
          <w:highlight w:val="none"/>
        </w:rPr>
        <w:t>2.1   本合同项下交付的货物应符合技术规格所述的标准。如在采购文件中无相应说明，则以国家颁布的最新版本标准或行业（部）标准或相应的国际标准执行，没有国家或行业（部）标准的则按企业标准执行。</w:t>
      </w:r>
    </w:p>
    <w:p w14:paraId="00941146">
      <w:pPr>
        <w:snapToGrid w:val="0"/>
        <w:spacing w:line="400" w:lineRule="exact"/>
        <w:ind w:left="660" w:hanging="660" w:hangingChars="300"/>
        <w:rPr>
          <w:rFonts w:hint="eastAsia" w:ascii="宋体" w:hAnsi="宋体"/>
          <w:color w:val="auto"/>
          <w:sz w:val="22"/>
          <w:szCs w:val="22"/>
          <w:highlight w:val="none"/>
        </w:rPr>
      </w:pPr>
      <w:r>
        <w:rPr>
          <w:rFonts w:hint="eastAsia" w:ascii="宋体" w:hAnsi="宋体"/>
          <w:color w:val="auto"/>
          <w:sz w:val="22"/>
          <w:szCs w:val="22"/>
          <w:highlight w:val="none"/>
        </w:rPr>
        <w:t>2.2   除非技术规格中另有规定，计量单位均采用中华人民共和国法定计量单位。</w:t>
      </w:r>
    </w:p>
    <w:p w14:paraId="4FCA38D0">
      <w:pPr>
        <w:snapToGrid w:val="0"/>
        <w:spacing w:line="400" w:lineRule="exact"/>
        <w:rPr>
          <w:rFonts w:hint="eastAsia" w:ascii="宋体" w:hAnsi="宋体"/>
          <w:bCs/>
          <w:color w:val="auto"/>
          <w:sz w:val="22"/>
          <w:szCs w:val="22"/>
          <w:highlight w:val="none"/>
        </w:rPr>
      </w:pPr>
      <w:r>
        <w:rPr>
          <w:rFonts w:hint="eastAsia" w:ascii="宋体" w:hAnsi="宋体"/>
          <w:bCs/>
          <w:color w:val="auto"/>
          <w:sz w:val="22"/>
          <w:szCs w:val="22"/>
          <w:highlight w:val="none"/>
        </w:rPr>
        <w:t>3.    交货方式：</w:t>
      </w:r>
    </w:p>
    <w:p w14:paraId="5D064D42">
      <w:pPr>
        <w:snapToGrid w:val="0"/>
        <w:spacing w:line="400" w:lineRule="exact"/>
        <w:ind w:left="623" w:hanging="622" w:hangingChars="283"/>
        <w:rPr>
          <w:rFonts w:hint="eastAsia" w:ascii="宋体" w:hAnsi="宋体"/>
          <w:color w:val="auto"/>
          <w:sz w:val="22"/>
          <w:szCs w:val="22"/>
          <w:highlight w:val="none"/>
        </w:rPr>
      </w:pPr>
      <w:r>
        <w:rPr>
          <w:rFonts w:hint="eastAsia" w:ascii="宋体" w:hAnsi="宋体"/>
          <w:color w:val="auto"/>
          <w:sz w:val="22"/>
          <w:szCs w:val="22"/>
          <w:highlight w:val="none"/>
        </w:rPr>
        <w:t>3.1   现场交货：卖方负责办理运输和保险，将货物运抵买方指定的现场并落地就位。有关运输和保险的一切费用由卖方承担。</w:t>
      </w:r>
    </w:p>
    <w:p w14:paraId="6A4E0E7D">
      <w:pPr>
        <w:snapToGrid w:val="0"/>
        <w:spacing w:line="400" w:lineRule="exact"/>
        <w:ind w:left="623" w:hanging="622" w:hangingChars="283"/>
        <w:rPr>
          <w:rFonts w:hint="eastAsia" w:ascii="宋体" w:hAnsi="宋体"/>
          <w:color w:val="auto"/>
          <w:sz w:val="22"/>
          <w:szCs w:val="22"/>
          <w:highlight w:val="none"/>
        </w:rPr>
      </w:pPr>
      <w:r>
        <w:rPr>
          <w:rFonts w:hint="eastAsia" w:ascii="宋体" w:hAnsi="宋体"/>
          <w:color w:val="auto"/>
          <w:sz w:val="22"/>
          <w:szCs w:val="22"/>
          <w:highlight w:val="none"/>
        </w:rPr>
        <w:t>3.2   在现场交货条件下，卖方在货物发运前2天，将要发运货物的名称、规格、数量、重量和货物的卸车，贮存的特殊要求以及运输工具名称以及启运日期，以传真形式通知买方。</w:t>
      </w:r>
    </w:p>
    <w:p w14:paraId="013BAD86">
      <w:pPr>
        <w:snapToGrid w:val="0"/>
        <w:spacing w:line="400" w:lineRule="exact"/>
        <w:ind w:left="660" w:hanging="660" w:hangingChars="300"/>
        <w:rPr>
          <w:rFonts w:hint="eastAsia" w:ascii="宋体" w:hAnsi="宋体"/>
          <w:color w:val="auto"/>
          <w:sz w:val="22"/>
          <w:szCs w:val="22"/>
          <w:highlight w:val="none"/>
        </w:rPr>
      </w:pPr>
      <w:r>
        <w:rPr>
          <w:rFonts w:hint="eastAsia" w:ascii="宋体" w:hAnsi="宋体"/>
          <w:color w:val="auto"/>
          <w:sz w:val="22"/>
          <w:szCs w:val="22"/>
          <w:highlight w:val="none"/>
        </w:rPr>
        <w:t>3.3   如因卖方延误将上述内容用传真形式通知买方，由此引起的一切损失应由卖方承担。</w:t>
      </w:r>
    </w:p>
    <w:p w14:paraId="351EA7B3">
      <w:pPr>
        <w:snapToGrid w:val="0"/>
        <w:spacing w:line="400" w:lineRule="exact"/>
        <w:ind w:left="660" w:hanging="660" w:hangingChars="300"/>
        <w:rPr>
          <w:rFonts w:hint="eastAsia" w:ascii="宋体" w:hAnsi="宋体"/>
          <w:color w:val="auto"/>
          <w:sz w:val="22"/>
          <w:szCs w:val="22"/>
          <w:highlight w:val="none"/>
        </w:rPr>
      </w:pPr>
      <w:r>
        <w:rPr>
          <w:rFonts w:hint="eastAsia" w:ascii="宋体" w:hAnsi="宋体"/>
          <w:color w:val="auto"/>
          <w:sz w:val="22"/>
          <w:szCs w:val="22"/>
          <w:highlight w:val="none"/>
        </w:rPr>
        <w:t>3.4   交货时卖方提供产品的质保书及合格证相关资料给买方。</w:t>
      </w:r>
    </w:p>
    <w:p w14:paraId="137DF8B5">
      <w:pPr>
        <w:pStyle w:val="5"/>
        <w:adjustRightInd w:val="0"/>
        <w:snapToGrid w:val="0"/>
        <w:spacing w:after="0" w:line="400" w:lineRule="exact"/>
        <w:rPr>
          <w:rFonts w:hint="eastAsia" w:ascii="宋体" w:hAnsi="宋体"/>
          <w:bCs/>
          <w:color w:val="auto"/>
          <w:sz w:val="22"/>
          <w:szCs w:val="22"/>
          <w:highlight w:val="none"/>
          <w:lang w:val="en-US" w:eastAsia="zh-CN"/>
        </w:rPr>
      </w:pPr>
      <w:r>
        <w:rPr>
          <w:rFonts w:hint="eastAsia" w:ascii="宋体" w:hAnsi="宋体"/>
          <w:bCs/>
          <w:color w:val="auto"/>
          <w:sz w:val="22"/>
          <w:szCs w:val="22"/>
          <w:highlight w:val="none"/>
        </w:rPr>
        <w:t>4.    付款方式</w:t>
      </w:r>
      <w:r>
        <w:rPr>
          <w:rFonts w:hint="eastAsia" w:ascii="宋体" w:hAnsi="宋体"/>
          <w:bCs/>
          <w:color w:val="auto"/>
          <w:sz w:val="22"/>
          <w:szCs w:val="22"/>
          <w:highlight w:val="none"/>
          <w:lang w:val="en-US" w:eastAsia="zh-CN"/>
        </w:rPr>
        <w:t>及周期</w:t>
      </w:r>
    </w:p>
    <w:p w14:paraId="3014814C">
      <w:pPr>
        <w:pStyle w:val="5"/>
        <w:adjustRightInd w:val="0"/>
        <w:snapToGrid w:val="0"/>
        <w:spacing w:after="0" w:line="400" w:lineRule="exact"/>
        <w:ind w:firstLine="660" w:firstLineChars="3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1、不支付预付款；</w:t>
      </w:r>
      <w:r>
        <w:rPr>
          <w:rFonts w:hint="eastAsia" w:ascii="宋体" w:hAnsi="宋体" w:eastAsia="宋体" w:cs="宋体"/>
          <w:i w:val="0"/>
          <w:iCs w:val="0"/>
          <w:color w:val="000000"/>
          <w:kern w:val="0"/>
          <w:sz w:val="22"/>
          <w:szCs w:val="22"/>
          <w:highlight w:val="none"/>
          <w:u w:val="none"/>
          <w:lang w:val="en-US" w:eastAsia="zh-CN" w:bidi="ar"/>
        </w:rPr>
        <w:t>分批支付，甲方根据实际需求确定每批次的燃烧油供货量，货送到经验收合格</w:t>
      </w:r>
      <w:r>
        <w:rPr>
          <w:rFonts w:hint="eastAsia" w:ascii="宋体" w:hAnsi="宋体" w:cs="宋体"/>
          <w:i w:val="0"/>
          <w:iCs w:val="0"/>
          <w:color w:val="000000"/>
          <w:kern w:val="0"/>
          <w:sz w:val="22"/>
          <w:szCs w:val="22"/>
          <w:highlight w:val="none"/>
          <w:u w:val="none"/>
          <w:lang w:val="en-US" w:eastAsia="zh-CN" w:bidi="ar"/>
        </w:rPr>
        <w:t>并开具专用发票</w:t>
      </w:r>
      <w:r>
        <w:rPr>
          <w:rFonts w:hint="eastAsia" w:ascii="宋体" w:hAnsi="宋体" w:eastAsia="宋体" w:cs="宋体"/>
          <w:i w:val="0"/>
          <w:iCs w:val="0"/>
          <w:color w:val="000000"/>
          <w:kern w:val="0"/>
          <w:sz w:val="22"/>
          <w:szCs w:val="22"/>
          <w:highlight w:val="none"/>
          <w:u w:val="none"/>
          <w:lang w:val="en-US" w:eastAsia="zh-CN" w:bidi="ar"/>
        </w:rPr>
        <w:t>后7个工作日内付清该批次货款。</w:t>
      </w:r>
      <w:r>
        <w:rPr>
          <w:rFonts w:hint="eastAsia" w:ascii="宋体" w:hAnsi="宋体" w:eastAsia="宋体" w:cs="宋体"/>
          <w:bCs/>
          <w:color w:val="auto"/>
          <w:sz w:val="22"/>
          <w:szCs w:val="22"/>
          <w:highlight w:val="none"/>
          <w:lang w:val="en-US" w:eastAsia="zh-CN"/>
        </w:rPr>
        <w:t>每次付款前中标单位需提供正式发票，因乙方不能及时提供发票导致甲方未能按约付款的，由乙方自行承担相应责任。</w:t>
      </w:r>
      <w:r>
        <w:rPr>
          <w:rFonts w:hint="default" w:ascii="Times New Roman" w:hAnsi="Times New Roman" w:eastAsia="宋体" w:cs="Times New Roman"/>
          <w:color w:val="auto"/>
          <w:kern w:val="0"/>
          <w:sz w:val="22"/>
          <w:szCs w:val="22"/>
          <w:highlight w:val="none"/>
        </w:rPr>
        <w:t>如因</w:t>
      </w:r>
      <w:r>
        <w:rPr>
          <w:rFonts w:hint="eastAsia" w:ascii="Times New Roman" w:hAnsi="Times New Roman" w:cs="Times New Roman"/>
          <w:color w:val="auto"/>
          <w:kern w:val="0"/>
          <w:sz w:val="22"/>
          <w:szCs w:val="22"/>
          <w:highlight w:val="none"/>
          <w:lang w:val="en-US" w:eastAsia="zh-CN"/>
        </w:rPr>
        <w:t>甲方</w:t>
      </w:r>
      <w:r>
        <w:rPr>
          <w:rFonts w:hint="default" w:ascii="Times New Roman" w:hAnsi="Times New Roman" w:eastAsia="宋体" w:cs="Times New Roman"/>
          <w:color w:val="auto"/>
          <w:kern w:val="0"/>
          <w:sz w:val="22"/>
          <w:szCs w:val="22"/>
          <w:highlight w:val="none"/>
        </w:rPr>
        <w:t>结算</w:t>
      </w:r>
      <w:r>
        <w:rPr>
          <w:rFonts w:hint="default" w:ascii="Times New Roman" w:hAnsi="Times New Roman" w:eastAsia="宋体" w:cs="Times New Roman"/>
          <w:color w:val="auto"/>
          <w:kern w:val="0"/>
          <w:sz w:val="22"/>
          <w:szCs w:val="22"/>
          <w:highlight w:val="none"/>
          <w:lang w:eastAsia="zh-CN"/>
        </w:rPr>
        <w:t>、</w:t>
      </w:r>
      <w:r>
        <w:rPr>
          <w:rFonts w:hint="default" w:ascii="Times New Roman" w:hAnsi="Times New Roman" w:eastAsia="宋体" w:cs="Times New Roman"/>
          <w:color w:val="auto"/>
          <w:kern w:val="0"/>
          <w:sz w:val="22"/>
          <w:szCs w:val="22"/>
          <w:highlight w:val="none"/>
        </w:rPr>
        <w:t>用款额度未下达等原因导致的支付延迟，</w:t>
      </w:r>
      <w:r>
        <w:rPr>
          <w:rFonts w:hint="eastAsia" w:ascii="Times New Roman" w:hAnsi="Times New Roman" w:eastAsia="宋体" w:cs="Times New Roman"/>
          <w:color w:val="auto"/>
          <w:kern w:val="0"/>
          <w:sz w:val="22"/>
          <w:szCs w:val="22"/>
          <w:highlight w:val="none"/>
          <w:lang w:val="en-US" w:eastAsia="zh-CN"/>
        </w:rPr>
        <w:t>乙方</w:t>
      </w:r>
      <w:r>
        <w:rPr>
          <w:rFonts w:hint="default" w:ascii="Times New Roman" w:hAnsi="Times New Roman" w:eastAsia="宋体" w:cs="Times New Roman"/>
          <w:color w:val="auto"/>
          <w:kern w:val="0"/>
          <w:sz w:val="22"/>
          <w:szCs w:val="22"/>
          <w:highlight w:val="none"/>
        </w:rPr>
        <w:t>应无条件接受。</w:t>
      </w:r>
    </w:p>
    <w:p w14:paraId="6C987DC1">
      <w:pPr>
        <w:pStyle w:val="5"/>
        <w:adjustRightInd w:val="0"/>
        <w:snapToGrid w:val="0"/>
        <w:spacing w:after="0" w:line="400" w:lineRule="exact"/>
        <w:ind w:firstLine="660" w:firstLineChars="300"/>
        <w:rPr>
          <w:rFonts w:hint="eastAsia" w:ascii="宋体" w:hAnsi="宋体" w:eastAsia="宋体" w:cs="宋体"/>
          <w:color w:val="auto"/>
          <w:sz w:val="22"/>
          <w:szCs w:val="22"/>
        </w:rPr>
      </w:pPr>
      <w:r>
        <w:rPr>
          <w:rFonts w:hint="eastAsia" w:ascii="宋体" w:hAnsi="宋体" w:eastAsia="宋体" w:cs="宋体"/>
          <w:b w:val="0"/>
          <w:bCs/>
          <w:sz w:val="22"/>
          <w:szCs w:val="22"/>
          <w:lang w:val="en-US" w:eastAsia="zh-CN"/>
        </w:rPr>
        <w:t>4.2、</w:t>
      </w:r>
      <w:r>
        <w:rPr>
          <w:rFonts w:hint="eastAsia" w:ascii="宋体" w:hAnsi="宋体" w:eastAsia="宋体" w:cs="宋体"/>
          <w:color w:val="auto"/>
          <w:sz w:val="22"/>
          <w:szCs w:val="22"/>
          <w:lang w:val="en-US" w:eastAsia="zh-CN"/>
        </w:rPr>
        <w:t>本项目采用固定综合单价，数量按实结算，合同期内折扣率不予调整</w:t>
      </w:r>
      <w:r>
        <w:rPr>
          <w:rFonts w:hint="eastAsia" w:ascii="宋体" w:hAnsi="宋体" w:eastAsia="宋体" w:cs="宋体"/>
          <w:color w:val="auto"/>
          <w:sz w:val="22"/>
          <w:szCs w:val="22"/>
        </w:rPr>
        <w:t>；</w:t>
      </w:r>
    </w:p>
    <w:p w14:paraId="06AF812A">
      <w:pPr>
        <w:pStyle w:val="5"/>
        <w:adjustRightInd w:val="0"/>
        <w:snapToGrid w:val="0"/>
        <w:spacing w:after="0" w:line="400" w:lineRule="exact"/>
        <w:ind w:left="655" w:leftChars="312" w:firstLine="0" w:firstLineChars="0"/>
        <w:rPr>
          <w:rFonts w:hint="eastAsia" w:ascii="宋体" w:hAnsi="宋体"/>
          <w:bCs/>
          <w:color w:val="auto"/>
          <w:sz w:val="22"/>
          <w:szCs w:val="22"/>
          <w:highlight w:val="none"/>
        </w:rPr>
      </w:pPr>
      <w:r>
        <w:rPr>
          <w:rFonts w:hint="eastAsia" w:ascii="宋体" w:hAnsi="宋体" w:eastAsia="宋体" w:cs="宋体"/>
          <w:b w:val="0"/>
          <w:bCs/>
          <w:sz w:val="22"/>
          <w:szCs w:val="22"/>
          <w:lang w:val="en-US" w:eastAsia="zh-CN"/>
        </w:rPr>
        <w:t>4.3</w:t>
      </w:r>
      <w:r>
        <w:rPr>
          <w:rFonts w:hint="eastAsia" w:ascii="宋体" w:hAnsi="宋体" w:eastAsia="宋体" w:cs="宋体"/>
          <w:b w:val="0"/>
          <w:bCs/>
          <w:sz w:val="22"/>
          <w:szCs w:val="22"/>
          <w:lang w:eastAsia="zh-CN"/>
        </w:rPr>
        <w:t>、</w:t>
      </w:r>
      <w:r>
        <w:rPr>
          <w:rFonts w:hint="eastAsia" w:ascii="宋体" w:hAnsi="宋体" w:eastAsia="宋体" w:cs="宋体"/>
          <w:color w:val="auto"/>
          <w:sz w:val="22"/>
          <w:szCs w:val="22"/>
          <w:lang w:val="en-US" w:eastAsia="zh-CN"/>
        </w:rPr>
        <w:t>分批供货。供货价格</w:t>
      </w:r>
      <w:r>
        <w:rPr>
          <w:rFonts w:hint="eastAsia" w:ascii="宋体" w:hAnsi="宋体" w:cs="宋体"/>
          <w:i w:val="0"/>
          <w:iCs w:val="0"/>
          <w:color w:val="000000"/>
          <w:kern w:val="0"/>
          <w:sz w:val="22"/>
          <w:szCs w:val="22"/>
          <w:highlight w:val="none"/>
          <w:u w:val="none"/>
          <w:lang w:val="en-US" w:eastAsia="zh-CN" w:bidi="ar"/>
        </w:rPr>
        <w:t>以</w:t>
      </w:r>
      <w:r>
        <w:rPr>
          <w:rFonts w:hint="eastAsia" w:ascii="宋体" w:hAnsi="宋体"/>
          <w:bCs/>
          <w:color w:val="auto"/>
          <w:sz w:val="22"/>
          <w:szCs w:val="22"/>
          <w:highlight w:val="none"/>
        </w:rPr>
        <w:t>“生意社”网站（</w:t>
      </w:r>
      <w:r>
        <w:rPr>
          <w:rFonts w:hint="eastAsia" w:ascii="宋体" w:hAnsi="宋体"/>
          <w:bCs/>
          <w:color w:val="auto"/>
          <w:sz w:val="22"/>
          <w:szCs w:val="22"/>
          <w:highlight w:val="none"/>
        </w:rPr>
        <w:fldChar w:fldCharType="begin"/>
      </w:r>
      <w:r>
        <w:rPr>
          <w:rFonts w:hint="eastAsia" w:ascii="宋体" w:hAnsi="宋体"/>
          <w:bCs/>
          <w:color w:val="auto"/>
          <w:sz w:val="22"/>
          <w:szCs w:val="22"/>
          <w:highlight w:val="none"/>
        </w:rPr>
        <w:instrText xml:space="preserve"> HYPERLINK "http://www.100ppi.com/" </w:instrText>
      </w:r>
      <w:r>
        <w:rPr>
          <w:rFonts w:hint="eastAsia" w:ascii="宋体" w:hAnsi="宋体"/>
          <w:bCs/>
          <w:color w:val="auto"/>
          <w:sz w:val="22"/>
          <w:szCs w:val="22"/>
          <w:highlight w:val="none"/>
        </w:rPr>
        <w:fldChar w:fldCharType="separate"/>
      </w:r>
      <w:r>
        <w:rPr>
          <w:rFonts w:hint="eastAsia" w:ascii="宋体" w:hAnsi="宋体"/>
          <w:bCs/>
          <w:color w:val="auto"/>
          <w:sz w:val="22"/>
          <w:szCs w:val="22"/>
          <w:highlight w:val="none"/>
        </w:rPr>
        <w:t>http://www.100ppi.com/</w:t>
      </w:r>
      <w:r>
        <w:rPr>
          <w:rFonts w:hint="eastAsia" w:ascii="宋体" w:hAnsi="宋体"/>
          <w:bCs/>
          <w:color w:val="auto"/>
          <w:sz w:val="22"/>
          <w:szCs w:val="22"/>
          <w:highlight w:val="none"/>
        </w:rPr>
        <w:fldChar w:fldCharType="end"/>
      </w:r>
      <w:r>
        <w:rPr>
          <w:rFonts w:hint="eastAsia" w:ascii="宋体" w:hAnsi="宋体"/>
          <w:bCs/>
          <w:color w:val="auto"/>
          <w:sz w:val="22"/>
          <w:szCs w:val="22"/>
          <w:highlight w:val="none"/>
        </w:rPr>
        <w:t>）</w:t>
      </w:r>
      <w:r>
        <w:rPr>
          <w:rFonts w:hint="eastAsia" w:ascii="宋体" w:hAnsi="宋体"/>
          <w:bCs/>
          <w:color w:val="auto"/>
          <w:sz w:val="22"/>
          <w:szCs w:val="22"/>
          <w:highlight w:val="none"/>
          <w:lang w:val="en-US" w:eastAsia="zh-CN"/>
        </w:rPr>
        <w:t>最新</w:t>
      </w:r>
      <w:r>
        <w:rPr>
          <w:rFonts w:hint="eastAsia" w:ascii="宋体" w:hAnsi="宋体"/>
          <w:bCs/>
          <w:color w:val="auto"/>
          <w:sz w:val="22"/>
          <w:szCs w:val="22"/>
          <w:highlight w:val="none"/>
        </w:rPr>
        <w:t>发布的中燃（型号：180CST）宁波地区市场价</w:t>
      </w:r>
      <w:r>
        <w:rPr>
          <w:rFonts w:hint="eastAsia" w:ascii="宋体" w:hAnsi="宋体"/>
          <w:bCs/>
          <w:color w:val="auto"/>
          <w:sz w:val="22"/>
          <w:szCs w:val="22"/>
          <w:highlight w:val="none"/>
          <w:lang w:eastAsia="zh-CN"/>
        </w:rPr>
        <w:t>的</w:t>
      </w:r>
      <w:r>
        <w:rPr>
          <w:rFonts w:hint="eastAsia" w:ascii="宋体" w:hAnsi="宋体"/>
          <w:bCs/>
          <w:color w:val="auto"/>
          <w:sz w:val="22"/>
          <w:szCs w:val="22"/>
          <w:highlight w:val="none"/>
          <w:lang w:val="en-US" w:eastAsia="zh-CN"/>
        </w:rPr>
        <w:t>100%为基础</w:t>
      </w:r>
      <w:r>
        <w:rPr>
          <w:rFonts w:hint="eastAsia" w:ascii="宋体" w:hAnsi="宋体" w:eastAsia="宋体" w:cs="宋体"/>
          <w:color w:val="auto"/>
          <w:sz w:val="22"/>
          <w:szCs w:val="22"/>
          <w:lang w:val="en-US" w:eastAsia="zh-CN"/>
        </w:rPr>
        <w:t>,乘以中标折扣率进行结算。</w:t>
      </w:r>
    </w:p>
    <w:p w14:paraId="2F87F901">
      <w:pPr>
        <w:pStyle w:val="13"/>
        <w:snapToGrid w:val="0"/>
        <w:spacing w:line="400" w:lineRule="exact"/>
        <w:ind w:firstLine="660" w:firstLineChars="300"/>
        <w:rPr>
          <w:rFonts w:hint="eastAsia" w:hAnsi="宋体"/>
          <w:color w:val="auto"/>
          <w:sz w:val="22"/>
          <w:szCs w:val="22"/>
          <w:highlight w:val="none"/>
        </w:rPr>
      </w:pPr>
      <w:r>
        <w:rPr>
          <w:rFonts w:hint="eastAsia" w:hAnsi="宋体"/>
          <w:color w:val="auto"/>
          <w:sz w:val="22"/>
          <w:szCs w:val="22"/>
          <w:highlight w:val="none"/>
        </w:rPr>
        <w:t>具体由买卖双方按各批次签订供货买卖合同时约定。</w:t>
      </w:r>
    </w:p>
    <w:p w14:paraId="4769FF36">
      <w:pPr>
        <w:pStyle w:val="5"/>
        <w:adjustRightInd w:val="0"/>
        <w:snapToGrid w:val="0"/>
        <w:spacing w:after="0" w:line="400" w:lineRule="exact"/>
        <w:rPr>
          <w:rFonts w:hint="eastAsia" w:ascii="宋体" w:hAnsi="宋体"/>
          <w:bCs/>
          <w:color w:val="auto"/>
          <w:sz w:val="22"/>
          <w:szCs w:val="22"/>
          <w:highlight w:val="none"/>
        </w:rPr>
      </w:pPr>
      <w:r>
        <w:rPr>
          <w:rFonts w:hint="eastAsia" w:ascii="宋体" w:hAnsi="宋体"/>
          <w:bCs/>
          <w:color w:val="auto"/>
          <w:sz w:val="22"/>
          <w:szCs w:val="22"/>
          <w:highlight w:val="none"/>
        </w:rPr>
        <w:t>5.    技术文件和资料</w:t>
      </w:r>
    </w:p>
    <w:p w14:paraId="10F3D49D">
      <w:pPr>
        <w:snapToGrid w:val="0"/>
        <w:spacing w:line="400" w:lineRule="exact"/>
        <w:ind w:left="660" w:hanging="660" w:hangingChars="300"/>
        <w:rPr>
          <w:rFonts w:hint="eastAsia" w:ascii="宋体" w:hAnsi="宋体"/>
          <w:bCs/>
          <w:color w:val="auto"/>
          <w:sz w:val="22"/>
          <w:szCs w:val="22"/>
          <w:highlight w:val="none"/>
        </w:rPr>
      </w:pPr>
      <w:r>
        <w:rPr>
          <w:rFonts w:hint="eastAsia" w:ascii="宋体" w:hAnsi="宋体"/>
          <w:color w:val="auto"/>
          <w:sz w:val="22"/>
          <w:szCs w:val="22"/>
          <w:highlight w:val="none"/>
        </w:rPr>
        <w:t>5.1   买卖双方可根据采购要求和需要订立具体的技术文件和资料交付时间和数量。</w:t>
      </w:r>
    </w:p>
    <w:p w14:paraId="3F1AE606">
      <w:pPr>
        <w:snapToGrid w:val="0"/>
        <w:spacing w:line="400" w:lineRule="exact"/>
        <w:ind w:left="660" w:hanging="660" w:hangingChars="300"/>
        <w:rPr>
          <w:rFonts w:hint="eastAsia" w:ascii="宋体" w:hAnsi="宋体"/>
          <w:bCs/>
          <w:color w:val="auto"/>
          <w:sz w:val="22"/>
          <w:szCs w:val="22"/>
          <w:highlight w:val="none"/>
        </w:rPr>
      </w:pPr>
      <w:r>
        <w:rPr>
          <w:rFonts w:hint="eastAsia" w:ascii="宋体" w:hAnsi="宋体"/>
          <w:color w:val="auto"/>
          <w:sz w:val="22"/>
          <w:szCs w:val="22"/>
          <w:highlight w:val="none"/>
        </w:rPr>
        <w:t>5.2   如果买方确认卖方提供的技术文件和资料不完整，或在运输途中丢失，卖方应在收到买方通知后3天内将这些文件、资料补齐。否则买方有权扣除履约保证金。</w:t>
      </w:r>
    </w:p>
    <w:p w14:paraId="7772A2F4">
      <w:pPr>
        <w:snapToGrid w:val="0"/>
        <w:spacing w:line="400" w:lineRule="exact"/>
        <w:rPr>
          <w:rFonts w:hint="eastAsia" w:ascii="宋体" w:hAnsi="宋体"/>
          <w:bCs/>
          <w:color w:val="auto"/>
          <w:sz w:val="22"/>
          <w:szCs w:val="22"/>
          <w:highlight w:val="none"/>
        </w:rPr>
      </w:pPr>
      <w:r>
        <w:rPr>
          <w:rFonts w:hint="eastAsia" w:ascii="宋体" w:hAnsi="宋体"/>
          <w:bCs/>
          <w:color w:val="auto"/>
          <w:sz w:val="22"/>
          <w:szCs w:val="22"/>
          <w:highlight w:val="none"/>
        </w:rPr>
        <w:t>6.    质量保证</w:t>
      </w:r>
    </w:p>
    <w:p w14:paraId="175601EB">
      <w:pPr>
        <w:snapToGrid w:val="0"/>
        <w:spacing w:line="400" w:lineRule="exact"/>
        <w:ind w:left="660" w:hanging="660" w:hangingChars="300"/>
        <w:rPr>
          <w:rFonts w:hint="eastAsia" w:ascii="宋体" w:hAnsi="宋体"/>
          <w:bCs/>
          <w:color w:val="auto"/>
          <w:sz w:val="22"/>
          <w:szCs w:val="22"/>
          <w:highlight w:val="none"/>
        </w:rPr>
      </w:pPr>
      <w:r>
        <w:rPr>
          <w:rFonts w:hint="eastAsia" w:ascii="宋体" w:hAnsi="宋体"/>
          <w:color w:val="auto"/>
          <w:sz w:val="22"/>
          <w:szCs w:val="22"/>
          <w:highlight w:val="none"/>
        </w:rPr>
        <w:t>6.1   卖方所提供的货物应保证是生产商原厂生产的，并完全符合合同规定的质量、规格和指标要求。在货物质量保证期内，卖方应对由于气候、材料和其他因素的缺陷所产生的任何不足或故障负责。卖方应保证提供的货物与本项目中标产品一致。</w:t>
      </w:r>
    </w:p>
    <w:p w14:paraId="61A87752">
      <w:pPr>
        <w:snapToGrid w:val="0"/>
        <w:spacing w:line="400" w:lineRule="exact"/>
        <w:ind w:left="660" w:hanging="660" w:hangingChars="300"/>
        <w:rPr>
          <w:rFonts w:hint="eastAsia" w:ascii="宋体" w:hAnsi="宋体"/>
          <w:color w:val="auto"/>
          <w:sz w:val="22"/>
          <w:szCs w:val="22"/>
          <w:highlight w:val="none"/>
        </w:rPr>
      </w:pPr>
      <w:r>
        <w:rPr>
          <w:rFonts w:hint="eastAsia" w:ascii="宋体" w:hAnsi="宋体"/>
          <w:color w:val="auto"/>
          <w:sz w:val="22"/>
          <w:szCs w:val="22"/>
          <w:highlight w:val="none"/>
        </w:rPr>
        <w:t>6.2   根据买方按检验标准检验的结果或当地质检部门检验的结果，或者在质量保证期内，如果货物的数量、质量或规格与合同不符，或证实货物是有缺陷的，包括潜在的缺陷或使用不符合要求的材料等，买方应尽快以书面形式通知卖方，提出索赔。卖方在收到通知后，应在规定期限内，更换有缺陷的或不符合要求的产品，同时相应延长质量保证期。</w:t>
      </w:r>
    </w:p>
    <w:p w14:paraId="661E1FB6">
      <w:pPr>
        <w:snapToGrid w:val="0"/>
        <w:spacing w:line="400" w:lineRule="exact"/>
        <w:rPr>
          <w:rFonts w:hint="eastAsia" w:ascii="宋体" w:hAnsi="宋体"/>
          <w:color w:val="auto"/>
          <w:sz w:val="22"/>
          <w:szCs w:val="22"/>
          <w:highlight w:val="none"/>
        </w:rPr>
      </w:pPr>
      <w:r>
        <w:rPr>
          <w:rFonts w:hint="eastAsia" w:ascii="宋体" w:hAnsi="宋体"/>
          <w:color w:val="auto"/>
          <w:sz w:val="22"/>
          <w:szCs w:val="22"/>
          <w:highlight w:val="none"/>
        </w:rPr>
        <w:t>6.3   生产中的检验和测试</w:t>
      </w:r>
    </w:p>
    <w:p w14:paraId="788F773E">
      <w:pPr>
        <w:snapToGrid w:val="0"/>
        <w:spacing w:line="400" w:lineRule="exact"/>
        <w:ind w:left="611" w:leftChars="291"/>
        <w:rPr>
          <w:rFonts w:hint="eastAsia" w:ascii="宋体" w:hAnsi="宋体"/>
          <w:color w:val="auto"/>
          <w:sz w:val="22"/>
          <w:szCs w:val="22"/>
          <w:highlight w:val="none"/>
        </w:rPr>
      </w:pPr>
      <w:r>
        <w:rPr>
          <w:rFonts w:hint="eastAsia" w:ascii="宋体" w:hAnsi="宋体"/>
          <w:color w:val="auto"/>
          <w:sz w:val="22"/>
          <w:szCs w:val="22"/>
          <w:highlight w:val="none"/>
        </w:rPr>
        <w:t>甲方有权对货物发货前进行检验或测试，卖方可邀请甲方代表到生产商检查生产加工工艺、原材料和产品质量，并参加出厂检验，以确认所投产品的工艺、原材料、质量等是否符合采购文件和投标时提供的样式要求，但不能作为最终验收。卖方应为甲方检验和测试提供各种方便，并承担相应费用，如果检验或测试的产品不能满足招标要求，甲方可以拒绝接受，卖方应更换被拒绝的货物，并承担造成的经济损失。</w:t>
      </w:r>
    </w:p>
    <w:p w14:paraId="081F8E12">
      <w:pPr>
        <w:snapToGrid w:val="0"/>
        <w:spacing w:line="400" w:lineRule="exact"/>
        <w:ind w:left="678" w:leftChars="313" w:hanging="21" w:hangingChars="10"/>
        <w:rPr>
          <w:rFonts w:hint="eastAsia" w:ascii="宋体" w:hAnsi="宋体"/>
          <w:color w:val="auto"/>
          <w:spacing w:val="-2"/>
          <w:sz w:val="22"/>
          <w:szCs w:val="22"/>
          <w:highlight w:val="none"/>
        </w:rPr>
      </w:pPr>
      <w:r>
        <w:rPr>
          <w:rFonts w:hint="eastAsia" w:ascii="宋体" w:hAnsi="宋体"/>
          <w:color w:val="auto"/>
          <w:spacing w:val="-2"/>
          <w:sz w:val="22"/>
          <w:szCs w:val="22"/>
          <w:highlight w:val="none"/>
        </w:rPr>
        <w:t>货物交货前，卖方应自行对产品的材料、质量等进行详细而全面的检验，并出具检验（检测）报告，提供权威部门出具的检测报告，该检验（检测）报告将作为</w:t>
      </w:r>
      <w:r>
        <w:rPr>
          <w:rFonts w:hint="eastAsia" w:ascii="宋体" w:hAnsi="宋体"/>
          <w:color w:val="auto"/>
          <w:sz w:val="22"/>
          <w:szCs w:val="22"/>
          <w:highlight w:val="none"/>
        </w:rPr>
        <w:t>买方</w:t>
      </w:r>
      <w:r>
        <w:rPr>
          <w:rFonts w:hint="eastAsia" w:ascii="宋体" w:hAnsi="宋体"/>
          <w:color w:val="auto"/>
          <w:spacing w:val="-2"/>
          <w:sz w:val="22"/>
          <w:szCs w:val="22"/>
          <w:highlight w:val="none"/>
        </w:rPr>
        <w:t>付款的重要依据，但不能作为最终验收。</w:t>
      </w:r>
    </w:p>
    <w:p w14:paraId="0D2B5899">
      <w:pPr>
        <w:snapToGrid w:val="0"/>
        <w:spacing w:line="400" w:lineRule="exact"/>
        <w:rPr>
          <w:rFonts w:hint="eastAsia" w:ascii="宋体" w:hAnsi="宋体"/>
          <w:color w:val="auto"/>
          <w:sz w:val="22"/>
          <w:szCs w:val="22"/>
          <w:highlight w:val="none"/>
        </w:rPr>
      </w:pPr>
      <w:r>
        <w:rPr>
          <w:rFonts w:hint="eastAsia" w:ascii="宋体" w:hAnsi="宋体"/>
          <w:color w:val="auto"/>
          <w:sz w:val="22"/>
          <w:szCs w:val="22"/>
          <w:highlight w:val="none"/>
        </w:rPr>
        <w:t>6.4.  到货</w:t>
      </w:r>
    </w:p>
    <w:p w14:paraId="04B85BD0">
      <w:pPr>
        <w:snapToGrid w:val="0"/>
        <w:spacing w:line="400" w:lineRule="exact"/>
        <w:ind w:left="636" w:leftChars="303"/>
        <w:rPr>
          <w:rFonts w:hint="eastAsia" w:ascii="宋体" w:hAnsi="宋体"/>
          <w:color w:val="auto"/>
          <w:sz w:val="22"/>
          <w:szCs w:val="22"/>
          <w:highlight w:val="none"/>
        </w:rPr>
      </w:pPr>
      <w:r>
        <w:rPr>
          <w:rFonts w:hint="eastAsia" w:ascii="宋体" w:hAnsi="宋体"/>
          <w:color w:val="auto"/>
          <w:sz w:val="22"/>
          <w:szCs w:val="22"/>
          <w:highlight w:val="none"/>
        </w:rPr>
        <w:t>所有货物到达现场后，甲方或买方均有权对货物进行抽样检测。抽样检测不合格的可以部分或全部拒收，由此对造成的损失卖方应给予经济赔偿。卖方必须派员到现场与买方一起清点检验,按供货清单验收,若有缺少或损坏，卖方应立即补足或更换货物，并承担相关费用直至使买方满意为止。货物检验前，卖方须提供产品相关质保书和合格证。</w:t>
      </w:r>
    </w:p>
    <w:p w14:paraId="5A01940A">
      <w:pPr>
        <w:snapToGrid w:val="0"/>
        <w:spacing w:line="400" w:lineRule="exact"/>
        <w:rPr>
          <w:rFonts w:hint="eastAsia" w:ascii="宋体" w:hAnsi="宋体"/>
          <w:color w:val="auto"/>
          <w:sz w:val="22"/>
          <w:szCs w:val="22"/>
          <w:highlight w:val="none"/>
        </w:rPr>
      </w:pPr>
      <w:r>
        <w:rPr>
          <w:rFonts w:hint="eastAsia" w:ascii="宋体" w:hAnsi="宋体"/>
          <w:color w:val="auto"/>
          <w:sz w:val="22"/>
          <w:szCs w:val="22"/>
          <w:highlight w:val="none"/>
        </w:rPr>
        <w:t>6.5  验收</w:t>
      </w:r>
    </w:p>
    <w:p w14:paraId="6A3FE61B">
      <w:pPr>
        <w:widowControl/>
        <w:snapToGrid w:val="0"/>
        <w:spacing w:line="400" w:lineRule="exact"/>
        <w:ind w:left="540" w:leftChars="257" w:right="420" w:rightChars="200"/>
        <w:rPr>
          <w:rFonts w:hint="eastAsia" w:ascii="宋体" w:hAnsi="宋体"/>
          <w:color w:val="auto"/>
          <w:sz w:val="22"/>
          <w:szCs w:val="22"/>
          <w:highlight w:val="none"/>
        </w:rPr>
      </w:pPr>
      <w:r>
        <w:rPr>
          <w:rFonts w:hint="eastAsia" w:ascii="宋体" w:hAnsi="宋体"/>
          <w:color w:val="auto"/>
          <w:sz w:val="22"/>
          <w:szCs w:val="22"/>
          <w:highlight w:val="none"/>
        </w:rPr>
        <w:t>验收方法及提出异议的期限：乙方将货物送到交货地点后，甲方应在</w:t>
      </w:r>
      <w:r>
        <w:rPr>
          <w:rFonts w:hint="eastAsia" w:ascii="宋体" w:hAnsi="宋体"/>
          <w:color w:val="auto"/>
          <w:sz w:val="22"/>
          <w:szCs w:val="22"/>
          <w:highlight w:val="none"/>
          <w:u w:val="single"/>
        </w:rPr>
        <w:t xml:space="preserve">  14  </w:t>
      </w:r>
      <w:r>
        <w:rPr>
          <w:rFonts w:hint="eastAsia" w:ascii="宋体" w:hAnsi="宋体"/>
          <w:color w:val="auto"/>
          <w:sz w:val="22"/>
          <w:szCs w:val="22"/>
          <w:highlight w:val="none"/>
        </w:rPr>
        <w:t>日内对货物的质量、数量进行验收，并将经甲方指定人员签字后货物的验收单交给乙方。对质量的验收按本合同约定的质量要求及标准进行，对数量的验收以甲方的实际过磅数量为准。验收合格后乙方卸货，否则发生质量问题由乙方负责。若经验收甲方发现乙方提供的货物不符合本合同约定的质量要求和标准的，甲方可拒绝接收货物，由此产生的一切后果由乙方承担。</w:t>
      </w:r>
    </w:p>
    <w:p w14:paraId="7C6FB9E5">
      <w:pPr>
        <w:snapToGrid w:val="0"/>
        <w:spacing w:line="400" w:lineRule="exact"/>
        <w:rPr>
          <w:rFonts w:hint="eastAsia" w:ascii="宋体" w:hAnsi="宋体"/>
          <w:bCs/>
          <w:color w:val="auto"/>
          <w:sz w:val="22"/>
          <w:szCs w:val="22"/>
          <w:highlight w:val="none"/>
        </w:rPr>
      </w:pPr>
      <w:r>
        <w:rPr>
          <w:rFonts w:hint="eastAsia" w:ascii="宋体" w:hAnsi="宋体"/>
          <w:bCs/>
          <w:color w:val="auto"/>
          <w:sz w:val="22"/>
          <w:szCs w:val="22"/>
          <w:highlight w:val="none"/>
        </w:rPr>
        <w:t>7.   其他履约违约责任</w:t>
      </w:r>
    </w:p>
    <w:p w14:paraId="75FDD8EE">
      <w:pPr>
        <w:snapToGrid w:val="0"/>
        <w:spacing w:line="400" w:lineRule="exact"/>
        <w:ind w:right="420" w:rightChars="200"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7.1在乙方已经按时按量地将货物送达指定地点的情况下，甲方无故不按照本合同约定的时间和方式向乙方支付货款，对逾期付款部分按照中国人民银行公布的同期基准贷款利率向乙方支付逾期付款违约金。</w:t>
      </w:r>
    </w:p>
    <w:p w14:paraId="028B2283">
      <w:pPr>
        <w:snapToGrid w:val="0"/>
        <w:spacing w:line="400" w:lineRule="exact"/>
        <w:ind w:right="420" w:rightChars="200"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7.2货物质量、规格等不符合本合同约定的，甲方有权退回、不予接收，同时造成延期交货的乙方按照本合同</w:t>
      </w:r>
      <w:r>
        <w:rPr>
          <w:rFonts w:hint="eastAsia" w:ascii="宋体" w:hAnsi="宋体"/>
          <w:color w:val="auto"/>
          <w:sz w:val="22"/>
          <w:szCs w:val="22"/>
          <w:highlight w:val="none"/>
          <w:lang w:val="en-US" w:eastAsia="zh-CN"/>
        </w:rPr>
        <w:t>7</w:t>
      </w:r>
      <w:r>
        <w:rPr>
          <w:rFonts w:hint="eastAsia" w:ascii="宋体" w:hAnsi="宋体"/>
          <w:color w:val="auto"/>
          <w:sz w:val="22"/>
          <w:szCs w:val="22"/>
          <w:highlight w:val="none"/>
        </w:rPr>
        <w:t>.4条约定向甲方支付违约金。</w:t>
      </w:r>
    </w:p>
    <w:p w14:paraId="0529B169">
      <w:pPr>
        <w:snapToGrid w:val="0"/>
        <w:spacing w:line="400" w:lineRule="exact"/>
        <w:ind w:right="420" w:rightChars="200"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7.3在本合同的履行过程中，不论基于何种原因，乙方均应按照甲方的要求及时足额地供货并不得涨价，否则，乙方应按照不能供货部分（即用</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吨减去乙方已经供应的符合本合同要求的货物数量之差）对应货款总值的___2___％向甲方支付违约金，该违约金用于甲方弥补损失和重新选择供应商的费用，同时甲方还保留单方解除合同的权利。</w:t>
      </w:r>
    </w:p>
    <w:p w14:paraId="708D208A">
      <w:pPr>
        <w:snapToGrid w:val="0"/>
        <w:spacing w:line="400" w:lineRule="exact"/>
        <w:ind w:right="420" w:rightChars="200"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7.4产品交货时间不符合同约定时，每逾期一日，乙方应按逾期交货部分货款总值的万分之</w:t>
      </w:r>
      <w:r>
        <w:rPr>
          <w:rFonts w:hint="eastAsia" w:ascii="宋体" w:hAnsi="宋体"/>
          <w:color w:val="auto"/>
          <w:sz w:val="22"/>
          <w:szCs w:val="22"/>
          <w:highlight w:val="none"/>
          <w:u w:val="single"/>
        </w:rPr>
        <w:t>二</w:t>
      </w:r>
      <w:r>
        <w:rPr>
          <w:rFonts w:hint="eastAsia" w:ascii="宋体" w:hAnsi="宋体"/>
          <w:color w:val="auto"/>
          <w:sz w:val="22"/>
          <w:szCs w:val="22"/>
          <w:highlight w:val="none"/>
        </w:rPr>
        <w:t>计算向甲方偿付逾期交货的违约金。</w:t>
      </w:r>
    </w:p>
    <w:p w14:paraId="65DCA538">
      <w:pPr>
        <w:snapToGrid w:val="0"/>
        <w:spacing w:line="400" w:lineRule="exact"/>
        <w:ind w:right="420" w:rightChars="200"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7.5本合同所指的违约金，对于属于甲方应支付给乙方的，在乙方向甲方主张并得到甲方认可后由甲方于最后一次付款时支付；对于属于乙方应支付给甲方的，由甲方直接从应付货款中扣除，不足部分由乙方另行补足。</w:t>
      </w:r>
    </w:p>
    <w:p w14:paraId="5F706727">
      <w:pPr>
        <w:snapToGrid w:val="0"/>
        <w:spacing w:line="400" w:lineRule="exact"/>
        <w:ind w:right="420" w:rightChars="200"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7.6在本合同的履行过程中，甲方不得擅自变更交货地点，因变更交货地点而增加的费用由甲方承担。</w:t>
      </w:r>
    </w:p>
    <w:p w14:paraId="5E106315">
      <w:pPr>
        <w:snapToGrid w:val="0"/>
        <w:spacing w:line="400" w:lineRule="exact"/>
        <w:ind w:right="420" w:rightChars="200"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7.7乙方需安排专人协调运输车辆，运输车辆进入施工现场后乙方要有专人配合甲方管理协调车辆；</w:t>
      </w:r>
    </w:p>
    <w:p w14:paraId="4A606BF7">
      <w:pPr>
        <w:snapToGrid w:val="0"/>
        <w:spacing w:line="400" w:lineRule="exact"/>
        <w:ind w:right="420" w:rightChars="200"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7.8供货期间如运输车辆发生安全事故等，由乙方负责，与甲方没有任何关系。</w:t>
      </w:r>
    </w:p>
    <w:p w14:paraId="1FC51E05">
      <w:pPr>
        <w:widowControl/>
        <w:snapToGrid w:val="0"/>
        <w:spacing w:line="400" w:lineRule="exact"/>
        <w:ind w:right="420" w:rightChars="200" w:firstLine="550" w:firstLineChars="250"/>
        <w:rPr>
          <w:rFonts w:hint="eastAsia" w:ascii="宋体" w:hAnsi="宋体"/>
          <w:bCs/>
          <w:color w:val="auto"/>
          <w:sz w:val="22"/>
          <w:szCs w:val="22"/>
          <w:highlight w:val="none"/>
        </w:rPr>
      </w:pPr>
      <w:r>
        <w:rPr>
          <w:rFonts w:hint="eastAsia" w:ascii="宋体" w:hAnsi="宋体"/>
          <w:bCs/>
          <w:color w:val="auto"/>
          <w:sz w:val="22"/>
          <w:szCs w:val="22"/>
          <w:highlight w:val="none"/>
        </w:rPr>
        <w:t>7.9甲乙双方出现合同纠纷时，应首先通过充分协商解决，协商不成的，提交温州仲裁委员会仲裁。</w:t>
      </w:r>
    </w:p>
    <w:p w14:paraId="46928031">
      <w:pPr>
        <w:snapToGrid w:val="0"/>
        <w:spacing w:line="400" w:lineRule="exact"/>
        <w:rPr>
          <w:rFonts w:hint="eastAsia" w:ascii="宋体" w:hAnsi="宋体"/>
          <w:bCs/>
          <w:color w:val="auto"/>
          <w:sz w:val="22"/>
          <w:szCs w:val="22"/>
          <w:highlight w:val="none"/>
        </w:rPr>
      </w:pPr>
      <w:r>
        <w:rPr>
          <w:rFonts w:hint="eastAsia" w:ascii="宋体" w:hAnsi="宋体"/>
          <w:bCs/>
          <w:color w:val="auto"/>
          <w:sz w:val="22"/>
          <w:szCs w:val="22"/>
          <w:highlight w:val="none"/>
        </w:rPr>
        <w:t>8.   违约终止合同协议</w:t>
      </w:r>
    </w:p>
    <w:p w14:paraId="4678E1C6">
      <w:pPr>
        <w:snapToGrid w:val="0"/>
        <w:spacing w:line="400" w:lineRule="exact"/>
        <w:rPr>
          <w:rFonts w:hint="eastAsia" w:ascii="宋体" w:hAnsi="宋体"/>
          <w:color w:val="auto"/>
          <w:sz w:val="22"/>
          <w:szCs w:val="22"/>
          <w:highlight w:val="none"/>
        </w:rPr>
      </w:pPr>
      <w:r>
        <w:rPr>
          <w:rFonts w:hint="eastAsia" w:ascii="宋体" w:hAnsi="宋体"/>
          <w:color w:val="auto"/>
          <w:sz w:val="22"/>
          <w:szCs w:val="22"/>
          <w:highlight w:val="none"/>
        </w:rPr>
        <w:t xml:space="preserve">    8.1  乙方违约的情况下，甲方可考虑终止部分或全部合同，即不再采购乙方货物，直至取消其中标资格。</w:t>
      </w:r>
    </w:p>
    <w:p w14:paraId="7262687A">
      <w:pPr>
        <w:widowControl/>
        <w:snapToGrid w:val="0"/>
        <w:spacing w:line="400" w:lineRule="exact"/>
        <w:ind w:right="420" w:rightChars="200"/>
        <w:rPr>
          <w:rFonts w:hint="eastAsia" w:ascii="宋体" w:hAnsi="宋体"/>
          <w:bCs/>
          <w:color w:val="auto"/>
          <w:sz w:val="22"/>
          <w:szCs w:val="22"/>
          <w:highlight w:val="none"/>
        </w:rPr>
      </w:pPr>
      <w:r>
        <w:rPr>
          <w:rFonts w:hint="eastAsia" w:ascii="宋体" w:hAnsi="宋体"/>
          <w:bCs/>
          <w:color w:val="auto"/>
          <w:sz w:val="22"/>
          <w:szCs w:val="22"/>
          <w:highlight w:val="none"/>
        </w:rPr>
        <w:t>9、其他约定事项</w:t>
      </w:r>
    </w:p>
    <w:p w14:paraId="048210E6">
      <w:pPr>
        <w:numPr>
          <w:ilvl w:val="1"/>
          <w:numId w:val="6"/>
        </w:numPr>
        <w:autoSpaceDE w:val="0"/>
        <w:autoSpaceDN w:val="0"/>
        <w:adjustRightInd w:val="0"/>
        <w:snapToGrid w:val="0"/>
        <w:spacing w:line="400" w:lineRule="exact"/>
        <w:ind w:right="420" w:rightChars="200"/>
        <w:rPr>
          <w:rFonts w:hint="eastAsia" w:ascii="宋体" w:hAnsi="宋体"/>
          <w:color w:val="auto"/>
          <w:sz w:val="22"/>
          <w:szCs w:val="22"/>
          <w:highlight w:val="none"/>
        </w:rPr>
      </w:pPr>
      <w:r>
        <w:rPr>
          <w:rFonts w:hint="eastAsia" w:ascii="宋体" w:hAnsi="宋体"/>
          <w:color w:val="auto"/>
          <w:sz w:val="22"/>
          <w:szCs w:val="22"/>
          <w:highlight w:val="none"/>
        </w:rPr>
        <w:t>公开采购文件规定的其他内容。</w:t>
      </w:r>
    </w:p>
    <w:p w14:paraId="38798648">
      <w:pPr>
        <w:numPr>
          <w:ilvl w:val="1"/>
          <w:numId w:val="6"/>
        </w:numPr>
        <w:autoSpaceDE w:val="0"/>
        <w:autoSpaceDN w:val="0"/>
        <w:adjustRightInd w:val="0"/>
        <w:snapToGrid w:val="0"/>
        <w:spacing w:line="400" w:lineRule="exact"/>
        <w:ind w:right="420" w:rightChars="200"/>
        <w:rPr>
          <w:rFonts w:hint="eastAsia" w:ascii="宋体" w:hAnsi="宋体"/>
          <w:color w:val="auto"/>
          <w:sz w:val="22"/>
          <w:szCs w:val="22"/>
          <w:highlight w:val="none"/>
        </w:rPr>
      </w:pPr>
      <w:r>
        <w:rPr>
          <w:rFonts w:hint="eastAsia" w:ascii="宋体" w:hAnsi="宋体"/>
          <w:color w:val="auto"/>
          <w:sz w:val="22"/>
          <w:szCs w:val="22"/>
          <w:highlight w:val="none"/>
        </w:rPr>
        <w:t>乙方在此承诺：乙方在任何情况下均不转让债权，否则按所转让债权总额的30%向甲方支付违约金，该违约金甲方有权直接从材料余款中扣除。</w:t>
      </w:r>
    </w:p>
    <w:p w14:paraId="11F6C50C">
      <w:pPr>
        <w:numPr>
          <w:ilvl w:val="1"/>
          <w:numId w:val="6"/>
        </w:numPr>
        <w:autoSpaceDE w:val="0"/>
        <w:autoSpaceDN w:val="0"/>
        <w:adjustRightInd w:val="0"/>
        <w:snapToGrid w:val="0"/>
        <w:spacing w:line="400" w:lineRule="exact"/>
        <w:ind w:right="420" w:rightChars="200"/>
        <w:rPr>
          <w:rFonts w:hint="eastAsia" w:ascii="宋体" w:hAnsi="宋体"/>
          <w:color w:val="auto"/>
          <w:sz w:val="22"/>
          <w:szCs w:val="22"/>
          <w:highlight w:val="none"/>
        </w:rPr>
      </w:pPr>
      <w:r>
        <w:rPr>
          <w:rFonts w:hint="eastAsia" w:ascii="宋体" w:hAnsi="宋体"/>
          <w:color w:val="auto"/>
          <w:sz w:val="22"/>
          <w:szCs w:val="22"/>
          <w:highlight w:val="none"/>
        </w:rPr>
        <w:t>一方根据本合同规定作出的通知、计划或者其他通讯应采取书面形式并以中文书写，并可经专人手递或邮务发至本协议中载明的另一方地址，或传真至本协议中载明的另一方的传真号码，或以手机短信的方式发至本协议中载明的另一方的手机号码，通知、计划或其他通讯被视为已有效作出的日期应按以下的规定确定：</w:t>
      </w:r>
    </w:p>
    <w:p w14:paraId="06651AE1">
      <w:pPr>
        <w:tabs>
          <w:tab w:val="left" w:pos="360"/>
          <w:tab w:val="left" w:pos="900"/>
        </w:tabs>
        <w:snapToGrid w:val="0"/>
        <w:spacing w:line="400" w:lineRule="exact"/>
        <w:ind w:right="420" w:rightChars="200" w:firstLine="600"/>
        <w:rPr>
          <w:rFonts w:hint="eastAsia" w:ascii="宋体" w:hAnsi="宋体"/>
          <w:color w:val="auto"/>
          <w:sz w:val="22"/>
          <w:szCs w:val="22"/>
          <w:highlight w:val="none"/>
        </w:rPr>
      </w:pPr>
      <w:r>
        <w:rPr>
          <w:rFonts w:hint="eastAsia" w:ascii="宋体" w:hAnsi="宋体"/>
          <w:color w:val="auto"/>
          <w:sz w:val="22"/>
          <w:szCs w:val="22"/>
          <w:highlight w:val="none"/>
        </w:rPr>
        <w:t>A、经专人交付的通知应在专人交付之日视为有效；</w:t>
      </w:r>
    </w:p>
    <w:p w14:paraId="0E6C1765">
      <w:pPr>
        <w:tabs>
          <w:tab w:val="left" w:pos="360"/>
          <w:tab w:val="left" w:pos="900"/>
        </w:tabs>
        <w:snapToGrid w:val="0"/>
        <w:spacing w:line="400" w:lineRule="exact"/>
        <w:ind w:right="420" w:rightChars="200" w:firstLine="600"/>
        <w:rPr>
          <w:rFonts w:hint="eastAsia" w:ascii="宋体" w:hAnsi="宋体"/>
          <w:color w:val="auto"/>
          <w:sz w:val="22"/>
          <w:szCs w:val="22"/>
          <w:highlight w:val="none"/>
        </w:rPr>
      </w:pPr>
      <w:r>
        <w:rPr>
          <w:rFonts w:hint="eastAsia" w:ascii="宋体" w:hAnsi="宋体"/>
          <w:color w:val="auto"/>
          <w:sz w:val="22"/>
          <w:szCs w:val="22"/>
          <w:highlight w:val="none"/>
        </w:rPr>
        <w:t>B、以邮务寄出的通知应在付邮（以邮戳日期为准）后第3天被视为有效；</w:t>
      </w:r>
    </w:p>
    <w:p w14:paraId="1F554DDA">
      <w:pPr>
        <w:tabs>
          <w:tab w:val="left" w:pos="360"/>
          <w:tab w:val="left" w:pos="900"/>
        </w:tabs>
        <w:snapToGrid w:val="0"/>
        <w:spacing w:line="400" w:lineRule="exact"/>
        <w:ind w:right="420" w:rightChars="200" w:firstLine="600"/>
        <w:rPr>
          <w:rFonts w:hint="eastAsia" w:ascii="宋体" w:hAnsi="宋体"/>
          <w:color w:val="auto"/>
          <w:sz w:val="22"/>
          <w:szCs w:val="22"/>
          <w:highlight w:val="none"/>
        </w:rPr>
      </w:pPr>
      <w:r>
        <w:rPr>
          <w:rFonts w:hint="eastAsia" w:ascii="宋体" w:hAnsi="宋体"/>
          <w:color w:val="auto"/>
          <w:sz w:val="22"/>
          <w:szCs w:val="22"/>
          <w:highlight w:val="none"/>
        </w:rPr>
        <w:t>C、以传真形式、手机短信形式发出的通知应于传真或手机短信发送完毕被视为有效。</w:t>
      </w:r>
    </w:p>
    <w:p w14:paraId="4F4C6929">
      <w:pPr>
        <w:tabs>
          <w:tab w:val="left" w:pos="540"/>
        </w:tabs>
        <w:snapToGrid w:val="0"/>
        <w:spacing w:line="400" w:lineRule="exact"/>
        <w:ind w:right="420" w:rightChars="200"/>
        <w:rPr>
          <w:rFonts w:hint="eastAsia" w:ascii="宋体" w:hAnsi="宋体"/>
          <w:color w:val="auto"/>
          <w:sz w:val="22"/>
          <w:szCs w:val="22"/>
          <w:highlight w:val="none"/>
        </w:rPr>
      </w:pPr>
      <w:r>
        <w:rPr>
          <w:rFonts w:hint="eastAsia" w:ascii="宋体" w:hAnsi="宋体"/>
          <w:color w:val="auto"/>
          <w:sz w:val="22"/>
          <w:szCs w:val="22"/>
          <w:highlight w:val="none"/>
        </w:rPr>
        <w:t>10、本合同一式肆份，甲乙双方各执贰份，自双方签字盖章后立即生效。</w:t>
      </w:r>
    </w:p>
    <w:p w14:paraId="1FB86FA8">
      <w:pPr>
        <w:tabs>
          <w:tab w:val="left" w:pos="540"/>
          <w:tab w:val="left" w:pos="1260"/>
        </w:tabs>
        <w:spacing w:line="300" w:lineRule="auto"/>
        <w:ind w:right="420" w:rightChars="200"/>
        <w:rPr>
          <w:rFonts w:hint="eastAsia" w:ascii="宋体" w:hAnsi="宋体"/>
          <w:color w:val="auto"/>
          <w:sz w:val="22"/>
          <w:szCs w:val="22"/>
          <w:highlight w:val="none"/>
        </w:rPr>
      </w:pPr>
    </w:p>
    <w:p w14:paraId="76A2617E">
      <w:pPr>
        <w:adjustRightInd w:val="0"/>
        <w:snapToGrid w:val="0"/>
        <w:spacing w:line="300" w:lineRule="auto"/>
        <w:ind w:right="420" w:rightChars="200" w:firstLine="880" w:firstLineChars="400"/>
        <w:rPr>
          <w:rFonts w:hint="eastAsia" w:ascii="宋体" w:hAnsi="宋体"/>
          <w:color w:val="auto"/>
          <w:sz w:val="22"/>
          <w:szCs w:val="22"/>
          <w:highlight w:val="none"/>
        </w:rPr>
      </w:pPr>
      <w:r>
        <w:rPr>
          <w:rFonts w:hint="eastAsia" w:ascii="宋体" w:hAnsi="宋体"/>
          <w:color w:val="auto"/>
          <w:sz w:val="22"/>
          <w:szCs w:val="22"/>
          <w:highlight w:val="none"/>
        </w:rPr>
        <w:t>甲方：                          甲方：</w:t>
      </w:r>
    </w:p>
    <w:p w14:paraId="21B595DF">
      <w:pPr>
        <w:adjustRightInd w:val="0"/>
        <w:snapToGrid w:val="0"/>
        <w:spacing w:line="300" w:lineRule="auto"/>
        <w:ind w:right="420" w:rightChars="200" w:firstLine="880" w:firstLineChars="400"/>
        <w:rPr>
          <w:rFonts w:hint="eastAsia" w:ascii="宋体" w:hAnsi="宋体"/>
          <w:color w:val="auto"/>
          <w:sz w:val="22"/>
          <w:szCs w:val="22"/>
          <w:highlight w:val="none"/>
        </w:rPr>
      </w:pPr>
      <w:r>
        <w:rPr>
          <w:rFonts w:hint="eastAsia" w:ascii="宋体" w:hAnsi="宋体"/>
          <w:color w:val="auto"/>
          <w:sz w:val="22"/>
          <w:szCs w:val="22"/>
          <w:highlight w:val="none"/>
        </w:rPr>
        <w:t>法定代表人：                    法定代表人：</w:t>
      </w:r>
    </w:p>
    <w:p w14:paraId="26FBD042">
      <w:pPr>
        <w:adjustRightInd w:val="0"/>
        <w:snapToGrid w:val="0"/>
        <w:spacing w:line="300" w:lineRule="auto"/>
        <w:ind w:right="420" w:rightChars="200" w:firstLine="880" w:firstLineChars="400"/>
        <w:rPr>
          <w:rFonts w:hint="eastAsia" w:ascii="宋体" w:hAnsi="宋体"/>
          <w:color w:val="auto"/>
          <w:sz w:val="22"/>
          <w:szCs w:val="22"/>
          <w:highlight w:val="none"/>
        </w:rPr>
      </w:pPr>
      <w:r>
        <w:rPr>
          <w:rFonts w:hint="eastAsia" w:ascii="宋体" w:hAnsi="宋体"/>
          <w:color w:val="auto"/>
          <w:sz w:val="22"/>
          <w:szCs w:val="22"/>
          <w:highlight w:val="none"/>
        </w:rPr>
        <w:t>委托代理人：                    委托代理人：</w:t>
      </w:r>
    </w:p>
    <w:p w14:paraId="3139C256">
      <w:pPr>
        <w:adjustRightInd w:val="0"/>
        <w:snapToGrid w:val="0"/>
        <w:spacing w:line="300" w:lineRule="auto"/>
        <w:ind w:right="420" w:rightChars="200" w:firstLine="880" w:firstLineChars="400"/>
        <w:rPr>
          <w:rFonts w:hint="eastAsia" w:ascii="宋体" w:hAnsi="宋体"/>
          <w:color w:val="auto"/>
          <w:sz w:val="22"/>
          <w:szCs w:val="22"/>
          <w:highlight w:val="none"/>
        </w:rPr>
      </w:pPr>
      <w:r>
        <w:rPr>
          <w:rFonts w:hint="eastAsia" w:ascii="宋体" w:hAnsi="宋体"/>
          <w:color w:val="auto"/>
          <w:sz w:val="22"/>
          <w:szCs w:val="22"/>
          <w:highlight w:val="none"/>
        </w:rPr>
        <w:t>电  话：                        电  话：</w:t>
      </w:r>
    </w:p>
    <w:p w14:paraId="643734C7">
      <w:pPr>
        <w:adjustRightInd w:val="0"/>
        <w:snapToGrid w:val="0"/>
        <w:spacing w:line="300" w:lineRule="auto"/>
        <w:ind w:right="420" w:rightChars="200" w:firstLine="880" w:firstLineChars="400"/>
        <w:rPr>
          <w:rFonts w:hint="eastAsia" w:ascii="宋体" w:hAnsi="宋体"/>
          <w:color w:val="auto"/>
          <w:sz w:val="22"/>
          <w:szCs w:val="22"/>
          <w:highlight w:val="none"/>
        </w:rPr>
      </w:pPr>
      <w:r>
        <w:rPr>
          <w:rFonts w:hint="eastAsia" w:ascii="宋体" w:hAnsi="宋体"/>
          <w:color w:val="auto"/>
          <w:sz w:val="22"/>
          <w:szCs w:val="22"/>
          <w:highlight w:val="none"/>
        </w:rPr>
        <w:t>传  真：                        传  真：</w:t>
      </w:r>
    </w:p>
    <w:p w14:paraId="477100A4">
      <w:pPr>
        <w:adjustRightInd w:val="0"/>
        <w:snapToGrid w:val="0"/>
        <w:spacing w:line="300" w:lineRule="auto"/>
        <w:ind w:right="420" w:rightChars="200" w:firstLine="880" w:firstLineChars="400"/>
        <w:rPr>
          <w:rFonts w:hint="eastAsia" w:ascii="宋体" w:hAnsi="宋体"/>
          <w:color w:val="auto"/>
          <w:sz w:val="22"/>
          <w:szCs w:val="22"/>
          <w:highlight w:val="none"/>
        </w:rPr>
      </w:pPr>
      <w:r>
        <w:rPr>
          <w:rFonts w:hint="eastAsia" w:ascii="宋体" w:hAnsi="宋体"/>
          <w:color w:val="auto"/>
          <w:sz w:val="22"/>
          <w:szCs w:val="22"/>
          <w:highlight w:val="none"/>
        </w:rPr>
        <w:t>开户银行：                      开户银行：</w:t>
      </w:r>
    </w:p>
    <w:p w14:paraId="32F563A2">
      <w:pPr>
        <w:adjustRightInd w:val="0"/>
        <w:snapToGrid w:val="0"/>
        <w:spacing w:line="300" w:lineRule="auto"/>
        <w:ind w:right="420" w:rightChars="200" w:firstLine="880" w:firstLineChars="400"/>
        <w:rPr>
          <w:rFonts w:hint="eastAsia" w:ascii="宋体" w:hAnsi="宋体"/>
          <w:color w:val="auto"/>
          <w:sz w:val="22"/>
          <w:szCs w:val="22"/>
          <w:highlight w:val="none"/>
        </w:rPr>
      </w:pPr>
      <w:r>
        <w:rPr>
          <w:rFonts w:hint="eastAsia" w:ascii="宋体" w:hAnsi="宋体"/>
          <w:color w:val="auto"/>
          <w:sz w:val="22"/>
          <w:szCs w:val="22"/>
          <w:highlight w:val="none"/>
        </w:rPr>
        <w:t>帐  号：                        帐  号：</w:t>
      </w:r>
    </w:p>
    <w:p w14:paraId="558FBF99">
      <w:pPr>
        <w:pStyle w:val="7"/>
        <w:spacing w:line="460" w:lineRule="exact"/>
        <w:jc w:val="center"/>
        <w:rPr>
          <w:rStyle w:val="61"/>
          <w:rFonts w:hint="eastAsia"/>
          <w:b w:val="0"/>
          <w:color w:val="auto"/>
          <w:highlight w:val="none"/>
        </w:rPr>
      </w:pPr>
      <w:r>
        <w:rPr>
          <w:rStyle w:val="61"/>
          <w:rFonts w:hint="eastAsia"/>
          <w:b/>
          <w:bCs/>
          <w:color w:val="auto"/>
          <w:sz w:val="22"/>
          <w:szCs w:val="22"/>
          <w:highlight w:val="none"/>
        </w:rPr>
        <w:br w:type="page"/>
      </w:r>
      <w:bookmarkStart w:id="94" w:name="_Toc51171095"/>
      <w:r>
        <w:rPr>
          <w:rStyle w:val="61"/>
          <w:rFonts w:hint="eastAsia"/>
          <w:b/>
          <w:bCs/>
          <w:color w:val="auto"/>
          <w:highlight w:val="none"/>
        </w:rPr>
        <w:t>合同格式</w:t>
      </w:r>
      <w:bookmarkEnd w:id="93"/>
      <w:bookmarkEnd w:id="94"/>
    </w:p>
    <w:p w14:paraId="6B296F04">
      <w:pPr>
        <w:snapToGrid w:val="0"/>
        <w:spacing w:line="400" w:lineRule="exact"/>
        <w:ind w:right="420" w:rightChars="200"/>
        <w:rPr>
          <w:rFonts w:hint="eastAsia" w:ascii="宋体" w:hAnsi="宋体"/>
          <w:color w:val="auto"/>
          <w:spacing w:val="6"/>
          <w:sz w:val="22"/>
          <w:szCs w:val="22"/>
          <w:highlight w:val="none"/>
        </w:rPr>
      </w:pPr>
      <w:r>
        <w:rPr>
          <w:rFonts w:hint="eastAsia" w:ascii="宋体" w:hAnsi="宋体"/>
          <w:color w:val="auto"/>
          <w:spacing w:val="6"/>
          <w:sz w:val="22"/>
          <w:szCs w:val="22"/>
          <w:highlight w:val="none"/>
        </w:rPr>
        <w:t xml:space="preserve">买方（甲方）： </w:t>
      </w:r>
      <w:r>
        <w:rPr>
          <w:rFonts w:hint="eastAsia" w:ascii="宋体" w:hAnsi="宋体"/>
          <w:color w:val="auto"/>
          <w:spacing w:val="6"/>
          <w:sz w:val="22"/>
          <w:szCs w:val="22"/>
          <w:highlight w:val="none"/>
          <w:u w:val="single"/>
        </w:rPr>
        <w:t xml:space="preserve"> </w:t>
      </w:r>
      <w:r>
        <w:rPr>
          <w:rFonts w:hint="eastAsia" w:ascii="宋体" w:hAnsi="宋体"/>
          <w:color w:val="auto"/>
          <w:spacing w:val="6"/>
          <w:sz w:val="22"/>
          <w:szCs w:val="22"/>
          <w:highlight w:val="none"/>
          <w:u w:val="single"/>
          <w:lang w:val="en-US" w:eastAsia="zh-CN"/>
        </w:rPr>
        <w:t xml:space="preserve">                         </w:t>
      </w:r>
      <w:r>
        <w:rPr>
          <w:rFonts w:hint="eastAsia" w:ascii="宋体" w:hAnsi="宋体"/>
          <w:color w:val="auto"/>
          <w:spacing w:val="6"/>
          <w:sz w:val="22"/>
          <w:szCs w:val="22"/>
          <w:highlight w:val="none"/>
          <w:u w:val="single"/>
        </w:rPr>
        <w:t xml:space="preserve"> </w:t>
      </w:r>
      <w:r>
        <w:rPr>
          <w:rFonts w:hint="eastAsia" w:ascii="宋体" w:hAnsi="宋体"/>
          <w:color w:val="auto"/>
          <w:spacing w:val="6"/>
          <w:sz w:val="22"/>
          <w:szCs w:val="22"/>
          <w:highlight w:val="none"/>
        </w:rPr>
        <w:t xml:space="preserve">      </w:t>
      </w:r>
    </w:p>
    <w:p w14:paraId="7D606755">
      <w:pPr>
        <w:snapToGrid w:val="0"/>
        <w:spacing w:line="400" w:lineRule="exact"/>
        <w:ind w:right="420" w:rightChars="200"/>
        <w:rPr>
          <w:rFonts w:hint="eastAsia" w:ascii="宋体" w:hAnsi="宋体"/>
          <w:color w:val="auto"/>
          <w:spacing w:val="6"/>
          <w:sz w:val="22"/>
          <w:szCs w:val="22"/>
          <w:highlight w:val="none"/>
        </w:rPr>
      </w:pPr>
      <w:r>
        <w:rPr>
          <w:rFonts w:hint="eastAsia" w:ascii="宋体" w:hAnsi="宋体"/>
          <w:color w:val="auto"/>
          <w:spacing w:val="6"/>
          <w:sz w:val="22"/>
          <w:szCs w:val="22"/>
          <w:highlight w:val="none"/>
        </w:rPr>
        <w:t xml:space="preserve">卖方（乙方）: </w:t>
      </w:r>
      <w:r>
        <w:rPr>
          <w:rFonts w:hint="eastAsia" w:ascii="宋体" w:hAnsi="宋体"/>
          <w:color w:val="auto"/>
          <w:spacing w:val="6"/>
          <w:sz w:val="22"/>
          <w:szCs w:val="22"/>
          <w:highlight w:val="none"/>
          <w:u w:val="single"/>
        </w:rPr>
        <w:t xml:space="preserve">                            </w:t>
      </w:r>
      <w:r>
        <w:rPr>
          <w:rFonts w:hint="eastAsia" w:ascii="宋体" w:hAnsi="宋体"/>
          <w:color w:val="auto"/>
          <w:spacing w:val="6"/>
          <w:sz w:val="22"/>
          <w:szCs w:val="22"/>
          <w:highlight w:val="none"/>
        </w:rPr>
        <w:t xml:space="preserve">                              </w:t>
      </w:r>
    </w:p>
    <w:p w14:paraId="7E4CB115">
      <w:pPr>
        <w:snapToGrid w:val="0"/>
        <w:spacing w:line="400" w:lineRule="exact"/>
        <w:ind w:right="420" w:rightChars="200" w:firstLine="464" w:firstLineChars="200"/>
        <w:rPr>
          <w:rFonts w:hint="eastAsia" w:ascii="宋体" w:hAnsi="宋体"/>
          <w:color w:val="auto"/>
          <w:spacing w:val="6"/>
          <w:sz w:val="22"/>
          <w:szCs w:val="22"/>
          <w:highlight w:val="none"/>
        </w:rPr>
      </w:pPr>
      <w:r>
        <w:rPr>
          <w:rFonts w:hint="eastAsia" w:ascii="宋体" w:hAnsi="宋体"/>
          <w:color w:val="auto"/>
          <w:spacing w:val="6"/>
          <w:sz w:val="22"/>
          <w:szCs w:val="22"/>
          <w:highlight w:val="none"/>
        </w:rPr>
        <w:t>甲方因工程建设需要，计划采购</w:t>
      </w:r>
      <w:r>
        <w:rPr>
          <w:rFonts w:hint="eastAsia" w:ascii="宋体" w:hAnsi="宋体"/>
          <w:color w:val="auto"/>
          <w:spacing w:val="6"/>
          <w:sz w:val="22"/>
          <w:szCs w:val="22"/>
          <w:highlight w:val="none"/>
          <w:lang w:val="en-US" w:eastAsia="zh-CN"/>
        </w:rPr>
        <w:t>燃料油</w:t>
      </w:r>
      <w:r>
        <w:rPr>
          <w:rFonts w:hint="eastAsia" w:ascii="宋体" w:hAnsi="宋体"/>
          <w:color w:val="auto"/>
          <w:spacing w:val="6"/>
          <w:sz w:val="22"/>
          <w:szCs w:val="22"/>
          <w:highlight w:val="none"/>
        </w:rPr>
        <w:t>一批，现甲乙双方经友好协商，达成如下买卖合同：</w:t>
      </w:r>
    </w:p>
    <w:p w14:paraId="30EFB45C">
      <w:pPr>
        <w:spacing w:line="440" w:lineRule="exact"/>
        <w:ind w:firstLine="541" w:firstLineChars="245"/>
        <w:rPr>
          <w:rFonts w:hint="eastAsia" w:ascii="新宋体" w:hAnsi="新宋体" w:eastAsia="新宋体"/>
          <w:b/>
          <w:color w:val="000000"/>
          <w:sz w:val="22"/>
          <w:szCs w:val="22"/>
        </w:rPr>
      </w:pPr>
      <w:r>
        <w:rPr>
          <w:rFonts w:hint="eastAsia" w:ascii="新宋体" w:hAnsi="新宋体" w:eastAsia="新宋体"/>
          <w:b/>
          <w:color w:val="000000"/>
          <w:sz w:val="22"/>
          <w:szCs w:val="22"/>
          <w:lang w:eastAsia="zh-CN"/>
        </w:rPr>
        <w:t>（</w:t>
      </w:r>
      <w:r>
        <w:rPr>
          <w:rFonts w:hint="eastAsia" w:ascii="新宋体" w:hAnsi="新宋体" w:eastAsia="新宋体"/>
          <w:b/>
          <w:color w:val="000000"/>
          <w:sz w:val="22"/>
          <w:szCs w:val="22"/>
          <w:lang w:val="en-US" w:eastAsia="zh-CN"/>
        </w:rPr>
        <w:t>一</w:t>
      </w:r>
      <w:r>
        <w:rPr>
          <w:rFonts w:hint="eastAsia" w:ascii="新宋体" w:hAnsi="新宋体" w:eastAsia="新宋体"/>
          <w:b/>
          <w:color w:val="000000"/>
          <w:sz w:val="22"/>
          <w:szCs w:val="22"/>
          <w:lang w:eastAsia="zh-CN"/>
        </w:rPr>
        <w:t>）、</w:t>
      </w:r>
      <w:r>
        <w:rPr>
          <w:rFonts w:hint="eastAsia" w:ascii="新宋体" w:hAnsi="新宋体" w:eastAsia="新宋体"/>
          <w:b/>
          <w:color w:val="000000"/>
          <w:sz w:val="22"/>
          <w:szCs w:val="22"/>
        </w:rPr>
        <w:t>合同金额、数量：（单位：吨）</w:t>
      </w:r>
    </w:p>
    <w:tbl>
      <w:tblPr>
        <w:tblStyle w:val="23"/>
        <w:tblW w:w="98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8"/>
        <w:gridCol w:w="1440"/>
        <w:gridCol w:w="1500"/>
        <w:gridCol w:w="1589"/>
        <w:gridCol w:w="1246"/>
        <w:gridCol w:w="1481"/>
        <w:gridCol w:w="1249"/>
      </w:tblGrid>
      <w:tr w14:paraId="5337B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8" w:type="dxa"/>
            <w:noWrap w:val="0"/>
            <w:vAlign w:val="center"/>
          </w:tcPr>
          <w:p w14:paraId="1B6F12BE">
            <w:pPr>
              <w:spacing w:line="440" w:lineRule="exact"/>
              <w:jc w:val="center"/>
              <w:rPr>
                <w:rFonts w:hint="eastAsia" w:ascii="宋体" w:hAnsi="宋体"/>
                <w:color w:val="000000"/>
                <w:sz w:val="22"/>
                <w:szCs w:val="22"/>
              </w:rPr>
            </w:pPr>
            <w:r>
              <w:rPr>
                <w:rFonts w:hint="eastAsia" w:ascii="宋体" w:hAnsi="宋体"/>
                <w:color w:val="000000"/>
                <w:sz w:val="22"/>
                <w:szCs w:val="22"/>
              </w:rPr>
              <w:t>油品号</w:t>
            </w:r>
          </w:p>
        </w:tc>
        <w:tc>
          <w:tcPr>
            <w:tcW w:w="1440" w:type="dxa"/>
            <w:noWrap w:val="0"/>
            <w:vAlign w:val="center"/>
          </w:tcPr>
          <w:p w14:paraId="05370280">
            <w:pPr>
              <w:spacing w:line="440" w:lineRule="exact"/>
              <w:jc w:val="center"/>
              <w:rPr>
                <w:rFonts w:hint="eastAsia" w:ascii="宋体" w:hAnsi="宋体"/>
                <w:color w:val="000000"/>
                <w:sz w:val="22"/>
                <w:szCs w:val="22"/>
              </w:rPr>
            </w:pPr>
            <w:r>
              <w:rPr>
                <w:rFonts w:hint="eastAsia" w:ascii="宋体" w:hAnsi="宋体"/>
                <w:color w:val="000000"/>
                <w:sz w:val="22"/>
                <w:szCs w:val="22"/>
              </w:rPr>
              <w:t>数   量</w:t>
            </w:r>
          </w:p>
        </w:tc>
        <w:tc>
          <w:tcPr>
            <w:tcW w:w="1500" w:type="dxa"/>
            <w:noWrap w:val="0"/>
            <w:vAlign w:val="center"/>
          </w:tcPr>
          <w:p w14:paraId="4481731B">
            <w:pPr>
              <w:spacing w:line="440" w:lineRule="exact"/>
              <w:jc w:val="center"/>
              <w:rPr>
                <w:rFonts w:hint="eastAsia" w:ascii="宋体" w:hAnsi="宋体"/>
                <w:color w:val="000000"/>
                <w:sz w:val="22"/>
                <w:szCs w:val="22"/>
              </w:rPr>
            </w:pPr>
            <w:r>
              <w:rPr>
                <w:rFonts w:hint="eastAsia" w:ascii="宋体" w:hAnsi="宋体"/>
                <w:color w:val="000000"/>
                <w:sz w:val="22"/>
                <w:szCs w:val="22"/>
              </w:rPr>
              <w:t>质量等级</w:t>
            </w:r>
          </w:p>
        </w:tc>
        <w:tc>
          <w:tcPr>
            <w:tcW w:w="1589" w:type="dxa"/>
            <w:tcBorders>
              <w:right w:val="single" w:color="auto" w:sz="4" w:space="0"/>
            </w:tcBorders>
            <w:noWrap w:val="0"/>
            <w:vAlign w:val="center"/>
          </w:tcPr>
          <w:p w14:paraId="59E30162">
            <w:pPr>
              <w:widowControl/>
              <w:spacing w:line="440" w:lineRule="exact"/>
              <w:jc w:val="center"/>
              <w:rPr>
                <w:rFonts w:hint="eastAsia" w:ascii="宋体" w:hAnsi="宋体" w:cs="宋体"/>
                <w:color w:val="000000"/>
                <w:kern w:val="0"/>
                <w:sz w:val="22"/>
                <w:szCs w:val="22"/>
              </w:rPr>
            </w:pPr>
            <w:r>
              <w:rPr>
                <w:rFonts w:hint="eastAsia" w:ascii="宋体" w:hAnsi="宋体" w:cs="Arial"/>
                <w:color w:val="000000"/>
                <w:kern w:val="0"/>
                <w:sz w:val="22"/>
                <w:szCs w:val="22"/>
              </w:rPr>
              <w:t>基准价</w:t>
            </w:r>
          </w:p>
        </w:tc>
        <w:tc>
          <w:tcPr>
            <w:tcW w:w="1246" w:type="dxa"/>
            <w:tcBorders>
              <w:left w:val="single" w:color="auto" w:sz="4" w:space="0"/>
            </w:tcBorders>
            <w:noWrap w:val="0"/>
            <w:vAlign w:val="center"/>
          </w:tcPr>
          <w:p w14:paraId="73C3E30F">
            <w:pPr>
              <w:widowControl/>
              <w:spacing w:line="440" w:lineRule="exact"/>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折扣</w:t>
            </w:r>
            <w:r>
              <w:rPr>
                <w:rFonts w:hint="eastAsia" w:ascii="宋体" w:hAnsi="宋体" w:cs="宋体"/>
                <w:color w:val="000000"/>
                <w:kern w:val="0"/>
                <w:sz w:val="22"/>
                <w:szCs w:val="22"/>
              </w:rPr>
              <w:t>率</w:t>
            </w:r>
          </w:p>
        </w:tc>
        <w:tc>
          <w:tcPr>
            <w:tcW w:w="1481" w:type="dxa"/>
            <w:tcBorders>
              <w:right w:val="single" w:color="auto" w:sz="4" w:space="0"/>
            </w:tcBorders>
            <w:noWrap w:val="0"/>
            <w:vAlign w:val="center"/>
          </w:tcPr>
          <w:p w14:paraId="2C518D23">
            <w:pPr>
              <w:widowControl/>
              <w:spacing w:line="44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供应价</w:t>
            </w:r>
          </w:p>
        </w:tc>
        <w:tc>
          <w:tcPr>
            <w:tcW w:w="1249" w:type="dxa"/>
            <w:tcBorders>
              <w:left w:val="single" w:color="auto" w:sz="4" w:space="0"/>
            </w:tcBorders>
            <w:noWrap w:val="0"/>
            <w:vAlign w:val="center"/>
          </w:tcPr>
          <w:p w14:paraId="53BA1162">
            <w:pPr>
              <w:spacing w:line="440" w:lineRule="exact"/>
              <w:jc w:val="center"/>
              <w:rPr>
                <w:rFonts w:hint="eastAsia" w:ascii="宋体" w:hAnsi="宋体"/>
                <w:color w:val="000000"/>
                <w:sz w:val="22"/>
                <w:szCs w:val="22"/>
              </w:rPr>
            </w:pPr>
            <w:r>
              <w:rPr>
                <w:rFonts w:hint="eastAsia" w:ascii="宋体" w:hAnsi="宋体"/>
                <w:color w:val="000000"/>
                <w:sz w:val="22"/>
                <w:szCs w:val="22"/>
              </w:rPr>
              <w:t>备注</w:t>
            </w:r>
          </w:p>
        </w:tc>
      </w:tr>
      <w:tr w14:paraId="5C2F6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8" w:type="dxa"/>
            <w:noWrap w:val="0"/>
            <w:vAlign w:val="center"/>
          </w:tcPr>
          <w:p w14:paraId="2267F097">
            <w:pPr>
              <w:spacing w:line="440" w:lineRule="exact"/>
              <w:jc w:val="center"/>
              <w:rPr>
                <w:rFonts w:hint="eastAsia" w:ascii="宋体" w:hAnsi="宋体"/>
                <w:color w:val="000000"/>
                <w:sz w:val="22"/>
                <w:szCs w:val="22"/>
              </w:rPr>
            </w:pPr>
          </w:p>
        </w:tc>
        <w:tc>
          <w:tcPr>
            <w:tcW w:w="1440" w:type="dxa"/>
            <w:noWrap w:val="0"/>
            <w:vAlign w:val="center"/>
          </w:tcPr>
          <w:p w14:paraId="3A6EB60C">
            <w:pPr>
              <w:spacing w:line="440" w:lineRule="exact"/>
              <w:jc w:val="center"/>
              <w:rPr>
                <w:rFonts w:hint="eastAsia" w:ascii="宋体" w:hAnsi="宋体"/>
                <w:color w:val="000000"/>
                <w:sz w:val="22"/>
                <w:szCs w:val="22"/>
              </w:rPr>
            </w:pPr>
          </w:p>
        </w:tc>
        <w:tc>
          <w:tcPr>
            <w:tcW w:w="1500" w:type="dxa"/>
            <w:noWrap w:val="0"/>
            <w:vAlign w:val="center"/>
          </w:tcPr>
          <w:p w14:paraId="47C344E0">
            <w:pPr>
              <w:spacing w:line="440" w:lineRule="exact"/>
              <w:jc w:val="center"/>
              <w:rPr>
                <w:rFonts w:hint="eastAsia" w:ascii="宋体" w:hAnsi="宋体"/>
                <w:color w:val="000000"/>
                <w:sz w:val="22"/>
                <w:szCs w:val="22"/>
              </w:rPr>
            </w:pPr>
          </w:p>
        </w:tc>
        <w:tc>
          <w:tcPr>
            <w:tcW w:w="1589" w:type="dxa"/>
            <w:tcBorders>
              <w:right w:val="single" w:color="auto" w:sz="4" w:space="0"/>
            </w:tcBorders>
            <w:noWrap w:val="0"/>
            <w:vAlign w:val="center"/>
          </w:tcPr>
          <w:p w14:paraId="6B5BBF3D">
            <w:pPr>
              <w:spacing w:line="440" w:lineRule="exact"/>
              <w:jc w:val="center"/>
              <w:rPr>
                <w:rFonts w:hint="eastAsia" w:ascii="宋体" w:hAnsi="宋体"/>
                <w:color w:val="000000"/>
                <w:sz w:val="22"/>
                <w:szCs w:val="22"/>
              </w:rPr>
            </w:pPr>
          </w:p>
        </w:tc>
        <w:tc>
          <w:tcPr>
            <w:tcW w:w="1246" w:type="dxa"/>
            <w:tcBorders>
              <w:left w:val="single" w:color="auto" w:sz="4" w:space="0"/>
            </w:tcBorders>
            <w:noWrap w:val="0"/>
            <w:vAlign w:val="center"/>
          </w:tcPr>
          <w:p w14:paraId="03038399">
            <w:pPr>
              <w:spacing w:line="440" w:lineRule="exact"/>
              <w:jc w:val="center"/>
              <w:rPr>
                <w:rFonts w:hint="eastAsia" w:ascii="宋体" w:hAnsi="宋体"/>
                <w:color w:val="000000"/>
                <w:sz w:val="22"/>
                <w:szCs w:val="22"/>
              </w:rPr>
            </w:pPr>
          </w:p>
        </w:tc>
        <w:tc>
          <w:tcPr>
            <w:tcW w:w="1481" w:type="dxa"/>
            <w:tcBorders>
              <w:right w:val="single" w:color="auto" w:sz="4" w:space="0"/>
            </w:tcBorders>
            <w:noWrap w:val="0"/>
            <w:vAlign w:val="center"/>
          </w:tcPr>
          <w:p w14:paraId="58761952">
            <w:pPr>
              <w:spacing w:line="440" w:lineRule="exact"/>
              <w:jc w:val="center"/>
              <w:rPr>
                <w:rFonts w:hint="eastAsia" w:ascii="宋体" w:hAnsi="宋体"/>
                <w:color w:val="000000"/>
                <w:sz w:val="22"/>
                <w:szCs w:val="22"/>
              </w:rPr>
            </w:pPr>
          </w:p>
        </w:tc>
        <w:tc>
          <w:tcPr>
            <w:tcW w:w="1249" w:type="dxa"/>
            <w:tcBorders>
              <w:left w:val="single" w:color="auto" w:sz="4" w:space="0"/>
            </w:tcBorders>
            <w:noWrap w:val="0"/>
            <w:vAlign w:val="center"/>
          </w:tcPr>
          <w:p w14:paraId="0356623D">
            <w:pPr>
              <w:spacing w:line="440" w:lineRule="exact"/>
              <w:jc w:val="center"/>
              <w:rPr>
                <w:rFonts w:hint="eastAsia" w:ascii="宋体" w:hAnsi="宋体"/>
                <w:color w:val="000000"/>
                <w:sz w:val="22"/>
                <w:szCs w:val="22"/>
              </w:rPr>
            </w:pPr>
          </w:p>
        </w:tc>
      </w:tr>
    </w:tbl>
    <w:p w14:paraId="5EF01A13">
      <w:pPr>
        <w:widowControl/>
        <w:snapToGrid w:val="0"/>
        <w:spacing w:line="400" w:lineRule="exact"/>
        <w:ind w:right="420" w:rightChars="200" w:firstLine="464" w:firstLineChars="200"/>
        <w:rPr>
          <w:rFonts w:hint="eastAsia" w:ascii="宋体" w:hAnsi="宋体"/>
          <w:color w:val="auto"/>
          <w:spacing w:val="6"/>
          <w:sz w:val="22"/>
          <w:szCs w:val="22"/>
          <w:highlight w:val="none"/>
        </w:rPr>
      </w:pPr>
      <w:r>
        <w:rPr>
          <w:rFonts w:hint="eastAsia" w:ascii="宋体" w:hAnsi="宋体"/>
          <w:color w:val="auto"/>
          <w:spacing w:val="6"/>
          <w:sz w:val="22"/>
          <w:szCs w:val="22"/>
          <w:highlight w:val="none"/>
        </w:rPr>
        <w:t>注：1、本数量为暂定数量，最终以甲方验收单中确认的数量为准；</w:t>
      </w:r>
    </w:p>
    <w:p w14:paraId="734BFCE7">
      <w:pPr>
        <w:keepNext w:val="0"/>
        <w:keepLines w:val="0"/>
        <w:pageBreakBefore w:val="0"/>
        <w:widowControl/>
        <w:kinsoku/>
        <w:wordWrap w:val="0"/>
        <w:overflowPunct/>
        <w:topLinePunct w:val="0"/>
        <w:autoSpaceDE/>
        <w:autoSpaceDN/>
        <w:bidi w:val="0"/>
        <w:adjustRightInd/>
        <w:snapToGrid w:val="0"/>
        <w:spacing w:line="400" w:lineRule="exact"/>
        <w:ind w:right="420" w:rightChars="200" w:firstLine="928" w:firstLineChars="400"/>
        <w:textAlignment w:val="auto"/>
        <w:rPr>
          <w:rFonts w:hint="eastAsia" w:ascii="宋体" w:hAnsi="宋体" w:eastAsia="宋体"/>
          <w:color w:val="auto"/>
          <w:spacing w:val="6"/>
          <w:sz w:val="22"/>
          <w:szCs w:val="22"/>
          <w:highlight w:val="none"/>
          <w:lang w:val="en-US" w:eastAsia="zh-CN"/>
        </w:rPr>
      </w:pPr>
      <w:r>
        <w:rPr>
          <w:rFonts w:hint="eastAsia" w:ascii="宋体" w:hAnsi="宋体"/>
          <w:color w:val="auto"/>
          <w:spacing w:val="6"/>
          <w:sz w:val="22"/>
          <w:szCs w:val="22"/>
          <w:highlight w:val="none"/>
        </w:rPr>
        <w:t>2、本合同批次</w:t>
      </w:r>
      <w:r>
        <w:rPr>
          <w:rFonts w:hint="eastAsia" w:ascii="宋体" w:hAnsi="宋体" w:cs="Arial"/>
          <w:b/>
          <w:bCs/>
          <w:color w:val="auto"/>
          <w:sz w:val="22"/>
          <w:szCs w:val="22"/>
          <w:highlight w:val="none"/>
          <w:lang w:val="en-US" w:eastAsia="zh-CN"/>
        </w:rPr>
        <w:t>热喷燃烧油</w:t>
      </w:r>
      <w:r>
        <w:rPr>
          <w:rFonts w:hint="eastAsia" w:ascii="宋体" w:hAnsi="宋体"/>
          <w:color w:val="auto"/>
          <w:spacing w:val="6"/>
          <w:sz w:val="22"/>
          <w:szCs w:val="22"/>
          <w:highlight w:val="none"/>
        </w:rPr>
        <w:t>价</w:t>
      </w:r>
      <w:r>
        <w:rPr>
          <w:rFonts w:hint="eastAsia" w:ascii="宋体" w:hAnsi="宋体"/>
          <w:color w:val="auto"/>
          <w:spacing w:val="6"/>
          <w:sz w:val="22"/>
          <w:szCs w:val="22"/>
          <w:highlight w:val="none"/>
          <w:u w:val="single"/>
        </w:rPr>
        <w:t xml:space="preserve">             </w:t>
      </w:r>
      <w:r>
        <w:rPr>
          <w:rFonts w:hint="eastAsia" w:ascii="宋体" w:hAnsi="宋体"/>
          <w:color w:val="auto"/>
          <w:spacing w:val="6"/>
          <w:sz w:val="22"/>
          <w:szCs w:val="22"/>
          <w:highlight w:val="none"/>
        </w:rPr>
        <w:t>元/吨（附</w:t>
      </w:r>
      <w:r>
        <w:rPr>
          <w:rFonts w:hint="eastAsia" w:ascii="宋体" w:hAnsi="宋体"/>
          <w:bCs/>
          <w:color w:val="auto"/>
          <w:sz w:val="22"/>
          <w:szCs w:val="22"/>
          <w:highlight w:val="none"/>
        </w:rPr>
        <w:t>“生意社”网站（</w:t>
      </w:r>
      <w:r>
        <w:rPr>
          <w:rFonts w:hint="eastAsia" w:ascii="宋体" w:hAnsi="宋体"/>
          <w:bCs/>
          <w:color w:val="auto"/>
          <w:sz w:val="22"/>
          <w:szCs w:val="22"/>
          <w:highlight w:val="none"/>
        </w:rPr>
        <w:fldChar w:fldCharType="begin"/>
      </w:r>
      <w:r>
        <w:rPr>
          <w:rFonts w:hint="eastAsia" w:ascii="宋体" w:hAnsi="宋体"/>
          <w:bCs/>
          <w:color w:val="auto"/>
          <w:sz w:val="22"/>
          <w:szCs w:val="22"/>
          <w:highlight w:val="none"/>
        </w:rPr>
        <w:instrText xml:space="preserve"> HYPERLINK "http://www.100ppi.com/" </w:instrText>
      </w:r>
      <w:r>
        <w:rPr>
          <w:rFonts w:hint="eastAsia" w:ascii="宋体" w:hAnsi="宋体"/>
          <w:bCs/>
          <w:color w:val="auto"/>
          <w:sz w:val="22"/>
          <w:szCs w:val="22"/>
          <w:highlight w:val="none"/>
        </w:rPr>
        <w:fldChar w:fldCharType="separate"/>
      </w:r>
      <w:r>
        <w:rPr>
          <w:rFonts w:hint="eastAsia" w:ascii="宋体" w:hAnsi="宋体"/>
          <w:bCs/>
          <w:color w:val="auto"/>
          <w:sz w:val="22"/>
          <w:szCs w:val="22"/>
          <w:highlight w:val="none"/>
        </w:rPr>
        <w:t>http://www.100ppi.com/</w:t>
      </w:r>
      <w:r>
        <w:rPr>
          <w:rFonts w:hint="eastAsia" w:ascii="宋体" w:hAnsi="宋体"/>
          <w:bCs/>
          <w:color w:val="auto"/>
          <w:sz w:val="22"/>
          <w:szCs w:val="22"/>
          <w:highlight w:val="none"/>
        </w:rPr>
        <w:fldChar w:fldCharType="end"/>
      </w:r>
      <w:r>
        <w:rPr>
          <w:rFonts w:hint="eastAsia" w:ascii="宋体" w:hAnsi="宋体"/>
          <w:bCs/>
          <w:color w:val="auto"/>
          <w:sz w:val="22"/>
          <w:szCs w:val="22"/>
          <w:highlight w:val="none"/>
        </w:rPr>
        <w:t>）</w:t>
      </w:r>
      <w:r>
        <w:rPr>
          <w:rFonts w:hint="eastAsia" w:ascii="宋体" w:hAnsi="宋体"/>
          <w:bCs/>
          <w:color w:val="auto"/>
          <w:sz w:val="22"/>
          <w:szCs w:val="22"/>
          <w:highlight w:val="none"/>
          <w:lang w:val="en-US" w:eastAsia="zh-CN"/>
        </w:rPr>
        <w:t>最新</w:t>
      </w:r>
      <w:r>
        <w:rPr>
          <w:rFonts w:hint="eastAsia" w:ascii="宋体" w:hAnsi="宋体"/>
          <w:bCs/>
          <w:color w:val="auto"/>
          <w:sz w:val="22"/>
          <w:szCs w:val="22"/>
          <w:highlight w:val="none"/>
        </w:rPr>
        <w:t>发布的中燃（型号：180CST）宁波地区市场价</w:t>
      </w:r>
      <w:r>
        <w:rPr>
          <w:rFonts w:hint="eastAsia" w:ascii="宋体" w:hAnsi="宋体"/>
          <w:bCs/>
          <w:color w:val="auto"/>
          <w:sz w:val="22"/>
          <w:szCs w:val="22"/>
          <w:highlight w:val="none"/>
          <w:lang w:eastAsia="zh-CN"/>
        </w:rPr>
        <w:t>的</w:t>
      </w:r>
      <w:r>
        <w:rPr>
          <w:rFonts w:hint="eastAsia" w:ascii="宋体" w:hAnsi="宋体"/>
          <w:bCs/>
          <w:color w:val="auto"/>
          <w:sz w:val="22"/>
          <w:szCs w:val="22"/>
          <w:highlight w:val="none"/>
          <w:lang w:val="en-US" w:eastAsia="zh-CN"/>
        </w:rPr>
        <w:t>100%</w:t>
      </w:r>
      <w:r>
        <w:rPr>
          <w:rFonts w:hint="eastAsia" w:ascii="宋体" w:hAnsi="宋体"/>
          <w:color w:val="auto"/>
          <w:spacing w:val="6"/>
          <w:sz w:val="22"/>
          <w:szCs w:val="22"/>
          <w:highlight w:val="none"/>
        </w:rPr>
        <w:t>），本批次合同单价确定为</w:t>
      </w:r>
      <w:r>
        <w:rPr>
          <w:rFonts w:hint="eastAsia" w:ascii="宋体" w:hAnsi="宋体"/>
          <w:color w:val="auto"/>
          <w:spacing w:val="6"/>
          <w:sz w:val="22"/>
          <w:szCs w:val="22"/>
          <w:highlight w:val="none"/>
          <w:u w:val="single"/>
        </w:rPr>
        <w:t xml:space="preserve">          </w:t>
      </w:r>
      <w:r>
        <w:rPr>
          <w:rFonts w:hint="eastAsia" w:ascii="宋体" w:hAnsi="宋体"/>
          <w:color w:val="auto"/>
          <w:spacing w:val="6"/>
          <w:sz w:val="22"/>
          <w:szCs w:val="22"/>
          <w:highlight w:val="none"/>
        </w:rPr>
        <w:t>元/吨。</w:t>
      </w:r>
    </w:p>
    <w:p w14:paraId="06FD43A0">
      <w:pPr>
        <w:widowControl/>
        <w:snapToGrid w:val="0"/>
        <w:spacing w:line="400" w:lineRule="exact"/>
        <w:ind w:right="420" w:right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二、</w:t>
      </w:r>
      <w:r>
        <w:rPr>
          <w:rFonts w:hint="eastAsia" w:ascii="宋体" w:hAnsi="宋体" w:cs="宋体"/>
          <w:color w:val="auto"/>
          <w:kern w:val="0"/>
          <w:sz w:val="22"/>
          <w:szCs w:val="22"/>
          <w:highlight w:val="none"/>
        </w:rPr>
        <w:tab/>
      </w:r>
      <w:r>
        <w:rPr>
          <w:rFonts w:hint="eastAsia" w:ascii="宋体" w:hAnsi="宋体" w:cs="宋体"/>
          <w:color w:val="auto"/>
          <w:kern w:val="0"/>
          <w:sz w:val="22"/>
          <w:szCs w:val="22"/>
          <w:highlight w:val="none"/>
        </w:rPr>
        <w:t>供货批次：</w:t>
      </w:r>
    </w:p>
    <w:p w14:paraId="16B72377">
      <w:pPr>
        <w:widowControl/>
        <w:snapToGrid w:val="0"/>
        <w:spacing w:line="400" w:lineRule="exact"/>
        <w:ind w:right="420" w:rightChars="200"/>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rPr>
        <w:t>1、编号：</w:t>
      </w:r>
      <w:r>
        <w:rPr>
          <w:rFonts w:hint="eastAsia" w:ascii="宋体" w:hAnsi="宋体" w:cs="宋体"/>
          <w:color w:val="auto"/>
          <w:kern w:val="0"/>
          <w:sz w:val="22"/>
          <w:szCs w:val="22"/>
          <w:highlight w:val="none"/>
          <w:u w:val="single"/>
        </w:rPr>
        <w:t xml:space="preserve">                  </w:t>
      </w:r>
    </w:p>
    <w:p w14:paraId="56CEE1A4">
      <w:pPr>
        <w:widowControl/>
        <w:snapToGrid w:val="0"/>
        <w:spacing w:line="400" w:lineRule="exact"/>
        <w:ind w:right="420" w:right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2、供货时间</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日</w:t>
      </w:r>
    </w:p>
    <w:p w14:paraId="1D2112B4">
      <w:pPr>
        <w:snapToGrid w:val="0"/>
        <w:spacing w:line="400" w:lineRule="exact"/>
        <w:ind w:right="420" w:rightChars="200"/>
        <w:rPr>
          <w:rFonts w:hint="eastAsia" w:ascii="宋体" w:hAnsi="宋体" w:cs="宋体"/>
          <w:color w:val="auto"/>
          <w:kern w:val="0"/>
          <w:sz w:val="22"/>
          <w:szCs w:val="22"/>
          <w:highlight w:val="none"/>
          <w:u w:val="single"/>
        </w:rPr>
      </w:pPr>
      <w:r>
        <w:rPr>
          <w:rFonts w:hint="eastAsia" w:ascii="宋体" w:hAnsi="宋体" w:cs="宋体"/>
          <w:color w:val="auto"/>
          <w:kern w:val="0"/>
          <w:sz w:val="22"/>
          <w:szCs w:val="22"/>
          <w:highlight w:val="none"/>
        </w:rPr>
        <w:t>3、交货地点：</w:t>
      </w:r>
      <w:r>
        <w:rPr>
          <w:rFonts w:hint="eastAsia" w:ascii="宋体" w:hAnsi="宋体" w:cs="宋体"/>
          <w:color w:val="auto"/>
          <w:kern w:val="0"/>
          <w:sz w:val="22"/>
          <w:szCs w:val="22"/>
          <w:highlight w:val="none"/>
          <w:u w:val="single"/>
        </w:rPr>
        <w:t xml:space="preserve">               </w:t>
      </w:r>
    </w:p>
    <w:p w14:paraId="1718B849">
      <w:pPr>
        <w:tabs>
          <w:tab w:val="left" w:pos="540"/>
          <w:tab w:val="left" w:pos="1260"/>
        </w:tabs>
        <w:snapToGrid w:val="0"/>
        <w:spacing w:line="400" w:lineRule="exact"/>
        <w:ind w:right="420" w:rightChars="200"/>
        <w:rPr>
          <w:rFonts w:hint="eastAsia" w:ascii="宋体" w:hAnsi="宋体"/>
          <w:color w:val="auto"/>
          <w:sz w:val="22"/>
          <w:szCs w:val="22"/>
          <w:highlight w:val="none"/>
        </w:rPr>
      </w:pPr>
    </w:p>
    <w:p w14:paraId="0A6B872C">
      <w:pPr>
        <w:tabs>
          <w:tab w:val="left" w:pos="540"/>
          <w:tab w:val="left" w:pos="1260"/>
        </w:tabs>
        <w:snapToGrid w:val="0"/>
        <w:spacing w:line="400" w:lineRule="exact"/>
        <w:ind w:right="420" w:rightChars="200"/>
        <w:rPr>
          <w:rFonts w:hint="eastAsia" w:ascii="宋体" w:hAnsi="宋体"/>
          <w:color w:val="auto"/>
          <w:sz w:val="22"/>
          <w:szCs w:val="22"/>
          <w:highlight w:val="none"/>
        </w:rPr>
      </w:pPr>
      <w:r>
        <w:rPr>
          <w:rFonts w:hint="eastAsia" w:ascii="宋体" w:hAnsi="宋体"/>
          <w:color w:val="auto"/>
          <w:sz w:val="22"/>
          <w:szCs w:val="22"/>
          <w:highlight w:val="none"/>
        </w:rPr>
        <w:t>三、</w:t>
      </w:r>
      <w:r>
        <w:rPr>
          <w:rFonts w:hint="eastAsia" w:ascii="宋体" w:hAnsi="宋体"/>
          <w:color w:val="auto"/>
          <w:sz w:val="22"/>
          <w:szCs w:val="22"/>
          <w:highlight w:val="none"/>
        </w:rPr>
        <w:tab/>
      </w:r>
      <w:r>
        <w:rPr>
          <w:rFonts w:hint="eastAsia" w:ascii="宋体" w:hAnsi="宋体"/>
          <w:color w:val="auto"/>
          <w:sz w:val="22"/>
          <w:szCs w:val="22"/>
          <w:highlight w:val="none"/>
        </w:rPr>
        <w:t>本合同一式肆份，甲乙双方各执贰份，自双方签字盖章后立即生效。</w:t>
      </w:r>
    </w:p>
    <w:p w14:paraId="6BD1734E">
      <w:pPr>
        <w:tabs>
          <w:tab w:val="left" w:pos="540"/>
          <w:tab w:val="left" w:pos="1260"/>
        </w:tabs>
        <w:spacing w:line="300" w:lineRule="auto"/>
        <w:ind w:right="420" w:rightChars="200"/>
        <w:rPr>
          <w:rFonts w:hint="eastAsia" w:ascii="宋体" w:hAnsi="宋体"/>
          <w:color w:val="auto"/>
          <w:sz w:val="22"/>
          <w:szCs w:val="22"/>
          <w:highlight w:val="none"/>
        </w:rPr>
      </w:pPr>
    </w:p>
    <w:p w14:paraId="4131B912">
      <w:pPr>
        <w:adjustRightInd w:val="0"/>
        <w:snapToGrid w:val="0"/>
        <w:spacing w:line="300" w:lineRule="auto"/>
        <w:ind w:right="420" w:rightChars="200" w:firstLine="880" w:firstLineChars="400"/>
        <w:rPr>
          <w:rFonts w:hint="eastAsia" w:ascii="宋体" w:hAnsi="宋体"/>
          <w:color w:val="auto"/>
          <w:sz w:val="22"/>
          <w:szCs w:val="22"/>
          <w:highlight w:val="none"/>
        </w:rPr>
      </w:pPr>
      <w:r>
        <w:rPr>
          <w:rFonts w:hint="eastAsia" w:ascii="宋体" w:hAnsi="宋体"/>
          <w:color w:val="auto"/>
          <w:sz w:val="22"/>
          <w:szCs w:val="22"/>
          <w:highlight w:val="none"/>
        </w:rPr>
        <w:t xml:space="preserve">甲方：                             </w:t>
      </w:r>
      <w:r>
        <w:rPr>
          <w:rFonts w:hint="eastAsia" w:ascii="宋体" w:hAnsi="宋体"/>
          <w:color w:val="auto"/>
          <w:sz w:val="22"/>
          <w:szCs w:val="22"/>
          <w:highlight w:val="none"/>
          <w:lang w:val="en-US" w:eastAsia="zh-CN"/>
        </w:rPr>
        <w:t>乙</w:t>
      </w:r>
      <w:r>
        <w:rPr>
          <w:rFonts w:hint="eastAsia" w:ascii="宋体" w:hAnsi="宋体"/>
          <w:color w:val="auto"/>
          <w:sz w:val="22"/>
          <w:szCs w:val="22"/>
          <w:highlight w:val="none"/>
        </w:rPr>
        <w:t>方：</w:t>
      </w:r>
    </w:p>
    <w:p w14:paraId="12431C69">
      <w:pPr>
        <w:adjustRightInd w:val="0"/>
        <w:snapToGrid w:val="0"/>
        <w:spacing w:line="300" w:lineRule="auto"/>
        <w:ind w:right="420" w:rightChars="200" w:firstLine="880" w:firstLineChars="400"/>
        <w:rPr>
          <w:rFonts w:hint="eastAsia" w:ascii="宋体" w:hAnsi="宋体"/>
          <w:color w:val="auto"/>
          <w:sz w:val="22"/>
          <w:szCs w:val="22"/>
          <w:highlight w:val="none"/>
        </w:rPr>
      </w:pPr>
      <w:r>
        <w:rPr>
          <w:rFonts w:hint="eastAsia" w:ascii="宋体" w:hAnsi="宋体"/>
          <w:color w:val="auto"/>
          <w:sz w:val="22"/>
          <w:szCs w:val="22"/>
          <w:highlight w:val="none"/>
        </w:rPr>
        <w:t>法定代表人：                       法定代表人：</w:t>
      </w:r>
    </w:p>
    <w:p w14:paraId="6767CACA">
      <w:pPr>
        <w:adjustRightInd w:val="0"/>
        <w:snapToGrid w:val="0"/>
        <w:spacing w:line="300" w:lineRule="auto"/>
        <w:ind w:right="420" w:rightChars="200" w:firstLine="880" w:firstLineChars="400"/>
        <w:rPr>
          <w:rFonts w:hint="eastAsia" w:ascii="宋体" w:hAnsi="宋体"/>
          <w:color w:val="auto"/>
          <w:sz w:val="22"/>
          <w:szCs w:val="22"/>
          <w:highlight w:val="none"/>
        </w:rPr>
      </w:pPr>
      <w:r>
        <w:rPr>
          <w:rFonts w:hint="eastAsia" w:ascii="宋体" w:hAnsi="宋体"/>
          <w:color w:val="auto"/>
          <w:sz w:val="22"/>
          <w:szCs w:val="22"/>
          <w:highlight w:val="none"/>
        </w:rPr>
        <w:t>委托代理人：                       委托代理人：</w:t>
      </w:r>
    </w:p>
    <w:p w14:paraId="0587C3A6">
      <w:pPr>
        <w:adjustRightInd w:val="0"/>
        <w:snapToGrid w:val="0"/>
        <w:spacing w:line="300" w:lineRule="auto"/>
        <w:ind w:right="420" w:rightChars="200" w:firstLine="880" w:firstLineChars="400"/>
        <w:rPr>
          <w:rFonts w:hint="eastAsia" w:ascii="宋体" w:hAnsi="宋体"/>
          <w:color w:val="auto"/>
          <w:sz w:val="22"/>
          <w:szCs w:val="22"/>
          <w:highlight w:val="none"/>
        </w:rPr>
      </w:pPr>
      <w:r>
        <w:rPr>
          <w:rFonts w:hint="eastAsia" w:ascii="宋体" w:hAnsi="宋体"/>
          <w:color w:val="auto"/>
          <w:sz w:val="22"/>
          <w:szCs w:val="22"/>
          <w:highlight w:val="none"/>
        </w:rPr>
        <w:t>电  话：                           电  话：</w:t>
      </w:r>
    </w:p>
    <w:p w14:paraId="453064EE">
      <w:pPr>
        <w:adjustRightInd w:val="0"/>
        <w:snapToGrid w:val="0"/>
        <w:spacing w:line="300" w:lineRule="auto"/>
        <w:ind w:right="420" w:rightChars="200" w:firstLine="880" w:firstLineChars="400"/>
        <w:rPr>
          <w:rFonts w:hint="eastAsia" w:ascii="宋体" w:hAnsi="宋体"/>
          <w:color w:val="auto"/>
          <w:sz w:val="22"/>
          <w:szCs w:val="22"/>
          <w:highlight w:val="none"/>
        </w:rPr>
      </w:pPr>
      <w:r>
        <w:rPr>
          <w:rFonts w:hint="eastAsia" w:ascii="宋体" w:hAnsi="宋体"/>
          <w:color w:val="auto"/>
          <w:sz w:val="22"/>
          <w:szCs w:val="22"/>
          <w:highlight w:val="none"/>
        </w:rPr>
        <w:t>传  真：                           传  真：</w:t>
      </w:r>
    </w:p>
    <w:p w14:paraId="786CECF6">
      <w:pPr>
        <w:adjustRightInd w:val="0"/>
        <w:snapToGrid w:val="0"/>
        <w:spacing w:line="300" w:lineRule="auto"/>
        <w:ind w:right="420" w:rightChars="200" w:firstLine="880" w:firstLineChars="400"/>
        <w:rPr>
          <w:rFonts w:hint="eastAsia" w:ascii="宋体" w:hAnsi="宋体"/>
          <w:color w:val="auto"/>
          <w:sz w:val="22"/>
          <w:szCs w:val="22"/>
          <w:highlight w:val="none"/>
        </w:rPr>
      </w:pPr>
      <w:r>
        <w:rPr>
          <w:rFonts w:hint="eastAsia" w:ascii="宋体" w:hAnsi="宋体"/>
          <w:color w:val="auto"/>
          <w:sz w:val="22"/>
          <w:szCs w:val="22"/>
          <w:highlight w:val="none"/>
        </w:rPr>
        <w:t>开户银行：                         开户银行：</w:t>
      </w:r>
    </w:p>
    <w:p w14:paraId="6877E9A0">
      <w:pPr>
        <w:adjustRightInd w:val="0"/>
        <w:snapToGrid w:val="0"/>
        <w:spacing w:line="300" w:lineRule="auto"/>
        <w:ind w:right="420" w:rightChars="200" w:firstLine="880" w:firstLineChars="400"/>
        <w:rPr>
          <w:rFonts w:hint="eastAsia" w:ascii="宋体" w:hAnsi="宋体"/>
          <w:color w:val="auto"/>
          <w:sz w:val="22"/>
          <w:szCs w:val="22"/>
          <w:highlight w:val="none"/>
        </w:rPr>
      </w:pPr>
      <w:r>
        <w:rPr>
          <w:rFonts w:hint="eastAsia" w:ascii="宋体" w:hAnsi="宋体"/>
          <w:color w:val="auto"/>
          <w:sz w:val="22"/>
          <w:szCs w:val="22"/>
          <w:highlight w:val="none"/>
        </w:rPr>
        <w:t>帐  号：                           帐  号：</w:t>
      </w:r>
    </w:p>
    <w:p w14:paraId="497F9D4C">
      <w:pPr>
        <w:adjustRightInd w:val="0"/>
        <w:snapToGrid w:val="0"/>
        <w:spacing w:line="300" w:lineRule="auto"/>
        <w:ind w:right="420" w:rightChars="200" w:firstLine="880" w:firstLineChars="400"/>
        <w:rPr>
          <w:rFonts w:hint="eastAsia" w:ascii="宋体" w:hAnsi="宋体"/>
          <w:color w:val="auto"/>
          <w:sz w:val="22"/>
          <w:szCs w:val="22"/>
          <w:highlight w:val="none"/>
        </w:rPr>
      </w:pPr>
      <w:r>
        <w:rPr>
          <w:rFonts w:hint="eastAsia" w:ascii="宋体" w:hAnsi="宋体"/>
          <w:color w:val="auto"/>
          <w:sz w:val="22"/>
          <w:szCs w:val="22"/>
          <w:highlight w:val="none"/>
        </w:rPr>
        <w:t>地  址：                           地  址：</w:t>
      </w:r>
    </w:p>
    <w:p w14:paraId="0E0CE828">
      <w:pPr>
        <w:adjustRightInd w:val="0"/>
        <w:snapToGrid w:val="0"/>
        <w:spacing w:line="300" w:lineRule="auto"/>
        <w:ind w:right="420" w:rightChars="200" w:firstLine="880" w:firstLineChars="400"/>
        <w:rPr>
          <w:rFonts w:hint="eastAsia" w:ascii="宋体" w:hAnsi="宋体"/>
          <w:color w:val="auto"/>
          <w:sz w:val="22"/>
          <w:szCs w:val="22"/>
          <w:highlight w:val="none"/>
        </w:rPr>
      </w:pPr>
      <w:r>
        <w:rPr>
          <w:rFonts w:hint="eastAsia" w:ascii="宋体" w:hAnsi="宋体"/>
          <w:color w:val="auto"/>
          <w:sz w:val="22"/>
          <w:szCs w:val="22"/>
          <w:highlight w:val="none"/>
        </w:rPr>
        <w:t>邮政编码：                         邮政编码：</w:t>
      </w:r>
    </w:p>
    <w:p w14:paraId="35F98D8C">
      <w:pPr>
        <w:keepNext w:val="0"/>
        <w:keepLines w:val="0"/>
        <w:pageBreakBefore w:val="0"/>
        <w:widowControl w:val="0"/>
        <w:kinsoku/>
        <w:wordWrap/>
        <w:overflowPunct/>
        <w:topLinePunct w:val="0"/>
        <w:autoSpaceDE/>
        <w:autoSpaceDN/>
        <w:bidi w:val="0"/>
        <w:snapToGrid w:val="0"/>
        <w:spacing w:line="360" w:lineRule="auto"/>
        <w:ind w:firstLine="440" w:firstLineChars="200"/>
        <w:textAlignment w:val="auto"/>
        <w:rPr>
          <w:rFonts w:hint="eastAsia" w:ascii="宋体" w:hAnsi="宋体" w:eastAsia="宋体" w:cs="宋体"/>
          <w:color w:val="000000"/>
          <w:sz w:val="22"/>
          <w:szCs w:val="22"/>
          <w:highlight w:val="none"/>
        </w:rPr>
      </w:pP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月</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日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月</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日</w:t>
      </w:r>
    </w:p>
    <w:p w14:paraId="51C20C84">
      <w:pPr>
        <w:snapToGrid w:val="0"/>
        <w:spacing w:line="360" w:lineRule="auto"/>
        <w:ind w:right="-340"/>
        <w:rPr>
          <w:rFonts w:hint="eastAsia" w:ascii="宋体" w:hAnsi="宋体" w:eastAsia="宋体" w:cs="宋体"/>
          <w:b/>
          <w:color w:val="000000"/>
          <w:sz w:val="22"/>
          <w:szCs w:val="22"/>
          <w:highlight w:val="none"/>
        </w:rPr>
      </w:pPr>
    </w:p>
    <w:p w14:paraId="79F37340">
      <w:pPr>
        <w:pStyle w:val="13"/>
        <w:adjustRightInd w:val="0"/>
        <w:snapToGrid w:val="0"/>
        <w:spacing w:line="360" w:lineRule="auto"/>
        <w:ind w:firstLine="560" w:firstLineChars="200"/>
        <w:rPr>
          <w:rFonts w:hAnsi="宋体" w:cs="Times New Roman"/>
          <w:color w:val="auto"/>
          <w:sz w:val="28"/>
          <w:szCs w:val="24"/>
        </w:rPr>
      </w:pPr>
    </w:p>
    <w:p w14:paraId="417D6162">
      <w:pPr>
        <w:pageBreakBefore/>
        <w:shd w:val="clear" w:color="auto" w:fill="FFFFFF"/>
        <w:snapToGrid w:val="0"/>
        <w:spacing w:line="360" w:lineRule="auto"/>
        <w:jc w:val="center"/>
        <w:outlineLvl w:val="0"/>
        <w:rPr>
          <w:rFonts w:hint="eastAsia" w:ascii="宋体" w:hAnsi="宋体" w:eastAsia="宋体" w:cs="宋体"/>
          <w:b/>
          <w:bCs/>
          <w:color w:val="auto"/>
          <w:sz w:val="28"/>
          <w:szCs w:val="28"/>
          <w:highlight w:val="none"/>
        </w:rPr>
      </w:pPr>
      <w:bookmarkStart w:id="95" w:name="_Toc23179"/>
      <w:r>
        <w:rPr>
          <w:rFonts w:hint="eastAsia" w:ascii="宋体" w:hAnsi="宋体" w:eastAsia="宋体" w:cs="宋体"/>
          <w:b/>
          <w:bCs/>
          <w:color w:val="auto"/>
          <w:sz w:val="28"/>
          <w:szCs w:val="28"/>
          <w:highlight w:val="none"/>
        </w:rPr>
        <w:t>第五部分  应提交的有关格式范例</w:t>
      </w:r>
      <w:bookmarkEnd w:id="95"/>
    </w:p>
    <w:p w14:paraId="4AB24212">
      <w:pPr>
        <w:shd w:val="clear" w:color="auto" w:fill="FFFFFF"/>
        <w:snapToGrid w:val="0"/>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w:t>
      </w:r>
    </w:p>
    <w:p w14:paraId="7C7DA29D">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一、投标供应商提交投标文件须知：</w:t>
      </w:r>
    </w:p>
    <w:p w14:paraId="3FD2F41B">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1、投标供应商应严格按照以下顺序填写和提交下述规定的全部格式文件以及其他有关资料，混乱的编排导致投标文件被误读或评标委员会查找不到有效文件是投标供应商的风险。</w:t>
      </w:r>
    </w:p>
    <w:p w14:paraId="491A5E96">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2、所附表格中要求回答的全部问题和/或信息都必须正面回答。</w:t>
      </w:r>
    </w:p>
    <w:p w14:paraId="11B463FF">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3、本声明书的签字人应保证全部声明和问题的回答是真实的和准确的。</w:t>
      </w:r>
    </w:p>
    <w:p w14:paraId="5061F266">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4、评标委员会将应用投标供应商提交的资料作出自己的判断。</w:t>
      </w:r>
    </w:p>
    <w:p w14:paraId="7A3B971B">
      <w:pPr>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5、投标供应商提交的材料将在一定期限内被保密保存，但不退还。</w:t>
      </w:r>
    </w:p>
    <w:p w14:paraId="2BCB6B92">
      <w:pPr>
        <w:snapToGrid w:val="0"/>
        <w:spacing w:line="360" w:lineRule="auto"/>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6、全部文件应按投标供应商须知中规定的语言和份数提交。投标文件组成漏项或未按规定的格式编制，内容不全或内容字迹模糊辨认不清的情况，</w:t>
      </w:r>
      <w:r>
        <w:rPr>
          <w:rFonts w:hint="eastAsia" w:ascii="宋体" w:hAnsi="宋体" w:eastAsia="宋体" w:cs="宋体"/>
          <w:b/>
          <w:color w:val="auto"/>
          <w:sz w:val="22"/>
          <w:szCs w:val="22"/>
          <w:highlight w:val="none"/>
        </w:rPr>
        <w:t>将有可能被评标委员会认定为投标无效。</w:t>
      </w:r>
    </w:p>
    <w:bookmarkEnd w:id="90"/>
    <w:bookmarkEnd w:id="91"/>
    <w:bookmarkEnd w:id="92"/>
    <w:p w14:paraId="06F9B3D8">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66440976">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7D6B7662">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64F10742">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04F8A9A7">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56A45FC9">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7D3BCDF3">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244AA69D">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3526ADD1">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1C33C35A">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723D7C56">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363EC5D8">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7D7F71E8">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30AAD7EC">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67CD102B">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50D353C0">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14:paraId="637C879A">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C934C43">
      <w:pPr>
        <w:pStyle w:val="5"/>
        <w:rPr>
          <w:rFonts w:hint="eastAsia"/>
          <w:color w:val="auto"/>
        </w:rPr>
      </w:pPr>
    </w:p>
    <w:p w14:paraId="08E099E9">
      <w:pPr>
        <w:pStyle w:val="7"/>
        <w:snapToGrid w:val="0"/>
        <w:rPr>
          <w:rFonts w:hint="eastAsia" w:ascii="宋体" w:hAnsi="宋体" w:eastAsia="宋体" w:cs="宋体"/>
          <w:color w:val="auto"/>
          <w:highlight w:val="none"/>
        </w:rPr>
      </w:pPr>
      <w:bookmarkStart w:id="96" w:name="_Toc33194403"/>
      <w:bookmarkStart w:id="97" w:name="_Toc12069"/>
      <w:r>
        <w:rPr>
          <w:rFonts w:hint="eastAsia" w:ascii="宋体" w:hAnsi="宋体" w:eastAsia="宋体" w:cs="宋体"/>
          <w:color w:val="auto"/>
          <w:highlight w:val="none"/>
        </w:rPr>
        <w:t>资格文件</w:t>
      </w:r>
      <w:bookmarkEnd w:id="96"/>
      <w:r>
        <w:rPr>
          <w:rFonts w:hint="eastAsia" w:ascii="宋体" w:hAnsi="宋体" w:eastAsia="宋体" w:cs="宋体"/>
          <w:color w:val="auto"/>
          <w:highlight w:val="none"/>
        </w:rPr>
        <w:t> </w:t>
      </w:r>
      <w:bookmarkEnd w:id="97"/>
    </w:p>
    <w:p w14:paraId="540BCAB1">
      <w:pPr>
        <w:shd w:val="clear" w:color="auto" w:fill="FFFFFF"/>
        <w:snapToGrid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目录</w:t>
      </w:r>
    </w:p>
    <w:p w14:paraId="7A31A17D">
      <w:pPr>
        <w:shd w:val="clear" w:color="auto" w:fill="FFFFFF"/>
        <w:snapToGrid w:val="0"/>
        <w:spacing w:line="360" w:lineRule="auto"/>
        <w:rPr>
          <w:rFonts w:hint="eastAsia" w:ascii="宋体" w:hAnsi="宋体" w:eastAsia="宋体" w:cs="宋体"/>
          <w:color w:val="auto"/>
          <w:kern w:val="0"/>
          <w:sz w:val="22"/>
          <w:szCs w:val="22"/>
          <w:highlight w:val="none"/>
        </w:rPr>
      </w:pPr>
      <w:bookmarkStart w:id="98" w:name="_Hlk33176655"/>
      <w:r>
        <w:rPr>
          <w:rFonts w:hint="eastAsia" w:ascii="宋体" w:hAnsi="宋体" w:eastAsia="宋体" w:cs="宋体"/>
          <w:color w:val="auto"/>
          <w:kern w:val="0"/>
          <w:sz w:val="22"/>
          <w:szCs w:val="22"/>
          <w:highlight w:val="none"/>
        </w:rPr>
        <w:t>（1）营业执照………………………………………………………………………………………（页码）</w:t>
      </w:r>
    </w:p>
    <w:p w14:paraId="6E581BAD">
      <w:pPr>
        <w:shd w:val="clear" w:color="auto" w:fill="FFFFFF"/>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（2）具有良好的商业信誉和健全的财务会计制度的承诺函……………………………………（页码）</w:t>
      </w:r>
    </w:p>
    <w:p w14:paraId="2AB96CA7">
      <w:pPr>
        <w:shd w:val="clear" w:color="auto" w:fill="FFFFFF"/>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（3）具有履行合同所必需的场地、设备和专业技术能力的承诺函……………………………（页码）</w:t>
      </w:r>
    </w:p>
    <w:p w14:paraId="4B43392F">
      <w:pPr>
        <w:shd w:val="clear" w:color="auto" w:fill="FFFFFF"/>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（4）依法缴纳税收和社会保障资金的承诺函……………………………………………………（页码）</w:t>
      </w:r>
    </w:p>
    <w:p w14:paraId="61940832">
      <w:pPr>
        <w:shd w:val="clear" w:color="auto" w:fill="FFFFFF"/>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（5）参加国企采购活动前3年内在经营活动中没有重大违法记录的声明函…………………（页码）</w:t>
      </w:r>
    </w:p>
    <w:p w14:paraId="2DA76526">
      <w:pPr>
        <w:shd w:val="clear" w:color="auto" w:fill="FFFFFF"/>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r>
        <w:rPr>
          <w:rFonts w:hint="eastAsia" w:ascii="宋体" w:hAnsi="宋体" w:cs="宋体"/>
          <w:color w:val="auto"/>
          <w:kern w:val="0"/>
          <w:sz w:val="22"/>
          <w:szCs w:val="22"/>
          <w:highlight w:val="none"/>
          <w:lang w:eastAsia="zh-CN"/>
        </w:rPr>
        <w:t>与参加本次项目同一合同项下国企采购活动的其他供应商不存在单位负责人为同一人或者直接控股、管理关系的承诺函</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rPr>
        <w:t>…………………（页码）</w:t>
      </w:r>
    </w:p>
    <w:p w14:paraId="44F7789F">
      <w:pPr>
        <w:shd w:val="clear" w:color="auto" w:fill="FFFFFF"/>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（7）投标供应商没有失信记录承诺函……………………………………………………………（页码）</w:t>
      </w:r>
    </w:p>
    <w:p w14:paraId="79DC4FFF">
      <w:pPr>
        <w:pStyle w:val="36"/>
        <w:rPr>
          <w:rFonts w:hint="eastAsia" w:ascii="宋体" w:hAnsi="宋体" w:eastAsia="宋体" w:cs="宋体"/>
          <w:color w:val="auto"/>
          <w:highlight w:val="none"/>
        </w:rPr>
      </w:pPr>
    </w:p>
    <w:bookmarkEnd w:id="98"/>
    <w:p w14:paraId="0BD92C3D">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7ACC99B6">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067C8CEA">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05E9F2AF">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43B615E1">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4B1BAF93">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4580484B">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6D36DE48">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1C4734D3">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4DF1CB63">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121585A1">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73A5D2E2">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11DCD8EC">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3D930065">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771EB151">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5226D15D">
      <w:pPr>
        <w:spacing w:line="360" w:lineRule="auto"/>
        <w:rPr>
          <w:rFonts w:hint="eastAsia" w:ascii="宋体" w:hAnsi="宋体" w:eastAsia="宋体" w:cs="宋体"/>
          <w:color w:val="auto"/>
          <w:highlight w:val="none"/>
        </w:rPr>
      </w:pPr>
    </w:p>
    <w:p w14:paraId="4B6230E5">
      <w:pPr>
        <w:pStyle w:val="7"/>
        <w:numPr>
          <w:ilvl w:val="0"/>
          <w:numId w:val="7"/>
        </w:numPr>
        <w:snapToGrid w:val="0"/>
        <w:rPr>
          <w:rFonts w:hint="eastAsia" w:ascii="宋体" w:hAnsi="宋体" w:eastAsia="宋体" w:cs="宋体"/>
          <w:color w:val="auto"/>
          <w:highlight w:val="none"/>
        </w:rPr>
      </w:pPr>
      <w:bookmarkStart w:id="99" w:name="_Toc20581"/>
      <w:bookmarkStart w:id="100" w:name="_Toc5464"/>
      <w:bookmarkStart w:id="101" w:name="_Toc5698"/>
      <w:bookmarkStart w:id="102" w:name="_Toc20141"/>
      <w:bookmarkStart w:id="103" w:name="_Toc27119252"/>
      <w:bookmarkStart w:id="104" w:name="_Toc27479"/>
      <w:bookmarkStart w:id="105" w:name="_Toc21301"/>
      <w:bookmarkStart w:id="106" w:name="_Toc14356"/>
      <w:bookmarkStart w:id="107" w:name="_Toc26100"/>
      <w:bookmarkStart w:id="108" w:name="_Toc14043"/>
      <w:bookmarkStart w:id="109" w:name="_Toc6616"/>
      <w:bookmarkStart w:id="110" w:name="_Toc1126"/>
      <w:bookmarkStart w:id="111" w:name="_Toc33194404"/>
      <w:r>
        <w:rPr>
          <w:rFonts w:hint="eastAsia" w:ascii="宋体" w:hAnsi="宋体" w:eastAsia="宋体" w:cs="宋体"/>
          <w:color w:val="auto"/>
          <w:highlight w:val="none"/>
        </w:rPr>
        <w:t>营业执照</w:t>
      </w:r>
      <w:bookmarkEnd w:id="99"/>
      <w:bookmarkEnd w:id="100"/>
      <w:bookmarkEnd w:id="101"/>
      <w:bookmarkEnd w:id="102"/>
      <w:bookmarkEnd w:id="103"/>
      <w:bookmarkEnd w:id="104"/>
      <w:bookmarkEnd w:id="105"/>
      <w:bookmarkEnd w:id="106"/>
      <w:bookmarkEnd w:id="107"/>
      <w:bookmarkEnd w:id="108"/>
      <w:bookmarkEnd w:id="109"/>
      <w:r>
        <w:rPr>
          <w:rFonts w:hint="eastAsia" w:ascii="宋体" w:hAnsi="宋体" w:eastAsia="宋体" w:cs="宋体"/>
          <w:color w:val="auto"/>
          <w:highlight w:val="none"/>
        </w:rPr>
        <w:t>（复印件）</w:t>
      </w:r>
      <w:bookmarkEnd w:id="110"/>
      <w:bookmarkEnd w:id="111"/>
    </w:p>
    <w:p w14:paraId="16249E9E">
      <w:pPr>
        <w:snapToGrid w:val="0"/>
        <w:spacing w:line="360" w:lineRule="auto"/>
        <w:rPr>
          <w:rFonts w:hint="eastAsia" w:ascii="宋体" w:hAnsi="宋体" w:eastAsia="宋体" w:cs="宋体"/>
          <w:color w:val="auto"/>
          <w:highlight w:val="none"/>
        </w:rPr>
      </w:pPr>
    </w:p>
    <w:p w14:paraId="40BD7567">
      <w:pPr>
        <w:snapToGrid w:val="0"/>
        <w:spacing w:line="360" w:lineRule="auto"/>
        <w:rPr>
          <w:rFonts w:hint="eastAsia" w:ascii="宋体" w:hAnsi="宋体" w:eastAsia="宋体" w:cs="宋体"/>
          <w:color w:val="auto"/>
          <w:highlight w:val="none"/>
        </w:rPr>
      </w:pPr>
    </w:p>
    <w:p w14:paraId="0ED6E32A">
      <w:pPr>
        <w:spacing w:line="360" w:lineRule="auto"/>
        <w:jc w:val="center"/>
        <w:rPr>
          <w:rFonts w:hint="eastAsia" w:ascii="宋体" w:hAnsi="宋体" w:eastAsia="宋体" w:cs="宋体"/>
          <w:b/>
          <w:color w:val="auto"/>
          <w:kern w:val="36"/>
          <w:sz w:val="32"/>
          <w:szCs w:val="28"/>
          <w:highlight w:val="none"/>
        </w:rPr>
      </w:pPr>
      <w:r>
        <w:rPr>
          <w:rFonts w:hint="eastAsia" w:ascii="宋体" w:hAnsi="宋体" w:eastAsia="宋体" w:cs="宋体"/>
          <w:b/>
          <w:color w:val="auto"/>
          <w:kern w:val="36"/>
          <w:sz w:val="32"/>
          <w:szCs w:val="28"/>
          <w:highlight w:val="none"/>
        </w:rPr>
        <w:t xml:space="preserve">二、具有良好的商业信誉和健全的财务会计制度的承诺函 </w:t>
      </w:r>
    </w:p>
    <w:p w14:paraId="2912BA17">
      <w:pPr>
        <w:shd w:val="clear" w:color="auto" w:fill="FFFFFF"/>
        <w:snapToGrid w:val="0"/>
        <w:spacing w:line="360" w:lineRule="auto"/>
        <w:rPr>
          <w:rFonts w:hint="eastAsia" w:ascii="宋体" w:hAnsi="宋体" w:eastAsia="宋体" w:cs="宋体"/>
          <w:bCs/>
          <w:color w:val="auto"/>
          <w:kern w:val="36"/>
          <w:sz w:val="24"/>
          <w:highlight w:val="none"/>
        </w:rPr>
      </w:pPr>
      <w:r>
        <w:rPr>
          <w:rFonts w:hint="eastAsia" w:ascii="宋体" w:hAnsi="宋体" w:cs="宋体"/>
          <w:color w:val="auto"/>
          <w:sz w:val="24"/>
          <w:highlight w:val="none"/>
          <w:lang w:eastAsia="zh-CN"/>
        </w:rPr>
        <w:t>苍南县交通建设材料科技有限公司</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浙江华域高宇项目管理有限公司</w:t>
      </w:r>
      <w:r>
        <w:rPr>
          <w:rFonts w:hint="eastAsia" w:ascii="宋体" w:hAnsi="宋体" w:eastAsia="宋体" w:cs="宋体"/>
          <w:color w:val="auto"/>
          <w:kern w:val="0"/>
          <w:sz w:val="24"/>
          <w:highlight w:val="none"/>
        </w:rPr>
        <w:t>：</w:t>
      </w:r>
      <w:r>
        <w:rPr>
          <w:rFonts w:hint="eastAsia" w:ascii="宋体" w:hAnsi="宋体" w:eastAsia="宋体" w:cs="宋体"/>
          <w:bCs/>
          <w:color w:val="auto"/>
          <w:kern w:val="36"/>
          <w:sz w:val="24"/>
          <w:highlight w:val="none"/>
        </w:rPr>
        <w:t xml:space="preserve"> </w:t>
      </w:r>
    </w:p>
    <w:p w14:paraId="6B93417D">
      <w:pPr>
        <w:shd w:val="clear" w:color="auto" w:fill="FFFFFF"/>
        <w:snapToGrid w:val="0"/>
        <w:spacing w:line="360" w:lineRule="auto"/>
        <w:ind w:firstLine="480" w:firstLineChars="200"/>
        <w:rPr>
          <w:rFonts w:hint="eastAsia" w:ascii="宋体" w:hAnsi="宋体" w:eastAsia="宋体" w:cs="宋体"/>
          <w:bCs/>
          <w:color w:val="auto"/>
          <w:kern w:val="36"/>
          <w:sz w:val="24"/>
          <w:highlight w:val="none"/>
        </w:rPr>
      </w:pPr>
      <w:r>
        <w:rPr>
          <w:rFonts w:hint="eastAsia" w:ascii="宋体" w:hAnsi="宋体" w:eastAsia="宋体" w:cs="宋体"/>
          <w:bCs/>
          <w:color w:val="auto"/>
          <w:kern w:val="36"/>
          <w:sz w:val="24"/>
          <w:highlight w:val="none"/>
        </w:rPr>
        <w:t>我方参加</w:t>
      </w:r>
      <w:r>
        <w:rPr>
          <w:rFonts w:hint="eastAsia" w:ascii="宋体" w:hAnsi="宋体" w:eastAsia="宋体" w:cs="宋体"/>
          <w:bCs/>
          <w:color w:val="auto"/>
          <w:kern w:val="36"/>
          <w:sz w:val="24"/>
          <w:highlight w:val="none"/>
          <w:u w:val="single"/>
        </w:rPr>
        <w:t xml:space="preserve">     </w:t>
      </w:r>
      <w:r>
        <w:rPr>
          <w:rFonts w:hint="eastAsia" w:ascii="宋体" w:hAnsi="宋体" w:eastAsia="宋体" w:cs="宋体"/>
          <w:bCs/>
          <w:color w:val="auto"/>
          <w:kern w:val="36"/>
          <w:sz w:val="24"/>
          <w:highlight w:val="none"/>
          <w:u w:val="single"/>
          <w:lang w:val="en-US" w:eastAsia="zh-CN"/>
        </w:rPr>
        <w:t xml:space="preserve">                                           </w:t>
      </w:r>
      <w:r>
        <w:rPr>
          <w:rFonts w:hint="eastAsia" w:ascii="宋体" w:hAnsi="宋体" w:eastAsia="宋体" w:cs="宋体"/>
          <w:bCs/>
          <w:color w:val="auto"/>
          <w:kern w:val="36"/>
          <w:sz w:val="24"/>
          <w:highlight w:val="none"/>
          <w:u w:val="single"/>
        </w:rPr>
        <w:t xml:space="preserve">  </w:t>
      </w:r>
      <w:r>
        <w:rPr>
          <w:rFonts w:hint="eastAsia" w:ascii="宋体" w:hAnsi="宋体" w:eastAsia="宋体" w:cs="宋体"/>
          <w:bCs/>
          <w:color w:val="auto"/>
          <w:kern w:val="36"/>
          <w:sz w:val="24"/>
          <w:highlight w:val="none"/>
        </w:rPr>
        <w:t>采购项目（项目编号：</w:t>
      </w:r>
      <w:r>
        <w:rPr>
          <w:rFonts w:hint="eastAsia" w:ascii="宋体" w:hAnsi="宋体" w:eastAsia="宋体" w:cs="宋体"/>
          <w:bCs/>
          <w:color w:val="auto"/>
          <w:kern w:val="36"/>
          <w:sz w:val="24"/>
          <w:highlight w:val="none"/>
          <w:u w:val="single"/>
        </w:rPr>
        <w:t xml:space="preserve">  </w:t>
      </w:r>
      <w:r>
        <w:rPr>
          <w:rFonts w:hint="eastAsia" w:ascii="宋体" w:hAnsi="宋体" w:eastAsia="宋体" w:cs="宋体"/>
          <w:bCs/>
          <w:color w:val="auto"/>
          <w:kern w:val="36"/>
          <w:sz w:val="24"/>
          <w:highlight w:val="none"/>
          <w:u w:val="single"/>
          <w:lang w:val="en-US" w:eastAsia="zh-CN"/>
        </w:rPr>
        <w:t xml:space="preserve">   </w:t>
      </w:r>
      <w:r>
        <w:rPr>
          <w:rFonts w:hint="eastAsia" w:ascii="宋体" w:hAnsi="宋体" w:eastAsia="宋体" w:cs="宋体"/>
          <w:bCs/>
          <w:color w:val="auto"/>
          <w:kern w:val="36"/>
          <w:sz w:val="24"/>
          <w:highlight w:val="none"/>
          <w:u w:val="single"/>
        </w:rPr>
        <w:t xml:space="preserve">  </w:t>
      </w:r>
      <w:r>
        <w:rPr>
          <w:rFonts w:hint="eastAsia" w:ascii="宋体" w:hAnsi="宋体" w:eastAsia="宋体" w:cs="宋体"/>
          <w:bCs/>
          <w:color w:val="auto"/>
          <w:kern w:val="36"/>
          <w:sz w:val="24"/>
          <w:highlight w:val="none"/>
        </w:rPr>
        <w:t xml:space="preserve">）的国企采购活动，依据采购文件相关规定，郑重 承诺：我方具有良好的商业信誉和健全的财务会计制度，符合本项目采购 文件规定的投标供应商资格要求，如中标，我方将按我方投标文件承诺， 保证合同顺利履行。如有虚假或隐瞒，采购人可取消我方任何资格（投标 /谈判/中标（成交）/签订合同），我方对此无任何异议，并愿意承担一 切后果和责任。 </w:t>
      </w:r>
    </w:p>
    <w:p w14:paraId="361C9F36">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特此承诺！</w:t>
      </w:r>
    </w:p>
    <w:p w14:paraId="23E76CA0">
      <w:pPr>
        <w:widowControl/>
        <w:snapToGrid w:val="0"/>
        <w:spacing w:line="360" w:lineRule="auto"/>
        <w:ind w:firstLine="480" w:firstLineChars="200"/>
        <w:jc w:val="left"/>
        <w:rPr>
          <w:rFonts w:hint="eastAsia" w:ascii="宋体" w:hAnsi="宋体" w:eastAsia="宋体" w:cs="宋体"/>
          <w:color w:val="auto"/>
          <w:kern w:val="0"/>
          <w:sz w:val="24"/>
          <w:highlight w:val="none"/>
        </w:rPr>
      </w:pPr>
    </w:p>
    <w:p w14:paraId="0B425089">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szCs w:val="28"/>
          <w:highlight w:val="none"/>
        </w:rPr>
        <w:t>投标供应商（盖章）</w:t>
      </w:r>
      <w:r>
        <w:rPr>
          <w:rFonts w:hint="eastAsia" w:ascii="宋体" w:hAnsi="宋体" w:eastAsia="宋体" w:cs="宋体"/>
          <w:color w:val="auto"/>
          <w:kern w:val="0"/>
          <w:sz w:val="24"/>
          <w:highlight w:val="none"/>
        </w:rPr>
        <w:t xml:space="preserve"> ：</w:t>
      </w:r>
    </w:p>
    <w:p w14:paraId="78EA0A9A">
      <w:pPr>
        <w:pStyle w:val="6"/>
        <w:rPr>
          <w:rFonts w:hint="eastAsia" w:ascii="宋体" w:hAnsi="宋体" w:eastAsia="宋体" w:cs="宋体"/>
          <w:color w:val="auto"/>
          <w:highlight w:val="none"/>
        </w:rPr>
      </w:pPr>
    </w:p>
    <w:p w14:paraId="657F56BE">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     年  月  日</w:t>
      </w:r>
    </w:p>
    <w:p w14:paraId="3B613138">
      <w:pPr>
        <w:snapToGrid w:val="0"/>
        <w:spacing w:line="360" w:lineRule="auto"/>
        <w:rPr>
          <w:rFonts w:hint="eastAsia" w:ascii="宋体" w:hAnsi="宋体" w:eastAsia="宋体" w:cs="宋体"/>
          <w:color w:val="auto"/>
          <w:highlight w:val="none"/>
        </w:rPr>
      </w:pPr>
    </w:p>
    <w:p w14:paraId="0AF94E48">
      <w:pPr>
        <w:pStyle w:val="7"/>
        <w:snapToGrid w:val="0"/>
        <w:rPr>
          <w:rFonts w:hint="eastAsia" w:ascii="宋体" w:hAnsi="宋体" w:eastAsia="宋体" w:cs="宋体"/>
          <w:color w:val="auto"/>
          <w:highlight w:val="none"/>
        </w:rPr>
      </w:pPr>
      <w:bookmarkStart w:id="112" w:name="_Toc33194405"/>
      <w:bookmarkStart w:id="113" w:name="_Toc14629"/>
      <w:bookmarkStart w:id="114" w:name="_Toc27119254"/>
      <w:r>
        <w:rPr>
          <w:rFonts w:hint="eastAsia" w:ascii="宋体" w:hAnsi="宋体" w:eastAsia="宋体" w:cs="宋体"/>
          <w:color w:val="auto"/>
          <w:highlight w:val="none"/>
        </w:rPr>
        <w:t>三、具有履行合同所必需的场地、设备和专业技术能力的承诺函</w:t>
      </w:r>
      <w:bookmarkEnd w:id="112"/>
      <w:bookmarkEnd w:id="113"/>
      <w:bookmarkEnd w:id="114"/>
    </w:p>
    <w:p w14:paraId="418FBA60">
      <w:pPr>
        <w:snapToGrid w:val="0"/>
        <w:spacing w:line="360" w:lineRule="auto"/>
        <w:rPr>
          <w:rFonts w:hint="eastAsia" w:ascii="宋体" w:hAnsi="宋体" w:eastAsia="宋体" w:cs="宋体"/>
          <w:color w:val="auto"/>
          <w:highlight w:val="none"/>
        </w:rPr>
      </w:pPr>
    </w:p>
    <w:p w14:paraId="62206ED9">
      <w:pPr>
        <w:shd w:val="clear" w:color="auto" w:fill="FFFFFF"/>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苍南县交通建设材料科技有限公司</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浙江华域高宇项目管理有限公司</w:t>
      </w:r>
      <w:r>
        <w:rPr>
          <w:rFonts w:hint="eastAsia" w:ascii="宋体" w:hAnsi="宋体" w:eastAsia="宋体" w:cs="宋体"/>
          <w:color w:val="auto"/>
          <w:kern w:val="0"/>
          <w:sz w:val="24"/>
          <w:highlight w:val="none"/>
        </w:rPr>
        <w:t>：</w:t>
      </w:r>
    </w:p>
    <w:p w14:paraId="3AA8F6F0">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（供应商）</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承诺具有履行合同所必需的场地、设备和专业技术能力。如有虚假，采购人可取消我方任何资格（投标/中标/签订合同），我方对此无任何异议。</w:t>
      </w:r>
    </w:p>
    <w:p w14:paraId="2395C442">
      <w:pPr>
        <w:widowControl/>
        <w:snapToGrid w:val="0"/>
        <w:spacing w:line="360" w:lineRule="auto"/>
        <w:ind w:firstLine="480" w:firstLineChars="200"/>
        <w:jc w:val="left"/>
        <w:rPr>
          <w:rFonts w:hint="eastAsia" w:ascii="宋体" w:hAnsi="宋体" w:eastAsia="宋体" w:cs="宋体"/>
          <w:color w:val="auto"/>
          <w:kern w:val="0"/>
          <w:sz w:val="24"/>
          <w:highlight w:val="none"/>
        </w:rPr>
      </w:pPr>
    </w:p>
    <w:p w14:paraId="49B7A1D1">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特此承诺！</w:t>
      </w:r>
    </w:p>
    <w:p w14:paraId="3FE8916F">
      <w:pPr>
        <w:widowControl/>
        <w:snapToGrid w:val="0"/>
        <w:spacing w:line="360" w:lineRule="auto"/>
        <w:ind w:firstLine="480" w:firstLineChars="200"/>
        <w:jc w:val="left"/>
        <w:rPr>
          <w:rFonts w:hint="eastAsia" w:ascii="宋体" w:hAnsi="宋体" w:eastAsia="宋体" w:cs="宋体"/>
          <w:color w:val="auto"/>
          <w:kern w:val="0"/>
          <w:sz w:val="24"/>
          <w:highlight w:val="none"/>
        </w:rPr>
      </w:pPr>
    </w:p>
    <w:p w14:paraId="61FBBF9F">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szCs w:val="28"/>
          <w:highlight w:val="none"/>
        </w:rPr>
        <w:t>投标供应商（盖章）</w:t>
      </w:r>
      <w:r>
        <w:rPr>
          <w:rFonts w:hint="eastAsia" w:ascii="宋体" w:hAnsi="宋体" w:eastAsia="宋体" w:cs="宋体"/>
          <w:color w:val="auto"/>
          <w:kern w:val="0"/>
          <w:sz w:val="24"/>
          <w:highlight w:val="none"/>
        </w:rPr>
        <w:t xml:space="preserve"> ：</w:t>
      </w:r>
    </w:p>
    <w:p w14:paraId="5467688F">
      <w:pPr>
        <w:widowControl/>
        <w:snapToGrid w:val="0"/>
        <w:spacing w:line="360" w:lineRule="auto"/>
        <w:ind w:firstLine="480" w:firstLineChars="200"/>
        <w:jc w:val="left"/>
        <w:rPr>
          <w:rFonts w:hint="eastAsia" w:ascii="宋体" w:hAnsi="宋体" w:eastAsia="宋体" w:cs="宋体"/>
          <w:color w:val="auto"/>
          <w:kern w:val="0"/>
          <w:sz w:val="24"/>
          <w:highlight w:val="none"/>
        </w:rPr>
      </w:pPr>
    </w:p>
    <w:p w14:paraId="776904D7">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     年  月  日</w:t>
      </w:r>
    </w:p>
    <w:p w14:paraId="73E2F4CF">
      <w:pPr>
        <w:spacing w:line="360" w:lineRule="auto"/>
        <w:jc w:val="center"/>
        <w:rPr>
          <w:rFonts w:hint="eastAsia" w:ascii="宋体" w:hAnsi="宋体" w:eastAsia="宋体" w:cs="宋体"/>
          <w:b/>
          <w:color w:val="auto"/>
          <w:kern w:val="36"/>
          <w:sz w:val="32"/>
          <w:szCs w:val="28"/>
          <w:highlight w:val="none"/>
        </w:rPr>
      </w:pPr>
      <w:r>
        <w:rPr>
          <w:rFonts w:hint="eastAsia" w:ascii="宋体" w:hAnsi="宋体" w:eastAsia="宋体" w:cs="宋体"/>
          <w:b/>
          <w:color w:val="auto"/>
          <w:kern w:val="36"/>
          <w:sz w:val="32"/>
          <w:szCs w:val="28"/>
          <w:highlight w:val="none"/>
        </w:rPr>
        <w:br w:type="page"/>
      </w:r>
      <w:r>
        <w:rPr>
          <w:rFonts w:hint="eastAsia" w:ascii="宋体" w:hAnsi="宋体" w:eastAsia="宋体" w:cs="宋体"/>
          <w:b/>
          <w:color w:val="auto"/>
          <w:kern w:val="36"/>
          <w:sz w:val="32"/>
          <w:szCs w:val="28"/>
          <w:highlight w:val="none"/>
        </w:rPr>
        <w:t>四、依法缴纳税收和社会保障资金的承诺函</w:t>
      </w:r>
    </w:p>
    <w:p w14:paraId="09D82B62">
      <w:pPr>
        <w:spacing w:line="360" w:lineRule="auto"/>
        <w:rPr>
          <w:rFonts w:hint="eastAsia" w:ascii="宋体" w:hAnsi="宋体" w:eastAsia="宋体" w:cs="宋体"/>
          <w:b/>
          <w:color w:val="auto"/>
          <w:kern w:val="0"/>
          <w:sz w:val="24"/>
          <w:szCs w:val="28"/>
          <w:highlight w:val="none"/>
          <w:u w:val="single"/>
        </w:rPr>
      </w:pPr>
    </w:p>
    <w:p w14:paraId="0B4EDD4B">
      <w:pPr>
        <w:shd w:val="clear" w:color="auto" w:fill="FFFFFF"/>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苍南县交通建设材料科技有限公司</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浙江华域高宇项目管理有限公司</w:t>
      </w:r>
      <w:r>
        <w:rPr>
          <w:rFonts w:hint="eastAsia" w:ascii="宋体" w:hAnsi="宋体" w:eastAsia="宋体" w:cs="宋体"/>
          <w:color w:val="auto"/>
          <w:kern w:val="0"/>
          <w:sz w:val="24"/>
          <w:highlight w:val="none"/>
        </w:rPr>
        <w:t>：</w:t>
      </w:r>
    </w:p>
    <w:p w14:paraId="52FBE0A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我公司郑重声明，我公司严格依法缴纳税收和社会保障资金，本文件中所提供的相关材料均真实有效，不存在虚假、造假行为。如有违反，愿承担一切责任。</w:t>
      </w:r>
    </w:p>
    <w:p w14:paraId="48ED952C">
      <w:pPr>
        <w:spacing w:line="360" w:lineRule="auto"/>
        <w:ind w:firstLine="480" w:firstLineChars="200"/>
        <w:rPr>
          <w:rFonts w:hint="eastAsia" w:ascii="宋体" w:hAnsi="宋体" w:eastAsia="宋体" w:cs="宋体"/>
          <w:color w:val="auto"/>
          <w:kern w:val="0"/>
          <w:sz w:val="24"/>
          <w:highlight w:val="none"/>
        </w:rPr>
      </w:pPr>
    </w:p>
    <w:p w14:paraId="36A894C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特此承诺！</w:t>
      </w:r>
    </w:p>
    <w:p w14:paraId="5F0D5F3A">
      <w:pPr>
        <w:widowControl/>
        <w:snapToGrid w:val="0"/>
        <w:spacing w:line="360" w:lineRule="auto"/>
        <w:ind w:firstLine="480" w:firstLineChars="200"/>
        <w:jc w:val="left"/>
        <w:rPr>
          <w:rFonts w:hint="eastAsia" w:ascii="宋体" w:hAnsi="宋体" w:eastAsia="宋体" w:cs="宋体"/>
          <w:color w:val="auto"/>
          <w:kern w:val="0"/>
          <w:sz w:val="24"/>
          <w:highlight w:val="none"/>
        </w:rPr>
      </w:pPr>
    </w:p>
    <w:p w14:paraId="1D82470A">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szCs w:val="28"/>
          <w:highlight w:val="none"/>
        </w:rPr>
        <w:t>投标供应商（盖章）</w:t>
      </w:r>
      <w:r>
        <w:rPr>
          <w:rFonts w:hint="eastAsia" w:ascii="宋体" w:hAnsi="宋体" w:eastAsia="宋体" w:cs="宋体"/>
          <w:color w:val="auto"/>
          <w:kern w:val="0"/>
          <w:sz w:val="24"/>
          <w:highlight w:val="none"/>
        </w:rPr>
        <w:t xml:space="preserve"> ：</w:t>
      </w:r>
    </w:p>
    <w:p w14:paraId="521ACC94">
      <w:pPr>
        <w:widowControl/>
        <w:snapToGrid w:val="0"/>
        <w:spacing w:line="360" w:lineRule="auto"/>
        <w:ind w:firstLine="480" w:firstLineChars="200"/>
        <w:jc w:val="left"/>
        <w:rPr>
          <w:rFonts w:hint="eastAsia" w:ascii="宋体" w:hAnsi="宋体" w:eastAsia="宋体" w:cs="宋体"/>
          <w:color w:val="auto"/>
          <w:kern w:val="0"/>
          <w:sz w:val="24"/>
          <w:highlight w:val="none"/>
        </w:rPr>
      </w:pPr>
    </w:p>
    <w:p w14:paraId="7EB29F78">
      <w:pPr>
        <w:pStyle w:val="6"/>
        <w:rPr>
          <w:rFonts w:hint="eastAsia" w:ascii="宋体" w:hAnsi="宋体" w:eastAsia="宋体" w:cs="宋体"/>
          <w:color w:val="auto"/>
          <w:highlight w:val="none"/>
        </w:rPr>
      </w:pPr>
    </w:p>
    <w:p w14:paraId="3893C032">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     年  月  日</w:t>
      </w:r>
    </w:p>
    <w:p w14:paraId="0F60BF65">
      <w:pPr>
        <w:widowControl/>
        <w:snapToGrid w:val="0"/>
        <w:spacing w:line="360" w:lineRule="auto"/>
        <w:ind w:firstLine="480" w:firstLineChars="200"/>
        <w:jc w:val="left"/>
        <w:rPr>
          <w:rFonts w:hint="eastAsia" w:ascii="宋体" w:hAnsi="宋体" w:eastAsia="宋体" w:cs="宋体"/>
          <w:color w:val="auto"/>
          <w:kern w:val="0"/>
          <w:sz w:val="24"/>
          <w:highlight w:val="none"/>
        </w:rPr>
      </w:pPr>
    </w:p>
    <w:p w14:paraId="022B516D">
      <w:pPr>
        <w:widowControl/>
        <w:snapToGrid w:val="0"/>
        <w:spacing w:line="360" w:lineRule="auto"/>
        <w:jc w:val="left"/>
        <w:rPr>
          <w:rFonts w:hint="eastAsia" w:ascii="宋体" w:hAnsi="宋体" w:eastAsia="宋体" w:cs="宋体"/>
          <w:color w:val="auto"/>
          <w:kern w:val="0"/>
          <w:szCs w:val="21"/>
          <w:highlight w:val="none"/>
        </w:rPr>
      </w:pPr>
    </w:p>
    <w:p w14:paraId="0AD9A524">
      <w:pPr>
        <w:pStyle w:val="7"/>
        <w:snapToGrid w:val="0"/>
        <w:rPr>
          <w:rFonts w:hint="eastAsia" w:ascii="宋体" w:hAnsi="宋体" w:eastAsia="宋体" w:cs="宋体"/>
          <w:color w:val="auto"/>
          <w:highlight w:val="none"/>
        </w:rPr>
      </w:pPr>
      <w:bookmarkStart w:id="115" w:name="_Toc18304"/>
      <w:bookmarkStart w:id="116" w:name="_Toc28957"/>
      <w:bookmarkStart w:id="117" w:name="_Toc6606"/>
      <w:bookmarkStart w:id="118" w:name="_Toc31784"/>
      <w:bookmarkStart w:id="119" w:name="_Toc13398"/>
      <w:bookmarkStart w:id="120" w:name="_Toc10630"/>
      <w:bookmarkStart w:id="121" w:name="_Toc13669"/>
      <w:bookmarkStart w:id="122" w:name="_Toc31544"/>
      <w:bookmarkStart w:id="123" w:name="_Toc11360"/>
      <w:bookmarkStart w:id="124" w:name="_Toc14589"/>
      <w:bookmarkStart w:id="125" w:name="_Toc27119255"/>
      <w:bookmarkStart w:id="126" w:name="_Toc33194406"/>
      <w:bookmarkStart w:id="127" w:name="_Toc14988"/>
      <w:r>
        <w:rPr>
          <w:rFonts w:hint="eastAsia" w:ascii="宋体" w:hAnsi="宋体" w:eastAsia="宋体" w:cs="宋体"/>
          <w:color w:val="auto"/>
          <w:highlight w:val="none"/>
        </w:rPr>
        <w:t>五、参加国企采购活动前3年内在经营活动中没有重大违法记录的声明函</w:t>
      </w:r>
      <w:bookmarkEnd w:id="115"/>
      <w:bookmarkEnd w:id="116"/>
      <w:bookmarkEnd w:id="117"/>
      <w:bookmarkEnd w:id="118"/>
      <w:bookmarkEnd w:id="119"/>
      <w:bookmarkEnd w:id="120"/>
      <w:bookmarkEnd w:id="121"/>
      <w:bookmarkEnd w:id="122"/>
      <w:bookmarkEnd w:id="123"/>
      <w:bookmarkEnd w:id="124"/>
      <w:bookmarkEnd w:id="125"/>
      <w:bookmarkEnd w:id="126"/>
      <w:bookmarkEnd w:id="127"/>
    </w:p>
    <w:p w14:paraId="6D57D3EE">
      <w:pPr>
        <w:shd w:val="clear" w:color="auto" w:fill="FFFFFF"/>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苍南县交通建设材料科技有限公司</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浙江华域高宇项目管理有限公司</w:t>
      </w:r>
      <w:r>
        <w:rPr>
          <w:rFonts w:hint="eastAsia" w:ascii="宋体" w:hAnsi="宋体" w:eastAsia="宋体" w:cs="宋体"/>
          <w:color w:val="auto"/>
          <w:kern w:val="0"/>
          <w:sz w:val="24"/>
          <w:highlight w:val="none"/>
        </w:rPr>
        <w:t>：</w:t>
      </w:r>
    </w:p>
    <w:p w14:paraId="23C0002C">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（供应商）</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具有良好的商业信誉，依法缴纳税收和社会保障资金，未被列入失信被执行人名单、重大税收违法案件当事人名单、政府采购严重违法失信行为记录名单，参加本次</w:t>
      </w:r>
      <w:r>
        <w:rPr>
          <w:rFonts w:hint="eastAsia" w:ascii="宋体" w:hAnsi="宋体" w:eastAsia="宋体" w:cs="宋体"/>
          <w:bCs/>
          <w:color w:val="auto"/>
          <w:kern w:val="36"/>
          <w:sz w:val="24"/>
          <w:highlight w:val="none"/>
        </w:rPr>
        <w:t>国企</w:t>
      </w:r>
      <w:r>
        <w:rPr>
          <w:rFonts w:hint="eastAsia" w:ascii="宋体" w:hAnsi="宋体" w:eastAsia="宋体" w:cs="宋体"/>
          <w:color w:val="auto"/>
          <w:kern w:val="0"/>
          <w:sz w:val="24"/>
          <w:highlight w:val="none"/>
        </w:rPr>
        <w:t>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59FB8BAD">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特此承诺！</w:t>
      </w:r>
    </w:p>
    <w:p w14:paraId="458BFF80">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szCs w:val="28"/>
          <w:highlight w:val="none"/>
        </w:rPr>
        <w:t>投标供应商（盖章）</w:t>
      </w:r>
      <w:r>
        <w:rPr>
          <w:rFonts w:hint="eastAsia" w:ascii="宋体" w:hAnsi="宋体" w:eastAsia="宋体" w:cs="宋体"/>
          <w:color w:val="auto"/>
          <w:kern w:val="0"/>
          <w:sz w:val="24"/>
          <w:highlight w:val="none"/>
        </w:rPr>
        <w:t xml:space="preserve"> ：</w:t>
      </w:r>
    </w:p>
    <w:p w14:paraId="03F70EF7">
      <w:pPr>
        <w:widowControl/>
        <w:snapToGrid w:val="0"/>
        <w:spacing w:line="360" w:lineRule="auto"/>
        <w:ind w:firstLine="480" w:firstLineChars="200"/>
        <w:jc w:val="left"/>
        <w:rPr>
          <w:rFonts w:hint="eastAsia" w:ascii="宋体" w:hAnsi="宋体" w:eastAsia="宋体" w:cs="宋体"/>
          <w:color w:val="auto"/>
          <w:kern w:val="0"/>
          <w:sz w:val="24"/>
          <w:highlight w:val="none"/>
        </w:rPr>
      </w:pPr>
    </w:p>
    <w:p w14:paraId="29F7EDAE">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     年  月  日</w:t>
      </w:r>
    </w:p>
    <w:p w14:paraId="6CE0C2C5">
      <w:pPr>
        <w:pStyle w:val="5"/>
        <w:rPr>
          <w:rFonts w:hint="eastAsia" w:ascii="宋体" w:hAnsi="宋体" w:eastAsia="宋体" w:cs="宋体"/>
          <w:color w:val="auto"/>
          <w:kern w:val="0"/>
          <w:sz w:val="24"/>
          <w:highlight w:val="none"/>
        </w:rPr>
      </w:pPr>
    </w:p>
    <w:p w14:paraId="4D09D711">
      <w:pPr>
        <w:pStyle w:val="20"/>
        <w:rPr>
          <w:rFonts w:hint="eastAsia"/>
          <w:color w:val="auto"/>
        </w:rPr>
      </w:pPr>
    </w:p>
    <w:p w14:paraId="103D31EF">
      <w:pPr>
        <w:rPr>
          <w:rFonts w:hint="eastAsia"/>
          <w:color w:val="auto"/>
        </w:rPr>
      </w:pPr>
      <w:r>
        <w:rPr>
          <w:rFonts w:hint="eastAsia"/>
          <w:color w:val="auto"/>
        </w:rPr>
        <w:br w:type="page"/>
      </w:r>
    </w:p>
    <w:p w14:paraId="52E84952">
      <w:pPr>
        <w:pStyle w:val="5"/>
        <w:rPr>
          <w:rFonts w:hint="eastAsia"/>
          <w:color w:val="auto"/>
        </w:rPr>
      </w:pPr>
    </w:p>
    <w:p w14:paraId="079A14F6">
      <w:pPr>
        <w:rPr>
          <w:rFonts w:hint="eastAsia" w:ascii="宋体" w:hAnsi="宋体" w:eastAsia="宋体" w:cs="宋体"/>
          <w:color w:val="auto"/>
          <w:highlight w:val="none"/>
        </w:rPr>
      </w:pPr>
    </w:p>
    <w:p w14:paraId="6FE287BF">
      <w:pPr>
        <w:spacing w:line="360" w:lineRule="auto"/>
        <w:jc w:val="center"/>
        <w:rPr>
          <w:rFonts w:hint="eastAsia" w:ascii="宋体" w:hAnsi="宋体" w:eastAsia="宋体" w:cs="宋体"/>
          <w:b/>
          <w:color w:val="auto"/>
          <w:w w:val="80"/>
          <w:kern w:val="0"/>
          <w:sz w:val="32"/>
          <w:szCs w:val="32"/>
          <w:highlight w:val="none"/>
        </w:rPr>
      </w:pPr>
      <w:r>
        <w:rPr>
          <w:rFonts w:hint="eastAsia" w:ascii="宋体" w:hAnsi="宋体" w:eastAsia="宋体" w:cs="宋体"/>
          <w:b/>
          <w:color w:val="auto"/>
          <w:kern w:val="36"/>
          <w:sz w:val="32"/>
          <w:szCs w:val="28"/>
          <w:highlight w:val="none"/>
        </w:rPr>
        <w:t>六、</w:t>
      </w:r>
      <w:r>
        <w:rPr>
          <w:rFonts w:hint="eastAsia" w:ascii="宋体" w:hAnsi="宋体" w:eastAsia="宋体" w:cs="宋体"/>
          <w:b/>
          <w:color w:val="auto"/>
          <w:kern w:val="0"/>
          <w:sz w:val="32"/>
          <w:szCs w:val="32"/>
          <w:highlight w:val="none"/>
        </w:rPr>
        <w:t>与参加本次项目同一合同项下国企采购活动的其他供应商不存在单位负责人为同一人或者直接控股、管理关系的承诺函</w:t>
      </w:r>
    </w:p>
    <w:p w14:paraId="67A1D7E1">
      <w:pPr>
        <w:shd w:val="clear" w:color="auto" w:fill="FFFFFF"/>
        <w:snapToGrid w:val="0"/>
        <w:spacing w:line="360" w:lineRule="auto"/>
        <w:rPr>
          <w:rFonts w:hint="eastAsia" w:ascii="宋体" w:hAnsi="宋体" w:cs="宋体"/>
          <w:color w:val="auto"/>
          <w:sz w:val="24"/>
          <w:highlight w:val="none"/>
          <w:lang w:eastAsia="zh-CN"/>
        </w:rPr>
      </w:pPr>
    </w:p>
    <w:p w14:paraId="7DDB6D43">
      <w:pPr>
        <w:shd w:val="clear" w:color="auto" w:fill="FFFFFF"/>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苍南县交通建设材料科技有限公司</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浙江华域高宇项目管理有限公司</w:t>
      </w:r>
      <w:r>
        <w:rPr>
          <w:rFonts w:hint="eastAsia" w:ascii="宋体" w:hAnsi="宋体" w:eastAsia="宋体" w:cs="宋体"/>
          <w:color w:val="auto"/>
          <w:kern w:val="0"/>
          <w:sz w:val="24"/>
          <w:highlight w:val="none"/>
        </w:rPr>
        <w:t>：</w:t>
      </w:r>
    </w:p>
    <w:p w14:paraId="0F777DE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我方郑重承诺，我方此次参加</w:t>
      </w:r>
      <w:r>
        <w:rPr>
          <w:rFonts w:hint="eastAsia" w:ascii="宋体" w:hAnsi="宋体" w:cs="宋体"/>
          <w:color w:val="auto"/>
          <w:kern w:val="0"/>
          <w:sz w:val="24"/>
          <w:highlight w:val="none"/>
          <w:lang w:eastAsia="zh-CN"/>
        </w:rPr>
        <w:t>苍南县交通工程养护基地项目热喷燃烧油采购</w:t>
      </w:r>
      <w:r>
        <w:rPr>
          <w:rFonts w:hint="eastAsia" w:ascii="宋体" w:hAnsi="宋体" w:eastAsia="宋体" w:cs="宋体"/>
          <w:color w:val="auto"/>
          <w:kern w:val="0"/>
          <w:sz w:val="24"/>
          <w:highlight w:val="none"/>
        </w:rPr>
        <w:t>的投标，与参加本次项目同一合同项下</w:t>
      </w:r>
      <w:r>
        <w:rPr>
          <w:rFonts w:hint="eastAsia" w:ascii="宋体" w:hAnsi="宋体" w:eastAsia="宋体" w:cs="宋体"/>
          <w:bCs/>
          <w:color w:val="auto"/>
          <w:kern w:val="36"/>
          <w:sz w:val="24"/>
          <w:highlight w:val="none"/>
        </w:rPr>
        <w:t>国企</w:t>
      </w:r>
      <w:r>
        <w:rPr>
          <w:rFonts w:hint="eastAsia" w:ascii="宋体" w:hAnsi="宋体" w:eastAsia="宋体" w:cs="宋体"/>
          <w:color w:val="auto"/>
          <w:kern w:val="0"/>
          <w:sz w:val="24"/>
          <w:highlight w:val="none"/>
        </w:rPr>
        <w:t>采购活动的其他供应商不存在单位负责人为同一人或者直接控股、管理关系。如有虚假或隐瞒，愿意承担一切后果。</w:t>
      </w:r>
    </w:p>
    <w:p w14:paraId="6A080F90">
      <w:pPr>
        <w:shd w:val="clear" w:color="auto" w:fill="FFFFFF"/>
        <w:snapToGrid w:val="0"/>
        <w:spacing w:line="360" w:lineRule="auto"/>
        <w:jc w:val="center"/>
        <w:rPr>
          <w:rFonts w:hint="eastAsia" w:ascii="宋体" w:hAnsi="宋体" w:eastAsia="宋体" w:cs="宋体"/>
          <w:b/>
          <w:color w:val="auto"/>
          <w:kern w:val="36"/>
          <w:sz w:val="24"/>
          <w:highlight w:val="none"/>
        </w:rPr>
      </w:pPr>
    </w:p>
    <w:p w14:paraId="1377025C">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特此承诺！</w:t>
      </w:r>
    </w:p>
    <w:p w14:paraId="4EF15988">
      <w:pPr>
        <w:widowControl/>
        <w:snapToGrid w:val="0"/>
        <w:spacing w:line="360" w:lineRule="auto"/>
        <w:ind w:firstLine="480" w:firstLineChars="200"/>
        <w:jc w:val="left"/>
        <w:rPr>
          <w:rFonts w:hint="eastAsia" w:ascii="宋体" w:hAnsi="宋体" w:eastAsia="宋体" w:cs="宋体"/>
          <w:color w:val="auto"/>
          <w:kern w:val="0"/>
          <w:sz w:val="24"/>
          <w:highlight w:val="none"/>
        </w:rPr>
      </w:pPr>
    </w:p>
    <w:p w14:paraId="055F2781">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szCs w:val="28"/>
          <w:highlight w:val="none"/>
        </w:rPr>
        <w:t>投标供应商（盖章）</w:t>
      </w:r>
      <w:r>
        <w:rPr>
          <w:rFonts w:hint="eastAsia" w:ascii="宋体" w:hAnsi="宋体" w:eastAsia="宋体" w:cs="宋体"/>
          <w:color w:val="auto"/>
          <w:kern w:val="0"/>
          <w:sz w:val="24"/>
          <w:highlight w:val="none"/>
        </w:rPr>
        <w:t xml:space="preserve"> ：</w:t>
      </w:r>
    </w:p>
    <w:p w14:paraId="469681EE">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p>
    <w:p w14:paraId="5BD557FE">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     年  月  日</w:t>
      </w:r>
    </w:p>
    <w:p w14:paraId="49060A44">
      <w:pPr>
        <w:shd w:val="clear" w:color="auto" w:fill="FFFFFF"/>
        <w:snapToGrid w:val="0"/>
        <w:spacing w:line="360" w:lineRule="auto"/>
        <w:rPr>
          <w:rFonts w:hint="eastAsia" w:ascii="宋体" w:hAnsi="宋体" w:eastAsia="宋体" w:cs="宋体"/>
          <w:color w:val="auto"/>
          <w:sz w:val="24"/>
          <w:highlight w:val="none"/>
        </w:rPr>
      </w:pPr>
    </w:p>
    <w:p w14:paraId="7510B730">
      <w:pPr>
        <w:spacing w:line="360" w:lineRule="auto"/>
        <w:jc w:val="center"/>
        <w:rPr>
          <w:rFonts w:hint="eastAsia" w:ascii="宋体" w:hAnsi="宋体" w:eastAsia="宋体" w:cs="宋体"/>
          <w:b/>
          <w:color w:val="auto"/>
          <w:kern w:val="36"/>
          <w:sz w:val="32"/>
          <w:szCs w:val="28"/>
          <w:highlight w:val="none"/>
        </w:rPr>
      </w:pPr>
      <w:r>
        <w:rPr>
          <w:rFonts w:hint="eastAsia" w:ascii="宋体" w:hAnsi="宋体" w:eastAsia="宋体" w:cs="宋体"/>
          <w:b/>
          <w:color w:val="auto"/>
          <w:kern w:val="0"/>
          <w:sz w:val="32"/>
          <w:szCs w:val="32"/>
          <w:highlight w:val="none"/>
        </w:rPr>
        <w:t>七、</w:t>
      </w:r>
      <w:r>
        <w:rPr>
          <w:rFonts w:hint="eastAsia" w:ascii="宋体" w:hAnsi="宋体" w:eastAsia="宋体" w:cs="宋体"/>
          <w:b/>
          <w:color w:val="auto"/>
          <w:kern w:val="36"/>
          <w:sz w:val="32"/>
          <w:szCs w:val="28"/>
          <w:highlight w:val="none"/>
        </w:rPr>
        <w:t>投标供应商没有失信记录承诺函</w:t>
      </w:r>
    </w:p>
    <w:p w14:paraId="1C7DBE0A">
      <w:pPr>
        <w:shd w:val="clear" w:color="auto" w:fill="FFFFFF"/>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苍南县交通建设材料科技有限公司</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浙江华域高宇项目管理有限公司</w:t>
      </w:r>
      <w:r>
        <w:rPr>
          <w:rFonts w:hint="eastAsia" w:ascii="宋体" w:hAnsi="宋体" w:eastAsia="宋体" w:cs="宋体"/>
          <w:color w:val="auto"/>
          <w:kern w:val="0"/>
          <w:sz w:val="24"/>
          <w:highlight w:val="none"/>
        </w:rPr>
        <w:t>：</w:t>
      </w:r>
    </w:p>
    <w:p w14:paraId="2DAC7F04">
      <w:pPr>
        <w:spacing w:line="360" w:lineRule="auto"/>
        <w:ind w:firstLine="484" w:firstLineChars="202"/>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69A0C4B4">
      <w:pPr>
        <w:shd w:val="clear" w:color="auto" w:fill="FFFFFF"/>
        <w:snapToGrid w:val="0"/>
        <w:spacing w:line="360" w:lineRule="auto"/>
        <w:rPr>
          <w:rFonts w:hint="eastAsia" w:ascii="宋体" w:hAnsi="宋体" w:eastAsia="宋体" w:cs="宋体"/>
          <w:color w:val="auto"/>
          <w:sz w:val="24"/>
          <w:highlight w:val="none"/>
        </w:rPr>
      </w:pPr>
    </w:p>
    <w:p w14:paraId="4836D50F">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特此承诺！</w:t>
      </w:r>
    </w:p>
    <w:p w14:paraId="6D638DEF">
      <w:pPr>
        <w:widowControl/>
        <w:snapToGrid w:val="0"/>
        <w:spacing w:line="360" w:lineRule="auto"/>
        <w:ind w:firstLine="480" w:firstLineChars="200"/>
        <w:jc w:val="left"/>
        <w:rPr>
          <w:rFonts w:hint="eastAsia" w:ascii="宋体" w:hAnsi="宋体" w:eastAsia="宋体" w:cs="宋体"/>
          <w:color w:val="auto"/>
          <w:kern w:val="0"/>
          <w:sz w:val="24"/>
          <w:highlight w:val="none"/>
        </w:rPr>
      </w:pPr>
    </w:p>
    <w:p w14:paraId="0DB7A688">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szCs w:val="28"/>
          <w:highlight w:val="none"/>
        </w:rPr>
        <w:t>投标供应商（盖章）</w:t>
      </w:r>
      <w:r>
        <w:rPr>
          <w:rFonts w:hint="eastAsia" w:ascii="宋体" w:hAnsi="宋体" w:eastAsia="宋体" w:cs="宋体"/>
          <w:color w:val="auto"/>
          <w:kern w:val="0"/>
          <w:sz w:val="24"/>
          <w:highlight w:val="none"/>
        </w:rPr>
        <w:t xml:space="preserve"> ：</w:t>
      </w:r>
    </w:p>
    <w:p w14:paraId="6EB2AB3F">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     年  月  日</w:t>
      </w:r>
    </w:p>
    <w:p w14:paraId="7596527F">
      <w:pPr>
        <w:pageBreakBefore/>
        <w:shd w:val="clear" w:color="auto" w:fill="FFFFFF"/>
        <w:snapToGrid w:val="0"/>
        <w:spacing w:line="360" w:lineRule="auto"/>
        <w:jc w:val="center"/>
        <w:outlineLvl w:val="1"/>
        <w:rPr>
          <w:rFonts w:hint="eastAsia" w:ascii="宋体" w:hAnsi="宋体" w:eastAsia="宋体" w:cs="宋体"/>
          <w:b/>
          <w:bCs/>
          <w:color w:val="auto"/>
          <w:kern w:val="0"/>
          <w:sz w:val="24"/>
          <w:highlight w:val="none"/>
        </w:rPr>
      </w:pPr>
      <w:bookmarkStart w:id="128" w:name="_Toc354996707"/>
      <w:bookmarkStart w:id="129" w:name="_Toc4522"/>
      <w:bookmarkStart w:id="130" w:name="_Toc33194407"/>
      <w:bookmarkStart w:id="131" w:name="_Toc233618989"/>
      <w:r>
        <w:rPr>
          <w:rFonts w:hint="eastAsia" w:ascii="宋体" w:hAnsi="宋体" w:eastAsia="宋体" w:cs="宋体"/>
          <w:b/>
          <w:bCs/>
          <w:color w:val="auto"/>
          <w:kern w:val="0"/>
          <w:sz w:val="24"/>
          <w:highlight w:val="none"/>
        </w:rPr>
        <w:t>报价文件</w:t>
      </w:r>
      <w:bookmarkEnd w:id="128"/>
      <w:bookmarkEnd w:id="129"/>
      <w:bookmarkEnd w:id="130"/>
    </w:p>
    <w:p w14:paraId="0AB3EC54">
      <w:pPr>
        <w:shd w:val="clear" w:color="auto" w:fill="FFFFFF"/>
        <w:snapToGrid w:val="0"/>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 </w:t>
      </w:r>
    </w:p>
    <w:p w14:paraId="14E5A0FA">
      <w:pPr>
        <w:shd w:val="clear" w:color="auto" w:fill="FFFFFF"/>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目录</w:t>
      </w:r>
    </w:p>
    <w:p w14:paraId="4FE5AFC3">
      <w:pPr>
        <w:shd w:val="clear" w:color="auto" w:fill="FFFFFF"/>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）开标一览表……………………………………………………………………………（页码）</w:t>
      </w:r>
    </w:p>
    <w:p w14:paraId="76F1753D">
      <w:pPr>
        <w:shd w:val="clear" w:color="auto" w:fill="FFFFFF"/>
        <w:snapToGrid w:val="0"/>
        <w:spacing w:line="360" w:lineRule="auto"/>
        <w:rPr>
          <w:rFonts w:hint="eastAsia" w:ascii="宋体" w:hAnsi="宋体" w:eastAsia="宋体" w:cs="宋体"/>
          <w:b/>
          <w:bCs/>
          <w:color w:val="auto"/>
          <w:kern w:val="0"/>
          <w:sz w:val="24"/>
          <w:highlight w:val="none"/>
          <w:lang w:val="zh-CN"/>
        </w:rPr>
      </w:pPr>
      <w:r>
        <w:rPr>
          <w:rFonts w:hint="eastAsia" w:eastAsia="宋体"/>
          <w:sz w:val="24"/>
          <w:szCs w:val="32"/>
          <w:lang w:val="en-US" w:eastAsia="zh-CN"/>
        </w:rPr>
        <w:t>（2）资金周转承诺函</w:t>
      </w:r>
      <w:r>
        <w:rPr>
          <w:rFonts w:hint="eastAsia" w:ascii="宋体" w:hAnsi="宋体" w:eastAsia="宋体" w:cs="宋体"/>
          <w:color w:val="auto"/>
          <w:kern w:val="0"/>
          <w:sz w:val="24"/>
          <w:highlight w:val="none"/>
        </w:rPr>
        <w:t>………………………………………………………………………（页码）</w:t>
      </w:r>
    </w:p>
    <w:p w14:paraId="0C5FAD49">
      <w:pPr>
        <w:pStyle w:val="8"/>
        <w:numPr>
          <w:ilvl w:val="0"/>
          <w:numId w:val="0"/>
        </w:numPr>
        <w:tabs>
          <w:tab w:val="clear" w:pos="1110"/>
        </w:tabs>
        <w:rPr>
          <w:rFonts w:hint="eastAsia" w:ascii="宋体" w:hAnsi="宋体" w:eastAsia="宋体" w:cs="宋体"/>
          <w:b/>
          <w:bCs/>
          <w:color w:val="auto"/>
          <w:kern w:val="0"/>
          <w:sz w:val="24"/>
          <w:highlight w:val="none"/>
          <w:lang w:val="zh-CN"/>
        </w:rPr>
      </w:pPr>
    </w:p>
    <w:p w14:paraId="37971CFE">
      <w:pPr>
        <w:rPr>
          <w:rFonts w:hint="eastAsia" w:ascii="宋体" w:hAnsi="宋体" w:eastAsia="宋体" w:cs="宋体"/>
          <w:b/>
          <w:bCs/>
          <w:color w:val="auto"/>
          <w:kern w:val="0"/>
          <w:sz w:val="24"/>
          <w:highlight w:val="none"/>
          <w:lang w:val="zh-CN"/>
        </w:rPr>
      </w:pPr>
    </w:p>
    <w:p w14:paraId="370CF6CD">
      <w:pPr>
        <w:pStyle w:val="8"/>
        <w:numPr>
          <w:ilvl w:val="0"/>
          <w:numId w:val="0"/>
        </w:numPr>
        <w:tabs>
          <w:tab w:val="clear" w:pos="1110"/>
        </w:tabs>
        <w:rPr>
          <w:rFonts w:hint="eastAsia"/>
          <w:lang w:val="zh-CN"/>
        </w:rPr>
      </w:pPr>
    </w:p>
    <w:p w14:paraId="240E4B26">
      <w:pPr>
        <w:pStyle w:val="8"/>
        <w:numPr>
          <w:ilvl w:val="0"/>
          <w:numId w:val="0"/>
        </w:numPr>
        <w:tabs>
          <w:tab w:val="clear" w:pos="1110"/>
        </w:tabs>
        <w:rPr>
          <w:rFonts w:hint="eastAsia"/>
          <w:lang w:val="zh-CN"/>
        </w:rPr>
      </w:pPr>
    </w:p>
    <w:p w14:paraId="652CBAE9">
      <w:pPr>
        <w:rPr>
          <w:rFonts w:hint="eastAsia"/>
          <w:lang w:val="zh-CN"/>
        </w:rPr>
      </w:pPr>
    </w:p>
    <w:p w14:paraId="63DD6BCC">
      <w:pPr>
        <w:pStyle w:val="8"/>
        <w:numPr>
          <w:ilvl w:val="0"/>
          <w:numId w:val="0"/>
        </w:numPr>
        <w:tabs>
          <w:tab w:val="clear" w:pos="1110"/>
        </w:tabs>
        <w:rPr>
          <w:rFonts w:hint="eastAsia"/>
          <w:lang w:val="zh-CN"/>
        </w:rPr>
      </w:pPr>
    </w:p>
    <w:p w14:paraId="06C5216A">
      <w:pPr>
        <w:rPr>
          <w:rFonts w:hint="eastAsia"/>
          <w:lang w:val="zh-CN"/>
        </w:rPr>
      </w:pPr>
    </w:p>
    <w:p w14:paraId="1149FDF1">
      <w:pPr>
        <w:rPr>
          <w:rFonts w:hint="eastAsia" w:ascii="宋体" w:hAnsi="宋体" w:eastAsia="宋体" w:cs="宋体"/>
          <w:b/>
          <w:bCs/>
          <w:color w:val="auto"/>
          <w:kern w:val="0"/>
          <w:sz w:val="24"/>
          <w:highlight w:val="none"/>
          <w:lang w:val="zh-CN"/>
        </w:rPr>
      </w:pPr>
    </w:p>
    <w:p w14:paraId="1BD8975A">
      <w:pPr>
        <w:rPr>
          <w:rFonts w:hint="default" w:eastAsia="宋体"/>
          <w:lang w:val="en-US" w:eastAsia="zh-CN"/>
        </w:rPr>
      </w:pPr>
    </w:p>
    <w:p w14:paraId="0E403616">
      <w:pPr>
        <w:pStyle w:val="5"/>
        <w:pageBreakBefore w:val="0"/>
        <w:kinsoku/>
        <w:wordWrap/>
        <w:overflowPunct/>
        <w:topLinePunct w:val="0"/>
        <w:bidi w:val="0"/>
        <w:jc w:val="center"/>
        <w:rPr>
          <w:rFonts w:hint="eastAsia" w:ascii="宋体" w:hAnsi="宋体" w:eastAsia="宋体" w:cs="宋体"/>
          <w:b/>
          <w:bCs/>
          <w:color w:val="auto"/>
          <w:sz w:val="24"/>
          <w:highlight w:val="none"/>
          <w:lang w:val="en-US" w:eastAsia="zh-CN"/>
        </w:rPr>
      </w:pPr>
      <w:bookmarkStart w:id="132" w:name="_Toc354859632"/>
      <w:bookmarkStart w:id="133" w:name="_Toc354859475"/>
      <w:bookmarkStart w:id="134" w:name="_Toc233618991"/>
      <w:bookmarkStart w:id="135" w:name="_Toc354859551"/>
    </w:p>
    <w:p w14:paraId="43B370CF">
      <w:pPr>
        <w:pStyle w:val="5"/>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370FD68F">
      <w:pPr>
        <w:pStyle w:val="5"/>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4A14B148">
      <w:pPr>
        <w:pStyle w:val="5"/>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6D3E54D3">
      <w:pPr>
        <w:pStyle w:val="5"/>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79171F23">
      <w:pPr>
        <w:pStyle w:val="5"/>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4B9A0954">
      <w:pPr>
        <w:pStyle w:val="5"/>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5169FCF1">
      <w:pPr>
        <w:pStyle w:val="5"/>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11E1EEBB">
      <w:pPr>
        <w:pStyle w:val="5"/>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355AC07C">
      <w:pPr>
        <w:pStyle w:val="5"/>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1F926CE2">
      <w:pPr>
        <w:pStyle w:val="5"/>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5878323C">
      <w:pPr>
        <w:pStyle w:val="5"/>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6D0CDEC2">
      <w:pPr>
        <w:pStyle w:val="5"/>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440EAB88">
      <w:pPr>
        <w:pStyle w:val="5"/>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31ED8EF0">
      <w:pPr>
        <w:pStyle w:val="5"/>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039C982E">
      <w:pPr>
        <w:pStyle w:val="5"/>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01FE4195">
      <w:pPr>
        <w:pStyle w:val="5"/>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2551C729">
      <w:pPr>
        <w:pStyle w:val="5"/>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54CC9CAB">
      <w:pPr>
        <w:pStyle w:val="5"/>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012D9B7F">
      <w:pPr>
        <w:pStyle w:val="5"/>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006506A7">
      <w:pPr>
        <w:pStyle w:val="5"/>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7837F9B7">
      <w:pPr>
        <w:pStyle w:val="5"/>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3ABB159D">
      <w:pPr>
        <w:pStyle w:val="5"/>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5E37900E">
      <w:pPr>
        <w:pStyle w:val="5"/>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7F0D5C94">
      <w:pPr>
        <w:pStyle w:val="5"/>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7C4690C5">
      <w:pPr>
        <w:pStyle w:val="5"/>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1ADC552C">
      <w:pPr>
        <w:pStyle w:val="5"/>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37DB3508">
      <w:pPr>
        <w:pStyle w:val="5"/>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449DC281">
      <w:pPr>
        <w:pStyle w:val="5"/>
        <w:pageBreakBefore w:val="0"/>
        <w:kinsoku/>
        <w:wordWrap/>
        <w:overflowPunct/>
        <w:topLinePunct w:val="0"/>
        <w:bidi w:val="0"/>
        <w:jc w:val="center"/>
        <w:rPr>
          <w:rFonts w:hint="eastAsia" w:ascii="宋体" w:hAnsi="宋体" w:eastAsia="宋体" w:cs="宋体"/>
          <w:b/>
          <w:bCs/>
          <w:color w:val="auto"/>
          <w:sz w:val="24"/>
          <w:highlight w:val="none"/>
          <w:lang w:val="en-US" w:eastAsia="zh-CN"/>
        </w:rPr>
      </w:pPr>
    </w:p>
    <w:p w14:paraId="45F2EA7C">
      <w:pPr>
        <w:pStyle w:val="5"/>
        <w:pageBreakBefore w:val="0"/>
        <w:kinsoku/>
        <w:wordWrap/>
        <w:overflowPunct/>
        <w:topLinePunct w:val="0"/>
        <w:bidi w:val="0"/>
        <w:jc w:val="center"/>
        <w:rPr>
          <w:rFonts w:hint="eastAsia" w:ascii="宋体" w:hAnsi="宋体" w:eastAsia="宋体" w:cs="宋体"/>
          <w:b/>
          <w:lang w:eastAsia="zh-CN"/>
        </w:rPr>
      </w:pP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rPr>
        <w:t>、</w:t>
      </w:r>
      <w:bookmarkEnd w:id="132"/>
      <w:bookmarkEnd w:id="133"/>
      <w:bookmarkEnd w:id="134"/>
      <w:bookmarkEnd w:id="135"/>
      <w:r>
        <w:rPr>
          <w:rFonts w:hint="eastAsia" w:ascii="宋体" w:hAnsi="宋体" w:eastAsia="宋体" w:cs="宋体"/>
          <w:b/>
          <w:sz w:val="28"/>
          <w:szCs w:val="28"/>
          <w:lang w:val="en-US" w:eastAsia="zh-CN"/>
        </w:rPr>
        <w:t>开标</w:t>
      </w:r>
      <w:r>
        <w:rPr>
          <w:rFonts w:hint="eastAsia" w:ascii="宋体" w:hAnsi="宋体" w:eastAsia="宋体" w:cs="宋体"/>
          <w:b/>
          <w:sz w:val="28"/>
          <w:szCs w:val="28"/>
        </w:rPr>
        <w:t>一览表</w:t>
      </w:r>
    </w:p>
    <w:p w14:paraId="51A78D04">
      <w:pPr>
        <w:pStyle w:val="13"/>
        <w:pageBreakBefore w:val="0"/>
        <w:kinsoku/>
        <w:wordWrap/>
        <w:overflowPunct/>
        <w:topLinePunct w:val="0"/>
        <w:bidi w:val="0"/>
        <w:adjustRightInd w:val="0"/>
        <w:snapToGrid w:val="0"/>
        <w:spacing w:line="400" w:lineRule="exact"/>
        <w:jc w:val="both"/>
        <w:rPr>
          <w:rFonts w:hint="eastAsia" w:ascii="宋体" w:hAnsi="宋体" w:eastAsia="宋体" w:cs="宋体"/>
          <w:sz w:val="24"/>
        </w:rPr>
      </w:pPr>
    </w:p>
    <w:p w14:paraId="746CC3CC">
      <w:pPr>
        <w:pStyle w:val="13"/>
        <w:pageBreakBefore w:val="0"/>
        <w:kinsoku/>
        <w:wordWrap/>
        <w:overflowPunct/>
        <w:topLinePunct w:val="0"/>
        <w:bidi w:val="0"/>
        <w:adjustRightInd w:val="0"/>
        <w:snapToGrid w:val="0"/>
        <w:spacing w:line="400" w:lineRule="exact"/>
        <w:jc w:val="both"/>
        <w:rPr>
          <w:rFonts w:hint="eastAsia" w:ascii="宋体" w:hAnsi="宋体" w:eastAsia="宋体" w:cs="宋体"/>
          <w:sz w:val="24"/>
        </w:rPr>
      </w:pPr>
    </w:p>
    <w:p w14:paraId="754BC860">
      <w:pPr>
        <w:pStyle w:val="13"/>
        <w:pageBreakBefore w:val="0"/>
        <w:kinsoku/>
        <w:wordWrap/>
        <w:overflowPunct/>
        <w:topLinePunct w:val="0"/>
        <w:bidi w:val="0"/>
        <w:adjustRightInd w:val="0"/>
        <w:snapToGrid w:val="0"/>
        <w:spacing w:line="400" w:lineRule="exact"/>
        <w:jc w:val="both"/>
        <w:rPr>
          <w:rFonts w:hint="eastAsia" w:ascii="宋体" w:hAnsi="宋体" w:eastAsia="宋体" w:cs="宋体"/>
          <w:sz w:val="24"/>
        </w:rPr>
      </w:pPr>
      <w:r>
        <w:rPr>
          <w:rFonts w:hint="eastAsia" w:ascii="宋体" w:hAnsi="宋体" w:eastAsia="宋体" w:cs="宋体"/>
          <w:sz w:val="24"/>
        </w:rPr>
        <w:t xml:space="preserve">供应商名称：                  </w:t>
      </w:r>
    </w:p>
    <w:p w14:paraId="4828DB27">
      <w:pPr>
        <w:pStyle w:val="13"/>
        <w:pageBreakBefore w:val="0"/>
        <w:kinsoku/>
        <w:wordWrap/>
        <w:overflowPunct/>
        <w:topLinePunct w:val="0"/>
        <w:bidi w:val="0"/>
        <w:adjustRightInd w:val="0"/>
        <w:snapToGrid w:val="0"/>
        <w:spacing w:line="400" w:lineRule="exact"/>
        <w:jc w:val="both"/>
        <w:rPr>
          <w:rFonts w:hint="eastAsia" w:ascii="宋体" w:hAnsi="宋体" w:eastAsia="宋体" w:cs="宋体"/>
          <w:sz w:val="24"/>
        </w:rPr>
      </w:pPr>
    </w:p>
    <w:p w14:paraId="34A28D0D">
      <w:pPr>
        <w:pStyle w:val="13"/>
        <w:pageBreakBefore w:val="0"/>
        <w:kinsoku/>
        <w:wordWrap/>
        <w:overflowPunct/>
        <w:topLinePunct w:val="0"/>
        <w:bidi w:val="0"/>
        <w:adjustRightInd w:val="0"/>
        <w:snapToGrid w:val="0"/>
        <w:spacing w:line="400" w:lineRule="exact"/>
        <w:jc w:val="both"/>
        <w:rPr>
          <w:rFonts w:hint="eastAsia" w:ascii="宋体" w:hAnsi="宋体" w:eastAsia="宋体" w:cs="宋体"/>
          <w:sz w:val="24"/>
        </w:rPr>
      </w:pPr>
      <w:r>
        <w:rPr>
          <w:rFonts w:hint="eastAsia" w:ascii="宋体" w:hAnsi="宋体" w:eastAsia="宋体" w:cs="宋体"/>
          <w:sz w:val="24"/>
        </w:rPr>
        <w:t xml:space="preserve">招标编号：              </w:t>
      </w:r>
    </w:p>
    <w:p w14:paraId="6BDBFBAA">
      <w:pPr>
        <w:pStyle w:val="13"/>
        <w:pageBreakBefore w:val="0"/>
        <w:kinsoku/>
        <w:wordWrap/>
        <w:overflowPunct/>
        <w:topLinePunct w:val="0"/>
        <w:bidi w:val="0"/>
        <w:adjustRightInd w:val="0"/>
        <w:snapToGrid w:val="0"/>
        <w:spacing w:line="400" w:lineRule="exact"/>
        <w:jc w:val="both"/>
        <w:rPr>
          <w:rFonts w:hint="eastAsia" w:ascii="宋体" w:hAnsi="宋体" w:eastAsia="宋体" w:cs="宋体"/>
          <w:sz w:val="24"/>
        </w:rPr>
      </w:pPr>
      <w:r>
        <w:rPr>
          <w:rFonts w:hint="eastAsia" w:ascii="宋体" w:hAnsi="宋体" w:eastAsia="宋体" w:cs="宋体"/>
          <w:sz w:val="24"/>
        </w:rPr>
        <w:t xml:space="preserve">                                                                         </w:t>
      </w:r>
    </w:p>
    <w:tbl>
      <w:tblPr>
        <w:tblStyle w:val="23"/>
        <w:tblW w:w="7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2489"/>
        <w:gridCol w:w="3927"/>
      </w:tblGrid>
      <w:tr w14:paraId="7954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2" w:type="dxa"/>
            <w:noWrap w:val="0"/>
            <w:vAlign w:val="center"/>
          </w:tcPr>
          <w:p w14:paraId="3C89C6DD">
            <w:pPr>
              <w:pStyle w:val="13"/>
              <w:pageBreakBefore w:val="0"/>
              <w:kinsoku/>
              <w:wordWrap/>
              <w:overflowPunct/>
              <w:topLinePunct w:val="0"/>
              <w:bidi w:val="0"/>
              <w:adjustRightInd w:val="0"/>
              <w:snapToGrid w:val="0"/>
              <w:spacing w:line="40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序号</w:t>
            </w:r>
          </w:p>
        </w:tc>
        <w:tc>
          <w:tcPr>
            <w:tcW w:w="2489" w:type="dxa"/>
            <w:noWrap w:val="0"/>
            <w:vAlign w:val="center"/>
          </w:tcPr>
          <w:p w14:paraId="7EA039AF">
            <w:pPr>
              <w:pStyle w:val="13"/>
              <w:pageBreakBefore w:val="0"/>
              <w:kinsoku/>
              <w:wordWrap/>
              <w:overflowPunct/>
              <w:topLinePunct w:val="0"/>
              <w:bidi w:val="0"/>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货物名称</w:t>
            </w:r>
          </w:p>
        </w:tc>
        <w:tc>
          <w:tcPr>
            <w:tcW w:w="3927" w:type="dxa"/>
            <w:noWrap w:val="0"/>
            <w:vAlign w:val="top"/>
          </w:tcPr>
          <w:p w14:paraId="22330CC1">
            <w:pPr>
              <w:pStyle w:val="13"/>
              <w:pageBreakBefore w:val="0"/>
              <w:kinsoku/>
              <w:wordWrap/>
              <w:overflowPunct/>
              <w:topLinePunct w:val="0"/>
              <w:bidi w:val="0"/>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lang w:eastAsia="zh-CN"/>
              </w:rPr>
              <w:t>报价</w:t>
            </w:r>
            <w:r>
              <w:rPr>
                <w:rFonts w:hint="eastAsia" w:ascii="宋体" w:hAnsi="宋体" w:eastAsia="宋体" w:cs="宋体"/>
                <w:sz w:val="24"/>
              </w:rPr>
              <w:t>（</w:t>
            </w:r>
            <w:r>
              <w:rPr>
                <w:rFonts w:hint="eastAsia" w:ascii="宋体" w:hAnsi="宋体" w:eastAsia="宋体" w:cs="宋体"/>
                <w:sz w:val="24"/>
                <w:lang w:val="en-US" w:eastAsia="zh-CN"/>
              </w:rPr>
              <w:t>折扣率</w:t>
            </w:r>
            <w:r>
              <w:rPr>
                <w:rFonts w:hint="eastAsia" w:ascii="宋体" w:hAnsi="宋体" w:eastAsia="宋体" w:cs="宋体"/>
                <w:sz w:val="24"/>
              </w:rPr>
              <w:t>）</w:t>
            </w:r>
          </w:p>
        </w:tc>
      </w:tr>
      <w:tr w14:paraId="0F7E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1252" w:type="dxa"/>
            <w:noWrap w:val="0"/>
            <w:vAlign w:val="center"/>
          </w:tcPr>
          <w:p w14:paraId="5EE2F771">
            <w:pPr>
              <w:pStyle w:val="13"/>
              <w:pageBreakBefore w:val="0"/>
              <w:kinsoku/>
              <w:wordWrap/>
              <w:overflowPunct/>
              <w:topLinePunct w:val="0"/>
              <w:bidi w:val="0"/>
              <w:adjustRightInd w:val="0"/>
              <w:snapToGrid w:val="0"/>
              <w:spacing w:line="400" w:lineRule="exact"/>
              <w:jc w:val="center"/>
              <w:rPr>
                <w:rFonts w:hint="eastAsia" w:ascii="宋体" w:hAnsi="宋体" w:eastAsia="宋体" w:cs="宋体"/>
                <w:sz w:val="24"/>
              </w:rPr>
            </w:pPr>
            <w:r>
              <w:rPr>
                <w:rFonts w:hint="eastAsia" w:ascii="宋体" w:hAnsi="宋体" w:eastAsia="宋体" w:cs="宋体"/>
                <w:sz w:val="24"/>
              </w:rPr>
              <w:t>1</w:t>
            </w:r>
          </w:p>
        </w:tc>
        <w:tc>
          <w:tcPr>
            <w:tcW w:w="2489" w:type="dxa"/>
            <w:noWrap w:val="0"/>
            <w:vAlign w:val="center"/>
          </w:tcPr>
          <w:p w14:paraId="54678633">
            <w:pPr>
              <w:pStyle w:val="13"/>
              <w:pageBreakBefore w:val="0"/>
              <w:kinsoku/>
              <w:wordWrap/>
              <w:overflowPunct/>
              <w:topLinePunct w:val="0"/>
              <w:bidi w:val="0"/>
              <w:adjustRightInd w:val="0"/>
              <w:snapToGrid w:val="0"/>
              <w:spacing w:line="40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热喷燃烧油</w:t>
            </w:r>
          </w:p>
        </w:tc>
        <w:tc>
          <w:tcPr>
            <w:tcW w:w="3927" w:type="dxa"/>
            <w:noWrap w:val="0"/>
            <w:vAlign w:val="center"/>
          </w:tcPr>
          <w:p w14:paraId="5766A070">
            <w:pPr>
              <w:pStyle w:val="13"/>
              <w:pageBreakBefore w:val="0"/>
              <w:kinsoku/>
              <w:wordWrap/>
              <w:overflowPunct/>
              <w:topLinePunct w:val="0"/>
              <w:bidi w:val="0"/>
              <w:adjustRightInd w:val="0"/>
              <w:snapToGrid w:val="0"/>
              <w:spacing w:line="400" w:lineRule="exact"/>
              <w:ind w:firstLine="2400" w:firstLineChars="1000"/>
              <w:jc w:val="center"/>
              <w:rPr>
                <w:rFonts w:hint="default" w:ascii="宋体" w:hAnsi="宋体" w:eastAsia="宋体" w:cs="宋体"/>
                <w:sz w:val="24"/>
                <w:lang w:val="en-US" w:eastAsia="zh-CN"/>
              </w:rPr>
            </w:pPr>
            <w:r>
              <w:rPr>
                <w:rFonts w:hint="eastAsia" w:ascii="宋体" w:hAnsi="宋体" w:eastAsia="宋体" w:cs="宋体"/>
                <w:sz w:val="24"/>
                <w:lang w:val="en-US" w:eastAsia="zh-CN"/>
              </w:rPr>
              <w:t>%</w:t>
            </w:r>
          </w:p>
        </w:tc>
      </w:tr>
    </w:tbl>
    <w:p w14:paraId="2F187B9C">
      <w:pPr>
        <w:pStyle w:val="13"/>
        <w:pageBreakBefore w:val="0"/>
        <w:kinsoku/>
        <w:wordWrap/>
        <w:overflowPunct/>
        <w:topLinePunct w:val="0"/>
        <w:bidi w:val="0"/>
        <w:adjustRightInd w:val="0"/>
        <w:snapToGrid w:val="0"/>
        <w:spacing w:line="400" w:lineRule="exact"/>
        <w:jc w:val="both"/>
        <w:rPr>
          <w:rFonts w:hint="eastAsia" w:ascii="宋体" w:hAnsi="宋体" w:eastAsia="宋体" w:cs="宋体"/>
          <w:sz w:val="24"/>
          <w:lang w:eastAsia="zh-CN"/>
        </w:rPr>
      </w:pPr>
      <w:r>
        <w:rPr>
          <w:rFonts w:hint="eastAsia" w:ascii="宋体" w:hAnsi="宋体" w:eastAsia="宋体" w:cs="宋体"/>
          <w:sz w:val="24"/>
          <w:lang w:eastAsia="zh-CN"/>
        </w:rPr>
        <w:t>说明：</w:t>
      </w:r>
    </w:p>
    <w:p w14:paraId="07849EA5">
      <w:pPr>
        <w:pStyle w:val="13"/>
        <w:pageBreakBefore w:val="0"/>
        <w:kinsoku/>
        <w:wordWrap/>
        <w:overflowPunct/>
        <w:topLinePunct w:val="0"/>
        <w:bidi w:val="0"/>
        <w:adjustRightInd w:val="0"/>
        <w:snapToGrid w:val="0"/>
        <w:spacing w:line="400" w:lineRule="exact"/>
        <w:jc w:val="both"/>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eastAsia="宋体" w:cs="宋体"/>
          <w:sz w:val="24"/>
          <w:lang w:eastAsia="zh-CN"/>
        </w:rPr>
        <w:t>报价采用折扣率形式，折扣率必须≤100%，折扣率未≤100%的作无效标处理（即折扣率≤100%为有效报价；如折扣率92%，即打9.2折）。</w:t>
      </w:r>
      <w:r>
        <w:rPr>
          <w:rFonts w:hint="eastAsia" w:ascii="宋体" w:hAnsi="宋体" w:eastAsia="宋体" w:cs="宋体"/>
          <w:sz w:val="24"/>
          <w:lang w:val="en-US" w:eastAsia="zh-CN"/>
        </w:rPr>
        <w:t>2.</w:t>
      </w:r>
      <w:r>
        <w:rPr>
          <w:rFonts w:hint="eastAsia" w:ascii="宋体" w:hAnsi="宋体" w:eastAsia="宋体" w:cs="宋体"/>
          <w:sz w:val="24"/>
          <w:lang w:eastAsia="zh-CN"/>
        </w:rPr>
        <w:t>全部报价均为税后送到目的地的价格。</w:t>
      </w:r>
    </w:p>
    <w:p w14:paraId="1556FAA3">
      <w:pPr>
        <w:pStyle w:val="13"/>
        <w:pageBreakBefore w:val="0"/>
        <w:kinsoku/>
        <w:wordWrap/>
        <w:overflowPunct/>
        <w:topLinePunct w:val="0"/>
        <w:bidi w:val="0"/>
        <w:adjustRightInd w:val="0"/>
        <w:snapToGrid w:val="0"/>
        <w:spacing w:line="400" w:lineRule="exact"/>
        <w:jc w:val="both"/>
        <w:rPr>
          <w:rFonts w:hint="eastAsia" w:ascii="宋体" w:hAnsi="宋体" w:eastAsia="宋体" w:cs="宋体"/>
          <w:sz w:val="24"/>
          <w:lang w:val="zh-CN" w:eastAsia="zh-CN"/>
        </w:rPr>
      </w:pPr>
      <w:r>
        <w:rPr>
          <w:rFonts w:hint="eastAsia" w:ascii="宋体" w:hAnsi="宋体" w:eastAsia="宋体" w:cs="宋体"/>
          <w:sz w:val="24"/>
          <w:lang w:val="en-US" w:eastAsia="zh-CN"/>
        </w:rPr>
        <w:t>▲不提供此表格的将视为没有实质性响应招标文件。</w:t>
      </w:r>
    </w:p>
    <w:p w14:paraId="5E527DDE">
      <w:pPr>
        <w:pageBreakBefore w:val="0"/>
        <w:kinsoku/>
        <w:wordWrap/>
        <w:overflowPunct/>
        <w:topLinePunct w:val="0"/>
        <w:bidi w:val="0"/>
        <w:snapToGrid w:val="0"/>
        <w:spacing w:line="360" w:lineRule="auto"/>
        <w:jc w:val="both"/>
        <w:rPr>
          <w:rFonts w:hint="eastAsia" w:ascii="宋体" w:hAnsi="宋体" w:eastAsia="宋体" w:cs="宋体"/>
          <w:sz w:val="22"/>
          <w:szCs w:val="22"/>
          <w:lang w:bidi="ar"/>
        </w:rPr>
      </w:pPr>
    </w:p>
    <w:p w14:paraId="1AE3D36D">
      <w:pPr>
        <w:pageBreakBefore w:val="0"/>
        <w:kinsoku/>
        <w:wordWrap/>
        <w:overflowPunct/>
        <w:topLinePunct w:val="0"/>
        <w:bidi w:val="0"/>
        <w:snapToGrid w:val="0"/>
        <w:spacing w:line="360" w:lineRule="auto"/>
        <w:jc w:val="both"/>
        <w:rPr>
          <w:rFonts w:hint="eastAsia" w:ascii="宋体" w:hAnsi="宋体" w:eastAsia="宋体" w:cs="宋体"/>
          <w:sz w:val="22"/>
          <w:szCs w:val="22"/>
          <w:lang w:bidi="ar"/>
        </w:rPr>
      </w:pPr>
    </w:p>
    <w:p w14:paraId="462E187E">
      <w:pPr>
        <w:pageBreakBefore w:val="0"/>
        <w:kinsoku/>
        <w:wordWrap/>
        <w:overflowPunct/>
        <w:topLinePunct w:val="0"/>
        <w:bidi w:val="0"/>
        <w:snapToGrid w:val="0"/>
        <w:spacing w:line="360" w:lineRule="auto"/>
        <w:jc w:val="both"/>
        <w:rPr>
          <w:rFonts w:hint="eastAsia" w:ascii="宋体" w:hAnsi="宋体" w:eastAsia="宋体" w:cs="宋体"/>
          <w:sz w:val="22"/>
          <w:szCs w:val="22"/>
        </w:rPr>
      </w:pPr>
      <w:r>
        <w:rPr>
          <w:rFonts w:hint="eastAsia" w:ascii="宋体" w:hAnsi="宋体" w:eastAsia="宋体" w:cs="宋体"/>
          <w:sz w:val="22"/>
          <w:szCs w:val="22"/>
          <w:lang w:bidi="ar"/>
        </w:rPr>
        <w:t>投标供应商名称（电子签章）：</w:t>
      </w:r>
      <w:r>
        <w:rPr>
          <w:rFonts w:hint="eastAsia" w:ascii="宋体" w:hAnsi="宋体" w:eastAsia="宋体" w:cs="宋体"/>
          <w:sz w:val="22"/>
          <w:szCs w:val="22"/>
          <w:u w:val="single"/>
          <w:lang w:bidi="ar"/>
        </w:rPr>
        <w:t xml:space="preserve">                             </w:t>
      </w:r>
    </w:p>
    <w:p w14:paraId="14D14F41">
      <w:pPr>
        <w:pageBreakBefore w:val="0"/>
        <w:kinsoku/>
        <w:wordWrap/>
        <w:overflowPunct/>
        <w:topLinePunct w:val="0"/>
        <w:bidi w:val="0"/>
        <w:snapToGrid w:val="0"/>
        <w:spacing w:line="360" w:lineRule="auto"/>
        <w:jc w:val="both"/>
        <w:rPr>
          <w:rFonts w:hint="eastAsia" w:ascii="宋体" w:hAnsi="宋体" w:eastAsia="宋体" w:cs="宋体"/>
          <w:sz w:val="22"/>
          <w:szCs w:val="22"/>
          <w:lang w:bidi="ar"/>
        </w:rPr>
      </w:pPr>
    </w:p>
    <w:p w14:paraId="1A99A964">
      <w:pPr>
        <w:pageBreakBefore w:val="0"/>
        <w:kinsoku/>
        <w:wordWrap/>
        <w:overflowPunct/>
        <w:topLinePunct w:val="0"/>
        <w:bidi w:val="0"/>
        <w:snapToGrid w:val="0"/>
        <w:spacing w:line="360" w:lineRule="auto"/>
        <w:jc w:val="both"/>
        <w:rPr>
          <w:rFonts w:hint="eastAsia" w:ascii="宋体" w:hAnsi="宋体" w:eastAsia="宋体" w:cs="宋体"/>
          <w:sz w:val="22"/>
          <w:szCs w:val="22"/>
        </w:rPr>
      </w:pPr>
      <w:r>
        <w:rPr>
          <w:rFonts w:hint="eastAsia" w:ascii="宋体" w:hAnsi="宋体" w:eastAsia="宋体" w:cs="宋体"/>
          <w:sz w:val="22"/>
          <w:szCs w:val="22"/>
          <w:lang w:bidi="ar"/>
        </w:rPr>
        <w:t>法人或其授权代表（签字或盖章）：</w:t>
      </w:r>
      <w:r>
        <w:rPr>
          <w:rFonts w:hint="eastAsia" w:ascii="宋体" w:hAnsi="宋体" w:eastAsia="宋体" w:cs="宋体"/>
          <w:sz w:val="22"/>
          <w:szCs w:val="22"/>
          <w:u w:val="single"/>
          <w:lang w:bidi="ar"/>
        </w:rPr>
        <w:t xml:space="preserve">                </w:t>
      </w:r>
    </w:p>
    <w:p w14:paraId="570ED19E">
      <w:pPr>
        <w:pageBreakBefore w:val="0"/>
        <w:kinsoku/>
        <w:wordWrap/>
        <w:overflowPunct/>
        <w:topLinePunct w:val="0"/>
        <w:bidi w:val="0"/>
        <w:spacing w:line="360" w:lineRule="auto"/>
        <w:jc w:val="both"/>
        <w:rPr>
          <w:rFonts w:hint="eastAsia" w:ascii="宋体" w:hAnsi="宋体" w:eastAsia="宋体" w:cs="宋体"/>
          <w:sz w:val="22"/>
          <w:szCs w:val="22"/>
          <w:lang w:bidi="ar"/>
        </w:rPr>
      </w:pPr>
    </w:p>
    <w:p w14:paraId="6337C4B6">
      <w:pPr>
        <w:shd w:val="clear" w:color="auto" w:fill="FFFFFF"/>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sz w:val="22"/>
          <w:szCs w:val="22"/>
          <w:lang w:bidi="ar"/>
        </w:rPr>
        <w:t>日期：</w:t>
      </w:r>
    </w:p>
    <w:p w14:paraId="590849C1">
      <w:pPr>
        <w:pStyle w:val="8"/>
        <w:tabs>
          <w:tab w:val="clear" w:pos="706"/>
        </w:tabs>
        <w:rPr>
          <w:color w:val="auto"/>
          <w:lang w:val="en-US"/>
        </w:rPr>
        <w:sectPr>
          <w:footerReference r:id="rId4" w:type="default"/>
          <w:pgSz w:w="11910" w:h="16840"/>
          <w:pgMar w:top="1134" w:right="1134" w:bottom="1134" w:left="1134" w:header="0" w:footer="1032" w:gutter="0"/>
          <w:pgBorders>
            <w:top w:val="none" w:sz="0" w:space="0"/>
            <w:left w:val="none" w:sz="0" w:space="0"/>
            <w:bottom w:val="none" w:sz="0" w:space="0"/>
            <w:right w:val="none" w:sz="0" w:space="0"/>
          </w:pgBorders>
          <w:pgNumType w:fmt="decimal"/>
          <w:cols w:equalWidth="0" w:num="1">
            <w:col w:w="10050"/>
          </w:cols>
          <w:rtlGutter w:val="0"/>
          <w:docGrid w:linePitch="0" w:charSpace="0"/>
        </w:sectPr>
      </w:pPr>
    </w:p>
    <w:p w14:paraId="462176C0">
      <w:pPr>
        <w:pStyle w:val="5"/>
        <w:pageBreakBefore w:val="0"/>
        <w:kinsoku/>
        <w:wordWrap/>
        <w:overflowPunct/>
        <w:topLinePunct w:val="0"/>
        <w:bidi w:val="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二、资金周转承诺函</w:t>
      </w:r>
    </w:p>
    <w:tbl>
      <w:tblPr>
        <w:tblStyle w:val="24"/>
        <w:tblW w:w="968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680"/>
      </w:tblGrid>
      <w:tr w14:paraId="5B8BA38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311" w:hRule="atLeast"/>
        </w:trPr>
        <w:tc>
          <w:tcPr>
            <w:tcW w:w="9680" w:type="dxa"/>
            <w:tcBorders>
              <w:tl2br w:val="nil"/>
              <w:tr2bl w:val="nil"/>
            </w:tcBorders>
            <w:noWrap w:val="0"/>
            <w:vAlign w:val="top"/>
          </w:tcPr>
          <w:p w14:paraId="1C9453BB">
            <w:pPr>
              <w:pStyle w:val="10"/>
              <w:pageBreakBefore w:val="0"/>
              <w:kinsoku/>
              <w:wordWrap/>
              <w:overflowPunct/>
              <w:topLinePunct w:val="0"/>
              <w:bidi w:val="0"/>
              <w:spacing w:line="400" w:lineRule="exact"/>
              <w:ind w:left="0" w:leftChars="0" w:firstLine="0" w:firstLineChars="0"/>
              <w:jc w:val="center"/>
              <w:rPr>
                <w:rFonts w:hint="eastAsia" w:ascii="宋体" w:hAnsi="宋体" w:eastAsia="宋体" w:cs="宋体"/>
                <w:sz w:val="32"/>
                <w:szCs w:val="32"/>
                <w:vertAlign w:val="baseline"/>
                <w:lang w:eastAsia="zh-CN"/>
              </w:rPr>
            </w:pPr>
            <w:r>
              <w:rPr>
                <w:rFonts w:hint="eastAsia" w:ascii="宋体" w:hAnsi="宋体" w:cs="宋体"/>
                <w:sz w:val="32"/>
                <w:szCs w:val="32"/>
                <w:vertAlign w:val="baseline"/>
                <w:lang w:eastAsia="zh-CN"/>
              </w:rPr>
              <w:t>（</w:t>
            </w:r>
            <w:r>
              <w:rPr>
                <w:rFonts w:hint="eastAsia" w:ascii="宋体" w:hAnsi="宋体" w:cs="宋体"/>
                <w:sz w:val="32"/>
                <w:szCs w:val="32"/>
                <w:vertAlign w:val="baseline"/>
                <w:lang w:val="en-US" w:eastAsia="zh-CN"/>
              </w:rPr>
              <w:t>格式自拟，垫资金额少于18万元人民币，将否决其投标</w:t>
            </w:r>
            <w:r>
              <w:rPr>
                <w:rFonts w:hint="eastAsia" w:ascii="宋体" w:hAnsi="宋体" w:cs="宋体"/>
                <w:sz w:val="32"/>
                <w:szCs w:val="32"/>
                <w:vertAlign w:val="baseline"/>
                <w:lang w:eastAsia="zh-CN"/>
              </w:rPr>
              <w:t>）</w:t>
            </w:r>
          </w:p>
        </w:tc>
      </w:tr>
    </w:tbl>
    <w:p w14:paraId="7CA6522F">
      <w:pPr>
        <w:pStyle w:val="5"/>
        <w:rPr>
          <w:rFonts w:hint="eastAsia"/>
          <w:color w:val="auto"/>
        </w:rPr>
      </w:pPr>
    </w:p>
    <w:p w14:paraId="7D12CA33">
      <w:pPr>
        <w:jc w:val="center"/>
        <w:rPr>
          <w:rFonts w:hint="eastAsia"/>
          <w:color w:val="auto"/>
        </w:rPr>
      </w:pPr>
      <w:bookmarkStart w:id="136" w:name="_Toc354996708"/>
      <w:bookmarkStart w:id="137" w:name="_Toc33194408"/>
      <w:r>
        <w:rPr>
          <w:rFonts w:hint="eastAsia"/>
          <w:b/>
          <w:bCs/>
          <w:color w:val="auto"/>
          <w:sz w:val="36"/>
          <w:szCs w:val="44"/>
        </w:rPr>
        <w:t>商务</w:t>
      </w:r>
      <w:bookmarkEnd w:id="136"/>
      <w:bookmarkStart w:id="138" w:name="_Toc354996709"/>
      <w:r>
        <w:rPr>
          <w:rFonts w:hint="eastAsia"/>
          <w:b/>
          <w:bCs/>
          <w:color w:val="auto"/>
          <w:sz w:val="36"/>
          <w:szCs w:val="44"/>
        </w:rPr>
        <w:t>技术文件</w:t>
      </w:r>
      <w:bookmarkEnd w:id="137"/>
    </w:p>
    <w:p w14:paraId="10059C48">
      <w:pPr>
        <w:shd w:val="clear" w:color="auto" w:fill="FFFFFF"/>
        <w:snapToGrid w:val="0"/>
        <w:spacing w:line="360" w:lineRule="auto"/>
        <w:jc w:val="center"/>
        <w:rPr>
          <w:rFonts w:hint="eastAsia" w:ascii="宋体" w:hAnsi="宋体" w:eastAsia="宋体" w:cs="宋体"/>
          <w:b/>
          <w:color w:val="auto"/>
          <w:kern w:val="0"/>
          <w:sz w:val="28"/>
          <w:szCs w:val="28"/>
          <w:highlight w:val="none"/>
        </w:rPr>
      </w:pPr>
      <w:bookmarkStart w:id="139" w:name="_Toc20650"/>
      <w:bookmarkStart w:id="140" w:name="_Toc31837"/>
      <w:bookmarkStart w:id="141" w:name="_Toc27129"/>
      <w:bookmarkStart w:id="142" w:name="_Toc3604"/>
      <w:bookmarkStart w:id="143" w:name="_Toc13349"/>
      <w:bookmarkStart w:id="144" w:name="_Toc7049"/>
      <w:bookmarkStart w:id="145" w:name="_Toc7803"/>
      <w:bookmarkStart w:id="146" w:name="_Toc10347"/>
      <w:bookmarkStart w:id="147" w:name="_Toc20721"/>
      <w:bookmarkStart w:id="148" w:name="_Toc13194"/>
      <w:bookmarkStart w:id="149" w:name="_Toc25554"/>
    </w:p>
    <w:p w14:paraId="04B00018">
      <w:pPr>
        <w:shd w:val="clear" w:color="auto" w:fill="FFFFFF"/>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bookmarkEnd w:id="139"/>
      <w:bookmarkEnd w:id="140"/>
      <w:bookmarkEnd w:id="141"/>
      <w:bookmarkEnd w:id="142"/>
      <w:bookmarkEnd w:id="143"/>
      <w:bookmarkEnd w:id="144"/>
      <w:bookmarkEnd w:id="145"/>
      <w:bookmarkEnd w:id="146"/>
      <w:bookmarkEnd w:id="147"/>
      <w:bookmarkEnd w:id="148"/>
      <w:bookmarkEnd w:id="149"/>
    </w:p>
    <w:p w14:paraId="0365FADD">
      <w:pPr>
        <w:numPr>
          <w:ilvl w:val="0"/>
          <w:numId w:val="8"/>
        </w:numPr>
        <w:snapToGrid w:val="0"/>
        <w:spacing w:line="360" w:lineRule="auto"/>
        <w:ind w:left="425" w:hanging="42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投标函……………………………………………………………………………（页码）</w:t>
      </w:r>
    </w:p>
    <w:p w14:paraId="4CBA2ECF">
      <w:pPr>
        <w:numPr>
          <w:ilvl w:val="0"/>
          <w:numId w:val="8"/>
        </w:numPr>
        <w:snapToGrid w:val="0"/>
        <w:spacing w:line="360" w:lineRule="auto"/>
        <w:ind w:left="425" w:hanging="425"/>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法定代表人及授权委托人的身份证(复印件加盖公章)………………………（页码）</w:t>
      </w:r>
    </w:p>
    <w:p w14:paraId="4091808E">
      <w:pPr>
        <w:numPr>
          <w:ilvl w:val="0"/>
          <w:numId w:val="8"/>
        </w:numPr>
        <w:snapToGrid w:val="0"/>
        <w:spacing w:line="360" w:lineRule="auto"/>
        <w:ind w:left="425" w:hanging="425"/>
        <w:rPr>
          <w:rFonts w:hint="eastAsia" w:ascii="宋体" w:hAnsi="宋体" w:eastAsia="宋体" w:cs="宋体"/>
          <w:color w:val="auto"/>
          <w:sz w:val="24"/>
          <w:highlight w:val="none"/>
        </w:rPr>
      </w:pPr>
      <w:r>
        <w:rPr>
          <w:rFonts w:hint="eastAsia" w:ascii="宋体" w:hAnsi="宋体" w:eastAsia="宋体" w:cs="宋体"/>
          <w:color w:val="auto"/>
          <w:sz w:val="24"/>
          <w:highlight w:val="none"/>
        </w:rPr>
        <w:t>商务偏离表、技术偏离表………………………………………………………（页码）</w:t>
      </w:r>
    </w:p>
    <w:p w14:paraId="3D4D3B15">
      <w:pPr>
        <w:numPr>
          <w:ilvl w:val="0"/>
          <w:numId w:val="8"/>
        </w:numPr>
        <w:snapToGrid w:val="0"/>
        <w:spacing w:line="360" w:lineRule="auto"/>
        <w:ind w:left="425" w:hanging="42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投标供应商情况声明……………………………………………………………（页码）</w:t>
      </w:r>
    </w:p>
    <w:p w14:paraId="48A3E932">
      <w:pPr>
        <w:numPr>
          <w:ilvl w:val="0"/>
          <w:numId w:val="8"/>
        </w:numPr>
        <w:snapToGrid w:val="0"/>
        <w:spacing w:line="360" w:lineRule="auto"/>
        <w:ind w:left="425" w:hanging="425"/>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供应商相关资质、资信或信用证书……………………………………………（页码）</w:t>
      </w:r>
    </w:p>
    <w:p w14:paraId="144E0035">
      <w:pPr>
        <w:numPr>
          <w:ilvl w:val="0"/>
          <w:numId w:val="8"/>
        </w:numPr>
        <w:snapToGrid w:val="0"/>
        <w:spacing w:line="360" w:lineRule="auto"/>
        <w:ind w:left="425" w:hanging="42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投标供应商项目业绩一览表……………………………………………………（页码）</w:t>
      </w:r>
    </w:p>
    <w:p w14:paraId="3F894899">
      <w:pPr>
        <w:numPr>
          <w:ilvl w:val="0"/>
          <w:numId w:val="8"/>
        </w:numPr>
        <w:snapToGrid w:val="0"/>
        <w:spacing w:line="360" w:lineRule="auto"/>
        <w:ind w:left="425" w:hanging="42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项目的难点要点分析及解决措施</w:t>
      </w:r>
      <w:r>
        <w:rPr>
          <w:rFonts w:hint="eastAsia" w:ascii="宋体" w:hAnsi="宋体" w:eastAsia="宋体" w:cs="宋体"/>
          <w:color w:val="auto"/>
          <w:sz w:val="24"/>
          <w:highlight w:val="none"/>
        </w:rPr>
        <w:t>………………………………………………（页码）</w:t>
      </w:r>
    </w:p>
    <w:p w14:paraId="5DB4E06A">
      <w:pPr>
        <w:numPr>
          <w:ilvl w:val="0"/>
          <w:numId w:val="8"/>
        </w:numPr>
        <w:snapToGrid w:val="0"/>
        <w:spacing w:line="360" w:lineRule="auto"/>
        <w:ind w:left="425" w:hanging="42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油品质量保证措施</w:t>
      </w:r>
      <w:r>
        <w:rPr>
          <w:rFonts w:hint="eastAsia" w:ascii="宋体" w:hAnsi="宋体" w:eastAsia="宋体" w:cs="宋体"/>
          <w:color w:val="auto"/>
          <w:sz w:val="24"/>
          <w:highlight w:val="none"/>
        </w:rPr>
        <w:t>………………………………………………………………（页码）</w:t>
      </w:r>
    </w:p>
    <w:p w14:paraId="2DFFC5BE">
      <w:pPr>
        <w:numPr>
          <w:ilvl w:val="0"/>
          <w:numId w:val="8"/>
        </w:numPr>
        <w:snapToGrid w:val="0"/>
        <w:spacing w:line="360" w:lineRule="auto"/>
        <w:ind w:left="425" w:hanging="42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项目实施方案</w:t>
      </w:r>
      <w:r>
        <w:rPr>
          <w:rFonts w:hint="eastAsia" w:ascii="宋体" w:hAnsi="宋体" w:eastAsia="宋体" w:cs="宋体"/>
          <w:color w:val="auto"/>
          <w:sz w:val="24"/>
          <w:highlight w:val="none"/>
        </w:rPr>
        <w:t>……………………………………………………………………（页码）</w:t>
      </w:r>
    </w:p>
    <w:p w14:paraId="770B1FC1">
      <w:pPr>
        <w:numPr>
          <w:ilvl w:val="0"/>
          <w:numId w:val="8"/>
        </w:numPr>
        <w:snapToGrid w:val="0"/>
        <w:spacing w:line="360" w:lineRule="auto"/>
        <w:ind w:left="425" w:hanging="42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安全管理制度</w:t>
      </w:r>
      <w:r>
        <w:rPr>
          <w:rFonts w:hint="eastAsia" w:ascii="宋体" w:hAnsi="宋体" w:eastAsia="宋体" w:cs="宋体"/>
          <w:color w:val="auto"/>
          <w:sz w:val="24"/>
          <w:highlight w:val="none"/>
        </w:rPr>
        <w:t>……………………………………………………………………（页码）</w:t>
      </w:r>
    </w:p>
    <w:p w14:paraId="7D3C5CCD">
      <w:pPr>
        <w:numPr>
          <w:ilvl w:val="0"/>
          <w:numId w:val="8"/>
        </w:numPr>
        <w:snapToGrid w:val="0"/>
        <w:spacing w:line="360" w:lineRule="auto"/>
        <w:ind w:left="425" w:hanging="42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安全保障措施</w:t>
      </w:r>
      <w:r>
        <w:rPr>
          <w:rFonts w:hint="eastAsia" w:ascii="宋体" w:hAnsi="宋体" w:eastAsia="宋体" w:cs="宋体"/>
          <w:color w:val="auto"/>
          <w:sz w:val="24"/>
          <w:highlight w:val="none"/>
        </w:rPr>
        <w:t>……………………………………………………………………（页码）</w:t>
      </w:r>
    </w:p>
    <w:p w14:paraId="3B71417A">
      <w:pPr>
        <w:numPr>
          <w:ilvl w:val="0"/>
          <w:numId w:val="8"/>
        </w:numPr>
        <w:snapToGrid w:val="0"/>
        <w:spacing w:line="360" w:lineRule="auto"/>
        <w:ind w:left="425" w:hanging="42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应急方案</w:t>
      </w:r>
      <w:r>
        <w:rPr>
          <w:rFonts w:hint="eastAsia" w:ascii="宋体" w:hAnsi="宋体" w:eastAsia="宋体" w:cs="宋体"/>
          <w:color w:val="auto"/>
          <w:sz w:val="24"/>
          <w:highlight w:val="none"/>
        </w:rPr>
        <w:t>…………………………………………………………………………（页码）</w:t>
      </w:r>
    </w:p>
    <w:p w14:paraId="1AD27C0E">
      <w:pPr>
        <w:numPr>
          <w:ilvl w:val="0"/>
          <w:numId w:val="8"/>
        </w:numPr>
        <w:snapToGrid w:val="0"/>
        <w:spacing w:line="360" w:lineRule="auto"/>
        <w:ind w:left="425" w:hanging="42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售后服务</w:t>
      </w:r>
      <w:r>
        <w:rPr>
          <w:rFonts w:hint="eastAsia" w:ascii="宋体" w:hAnsi="宋体" w:eastAsia="宋体" w:cs="宋体"/>
          <w:color w:val="auto"/>
          <w:sz w:val="24"/>
          <w:highlight w:val="none"/>
        </w:rPr>
        <w:t>…………………………………………………………………………（页码）</w:t>
      </w:r>
    </w:p>
    <w:p w14:paraId="1D86F82D">
      <w:pPr>
        <w:numPr>
          <w:ilvl w:val="0"/>
          <w:numId w:val="8"/>
        </w:numPr>
        <w:snapToGrid w:val="0"/>
        <w:spacing w:line="360" w:lineRule="auto"/>
        <w:ind w:left="425" w:hanging="42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应急方案</w:t>
      </w:r>
      <w:r>
        <w:rPr>
          <w:rFonts w:hint="eastAsia" w:ascii="宋体" w:hAnsi="宋体" w:eastAsia="宋体" w:cs="宋体"/>
          <w:color w:val="auto"/>
          <w:sz w:val="24"/>
          <w:highlight w:val="none"/>
        </w:rPr>
        <w:t>…………………………………………………………………………（页码）</w:t>
      </w:r>
    </w:p>
    <w:p w14:paraId="7C7BEA6E">
      <w:pPr>
        <w:numPr>
          <w:ilvl w:val="0"/>
          <w:numId w:val="0"/>
        </w:numPr>
        <w:snapToGrid w:val="0"/>
        <w:spacing w:line="360" w:lineRule="auto"/>
        <w:ind w:leftChars="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根据招标文件中的采购内容与技术要求及评审办法等编写及需要提供的其它文件和资料…………………………………………………………………………………（页码）</w:t>
      </w:r>
    </w:p>
    <w:p w14:paraId="50A91EFF">
      <w:pPr>
        <w:numPr>
          <w:ilvl w:val="0"/>
          <w:numId w:val="0"/>
        </w:numPr>
        <w:snapToGrid w:val="0"/>
        <w:spacing w:line="360" w:lineRule="auto"/>
        <w:ind w:leftChars="0"/>
        <w:rPr>
          <w:rFonts w:hint="eastAsia" w:ascii="宋体" w:hAnsi="宋体" w:eastAsia="宋体" w:cs="宋体"/>
          <w:color w:val="auto"/>
          <w:sz w:val="24"/>
          <w:highlight w:val="none"/>
        </w:rPr>
      </w:pPr>
    </w:p>
    <w:p w14:paraId="17460466">
      <w:pPr>
        <w:numPr>
          <w:ilvl w:val="0"/>
          <w:numId w:val="0"/>
        </w:numPr>
        <w:snapToGrid w:val="0"/>
        <w:spacing w:line="360" w:lineRule="auto"/>
        <w:ind w:leftChars="0"/>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注：以上目录是编制投标技术文件的基本格式要求，各投标供应商可根据自身情况进一步细化。</w:t>
      </w:r>
    </w:p>
    <w:p w14:paraId="718C6407">
      <w:pPr>
        <w:pStyle w:val="13"/>
        <w:snapToGrid w:val="0"/>
        <w:spacing w:line="360" w:lineRule="auto"/>
        <w:ind w:firstLine="480" w:firstLineChars="200"/>
        <w:jc w:val="left"/>
        <w:outlineLvl w:val="2"/>
        <w:rPr>
          <w:rFonts w:hint="eastAsia" w:ascii="宋体" w:hAnsi="宋体" w:eastAsia="宋体" w:cs="宋体"/>
          <w:b/>
          <w:color w:val="auto"/>
          <w:sz w:val="32"/>
          <w:szCs w:val="32"/>
          <w:highlight w:val="none"/>
          <w:lang w:val="zh-CN"/>
        </w:rPr>
      </w:pPr>
      <w:r>
        <w:rPr>
          <w:rFonts w:hint="eastAsia" w:ascii="宋体" w:hAnsi="宋体" w:eastAsia="宋体" w:cs="宋体"/>
          <w:color w:val="auto"/>
          <w:sz w:val="24"/>
          <w:highlight w:val="none"/>
        </w:rPr>
        <w:br w:type="page"/>
      </w:r>
      <w:bookmarkEnd w:id="138"/>
    </w:p>
    <w:p w14:paraId="5F49E5F2">
      <w:pPr>
        <w:pStyle w:val="13"/>
        <w:pageBreakBefore w:val="0"/>
        <w:kinsoku/>
        <w:wordWrap/>
        <w:overflowPunct/>
        <w:topLinePunct w:val="0"/>
        <w:bidi w:val="0"/>
        <w:adjustRightInd w:val="0"/>
        <w:snapToGrid w:val="0"/>
        <w:spacing w:line="500" w:lineRule="exact"/>
        <w:jc w:val="center"/>
        <w:rPr>
          <w:rFonts w:hint="eastAsia" w:ascii="宋体" w:hAnsi="宋体" w:eastAsia="宋体" w:cs="宋体"/>
          <w:sz w:val="36"/>
        </w:rPr>
      </w:pPr>
      <w:r>
        <w:rPr>
          <w:rFonts w:hint="eastAsia" w:ascii="宋体" w:hAnsi="宋体" w:eastAsia="宋体" w:cs="宋体"/>
          <w:sz w:val="36"/>
        </w:rPr>
        <w:t>投  标  函</w:t>
      </w:r>
    </w:p>
    <w:p w14:paraId="611722D8">
      <w:pPr>
        <w:pStyle w:val="13"/>
        <w:pageBreakBefore w:val="0"/>
        <w:kinsoku/>
        <w:wordWrap/>
        <w:overflowPunct/>
        <w:topLinePunct w:val="0"/>
        <w:bidi w:val="0"/>
        <w:adjustRightInd w:val="0"/>
        <w:snapToGrid w:val="0"/>
        <w:spacing w:line="360" w:lineRule="auto"/>
        <w:jc w:val="both"/>
        <w:rPr>
          <w:rFonts w:hint="eastAsia" w:ascii="宋体" w:hAnsi="宋体" w:eastAsia="宋体" w:cs="宋体"/>
          <w:b w:val="0"/>
          <w:bCs/>
          <w:sz w:val="22"/>
          <w:szCs w:val="22"/>
          <w:u w:val="single"/>
        </w:rPr>
      </w:pPr>
      <w:r>
        <w:rPr>
          <w:rFonts w:hint="eastAsia" w:cs="宋体"/>
          <w:b w:val="0"/>
          <w:bCs/>
          <w:sz w:val="22"/>
          <w:szCs w:val="22"/>
          <w:u w:val="single"/>
          <w:lang w:eastAsia="zh-CN"/>
        </w:rPr>
        <w:t>苍南县交通建设材料科技有限公司</w:t>
      </w:r>
      <w:r>
        <w:rPr>
          <w:rFonts w:hint="eastAsia" w:ascii="宋体" w:hAnsi="宋体" w:eastAsia="宋体" w:cs="宋体"/>
          <w:b w:val="0"/>
          <w:bCs/>
          <w:sz w:val="22"/>
          <w:szCs w:val="22"/>
          <w:u w:val="single"/>
        </w:rPr>
        <w:t>：</w:t>
      </w:r>
    </w:p>
    <w:p w14:paraId="7C393267">
      <w:pPr>
        <w:pageBreakBefore w:val="0"/>
        <w:kinsoku/>
        <w:wordWrap/>
        <w:overflowPunct/>
        <w:topLinePunct w:val="0"/>
        <w:autoSpaceDE w:val="0"/>
        <w:autoSpaceDN w:val="0"/>
        <w:bidi w:val="0"/>
        <w:adjustRightInd w:val="0"/>
        <w:spacing w:line="360" w:lineRule="auto"/>
        <w:jc w:val="both"/>
        <w:rPr>
          <w:rFonts w:hint="eastAsia" w:ascii="宋体" w:hAnsi="宋体" w:eastAsia="宋体" w:cs="宋体"/>
          <w:b w:val="0"/>
          <w:bCs/>
          <w:color w:val="000000"/>
          <w:sz w:val="22"/>
          <w:szCs w:val="22"/>
          <w:lang w:val="zh-CN"/>
        </w:rPr>
      </w:pPr>
      <w:r>
        <w:rPr>
          <w:rFonts w:hint="eastAsia" w:ascii="宋体" w:hAnsi="宋体" w:eastAsia="宋体" w:cs="宋体"/>
          <w:b w:val="0"/>
          <w:bCs/>
          <w:sz w:val="22"/>
          <w:szCs w:val="22"/>
        </w:rPr>
        <w:t xml:space="preserve">    </w:t>
      </w:r>
      <w:r>
        <w:rPr>
          <w:rFonts w:hint="eastAsia" w:ascii="宋体" w:hAnsi="宋体" w:eastAsia="宋体" w:cs="宋体"/>
          <w:b w:val="0"/>
          <w:bCs/>
          <w:sz w:val="22"/>
          <w:szCs w:val="22"/>
          <w:lang w:val="zh-CN"/>
        </w:rPr>
        <w:t xml:space="preserve"> </w:t>
      </w:r>
      <w:r>
        <w:rPr>
          <w:rFonts w:hint="eastAsia" w:ascii="宋体" w:hAnsi="宋体" w:eastAsia="宋体" w:cs="宋体"/>
          <w:b w:val="0"/>
          <w:bCs/>
          <w:sz w:val="22"/>
          <w:szCs w:val="22"/>
          <w:u w:val="single"/>
          <w:lang w:val="zh-CN"/>
        </w:rPr>
        <w:t xml:space="preserve">                    </w:t>
      </w:r>
      <w:r>
        <w:rPr>
          <w:rFonts w:hint="eastAsia" w:ascii="宋体" w:hAnsi="宋体" w:eastAsia="宋体" w:cs="宋体"/>
          <w:b w:val="0"/>
          <w:bCs/>
          <w:sz w:val="22"/>
          <w:szCs w:val="22"/>
          <w:lang w:val="zh-CN"/>
        </w:rPr>
        <w:t>（供应商全称）授权</w:t>
      </w:r>
      <w:r>
        <w:rPr>
          <w:rFonts w:hint="eastAsia" w:ascii="宋体" w:hAnsi="宋体" w:eastAsia="宋体" w:cs="宋体"/>
          <w:b w:val="0"/>
          <w:bCs/>
          <w:sz w:val="22"/>
          <w:szCs w:val="22"/>
          <w:u w:val="single"/>
          <w:lang w:val="zh-CN"/>
        </w:rPr>
        <w:t xml:space="preserve">              </w:t>
      </w:r>
      <w:r>
        <w:rPr>
          <w:rFonts w:hint="eastAsia" w:ascii="宋体" w:hAnsi="宋体" w:eastAsia="宋体" w:cs="宋体"/>
          <w:b w:val="0"/>
          <w:bCs/>
          <w:sz w:val="22"/>
          <w:szCs w:val="22"/>
          <w:lang w:val="zh-CN"/>
        </w:rPr>
        <w:t xml:space="preserve"> （授权代表名称）</w:t>
      </w:r>
      <w:r>
        <w:rPr>
          <w:rFonts w:hint="eastAsia" w:ascii="宋体" w:hAnsi="宋体" w:eastAsia="宋体" w:cs="宋体"/>
          <w:b w:val="0"/>
          <w:bCs/>
          <w:sz w:val="22"/>
          <w:szCs w:val="22"/>
          <w:u w:val="single"/>
          <w:lang w:val="zh-CN"/>
        </w:rPr>
        <w:t xml:space="preserve">         </w:t>
      </w:r>
      <w:r>
        <w:rPr>
          <w:rFonts w:hint="eastAsia" w:ascii="宋体" w:hAnsi="宋体" w:eastAsia="宋体" w:cs="宋体"/>
          <w:b w:val="0"/>
          <w:bCs/>
          <w:sz w:val="22"/>
          <w:szCs w:val="22"/>
          <w:lang w:val="zh-CN"/>
        </w:rPr>
        <w:t>（职务、职称）为授权代表，参加贵方组织的</w:t>
      </w:r>
      <w:r>
        <w:rPr>
          <w:rFonts w:hint="eastAsia" w:ascii="宋体" w:hAnsi="宋体" w:eastAsia="宋体" w:cs="宋体"/>
          <w:b w:val="0"/>
          <w:bCs/>
          <w:sz w:val="22"/>
          <w:szCs w:val="22"/>
          <w:u w:val="single"/>
          <w:lang w:val="zh-CN"/>
        </w:rPr>
        <w:t xml:space="preserve">           </w:t>
      </w:r>
      <w:r>
        <w:rPr>
          <w:rFonts w:hint="eastAsia" w:ascii="宋体" w:hAnsi="宋体" w:eastAsia="宋体" w:cs="宋体"/>
          <w:b w:val="0"/>
          <w:bCs/>
          <w:sz w:val="22"/>
          <w:szCs w:val="22"/>
          <w:lang w:val="zh-CN"/>
        </w:rPr>
        <w:t>（招标项目名称）（括号内填投标编号）招标的有关活动，为此：</w:t>
      </w:r>
      <w:r>
        <w:rPr>
          <w:rFonts w:hint="eastAsia" w:ascii="宋体" w:hAnsi="宋体" w:eastAsia="宋体" w:cs="宋体"/>
          <w:b w:val="0"/>
          <w:bCs/>
          <w:color w:val="000000"/>
          <w:sz w:val="22"/>
          <w:szCs w:val="22"/>
          <w:lang w:val="zh-CN"/>
        </w:rPr>
        <w:t>并对</w:t>
      </w:r>
      <w:r>
        <w:rPr>
          <w:rFonts w:hint="eastAsia" w:ascii="宋体" w:hAnsi="宋体" w:eastAsia="宋体" w:cs="宋体"/>
          <w:b w:val="0"/>
          <w:bCs/>
          <w:color w:val="000000"/>
          <w:sz w:val="22"/>
          <w:szCs w:val="22"/>
          <w:u w:val="single"/>
          <w:lang w:val="zh-CN"/>
        </w:rPr>
        <w:t xml:space="preserve">            </w:t>
      </w:r>
      <w:r>
        <w:rPr>
          <w:rFonts w:hint="eastAsia" w:ascii="宋体" w:hAnsi="宋体" w:eastAsia="宋体" w:cs="宋体"/>
          <w:b w:val="0"/>
          <w:bCs/>
          <w:color w:val="000000"/>
          <w:sz w:val="22"/>
          <w:szCs w:val="22"/>
          <w:lang w:val="zh-CN"/>
        </w:rPr>
        <w:t xml:space="preserve">项目（采购项目名称）进行投标。   </w:t>
      </w:r>
    </w:p>
    <w:p w14:paraId="052051ED">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1、我方同意在供应商</w:t>
      </w:r>
      <w:r>
        <w:rPr>
          <w:rFonts w:hint="eastAsia" w:ascii="宋体" w:hAnsi="宋体" w:eastAsia="宋体" w:cs="宋体"/>
          <w:b w:val="0"/>
          <w:bCs/>
          <w:color w:val="000000"/>
          <w:kern w:val="44"/>
          <w:sz w:val="22"/>
          <w:szCs w:val="22"/>
        </w:rPr>
        <w:t>编制和提交投标文件须知</w:t>
      </w:r>
      <w:r>
        <w:rPr>
          <w:rFonts w:hint="eastAsia" w:ascii="宋体" w:hAnsi="宋体" w:eastAsia="宋体" w:cs="宋体"/>
          <w:b w:val="0"/>
          <w:bCs/>
          <w:color w:val="000000"/>
          <w:sz w:val="22"/>
          <w:szCs w:val="22"/>
        </w:rPr>
        <w:t>规定的开标日期起遵守本投标书中的承诺且在投标有效期满之前均具有约束力。</w:t>
      </w:r>
    </w:p>
    <w:p w14:paraId="54C5C08B">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2、我方承诺参加采购活动的供应商应当具备的条件：</w:t>
      </w:r>
    </w:p>
    <w:p w14:paraId="7A3B46A7">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(1)具有独立承担民事责任的能力；</w:t>
      </w:r>
    </w:p>
    <w:p w14:paraId="51D68726">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(2)遵守国家法律、行政法规，具有良好的信誉和商业道德；</w:t>
      </w:r>
    </w:p>
    <w:p w14:paraId="7AFE05CD">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(3)具有履行合同的能力和良好的履行合同记录；</w:t>
      </w:r>
    </w:p>
    <w:p w14:paraId="073D24C2">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(4)良好的资金、财务状况；</w:t>
      </w:r>
    </w:p>
    <w:p w14:paraId="561BE85E">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(5)提供的产品和服务符合中国政府规定的相应标准和环保标准；</w:t>
      </w:r>
    </w:p>
    <w:p w14:paraId="211DFE5E">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(6)没有违反采购法规、政策的记录；</w:t>
      </w:r>
    </w:p>
    <w:p w14:paraId="6E72308E">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(7)没有发生重大经济纠纷和走私犯罪记录。</w:t>
      </w:r>
    </w:p>
    <w:p w14:paraId="682162CE">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3、提供</w:t>
      </w:r>
      <w:r>
        <w:rPr>
          <w:rFonts w:hint="eastAsia" w:ascii="宋体" w:hAnsi="宋体" w:eastAsia="宋体" w:cs="宋体"/>
          <w:b w:val="0"/>
          <w:bCs/>
          <w:color w:val="000000"/>
          <w:kern w:val="44"/>
          <w:sz w:val="22"/>
          <w:szCs w:val="22"/>
        </w:rPr>
        <w:t>编制和提交投标文件须知</w:t>
      </w:r>
      <w:r>
        <w:rPr>
          <w:rFonts w:hint="eastAsia" w:ascii="宋体" w:hAnsi="宋体" w:eastAsia="宋体" w:cs="宋体"/>
          <w:b w:val="0"/>
          <w:bCs/>
          <w:color w:val="000000"/>
          <w:sz w:val="22"/>
          <w:szCs w:val="22"/>
        </w:rPr>
        <w:t>规定的全部投标文件，包括商务报价</w:t>
      </w:r>
      <w:r>
        <w:rPr>
          <w:rFonts w:hint="eastAsia" w:ascii="宋体" w:hAnsi="宋体" w:eastAsia="宋体" w:cs="宋体"/>
          <w:b w:val="0"/>
          <w:bCs/>
          <w:color w:val="000000"/>
          <w:sz w:val="22"/>
          <w:szCs w:val="22"/>
          <w:lang w:val="en-US" w:eastAsia="zh-CN"/>
        </w:rPr>
        <w:t>文件</w:t>
      </w:r>
      <w:r>
        <w:rPr>
          <w:rFonts w:hint="eastAsia" w:ascii="宋体" w:hAnsi="宋体" w:eastAsia="宋体" w:cs="宋体"/>
          <w:b w:val="0"/>
          <w:bCs/>
          <w:color w:val="000000"/>
          <w:sz w:val="22"/>
          <w:szCs w:val="22"/>
        </w:rPr>
        <w:t>和技术资信</w:t>
      </w:r>
      <w:r>
        <w:rPr>
          <w:rFonts w:hint="eastAsia" w:ascii="宋体" w:hAnsi="宋体" w:eastAsia="宋体" w:cs="宋体"/>
          <w:b w:val="0"/>
          <w:bCs/>
          <w:color w:val="000000"/>
          <w:sz w:val="22"/>
          <w:szCs w:val="22"/>
          <w:lang w:val="en-US" w:eastAsia="zh-CN"/>
        </w:rPr>
        <w:t>文件</w:t>
      </w:r>
      <w:r>
        <w:rPr>
          <w:rFonts w:hint="eastAsia" w:ascii="宋体" w:hAnsi="宋体" w:eastAsia="宋体" w:cs="宋体"/>
          <w:b w:val="0"/>
          <w:bCs/>
          <w:color w:val="000000"/>
          <w:sz w:val="22"/>
          <w:szCs w:val="22"/>
        </w:rPr>
        <w:t>。具体内容为：</w:t>
      </w:r>
    </w:p>
    <w:p w14:paraId="04BE49A2">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(1)商务报价</w:t>
      </w:r>
      <w:r>
        <w:rPr>
          <w:rFonts w:hint="eastAsia" w:ascii="宋体" w:hAnsi="宋体" w:eastAsia="宋体" w:cs="宋体"/>
          <w:b w:val="0"/>
          <w:bCs/>
          <w:color w:val="000000"/>
          <w:sz w:val="22"/>
          <w:szCs w:val="22"/>
          <w:lang w:val="en-US" w:eastAsia="zh-CN"/>
        </w:rPr>
        <w:t>文件；</w:t>
      </w:r>
    </w:p>
    <w:p w14:paraId="385B89A9">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(2)技术资信</w:t>
      </w:r>
      <w:r>
        <w:rPr>
          <w:rFonts w:hint="eastAsia" w:ascii="宋体" w:hAnsi="宋体" w:eastAsia="宋体" w:cs="宋体"/>
          <w:b w:val="0"/>
          <w:bCs/>
          <w:color w:val="000000"/>
          <w:sz w:val="22"/>
          <w:szCs w:val="22"/>
          <w:lang w:val="en-US" w:eastAsia="zh-CN"/>
        </w:rPr>
        <w:t>文件</w:t>
      </w:r>
      <w:r>
        <w:rPr>
          <w:rFonts w:hint="eastAsia" w:ascii="宋体" w:hAnsi="宋体" w:eastAsia="宋体" w:cs="宋体"/>
          <w:b w:val="0"/>
          <w:bCs/>
          <w:color w:val="000000"/>
          <w:sz w:val="22"/>
          <w:szCs w:val="22"/>
        </w:rPr>
        <w:t>；</w:t>
      </w:r>
    </w:p>
    <w:p w14:paraId="24A071E3">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(3)</w:t>
      </w:r>
      <w:r>
        <w:rPr>
          <w:rFonts w:hint="eastAsia" w:ascii="宋体" w:hAnsi="宋体" w:eastAsia="宋体" w:cs="宋体"/>
          <w:b w:val="0"/>
          <w:bCs/>
          <w:color w:val="000000"/>
          <w:kern w:val="44"/>
          <w:sz w:val="22"/>
          <w:szCs w:val="22"/>
        </w:rPr>
        <w:t>编制和提交投标文件须知</w:t>
      </w:r>
      <w:r>
        <w:rPr>
          <w:rFonts w:hint="eastAsia" w:ascii="宋体" w:hAnsi="宋体" w:eastAsia="宋体" w:cs="宋体"/>
          <w:b w:val="0"/>
          <w:bCs/>
          <w:color w:val="000000"/>
          <w:sz w:val="22"/>
          <w:szCs w:val="22"/>
        </w:rPr>
        <w:t>要求供应商提交的全部文件；</w:t>
      </w:r>
    </w:p>
    <w:p w14:paraId="071A7CCF">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(4)按招标文件要求提供和交付的货物和服务的投标报价详见开标一览表；</w:t>
      </w:r>
    </w:p>
    <w:p w14:paraId="49F84994">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(5)保证忠实地执行双方所签订的合同，并承担合同规定的责任和义务；</w:t>
      </w:r>
    </w:p>
    <w:p w14:paraId="5210D657">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(6)保证遵守招标文件中的其他有关规定。</w:t>
      </w:r>
    </w:p>
    <w:p w14:paraId="2AF1DD3F">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4、投标有效期内不撤销投标文件；强行撤销的，承诺按本项目预算金额的2%赔偿对招标代理机构造成的损失。</w:t>
      </w:r>
    </w:p>
    <w:p w14:paraId="037C2B0E">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5、我方完全理解贵方不一定要接受最低价的投标。</w:t>
      </w:r>
    </w:p>
    <w:p w14:paraId="3C293D5C">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6、如中标，按招标文件规定与招标人签订合同。如拒绝签订合同，承诺按本项目预算金额的2%对招标人进行赔偿；赔偿金额不足以弥补招标人损失的，承诺继续承担超过部分的损失。</w:t>
      </w:r>
    </w:p>
    <w:p w14:paraId="0B0C8C18">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7、如中标，按招标文件规定的招标代理服务费标准，承诺在签订合同前向招标代理机构支付招标代理服务费。</w:t>
      </w:r>
    </w:p>
    <w:p w14:paraId="0677AB71">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8、我方愿意向贵方提供任何与该项投标有关的数据、情况和服务资料。若贵方需要，我方愿意提供我方作出的一切承诺的证明材料。</w:t>
      </w:r>
    </w:p>
    <w:p w14:paraId="66213FAF">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9、我方已详细审核全部招标文件，包括招标文件修改书（如有的话）、参考资料及有关附件，确认无误。我方完全理解并接受招标文件的各项规定和要求，对招标文件的合理性、合法性不再有异议。</w:t>
      </w:r>
    </w:p>
    <w:p w14:paraId="2F7860AE">
      <w:pPr>
        <w:shd w:val="clear" w:color="auto" w:fill="FFFFFF"/>
        <w:snapToGrid w:val="0"/>
        <w:spacing w:before="0" w:beforeAutospacing="0" w:after="0" w:afterAutospacing="0" w:line="360" w:lineRule="auto"/>
        <w:ind w:firstLine="440" w:firstLineChars="200"/>
        <w:jc w:val="both"/>
        <w:textAlignment w:val="baseline"/>
        <w:rPr>
          <w:rStyle w:val="58"/>
          <w:rFonts w:hint="eastAsia" w:ascii="宋体" w:hAnsi="宋体" w:eastAsia="宋体" w:cs="宋体"/>
          <w:b w:val="0"/>
          <w:bCs/>
          <w:i w:val="0"/>
          <w:caps w:val="0"/>
          <w:spacing w:val="0"/>
          <w:w w:val="100"/>
          <w:kern w:val="2"/>
          <w:sz w:val="22"/>
          <w:szCs w:val="22"/>
          <w:lang w:val="en-US" w:eastAsia="zh-CN" w:bidi="ar-SA"/>
        </w:rPr>
      </w:pPr>
      <w:r>
        <w:rPr>
          <w:rStyle w:val="58"/>
          <w:rFonts w:hint="eastAsia" w:ascii="宋体" w:hAnsi="宋体" w:eastAsia="宋体" w:cs="宋体"/>
          <w:b w:val="0"/>
          <w:bCs/>
          <w:i w:val="0"/>
          <w:caps w:val="0"/>
          <w:spacing w:val="0"/>
          <w:w w:val="100"/>
          <w:kern w:val="2"/>
          <w:sz w:val="22"/>
          <w:szCs w:val="22"/>
          <w:lang w:val="en-US" w:eastAsia="zh-CN" w:bidi="ar-SA"/>
        </w:rPr>
        <w:t>10、供应商有以下第(1)至(5)项情形之一的，中标、成交无效：</w:t>
      </w:r>
    </w:p>
    <w:p w14:paraId="3B3D8BB2">
      <w:pPr>
        <w:shd w:val="clear" w:color="auto" w:fill="FFFFFF"/>
        <w:snapToGrid w:val="0"/>
        <w:spacing w:before="0" w:beforeAutospacing="0" w:after="0" w:afterAutospacing="0" w:line="360" w:lineRule="auto"/>
        <w:ind w:firstLine="440" w:firstLineChars="200"/>
        <w:jc w:val="both"/>
        <w:textAlignment w:val="baseline"/>
        <w:rPr>
          <w:rStyle w:val="58"/>
          <w:rFonts w:hint="eastAsia" w:ascii="宋体" w:hAnsi="宋体" w:eastAsia="宋体" w:cs="宋体"/>
          <w:b w:val="0"/>
          <w:bCs/>
          <w:i w:val="0"/>
          <w:caps w:val="0"/>
          <w:spacing w:val="0"/>
          <w:w w:val="100"/>
          <w:kern w:val="2"/>
          <w:sz w:val="22"/>
          <w:szCs w:val="22"/>
          <w:lang w:val="en-US" w:eastAsia="zh-CN" w:bidi="ar-SA"/>
        </w:rPr>
      </w:pPr>
      <w:r>
        <w:rPr>
          <w:rStyle w:val="58"/>
          <w:rFonts w:hint="eastAsia" w:ascii="宋体" w:hAnsi="宋体" w:eastAsia="宋体" w:cs="宋体"/>
          <w:b w:val="0"/>
          <w:bCs/>
          <w:i w:val="0"/>
          <w:caps w:val="0"/>
          <w:spacing w:val="0"/>
          <w:w w:val="100"/>
          <w:kern w:val="2"/>
          <w:sz w:val="22"/>
          <w:szCs w:val="22"/>
          <w:lang w:val="en-US" w:eastAsia="zh-CN" w:bidi="ar-SA"/>
        </w:rPr>
        <w:t>(1)提供虚假材料谋取中标、成交的；</w:t>
      </w:r>
    </w:p>
    <w:p w14:paraId="31265C74">
      <w:pPr>
        <w:shd w:val="clear" w:color="auto" w:fill="FFFFFF"/>
        <w:snapToGrid w:val="0"/>
        <w:spacing w:before="0" w:beforeAutospacing="0" w:after="0" w:afterAutospacing="0" w:line="360" w:lineRule="auto"/>
        <w:ind w:firstLine="440" w:firstLineChars="200"/>
        <w:jc w:val="both"/>
        <w:textAlignment w:val="baseline"/>
        <w:rPr>
          <w:rStyle w:val="58"/>
          <w:rFonts w:hint="eastAsia" w:ascii="宋体" w:hAnsi="宋体" w:eastAsia="宋体" w:cs="宋体"/>
          <w:b w:val="0"/>
          <w:bCs/>
          <w:i w:val="0"/>
          <w:caps w:val="0"/>
          <w:spacing w:val="0"/>
          <w:w w:val="100"/>
          <w:kern w:val="2"/>
          <w:sz w:val="22"/>
          <w:szCs w:val="22"/>
          <w:lang w:val="en-US" w:eastAsia="zh-CN" w:bidi="ar-SA"/>
        </w:rPr>
      </w:pPr>
      <w:r>
        <w:rPr>
          <w:rStyle w:val="58"/>
          <w:rFonts w:hint="eastAsia" w:ascii="宋体" w:hAnsi="宋体" w:eastAsia="宋体" w:cs="宋体"/>
          <w:b w:val="0"/>
          <w:bCs/>
          <w:i w:val="0"/>
          <w:caps w:val="0"/>
          <w:spacing w:val="0"/>
          <w:w w:val="100"/>
          <w:kern w:val="2"/>
          <w:sz w:val="22"/>
          <w:szCs w:val="22"/>
          <w:lang w:val="en-US" w:eastAsia="zh-CN" w:bidi="ar-SA"/>
        </w:rPr>
        <w:t>(2)采取不正当手段诋毁、排挤其他供应商的；</w:t>
      </w:r>
    </w:p>
    <w:p w14:paraId="121E9B53">
      <w:pPr>
        <w:shd w:val="clear" w:color="auto" w:fill="FFFFFF"/>
        <w:snapToGrid w:val="0"/>
        <w:spacing w:before="0" w:beforeAutospacing="0" w:after="0" w:afterAutospacing="0" w:line="360" w:lineRule="auto"/>
        <w:ind w:firstLine="440" w:firstLineChars="200"/>
        <w:jc w:val="both"/>
        <w:textAlignment w:val="baseline"/>
        <w:rPr>
          <w:rStyle w:val="58"/>
          <w:rFonts w:hint="eastAsia" w:ascii="宋体" w:hAnsi="宋体" w:eastAsia="宋体" w:cs="宋体"/>
          <w:b w:val="0"/>
          <w:bCs/>
          <w:i w:val="0"/>
          <w:caps w:val="0"/>
          <w:spacing w:val="0"/>
          <w:w w:val="100"/>
          <w:kern w:val="2"/>
          <w:sz w:val="22"/>
          <w:szCs w:val="22"/>
          <w:lang w:val="en-US" w:eastAsia="zh-CN" w:bidi="ar-SA"/>
        </w:rPr>
      </w:pPr>
      <w:r>
        <w:rPr>
          <w:rStyle w:val="58"/>
          <w:rFonts w:hint="eastAsia" w:ascii="宋体" w:hAnsi="宋体" w:eastAsia="宋体" w:cs="宋体"/>
          <w:b w:val="0"/>
          <w:bCs/>
          <w:i w:val="0"/>
          <w:caps w:val="0"/>
          <w:spacing w:val="0"/>
          <w:w w:val="100"/>
          <w:kern w:val="2"/>
          <w:sz w:val="22"/>
          <w:szCs w:val="22"/>
          <w:lang w:val="en-US" w:eastAsia="zh-CN" w:bidi="ar-SA"/>
        </w:rPr>
        <w:t>(3)与采购人、其它供应商或者招标代理机构恶意串通的；</w:t>
      </w:r>
    </w:p>
    <w:p w14:paraId="467E9E90">
      <w:pPr>
        <w:shd w:val="clear" w:color="auto" w:fill="FFFFFF"/>
        <w:snapToGrid w:val="0"/>
        <w:spacing w:before="0" w:beforeAutospacing="0" w:after="0" w:afterAutospacing="0" w:line="360" w:lineRule="auto"/>
        <w:ind w:firstLine="440" w:firstLineChars="200"/>
        <w:jc w:val="both"/>
        <w:textAlignment w:val="baseline"/>
        <w:rPr>
          <w:rStyle w:val="58"/>
          <w:rFonts w:hint="eastAsia" w:ascii="宋体" w:hAnsi="宋体" w:eastAsia="宋体" w:cs="宋体"/>
          <w:b w:val="0"/>
          <w:bCs/>
          <w:i w:val="0"/>
          <w:caps w:val="0"/>
          <w:spacing w:val="0"/>
          <w:w w:val="100"/>
          <w:kern w:val="2"/>
          <w:sz w:val="22"/>
          <w:szCs w:val="22"/>
          <w:lang w:val="en-US" w:eastAsia="zh-CN" w:bidi="ar-SA"/>
        </w:rPr>
      </w:pPr>
      <w:r>
        <w:rPr>
          <w:rStyle w:val="58"/>
          <w:rFonts w:hint="eastAsia" w:ascii="宋体" w:hAnsi="宋体" w:eastAsia="宋体" w:cs="宋体"/>
          <w:b w:val="0"/>
          <w:bCs/>
          <w:i w:val="0"/>
          <w:caps w:val="0"/>
          <w:spacing w:val="0"/>
          <w:w w:val="100"/>
          <w:kern w:val="2"/>
          <w:sz w:val="22"/>
          <w:szCs w:val="22"/>
          <w:lang w:val="en-US" w:eastAsia="zh-CN" w:bidi="ar-SA"/>
        </w:rPr>
        <w:t>(4)向采购人、招标代理机构行贿或者提供其他不正当利益的；</w:t>
      </w:r>
    </w:p>
    <w:p w14:paraId="347F92D2">
      <w:pPr>
        <w:shd w:val="clear" w:color="auto" w:fill="FFFFFF"/>
        <w:snapToGrid w:val="0"/>
        <w:spacing w:before="0" w:beforeAutospacing="0" w:after="0" w:afterAutospacing="0" w:line="360" w:lineRule="auto"/>
        <w:ind w:firstLine="440" w:firstLineChars="200"/>
        <w:jc w:val="both"/>
        <w:textAlignment w:val="baseline"/>
        <w:rPr>
          <w:rStyle w:val="58"/>
          <w:rFonts w:hint="eastAsia" w:ascii="宋体" w:hAnsi="宋体" w:eastAsia="宋体" w:cs="宋体"/>
          <w:b w:val="0"/>
          <w:bCs/>
          <w:i w:val="0"/>
          <w:caps w:val="0"/>
          <w:spacing w:val="0"/>
          <w:w w:val="100"/>
          <w:kern w:val="2"/>
          <w:sz w:val="22"/>
          <w:szCs w:val="22"/>
          <w:lang w:val="en-US" w:eastAsia="zh-CN" w:bidi="ar-SA"/>
        </w:rPr>
      </w:pPr>
      <w:r>
        <w:rPr>
          <w:rStyle w:val="58"/>
          <w:rFonts w:hint="eastAsia" w:ascii="宋体" w:hAnsi="宋体" w:eastAsia="宋体" w:cs="宋体"/>
          <w:b w:val="0"/>
          <w:bCs/>
          <w:i w:val="0"/>
          <w:caps w:val="0"/>
          <w:spacing w:val="0"/>
          <w:w w:val="100"/>
          <w:kern w:val="2"/>
          <w:sz w:val="22"/>
          <w:szCs w:val="22"/>
          <w:lang w:val="en-US" w:eastAsia="zh-CN" w:bidi="ar-SA"/>
        </w:rPr>
        <w:t>(5)在招标采购过程中与采购人进行协商谈判的；</w:t>
      </w:r>
    </w:p>
    <w:p w14:paraId="6C1C5C53">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sz w:val="22"/>
          <w:szCs w:val="22"/>
        </w:rPr>
      </w:pPr>
    </w:p>
    <w:p w14:paraId="7C967CD0">
      <w:pPr>
        <w:pStyle w:val="3"/>
        <w:pageBreakBefore w:val="0"/>
        <w:kinsoku/>
        <w:wordWrap/>
        <w:overflowPunct/>
        <w:topLinePunct w:val="0"/>
        <w:bidi w:val="0"/>
        <w:jc w:val="both"/>
        <w:rPr>
          <w:rFonts w:hint="eastAsia" w:ascii="宋体" w:hAnsi="宋体" w:eastAsia="宋体" w:cs="宋体"/>
          <w:b w:val="0"/>
          <w:bCs/>
        </w:rPr>
      </w:pPr>
    </w:p>
    <w:p w14:paraId="34E47732">
      <w:pPr>
        <w:pageBreakBefore w:val="0"/>
        <w:shd w:val="clear" w:color="auto" w:fill="FFFFFF"/>
        <w:kinsoku/>
        <w:wordWrap/>
        <w:overflowPunct/>
        <w:topLinePunct w:val="0"/>
        <w:bidi w:val="0"/>
        <w:snapToGrid w:val="0"/>
        <w:spacing w:line="360" w:lineRule="auto"/>
        <w:jc w:val="both"/>
        <w:rPr>
          <w:rFonts w:hint="eastAsia" w:ascii="宋体" w:hAnsi="宋体" w:eastAsia="宋体" w:cs="宋体"/>
          <w:b w:val="0"/>
          <w:bCs/>
          <w:color w:val="000000"/>
          <w:kern w:val="0"/>
          <w:sz w:val="22"/>
          <w:szCs w:val="22"/>
          <w:lang w:val="zh-CN"/>
        </w:rPr>
      </w:pPr>
    </w:p>
    <w:p w14:paraId="39EA53AF">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kern w:val="0"/>
          <w:sz w:val="22"/>
          <w:szCs w:val="22"/>
        </w:rPr>
      </w:pPr>
      <w:r>
        <w:rPr>
          <w:rFonts w:hint="eastAsia" w:ascii="宋体" w:hAnsi="宋体" w:eastAsia="宋体" w:cs="宋体"/>
          <w:b w:val="0"/>
          <w:bCs/>
          <w:color w:val="000000"/>
          <w:kern w:val="0"/>
          <w:sz w:val="22"/>
          <w:szCs w:val="22"/>
          <w:lang w:val="zh-CN"/>
        </w:rPr>
        <w:t>法定（授权）代表人（签字）：</w:t>
      </w:r>
      <w:r>
        <w:rPr>
          <w:rFonts w:hint="eastAsia" w:ascii="宋体" w:hAnsi="宋体" w:eastAsia="宋体" w:cs="宋体"/>
          <w:b w:val="0"/>
          <w:bCs/>
          <w:color w:val="000000"/>
          <w:kern w:val="0"/>
          <w:sz w:val="22"/>
          <w:szCs w:val="22"/>
          <w:u w:val="single"/>
          <w:lang w:val="zh-CN"/>
        </w:rPr>
        <w:t xml:space="preserve">                    </w:t>
      </w:r>
      <w:r>
        <w:rPr>
          <w:rFonts w:hint="eastAsia" w:ascii="宋体" w:hAnsi="宋体" w:eastAsia="宋体" w:cs="宋体"/>
          <w:b w:val="0"/>
          <w:bCs/>
          <w:color w:val="000000"/>
          <w:kern w:val="0"/>
          <w:sz w:val="22"/>
          <w:szCs w:val="22"/>
        </w:rPr>
        <w:tab/>
      </w:r>
    </w:p>
    <w:p w14:paraId="7CA5C6FB">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kern w:val="0"/>
          <w:sz w:val="22"/>
          <w:szCs w:val="22"/>
          <w:u w:val="single"/>
          <w:lang w:val="zh-CN"/>
        </w:rPr>
      </w:pPr>
      <w:r>
        <w:rPr>
          <w:rFonts w:hint="eastAsia" w:ascii="宋体" w:hAnsi="宋体" w:eastAsia="宋体" w:cs="宋体"/>
          <w:b w:val="0"/>
          <w:bCs/>
          <w:color w:val="000000"/>
          <w:kern w:val="0"/>
          <w:sz w:val="22"/>
          <w:szCs w:val="22"/>
          <w:lang w:val="zh-CN"/>
        </w:rPr>
        <w:t>供应商</w:t>
      </w:r>
      <w:r>
        <w:rPr>
          <w:rFonts w:hint="eastAsia" w:ascii="宋体" w:hAnsi="宋体" w:eastAsia="宋体" w:cs="宋体"/>
          <w:b w:val="0"/>
          <w:bCs/>
          <w:color w:val="000000"/>
          <w:kern w:val="0"/>
          <w:sz w:val="22"/>
          <w:szCs w:val="22"/>
        </w:rPr>
        <w:t>电子签章</w:t>
      </w:r>
      <w:r>
        <w:rPr>
          <w:rFonts w:hint="eastAsia" w:ascii="宋体" w:hAnsi="宋体" w:eastAsia="宋体" w:cs="宋体"/>
          <w:b w:val="0"/>
          <w:bCs/>
          <w:color w:val="000000"/>
          <w:kern w:val="0"/>
          <w:sz w:val="22"/>
          <w:szCs w:val="22"/>
          <w:lang w:val="zh-CN"/>
        </w:rPr>
        <w:t>：</w:t>
      </w:r>
      <w:r>
        <w:rPr>
          <w:rFonts w:hint="eastAsia" w:ascii="宋体" w:hAnsi="宋体" w:eastAsia="宋体" w:cs="宋体"/>
          <w:b w:val="0"/>
          <w:bCs/>
          <w:color w:val="000000"/>
          <w:kern w:val="0"/>
          <w:sz w:val="22"/>
          <w:szCs w:val="22"/>
          <w:u w:val="single"/>
          <w:lang w:val="zh-CN"/>
        </w:rPr>
        <w:t xml:space="preserve">                     </w:t>
      </w:r>
      <w:r>
        <w:rPr>
          <w:rFonts w:hint="eastAsia" w:ascii="宋体" w:hAnsi="宋体" w:eastAsia="宋体" w:cs="宋体"/>
          <w:b w:val="0"/>
          <w:bCs/>
          <w:color w:val="000000"/>
          <w:kern w:val="0"/>
          <w:sz w:val="22"/>
          <w:szCs w:val="22"/>
        </w:rPr>
        <w:tab/>
      </w:r>
      <w:r>
        <w:rPr>
          <w:rFonts w:hint="eastAsia" w:ascii="宋体" w:hAnsi="宋体" w:eastAsia="宋体" w:cs="宋体"/>
          <w:b w:val="0"/>
          <w:bCs/>
          <w:color w:val="000000"/>
          <w:kern w:val="0"/>
          <w:sz w:val="22"/>
          <w:szCs w:val="22"/>
          <w:u w:val="single"/>
          <w:lang w:val="zh-CN"/>
        </w:rPr>
        <w:t xml:space="preserve">                      </w:t>
      </w:r>
    </w:p>
    <w:p w14:paraId="2DA3FFCB">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kern w:val="0"/>
          <w:sz w:val="22"/>
          <w:szCs w:val="22"/>
        </w:rPr>
      </w:pPr>
      <w:r>
        <w:rPr>
          <w:rFonts w:hint="eastAsia" w:ascii="宋体" w:hAnsi="宋体" w:eastAsia="宋体" w:cs="宋体"/>
          <w:b w:val="0"/>
          <w:bCs/>
          <w:color w:val="000000"/>
          <w:kern w:val="0"/>
          <w:sz w:val="22"/>
          <w:szCs w:val="22"/>
          <w:lang w:val="zh-CN"/>
        </w:rPr>
        <w:t xml:space="preserve">联系电话： </w:t>
      </w:r>
      <w:r>
        <w:rPr>
          <w:rFonts w:hint="eastAsia" w:ascii="宋体" w:hAnsi="宋体" w:eastAsia="宋体" w:cs="宋体"/>
          <w:b w:val="0"/>
          <w:bCs/>
          <w:color w:val="000000"/>
          <w:kern w:val="0"/>
          <w:sz w:val="22"/>
          <w:szCs w:val="22"/>
          <w:u w:val="single"/>
          <w:lang w:val="zh-CN"/>
        </w:rPr>
        <w:t xml:space="preserve">          </w:t>
      </w:r>
      <w:r>
        <w:rPr>
          <w:rFonts w:hint="eastAsia" w:ascii="宋体" w:hAnsi="宋体" w:eastAsia="宋体" w:cs="宋体"/>
          <w:b w:val="0"/>
          <w:bCs/>
          <w:color w:val="000000"/>
          <w:kern w:val="0"/>
          <w:sz w:val="22"/>
          <w:szCs w:val="22"/>
          <w:lang w:val="zh-CN"/>
        </w:rPr>
        <w:t xml:space="preserve">传真：  </w:t>
      </w:r>
      <w:r>
        <w:rPr>
          <w:rFonts w:hint="eastAsia" w:ascii="宋体" w:hAnsi="宋体" w:eastAsia="宋体" w:cs="宋体"/>
          <w:b w:val="0"/>
          <w:bCs/>
          <w:color w:val="000000"/>
          <w:kern w:val="0"/>
          <w:sz w:val="22"/>
          <w:szCs w:val="22"/>
          <w:u w:val="single"/>
          <w:lang w:val="zh-CN"/>
        </w:rPr>
        <w:t xml:space="preserve">           </w:t>
      </w:r>
      <w:r>
        <w:rPr>
          <w:rFonts w:hint="eastAsia" w:ascii="宋体" w:hAnsi="宋体" w:eastAsia="宋体" w:cs="宋体"/>
          <w:b w:val="0"/>
          <w:bCs/>
          <w:color w:val="000000"/>
          <w:kern w:val="0"/>
          <w:sz w:val="22"/>
          <w:szCs w:val="22"/>
          <w:lang w:val="zh-CN"/>
        </w:rPr>
        <w:t xml:space="preserve">电子邮件： </w:t>
      </w:r>
      <w:r>
        <w:rPr>
          <w:rFonts w:hint="eastAsia" w:ascii="宋体" w:hAnsi="宋体" w:eastAsia="宋体" w:cs="宋体"/>
          <w:b w:val="0"/>
          <w:bCs/>
          <w:color w:val="000000"/>
          <w:kern w:val="0"/>
          <w:sz w:val="22"/>
          <w:szCs w:val="22"/>
          <w:u w:val="single"/>
          <w:lang w:val="zh-CN"/>
        </w:rPr>
        <w:t xml:space="preserve">                     </w:t>
      </w:r>
      <w:r>
        <w:rPr>
          <w:rFonts w:hint="eastAsia" w:ascii="宋体" w:hAnsi="宋体" w:eastAsia="宋体" w:cs="宋体"/>
          <w:b w:val="0"/>
          <w:bCs/>
          <w:color w:val="000000"/>
          <w:kern w:val="0"/>
          <w:sz w:val="22"/>
          <w:szCs w:val="22"/>
          <w:lang w:val="zh-CN"/>
        </w:rPr>
        <w:t xml:space="preserve"> </w:t>
      </w:r>
      <w:r>
        <w:rPr>
          <w:rFonts w:hint="eastAsia" w:ascii="宋体" w:hAnsi="宋体" w:eastAsia="宋体" w:cs="宋体"/>
          <w:b w:val="0"/>
          <w:bCs/>
          <w:color w:val="000000"/>
          <w:kern w:val="0"/>
          <w:sz w:val="22"/>
          <w:szCs w:val="22"/>
          <w:u w:val="single"/>
          <w:lang w:val="zh-CN"/>
        </w:rPr>
        <w:t xml:space="preserve">              </w:t>
      </w:r>
    </w:p>
    <w:p w14:paraId="2A8E014B">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kern w:val="0"/>
          <w:sz w:val="22"/>
          <w:szCs w:val="22"/>
        </w:rPr>
      </w:pPr>
      <w:r>
        <w:rPr>
          <w:rFonts w:hint="eastAsia" w:ascii="宋体" w:hAnsi="宋体" w:eastAsia="宋体" w:cs="宋体"/>
          <w:b w:val="0"/>
          <w:bCs/>
          <w:color w:val="000000"/>
          <w:kern w:val="0"/>
          <w:sz w:val="22"/>
          <w:szCs w:val="22"/>
          <w:lang w:val="zh-CN"/>
        </w:rPr>
        <w:t>联系地址：</w:t>
      </w:r>
      <w:r>
        <w:rPr>
          <w:rFonts w:hint="eastAsia" w:ascii="宋体" w:hAnsi="宋体" w:eastAsia="宋体" w:cs="宋体"/>
          <w:b w:val="0"/>
          <w:bCs/>
          <w:color w:val="000000"/>
          <w:kern w:val="0"/>
          <w:sz w:val="22"/>
          <w:szCs w:val="22"/>
          <w:u w:val="single"/>
          <w:lang w:val="zh-CN"/>
        </w:rPr>
        <w:t xml:space="preserve">                    </w:t>
      </w:r>
      <w:r>
        <w:rPr>
          <w:rFonts w:hint="eastAsia" w:ascii="宋体" w:hAnsi="宋体" w:eastAsia="宋体" w:cs="宋体"/>
          <w:b w:val="0"/>
          <w:bCs/>
          <w:color w:val="000000"/>
          <w:kern w:val="0"/>
          <w:sz w:val="22"/>
          <w:szCs w:val="22"/>
        </w:rPr>
        <w:tab/>
      </w:r>
      <w:r>
        <w:rPr>
          <w:rFonts w:hint="eastAsia" w:ascii="宋体" w:hAnsi="宋体" w:eastAsia="宋体" w:cs="宋体"/>
          <w:b w:val="0"/>
          <w:bCs/>
          <w:color w:val="000000"/>
          <w:kern w:val="0"/>
          <w:sz w:val="22"/>
          <w:szCs w:val="22"/>
          <w:u w:val="single"/>
          <w:lang w:val="zh-CN"/>
        </w:rPr>
        <w:t xml:space="preserve">                                                    </w:t>
      </w:r>
    </w:p>
    <w:p w14:paraId="716C529D">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kern w:val="0"/>
          <w:sz w:val="22"/>
          <w:szCs w:val="22"/>
        </w:rPr>
      </w:pPr>
      <w:r>
        <w:rPr>
          <w:rFonts w:hint="eastAsia" w:ascii="宋体" w:hAnsi="宋体" w:eastAsia="宋体" w:cs="宋体"/>
          <w:b w:val="0"/>
          <w:bCs/>
          <w:color w:val="000000"/>
          <w:kern w:val="0"/>
          <w:sz w:val="22"/>
          <w:szCs w:val="22"/>
          <w:lang w:val="zh-CN"/>
        </w:rPr>
        <w:t>邮政编码：</w:t>
      </w:r>
      <w:r>
        <w:rPr>
          <w:rFonts w:hint="eastAsia" w:ascii="宋体" w:hAnsi="宋体" w:eastAsia="宋体" w:cs="宋体"/>
          <w:b w:val="0"/>
          <w:bCs/>
          <w:color w:val="000000"/>
          <w:kern w:val="0"/>
          <w:sz w:val="22"/>
          <w:szCs w:val="22"/>
          <w:u w:val="single"/>
          <w:lang w:val="zh-CN"/>
        </w:rPr>
        <w:t xml:space="preserve">                     </w:t>
      </w:r>
      <w:r>
        <w:rPr>
          <w:rFonts w:hint="eastAsia" w:ascii="宋体" w:hAnsi="宋体" w:eastAsia="宋体" w:cs="宋体"/>
          <w:b w:val="0"/>
          <w:bCs/>
          <w:color w:val="000000"/>
          <w:kern w:val="0"/>
          <w:sz w:val="22"/>
          <w:szCs w:val="22"/>
          <w:lang w:val="zh-CN"/>
        </w:rPr>
        <w:t>传真号码：</w:t>
      </w:r>
      <w:r>
        <w:rPr>
          <w:rFonts w:hint="eastAsia" w:ascii="宋体" w:hAnsi="宋体" w:eastAsia="宋体" w:cs="宋体"/>
          <w:b w:val="0"/>
          <w:bCs/>
          <w:color w:val="000000"/>
          <w:kern w:val="0"/>
          <w:sz w:val="22"/>
          <w:szCs w:val="22"/>
          <w:u w:val="single"/>
          <w:lang w:val="zh-CN"/>
        </w:rPr>
        <w:t xml:space="preserve">                     </w:t>
      </w:r>
    </w:p>
    <w:p w14:paraId="201212EB">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kern w:val="0"/>
          <w:sz w:val="22"/>
          <w:szCs w:val="22"/>
          <w:lang w:val="zh-CN"/>
        </w:rPr>
      </w:pPr>
      <w:r>
        <w:rPr>
          <w:rFonts w:hint="eastAsia" w:ascii="宋体" w:hAnsi="宋体" w:eastAsia="宋体" w:cs="宋体"/>
          <w:b w:val="0"/>
          <w:bCs/>
          <w:color w:val="000000"/>
          <w:kern w:val="0"/>
          <w:sz w:val="22"/>
          <w:szCs w:val="22"/>
          <w:lang w:val="zh-CN"/>
        </w:rPr>
        <w:t>日</w:t>
      </w:r>
      <w:r>
        <w:rPr>
          <w:rFonts w:hint="eastAsia" w:ascii="宋体" w:hAnsi="宋体" w:eastAsia="宋体" w:cs="宋体"/>
          <w:b w:val="0"/>
          <w:bCs/>
          <w:color w:val="000000"/>
          <w:kern w:val="0"/>
          <w:sz w:val="22"/>
          <w:szCs w:val="22"/>
        </w:rPr>
        <w:t xml:space="preserve">    </w:t>
      </w:r>
      <w:r>
        <w:rPr>
          <w:rFonts w:hint="eastAsia" w:ascii="宋体" w:hAnsi="宋体" w:eastAsia="宋体" w:cs="宋体"/>
          <w:b w:val="0"/>
          <w:bCs/>
          <w:color w:val="000000"/>
          <w:kern w:val="0"/>
          <w:sz w:val="22"/>
          <w:szCs w:val="22"/>
          <w:lang w:val="zh-CN"/>
        </w:rPr>
        <w:t>期</w:t>
      </w:r>
      <w:r>
        <w:rPr>
          <w:rFonts w:hint="eastAsia" w:ascii="宋体" w:hAnsi="宋体" w:eastAsia="宋体" w:cs="宋体"/>
          <w:b w:val="0"/>
          <w:bCs/>
          <w:color w:val="000000"/>
          <w:kern w:val="0"/>
          <w:sz w:val="22"/>
          <w:szCs w:val="22"/>
        </w:rPr>
        <w:t xml:space="preserve">： </w:t>
      </w:r>
      <w:r>
        <w:rPr>
          <w:rFonts w:hint="eastAsia" w:ascii="宋体" w:hAnsi="宋体" w:eastAsia="宋体" w:cs="宋体"/>
          <w:b w:val="0"/>
          <w:bCs/>
          <w:color w:val="000000"/>
          <w:kern w:val="0"/>
          <w:sz w:val="22"/>
          <w:szCs w:val="22"/>
          <w:u w:val="single"/>
        </w:rPr>
        <w:t xml:space="preserve">       </w:t>
      </w:r>
      <w:r>
        <w:rPr>
          <w:rFonts w:hint="eastAsia" w:ascii="宋体" w:hAnsi="宋体" w:eastAsia="宋体" w:cs="宋体"/>
          <w:b w:val="0"/>
          <w:bCs/>
          <w:color w:val="000000"/>
          <w:kern w:val="0"/>
          <w:sz w:val="22"/>
          <w:szCs w:val="22"/>
          <w:lang w:val="zh-CN"/>
        </w:rPr>
        <w:t>年</w:t>
      </w:r>
      <w:r>
        <w:rPr>
          <w:rFonts w:hint="eastAsia" w:ascii="宋体" w:hAnsi="宋体" w:eastAsia="宋体" w:cs="宋体"/>
          <w:b w:val="0"/>
          <w:bCs/>
          <w:color w:val="000000"/>
          <w:kern w:val="0"/>
          <w:sz w:val="22"/>
          <w:szCs w:val="22"/>
          <w:u w:val="single"/>
        </w:rPr>
        <w:t xml:space="preserve">  </w:t>
      </w:r>
      <w:r>
        <w:rPr>
          <w:rFonts w:hint="eastAsia" w:ascii="宋体" w:hAnsi="宋体" w:eastAsia="宋体" w:cs="宋体"/>
          <w:b w:val="0"/>
          <w:bCs/>
          <w:color w:val="000000"/>
          <w:kern w:val="0"/>
          <w:sz w:val="22"/>
          <w:szCs w:val="22"/>
          <w:u w:val="single"/>
        </w:rPr>
        <w:tab/>
      </w:r>
      <w:r>
        <w:rPr>
          <w:rFonts w:hint="eastAsia" w:ascii="宋体" w:hAnsi="宋体" w:eastAsia="宋体" w:cs="宋体"/>
          <w:b w:val="0"/>
          <w:bCs/>
          <w:color w:val="000000"/>
          <w:kern w:val="0"/>
          <w:sz w:val="22"/>
          <w:szCs w:val="22"/>
          <w:lang w:val="zh-CN"/>
        </w:rPr>
        <w:t>月</w:t>
      </w:r>
      <w:r>
        <w:rPr>
          <w:rFonts w:hint="eastAsia" w:ascii="宋体" w:hAnsi="宋体" w:eastAsia="宋体" w:cs="宋体"/>
          <w:b w:val="0"/>
          <w:bCs/>
          <w:color w:val="000000"/>
          <w:kern w:val="0"/>
          <w:sz w:val="22"/>
          <w:szCs w:val="22"/>
          <w:u w:val="single"/>
          <w:lang w:val="zh-CN"/>
        </w:rPr>
        <w:t xml:space="preserve">    </w:t>
      </w:r>
      <w:r>
        <w:rPr>
          <w:rFonts w:hint="eastAsia" w:ascii="宋体" w:hAnsi="宋体" w:eastAsia="宋体" w:cs="宋体"/>
          <w:b w:val="0"/>
          <w:bCs/>
          <w:color w:val="000000"/>
          <w:kern w:val="0"/>
          <w:sz w:val="22"/>
          <w:szCs w:val="22"/>
          <w:lang w:val="zh-CN"/>
        </w:rPr>
        <w:t>日</w:t>
      </w:r>
    </w:p>
    <w:p w14:paraId="3317C77D">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kern w:val="0"/>
          <w:sz w:val="22"/>
          <w:szCs w:val="22"/>
          <w:lang w:val="zh-CN"/>
        </w:rPr>
      </w:pPr>
    </w:p>
    <w:p w14:paraId="6799741F">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color w:val="000000"/>
          <w:kern w:val="0"/>
          <w:sz w:val="22"/>
          <w:szCs w:val="22"/>
          <w:lang w:val="zh-CN"/>
        </w:rPr>
      </w:pPr>
    </w:p>
    <w:p w14:paraId="77DBF04A">
      <w:pPr>
        <w:pageBreakBefore w:val="0"/>
        <w:shd w:val="clear" w:color="auto" w:fill="FFFFFF"/>
        <w:kinsoku/>
        <w:wordWrap/>
        <w:overflowPunct/>
        <w:topLinePunct w:val="0"/>
        <w:bidi w:val="0"/>
        <w:snapToGrid w:val="0"/>
        <w:spacing w:line="360" w:lineRule="auto"/>
        <w:ind w:firstLine="440" w:firstLineChars="200"/>
        <w:jc w:val="both"/>
        <w:rPr>
          <w:rFonts w:hint="eastAsia" w:ascii="宋体" w:hAnsi="宋体" w:eastAsia="宋体" w:cs="宋体"/>
          <w:b w:val="0"/>
          <w:bCs/>
        </w:rPr>
      </w:pPr>
      <w:r>
        <w:rPr>
          <w:rFonts w:hint="eastAsia" w:ascii="宋体" w:hAnsi="宋体" w:eastAsia="宋体" w:cs="宋体"/>
          <w:b w:val="0"/>
          <w:bCs/>
          <w:color w:val="000000"/>
          <w:kern w:val="0"/>
          <w:sz w:val="22"/>
          <w:szCs w:val="22"/>
          <w:lang w:val="zh-CN"/>
        </w:rPr>
        <w:t>注：未按照本投标响应函要求填报的将被视为非实质性响应，从而可能导致该投标文件被拒绝</w:t>
      </w:r>
      <w:r>
        <w:rPr>
          <w:rFonts w:hint="eastAsia" w:ascii="宋体" w:hAnsi="宋体" w:eastAsia="宋体" w:cs="宋体"/>
          <w:b w:val="0"/>
          <w:bCs/>
        </w:rPr>
        <w:t>。</w:t>
      </w:r>
    </w:p>
    <w:p w14:paraId="18E73CC9">
      <w:pPr>
        <w:pageBreakBefore w:val="0"/>
        <w:shd w:val="clear" w:color="auto" w:fill="FFFFFF"/>
        <w:kinsoku/>
        <w:wordWrap/>
        <w:overflowPunct/>
        <w:topLinePunct w:val="0"/>
        <w:bidi w:val="0"/>
        <w:snapToGrid w:val="0"/>
        <w:spacing w:line="360" w:lineRule="auto"/>
        <w:ind w:firstLine="420" w:firstLineChars="200"/>
        <w:jc w:val="both"/>
        <w:rPr>
          <w:rFonts w:hint="eastAsia" w:ascii="宋体" w:hAnsi="宋体" w:eastAsia="宋体" w:cs="宋体"/>
          <w:b w:val="0"/>
          <w:bCs/>
        </w:rPr>
      </w:pPr>
    </w:p>
    <w:p w14:paraId="0C79BAB1">
      <w:pPr>
        <w:pageBreakBefore w:val="0"/>
        <w:shd w:val="clear" w:color="auto" w:fill="FFFFFF"/>
        <w:kinsoku/>
        <w:wordWrap/>
        <w:overflowPunct/>
        <w:topLinePunct w:val="0"/>
        <w:bidi w:val="0"/>
        <w:snapToGrid w:val="0"/>
        <w:spacing w:line="360" w:lineRule="auto"/>
        <w:ind w:firstLine="420" w:firstLineChars="200"/>
        <w:jc w:val="both"/>
        <w:rPr>
          <w:rFonts w:hint="eastAsia" w:ascii="宋体" w:hAnsi="宋体" w:eastAsia="宋体" w:cs="宋体"/>
          <w:b w:val="0"/>
          <w:bCs/>
        </w:rPr>
      </w:pPr>
    </w:p>
    <w:p w14:paraId="4394EAD3">
      <w:pPr>
        <w:pageBreakBefore w:val="0"/>
        <w:shd w:val="clear" w:color="auto" w:fill="FFFFFF"/>
        <w:kinsoku/>
        <w:wordWrap/>
        <w:overflowPunct/>
        <w:topLinePunct w:val="0"/>
        <w:bidi w:val="0"/>
        <w:snapToGrid w:val="0"/>
        <w:spacing w:line="360" w:lineRule="auto"/>
        <w:ind w:firstLine="420" w:firstLineChars="200"/>
        <w:jc w:val="both"/>
        <w:rPr>
          <w:rFonts w:hint="eastAsia" w:ascii="宋体" w:hAnsi="宋体" w:eastAsia="宋体" w:cs="宋体"/>
          <w:b w:val="0"/>
          <w:bCs/>
        </w:rPr>
      </w:pPr>
    </w:p>
    <w:p w14:paraId="19FE08BC">
      <w:pPr>
        <w:pageBreakBefore w:val="0"/>
        <w:shd w:val="clear" w:color="auto" w:fill="FFFFFF"/>
        <w:kinsoku/>
        <w:wordWrap/>
        <w:overflowPunct/>
        <w:topLinePunct w:val="0"/>
        <w:bidi w:val="0"/>
        <w:snapToGrid w:val="0"/>
        <w:spacing w:line="360" w:lineRule="auto"/>
        <w:ind w:firstLine="420" w:firstLineChars="200"/>
        <w:jc w:val="both"/>
        <w:rPr>
          <w:rFonts w:hint="eastAsia" w:ascii="宋体" w:hAnsi="宋体" w:eastAsia="宋体" w:cs="宋体"/>
          <w:b w:val="0"/>
          <w:bCs/>
        </w:rPr>
      </w:pPr>
    </w:p>
    <w:p w14:paraId="0C233F86">
      <w:pPr>
        <w:pStyle w:val="5"/>
        <w:pageBreakBefore w:val="0"/>
        <w:kinsoku/>
        <w:wordWrap/>
        <w:overflowPunct/>
        <w:topLinePunct w:val="0"/>
        <w:bidi w:val="0"/>
        <w:jc w:val="center"/>
        <w:rPr>
          <w:rFonts w:hint="eastAsia" w:ascii="宋体" w:hAnsi="宋体" w:eastAsia="宋体" w:cs="宋体"/>
          <w:b/>
          <w:sz w:val="28"/>
          <w:szCs w:val="28"/>
        </w:rPr>
      </w:pPr>
      <w:bookmarkStart w:id="150" w:name="_Toc27804"/>
      <w:bookmarkStart w:id="151" w:name="_Toc30286"/>
    </w:p>
    <w:p w14:paraId="0308D5D5">
      <w:pPr>
        <w:pStyle w:val="5"/>
        <w:pageBreakBefore w:val="0"/>
        <w:kinsoku/>
        <w:wordWrap/>
        <w:overflowPunct/>
        <w:topLinePunct w:val="0"/>
        <w:bidi w:val="0"/>
        <w:jc w:val="center"/>
        <w:rPr>
          <w:rFonts w:hint="eastAsia" w:ascii="宋体" w:hAnsi="宋体" w:eastAsia="宋体" w:cs="宋体"/>
          <w:b/>
          <w:sz w:val="28"/>
          <w:szCs w:val="28"/>
        </w:rPr>
      </w:pPr>
    </w:p>
    <w:p w14:paraId="7BE1DF8C">
      <w:pPr>
        <w:pStyle w:val="5"/>
        <w:pageBreakBefore w:val="0"/>
        <w:kinsoku/>
        <w:wordWrap/>
        <w:overflowPunct/>
        <w:topLinePunct w:val="0"/>
        <w:bidi w:val="0"/>
        <w:jc w:val="center"/>
        <w:rPr>
          <w:rFonts w:hint="eastAsia" w:ascii="宋体" w:hAnsi="宋体" w:eastAsia="宋体" w:cs="宋体"/>
          <w:b/>
          <w:sz w:val="28"/>
          <w:szCs w:val="28"/>
        </w:rPr>
      </w:pPr>
    </w:p>
    <w:p w14:paraId="2A7FBD3C">
      <w:pPr>
        <w:pStyle w:val="5"/>
        <w:pageBreakBefore w:val="0"/>
        <w:kinsoku/>
        <w:wordWrap/>
        <w:overflowPunct/>
        <w:topLinePunct w:val="0"/>
        <w:bidi w:val="0"/>
        <w:jc w:val="center"/>
        <w:rPr>
          <w:rFonts w:hint="eastAsia" w:ascii="宋体" w:hAnsi="宋体" w:eastAsia="宋体" w:cs="宋体"/>
          <w:b/>
          <w:sz w:val="28"/>
          <w:szCs w:val="28"/>
        </w:rPr>
      </w:pPr>
    </w:p>
    <w:p w14:paraId="7E839056">
      <w:pPr>
        <w:pStyle w:val="5"/>
        <w:pageBreakBefore w:val="0"/>
        <w:kinsoku/>
        <w:wordWrap/>
        <w:overflowPunct/>
        <w:topLinePunct w:val="0"/>
        <w:bidi w:val="0"/>
        <w:jc w:val="center"/>
        <w:rPr>
          <w:rFonts w:hint="eastAsia" w:ascii="宋体" w:hAnsi="宋体" w:eastAsia="宋体" w:cs="宋体"/>
          <w:b/>
          <w:sz w:val="28"/>
          <w:szCs w:val="28"/>
        </w:rPr>
      </w:pPr>
    </w:p>
    <w:p w14:paraId="688D2087">
      <w:pPr>
        <w:pStyle w:val="5"/>
        <w:pageBreakBefore w:val="0"/>
        <w:kinsoku/>
        <w:wordWrap/>
        <w:overflowPunct/>
        <w:topLinePunct w:val="0"/>
        <w:bidi w:val="0"/>
        <w:jc w:val="center"/>
        <w:rPr>
          <w:rFonts w:hint="eastAsia" w:ascii="宋体" w:hAnsi="宋体" w:eastAsia="宋体" w:cs="宋体"/>
          <w:b/>
          <w:sz w:val="28"/>
          <w:szCs w:val="28"/>
        </w:rPr>
      </w:pPr>
    </w:p>
    <w:p w14:paraId="45AF294C">
      <w:pPr>
        <w:pStyle w:val="5"/>
        <w:pageBreakBefore w:val="0"/>
        <w:kinsoku/>
        <w:wordWrap/>
        <w:overflowPunct/>
        <w:topLinePunct w:val="0"/>
        <w:bidi w:val="0"/>
        <w:jc w:val="both"/>
        <w:rPr>
          <w:rFonts w:hint="eastAsia" w:ascii="宋体" w:hAnsi="宋体" w:eastAsia="宋体" w:cs="宋体"/>
          <w:b/>
          <w:sz w:val="28"/>
          <w:szCs w:val="28"/>
        </w:rPr>
      </w:pPr>
      <w:r>
        <w:rPr>
          <w:rFonts w:hint="eastAsia" w:ascii="宋体" w:hAnsi="宋体" w:eastAsia="宋体" w:cs="宋体"/>
          <w:b/>
          <w:sz w:val="28"/>
          <w:szCs w:val="28"/>
        </w:rPr>
        <w:t>法定代表人授权书</w:t>
      </w:r>
      <w:bookmarkEnd w:id="150"/>
      <w:bookmarkEnd w:id="151"/>
    </w:p>
    <w:p w14:paraId="1ED2A882">
      <w:pPr>
        <w:pStyle w:val="13"/>
        <w:snapToGrid w:val="0"/>
        <w:spacing w:line="360" w:lineRule="auto"/>
        <w:jc w:val="center"/>
        <w:outlineLvl w:val="2"/>
        <w:rPr>
          <w:rFonts w:hint="eastAsia" w:ascii="宋体" w:hAnsi="宋体" w:eastAsia="宋体" w:cs="宋体"/>
          <w:b/>
          <w:color w:val="000000"/>
          <w:sz w:val="32"/>
          <w:szCs w:val="32"/>
          <w:highlight w:val="none"/>
          <w:lang w:val="zh-CN"/>
        </w:rPr>
      </w:pPr>
      <w:r>
        <w:rPr>
          <w:rFonts w:hint="eastAsia" w:ascii="宋体" w:hAnsi="宋体" w:eastAsia="宋体" w:cs="宋体"/>
          <w:b/>
          <w:color w:val="000000"/>
          <w:sz w:val="32"/>
          <w:szCs w:val="32"/>
          <w:highlight w:val="none"/>
          <w:lang w:val="zh-CN"/>
        </w:rPr>
        <w:t>一、法定代表人授权委托书</w:t>
      </w:r>
    </w:p>
    <w:p w14:paraId="61381ECB">
      <w:pPr>
        <w:shd w:val="clear" w:color="auto" w:fill="FFFFFF"/>
        <w:snapToGrid w:val="0"/>
        <w:spacing w:line="360" w:lineRule="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苍南县交通建设材料科技有限公司</w:t>
      </w:r>
    </w:p>
    <w:p w14:paraId="026071E9">
      <w:pPr>
        <w:shd w:val="clear" w:color="auto" w:fill="FFFFFF"/>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浙江华域高宇项目管理有限公司</w:t>
      </w:r>
      <w:r>
        <w:rPr>
          <w:rFonts w:hint="eastAsia" w:ascii="宋体" w:hAnsi="宋体" w:eastAsia="宋体" w:cs="宋体"/>
          <w:color w:val="000000"/>
          <w:sz w:val="24"/>
          <w:highlight w:val="none"/>
        </w:rPr>
        <w:t>：</w:t>
      </w:r>
    </w:p>
    <w:p w14:paraId="45DEE6FB">
      <w:pPr>
        <w:keepNext w:val="0"/>
        <w:keepLines w:val="0"/>
        <w:pageBreakBefore w:val="0"/>
        <w:widowControl w:val="0"/>
        <w:shd w:val="clear" w:color="auto" w:fill="FFFFFF"/>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val="zh-CN"/>
        </w:rPr>
        <w:t>兹委派我公司</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先生/女士(其在本公司的职务是：</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，联系电话：</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手机：</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传真：</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)，代表我公司全权处理</w:t>
      </w:r>
      <w:r>
        <w:rPr>
          <w:rFonts w:hint="eastAsia" w:ascii="宋体" w:hAnsi="宋体" w:cs="宋体"/>
          <w:color w:val="000000"/>
          <w:sz w:val="24"/>
          <w:highlight w:val="none"/>
          <w:u w:val="single"/>
          <w:lang w:eastAsia="zh-CN"/>
        </w:rPr>
        <w:t>苍南县交通工程养护基地项目热喷燃烧油采购</w:t>
      </w:r>
      <w:r>
        <w:rPr>
          <w:rFonts w:hint="eastAsia" w:ascii="宋体" w:hAnsi="宋体" w:eastAsia="宋体" w:cs="宋体"/>
          <w:color w:val="000000"/>
          <w:sz w:val="24"/>
          <w:highlight w:val="none"/>
        </w:rPr>
        <w:t>(编号：</w:t>
      </w:r>
      <w:r>
        <w:rPr>
          <w:rFonts w:hint="eastAsia" w:ascii="宋体" w:hAnsi="宋体" w:cs="宋体"/>
          <w:color w:val="000000"/>
          <w:sz w:val="24"/>
          <w:highlight w:val="none"/>
          <w:lang w:eastAsia="zh-CN"/>
        </w:rPr>
        <w:t>HYGYCN20250530002</w:t>
      </w:r>
      <w:r>
        <w:rPr>
          <w:rFonts w:hint="eastAsia" w:ascii="宋体" w:hAnsi="宋体" w:eastAsia="宋体" w:cs="宋体"/>
          <w:color w:val="000000"/>
          <w:sz w:val="24"/>
          <w:highlight w:val="none"/>
        </w:rPr>
        <w:t>)采购投标的一切事项，若中标则全权代表本公司签订相关合同，</w:t>
      </w:r>
      <w:r>
        <w:rPr>
          <w:rFonts w:hint="eastAsia" w:ascii="宋体" w:hAnsi="宋体" w:eastAsia="宋体" w:cs="宋体"/>
          <w:color w:val="000000"/>
          <w:kern w:val="0"/>
          <w:sz w:val="24"/>
          <w:highlight w:val="none"/>
          <w:lang w:val="zh-CN"/>
        </w:rPr>
        <w:t>并负责处理合同履行等事宜。</w:t>
      </w:r>
    </w:p>
    <w:p w14:paraId="4EB55B0E">
      <w:pPr>
        <w:shd w:val="clear" w:color="auto" w:fill="FFFFFF"/>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zh-CN"/>
        </w:rPr>
        <w:t xml:space="preserve">    特此告知。</w:t>
      </w:r>
    </w:p>
    <w:p w14:paraId="7BE90C9E">
      <w:pPr>
        <w:shd w:val="clear" w:color="auto" w:fill="FFFFFF"/>
        <w:snapToGrid w:val="0"/>
        <w:spacing w:line="360" w:lineRule="auto"/>
        <w:rPr>
          <w:rFonts w:hint="eastAsia" w:ascii="宋体" w:hAnsi="宋体" w:eastAsia="宋体" w:cs="宋体"/>
          <w:color w:val="000000"/>
          <w:kern w:val="0"/>
          <w:sz w:val="24"/>
          <w:highlight w:val="none"/>
        </w:rPr>
      </w:pPr>
    </w:p>
    <w:p w14:paraId="3E8F1FA3">
      <w:pPr>
        <w:shd w:val="clear" w:color="auto" w:fill="FFFFFF"/>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zh-CN"/>
        </w:rPr>
        <w:t xml:space="preserve">                                        投标供应商名称(公章)：</w:t>
      </w:r>
    </w:p>
    <w:p w14:paraId="6A5B2B82">
      <w:pPr>
        <w:shd w:val="clear" w:color="auto" w:fill="FFFFFF"/>
        <w:snapToGrid w:val="0"/>
        <w:spacing w:line="360" w:lineRule="auto"/>
        <w:ind w:left="4800" w:hanging="4800" w:hangingChars="20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                                        </w:t>
      </w:r>
      <w:r>
        <w:rPr>
          <w:rFonts w:hint="eastAsia" w:ascii="宋体" w:hAnsi="宋体" w:eastAsia="宋体" w:cs="宋体"/>
          <w:color w:val="000000"/>
          <w:sz w:val="24"/>
          <w:szCs w:val="28"/>
          <w:highlight w:val="none"/>
        </w:rPr>
        <w:t>法定代表人或授权代表人签字（或盖章）</w:t>
      </w:r>
      <w:r>
        <w:rPr>
          <w:rFonts w:hint="eastAsia" w:ascii="宋体" w:hAnsi="宋体" w:eastAsia="宋体" w:cs="宋体"/>
          <w:color w:val="000000"/>
          <w:kern w:val="0"/>
          <w:sz w:val="24"/>
          <w:highlight w:val="none"/>
          <w:lang w:val="zh-CN"/>
        </w:rPr>
        <w:t>：</w:t>
      </w:r>
    </w:p>
    <w:p w14:paraId="25F36B07">
      <w:pPr>
        <w:shd w:val="clear" w:color="auto" w:fill="FFFFFF"/>
        <w:snapToGrid w:val="0"/>
        <w:spacing w:line="360" w:lineRule="auto"/>
        <w:ind w:left="4800" w:hanging="4800" w:hangingChars="2000"/>
        <w:jc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 xml:space="preserve">                   </w:t>
      </w:r>
    </w:p>
    <w:p w14:paraId="7C439AAE">
      <w:pPr>
        <w:shd w:val="clear" w:color="auto" w:fill="FFFFFF"/>
        <w:snapToGrid w:val="0"/>
        <w:spacing w:line="360" w:lineRule="auto"/>
        <w:ind w:left="4800" w:hanging="4800" w:hangingChars="2000"/>
        <w:jc w:val="center"/>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lang w:val="zh-CN"/>
        </w:rPr>
        <w:t>日期</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年</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月</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日</w:t>
      </w:r>
    </w:p>
    <w:p w14:paraId="7E72FB7A">
      <w:pPr>
        <w:shd w:val="clear" w:color="auto" w:fill="FFFFFF"/>
        <w:snapToGrid w:val="0"/>
        <w:spacing w:line="360" w:lineRule="auto"/>
        <w:ind w:right="480"/>
        <w:jc w:val="center"/>
        <w:rPr>
          <w:rFonts w:hint="eastAsia" w:ascii="宋体" w:hAnsi="宋体" w:eastAsia="宋体" w:cs="宋体"/>
          <w:b/>
          <w:bCs/>
          <w:color w:val="000000"/>
          <w:kern w:val="0"/>
          <w:sz w:val="24"/>
          <w:highlight w:val="none"/>
          <w:lang w:val="zh-CN"/>
        </w:rPr>
      </w:pPr>
    </w:p>
    <w:p w14:paraId="32C53B70">
      <w:pPr>
        <w:shd w:val="clear" w:color="auto" w:fill="FFFFFF"/>
        <w:snapToGrid w:val="0"/>
        <w:spacing w:line="360" w:lineRule="auto"/>
        <w:ind w:firstLine="482" w:firstLineChars="200"/>
        <w:rPr>
          <w:rFonts w:hint="eastAsia" w:ascii="宋体" w:hAnsi="宋体" w:eastAsia="宋体" w:cs="宋体"/>
          <w:b/>
          <w:bCs/>
          <w:color w:val="000000"/>
          <w:kern w:val="0"/>
          <w:sz w:val="24"/>
          <w:highlight w:val="none"/>
          <w:lang w:val="zh-CN"/>
        </w:rPr>
      </w:pPr>
    </w:p>
    <w:p w14:paraId="5702DB30">
      <w:pPr>
        <w:pageBreakBefore w:val="0"/>
        <w:shd w:val="clear" w:color="auto" w:fill="FFFFFF"/>
        <w:kinsoku/>
        <w:wordWrap/>
        <w:overflowPunct/>
        <w:topLinePunct w:val="0"/>
        <w:bidi w:val="0"/>
        <w:snapToGrid w:val="0"/>
        <w:spacing w:line="360" w:lineRule="auto"/>
        <w:ind w:firstLine="643" w:firstLineChars="200"/>
        <w:jc w:val="both"/>
        <w:rPr>
          <w:rFonts w:hint="eastAsia" w:ascii="宋体" w:hAnsi="宋体" w:eastAsia="宋体" w:cs="宋体"/>
          <w:b w:val="0"/>
          <w:bCs/>
        </w:rPr>
      </w:pPr>
      <w:r>
        <w:rPr>
          <w:rFonts w:hint="eastAsia" w:ascii="宋体" w:hAnsi="宋体" w:eastAsia="宋体" w:cs="宋体"/>
          <w:b/>
          <w:color w:val="000000"/>
          <w:sz w:val="32"/>
          <w:szCs w:val="32"/>
          <w:highlight w:val="none"/>
          <w:lang w:val="zh-CN"/>
        </w:rPr>
        <w:t>二、法定代表人及授权代表人的身份证 (复印件加盖公章)</w:t>
      </w:r>
    </w:p>
    <w:p w14:paraId="04601E37">
      <w:pPr>
        <w:pageBreakBefore w:val="0"/>
        <w:shd w:val="clear" w:color="auto" w:fill="FFFFFF"/>
        <w:kinsoku/>
        <w:wordWrap/>
        <w:overflowPunct/>
        <w:topLinePunct w:val="0"/>
        <w:bidi w:val="0"/>
        <w:snapToGrid w:val="0"/>
        <w:spacing w:line="360" w:lineRule="auto"/>
        <w:ind w:firstLine="420" w:firstLineChars="200"/>
        <w:jc w:val="both"/>
        <w:rPr>
          <w:rFonts w:hint="eastAsia" w:ascii="宋体" w:hAnsi="宋体" w:eastAsia="宋体" w:cs="宋体"/>
          <w:b w:val="0"/>
          <w:bCs/>
        </w:rPr>
      </w:pPr>
    </w:p>
    <w:p w14:paraId="10118208">
      <w:pPr>
        <w:pageBreakBefore w:val="0"/>
        <w:shd w:val="clear" w:color="auto" w:fill="FFFFFF"/>
        <w:kinsoku/>
        <w:wordWrap/>
        <w:overflowPunct/>
        <w:topLinePunct w:val="0"/>
        <w:bidi w:val="0"/>
        <w:snapToGrid w:val="0"/>
        <w:spacing w:line="360" w:lineRule="auto"/>
        <w:ind w:firstLine="420" w:firstLineChars="200"/>
        <w:jc w:val="both"/>
        <w:rPr>
          <w:rFonts w:hint="eastAsia" w:ascii="宋体" w:hAnsi="宋体" w:eastAsia="宋体" w:cs="宋体"/>
          <w:b w:val="0"/>
          <w:bCs/>
        </w:rPr>
      </w:pPr>
    </w:p>
    <w:p w14:paraId="5A01121B">
      <w:pPr>
        <w:pageBreakBefore w:val="0"/>
        <w:shd w:val="clear" w:color="auto" w:fill="FFFFFF"/>
        <w:kinsoku/>
        <w:wordWrap/>
        <w:overflowPunct/>
        <w:topLinePunct w:val="0"/>
        <w:bidi w:val="0"/>
        <w:snapToGrid w:val="0"/>
        <w:spacing w:line="360" w:lineRule="auto"/>
        <w:ind w:firstLine="420" w:firstLineChars="200"/>
        <w:jc w:val="both"/>
        <w:rPr>
          <w:rFonts w:hint="eastAsia" w:ascii="宋体" w:hAnsi="宋体" w:eastAsia="宋体" w:cs="宋体"/>
          <w:b w:val="0"/>
          <w:bCs/>
        </w:rPr>
      </w:pPr>
    </w:p>
    <w:p w14:paraId="34A5D93B">
      <w:pPr>
        <w:pageBreakBefore w:val="0"/>
        <w:shd w:val="clear" w:color="auto" w:fill="FFFFFF"/>
        <w:kinsoku/>
        <w:wordWrap/>
        <w:overflowPunct/>
        <w:topLinePunct w:val="0"/>
        <w:bidi w:val="0"/>
        <w:snapToGrid w:val="0"/>
        <w:spacing w:line="360" w:lineRule="auto"/>
        <w:ind w:firstLine="420" w:firstLineChars="200"/>
        <w:jc w:val="both"/>
        <w:rPr>
          <w:rFonts w:hint="eastAsia" w:ascii="宋体" w:hAnsi="宋体" w:eastAsia="宋体" w:cs="宋体"/>
          <w:b w:val="0"/>
          <w:bCs/>
        </w:rPr>
      </w:pPr>
    </w:p>
    <w:p w14:paraId="31ED3103">
      <w:pPr>
        <w:pageBreakBefore w:val="0"/>
        <w:numPr>
          <w:ilvl w:val="0"/>
          <w:numId w:val="0"/>
        </w:numPr>
        <w:kinsoku/>
        <w:wordWrap/>
        <w:overflowPunct/>
        <w:topLinePunct w:val="0"/>
        <w:bidi w:val="0"/>
        <w:snapToGrid w:val="0"/>
        <w:spacing w:line="500" w:lineRule="atLeast"/>
        <w:jc w:val="both"/>
        <w:rPr>
          <w:rFonts w:hint="eastAsia" w:ascii="宋体" w:hAnsi="宋体" w:eastAsia="宋体" w:cs="宋体"/>
          <w:b/>
          <w:color w:val="000000"/>
          <w:kern w:val="0"/>
          <w:sz w:val="24"/>
          <w:szCs w:val="21"/>
          <w:lang w:val="en-US" w:eastAsia="zh-CN" w:bidi="ar-SA"/>
        </w:rPr>
      </w:pPr>
    </w:p>
    <w:p w14:paraId="15F21A8C">
      <w:pPr>
        <w:pageBreakBefore w:val="0"/>
        <w:numPr>
          <w:ilvl w:val="0"/>
          <w:numId w:val="0"/>
        </w:numPr>
        <w:kinsoku/>
        <w:wordWrap/>
        <w:overflowPunct/>
        <w:topLinePunct w:val="0"/>
        <w:bidi w:val="0"/>
        <w:snapToGrid w:val="0"/>
        <w:spacing w:line="500" w:lineRule="atLeast"/>
        <w:jc w:val="both"/>
        <w:rPr>
          <w:rFonts w:hint="eastAsia" w:ascii="宋体" w:hAnsi="宋体" w:eastAsia="宋体" w:cs="宋体"/>
          <w:b/>
          <w:color w:val="000000"/>
          <w:kern w:val="0"/>
          <w:sz w:val="24"/>
          <w:szCs w:val="21"/>
          <w:lang w:val="en-US" w:eastAsia="zh-CN" w:bidi="ar-SA"/>
        </w:rPr>
      </w:pPr>
    </w:p>
    <w:p w14:paraId="5036BC34">
      <w:pPr>
        <w:pageBreakBefore w:val="0"/>
        <w:numPr>
          <w:ilvl w:val="0"/>
          <w:numId w:val="0"/>
        </w:numPr>
        <w:kinsoku/>
        <w:wordWrap/>
        <w:overflowPunct/>
        <w:topLinePunct w:val="0"/>
        <w:bidi w:val="0"/>
        <w:snapToGrid w:val="0"/>
        <w:spacing w:line="500" w:lineRule="atLeast"/>
        <w:jc w:val="both"/>
        <w:rPr>
          <w:rFonts w:hint="eastAsia" w:ascii="宋体" w:hAnsi="宋体" w:eastAsia="宋体" w:cs="宋体"/>
          <w:b/>
          <w:color w:val="000000"/>
          <w:kern w:val="0"/>
          <w:sz w:val="24"/>
          <w:szCs w:val="21"/>
          <w:lang w:val="en-US" w:eastAsia="zh-CN" w:bidi="ar-SA"/>
        </w:rPr>
      </w:pPr>
    </w:p>
    <w:p w14:paraId="471ADF87">
      <w:pPr>
        <w:pageBreakBefore w:val="0"/>
        <w:numPr>
          <w:ilvl w:val="0"/>
          <w:numId w:val="0"/>
        </w:numPr>
        <w:kinsoku/>
        <w:wordWrap/>
        <w:overflowPunct/>
        <w:topLinePunct w:val="0"/>
        <w:bidi w:val="0"/>
        <w:snapToGrid w:val="0"/>
        <w:spacing w:line="500" w:lineRule="atLeast"/>
        <w:jc w:val="both"/>
        <w:rPr>
          <w:rFonts w:hint="eastAsia" w:ascii="宋体" w:hAnsi="宋体" w:eastAsia="宋体" w:cs="宋体"/>
          <w:b/>
          <w:color w:val="000000"/>
          <w:kern w:val="0"/>
          <w:sz w:val="24"/>
          <w:szCs w:val="21"/>
          <w:lang w:val="en-US" w:eastAsia="zh-CN" w:bidi="ar-SA"/>
        </w:rPr>
      </w:pPr>
    </w:p>
    <w:p w14:paraId="1BEE44BF">
      <w:pPr>
        <w:pageBreakBefore w:val="0"/>
        <w:numPr>
          <w:ilvl w:val="0"/>
          <w:numId w:val="0"/>
        </w:numPr>
        <w:kinsoku/>
        <w:wordWrap/>
        <w:overflowPunct/>
        <w:topLinePunct w:val="0"/>
        <w:bidi w:val="0"/>
        <w:snapToGrid w:val="0"/>
        <w:spacing w:line="500" w:lineRule="atLeast"/>
        <w:jc w:val="both"/>
        <w:rPr>
          <w:rFonts w:hint="eastAsia" w:ascii="宋体" w:hAnsi="宋体" w:eastAsia="宋体" w:cs="宋体"/>
          <w:b/>
          <w:color w:val="000000"/>
          <w:kern w:val="0"/>
          <w:sz w:val="24"/>
          <w:szCs w:val="21"/>
          <w:lang w:val="en-US" w:eastAsia="zh-CN" w:bidi="ar-SA"/>
        </w:rPr>
      </w:pPr>
    </w:p>
    <w:p w14:paraId="600CC260">
      <w:pPr>
        <w:pageBreakBefore w:val="0"/>
        <w:numPr>
          <w:ilvl w:val="0"/>
          <w:numId w:val="0"/>
        </w:numPr>
        <w:kinsoku/>
        <w:wordWrap/>
        <w:overflowPunct/>
        <w:topLinePunct w:val="0"/>
        <w:bidi w:val="0"/>
        <w:snapToGrid w:val="0"/>
        <w:spacing w:line="500" w:lineRule="atLeast"/>
        <w:jc w:val="both"/>
        <w:rPr>
          <w:rFonts w:hint="eastAsia" w:ascii="宋体" w:hAnsi="宋体" w:eastAsia="宋体" w:cs="宋体"/>
          <w:b/>
          <w:color w:val="000000"/>
          <w:kern w:val="0"/>
          <w:sz w:val="24"/>
          <w:szCs w:val="21"/>
          <w:lang w:val="en-US" w:eastAsia="zh-CN" w:bidi="ar-SA"/>
        </w:rPr>
      </w:pPr>
    </w:p>
    <w:p w14:paraId="0584810F">
      <w:pPr>
        <w:pageBreakBefore w:val="0"/>
        <w:numPr>
          <w:ilvl w:val="0"/>
          <w:numId w:val="0"/>
        </w:numPr>
        <w:kinsoku/>
        <w:wordWrap/>
        <w:overflowPunct/>
        <w:topLinePunct w:val="0"/>
        <w:bidi w:val="0"/>
        <w:snapToGrid w:val="0"/>
        <w:spacing w:line="500" w:lineRule="atLeast"/>
        <w:jc w:val="both"/>
        <w:rPr>
          <w:rFonts w:hint="eastAsia" w:ascii="宋体" w:hAnsi="宋体" w:eastAsia="宋体" w:cs="宋体"/>
          <w:b/>
          <w:color w:val="000000"/>
          <w:kern w:val="0"/>
          <w:sz w:val="24"/>
          <w:szCs w:val="21"/>
          <w:lang w:val="en-US" w:eastAsia="zh-CN" w:bidi="ar-SA"/>
        </w:rPr>
      </w:pPr>
    </w:p>
    <w:p w14:paraId="3B8644EE">
      <w:pPr>
        <w:pageBreakBefore w:val="0"/>
        <w:numPr>
          <w:ilvl w:val="0"/>
          <w:numId w:val="0"/>
        </w:numPr>
        <w:kinsoku/>
        <w:wordWrap/>
        <w:overflowPunct/>
        <w:topLinePunct w:val="0"/>
        <w:bidi w:val="0"/>
        <w:snapToGrid w:val="0"/>
        <w:spacing w:line="500" w:lineRule="atLeast"/>
        <w:jc w:val="both"/>
        <w:rPr>
          <w:rFonts w:hint="eastAsia" w:ascii="宋体" w:hAnsi="宋体" w:eastAsia="宋体" w:cs="宋体"/>
          <w:b/>
          <w:color w:val="000000"/>
          <w:kern w:val="0"/>
          <w:sz w:val="24"/>
          <w:szCs w:val="21"/>
          <w:lang w:val="en-US" w:eastAsia="zh-CN" w:bidi="ar-SA"/>
        </w:rPr>
      </w:pPr>
    </w:p>
    <w:p w14:paraId="5CBC0127">
      <w:pPr>
        <w:pageBreakBefore w:val="0"/>
        <w:numPr>
          <w:ilvl w:val="0"/>
          <w:numId w:val="0"/>
        </w:numPr>
        <w:kinsoku/>
        <w:wordWrap/>
        <w:overflowPunct/>
        <w:topLinePunct w:val="0"/>
        <w:bidi w:val="0"/>
        <w:snapToGrid w:val="0"/>
        <w:spacing w:line="500" w:lineRule="atLeast"/>
        <w:jc w:val="both"/>
        <w:rPr>
          <w:rFonts w:hint="eastAsia" w:ascii="宋体" w:hAnsi="宋体" w:eastAsia="宋体" w:cs="宋体"/>
          <w:b/>
          <w:color w:val="000000"/>
          <w:kern w:val="0"/>
          <w:sz w:val="24"/>
          <w:szCs w:val="21"/>
          <w:lang w:val="en-US" w:eastAsia="zh-CN" w:bidi="ar-SA"/>
        </w:rPr>
      </w:pPr>
    </w:p>
    <w:p w14:paraId="6FEACA2B">
      <w:pPr>
        <w:pageBreakBefore w:val="0"/>
        <w:numPr>
          <w:ilvl w:val="0"/>
          <w:numId w:val="0"/>
        </w:numPr>
        <w:kinsoku/>
        <w:wordWrap/>
        <w:overflowPunct/>
        <w:topLinePunct w:val="0"/>
        <w:bidi w:val="0"/>
        <w:snapToGrid w:val="0"/>
        <w:spacing w:line="500" w:lineRule="atLeast"/>
        <w:jc w:val="both"/>
        <w:rPr>
          <w:rFonts w:hint="eastAsia" w:ascii="宋体" w:hAnsi="宋体" w:eastAsia="宋体" w:cs="宋体"/>
          <w:b/>
          <w:color w:val="000000"/>
          <w:kern w:val="0"/>
          <w:sz w:val="24"/>
          <w:szCs w:val="21"/>
          <w:lang w:val="en-US" w:eastAsia="zh-CN" w:bidi="ar-SA"/>
        </w:rPr>
      </w:pPr>
      <w:r>
        <w:rPr>
          <w:rFonts w:hint="eastAsia" w:ascii="宋体" w:hAnsi="宋体" w:eastAsia="宋体" w:cs="宋体"/>
          <w:b/>
          <w:color w:val="000000"/>
          <w:kern w:val="0"/>
          <w:sz w:val="24"/>
          <w:szCs w:val="21"/>
          <w:lang w:val="en-US" w:eastAsia="zh-CN" w:bidi="ar-SA"/>
        </w:rPr>
        <w:t>商务偏离表和技术偏离表：</w:t>
      </w:r>
    </w:p>
    <w:p w14:paraId="3287F153">
      <w:pPr>
        <w:pStyle w:val="5"/>
        <w:rPr>
          <w:rFonts w:hint="eastAsia"/>
          <w:lang w:eastAsia="zh-CN"/>
        </w:rPr>
      </w:pPr>
    </w:p>
    <w:p w14:paraId="39050994">
      <w:pPr>
        <w:pStyle w:val="31"/>
        <w:pageBreakBefore w:val="0"/>
        <w:kinsoku/>
        <w:wordWrap/>
        <w:overflowPunct/>
        <w:topLinePunct w:val="0"/>
        <w:bidi w:val="0"/>
        <w:jc w:val="both"/>
        <w:rPr>
          <w:rFonts w:hint="eastAsia" w:ascii="宋体" w:hAnsi="宋体" w:eastAsia="宋体" w:cs="宋体"/>
        </w:rPr>
      </w:pPr>
    </w:p>
    <w:p w14:paraId="328CB22A">
      <w:pPr>
        <w:pStyle w:val="13"/>
        <w:pageBreakBefore w:val="0"/>
        <w:kinsoku/>
        <w:wordWrap/>
        <w:overflowPunct/>
        <w:topLinePunct w:val="0"/>
        <w:bidi w:val="0"/>
        <w:adjustRightInd w:val="0"/>
        <w:snapToGrid w:val="0"/>
        <w:spacing w:line="400" w:lineRule="exact"/>
        <w:jc w:val="center"/>
        <w:rPr>
          <w:rFonts w:hint="eastAsia" w:ascii="宋体" w:hAnsi="宋体" w:eastAsia="宋体" w:cs="宋体"/>
          <w:sz w:val="36"/>
          <w:szCs w:val="36"/>
        </w:rPr>
      </w:pPr>
      <w:r>
        <w:rPr>
          <w:rFonts w:hint="eastAsia" w:ascii="宋体" w:hAnsi="宋体" w:eastAsia="宋体" w:cs="宋体"/>
          <w:sz w:val="36"/>
          <w:szCs w:val="36"/>
        </w:rPr>
        <w:t>商 务 偏 离 表</w:t>
      </w:r>
    </w:p>
    <w:tbl>
      <w:tblPr>
        <w:tblStyle w:val="23"/>
        <w:tblW w:w="0" w:type="auto"/>
        <w:jc w:val="center"/>
        <w:tblLayout w:type="fixed"/>
        <w:tblCellMar>
          <w:top w:w="0" w:type="dxa"/>
          <w:left w:w="108" w:type="dxa"/>
          <w:bottom w:w="0" w:type="dxa"/>
          <w:right w:w="108" w:type="dxa"/>
        </w:tblCellMar>
      </w:tblPr>
      <w:tblGrid>
        <w:gridCol w:w="900"/>
        <w:gridCol w:w="1508"/>
        <w:gridCol w:w="2684"/>
        <w:gridCol w:w="3216"/>
        <w:gridCol w:w="1292"/>
      </w:tblGrid>
      <w:tr w14:paraId="06B3D19B">
        <w:tblPrEx>
          <w:tblCellMar>
            <w:top w:w="0" w:type="dxa"/>
            <w:left w:w="108" w:type="dxa"/>
            <w:bottom w:w="0" w:type="dxa"/>
            <w:right w:w="108" w:type="dxa"/>
          </w:tblCellMar>
        </w:tblPrEx>
        <w:trPr>
          <w:trHeight w:val="936" w:hRule="atLeast"/>
          <w:jc w:val="center"/>
        </w:trPr>
        <w:tc>
          <w:tcPr>
            <w:tcW w:w="900" w:type="dxa"/>
            <w:tcBorders>
              <w:top w:val="single" w:color="auto" w:sz="6" w:space="0"/>
              <w:left w:val="single" w:color="auto" w:sz="6" w:space="0"/>
              <w:bottom w:val="single" w:color="auto" w:sz="6" w:space="0"/>
              <w:right w:val="single" w:color="auto" w:sz="6" w:space="0"/>
            </w:tcBorders>
            <w:noWrap w:val="0"/>
            <w:vAlign w:val="center"/>
          </w:tcPr>
          <w:p w14:paraId="0127F650">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r>
              <w:rPr>
                <w:rFonts w:hint="eastAsia" w:ascii="宋体" w:hAnsi="宋体" w:eastAsia="宋体" w:cs="宋体"/>
                <w:b w:val="0"/>
                <w:bCs/>
                <w:sz w:val="24"/>
              </w:rPr>
              <w:t>序 号</w:t>
            </w:r>
          </w:p>
        </w:tc>
        <w:tc>
          <w:tcPr>
            <w:tcW w:w="1508" w:type="dxa"/>
            <w:tcBorders>
              <w:top w:val="single" w:color="auto" w:sz="6" w:space="0"/>
              <w:left w:val="single" w:color="auto" w:sz="6" w:space="0"/>
              <w:bottom w:val="single" w:color="auto" w:sz="6" w:space="0"/>
              <w:right w:val="single" w:color="auto" w:sz="6" w:space="0"/>
            </w:tcBorders>
            <w:noWrap w:val="0"/>
            <w:vAlign w:val="center"/>
          </w:tcPr>
          <w:p w14:paraId="19912109">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r>
              <w:rPr>
                <w:rFonts w:hint="eastAsia" w:ascii="宋体" w:hAnsi="宋体" w:eastAsia="宋体" w:cs="宋体"/>
                <w:b w:val="0"/>
                <w:bCs/>
                <w:sz w:val="24"/>
              </w:rPr>
              <w:t>内容</w:t>
            </w:r>
          </w:p>
        </w:tc>
        <w:tc>
          <w:tcPr>
            <w:tcW w:w="2684" w:type="dxa"/>
            <w:tcBorders>
              <w:top w:val="single" w:color="auto" w:sz="6" w:space="0"/>
              <w:left w:val="single" w:color="auto" w:sz="6" w:space="0"/>
              <w:bottom w:val="single" w:color="auto" w:sz="6" w:space="0"/>
              <w:right w:val="single" w:color="auto" w:sz="6" w:space="0"/>
            </w:tcBorders>
            <w:noWrap w:val="0"/>
            <w:vAlign w:val="center"/>
          </w:tcPr>
          <w:p w14:paraId="6520FFF2">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r>
              <w:rPr>
                <w:rFonts w:hint="eastAsia" w:ascii="宋体" w:hAnsi="宋体" w:eastAsia="宋体" w:cs="宋体"/>
                <w:b w:val="0"/>
                <w:bCs/>
                <w:sz w:val="24"/>
              </w:rPr>
              <w:t>招标文件规范要求</w:t>
            </w:r>
          </w:p>
        </w:tc>
        <w:tc>
          <w:tcPr>
            <w:tcW w:w="3216" w:type="dxa"/>
            <w:tcBorders>
              <w:top w:val="single" w:color="auto" w:sz="6" w:space="0"/>
              <w:left w:val="single" w:color="auto" w:sz="6" w:space="0"/>
              <w:bottom w:val="single" w:color="auto" w:sz="6" w:space="0"/>
              <w:right w:val="single" w:color="auto" w:sz="6" w:space="0"/>
            </w:tcBorders>
            <w:noWrap w:val="0"/>
            <w:vAlign w:val="center"/>
          </w:tcPr>
          <w:p w14:paraId="5D6ED87F">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r>
              <w:rPr>
                <w:rFonts w:hint="eastAsia" w:ascii="宋体" w:hAnsi="宋体" w:eastAsia="宋体" w:cs="宋体"/>
                <w:b w:val="0"/>
                <w:bCs/>
                <w:sz w:val="24"/>
                <w:lang w:val="en-US" w:eastAsia="zh-CN"/>
              </w:rPr>
              <w:t>投标</w:t>
            </w:r>
            <w:r>
              <w:rPr>
                <w:rFonts w:hint="eastAsia" w:ascii="宋体" w:hAnsi="宋体" w:eastAsia="宋体" w:cs="宋体"/>
                <w:b w:val="0"/>
                <w:bCs/>
                <w:sz w:val="24"/>
              </w:rPr>
              <w:t>响应文件对应规范</w:t>
            </w:r>
          </w:p>
        </w:tc>
        <w:tc>
          <w:tcPr>
            <w:tcW w:w="1292" w:type="dxa"/>
            <w:tcBorders>
              <w:top w:val="single" w:color="auto" w:sz="6" w:space="0"/>
              <w:left w:val="single" w:color="auto" w:sz="6" w:space="0"/>
              <w:bottom w:val="single" w:color="auto" w:sz="6" w:space="0"/>
              <w:right w:val="single" w:color="auto" w:sz="6" w:space="0"/>
            </w:tcBorders>
            <w:noWrap w:val="0"/>
            <w:vAlign w:val="center"/>
          </w:tcPr>
          <w:p w14:paraId="1CD45257">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r>
              <w:rPr>
                <w:rFonts w:hint="eastAsia" w:ascii="宋体" w:hAnsi="宋体" w:eastAsia="宋体" w:cs="宋体"/>
                <w:b w:val="0"/>
                <w:bCs/>
                <w:sz w:val="24"/>
              </w:rPr>
              <w:t>备 注</w:t>
            </w:r>
          </w:p>
        </w:tc>
      </w:tr>
      <w:tr w14:paraId="30E601B4">
        <w:tblPrEx>
          <w:tblCellMar>
            <w:top w:w="0" w:type="dxa"/>
            <w:left w:w="108" w:type="dxa"/>
            <w:bottom w:w="0" w:type="dxa"/>
            <w:right w:w="108" w:type="dxa"/>
          </w:tblCellMar>
        </w:tblPrEx>
        <w:trPr>
          <w:trHeight w:val="424" w:hRule="atLeast"/>
          <w:jc w:val="center"/>
        </w:trPr>
        <w:tc>
          <w:tcPr>
            <w:tcW w:w="900" w:type="dxa"/>
            <w:tcBorders>
              <w:top w:val="single" w:color="auto" w:sz="6" w:space="0"/>
              <w:left w:val="single" w:color="auto" w:sz="6" w:space="0"/>
              <w:bottom w:val="single" w:color="auto" w:sz="6" w:space="0"/>
              <w:right w:val="single" w:color="auto" w:sz="6" w:space="0"/>
            </w:tcBorders>
            <w:noWrap w:val="0"/>
            <w:vAlign w:val="top"/>
          </w:tcPr>
          <w:p w14:paraId="66DDFC5A">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508" w:type="dxa"/>
            <w:tcBorders>
              <w:top w:val="single" w:color="auto" w:sz="6" w:space="0"/>
              <w:left w:val="single" w:color="auto" w:sz="6" w:space="0"/>
              <w:bottom w:val="single" w:color="auto" w:sz="6" w:space="0"/>
              <w:right w:val="single" w:color="auto" w:sz="6" w:space="0"/>
            </w:tcBorders>
            <w:noWrap w:val="0"/>
            <w:vAlign w:val="top"/>
          </w:tcPr>
          <w:p w14:paraId="47A70243">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2684" w:type="dxa"/>
            <w:tcBorders>
              <w:top w:val="single" w:color="auto" w:sz="6" w:space="0"/>
              <w:left w:val="single" w:color="auto" w:sz="6" w:space="0"/>
              <w:bottom w:val="single" w:color="auto" w:sz="6" w:space="0"/>
              <w:right w:val="single" w:color="auto" w:sz="6" w:space="0"/>
            </w:tcBorders>
            <w:noWrap w:val="0"/>
            <w:vAlign w:val="top"/>
          </w:tcPr>
          <w:p w14:paraId="36BB6964">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3216" w:type="dxa"/>
            <w:tcBorders>
              <w:top w:val="single" w:color="auto" w:sz="6" w:space="0"/>
              <w:left w:val="single" w:color="auto" w:sz="6" w:space="0"/>
              <w:bottom w:val="single" w:color="auto" w:sz="6" w:space="0"/>
              <w:right w:val="single" w:color="auto" w:sz="6" w:space="0"/>
            </w:tcBorders>
            <w:noWrap w:val="0"/>
            <w:vAlign w:val="top"/>
          </w:tcPr>
          <w:p w14:paraId="0F8BD01F">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292" w:type="dxa"/>
            <w:tcBorders>
              <w:top w:val="single" w:color="auto" w:sz="6" w:space="0"/>
              <w:left w:val="single" w:color="auto" w:sz="6" w:space="0"/>
              <w:bottom w:val="single" w:color="auto" w:sz="6" w:space="0"/>
              <w:right w:val="single" w:color="auto" w:sz="6" w:space="0"/>
            </w:tcBorders>
            <w:noWrap w:val="0"/>
            <w:vAlign w:val="top"/>
          </w:tcPr>
          <w:p w14:paraId="2B90C146">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r>
      <w:tr w14:paraId="1F7C7970">
        <w:tblPrEx>
          <w:tblCellMar>
            <w:top w:w="0" w:type="dxa"/>
            <w:left w:w="108" w:type="dxa"/>
            <w:bottom w:w="0" w:type="dxa"/>
            <w:right w:w="108" w:type="dxa"/>
          </w:tblCellMar>
        </w:tblPrEx>
        <w:trPr>
          <w:trHeight w:val="424" w:hRule="atLeast"/>
          <w:jc w:val="center"/>
        </w:trPr>
        <w:tc>
          <w:tcPr>
            <w:tcW w:w="900" w:type="dxa"/>
            <w:tcBorders>
              <w:top w:val="single" w:color="auto" w:sz="6" w:space="0"/>
              <w:left w:val="single" w:color="auto" w:sz="6" w:space="0"/>
              <w:bottom w:val="single" w:color="auto" w:sz="6" w:space="0"/>
              <w:right w:val="single" w:color="auto" w:sz="6" w:space="0"/>
            </w:tcBorders>
            <w:noWrap w:val="0"/>
            <w:vAlign w:val="top"/>
          </w:tcPr>
          <w:p w14:paraId="4FA0E1BF">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508" w:type="dxa"/>
            <w:tcBorders>
              <w:top w:val="single" w:color="auto" w:sz="6" w:space="0"/>
              <w:left w:val="single" w:color="auto" w:sz="6" w:space="0"/>
              <w:bottom w:val="single" w:color="auto" w:sz="6" w:space="0"/>
              <w:right w:val="single" w:color="auto" w:sz="6" w:space="0"/>
            </w:tcBorders>
            <w:noWrap w:val="0"/>
            <w:vAlign w:val="top"/>
          </w:tcPr>
          <w:p w14:paraId="26AD792D">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2684" w:type="dxa"/>
            <w:tcBorders>
              <w:top w:val="single" w:color="auto" w:sz="6" w:space="0"/>
              <w:left w:val="single" w:color="auto" w:sz="6" w:space="0"/>
              <w:bottom w:val="single" w:color="auto" w:sz="6" w:space="0"/>
              <w:right w:val="single" w:color="auto" w:sz="6" w:space="0"/>
            </w:tcBorders>
            <w:noWrap w:val="0"/>
            <w:vAlign w:val="top"/>
          </w:tcPr>
          <w:p w14:paraId="78E874A9">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3216" w:type="dxa"/>
            <w:tcBorders>
              <w:top w:val="single" w:color="auto" w:sz="6" w:space="0"/>
              <w:left w:val="single" w:color="auto" w:sz="6" w:space="0"/>
              <w:bottom w:val="single" w:color="auto" w:sz="6" w:space="0"/>
              <w:right w:val="single" w:color="auto" w:sz="6" w:space="0"/>
            </w:tcBorders>
            <w:noWrap w:val="0"/>
            <w:vAlign w:val="top"/>
          </w:tcPr>
          <w:p w14:paraId="5627435D">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292" w:type="dxa"/>
            <w:tcBorders>
              <w:top w:val="single" w:color="auto" w:sz="6" w:space="0"/>
              <w:left w:val="single" w:color="auto" w:sz="6" w:space="0"/>
              <w:bottom w:val="single" w:color="auto" w:sz="6" w:space="0"/>
              <w:right w:val="single" w:color="auto" w:sz="6" w:space="0"/>
            </w:tcBorders>
            <w:noWrap w:val="0"/>
            <w:vAlign w:val="top"/>
          </w:tcPr>
          <w:p w14:paraId="0C261A8E">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r>
      <w:tr w14:paraId="472E450E">
        <w:tblPrEx>
          <w:tblCellMar>
            <w:top w:w="0" w:type="dxa"/>
            <w:left w:w="108" w:type="dxa"/>
            <w:bottom w:w="0" w:type="dxa"/>
            <w:right w:w="108" w:type="dxa"/>
          </w:tblCellMar>
        </w:tblPrEx>
        <w:trPr>
          <w:trHeight w:val="424" w:hRule="atLeast"/>
          <w:jc w:val="center"/>
        </w:trPr>
        <w:tc>
          <w:tcPr>
            <w:tcW w:w="900" w:type="dxa"/>
            <w:tcBorders>
              <w:top w:val="single" w:color="auto" w:sz="6" w:space="0"/>
              <w:left w:val="single" w:color="auto" w:sz="6" w:space="0"/>
              <w:bottom w:val="single" w:color="auto" w:sz="6" w:space="0"/>
              <w:right w:val="single" w:color="auto" w:sz="6" w:space="0"/>
            </w:tcBorders>
            <w:noWrap w:val="0"/>
            <w:vAlign w:val="top"/>
          </w:tcPr>
          <w:p w14:paraId="7641AEB4">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508" w:type="dxa"/>
            <w:tcBorders>
              <w:top w:val="single" w:color="auto" w:sz="6" w:space="0"/>
              <w:left w:val="single" w:color="auto" w:sz="6" w:space="0"/>
              <w:bottom w:val="single" w:color="auto" w:sz="6" w:space="0"/>
              <w:right w:val="single" w:color="auto" w:sz="6" w:space="0"/>
            </w:tcBorders>
            <w:noWrap w:val="0"/>
            <w:vAlign w:val="top"/>
          </w:tcPr>
          <w:p w14:paraId="701E5F69">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2684" w:type="dxa"/>
            <w:tcBorders>
              <w:top w:val="single" w:color="auto" w:sz="6" w:space="0"/>
              <w:left w:val="single" w:color="auto" w:sz="6" w:space="0"/>
              <w:bottom w:val="single" w:color="auto" w:sz="6" w:space="0"/>
              <w:right w:val="single" w:color="auto" w:sz="6" w:space="0"/>
            </w:tcBorders>
            <w:noWrap w:val="0"/>
            <w:vAlign w:val="top"/>
          </w:tcPr>
          <w:p w14:paraId="5B016C51">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3216" w:type="dxa"/>
            <w:tcBorders>
              <w:top w:val="single" w:color="auto" w:sz="6" w:space="0"/>
              <w:left w:val="single" w:color="auto" w:sz="6" w:space="0"/>
              <w:bottom w:val="single" w:color="auto" w:sz="6" w:space="0"/>
              <w:right w:val="single" w:color="auto" w:sz="6" w:space="0"/>
            </w:tcBorders>
            <w:noWrap w:val="0"/>
            <w:vAlign w:val="top"/>
          </w:tcPr>
          <w:p w14:paraId="3AF85A76">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292" w:type="dxa"/>
            <w:tcBorders>
              <w:top w:val="single" w:color="auto" w:sz="6" w:space="0"/>
              <w:left w:val="single" w:color="auto" w:sz="6" w:space="0"/>
              <w:bottom w:val="single" w:color="auto" w:sz="6" w:space="0"/>
              <w:right w:val="single" w:color="auto" w:sz="6" w:space="0"/>
            </w:tcBorders>
            <w:noWrap w:val="0"/>
            <w:vAlign w:val="top"/>
          </w:tcPr>
          <w:p w14:paraId="1BDA0353">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r>
      <w:tr w14:paraId="15156EE9">
        <w:tblPrEx>
          <w:tblCellMar>
            <w:top w:w="0" w:type="dxa"/>
            <w:left w:w="108" w:type="dxa"/>
            <w:bottom w:w="0" w:type="dxa"/>
            <w:right w:w="108" w:type="dxa"/>
          </w:tblCellMar>
        </w:tblPrEx>
        <w:trPr>
          <w:trHeight w:val="436" w:hRule="atLeast"/>
          <w:jc w:val="center"/>
        </w:trPr>
        <w:tc>
          <w:tcPr>
            <w:tcW w:w="900" w:type="dxa"/>
            <w:tcBorders>
              <w:top w:val="single" w:color="auto" w:sz="6" w:space="0"/>
              <w:left w:val="single" w:color="auto" w:sz="6" w:space="0"/>
              <w:bottom w:val="single" w:color="auto" w:sz="6" w:space="0"/>
              <w:right w:val="single" w:color="auto" w:sz="6" w:space="0"/>
            </w:tcBorders>
            <w:noWrap w:val="0"/>
            <w:vAlign w:val="top"/>
          </w:tcPr>
          <w:p w14:paraId="544EAF8A">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508" w:type="dxa"/>
            <w:tcBorders>
              <w:top w:val="single" w:color="auto" w:sz="6" w:space="0"/>
              <w:left w:val="single" w:color="auto" w:sz="6" w:space="0"/>
              <w:bottom w:val="single" w:color="auto" w:sz="6" w:space="0"/>
              <w:right w:val="single" w:color="auto" w:sz="6" w:space="0"/>
            </w:tcBorders>
            <w:noWrap w:val="0"/>
            <w:vAlign w:val="top"/>
          </w:tcPr>
          <w:p w14:paraId="49D41893">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2684" w:type="dxa"/>
            <w:tcBorders>
              <w:top w:val="single" w:color="auto" w:sz="6" w:space="0"/>
              <w:left w:val="single" w:color="auto" w:sz="6" w:space="0"/>
              <w:bottom w:val="single" w:color="auto" w:sz="6" w:space="0"/>
              <w:right w:val="single" w:color="auto" w:sz="6" w:space="0"/>
            </w:tcBorders>
            <w:noWrap w:val="0"/>
            <w:vAlign w:val="top"/>
          </w:tcPr>
          <w:p w14:paraId="1E12C87F">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3216" w:type="dxa"/>
            <w:tcBorders>
              <w:top w:val="single" w:color="auto" w:sz="6" w:space="0"/>
              <w:left w:val="single" w:color="auto" w:sz="6" w:space="0"/>
              <w:bottom w:val="single" w:color="auto" w:sz="6" w:space="0"/>
              <w:right w:val="single" w:color="auto" w:sz="6" w:space="0"/>
            </w:tcBorders>
            <w:noWrap w:val="0"/>
            <w:vAlign w:val="top"/>
          </w:tcPr>
          <w:p w14:paraId="57073124">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292" w:type="dxa"/>
            <w:tcBorders>
              <w:top w:val="single" w:color="auto" w:sz="6" w:space="0"/>
              <w:left w:val="single" w:color="auto" w:sz="6" w:space="0"/>
              <w:bottom w:val="single" w:color="auto" w:sz="6" w:space="0"/>
              <w:right w:val="single" w:color="auto" w:sz="6" w:space="0"/>
            </w:tcBorders>
            <w:noWrap w:val="0"/>
            <w:vAlign w:val="top"/>
          </w:tcPr>
          <w:p w14:paraId="17621DE0">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r>
      <w:tr w14:paraId="38C2EA92">
        <w:tblPrEx>
          <w:tblCellMar>
            <w:top w:w="0" w:type="dxa"/>
            <w:left w:w="108" w:type="dxa"/>
            <w:bottom w:w="0" w:type="dxa"/>
            <w:right w:w="108" w:type="dxa"/>
          </w:tblCellMar>
        </w:tblPrEx>
        <w:trPr>
          <w:trHeight w:val="424" w:hRule="atLeast"/>
          <w:jc w:val="center"/>
        </w:trPr>
        <w:tc>
          <w:tcPr>
            <w:tcW w:w="900" w:type="dxa"/>
            <w:tcBorders>
              <w:top w:val="single" w:color="auto" w:sz="6" w:space="0"/>
              <w:left w:val="single" w:color="auto" w:sz="6" w:space="0"/>
              <w:bottom w:val="single" w:color="auto" w:sz="6" w:space="0"/>
              <w:right w:val="single" w:color="auto" w:sz="6" w:space="0"/>
            </w:tcBorders>
            <w:noWrap w:val="0"/>
            <w:vAlign w:val="top"/>
          </w:tcPr>
          <w:p w14:paraId="1148339A">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508" w:type="dxa"/>
            <w:tcBorders>
              <w:top w:val="single" w:color="auto" w:sz="6" w:space="0"/>
              <w:left w:val="single" w:color="auto" w:sz="6" w:space="0"/>
              <w:bottom w:val="single" w:color="auto" w:sz="6" w:space="0"/>
              <w:right w:val="single" w:color="auto" w:sz="6" w:space="0"/>
            </w:tcBorders>
            <w:noWrap w:val="0"/>
            <w:vAlign w:val="top"/>
          </w:tcPr>
          <w:p w14:paraId="384B8981">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2684" w:type="dxa"/>
            <w:tcBorders>
              <w:top w:val="single" w:color="auto" w:sz="6" w:space="0"/>
              <w:left w:val="single" w:color="auto" w:sz="6" w:space="0"/>
              <w:bottom w:val="single" w:color="auto" w:sz="6" w:space="0"/>
              <w:right w:val="single" w:color="auto" w:sz="6" w:space="0"/>
            </w:tcBorders>
            <w:noWrap w:val="0"/>
            <w:vAlign w:val="top"/>
          </w:tcPr>
          <w:p w14:paraId="1E04A77D">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3216" w:type="dxa"/>
            <w:tcBorders>
              <w:top w:val="single" w:color="auto" w:sz="6" w:space="0"/>
              <w:left w:val="single" w:color="auto" w:sz="6" w:space="0"/>
              <w:bottom w:val="single" w:color="auto" w:sz="6" w:space="0"/>
              <w:right w:val="single" w:color="auto" w:sz="6" w:space="0"/>
            </w:tcBorders>
            <w:noWrap w:val="0"/>
            <w:vAlign w:val="top"/>
          </w:tcPr>
          <w:p w14:paraId="088B7AFF">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292" w:type="dxa"/>
            <w:tcBorders>
              <w:top w:val="single" w:color="auto" w:sz="6" w:space="0"/>
              <w:left w:val="single" w:color="auto" w:sz="6" w:space="0"/>
              <w:bottom w:val="single" w:color="auto" w:sz="6" w:space="0"/>
              <w:right w:val="single" w:color="auto" w:sz="6" w:space="0"/>
            </w:tcBorders>
            <w:noWrap w:val="0"/>
            <w:vAlign w:val="top"/>
          </w:tcPr>
          <w:p w14:paraId="26A5053D">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r>
      <w:tr w14:paraId="0573EBAA">
        <w:tblPrEx>
          <w:tblCellMar>
            <w:top w:w="0" w:type="dxa"/>
            <w:left w:w="108" w:type="dxa"/>
            <w:bottom w:w="0" w:type="dxa"/>
            <w:right w:w="108" w:type="dxa"/>
          </w:tblCellMar>
        </w:tblPrEx>
        <w:trPr>
          <w:trHeight w:val="424" w:hRule="atLeast"/>
          <w:jc w:val="center"/>
        </w:trPr>
        <w:tc>
          <w:tcPr>
            <w:tcW w:w="900" w:type="dxa"/>
            <w:tcBorders>
              <w:top w:val="single" w:color="auto" w:sz="6" w:space="0"/>
              <w:left w:val="single" w:color="auto" w:sz="6" w:space="0"/>
              <w:bottom w:val="single" w:color="auto" w:sz="6" w:space="0"/>
              <w:right w:val="single" w:color="auto" w:sz="6" w:space="0"/>
            </w:tcBorders>
            <w:noWrap w:val="0"/>
            <w:vAlign w:val="top"/>
          </w:tcPr>
          <w:p w14:paraId="0AAEBEB2">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508" w:type="dxa"/>
            <w:tcBorders>
              <w:top w:val="single" w:color="auto" w:sz="6" w:space="0"/>
              <w:left w:val="single" w:color="auto" w:sz="6" w:space="0"/>
              <w:bottom w:val="single" w:color="auto" w:sz="6" w:space="0"/>
              <w:right w:val="single" w:color="auto" w:sz="6" w:space="0"/>
            </w:tcBorders>
            <w:noWrap w:val="0"/>
            <w:vAlign w:val="top"/>
          </w:tcPr>
          <w:p w14:paraId="00E91948">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2684" w:type="dxa"/>
            <w:tcBorders>
              <w:top w:val="single" w:color="auto" w:sz="6" w:space="0"/>
              <w:left w:val="single" w:color="auto" w:sz="6" w:space="0"/>
              <w:bottom w:val="single" w:color="auto" w:sz="6" w:space="0"/>
              <w:right w:val="single" w:color="auto" w:sz="6" w:space="0"/>
            </w:tcBorders>
            <w:noWrap w:val="0"/>
            <w:vAlign w:val="top"/>
          </w:tcPr>
          <w:p w14:paraId="46CA331F">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3216" w:type="dxa"/>
            <w:tcBorders>
              <w:top w:val="single" w:color="auto" w:sz="6" w:space="0"/>
              <w:left w:val="single" w:color="auto" w:sz="6" w:space="0"/>
              <w:bottom w:val="single" w:color="auto" w:sz="6" w:space="0"/>
              <w:right w:val="single" w:color="auto" w:sz="6" w:space="0"/>
            </w:tcBorders>
            <w:noWrap w:val="0"/>
            <w:vAlign w:val="top"/>
          </w:tcPr>
          <w:p w14:paraId="14472D18">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292" w:type="dxa"/>
            <w:tcBorders>
              <w:top w:val="single" w:color="auto" w:sz="6" w:space="0"/>
              <w:left w:val="single" w:color="auto" w:sz="6" w:space="0"/>
              <w:bottom w:val="single" w:color="auto" w:sz="6" w:space="0"/>
              <w:right w:val="single" w:color="auto" w:sz="6" w:space="0"/>
            </w:tcBorders>
            <w:noWrap w:val="0"/>
            <w:vAlign w:val="top"/>
          </w:tcPr>
          <w:p w14:paraId="52170329">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r>
    </w:tbl>
    <w:p w14:paraId="001E0D82">
      <w:pPr>
        <w:pStyle w:val="13"/>
        <w:pageBreakBefore w:val="0"/>
        <w:kinsoku/>
        <w:wordWrap/>
        <w:overflowPunct/>
        <w:topLinePunct w:val="0"/>
        <w:bidi w:val="0"/>
        <w:adjustRightInd w:val="0"/>
        <w:snapToGrid w:val="0"/>
        <w:spacing w:line="400" w:lineRule="exact"/>
        <w:ind w:firstLine="315" w:firstLineChars="150"/>
        <w:jc w:val="both"/>
        <w:rPr>
          <w:rFonts w:hint="eastAsia" w:ascii="宋体" w:hAnsi="宋体" w:eastAsia="宋体" w:cs="宋体"/>
          <w:b w:val="0"/>
          <w:bCs/>
        </w:rPr>
      </w:pPr>
      <w:r>
        <w:rPr>
          <w:rFonts w:hint="eastAsia" w:ascii="宋体" w:hAnsi="宋体" w:eastAsia="宋体" w:cs="宋体"/>
          <w:b w:val="0"/>
          <w:bCs/>
          <w:iCs/>
        </w:rPr>
        <w:t>注：供应商须如实填写上表，</w:t>
      </w:r>
      <w:r>
        <w:rPr>
          <w:rFonts w:hint="eastAsia" w:ascii="宋体" w:hAnsi="宋体" w:eastAsia="宋体" w:cs="宋体"/>
          <w:b w:val="0"/>
          <w:bCs/>
        </w:rPr>
        <w:t>没有填写此表或未提供视为完全响应招标文件要求。</w:t>
      </w:r>
    </w:p>
    <w:p w14:paraId="3A36341B">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p w14:paraId="68AB2163">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r>
        <w:rPr>
          <w:rFonts w:hint="eastAsia" w:ascii="宋体" w:hAnsi="宋体" w:eastAsia="宋体" w:cs="宋体"/>
          <w:b w:val="0"/>
          <w:bCs/>
          <w:sz w:val="24"/>
        </w:rPr>
        <w:t>供应商电子签章（电子公章）：</w:t>
      </w:r>
    </w:p>
    <w:p w14:paraId="70B6A2AD">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36"/>
          <w:szCs w:val="36"/>
        </w:rPr>
      </w:pPr>
    </w:p>
    <w:p w14:paraId="124883D2">
      <w:pPr>
        <w:pStyle w:val="13"/>
        <w:pageBreakBefore w:val="0"/>
        <w:kinsoku/>
        <w:wordWrap/>
        <w:overflowPunct/>
        <w:topLinePunct w:val="0"/>
        <w:bidi w:val="0"/>
        <w:adjustRightInd w:val="0"/>
        <w:snapToGrid w:val="0"/>
        <w:spacing w:line="400" w:lineRule="exact"/>
        <w:jc w:val="both"/>
        <w:rPr>
          <w:rFonts w:hint="eastAsia" w:ascii="宋体" w:hAnsi="宋体" w:eastAsia="宋体" w:cs="宋体"/>
          <w:sz w:val="36"/>
          <w:szCs w:val="36"/>
        </w:rPr>
      </w:pPr>
    </w:p>
    <w:p w14:paraId="0E8903C5">
      <w:pPr>
        <w:pStyle w:val="13"/>
        <w:pageBreakBefore w:val="0"/>
        <w:kinsoku/>
        <w:wordWrap/>
        <w:overflowPunct/>
        <w:topLinePunct w:val="0"/>
        <w:bidi w:val="0"/>
        <w:adjustRightInd w:val="0"/>
        <w:snapToGrid w:val="0"/>
        <w:spacing w:line="400" w:lineRule="exact"/>
        <w:ind w:firstLine="3600" w:firstLineChars="1000"/>
        <w:jc w:val="both"/>
        <w:rPr>
          <w:rFonts w:hint="eastAsia" w:ascii="宋体" w:hAnsi="宋体" w:eastAsia="宋体" w:cs="宋体"/>
          <w:sz w:val="36"/>
          <w:szCs w:val="36"/>
        </w:rPr>
      </w:pPr>
      <w:r>
        <w:rPr>
          <w:rFonts w:hint="eastAsia" w:ascii="宋体" w:hAnsi="宋体" w:eastAsia="宋体" w:cs="宋体"/>
          <w:sz w:val="36"/>
          <w:szCs w:val="36"/>
        </w:rPr>
        <w:t>技术偏离表</w:t>
      </w:r>
    </w:p>
    <w:tbl>
      <w:tblPr>
        <w:tblStyle w:val="23"/>
        <w:tblW w:w="0" w:type="auto"/>
        <w:jc w:val="center"/>
        <w:tblLayout w:type="fixed"/>
        <w:tblCellMar>
          <w:top w:w="0" w:type="dxa"/>
          <w:left w:w="108" w:type="dxa"/>
          <w:bottom w:w="0" w:type="dxa"/>
          <w:right w:w="108" w:type="dxa"/>
        </w:tblCellMar>
      </w:tblPr>
      <w:tblGrid>
        <w:gridCol w:w="896"/>
        <w:gridCol w:w="1502"/>
        <w:gridCol w:w="2716"/>
        <w:gridCol w:w="3200"/>
        <w:gridCol w:w="1298"/>
      </w:tblGrid>
      <w:tr w14:paraId="5E73869D">
        <w:tblPrEx>
          <w:tblCellMar>
            <w:top w:w="0" w:type="dxa"/>
            <w:left w:w="108" w:type="dxa"/>
            <w:bottom w:w="0" w:type="dxa"/>
            <w:right w:w="108" w:type="dxa"/>
          </w:tblCellMar>
        </w:tblPrEx>
        <w:trPr>
          <w:trHeight w:val="918" w:hRule="atLeast"/>
          <w:jc w:val="center"/>
        </w:trPr>
        <w:tc>
          <w:tcPr>
            <w:tcW w:w="896" w:type="dxa"/>
            <w:tcBorders>
              <w:top w:val="single" w:color="auto" w:sz="6" w:space="0"/>
              <w:left w:val="single" w:color="auto" w:sz="6" w:space="0"/>
              <w:bottom w:val="single" w:color="auto" w:sz="6" w:space="0"/>
              <w:right w:val="single" w:color="auto" w:sz="6" w:space="0"/>
            </w:tcBorders>
            <w:noWrap w:val="0"/>
            <w:vAlign w:val="center"/>
          </w:tcPr>
          <w:p w14:paraId="4D68FE3A">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r>
              <w:rPr>
                <w:rFonts w:hint="eastAsia" w:ascii="宋体" w:hAnsi="宋体" w:eastAsia="宋体" w:cs="宋体"/>
                <w:b w:val="0"/>
                <w:bCs/>
                <w:sz w:val="24"/>
              </w:rPr>
              <w:t>序 号</w:t>
            </w:r>
          </w:p>
        </w:tc>
        <w:tc>
          <w:tcPr>
            <w:tcW w:w="1502" w:type="dxa"/>
            <w:tcBorders>
              <w:top w:val="single" w:color="auto" w:sz="6" w:space="0"/>
              <w:left w:val="single" w:color="auto" w:sz="6" w:space="0"/>
              <w:bottom w:val="single" w:color="auto" w:sz="6" w:space="0"/>
              <w:right w:val="single" w:color="auto" w:sz="6" w:space="0"/>
            </w:tcBorders>
            <w:noWrap w:val="0"/>
            <w:vAlign w:val="center"/>
          </w:tcPr>
          <w:p w14:paraId="28DA7CE9">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r>
              <w:rPr>
                <w:rFonts w:hint="eastAsia" w:ascii="宋体" w:hAnsi="宋体" w:eastAsia="宋体" w:cs="宋体"/>
                <w:b w:val="0"/>
                <w:bCs/>
                <w:sz w:val="24"/>
              </w:rPr>
              <w:t>内容</w:t>
            </w:r>
          </w:p>
        </w:tc>
        <w:tc>
          <w:tcPr>
            <w:tcW w:w="2716" w:type="dxa"/>
            <w:tcBorders>
              <w:top w:val="single" w:color="auto" w:sz="6" w:space="0"/>
              <w:left w:val="single" w:color="auto" w:sz="6" w:space="0"/>
              <w:bottom w:val="single" w:color="auto" w:sz="6" w:space="0"/>
              <w:right w:val="single" w:color="auto" w:sz="6" w:space="0"/>
            </w:tcBorders>
            <w:noWrap w:val="0"/>
            <w:vAlign w:val="center"/>
          </w:tcPr>
          <w:p w14:paraId="32AB6DE2">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r>
              <w:rPr>
                <w:rFonts w:hint="eastAsia" w:ascii="宋体" w:hAnsi="宋体" w:eastAsia="宋体" w:cs="宋体"/>
                <w:b w:val="0"/>
                <w:bCs/>
                <w:sz w:val="24"/>
              </w:rPr>
              <w:t>招标文件规范要求</w:t>
            </w:r>
          </w:p>
        </w:tc>
        <w:tc>
          <w:tcPr>
            <w:tcW w:w="3200" w:type="dxa"/>
            <w:tcBorders>
              <w:top w:val="single" w:color="auto" w:sz="6" w:space="0"/>
              <w:left w:val="single" w:color="auto" w:sz="6" w:space="0"/>
              <w:bottom w:val="single" w:color="auto" w:sz="6" w:space="0"/>
              <w:right w:val="single" w:color="auto" w:sz="6" w:space="0"/>
            </w:tcBorders>
            <w:noWrap w:val="0"/>
            <w:vAlign w:val="center"/>
          </w:tcPr>
          <w:p w14:paraId="3AB93F38">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r>
              <w:rPr>
                <w:rFonts w:hint="eastAsia" w:ascii="宋体" w:hAnsi="宋体" w:eastAsia="宋体" w:cs="宋体"/>
                <w:b w:val="0"/>
                <w:bCs/>
                <w:sz w:val="24"/>
                <w:lang w:val="en-US" w:eastAsia="zh-CN"/>
              </w:rPr>
              <w:t>投标</w:t>
            </w:r>
            <w:r>
              <w:rPr>
                <w:rFonts w:hint="eastAsia" w:ascii="宋体" w:hAnsi="宋体" w:eastAsia="宋体" w:cs="宋体"/>
                <w:b w:val="0"/>
                <w:bCs/>
                <w:sz w:val="24"/>
              </w:rPr>
              <w:t>响应文件对应规范</w:t>
            </w:r>
          </w:p>
        </w:tc>
        <w:tc>
          <w:tcPr>
            <w:tcW w:w="1298" w:type="dxa"/>
            <w:tcBorders>
              <w:top w:val="single" w:color="auto" w:sz="6" w:space="0"/>
              <w:left w:val="single" w:color="auto" w:sz="6" w:space="0"/>
              <w:bottom w:val="single" w:color="auto" w:sz="6" w:space="0"/>
              <w:right w:val="single" w:color="auto" w:sz="6" w:space="0"/>
            </w:tcBorders>
            <w:noWrap w:val="0"/>
            <w:vAlign w:val="center"/>
          </w:tcPr>
          <w:p w14:paraId="0DFAC4E3">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r>
              <w:rPr>
                <w:rFonts w:hint="eastAsia" w:ascii="宋体" w:hAnsi="宋体" w:eastAsia="宋体" w:cs="宋体"/>
                <w:b w:val="0"/>
                <w:bCs/>
                <w:sz w:val="24"/>
              </w:rPr>
              <w:t>备 注</w:t>
            </w:r>
          </w:p>
        </w:tc>
      </w:tr>
      <w:tr w14:paraId="7A9CC6E8">
        <w:tblPrEx>
          <w:tblCellMar>
            <w:top w:w="0" w:type="dxa"/>
            <w:left w:w="108" w:type="dxa"/>
            <w:bottom w:w="0" w:type="dxa"/>
            <w:right w:w="108" w:type="dxa"/>
          </w:tblCellMar>
        </w:tblPrEx>
        <w:trPr>
          <w:jc w:val="center"/>
        </w:trPr>
        <w:tc>
          <w:tcPr>
            <w:tcW w:w="896" w:type="dxa"/>
            <w:tcBorders>
              <w:top w:val="single" w:color="auto" w:sz="6" w:space="0"/>
              <w:left w:val="single" w:color="auto" w:sz="6" w:space="0"/>
              <w:bottom w:val="single" w:color="auto" w:sz="6" w:space="0"/>
              <w:right w:val="single" w:color="auto" w:sz="6" w:space="0"/>
            </w:tcBorders>
            <w:noWrap w:val="0"/>
            <w:vAlign w:val="top"/>
          </w:tcPr>
          <w:p w14:paraId="7760B2E2">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502" w:type="dxa"/>
            <w:tcBorders>
              <w:top w:val="single" w:color="auto" w:sz="6" w:space="0"/>
              <w:left w:val="single" w:color="auto" w:sz="6" w:space="0"/>
              <w:bottom w:val="single" w:color="auto" w:sz="6" w:space="0"/>
              <w:right w:val="single" w:color="auto" w:sz="6" w:space="0"/>
            </w:tcBorders>
            <w:noWrap w:val="0"/>
            <w:vAlign w:val="top"/>
          </w:tcPr>
          <w:p w14:paraId="091E8280">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2716" w:type="dxa"/>
            <w:tcBorders>
              <w:top w:val="single" w:color="auto" w:sz="6" w:space="0"/>
              <w:left w:val="single" w:color="auto" w:sz="6" w:space="0"/>
              <w:bottom w:val="single" w:color="auto" w:sz="6" w:space="0"/>
              <w:right w:val="single" w:color="auto" w:sz="6" w:space="0"/>
            </w:tcBorders>
            <w:noWrap w:val="0"/>
            <w:vAlign w:val="top"/>
          </w:tcPr>
          <w:p w14:paraId="58404089">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3200" w:type="dxa"/>
            <w:tcBorders>
              <w:top w:val="single" w:color="auto" w:sz="6" w:space="0"/>
              <w:left w:val="single" w:color="auto" w:sz="6" w:space="0"/>
              <w:bottom w:val="single" w:color="auto" w:sz="6" w:space="0"/>
              <w:right w:val="single" w:color="auto" w:sz="6" w:space="0"/>
            </w:tcBorders>
            <w:noWrap w:val="0"/>
            <w:vAlign w:val="top"/>
          </w:tcPr>
          <w:p w14:paraId="3C21D029">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298" w:type="dxa"/>
            <w:tcBorders>
              <w:top w:val="single" w:color="auto" w:sz="6" w:space="0"/>
              <w:left w:val="single" w:color="auto" w:sz="6" w:space="0"/>
              <w:bottom w:val="single" w:color="auto" w:sz="6" w:space="0"/>
              <w:right w:val="single" w:color="auto" w:sz="6" w:space="0"/>
            </w:tcBorders>
            <w:noWrap w:val="0"/>
            <w:vAlign w:val="top"/>
          </w:tcPr>
          <w:p w14:paraId="7D0DA9FD">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r>
      <w:tr w14:paraId="2B9CFAA6">
        <w:tblPrEx>
          <w:tblCellMar>
            <w:top w:w="0" w:type="dxa"/>
            <w:left w:w="108" w:type="dxa"/>
            <w:bottom w:w="0" w:type="dxa"/>
            <w:right w:w="108" w:type="dxa"/>
          </w:tblCellMar>
        </w:tblPrEx>
        <w:trPr>
          <w:jc w:val="center"/>
        </w:trPr>
        <w:tc>
          <w:tcPr>
            <w:tcW w:w="896" w:type="dxa"/>
            <w:tcBorders>
              <w:top w:val="single" w:color="auto" w:sz="6" w:space="0"/>
              <w:left w:val="single" w:color="auto" w:sz="6" w:space="0"/>
              <w:bottom w:val="single" w:color="auto" w:sz="6" w:space="0"/>
              <w:right w:val="single" w:color="auto" w:sz="6" w:space="0"/>
            </w:tcBorders>
            <w:noWrap w:val="0"/>
            <w:vAlign w:val="top"/>
          </w:tcPr>
          <w:p w14:paraId="30A5FD14">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502" w:type="dxa"/>
            <w:tcBorders>
              <w:top w:val="single" w:color="auto" w:sz="6" w:space="0"/>
              <w:left w:val="single" w:color="auto" w:sz="6" w:space="0"/>
              <w:bottom w:val="single" w:color="auto" w:sz="6" w:space="0"/>
              <w:right w:val="single" w:color="auto" w:sz="6" w:space="0"/>
            </w:tcBorders>
            <w:noWrap w:val="0"/>
            <w:vAlign w:val="top"/>
          </w:tcPr>
          <w:p w14:paraId="7DD061CA">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2716" w:type="dxa"/>
            <w:tcBorders>
              <w:top w:val="single" w:color="auto" w:sz="6" w:space="0"/>
              <w:left w:val="single" w:color="auto" w:sz="6" w:space="0"/>
              <w:bottom w:val="single" w:color="auto" w:sz="6" w:space="0"/>
              <w:right w:val="single" w:color="auto" w:sz="6" w:space="0"/>
            </w:tcBorders>
            <w:noWrap w:val="0"/>
            <w:vAlign w:val="top"/>
          </w:tcPr>
          <w:p w14:paraId="4FED8AAF">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3200" w:type="dxa"/>
            <w:tcBorders>
              <w:top w:val="single" w:color="auto" w:sz="6" w:space="0"/>
              <w:left w:val="single" w:color="auto" w:sz="6" w:space="0"/>
              <w:bottom w:val="single" w:color="auto" w:sz="6" w:space="0"/>
              <w:right w:val="single" w:color="auto" w:sz="6" w:space="0"/>
            </w:tcBorders>
            <w:noWrap w:val="0"/>
            <w:vAlign w:val="top"/>
          </w:tcPr>
          <w:p w14:paraId="0A80F6CC">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298" w:type="dxa"/>
            <w:tcBorders>
              <w:top w:val="single" w:color="auto" w:sz="6" w:space="0"/>
              <w:left w:val="single" w:color="auto" w:sz="6" w:space="0"/>
              <w:bottom w:val="single" w:color="auto" w:sz="6" w:space="0"/>
              <w:right w:val="single" w:color="auto" w:sz="6" w:space="0"/>
            </w:tcBorders>
            <w:noWrap w:val="0"/>
            <w:vAlign w:val="top"/>
          </w:tcPr>
          <w:p w14:paraId="2524C25C">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r>
      <w:tr w14:paraId="4D6C1253">
        <w:tblPrEx>
          <w:tblCellMar>
            <w:top w:w="0" w:type="dxa"/>
            <w:left w:w="108" w:type="dxa"/>
            <w:bottom w:w="0" w:type="dxa"/>
            <w:right w:w="108" w:type="dxa"/>
          </w:tblCellMar>
        </w:tblPrEx>
        <w:trPr>
          <w:jc w:val="center"/>
        </w:trPr>
        <w:tc>
          <w:tcPr>
            <w:tcW w:w="896" w:type="dxa"/>
            <w:tcBorders>
              <w:top w:val="single" w:color="auto" w:sz="6" w:space="0"/>
              <w:left w:val="single" w:color="auto" w:sz="6" w:space="0"/>
              <w:bottom w:val="single" w:color="auto" w:sz="6" w:space="0"/>
              <w:right w:val="single" w:color="auto" w:sz="6" w:space="0"/>
            </w:tcBorders>
            <w:noWrap w:val="0"/>
            <w:vAlign w:val="top"/>
          </w:tcPr>
          <w:p w14:paraId="57CCF6E7">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502" w:type="dxa"/>
            <w:tcBorders>
              <w:top w:val="single" w:color="auto" w:sz="6" w:space="0"/>
              <w:left w:val="single" w:color="auto" w:sz="6" w:space="0"/>
              <w:bottom w:val="single" w:color="auto" w:sz="6" w:space="0"/>
              <w:right w:val="single" w:color="auto" w:sz="6" w:space="0"/>
            </w:tcBorders>
            <w:noWrap w:val="0"/>
            <w:vAlign w:val="top"/>
          </w:tcPr>
          <w:p w14:paraId="24E4D919">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2716" w:type="dxa"/>
            <w:tcBorders>
              <w:top w:val="single" w:color="auto" w:sz="6" w:space="0"/>
              <w:left w:val="single" w:color="auto" w:sz="6" w:space="0"/>
              <w:bottom w:val="single" w:color="auto" w:sz="6" w:space="0"/>
              <w:right w:val="single" w:color="auto" w:sz="6" w:space="0"/>
            </w:tcBorders>
            <w:noWrap w:val="0"/>
            <w:vAlign w:val="top"/>
          </w:tcPr>
          <w:p w14:paraId="4D13FEE8">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3200" w:type="dxa"/>
            <w:tcBorders>
              <w:top w:val="single" w:color="auto" w:sz="6" w:space="0"/>
              <w:left w:val="single" w:color="auto" w:sz="6" w:space="0"/>
              <w:bottom w:val="single" w:color="auto" w:sz="6" w:space="0"/>
              <w:right w:val="single" w:color="auto" w:sz="6" w:space="0"/>
            </w:tcBorders>
            <w:noWrap w:val="0"/>
            <w:vAlign w:val="top"/>
          </w:tcPr>
          <w:p w14:paraId="2976B764">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298" w:type="dxa"/>
            <w:tcBorders>
              <w:top w:val="single" w:color="auto" w:sz="6" w:space="0"/>
              <w:left w:val="single" w:color="auto" w:sz="6" w:space="0"/>
              <w:bottom w:val="single" w:color="auto" w:sz="6" w:space="0"/>
              <w:right w:val="single" w:color="auto" w:sz="6" w:space="0"/>
            </w:tcBorders>
            <w:noWrap w:val="0"/>
            <w:vAlign w:val="top"/>
          </w:tcPr>
          <w:p w14:paraId="2CBC5FB9">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r>
      <w:tr w14:paraId="7FC3F991">
        <w:tblPrEx>
          <w:tblCellMar>
            <w:top w:w="0" w:type="dxa"/>
            <w:left w:w="108" w:type="dxa"/>
            <w:bottom w:w="0" w:type="dxa"/>
            <w:right w:w="108" w:type="dxa"/>
          </w:tblCellMar>
        </w:tblPrEx>
        <w:trPr>
          <w:jc w:val="center"/>
        </w:trPr>
        <w:tc>
          <w:tcPr>
            <w:tcW w:w="896" w:type="dxa"/>
            <w:tcBorders>
              <w:top w:val="single" w:color="auto" w:sz="6" w:space="0"/>
              <w:left w:val="single" w:color="auto" w:sz="6" w:space="0"/>
              <w:bottom w:val="single" w:color="auto" w:sz="6" w:space="0"/>
              <w:right w:val="single" w:color="auto" w:sz="6" w:space="0"/>
            </w:tcBorders>
            <w:noWrap w:val="0"/>
            <w:vAlign w:val="top"/>
          </w:tcPr>
          <w:p w14:paraId="6F27DDFB">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502" w:type="dxa"/>
            <w:tcBorders>
              <w:top w:val="single" w:color="auto" w:sz="6" w:space="0"/>
              <w:left w:val="single" w:color="auto" w:sz="6" w:space="0"/>
              <w:bottom w:val="single" w:color="auto" w:sz="6" w:space="0"/>
              <w:right w:val="single" w:color="auto" w:sz="6" w:space="0"/>
            </w:tcBorders>
            <w:noWrap w:val="0"/>
            <w:vAlign w:val="top"/>
          </w:tcPr>
          <w:p w14:paraId="4F22DA90">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2716" w:type="dxa"/>
            <w:tcBorders>
              <w:top w:val="single" w:color="auto" w:sz="6" w:space="0"/>
              <w:left w:val="single" w:color="auto" w:sz="6" w:space="0"/>
              <w:bottom w:val="single" w:color="auto" w:sz="6" w:space="0"/>
              <w:right w:val="single" w:color="auto" w:sz="6" w:space="0"/>
            </w:tcBorders>
            <w:noWrap w:val="0"/>
            <w:vAlign w:val="top"/>
          </w:tcPr>
          <w:p w14:paraId="66316245">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3200" w:type="dxa"/>
            <w:tcBorders>
              <w:top w:val="single" w:color="auto" w:sz="6" w:space="0"/>
              <w:left w:val="single" w:color="auto" w:sz="6" w:space="0"/>
              <w:bottom w:val="single" w:color="auto" w:sz="6" w:space="0"/>
              <w:right w:val="single" w:color="auto" w:sz="6" w:space="0"/>
            </w:tcBorders>
            <w:noWrap w:val="0"/>
            <w:vAlign w:val="top"/>
          </w:tcPr>
          <w:p w14:paraId="60D89D4A">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298" w:type="dxa"/>
            <w:tcBorders>
              <w:top w:val="single" w:color="auto" w:sz="6" w:space="0"/>
              <w:left w:val="single" w:color="auto" w:sz="6" w:space="0"/>
              <w:bottom w:val="single" w:color="auto" w:sz="6" w:space="0"/>
              <w:right w:val="single" w:color="auto" w:sz="6" w:space="0"/>
            </w:tcBorders>
            <w:noWrap w:val="0"/>
            <w:vAlign w:val="top"/>
          </w:tcPr>
          <w:p w14:paraId="4B31CF27">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r>
      <w:tr w14:paraId="4152D8AE">
        <w:tblPrEx>
          <w:tblCellMar>
            <w:top w:w="0" w:type="dxa"/>
            <w:left w:w="108" w:type="dxa"/>
            <w:bottom w:w="0" w:type="dxa"/>
            <w:right w:w="108" w:type="dxa"/>
          </w:tblCellMar>
        </w:tblPrEx>
        <w:trPr>
          <w:jc w:val="center"/>
        </w:trPr>
        <w:tc>
          <w:tcPr>
            <w:tcW w:w="896" w:type="dxa"/>
            <w:tcBorders>
              <w:top w:val="single" w:color="auto" w:sz="6" w:space="0"/>
              <w:left w:val="single" w:color="auto" w:sz="6" w:space="0"/>
              <w:bottom w:val="single" w:color="auto" w:sz="6" w:space="0"/>
              <w:right w:val="single" w:color="auto" w:sz="6" w:space="0"/>
            </w:tcBorders>
            <w:noWrap w:val="0"/>
            <w:vAlign w:val="top"/>
          </w:tcPr>
          <w:p w14:paraId="08B04BF3">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502" w:type="dxa"/>
            <w:tcBorders>
              <w:top w:val="single" w:color="auto" w:sz="6" w:space="0"/>
              <w:left w:val="single" w:color="auto" w:sz="6" w:space="0"/>
              <w:bottom w:val="single" w:color="auto" w:sz="6" w:space="0"/>
              <w:right w:val="single" w:color="auto" w:sz="6" w:space="0"/>
            </w:tcBorders>
            <w:noWrap w:val="0"/>
            <w:vAlign w:val="top"/>
          </w:tcPr>
          <w:p w14:paraId="6DD64891">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2716" w:type="dxa"/>
            <w:tcBorders>
              <w:top w:val="single" w:color="auto" w:sz="6" w:space="0"/>
              <w:left w:val="single" w:color="auto" w:sz="6" w:space="0"/>
              <w:bottom w:val="single" w:color="auto" w:sz="6" w:space="0"/>
              <w:right w:val="single" w:color="auto" w:sz="6" w:space="0"/>
            </w:tcBorders>
            <w:noWrap w:val="0"/>
            <w:vAlign w:val="top"/>
          </w:tcPr>
          <w:p w14:paraId="48468249">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3200" w:type="dxa"/>
            <w:tcBorders>
              <w:top w:val="single" w:color="auto" w:sz="6" w:space="0"/>
              <w:left w:val="single" w:color="auto" w:sz="6" w:space="0"/>
              <w:bottom w:val="single" w:color="auto" w:sz="6" w:space="0"/>
              <w:right w:val="single" w:color="auto" w:sz="6" w:space="0"/>
            </w:tcBorders>
            <w:noWrap w:val="0"/>
            <w:vAlign w:val="top"/>
          </w:tcPr>
          <w:p w14:paraId="7B0A83E2">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298" w:type="dxa"/>
            <w:tcBorders>
              <w:top w:val="single" w:color="auto" w:sz="6" w:space="0"/>
              <w:left w:val="single" w:color="auto" w:sz="6" w:space="0"/>
              <w:bottom w:val="single" w:color="auto" w:sz="6" w:space="0"/>
              <w:right w:val="single" w:color="auto" w:sz="6" w:space="0"/>
            </w:tcBorders>
            <w:noWrap w:val="0"/>
            <w:vAlign w:val="top"/>
          </w:tcPr>
          <w:p w14:paraId="79AB8AA4">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r>
      <w:tr w14:paraId="4F50E1BB">
        <w:tblPrEx>
          <w:tblCellMar>
            <w:top w:w="0" w:type="dxa"/>
            <w:left w:w="108" w:type="dxa"/>
            <w:bottom w:w="0" w:type="dxa"/>
            <w:right w:w="108" w:type="dxa"/>
          </w:tblCellMar>
        </w:tblPrEx>
        <w:trPr>
          <w:jc w:val="center"/>
        </w:trPr>
        <w:tc>
          <w:tcPr>
            <w:tcW w:w="896" w:type="dxa"/>
            <w:tcBorders>
              <w:top w:val="single" w:color="auto" w:sz="6" w:space="0"/>
              <w:left w:val="single" w:color="auto" w:sz="6" w:space="0"/>
              <w:bottom w:val="single" w:color="auto" w:sz="6" w:space="0"/>
              <w:right w:val="single" w:color="auto" w:sz="6" w:space="0"/>
            </w:tcBorders>
            <w:noWrap w:val="0"/>
            <w:vAlign w:val="top"/>
          </w:tcPr>
          <w:p w14:paraId="4EDC0F92">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502" w:type="dxa"/>
            <w:tcBorders>
              <w:top w:val="single" w:color="auto" w:sz="6" w:space="0"/>
              <w:left w:val="single" w:color="auto" w:sz="6" w:space="0"/>
              <w:bottom w:val="single" w:color="auto" w:sz="6" w:space="0"/>
              <w:right w:val="single" w:color="auto" w:sz="6" w:space="0"/>
            </w:tcBorders>
            <w:noWrap w:val="0"/>
            <w:vAlign w:val="top"/>
          </w:tcPr>
          <w:p w14:paraId="2D65B020">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2716" w:type="dxa"/>
            <w:tcBorders>
              <w:top w:val="single" w:color="auto" w:sz="6" w:space="0"/>
              <w:left w:val="single" w:color="auto" w:sz="6" w:space="0"/>
              <w:bottom w:val="single" w:color="auto" w:sz="6" w:space="0"/>
              <w:right w:val="single" w:color="auto" w:sz="6" w:space="0"/>
            </w:tcBorders>
            <w:noWrap w:val="0"/>
            <w:vAlign w:val="top"/>
          </w:tcPr>
          <w:p w14:paraId="0AB7D247">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3200" w:type="dxa"/>
            <w:tcBorders>
              <w:top w:val="single" w:color="auto" w:sz="6" w:space="0"/>
              <w:left w:val="single" w:color="auto" w:sz="6" w:space="0"/>
              <w:bottom w:val="single" w:color="auto" w:sz="6" w:space="0"/>
              <w:right w:val="single" w:color="auto" w:sz="6" w:space="0"/>
            </w:tcBorders>
            <w:noWrap w:val="0"/>
            <w:vAlign w:val="top"/>
          </w:tcPr>
          <w:p w14:paraId="3C10CEB2">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298" w:type="dxa"/>
            <w:tcBorders>
              <w:top w:val="single" w:color="auto" w:sz="6" w:space="0"/>
              <w:left w:val="single" w:color="auto" w:sz="6" w:space="0"/>
              <w:bottom w:val="single" w:color="auto" w:sz="6" w:space="0"/>
              <w:right w:val="single" w:color="auto" w:sz="6" w:space="0"/>
            </w:tcBorders>
            <w:noWrap w:val="0"/>
            <w:vAlign w:val="top"/>
          </w:tcPr>
          <w:p w14:paraId="747B1755">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r>
      <w:tr w14:paraId="116AFC3C">
        <w:tblPrEx>
          <w:tblCellMar>
            <w:top w:w="0" w:type="dxa"/>
            <w:left w:w="108" w:type="dxa"/>
            <w:bottom w:w="0" w:type="dxa"/>
            <w:right w:w="108" w:type="dxa"/>
          </w:tblCellMar>
        </w:tblPrEx>
        <w:trPr>
          <w:jc w:val="center"/>
        </w:trPr>
        <w:tc>
          <w:tcPr>
            <w:tcW w:w="896" w:type="dxa"/>
            <w:tcBorders>
              <w:top w:val="single" w:color="auto" w:sz="6" w:space="0"/>
              <w:left w:val="single" w:color="auto" w:sz="6" w:space="0"/>
              <w:bottom w:val="single" w:color="auto" w:sz="6" w:space="0"/>
              <w:right w:val="single" w:color="auto" w:sz="6" w:space="0"/>
            </w:tcBorders>
            <w:noWrap w:val="0"/>
            <w:vAlign w:val="top"/>
          </w:tcPr>
          <w:p w14:paraId="5FB9D6BB">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502" w:type="dxa"/>
            <w:tcBorders>
              <w:top w:val="single" w:color="auto" w:sz="6" w:space="0"/>
              <w:left w:val="single" w:color="auto" w:sz="6" w:space="0"/>
              <w:bottom w:val="single" w:color="auto" w:sz="6" w:space="0"/>
              <w:right w:val="single" w:color="auto" w:sz="6" w:space="0"/>
            </w:tcBorders>
            <w:noWrap w:val="0"/>
            <w:vAlign w:val="top"/>
          </w:tcPr>
          <w:p w14:paraId="602AA1D0">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2716" w:type="dxa"/>
            <w:tcBorders>
              <w:top w:val="single" w:color="auto" w:sz="6" w:space="0"/>
              <w:left w:val="single" w:color="auto" w:sz="6" w:space="0"/>
              <w:bottom w:val="single" w:color="auto" w:sz="6" w:space="0"/>
              <w:right w:val="single" w:color="auto" w:sz="6" w:space="0"/>
            </w:tcBorders>
            <w:noWrap w:val="0"/>
            <w:vAlign w:val="top"/>
          </w:tcPr>
          <w:p w14:paraId="75CAC6E4">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3200" w:type="dxa"/>
            <w:tcBorders>
              <w:top w:val="single" w:color="auto" w:sz="6" w:space="0"/>
              <w:left w:val="single" w:color="auto" w:sz="6" w:space="0"/>
              <w:bottom w:val="single" w:color="auto" w:sz="6" w:space="0"/>
              <w:right w:val="single" w:color="auto" w:sz="6" w:space="0"/>
            </w:tcBorders>
            <w:noWrap w:val="0"/>
            <w:vAlign w:val="top"/>
          </w:tcPr>
          <w:p w14:paraId="25C63424">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298" w:type="dxa"/>
            <w:tcBorders>
              <w:top w:val="single" w:color="auto" w:sz="6" w:space="0"/>
              <w:left w:val="single" w:color="auto" w:sz="6" w:space="0"/>
              <w:bottom w:val="single" w:color="auto" w:sz="6" w:space="0"/>
              <w:right w:val="single" w:color="auto" w:sz="6" w:space="0"/>
            </w:tcBorders>
            <w:noWrap w:val="0"/>
            <w:vAlign w:val="top"/>
          </w:tcPr>
          <w:p w14:paraId="1FB6B2FF">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r>
      <w:tr w14:paraId="4A61AF3B">
        <w:tblPrEx>
          <w:tblCellMar>
            <w:top w:w="0" w:type="dxa"/>
            <w:left w:w="108" w:type="dxa"/>
            <w:bottom w:w="0" w:type="dxa"/>
            <w:right w:w="108" w:type="dxa"/>
          </w:tblCellMar>
        </w:tblPrEx>
        <w:trPr>
          <w:jc w:val="center"/>
        </w:trPr>
        <w:tc>
          <w:tcPr>
            <w:tcW w:w="896" w:type="dxa"/>
            <w:tcBorders>
              <w:top w:val="single" w:color="auto" w:sz="6" w:space="0"/>
              <w:left w:val="single" w:color="auto" w:sz="6" w:space="0"/>
              <w:bottom w:val="single" w:color="auto" w:sz="6" w:space="0"/>
              <w:right w:val="single" w:color="auto" w:sz="6" w:space="0"/>
            </w:tcBorders>
            <w:noWrap w:val="0"/>
            <w:vAlign w:val="top"/>
          </w:tcPr>
          <w:p w14:paraId="14B3B533">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502" w:type="dxa"/>
            <w:tcBorders>
              <w:top w:val="single" w:color="auto" w:sz="6" w:space="0"/>
              <w:left w:val="single" w:color="auto" w:sz="6" w:space="0"/>
              <w:bottom w:val="single" w:color="auto" w:sz="6" w:space="0"/>
              <w:right w:val="single" w:color="auto" w:sz="6" w:space="0"/>
            </w:tcBorders>
            <w:noWrap w:val="0"/>
            <w:vAlign w:val="top"/>
          </w:tcPr>
          <w:p w14:paraId="389C9144">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2716" w:type="dxa"/>
            <w:tcBorders>
              <w:top w:val="single" w:color="auto" w:sz="6" w:space="0"/>
              <w:left w:val="single" w:color="auto" w:sz="6" w:space="0"/>
              <w:bottom w:val="single" w:color="auto" w:sz="6" w:space="0"/>
              <w:right w:val="single" w:color="auto" w:sz="6" w:space="0"/>
            </w:tcBorders>
            <w:noWrap w:val="0"/>
            <w:vAlign w:val="top"/>
          </w:tcPr>
          <w:p w14:paraId="562A6A7A">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3200" w:type="dxa"/>
            <w:tcBorders>
              <w:top w:val="single" w:color="auto" w:sz="6" w:space="0"/>
              <w:left w:val="single" w:color="auto" w:sz="6" w:space="0"/>
              <w:bottom w:val="single" w:color="auto" w:sz="6" w:space="0"/>
              <w:right w:val="single" w:color="auto" w:sz="6" w:space="0"/>
            </w:tcBorders>
            <w:noWrap w:val="0"/>
            <w:vAlign w:val="top"/>
          </w:tcPr>
          <w:p w14:paraId="0349A5A1">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c>
          <w:tcPr>
            <w:tcW w:w="1298" w:type="dxa"/>
            <w:tcBorders>
              <w:top w:val="single" w:color="auto" w:sz="6" w:space="0"/>
              <w:left w:val="single" w:color="auto" w:sz="6" w:space="0"/>
              <w:bottom w:val="single" w:color="auto" w:sz="6" w:space="0"/>
              <w:right w:val="single" w:color="auto" w:sz="6" w:space="0"/>
            </w:tcBorders>
            <w:noWrap w:val="0"/>
            <w:vAlign w:val="top"/>
          </w:tcPr>
          <w:p w14:paraId="07159798">
            <w:pPr>
              <w:pStyle w:val="13"/>
              <w:pageBreakBefore w:val="0"/>
              <w:kinsoku/>
              <w:wordWrap/>
              <w:overflowPunct/>
              <w:topLinePunct w:val="0"/>
              <w:bidi w:val="0"/>
              <w:adjustRightInd w:val="0"/>
              <w:snapToGrid w:val="0"/>
              <w:spacing w:line="400" w:lineRule="exact"/>
              <w:jc w:val="both"/>
              <w:rPr>
                <w:rFonts w:hint="eastAsia" w:ascii="宋体" w:hAnsi="宋体" w:eastAsia="宋体" w:cs="宋体"/>
                <w:b w:val="0"/>
                <w:bCs/>
                <w:sz w:val="24"/>
              </w:rPr>
            </w:pPr>
          </w:p>
        </w:tc>
      </w:tr>
    </w:tbl>
    <w:p w14:paraId="5B83D1A3">
      <w:pPr>
        <w:pStyle w:val="13"/>
        <w:pageBreakBefore w:val="0"/>
        <w:kinsoku/>
        <w:wordWrap/>
        <w:overflowPunct/>
        <w:topLinePunct w:val="0"/>
        <w:bidi w:val="0"/>
        <w:adjustRightInd w:val="0"/>
        <w:snapToGrid w:val="0"/>
        <w:spacing w:line="400" w:lineRule="exact"/>
        <w:ind w:firstLine="315" w:firstLineChars="150"/>
        <w:jc w:val="both"/>
        <w:rPr>
          <w:rFonts w:hint="eastAsia" w:ascii="宋体" w:hAnsi="宋体" w:eastAsia="宋体" w:cs="宋体"/>
          <w:sz w:val="24"/>
        </w:rPr>
      </w:pPr>
      <w:r>
        <w:rPr>
          <w:rFonts w:hint="eastAsia" w:ascii="宋体" w:hAnsi="宋体" w:eastAsia="宋体" w:cs="宋体"/>
          <w:iCs/>
        </w:rPr>
        <w:t>注：供应商须如实填写上表，</w:t>
      </w:r>
      <w:r>
        <w:rPr>
          <w:rFonts w:hint="eastAsia" w:ascii="宋体" w:hAnsi="宋体" w:eastAsia="宋体" w:cs="宋体"/>
        </w:rPr>
        <w:t>没有填写此表或未提供视为完全响应招标文件要求。</w:t>
      </w:r>
    </w:p>
    <w:p w14:paraId="10B9644D">
      <w:pPr>
        <w:pStyle w:val="13"/>
        <w:pageBreakBefore w:val="0"/>
        <w:kinsoku/>
        <w:wordWrap/>
        <w:overflowPunct/>
        <w:topLinePunct w:val="0"/>
        <w:bidi w:val="0"/>
        <w:adjustRightInd w:val="0"/>
        <w:snapToGrid w:val="0"/>
        <w:spacing w:line="400" w:lineRule="exact"/>
        <w:jc w:val="both"/>
        <w:rPr>
          <w:rFonts w:hint="eastAsia" w:ascii="宋体" w:hAnsi="宋体" w:eastAsia="宋体" w:cs="宋体"/>
          <w:sz w:val="24"/>
        </w:rPr>
      </w:pPr>
    </w:p>
    <w:p w14:paraId="4448737E">
      <w:pPr>
        <w:pageBreakBefore w:val="0"/>
        <w:shd w:val="clear" w:color="auto" w:fill="FFFFFF"/>
        <w:kinsoku/>
        <w:wordWrap/>
        <w:overflowPunct/>
        <w:topLinePunct w:val="0"/>
        <w:bidi w:val="0"/>
        <w:snapToGrid w:val="0"/>
        <w:spacing w:line="360" w:lineRule="auto"/>
        <w:ind w:firstLine="420" w:firstLineChars="200"/>
        <w:jc w:val="both"/>
        <w:rPr>
          <w:rFonts w:hint="eastAsia" w:ascii="宋体" w:hAnsi="宋体" w:eastAsia="宋体" w:cs="宋体"/>
          <w:b w:val="0"/>
          <w:bCs/>
        </w:rPr>
      </w:pPr>
      <w:r>
        <w:rPr>
          <w:rFonts w:hint="eastAsia" w:ascii="宋体" w:hAnsi="宋体" w:eastAsia="宋体" w:cs="宋体"/>
        </w:rPr>
        <w:t>供应商电子签章（电子公章）：</w:t>
      </w:r>
    </w:p>
    <w:p w14:paraId="0C6EA37E">
      <w:pPr>
        <w:pageBreakBefore w:val="0"/>
        <w:shd w:val="clear" w:color="auto" w:fill="FFFFFF"/>
        <w:kinsoku/>
        <w:wordWrap/>
        <w:overflowPunct/>
        <w:topLinePunct w:val="0"/>
        <w:bidi w:val="0"/>
        <w:snapToGrid w:val="0"/>
        <w:spacing w:line="360" w:lineRule="auto"/>
        <w:ind w:firstLine="420" w:firstLineChars="200"/>
        <w:jc w:val="both"/>
        <w:rPr>
          <w:rFonts w:hint="eastAsia" w:ascii="宋体" w:hAnsi="宋体" w:eastAsia="宋体" w:cs="宋体"/>
          <w:b w:val="0"/>
          <w:bCs/>
        </w:rPr>
      </w:pPr>
    </w:p>
    <w:p w14:paraId="38760E38">
      <w:pPr>
        <w:pageBreakBefore w:val="0"/>
        <w:shd w:val="clear" w:color="auto" w:fill="FFFFFF"/>
        <w:kinsoku/>
        <w:wordWrap/>
        <w:overflowPunct/>
        <w:topLinePunct w:val="0"/>
        <w:bidi w:val="0"/>
        <w:snapToGrid w:val="0"/>
        <w:spacing w:line="360" w:lineRule="auto"/>
        <w:ind w:firstLine="420" w:firstLineChars="200"/>
        <w:jc w:val="both"/>
        <w:rPr>
          <w:rFonts w:hint="eastAsia" w:ascii="宋体" w:hAnsi="宋体" w:eastAsia="宋体" w:cs="宋体"/>
          <w:b w:val="0"/>
          <w:bCs/>
        </w:rPr>
      </w:pPr>
    </w:p>
    <w:p w14:paraId="2C37FD5F">
      <w:pPr>
        <w:pStyle w:val="3"/>
        <w:pageBreakBefore w:val="0"/>
        <w:kinsoku/>
        <w:wordWrap/>
        <w:overflowPunct/>
        <w:topLinePunct w:val="0"/>
        <w:bidi w:val="0"/>
        <w:ind w:left="0" w:leftChars="0" w:firstLine="0" w:firstLineChars="0"/>
        <w:jc w:val="both"/>
        <w:rPr>
          <w:rFonts w:hint="eastAsia" w:ascii="宋体" w:hAnsi="宋体" w:eastAsia="宋体" w:cs="宋体"/>
          <w:b/>
          <w:color w:val="000000"/>
          <w:kern w:val="0"/>
          <w:sz w:val="24"/>
          <w:szCs w:val="21"/>
          <w:lang w:val="en-US" w:eastAsia="zh-CN" w:bidi="ar-SA"/>
        </w:rPr>
      </w:pPr>
    </w:p>
    <w:p w14:paraId="045B946C">
      <w:pPr>
        <w:pStyle w:val="3"/>
        <w:pageBreakBefore w:val="0"/>
        <w:kinsoku/>
        <w:wordWrap/>
        <w:overflowPunct/>
        <w:topLinePunct w:val="0"/>
        <w:bidi w:val="0"/>
        <w:ind w:left="0" w:leftChars="0" w:firstLine="0" w:firstLineChars="0"/>
        <w:jc w:val="both"/>
        <w:rPr>
          <w:rFonts w:hint="eastAsia" w:ascii="宋体" w:hAnsi="宋体" w:eastAsia="宋体" w:cs="宋体"/>
          <w:sz w:val="28"/>
          <w:szCs w:val="28"/>
          <w:lang w:eastAsia="zh-CN"/>
        </w:rPr>
      </w:pPr>
      <w:r>
        <w:rPr>
          <w:rFonts w:hint="eastAsia" w:ascii="宋体" w:hAnsi="宋体" w:eastAsia="宋体" w:cs="宋体"/>
          <w:b/>
          <w:color w:val="000000"/>
          <w:kern w:val="0"/>
          <w:sz w:val="24"/>
          <w:szCs w:val="21"/>
          <w:lang w:val="en-US" w:eastAsia="zh-CN" w:bidi="ar-SA"/>
        </w:rPr>
        <w:t>投标供应商情况声明：</w:t>
      </w:r>
    </w:p>
    <w:p w14:paraId="03C6ED4F">
      <w:pPr>
        <w:pStyle w:val="3"/>
        <w:pageBreakBefore w:val="0"/>
        <w:kinsoku/>
        <w:wordWrap/>
        <w:overflowPunct/>
        <w:topLinePunct w:val="0"/>
        <w:bidi w:val="0"/>
        <w:ind w:left="0" w:firstLine="490" w:firstLineChars="175"/>
        <w:jc w:val="center"/>
        <w:rPr>
          <w:rFonts w:hint="eastAsia" w:ascii="宋体" w:hAnsi="宋体" w:eastAsia="宋体" w:cs="宋体"/>
          <w:sz w:val="28"/>
          <w:szCs w:val="28"/>
        </w:rPr>
      </w:pPr>
      <w:r>
        <w:rPr>
          <w:rFonts w:hint="eastAsia" w:ascii="宋体" w:hAnsi="宋体" w:eastAsia="宋体" w:cs="宋体"/>
          <w:sz w:val="28"/>
          <w:szCs w:val="28"/>
        </w:rPr>
        <w:t>投标供应商情况声明</w:t>
      </w:r>
    </w:p>
    <w:p w14:paraId="4896E7B4">
      <w:pPr>
        <w:pageBreakBefore w:val="0"/>
        <w:kinsoku/>
        <w:wordWrap/>
        <w:overflowPunct/>
        <w:topLinePunct w:val="0"/>
        <w:bidi w:val="0"/>
        <w:ind w:firstLine="367" w:firstLineChars="175"/>
        <w:jc w:val="both"/>
        <w:rPr>
          <w:rFonts w:hint="eastAsia" w:ascii="宋体" w:hAnsi="宋体" w:eastAsia="宋体" w:cs="宋体"/>
          <w:b w:val="0"/>
          <w:bCs/>
        </w:rPr>
      </w:pPr>
      <w:bookmarkStart w:id="152" w:name="_Toc22674"/>
      <w:r>
        <w:rPr>
          <w:rFonts w:hint="eastAsia" w:ascii="宋体" w:hAnsi="宋体" w:eastAsia="宋体" w:cs="宋体"/>
          <w:b w:val="0"/>
          <w:bCs/>
        </w:rPr>
        <w:t>1. 名称及概况：</w:t>
      </w:r>
      <w:bookmarkEnd w:id="152"/>
    </w:p>
    <w:p w14:paraId="55DD7DB8">
      <w:pPr>
        <w:pageBreakBefore w:val="0"/>
        <w:kinsoku/>
        <w:wordWrap/>
        <w:overflowPunct/>
        <w:topLinePunct w:val="0"/>
        <w:bidi w:val="0"/>
        <w:spacing w:line="400" w:lineRule="exact"/>
        <w:ind w:firstLine="367" w:firstLineChars="175"/>
        <w:jc w:val="both"/>
        <w:rPr>
          <w:rFonts w:hint="eastAsia" w:ascii="宋体" w:hAnsi="宋体" w:eastAsia="宋体" w:cs="宋体"/>
          <w:b w:val="0"/>
          <w:bCs/>
          <w:u w:val="single"/>
        </w:rPr>
      </w:pPr>
      <w:bookmarkStart w:id="153" w:name="_Toc2903"/>
      <w:bookmarkStart w:id="154" w:name="_Toc22730"/>
      <w:r>
        <w:rPr>
          <w:rFonts w:hint="eastAsia" w:ascii="宋体" w:hAnsi="宋体" w:eastAsia="宋体" w:cs="宋体"/>
          <w:b w:val="0"/>
          <w:bCs/>
        </w:rPr>
        <w:t>（1）投标供应商名称：</w:t>
      </w:r>
      <w:bookmarkEnd w:id="153"/>
      <w:bookmarkEnd w:id="154"/>
      <w:r>
        <w:rPr>
          <w:rFonts w:hint="eastAsia" w:ascii="宋体" w:hAnsi="宋体" w:eastAsia="宋体" w:cs="宋体"/>
          <w:b w:val="0"/>
          <w:bCs/>
          <w:u w:val="single"/>
        </w:rPr>
        <w:t xml:space="preserve">                           </w:t>
      </w:r>
    </w:p>
    <w:p w14:paraId="12C90E29">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bookmarkStart w:id="155" w:name="_Toc2394"/>
      <w:bookmarkStart w:id="156" w:name="_Toc30188"/>
      <w:r>
        <w:rPr>
          <w:rFonts w:hint="eastAsia" w:ascii="宋体" w:hAnsi="宋体" w:eastAsia="宋体" w:cs="宋体"/>
          <w:b w:val="0"/>
          <w:bCs/>
        </w:rPr>
        <w:t>（2）总部地址：</w:t>
      </w:r>
      <w:bookmarkEnd w:id="155"/>
      <w:bookmarkEnd w:id="156"/>
      <w:r>
        <w:rPr>
          <w:rFonts w:hint="eastAsia" w:ascii="宋体" w:hAnsi="宋体" w:eastAsia="宋体" w:cs="宋体"/>
          <w:b w:val="0"/>
          <w:bCs/>
          <w:u w:val="single"/>
        </w:rPr>
        <w:t xml:space="preserve">                             </w:t>
      </w:r>
    </w:p>
    <w:p w14:paraId="37759805">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r>
        <w:rPr>
          <w:rFonts w:hint="eastAsia" w:ascii="宋体" w:hAnsi="宋体" w:eastAsia="宋体" w:cs="宋体"/>
          <w:b w:val="0"/>
          <w:bCs/>
        </w:rPr>
        <w:t>传真/电话号码：</w:t>
      </w:r>
      <w:r>
        <w:rPr>
          <w:rFonts w:hint="eastAsia" w:ascii="宋体" w:hAnsi="宋体" w:eastAsia="宋体" w:cs="宋体"/>
          <w:b w:val="0"/>
          <w:bCs/>
          <w:u w:val="single"/>
        </w:rPr>
        <w:t xml:space="preserve">                        </w:t>
      </w:r>
    </w:p>
    <w:p w14:paraId="5729F65B">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bookmarkStart w:id="157" w:name="_Toc78"/>
      <w:bookmarkStart w:id="158" w:name="_Toc21645"/>
      <w:r>
        <w:rPr>
          <w:rFonts w:hint="eastAsia" w:ascii="宋体" w:hAnsi="宋体" w:eastAsia="宋体" w:cs="宋体"/>
          <w:b w:val="0"/>
          <w:bCs/>
        </w:rPr>
        <w:t>（3）成立或注册日期：</w:t>
      </w:r>
      <w:bookmarkEnd w:id="157"/>
      <w:bookmarkEnd w:id="158"/>
      <w:r>
        <w:rPr>
          <w:rFonts w:hint="eastAsia" w:ascii="宋体" w:hAnsi="宋体" w:eastAsia="宋体" w:cs="宋体"/>
          <w:b w:val="0"/>
          <w:bCs/>
          <w:u w:val="single"/>
        </w:rPr>
        <w:t xml:space="preserve">                        </w:t>
      </w:r>
    </w:p>
    <w:p w14:paraId="6760DA54">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bookmarkStart w:id="159" w:name="_Toc19259"/>
      <w:bookmarkStart w:id="160" w:name="_Toc2487"/>
      <w:r>
        <w:rPr>
          <w:rFonts w:hint="eastAsia" w:ascii="宋体" w:hAnsi="宋体" w:eastAsia="宋体" w:cs="宋体"/>
          <w:b w:val="0"/>
          <w:bCs/>
        </w:rPr>
        <w:t>（4）实收资本：</w:t>
      </w:r>
      <w:bookmarkEnd w:id="159"/>
      <w:bookmarkEnd w:id="160"/>
      <w:r>
        <w:rPr>
          <w:rFonts w:hint="eastAsia" w:ascii="宋体" w:hAnsi="宋体" w:eastAsia="宋体" w:cs="宋体"/>
          <w:b w:val="0"/>
          <w:bCs/>
          <w:u w:val="single"/>
        </w:rPr>
        <w:t xml:space="preserve">                              </w:t>
      </w:r>
    </w:p>
    <w:p w14:paraId="390AC1CC">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bookmarkStart w:id="161" w:name="_Toc9839"/>
      <w:bookmarkStart w:id="162" w:name="_Toc18977"/>
      <w:r>
        <w:rPr>
          <w:rFonts w:hint="eastAsia" w:ascii="宋体" w:hAnsi="宋体" w:eastAsia="宋体" w:cs="宋体"/>
          <w:b w:val="0"/>
          <w:bCs/>
        </w:rPr>
        <w:t>（5）近期资产负债表（到</w:t>
      </w:r>
      <w:r>
        <w:rPr>
          <w:rFonts w:hint="eastAsia" w:ascii="宋体" w:hAnsi="宋体" w:eastAsia="宋体" w:cs="宋体"/>
          <w:b w:val="0"/>
          <w:bCs/>
          <w:u w:val="single"/>
        </w:rPr>
        <w:t xml:space="preserve">        </w:t>
      </w:r>
      <w:r>
        <w:rPr>
          <w:rFonts w:hint="eastAsia" w:ascii="宋体" w:hAnsi="宋体" w:eastAsia="宋体" w:cs="宋体"/>
          <w:b w:val="0"/>
          <w:bCs/>
        </w:rPr>
        <w:t>年</w:t>
      </w:r>
      <w:r>
        <w:rPr>
          <w:rFonts w:hint="eastAsia" w:ascii="宋体" w:hAnsi="宋体" w:eastAsia="宋体" w:cs="宋体"/>
          <w:b w:val="0"/>
          <w:bCs/>
          <w:u w:val="single"/>
        </w:rPr>
        <w:t xml:space="preserve">    </w:t>
      </w:r>
      <w:r>
        <w:rPr>
          <w:rFonts w:hint="eastAsia" w:ascii="宋体" w:hAnsi="宋体" w:eastAsia="宋体" w:cs="宋体"/>
          <w:b w:val="0"/>
          <w:bCs/>
        </w:rPr>
        <w:t>月</w:t>
      </w:r>
      <w:r>
        <w:rPr>
          <w:rFonts w:hint="eastAsia" w:ascii="宋体" w:hAnsi="宋体" w:eastAsia="宋体" w:cs="宋体"/>
          <w:b w:val="0"/>
          <w:bCs/>
          <w:u w:val="single"/>
        </w:rPr>
        <w:t xml:space="preserve">    </w:t>
      </w:r>
      <w:r>
        <w:rPr>
          <w:rFonts w:hint="eastAsia" w:ascii="宋体" w:hAnsi="宋体" w:eastAsia="宋体" w:cs="宋体"/>
          <w:b w:val="0"/>
          <w:bCs/>
        </w:rPr>
        <w:t>日止）</w:t>
      </w:r>
      <w:bookmarkEnd w:id="161"/>
      <w:bookmarkEnd w:id="162"/>
    </w:p>
    <w:p w14:paraId="3AB18821">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r>
        <w:rPr>
          <w:rFonts w:hint="eastAsia" w:ascii="宋体" w:hAnsi="宋体" w:eastAsia="宋体" w:cs="宋体"/>
          <w:b w:val="0"/>
          <w:bCs/>
        </w:rPr>
        <w:t xml:space="preserve">  1）固定资产：</w:t>
      </w:r>
      <w:r>
        <w:rPr>
          <w:rFonts w:hint="eastAsia" w:ascii="宋体" w:hAnsi="宋体" w:eastAsia="宋体" w:cs="宋体"/>
          <w:b w:val="0"/>
          <w:bCs/>
          <w:u w:val="single"/>
        </w:rPr>
        <w:t xml:space="preserve">               </w:t>
      </w:r>
    </w:p>
    <w:p w14:paraId="1A7032B3">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r>
        <w:rPr>
          <w:rFonts w:hint="eastAsia" w:ascii="宋体" w:hAnsi="宋体" w:eastAsia="宋体" w:cs="宋体"/>
          <w:b w:val="0"/>
          <w:bCs/>
        </w:rPr>
        <w:t xml:space="preserve">  2）流动资产：</w:t>
      </w:r>
      <w:r>
        <w:rPr>
          <w:rFonts w:hint="eastAsia" w:ascii="宋体" w:hAnsi="宋体" w:eastAsia="宋体" w:cs="宋体"/>
          <w:b w:val="0"/>
          <w:bCs/>
          <w:u w:val="single"/>
        </w:rPr>
        <w:t xml:space="preserve">               </w:t>
      </w:r>
    </w:p>
    <w:p w14:paraId="49737362">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r>
        <w:rPr>
          <w:rFonts w:hint="eastAsia" w:ascii="宋体" w:hAnsi="宋体" w:eastAsia="宋体" w:cs="宋体"/>
          <w:b w:val="0"/>
          <w:bCs/>
        </w:rPr>
        <w:t xml:space="preserve">  3）长期负债：</w:t>
      </w:r>
      <w:r>
        <w:rPr>
          <w:rFonts w:hint="eastAsia" w:ascii="宋体" w:hAnsi="宋体" w:eastAsia="宋体" w:cs="宋体"/>
          <w:b w:val="0"/>
          <w:bCs/>
          <w:u w:val="single"/>
        </w:rPr>
        <w:t xml:space="preserve">               </w:t>
      </w:r>
    </w:p>
    <w:p w14:paraId="1760821E">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r>
        <w:rPr>
          <w:rFonts w:hint="eastAsia" w:ascii="宋体" w:hAnsi="宋体" w:eastAsia="宋体" w:cs="宋体"/>
          <w:b w:val="0"/>
          <w:bCs/>
        </w:rPr>
        <w:t xml:space="preserve">  4）流动负债：</w:t>
      </w:r>
      <w:r>
        <w:rPr>
          <w:rFonts w:hint="eastAsia" w:ascii="宋体" w:hAnsi="宋体" w:eastAsia="宋体" w:cs="宋体"/>
          <w:b w:val="0"/>
          <w:bCs/>
          <w:u w:val="single"/>
        </w:rPr>
        <w:t xml:space="preserve">               </w:t>
      </w:r>
    </w:p>
    <w:p w14:paraId="4807AA11">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r>
        <w:rPr>
          <w:rFonts w:hint="eastAsia" w:ascii="宋体" w:hAnsi="宋体" w:eastAsia="宋体" w:cs="宋体"/>
          <w:b w:val="0"/>
          <w:bCs/>
        </w:rPr>
        <w:t xml:space="preserve">  5）净值：</w:t>
      </w:r>
      <w:r>
        <w:rPr>
          <w:rFonts w:hint="eastAsia" w:ascii="宋体" w:hAnsi="宋体" w:eastAsia="宋体" w:cs="宋体"/>
          <w:b w:val="0"/>
          <w:bCs/>
          <w:u w:val="single"/>
        </w:rPr>
        <w:t xml:space="preserve">                   </w:t>
      </w:r>
    </w:p>
    <w:p w14:paraId="24800195">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bookmarkStart w:id="163" w:name="_Toc12876"/>
      <w:bookmarkStart w:id="164" w:name="_Toc15521"/>
      <w:r>
        <w:rPr>
          <w:rFonts w:hint="eastAsia" w:ascii="宋体" w:hAnsi="宋体" w:eastAsia="宋体" w:cs="宋体"/>
          <w:b w:val="0"/>
          <w:bCs/>
        </w:rPr>
        <w:t>（6）主要负责人姓名：</w:t>
      </w:r>
      <w:bookmarkEnd w:id="163"/>
      <w:bookmarkEnd w:id="164"/>
      <w:r>
        <w:rPr>
          <w:rFonts w:hint="eastAsia" w:ascii="宋体" w:hAnsi="宋体" w:eastAsia="宋体" w:cs="宋体"/>
          <w:b w:val="0"/>
          <w:bCs/>
          <w:u w:val="single"/>
        </w:rPr>
        <w:t xml:space="preserve">                      </w:t>
      </w:r>
    </w:p>
    <w:p w14:paraId="65B9F7C6">
      <w:pPr>
        <w:pageBreakBefore w:val="0"/>
        <w:kinsoku/>
        <w:wordWrap/>
        <w:overflowPunct/>
        <w:topLinePunct w:val="0"/>
        <w:bidi w:val="0"/>
        <w:spacing w:line="360" w:lineRule="exact"/>
        <w:ind w:firstLine="367" w:firstLineChars="175"/>
        <w:jc w:val="both"/>
        <w:rPr>
          <w:rFonts w:hint="eastAsia" w:ascii="宋体" w:hAnsi="宋体" w:eastAsia="宋体" w:cs="宋体"/>
          <w:b w:val="0"/>
          <w:bCs/>
        </w:rPr>
      </w:pPr>
      <w:r>
        <w:rPr>
          <w:rFonts w:hint="eastAsia" w:ascii="宋体" w:hAnsi="宋体" w:eastAsia="宋体" w:cs="宋体"/>
          <w:b w:val="0"/>
          <w:bCs/>
        </w:rPr>
        <w:t>2．企业生产设备及规模：</w:t>
      </w:r>
      <w:bookmarkStart w:id="165" w:name="_Toc23773"/>
    </w:p>
    <w:p w14:paraId="13036978">
      <w:pPr>
        <w:pageBreakBefore w:val="0"/>
        <w:kinsoku/>
        <w:wordWrap/>
        <w:overflowPunct/>
        <w:topLinePunct w:val="0"/>
        <w:bidi w:val="0"/>
        <w:spacing w:line="360" w:lineRule="exact"/>
        <w:ind w:firstLine="367" w:firstLineChars="175"/>
        <w:jc w:val="both"/>
        <w:rPr>
          <w:rFonts w:hint="eastAsia" w:ascii="宋体" w:hAnsi="宋体" w:eastAsia="宋体" w:cs="宋体"/>
          <w:b w:val="0"/>
          <w:bCs/>
        </w:rPr>
      </w:pPr>
      <w:r>
        <w:rPr>
          <w:rFonts w:hint="eastAsia" w:ascii="宋体" w:hAnsi="宋体" w:eastAsia="宋体" w:cs="宋体"/>
          <w:b w:val="0"/>
          <w:bCs/>
        </w:rPr>
        <w:t>3. 企业人员情况：</w:t>
      </w:r>
      <w:bookmarkEnd w:id="165"/>
    </w:p>
    <w:p w14:paraId="6FDE2FC4">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r>
        <w:rPr>
          <w:rFonts w:hint="eastAsia" w:ascii="宋体" w:hAnsi="宋体" w:eastAsia="宋体" w:cs="宋体"/>
          <w:b w:val="0"/>
          <w:bCs/>
        </w:rPr>
        <w:t>职工（在职）人数</w:t>
      </w:r>
      <w:r>
        <w:rPr>
          <w:rFonts w:hint="eastAsia" w:ascii="宋体" w:hAnsi="宋体" w:eastAsia="宋体" w:cs="宋体"/>
          <w:b w:val="0"/>
          <w:bCs/>
          <w:u w:val="single"/>
        </w:rPr>
        <w:t xml:space="preserve">       </w:t>
      </w:r>
      <w:r>
        <w:rPr>
          <w:rFonts w:hint="eastAsia" w:ascii="宋体" w:hAnsi="宋体" w:eastAsia="宋体" w:cs="宋体"/>
          <w:b w:val="0"/>
          <w:bCs/>
        </w:rPr>
        <w:t>人，其中技术人员</w:t>
      </w:r>
      <w:r>
        <w:rPr>
          <w:rFonts w:hint="eastAsia" w:ascii="宋体" w:hAnsi="宋体" w:eastAsia="宋体" w:cs="宋体"/>
          <w:b w:val="0"/>
          <w:bCs/>
          <w:u w:val="single"/>
        </w:rPr>
        <w:t xml:space="preserve">       </w:t>
      </w:r>
      <w:r>
        <w:rPr>
          <w:rFonts w:hint="eastAsia" w:ascii="宋体" w:hAnsi="宋体" w:eastAsia="宋体" w:cs="宋体"/>
          <w:b w:val="0"/>
          <w:bCs/>
        </w:rPr>
        <w:t>人，</w:t>
      </w:r>
      <w:bookmarkStart w:id="166" w:name="_Toc19332"/>
    </w:p>
    <w:p w14:paraId="50A5AFAB">
      <w:pPr>
        <w:pageBreakBefore w:val="0"/>
        <w:numPr>
          <w:ilvl w:val="0"/>
          <w:numId w:val="9"/>
        </w:numPr>
        <w:kinsoku/>
        <w:wordWrap/>
        <w:overflowPunct/>
        <w:topLinePunct w:val="0"/>
        <w:bidi w:val="0"/>
        <w:spacing w:line="400" w:lineRule="exact"/>
        <w:ind w:firstLine="367" w:firstLineChars="175"/>
        <w:jc w:val="both"/>
        <w:rPr>
          <w:rFonts w:hint="eastAsia" w:ascii="宋体" w:hAnsi="宋体" w:eastAsia="宋体" w:cs="宋体"/>
          <w:b w:val="0"/>
          <w:bCs/>
        </w:rPr>
      </w:pPr>
      <w:r>
        <w:rPr>
          <w:rFonts w:hint="eastAsia" w:ascii="宋体" w:hAnsi="宋体" w:eastAsia="宋体" w:cs="宋体"/>
          <w:b w:val="0"/>
          <w:bCs/>
        </w:rPr>
        <w:t>近三年的年营业总额</w:t>
      </w:r>
      <w:bookmarkEnd w:id="166"/>
      <w:bookmarkStart w:id="167" w:name="_Toc23531"/>
    </w:p>
    <w:p w14:paraId="4DB0A8E4">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r>
        <w:rPr>
          <w:rFonts w:hint="eastAsia" w:ascii="宋体" w:hAnsi="宋体" w:eastAsia="宋体" w:cs="宋体"/>
          <w:b w:val="0"/>
          <w:bCs/>
        </w:rPr>
        <w:t>5. 我单位近三年内，在经营活动中没有重大违法记录，特此承诺。若招标采购单位在本项目采购过程中发现我单位近三年内在经营活动中有重大违法记录，我单位将无条件地退出本项目的招标，并承担因此引起的一切后果。</w:t>
      </w:r>
      <w:bookmarkEnd w:id="167"/>
    </w:p>
    <w:p w14:paraId="39252E78">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r>
        <w:rPr>
          <w:rFonts w:hint="eastAsia" w:ascii="宋体" w:hAnsi="宋体" w:eastAsia="宋体" w:cs="宋体"/>
          <w:b w:val="0"/>
          <w:bCs/>
        </w:rPr>
        <w:t>兹证明上述声明是真实、正确的、并提供了全部能提供的资料和数据，我们同意遵照贵方要求出示有关证明文件。</w:t>
      </w:r>
    </w:p>
    <w:p w14:paraId="463CD3F9">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p>
    <w:p w14:paraId="30D1BE42">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r>
        <w:rPr>
          <w:rFonts w:hint="eastAsia" w:ascii="宋体" w:hAnsi="宋体" w:eastAsia="宋体" w:cs="宋体"/>
          <w:b w:val="0"/>
          <w:bCs/>
        </w:rPr>
        <w:t>投标供应商名称 ：            （电子签章）</w:t>
      </w:r>
    </w:p>
    <w:p w14:paraId="5A112FFF">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r>
        <w:rPr>
          <w:rFonts w:hint="eastAsia" w:ascii="宋体" w:hAnsi="宋体" w:eastAsia="宋体" w:cs="宋体"/>
          <w:b w:val="0"/>
          <w:bCs/>
        </w:rPr>
        <w:t>法定代表人姓名和职务：</w:t>
      </w:r>
      <w:r>
        <w:rPr>
          <w:rFonts w:hint="eastAsia" w:ascii="宋体" w:hAnsi="宋体" w:eastAsia="宋体" w:cs="宋体"/>
          <w:b w:val="0"/>
          <w:bCs/>
          <w:u w:val="single"/>
        </w:rPr>
        <w:t xml:space="preserve">                         </w:t>
      </w:r>
    </w:p>
    <w:p w14:paraId="3E0390A1">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r>
        <w:rPr>
          <w:rFonts w:hint="eastAsia" w:ascii="宋体" w:hAnsi="宋体" w:eastAsia="宋体" w:cs="宋体"/>
          <w:b w:val="0"/>
          <w:bCs/>
        </w:rPr>
        <w:t>授权代表人（签字）：</w:t>
      </w:r>
      <w:r>
        <w:rPr>
          <w:rFonts w:hint="eastAsia" w:ascii="宋体" w:hAnsi="宋体" w:eastAsia="宋体" w:cs="宋体"/>
          <w:b w:val="0"/>
          <w:bCs/>
          <w:u w:val="single"/>
        </w:rPr>
        <w:t xml:space="preserve">                           </w:t>
      </w:r>
    </w:p>
    <w:p w14:paraId="07013928">
      <w:pPr>
        <w:pageBreakBefore w:val="0"/>
        <w:kinsoku/>
        <w:wordWrap/>
        <w:overflowPunct/>
        <w:topLinePunct w:val="0"/>
        <w:bidi w:val="0"/>
        <w:spacing w:line="400" w:lineRule="exact"/>
        <w:ind w:firstLine="367" w:firstLineChars="175"/>
        <w:jc w:val="both"/>
        <w:rPr>
          <w:rFonts w:hint="eastAsia" w:ascii="宋体" w:hAnsi="宋体" w:eastAsia="宋体" w:cs="宋体"/>
          <w:b w:val="0"/>
          <w:bCs/>
          <w:u w:val="single"/>
        </w:rPr>
      </w:pPr>
      <w:r>
        <w:rPr>
          <w:rFonts w:hint="eastAsia" w:ascii="宋体" w:hAnsi="宋体" w:eastAsia="宋体" w:cs="宋体"/>
          <w:b w:val="0"/>
          <w:bCs/>
        </w:rPr>
        <w:t xml:space="preserve">签字日期 ： </w:t>
      </w:r>
      <w:r>
        <w:rPr>
          <w:rFonts w:hint="eastAsia" w:ascii="宋体" w:hAnsi="宋体" w:eastAsia="宋体" w:cs="宋体"/>
          <w:b w:val="0"/>
          <w:bCs/>
          <w:u w:val="single"/>
        </w:rPr>
        <w:t xml:space="preserve">                                     </w:t>
      </w:r>
    </w:p>
    <w:p w14:paraId="0F31C8A8">
      <w:pPr>
        <w:pageBreakBefore w:val="0"/>
        <w:kinsoku/>
        <w:wordWrap/>
        <w:overflowPunct/>
        <w:topLinePunct w:val="0"/>
        <w:bidi w:val="0"/>
        <w:spacing w:line="400" w:lineRule="exact"/>
        <w:ind w:firstLine="367" w:firstLineChars="175"/>
        <w:jc w:val="both"/>
        <w:rPr>
          <w:rFonts w:hint="eastAsia" w:ascii="宋体" w:hAnsi="宋体" w:eastAsia="宋体" w:cs="宋体"/>
          <w:b w:val="0"/>
          <w:bCs/>
        </w:rPr>
      </w:pPr>
      <w:r>
        <w:rPr>
          <w:rFonts w:hint="eastAsia" w:ascii="宋体" w:hAnsi="宋体" w:eastAsia="宋体" w:cs="宋体"/>
          <w:b w:val="0"/>
          <w:bCs/>
        </w:rPr>
        <w:t>电子邮件</w:t>
      </w:r>
      <w:bookmarkStart w:id="168" w:name="_Toc26835"/>
      <w:r>
        <w:rPr>
          <w:rFonts w:hint="eastAsia" w:ascii="宋体" w:hAnsi="宋体" w:eastAsia="宋体" w:cs="宋体"/>
          <w:b w:val="0"/>
          <w:bCs/>
        </w:rPr>
        <w:t>：</w:t>
      </w:r>
      <w:bookmarkEnd w:id="168"/>
    </w:p>
    <w:p w14:paraId="3F66B5B0">
      <w:pPr>
        <w:pageBreakBefore w:val="0"/>
        <w:shd w:val="clear" w:color="auto" w:fill="FFFFFF"/>
        <w:kinsoku/>
        <w:wordWrap/>
        <w:overflowPunct/>
        <w:topLinePunct w:val="0"/>
        <w:bidi w:val="0"/>
        <w:snapToGrid w:val="0"/>
        <w:spacing w:line="360" w:lineRule="auto"/>
        <w:jc w:val="both"/>
        <w:rPr>
          <w:rFonts w:hint="eastAsia" w:ascii="宋体" w:hAnsi="宋体" w:eastAsia="宋体" w:cs="宋体"/>
          <w:b/>
          <w:bCs/>
          <w:color w:val="auto"/>
          <w:sz w:val="32"/>
          <w:szCs w:val="32"/>
          <w:highlight w:val="none"/>
        </w:rPr>
      </w:pPr>
    </w:p>
    <w:p w14:paraId="43822657">
      <w:pPr>
        <w:pageBreakBefore w:val="0"/>
        <w:shd w:val="clear" w:color="auto" w:fill="FFFFFF"/>
        <w:kinsoku/>
        <w:wordWrap/>
        <w:overflowPunct/>
        <w:topLinePunct w:val="0"/>
        <w:bidi w:val="0"/>
        <w:snapToGrid w:val="0"/>
        <w:spacing w:line="360" w:lineRule="auto"/>
        <w:jc w:val="both"/>
        <w:rPr>
          <w:rFonts w:hint="eastAsia" w:ascii="宋体" w:hAnsi="宋体" w:eastAsia="宋体" w:cs="宋体"/>
          <w:b/>
          <w:bCs/>
          <w:color w:val="auto"/>
          <w:sz w:val="32"/>
          <w:szCs w:val="32"/>
          <w:highlight w:val="none"/>
        </w:rPr>
      </w:pPr>
    </w:p>
    <w:p w14:paraId="5307C902">
      <w:pPr>
        <w:pageBreakBefore w:val="0"/>
        <w:shd w:val="clear" w:color="auto" w:fill="FFFFFF"/>
        <w:kinsoku/>
        <w:wordWrap/>
        <w:overflowPunct/>
        <w:topLinePunct w:val="0"/>
        <w:bidi w:val="0"/>
        <w:snapToGrid w:val="0"/>
        <w:spacing w:line="360" w:lineRule="auto"/>
        <w:jc w:val="both"/>
        <w:rPr>
          <w:rFonts w:hint="eastAsia" w:ascii="宋体" w:hAnsi="宋体" w:eastAsia="宋体" w:cs="宋体"/>
          <w:b/>
          <w:bCs/>
          <w:color w:val="auto"/>
          <w:sz w:val="32"/>
          <w:szCs w:val="32"/>
          <w:highlight w:val="none"/>
        </w:rPr>
      </w:pPr>
    </w:p>
    <w:p w14:paraId="49BDD649">
      <w:pPr>
        <w:pageBreakBefore w:val="0"/>
        <w:shd w:val="clear" w:color="auto" w:fill="FFFFFF"/>
        <w:kinsoku/>
        <w:wordWrap/>
        <w:overflowPunct/>
        <w:topLinePunct w:val="0"/>
        <w:bidi w:val="0"/>
        <w:snapToGrid w:val="0"/>
        <w:spacing w:line="360" w:lineRule="auto"/>
        <w:jc w:val="both"/>
        <w:rPr>
          <w:rFonts w:hint="eastAsia" w:ascii="宋体" w:hAnsi="宋体" w:eastAsia="宋体" w:cs="宋体"/>
          <w:b/>
          <w:bCs/>
          <w:color w:val="auto"/>
          <w:sz w:val="32"/>
          <w:szCs w:val="32"/>
          <w:highlight w:val="none"/>
        </w:rPr>
      </w:pPr>
    </w:p>
    <w:p w14:paraId="664E4327">
      <w:pPr>
        <w:pageBreakBefore w:val="0"/>
        <w:shd w:val="clear" w:color="auto" w:fill="FFFFFF"/>
        <w:kinsoku/>
        <w:wordWrap/>
        <w:overflowPunct/>
        <w:topLinePunct w:val="0"/>
        <w:bidi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000000"/>
          <w:kern w:val="0"/>
          <w:sz w:val="24"/>
          <w:szCs w:val="21"/>
          <w:lang w:val="en-US" w:eastAsia="zh-CN" w:bidi="ar-SA"/>
        </w:rPr>
        <w:t>供应商相关资质、资信或信用证书（如有）</w:t>
      </w:r>
    </w:p>
    <w:tbl>
      <w:tblPr>
        <w:tblStyle w:val="24"/>
        <w:tblW w:w="968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680"/>
      </w:tblGrid>
      <w:tr w14:paraId="2EA1A9E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311" w:hRule="atLeast"/>
        </w:trPr>
        <w:tc>
          <w:tcPr>
            <w:tcW w:w="9680" w:type="dxa"/>
            <w:tcBorders>
              <w:tl2br w:val="nil"/>
              <w:tr2bl w:val="nil"/>
            </w:tcBorders>
            <w:noWrap w:val="0"/>
            <w:vAlign w:val="top"/>
          </w:tcPr>
          <w:p w14:paraId="45FA20EF">
            <w:pPr>
              <w:pStyle w:val="10"/>
              <w:pageBreakBefore w:val="0"/>
              <w:kinsoku/>
              <w:wordWrap/>
              <w:overflowPunct/>
              <w:topLinePunct w:val="0"/>
              <w:bidi w:val="0"/>
              <w:spacing w:line="400" w:lineRule="exact"/>
              <w:jc w:val="both"/>
              <w:rPr>
                <w:rFonts w:hint="eastAsia" w:ascii="宋体" w:hAnsi="宋体" w:eastAsia="宋体" w:cs="宋体"/>
                <w:sz w:val="32"/>
                <w:szCs w:val="32"/>
                <w:vertAlign w:val="baseline"/>
              </w:rPr>
            </w:pPr>
          </w:p>
        </w:tc>
      </w:tr>
    </w:tbl>
    <w:p w14:paraId="1AAC8989">
      <w:pPr>
        <w:pageBreakBefore w:val="0"/>
        <w:shd w:val="clear" w:color="auto" w:fill="FFFFFF"/>
        <w:kinsoku/>
        <w:wordWrap/>
        <w:overflowPunct/>
        <w:topLinePunct w:val="0"/>
        <w:bidi w:val="0"/>
        <w:snapToGrid w:val="0"/>
        <w:spacing w:line="360" w:lineRule="auto"/>
        <w:jc w:val="both"/>
        <w:rPr>
          <w:rFonts w:hint="eastAsia" w:ascii="宋体" w:hAnsi="宋体" w:eastAsia="宋体" w:cs="宋体"/>
          <w:color w:val="auto"/>
          <w:sz w:val="24"/>
          <w:highlight w:val="none"/>
        </w:rPr>
      </w:pPr>
    </w:p>
    <w:p w14:paraId="1890DC1E">
      <w:pPr>
        <w:pageBreakBefore w:val="0"/>
        <w:shd w:val="clear" w:color="auto" w:fill="FFFFFF"/>
        <w:kinsoku/>
        <w:wordWrap/>
        <w:overflowPunct/>
        <w:topLinePunct w:val="0"/>
        <w:bidi w:val="0"/>
        <w:snapToGrid w:val="0"/>
        <w:spacing w:line="360" w:lineRule="auto"/>
        <w:jc w:val="both"/>
        <w:rPr>
          <w:rFonts w:hint="eastAsia" w:ascii="宋体" w:hAnsi="宋体" w:eastAsia="宋体" w:cs="宋体"/>
          <w:color w:val="auto"/>
          <w:sz w:val="24"/>
          <w:highlight w:val="none"/>
        </w:rPr>
      </w:pPr>
    </w:p>
    <w:p w14:paraId="4512C704">
      <w:pPr>
        <w:pageBreakBefore w:val="0"/>
        <w:kinsoku/>
        <w:wordWrap/>
        <w:overflowPunct/>
        <w:topLinePunct w:val="0"/>
        <w:bidi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投标供应商项目业绩一览表</w:t>
      </w:r>
    </w:p>
    <w:p w14:paraId="7ECD944B">
      <w:pPr>
        <w:pageBreakBefore w:val="0"/>
        <w:kinsoku/>
        <w:wordWrap/>
        <w:overflowPunct/>
        <w:topLinePunct w:val="0"/>
        <w:bidi w:val="0"/>
        <w:spacing w:line="360" w:lineRule="auto"/>
        <w:jc w:val="center"/>
        <w:rPr>
          <w:rFonts w:hint="eastAsia" w:ascii="宋体" w:hAnsi="宋体" w:eastAsia="宋体" w:cs="宋体"/>
          <w:sz w:val="44"/>
          <w:szCs w:val="44"/>
        </w:rPr>
      </w:pPr>
      <w:r>
        <w:rPr>
          <w:rFonts w:hint="eastAsia" w:ascii="宋体" w:hAnsi="宋体" w:eastAsia="宋体" w:cs="宋体"/>
          <w:sz w:val="44"/>
          <w:szCs w:val="44"/>
          <w:lang w:bidi="ar"/>
        </w:rPr>
        <w:t>投标供应商业绩表及证明材料</w:t>
      </w:r>
    </w:p>
    <w:p w14:paraId="3412A50B">
      <w:pPr>
        <w:pageBreakBefore w:val="0"/>
        <w:kinsoku/>
        <w:wordWrap/>
        <w:overflowPunct/>
        <w:topLinePunct w:val="0"/>
        <w:bidi w:val="0"/>
        <w:spacing w:line="360" w:lineRule="auto"/>
        <w:jc w:val="both"/>
        <w:rPr>
          <w:rFonts w:hint="eastAsia" w:ascii="宋体" w:hAnsi="宋体" w:eastAsia="宋体" w:cs="宋体"/>
          <w:sz w:val="22"/>
          <w:szCs w:val="22"/>
          <w:u w:val="single"/>
          <w:lang w:bidi="ar"/>
        </w:rPr>
      </w:pPr>
      <w:r>
        <w:rPr>
          <w:rFonts w:hint="eastAsia" w:ascii="宋体" w:hAnsi="宋体" w:eastAsia="宋体" w:cs="宋体"/>
          <w:sz w:val="22"/>
          <w:szCs w:val="22"/>
          <w:lang w:bidi="ar"/>
        </w:rPr>
        <w:t>项目名称：</w:t>
      </w:r>
      <w:r>
        <w:rPr>
          <w:rFonts w:hint="eastAsia" w:ascii="宋体" w:hAnsi="宋体" w:eastAsia="宋体" w:cs="宋体"/>
          <w:sz w:val="22"/>
          <w:szCs w:val="22"/>
          <w:u w:val="single"/>
          <w:lang w:bidi="ar"/>
        </w:rPr>
        <w:t xml:space="preserve">                                    </w:t>
      </w:r>
    </w:p>
    <w:p w14:paraId="2F4A662D">
      <w:pPr>
        <w:pageBreakBefore w:val="0"/>
        <w:kinsoku/>
        <w:wordWrap/>
        <w:overflowPunct/>
        <w:topLinePunct w:val="0"/>
        <w:bidi w:val="0"/>
        <w:spacing w:line="360" w:lineRule="auto"/>
        <w:jc w:val="both"/>
        <w:rPr>
          <w:rFonts w:hint="eastAsia" w:ascii="宋体" w:hAnsi="宋体" w:eastAsia="宋体" w:cs="宋体"/>
          <w:sz w:val="22"/>
          <w:szCs w:val="22"/>
          <w:u w:val="single"/>
        </w:rPr>
      </w:pPr>
      <w:r>
        <w:rPr>
          <w:rFonts w:hint="eastAsia" w:ascii="宋体" w:hAnsi="宋体" w:eastAsia="宋体" w:cs="宋体"/>
          <w:sz w:val="22"/>
          <w:szCs w:val="22"/>
          <w:lang w:bidi="ar"/>
        </w:rPr>
        <w:t>项目编号：</w:t>
      </w:r>
      <w:r>
        <w:rPr>
          <w:rFonts w:hint="eastAsia" w:ascii="宋体" w:hAnsi="宋体" w:eastAsia="宋体" w:cs="宋体"/>
          <w:sz w:val="22"/>
          <w:szCs w:val="22"/>
          <w:u w:val="single"/>
          <w:lang w:bidi="ar"/>
        </w:rPr>
        <w:t xml:space="preserve">                                    </w:t>
      </w:r>
    </w:p>
    <w:tbl>
      <w:tblPr>
        <w:tblStyle w:val="23"/>
        <w:tblW w:w="9637"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43"/>
        <w:gridCol w:w="1559"/>
        <w:gridCol w:w="1275"/>
        <w:gridCol w:w="1134"/>
        <w:gridCol w:w="1134"/>
        <w:gridCol w:w="993"/>
        <w:gridCol w:w="1134"/>
      </w:tblGrid>
      <w:tr w14:paraId="226C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65A75AEF">
            <w:pPr>
              <w:pageBreakBefore w:val="0"/>
              <w:kinsoku/>
              <w:wordWrap/>
              <w:overflowPunct/>
              <w:topLinePunct w:val="0"/>
              <w:bidi w:val="0"/>
              <w:spacing w:line="400" w:lineRule="exact"/>
              <w:jc w:val="both"/>
              <w:rPr>
                <w:rFonts w:hint="eastAsia" w:ascii="宋体" w:hAnsi="宋体" w:eastAsia="宋体" w:cs="宋体"/>
                <w:b w:val="0"/>
                <w:bCs/>
                <w:sz w:val="22"/>
                <w:szCs w:val="22"/>
              </w:rPr>
            </w:pPr>
            <w:r>
              <w:rPr>
                <w:rFonts w:hint="eastAsia" w:ascii="宋体" w:hAnsi="宋体" w:eastAsia="宋体" w:cs="宋体"/>
                <w:b w:val="0"/>
                <w:bCs/>
                <w:sz w:val="22"/>
                <w:szCs w:val="22"/>
                <w:lang w:bidi="ar"/>
              </w:rPr>
              <w:t>序号</w:t>
            </w:r>
          </w:p>
        </w:tc>
        <w:tc>
          <w:tcPr>
            <w:tcW w:w="1643" w:type="dxa"/>
            <w:tcBorders>
              <w:top w:val="single" w:color="auto" w:sz="4" w:space="0"/>
              <w:left w:val="nil"/>
              <w:bottom w:val="single" w:color="auto" w:sz="4" w:space="0"/>
              <w:right w:val="single" w:color="auto" w:sz="4" w:space="0"/>
            </w:tcBorders>
            <w:noWrap w:val="0"/>
            <w:vAlign w:val="center"/>
          </w:tcPr>
          <w:p w14:paraId="0CD10D9B">
            <w:pPr>
              <w:pageBreakBefore w:val="0"/>
              <w:kinsoku/>
              <w:wordWrap/>
              <w:overflowPunct/>
              <w:topLinePunct w:val="0"/>
              <w:bidi w:val="0"/>
              <w:spacing w:line="400" w:lineRule="exact"/>
              <w:jc w:val="both"/>
              <w:rPr>
                <w:rFonts w:hint="eastAsia" w:ascii="宋体" w:hAnsi="宋体" w:eastAsia="宋体" w:cs="宋体"/>
                <w:b w:val="0"/>
                <w:bCs/>
                <w:sz w:val="22"/>
                <w:szCs w:val="22"/>
              </w:rPr>
            </w:pPr>
            <w:r>
              <w:rPr>
                <w:rFonts w:hint="eastAsia" w:ascii="宋体" w:hAnsi="宋体" w:eastAsia="宋体" w:cs="宋体"/>
                <w:b w:val="0"/>
                <w:bCs/>
                <w:sz w:val="22"/>
                <w:szCs w:val="22"/>
                <w:lang w:bidi="ar"/>
              </w:rPr>
              <w:t>甲方单位</w:t>
            </w:r>
          </w:p>
        </w:tc>
        <w:tc>
          <w:tcPr>
            <w:tcW w:w="1559" w:type="dxa"/>
            <w:tcBorders>
              <w:top w:val="single" w:color="auto" w:sz="4" w:space="0"/>
              <w:left w:val="nil"/>
              <w:bottom w:val="single" w:color="auto" w:sz="4" w:space="0"/>
              <w:right w:val="single" w:color="auto" w:sz="4" w:space="0"/>
            </w:tcBorders>
            <w:noWrap w:val="0"/>
            <w:vAlign w:val="center"/>
          </w:tcPr>
          <w:p w14:paraId="2C42190A">
            <w:pPr>
              <w:pageBreakBefore w:val="0"/>
              <w:kinsoku/>
              <w:wordWrap/>
              <w:overflowPunct/>
              <w:topLinePunct w:val="0"/>
              <w:bidi w:val="0"/>
              <w:spacing w:line="400" w:lineRule="exact"/>
              <w:jc w:val="both"/>
              <w:rPr>
                <w:rFonts w:hint="eastAsia" w:ascii="宋体" w:hAnsi="宋体" w:eastAsia="宋体" w:cs="宋体"/>
                <w:b w:val="0"/>
                <w:bCs/>
                <w:sz w:val="22"/>
                <w:szCs w:val="22"/>
              </w:rPr>
            </w:pPr>
            <w:r>
              <w:rPr>
                <w:rFonts w:hint="eastAsia" w:ascii="宋体" w:hAnsi="宋体" w:eastAsia="宋体" w:cs="宋体"/>
                <w:b w:val="0"/>
                <w:bCs/>
                <w:sz w:val="22"/>
                <w:szCs w:val="22"/>
                <w:lang w:bidi="ar"/>
              </w:rPr>
              <w:t>项目名称</w:t>
            </w:r>
          </w:p>
        </w:tc>
        <w:tc>
          <w:tcPr>
            <w:tcW w:w="1275" w:type="dxa"/>
            <w:tcBorders>
              <w:top w:val="single" w:color="auto" w:sz="4" w:space="0"/>
              <w:left w:val="nil"/>
              <w:bottom w:val="single" w:color="auto" w:sz="4" w:space="0"/>
              <w:right w:val="single" w:color="auto" w:sz="4" w:space="0"/>
            </w:tcBorders>
            <w:noWrap w:val="0"/>
            <w:vAlign w:val="center"/>
          </w:tcPr>
          <w:p w14:paraId="4B09EA23">
            <w:pPr>
              <w:pageBreakBefore w:val="0"/>
              <w:kinsoku/>
              <w:wordWrap/>
              <w:overflowPunct/>
              <w:topLinePunct w:val="0"/>
              <w:bidi w:val="0"/>
              <w:spacing w:line="400" w:lineRule="exact"/>
              <w:jc w:val="both"/>
              <w:rPr>
                <w:rFonts w:hint="eastAsia" w:ascii="宋体" w:hAnsi="宋体" w:eastAsia="宋体" w:cs="宋体"/>
                <w:b w:val="0"/>
                <w:bCs/>
                <w:sz w:val="22"/>
                <w:szCs w:val="22"/>
              </w:rPr>
            </w:pPr>
            <w:r>
              <w:rPr>
                <w:rFonts w:hint="eastAsia" w:ascii="宋体" w:hAnsi="宋体" w:eastAsia="宋体" w:cs="宋体"/>
                <w:b w:val="0"/>
                <w:bCs/>
                <w:sz w:val="22"/>
                <w:szCs w:val="22"/>
                <w:lang w:bidi="ar"/>
              </w:rPr>
              <w:t>合同金额</w:t>
            </w:r>
          </w:p>
        </w:tc>
        <w:tc>
          <w:tcPr>
            <w:tcW w:w="1134" w:type="dxa"/>
            <w:tcBorders>
              <w:top w:val="single" w:color="auto" w:sz="4" w:space="0"/>
              <w:left w:val="nil"/>
              <w:bottom w:val="single" w:color="auto" w:sz="4" w:space="0"/>
              <w:right w:val="single" w:color="auto" w:sz="4" w:space="0"/>
            </w:tcBorders>
            <w:noWrap w:val="0"/>
            <w:vAlign w:val="center"/>
          </w:tcPr>
          <w:p w14:paraId="7D5603F4">
            <w:pPr>
              <w:pageBreakBefore w:val="0"/>
              <w:kinsoku/>
              <w:wordWrap/>
              <w:overflowPunct/>
              <w:topLinePunct w:val="0"/>
              <w:bidi w:val="0"/>
              <w:spacing w:line="400" w:lineRule="exact"/>
              <w:jc w:val="both"/>
              <w:rPr>
                <w:rFonts w:hint="eastAsia" w:ascii="宋体" w:hAnsi="宋体" w:eastAsia="宋体" w:cs="宋体"/>
                <w:b w:val="0"/>
                <w:bCs/>
                <w:sz w:val="22"/>
                <w:szCs w:val="22"/>
              </w:rPr>
            </w:pPr>
            <w:r>
              <w:rPr>
                <w:rFonts w:hint="eastAsia" w:ascii="宋体" w:hAnsi="宋体" w:eastAsia="宋体" w:cs="宋体"/>
                <w:b w:val="0"/>
                <w:bCs/>
                <w:sz w:val="22"/>
                <w:szCs w:val="22"/>
                <w:lang w:bidi="ar"/>
              </w:rPr>
              <w:t>合同主要内容</w:t>
            </w:r>
          </w:p>
        </w:tc>
        <w:tc>
          <w:tcPr>
            <w:tcW w:w="1134" w:type="dxa"/>
            <w:tcBorders>
              <w:top w:val="single" w:color="auto" w:sz="4" w:space="0"/>
              <w:left w:val="nil"/>
              <w:bottom w:val="single" w:color="auto" w:sz="4" w:space="0"/>
              <w:right w:val="single" w:color="auto" w:sz="4" w:space="0"/>
            </w:tcBorders>
            <w:noWrap w:val="0"/>
            <w:vAlign w:val="center"/>
          </w:tcPr>
          <w:p w14:paraId="57B4B0BD">
            <w:pPr>
              <w:pageBreakBefore w:val="0"/>
              <w:kinsoku/>
              <w:wordWrap/>
              <w:overflowPunct/>
              <w:topLinePunct w:val="0"/>
              <w:bidi w:val="0"/>
              <w:spacing w:line="400" w:lineRule="exact"/>
              <w:jc w:val="both"/>
              <w:rPr>
                <w:rFonts w:hint="eastAsia" w:ascii="宋体" w:hAnsi="宋体" w:eastAsia="宋体" w:cs="宋体"/>
                <w:b w:val="0"/>
                <w:bCs/>
                <w:sz w:val="22"/>
                <w:szCs w:val="22"/>
              </w:rPr>
            </w:pPr>
            <w:r>
              <w:rPr>
                <w:rFonts w:hint="eastAsia" w:ascii="宋体" w:hAnsi="宋体" w:eastAsia="宋体" w:cs="宋体"/>
                <w:b w:val="0"/>
                <w:bCs/>
                <w:sz w:val="22"/>
                <w:szCs w:val="22"/>
                <w:lang w:bidi="ar"/>
              </w:rPr>
              <w:t>合同起止之间</w:t>
            </w:r>
          </w:p>
        </w:tc>
        <w:tc>
          <w:tcPr>
            <w:tcW w:w="993" w:type="dxa"/>
            <w:tcBorders>
              <w:top w:val="single" w:color="auto" w:sz="4" w:space="0"/>
              <w:left w:val="nil"/>
              <w:bottom w:val="single" w:color="auto" w:sz="4" w:space="0"/>
              <w:right w:val="single" w:color="auto" w:sz="4" w:space="0"/>
            </w:tcBorders>
            <w:noWrap w:val="0"/>
            <w:vAlign w:val="center"/>
          </w:tcPr>
          <w:p w14:paraId="3C252631">
            <w:pPr>
              <w:pageBreakBefore w:val="0"/>
              <w:kinsoku/>
              <w:wordWrap/>
              <w:overflowPunct/>
              <w:topLinePunct w:val="0"/>
              <w:bidi w:val="0"/>
              <w:spacing w:line="400" w:lineRule="exact"/>
              <w:jc w:val="both"/>
              <w:rPr>
                <w:rFonts w:hint="eastAsia" w:ascii="宋体" w:hAnsi="宋体" w:eastAsia="宋体" w:cs="宋体"/>
                <w:b w:val="0"/>
                <w:bCs/>
                <w:sz w:val="22"/>
                <w:szCs w:val="22"/>
              </w:rPr>
            </w:pPr>
            <w:r>
              <w:rPr>
                <w:rFonts w:hint="eastAsia" w:ascii="宋体" w:hAnsi="宋体" w:eastAsia="宋体" w:cs="宋体"/>
                <w:b w:val="0"/>
                <w:bCs/>
                <w:sz w:val="22"/>
                <w:szCs w:val="22"/>
                <w:lang w:bidi="ar"/>
              </w:rPr>
              <w:t>甲方联系人</w:t>
            </w:r>
          </w:p>
        </w:tc>
        <w:tc>
          <w:tcPr>
            <w:tcW w:w="1134" w:type="dxa"/>
            <w:tcBorders>
              <w:top w:val="single" w:color="auto" w:sz="4" w:space="0"/>
              <w:left w:val="nil"/>
              <w:bottom w:val="single" w:color="auto" w:sz="4" w:space="0"/>
              <w:right w:val="single" w:color="auto" w:sz="4" w:space="0"/>
            </w:tcBorders>
            <w:noWrap w:val="0"/>
            <w:vAlign w:val="center"/>
          </w:tcPr>
          <w:p w14:paraId="5F05CAAE">
            <w:pPr>
              <w:pageBreakBefore w:val="0"/>
              <w:kinsoku/>
              <w:wordWrap/>
              <w:overflowPunct/>
              <w:topLinePunct w:val="0"/>
              <w:bidi w:val="0"/>
              <w:spacing w:line="400" w:lineRule="exact"/>
              <w:jc w:val="both"/>
              <w:rPr>
                <w:rFonts w:hint="eastAsia" w:ascii="宋体" w:hAnsi="宋体" w:eastAsia="宋体" w:cs="宋体"/>
                <w:b w:val="0"/>
                <w:bCs/>
                <w:sz w:val="22"/>
                <w:szCs w:val="22"/>
              </w:rPr>
            </w:pPr>
            <w:r>
              <w:rPr>
                <w:rFonts w:hint="eastAsia" w:ascii="宋体" w:hAnsi="宋体" w:eastAsia="宋体" w:cs="宋体"/>
                <w:b w:val="0"/>
                <w:bCs/>
                <w:sz w:val="22"/>
                <w:szCs w:val="22"/>
                <w:lang w:bidi="ar"/>
              </w:rPr>
              <w:t>甲方联系电话</w:t>
            </w:r>
          </w:p>
        </w:tc>
      </w:tr>
      <w:tr w14:paraId="4C61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03462624">
            <w:pPr>
              <w:pageBreakBefore w:val="0"/>
              <w:kinsoku/>
              <w:wordWrap/>
              <w:overflowPunct/>
              <w:topLinePunct w:val="0"/>
              <w:bidi w:val="0"/>
              <w:jc w:val="both"/>
              <w:rPr>
                <w:rFonts w:hint="eastAsia" w:ascii="宋体" w:hAnsi="宋体" w:eastAsia="宋体" w:cs="宋体"/>
                <w:b w:val="0"/>
                <w:bCs/>
              </w:rPr>
            </w:pPr>
          </w:p>
        </w:tc>
        <w:tc>
          <w:tcPr>
            <w:tcW w:w="1643" w:type="dxa"/>
            <w:tcBorders>
              <w:top w:val="single" w:color="auto" w:sz="4" w:space="0"/>
              <w:left w:val="nil"/>
              <w:bottom w:val="single" w:color="auto" w:sz="4" w:space="0"/>
              <w:right w:val="single" w:color="auto" w:sz="4" w:space="0"/>
            </w:tcBorders>
            <w:noWrap w:val="0"/>
            <w:vAlign w:val="center"/>
          </w:tcPr>
          <w:p w14:paraId="6CF318D8">
            <w:pPr>
              <w:pageBreakBefore w:val="0"/>
              <w:kinsoku/>
              <w:wordWrap/>
              <w:overflowPunct/>
              <w:topLinePunct w:val="0"/>
              <w:bidi w:val="0"/>
              <w:jc w:val="both"/>
              <w:rPr>
                <w:rFonts w:hint="eastAsia" w:ascii="宋体" w:hAnsi="宋体" w:eastAsia="宋体" w:cs="宋体"/>
                <w:b w:val="0"/>
                <w:bCs/>
              </w:rPr>
            </w:pPr>
          </w:p>
        </w:tc>
        <w:tc>
          <w:tcPr>
            <w:tcW w:w="1559" w:type="dxa"/>
            <w:tcBorders>
              <w:top w:val="single" w:color="auto" w:sz="4" w:space="0"/>
              <w:left w:val="nil"/>
              <w:bottom w:val="single" w:color="auto" w:sz="4" w:space="0"/>
              <w:right w:val="single" w:color="auto" w:sz="4" w:space="0"/>
            </w:tcBorders>
            <w:noWrap w:val="0"/>
            <w:vAlign w:val="center"/>
          </w:tcPr>
          <w:p w14:paraId="7BA2F27C">
            <w:pPr>
              <w:pageBreakBefore w:val="0"/>
              <w:kinsoku/>
              <w:wordWrap/>
              <w:overflowPunct/>
              <w:topLinePunct w:val="0"/>
              <w:bidi w:val="0"/>
              <w:jc w:val="both"/>
              <w:rPr>
                <w:rFonts w:hint="eastAsia" w:ascii="宋体" w:hAnsi="宋体" w:eastAsia="宋体" w:cs="宋体"/>
                <w:b w:val="0"/>
                <w:bCs/>
              </w:rPr>
            </w:pPr>
          </w:p>
        </w:tc>
        <w:tc>
          <w:tcPr>
            <w:tcW w:w="1275" w:type="dxa"/>
            <w:tcBorders>
              <w:top w:val="single" w:color="auto" w:sz="4" w:space="0"/>
              <w:left w:val="nil"/>
              <w:bottom w:val="single" w:color="auto" w:sz="4" w:space="0"/>
              <w:right w:val="single" w:color="auto" w:sz="4" w:space="0"/>
            </w:tcBorders>
            <w:noWrap w:val="0"/>
            <w:vAlign w:val="center"/>
          </w:tcPr>
          <w:p w14:paraId="1A3D6358">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1B8DA9B6">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09AD65DB">
            <w:pPr>
              <w:pageBreakBefore w:val="0"/>
              <w:kinsoku/>
              <w:wordWrap/>
              <w:overflowPunct/>
              <w:topLinePunct w:val="0"/>
              <w:bidi w:val="0"/>
              <w:jc w:val="both"/>
              <w:rPr>
                <w:rFonts w:hint="eastAsia" w:ascii="宋体" w:hAnsi="宋体" w:eastAsia="宋体" w:cs="宋体"/>
                <w:b w:val="0"/>
                <w:bCs/>
              </w:rPr>
            </w:pPr>
          </w:p>
        </w:tc>
        <w:tc>
          <w:tcPr>
            <w:tcW w:w="993" w:type="dxa"/>
            <w:tcBorders>
              <w:top w:val="single" w:color="auto" w:sz="4" w:space="0"/>
              <w:left w:val="nil"/>
              <w:bottom w:val="single" w:color="auto" w:sz="4" w:space="0"/>
              <w:right w:val="single" w:color="auto" w:sz="4" w:space="0"/>
            </w:tcBorders>
            <w:noWrap w:val="0"/>
            <w:vAlign w:val="center"/>
          </w:tcPr>
          <w:p w14:paraId="2B4977CA">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304BA0BE">
            <w:pPr>
              <w:pageBreakBefore w:val="0"/>
              <w:kinsoku/>
              <w:wordWrap/>
              <w:overflowPunct/>
              <w:topLinePunct w:val="0"/>
              <w:bidi w:val="0"/>
              <w:jc w:val="both"/>
              <w:rPr>
                <w:rFonts w:hint="eastAsia" w:ascii="宋体" w:hAnsi="宋体" w:eastAsia="宋体" w:cs="宋体"/>
                <w:b w:val="0"/>
                <w:bCs/>
              </w:rPr>
            </w:pPr>
          </w:p>
        </w:tc>
      </w:tr>
      <w:tr w14:paraId="26A3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3A69B03C">
            <w:pPr>
              <w:pageBreakBefore w:val="0"/>
              <w:kinsoku/>
              <w:wordWrap/>
              <w:overflowPunct/>
              <w:topLinePunct w:val="0"/>
              <w:bidi w:val="0"/>
              <w:jc w:val="both"/>
              <w:rPr>
                <w:rFonts w:hint="eastAsia" w:ascii="宋体" w:hAnsi="宋体" w:eastAsia="宋体" w:cs="宋体"/>
                <w:b w:val="0"/>
                <w:bCs/>
              </w:rPr>
            </w:pPr>
          </w:p>
        </w:tc>
        <w:tc>
          <w:tcPr>
            <w:tcW w:w="1643" w:type="dxa"/>
            <w:tcBorders>
              <w:top w:val="single" w:color="auto" w:sz="4" w:space="0"/>
              <w:left w:val="nil"/>
              <w:bottom w:val="single" w:color="auto" w:sz="4" w:space="0"/>
              <w:right w:val="single" w:color="auto" w:sz="4" w:space="0"/>
            </w:tcBorders>
            <w:noWrap w:val="0"/>
            <w:vAlign w:val="center"/>
          </w:tcPr>
          <w:p w14:paraId="7608E402">
            <w:pPr>
              <w:pageBreakBefore w:val="0"/>
              <w:kinsoku/>
              <w:wordWrap/>
              <w:overflowPunct/>
              <w:topLinePunct w:val="0"/>
              <w:bidi w:val="0"/>
              <w:jc w:val="both"/>
              <w:rPr>
                <w:rFonts w:hint="eastAsia" w:ascii="宋体" w:hAnsi="宋体" w:eastAsia="宋体" w:cs="宋体"/>
                <w:b w:val="0"/>
                <w:bCs/>
              </w:rPr>
            </w:pPr>
          </w:p>
        </w:tc>
        <w:tc>
          <w:tcPr>
            <w:tcW w:w="1559" w:type="dxa"/>
            <w:tcBorders>
              <w:top w:val="single" w:color="auto" w:sz="4" w:space="0"/>
              <w:left w:val="nil"/>
              <w:bottom w:val="single" w:color="auto" w:sz="4" w:space="0"/>
              <w:right w:val="single" w:color="auto" w:sz="4" w:space="0"/>
            </w:tcBorders>
            <w:noWrap w:val="0"/>
            <w:vAlign w:val="center"/>
          </w:tcPr>
          <w:p w14:paraId="0DEAA37E">
            <w:pPr>
              <w:pageBreakBefore w:val="0"/>
              <w:kinsoku/>
              <w:wordWrap/>
              <w:overflowPunct/>
              <w:topLinePunct w:val="0"/>
              <w:bidi w:val="0"/>
              <w:jc w:val="both"/>
              <w:rPr>
                <w:rFonts w:hint="eastAsia" w:ascii="宋体" w:hAnsi="宋体" w:eastAsia="宋体" w:cs="宋体"/>
                <w:b w:val="0"/>
                <w:bCs/>
              </w:rPr>
            </w:pPr>
          </w:p>
        </w:tc>
        <w:tc>
          <w:tcPr>
            <w:tcW w:w="1275" w:type="dxa"/>
            <w:tcBorders>
              <w:top w:val="single" w:color="auto" w:sz="4" w:space="0"/>
              <w:left w:val="nil"/>
              <w:bottom w:val="single" w:color="auto" w:sz="4" w:space="0"/>
              <w:right w:val="single" w:color="auto" w:sz="4" w:space="0"/>
            </w:tcBorders>
            <w:noWrap w:val="0"/>
            <w:vAlign w:val="center"/>
          </w:tcPr>
          <w:p w14:paraId="167338C7">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2D8FBE76">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69B31198">
            <w:pPr>
              <w:pageBreakBefore w:val="0"/>
              <w:kinsoku/>
              <w:wordWrap/>
              <w:overflowPunct/>
              <w:topLinePunct w:val="0"/>
              <w:bidi w:val="0"/>
              <w:jc w:val="both"/>
              <w:rPr>
                <w:rFonts w:hint="eastAsia" w:ascii="宋体" w:hAnsi="宋体" w:eastAsia="宋体" w:cs="宋体"/>
                <w:b w:val="0"/>
                <w:bCs/>
              </w:rPr>
            </w:pPr>
          </w:p>
        </w:tc>
        <w:tc>
          <w:tcPr>
            <w:tcW w:w="993" w:type="dxa"/>
            <w:tcBorders>
              <w:top w:val="single" w:color="auto" w:sz="4" w:space="0"/>
              <w:left w:val="nil"/>
              <w:bottom w:val="single" w:color="auto" w:sz="4" w:space="0"/>
              <w:right w:val="single" w:color="auto" w:sz="4" w:space="0"/>
            </w:tcBorders>
            <w:noWrap w:val="0"/>
            <w:vAlign w:val="center"/>
          </w:tcPr>
          <w:p w14:paraId="0EDA6817">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61401816">
            <w:pPr>
              <w:pageBreakBefore w:val="0"/>
              <w:kinsoku/>
              <w:wordWrap/>
              <w:overflowPunct/>
              <w:topLinePunct w:val="0"/>
              <w:bidi w:val="0"/>
              <w:jc w:val="both"/>
              <w:rPr>
                <w:rFonts w:hint="eastAsia" w:ascii="宋体" w:hAnsi="宋体" w:eastAsia="宋体" w:cs="宋体"/>
                <w:b w:val="0"/>
                <w:bCs/>
              </w:rPr>
            </w:pPr>
          </w:p>
        </w:tc>
      </w:tr>
      <w:tr w14:paraId="654F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42349479">
            <w:pPr>
              <w:pageBreakBefore w:val="0"/>
              <w:kinsoku/>
              <w:wordWrap/>
              <w:overflowPunct/>
              <w:topLinePunct w:val="0"/>
              <w:bidi w:val="0"/>
              <w:jc w:val="both"/>
              <w:rPr>
                <w:rFonts w:hint="eastAsia" w:ascii="宋体" w:hAnsi="宋体" w:eastAsia="宋体" w:cs="宋体"/>
                <w:b w:val="0"/>
                <w:bCs/>
              </w:rPr>
            </w:pPr>
          </w:p>
        </w:tc>
        <w:tc>
          <w:tcPr>
            <w:tcW w:w="1643" w:type="dxa"/>
            <w:tcBorders>
              <w:top w:val="single" w:color="auto" w:sz="4" w:space="0"/>
              <w:left w:val="nil"/>
              <w:bottom w:val="single" w:color="auto" w:sz="4" w:space="0"/>
              <w:right w:val="single" w:color="auto" w:sz="4" w:space="0"/>
            </w:tcBorders>
            <w:noWrap w:val="0"/>
            <w:vAlign w:val="center"/>
          </w:tcPr>
          <w:p w14:paraId="368687B8">
            <w:pPr>
              <w:pageBreakBefore w:val="0"/>
              <w:kinsoku/>
              <w:wordWrap/>
              <w:overflowPunct/>
              <w:topLinePunct w:val="0"/>
              <w:bidi w:val="0"/>
              <w:jc w:val="both"/>
              <w:rPr>
                <w:rFonts w:hint="eastAsia" w:ascii="宋体" w:hAnsi="宋体" w:eastAsia="宋体" w:cs="宋体"/>
                <w:b w:val="0"/>
                <w:bCs/>
              </w:rPr>
            </w:pPr>
          </w:p>
        </w:tc>
        <w:tc>
          <w:tcPr>
            <w:tcW w:w="1559" w:type="dxa"/>
            <w:tcBorders>
              <w:top w:val="single" w:color="auto" w:sz="4" w:space="0"/>
              <w:left w:val="nil"/>
              <w:bottom w:val="single" w:color="auto" w:sz="4" w:space="0"/>
              <w:right w:val="single" w:color="auto" w:sz="4" w:space="0"/>
            </w:tcBorders>
            <w:noWrap w:val="0"/>
            <w:vAlign w:val="center"/>
          </w:tcPr>
          <w:p w14:paraId="632BE6A5">
            <w:pPr>
              <w:pageBreakBefore w:val="0"/>
              <w:kinsoku/>
              <w:wordWrap/>
              <w:overflowPunct/>
              <w:topLinePunct w:val="0"/>
              <w:bidi w:val="0"/>
              <w:jc w:val="both"/>
              <w:rPr>
                <w:rFonts w:hint="eastAsia" w:ascii="宋体" w:hAnsi="宋体" w:eastAsia="宋体" w:cs="宋体"/>
                <w:b w:val="0"/>
                <w:bCs/>
              </w:rPr>
            </w:pPr>
          </w:p>
        </w:tc>
        <w:tc>
          <w:tcPr>
            <w:tcW w:w="1275" w:type="dxa"/>
            <w:tcBorders>
              <w:top w:val="single" w:color="auto" w:sz="4" w:space="0"/>
              <w:left w:val="nil"/>
              <w:bottom w:val="single" w:color="auto" w:sz="4" w:space="0"/>
              <w:right w:val="single" w:color="auto" w:sz="4" w:space="0"/>
            </w:tcBorders>
            <w:noWrap w:val="0"/>
            <w:vAlign w:val="center"/>
          </w:tcPr>
          <w:p w14:paraId="18E08FD0">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06A9CCAA">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70A682EA">
            <w:pPr>
              <w:pageBreakBefore w:val="0"/>
              <w:kinsoku/>
              <w:wordWrap/>
              <w:overflowPunct/>
              <w:topLinePunct w:val="0"/>
              <w:bidi w:val="0"/>
              <w:jc w:val="both"/>
              <w:rPr>
                <w:rFonts w:hint="eastAsia" w:ascii="宋体" w:hAnsi="宋体" w:eastAsia="宋体" w:cs="宋体"/>
                <w:b w:val="0"/>
                <w:bCs/>
              </w:rPr>
            </w:pPr>
          </w:p>
        </w:tc>
        <w:tc>
          <w:tcPr>
            <w:tcW w:w="993" w:type="dxa"/>
            <w:tcBorders>
              <w:top w:val="single" w:color="auto" w:sz="4" w:space="0"/>
              <w:left w:val="nil"/>
              <w:bottom w:val="single" w:color="auto" w:sz="4" w:space="0"/>
              <w:right w:val="single" w:color="auto" w:sz="4" w:space="0"/>
            </w:tcBorders>
            <w:noWrap w:val="0"/>
            <w:vAlign w:val="center"/>
          </w:tcPr>
          <w:p w14:paraId="6D1E812A">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27317A36">
            <w:pPr>
              <w:pageBreakBefore w:val="0"/>
              <w:kinsoku/>
              <w:wordWrap/>
              <w:overflowPunct/>
              <w:topLinePunct w:val="0"/>
              <w:bidi w:val="0"/>
              <w:jc w:val="both"/>
              <w:rPr>
                <w:rFonts w:hint="eastAsia" w:ascii="宋体" w:hAnsi="宋体" w:eastAsia="宋体" w:cs="宋体"/>
                <w:b w:val="0"/>
                <w:bCs/>
              </w:rPr>
            </w:pPr>
          </w:p>
        </w:tc>
      </w:tr>
      <w:tr w14:paraId="65DA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563D6BEB">
            <w:pPr>
              <w:pageBreakBefore w:val="0"/>
              <w:kinsoku/>
              <w:wordWrap/>
              <w:overflowPunct/>
              <w:topLinePunct w:val="0"/>
              <w:bidi w:val="0"/>
              <w:jc w:val="both"/>
              <w:rPr>
                <w:rFonts w:hint="eastAsia" w:ascii="宋体" w:hAnsi="宋体" w:eastAsia="宋体" w:cs="宋体"/>
                <w:b w:val="0"/>
                <w:bCs/>
              </w:rPr>
            </w:pPr>
          </w:p>
        </w:tc>
        <w:tc>
          <w:tcPr>
            <w:tcW w:w="1643" w:type="dxa"/>
            <w:tcBorders>
              <w:top w:val="single" w:color="auto" w:sz="4" w:space="0"/>
              <w:left w:val="nil"/>
              <w:bottom w:val="single" w:color="auto" w:sz="4" w:space="0"/>
              <w:right w:val="single" w:color="auto" w:sz="4" w:space="0"/>
            </w:tcBorders>
            <w:noWrap w:val="0"/>
            <w:vAlign w:val="center"/>
          </w:tcPr>
          <w:p w14:paraId="08F17705">
            <w:pPr>
              <w:pageBreakBefore w:val="0"/>
              <w:kinsoku/>
              <w:wordWrap/>
              <w:overflowPunct/>
              <w:topLinePunct w:val="0"/>
              <w:bidi w:val="0"/>
              <w:jc w:val="both"/>
              <w:rPr>
                <w:rFonts w:hint="eastAsia" w:ascii="宋体" w:hAnsi="宋体" w:eastAsia="宋体" w:cs="宋体"/>
                <w:b w:val="0"/>
                <w:bCs/>
              </w:rPr>
            </w:pPr>
          </w:p>
        </w:tc>
        <w:tc>
          <w:tcPr>
            <w:tcW w:w="1559" w:type="dxa"/>
            <w:tcBorders>
              <w:top w:val="single" w:color="auto" w:sz="4" w:space="0"/>
              <w:left w:val="nil"/>
              <w:bottom w:val="single" w:color="auto" w:sz="4" w:space="0"/>
              <w:right w:val="single" w:color="auto" w:sz="4" w:space="0"/>
            </w:tcBorders>
            <w:noWrap w:val="0"/>
            <w:vAlign w:val="center"/>
          </w:tcPr>
          <w:p w14:paraId="44CB4AA8">
            <w:pPr>
              <w:pageBreakBefore w:val="0"/>
              <w:kinsoku/>
              <w:wordWrap/>
              <w:overflowPunct/>
              <w:topLinePunct w:val="0"/>
              <w:bidi w:val="0"/>
              <w:jc w:val="both"/>
              <w:rPr>
                <w:rFonts w:hint="eastAsia" w:ascii="宋体" w:hAnsi="宋体" w:eastAsia="宋体" w:cs="宋体"/>
                <w:b w:val="0"/>
                <w:bCs/>
              </w:rPr>
            </w:pPr>
          </w:p>
        </w:tc>
        <w:tc>
          <w:tcPr>
            <w:tcW w:w="1275" w:type="dxa"/>
            <w:tcBorders>
              <w:top w:val="single" w:color="auto" w:sz="4" w:space="0"/>
              <w:left w:val="nil"/>
              <w:bottom w:val="single" w:color="auto" w:sz="4" w:space="0"/>
              <w:right w:val="single" w:color="auto" w:sz="4" w:space="0"/>
            </w:tcBorders>
            <w:noWrap w:val="0"/>
            <w:vAlign w:val="center"/>
          </w:tcPr>
          <w:p w14:paraId="29C8A1E1">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05F590AC">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1B3214B6">
            <w:pPr>
              <w:pageBreakBefore w:val="0"/>
              <w:kinsoku/>
              <w:wordWrap/>
              <w:overflowPunct/>
              <w:topLinePunct w:val="0"/>
              <w:bidi w:val="0"/>
              <w:jc w:val="both"/>
              <w:rPr>
                <w:rFonts w:hint="eastAsia" w:ascii="宋体" w:hAnsi="宋体" w:eastAsia="宋体" w:cs="宋体"/>
                <w:b w:val="0"/>
                <w:bCs/>
              </w:rPr>
            </w:pPr>
          </w:p>
        </w:tc>
        <w:tc>
          <w:tcPr>
            <w:tcW w:w="993" w:type="dxa"/>
            <w:tcBorders>
              <w:top w:val="single" w:color="auto" w:sz="4" w:space="0"/>
              <w:left w:val="nil"/>
              <w:bottom w:val="single" w:color="auto" w:sz="4" w:space="0"/>
              <w:right w:val="single" w:color="auto" w:sz="4" w:space="0"/>
            </w:tcBorders>
            <w:noWrap w:val="0"/>
            <w:vAlign w:val="center"/>
          </w:tcPr>
          <w:p w14:paraId="01933E06">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61ABB262">
            <w:pPr>
              <w:pageBreakBefore w:val="0"/>
              <w:kinsoku/>
              <w:wordWrap/>
              <w:overflowPunct/>
              <w:topLinePunct w:val="0"/>
              <w:bidi w:val="0"/>
              <w:jc w:val="both"/>
              <w:rPr>
                <w:rFonts w:hint="eastAsia" w:ascii="宋体" w:hAnsi="宋体" w:eastAsia="宋体" w:cs="宋体"/>
                <w:b w:val="0"/>
                <w:bCs/>
              </w:rPr>
            </w:pPr>
          </w:p>
        </w:tc>
      </w:tr>
      <w:tr w14:paraId="3F54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4CE3AB8A">
            <w:pPr>
              <w:pageBreakBefore w:val="0"/>
              <w:kinsoku/>
              <w:wordWrap/>
              <w:overflowPunct/>
              <w:topLinePunct w:val="0"/>
              <w:bidi w:val="0"/>
              <w:jc w:val="both"/>
              <w:rPr>
                <w:rFonts w:hint="eastAsia" w:ascii="宋体" w:hAnsi="宋体" w:eastAsia="宋体" w:cs="宋体"/>
                <w:b w:val="0"/>
                <w:bCs/>
              </w:rPr>
            </w:pPr>
          </w:p>
        </w:tc>
        <w:tc>
          <w:tcPr>
            <w:tcW w:w="1643" w:type="dxa"/>
            <w:tcBorders>
              <w:top w:val="single" w:color="auto" w:sz="4" w:space="0"/>
              <w:left w:val="nil"/>
              <w:bottom w:val="single" w:color="auto" w:sz="4" w:space="0"/>
              <w:right w:val="single" w:color="auto" w:sz="4" w:space="0"/>
            </w:tcBorders>
            <w:noWrap w:val="0"/>
            <w:vAlign w:val="center"/>
          </w:tcPr>
          <w:p w14:paraId="1988106D">
            <w:pPr>
              <w:pageBreakBefore w:val="0"/>
              <w:kinsoku/>
              <w:wordWrap/>
              <w:overflowPunct/>
              <w:topLinePunct w:val="0"/>
              <w:bidi w:val="0"/>
              <w:jc w:val="both"/>
              <w:rPr>
                <w:rFonts w:hint="eastAsia" w:ascii="宋体" w:hAnsi="宋体" w:eastAsia="宋体" w:cs="宋体"/>
                <w:b w:val="0"/>
                <w:bCs/>
              </w:rPr>
            </w:pPr>
          </w:p>
        </w:tc>
        <w:tc>
          <w:tcPr>
            <w:tcW w:w="1559" w:type="dxa"/>
            <w:tcBorders>
              <w:top w:val="single" w:color="auto" w:sz="4" w:space="0"/>
              <w:left w:val="nil"/>
              <w:bottom w:val="single" w:color="auto" w:sz="4" w:space="0"/>
              <w:right w:val="single" w:color="auto" w:sz="4" w:space="0"/>
            </w:tcBorders>
            <w:noWrap w:val="0"/>
            <w:vAlign w:val="center"/>
          </w:tcPr>
          <w:p w14:paraId="0238AD7C">
            <w:pPr>
              <w:pageBreakBefore w:val="0"/>
              <w:kinsoku/>
              <w:wordWrap/>
              <w:overflowPunct/>
              <w:topLinePunct w:val="0"/>
              <w:bidi w:val="0"/>
              <w:jc w:val="both"/>
              <w:rPr>
                <w:rFonts w:hint="eastAsia" w:ascii="宋体" w:hAnsi="宋体" w:eastAsia="宋体" w:cs="宋体"/>
                <w:b w:val="0"/>
                <w:bCs/>
              </w:rPr>
            </w:pPr>
          </w:p>
        </w:tc>
        <w:tc>
          <w:tcPr>
            <w:tcW w:w="1275" w:type="dxa"/>
            <w:tcBorders>
              <w:top w:val="single" w:color="auto" w:sz="4" w:space="0"/>
              <w:left w:val="nil"/>
              <w:bottom w:val="single" w:color="auto" w:sz="4" w:space="0"/>
              <w:right w:val="single" w:color="auto" w:sz="4" w:space="0"/>
            </w:tcBorders>
            <w:noWrap w:val="0"/>
            <w:vAlign w:val="center"/>
          </w:tcPr>
          <w:p w14:paraId="708D1CDC">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39B6AAE8">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3C43FF53">
            <w:pPr>
              <w:pageBreakBefore w:val="0"/>
              <w:kinsoku/>
              <w:wordWrap/>
              <w:overflowPunct/>
              <w:topLinePunct w:val="0"/>
              <w:bidi w:val="0"/>
              <w:jc w:val="both"/>
              <w:rPr>
                <w:rFonts w:hint="eastAsia" w:ascii="宋体" w:hAnsi="宋体" w:eastAsia="宋体" w:cs="宋体"/>
                <w:b w:val="0"/>
                <w:bCs/>
              </w:rPr>
            </w:pPr>
          </w:p>
        </w:tc>
        <w:tc>
          <w:tcPr>
            <w:tcW w:w="993" w:type="dxa"/>
            <w:tcBorders>
              <w:top w:val="single" w:color="auto" w:sz="4" w:space="0"/>
              <w:left w:val="nil"/>
              <w:bottom w:val="single" w:color="auto" w:sz="4" w:space="0"/>
              <w:right w:val="single" w:color="auto" w:sz="4" w:space="0"/>
            </w:tcBorders>
            <w:noWrap w:val="0"/>
            <w:vAlign w:val="center"/>
          </w:tcPr>
          <w:p w14:paraId="200A6A67">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0B08862A">
            <w:pPr>
              <w:pageBreakBefore w:val="0"/>
              <w:kinsoku/>
              <w:wordWrap/>
              <w:overflowPunct/>
              <w:topLinePunct w:val="0"/>
              <w:bidi w:val="0"/>
              <w:jc w:val="both"/>
              <w:rPr>
                <w:rFonts w:hint="eastAsia" w:ascii="宋体" w:hAnsi="宋体" w:eastAsia="宋体" w:cs="宋体"/>
                <w:b w:val="0"/>
                <w:bCs/>
              </w:rPr>
            </w:pPr>
          </w:p>
        </w:tc>
      </w:tr>
      <w:tr w14:paraId="1074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6AE0074C">
            <w:pPr>
              <w:pageBreakBefore w:val="0"/>
              <w:kinsoku/>
              <w:wordWrap/>
              <w:overflowPunct/>
              <w:topLinePunct w:val="0"/>
              <w:bidi w:val="0"/>
              <w:jc w:val="both"/>
              <w:rPr>
                <w:rFonts w:hint="eastAsia" w:ascii="宋体" w:hAnsi="宋体" w:eastAsia="宋体" w:cs="宋体"/>
                <w:b w:val="0"/>
                <w:bCs/>
              </w:rPr>
            </w:pPr>
          </w:p>
        </w:tc>
        <w:tc>
          <w:tcPr>
            <w:tcW w:w="1643" w:type="dxa"/>
            <w:tcBorders>
              <w:top w:val="single" w:color="auto" w:sz="4" w:space="0"/>
              <w:left w:val="nil"/>
              <w:bottom w:val="single" w:color="auto" w:sz="4" w:space="0"/>
              <w:right w:val="single" w:color="auto" w:sz="4" w:space="0"/>
            </w:tcBorders>
            <w:noWrap w:val="0"/>
            <w:vAlign w:val="center"/>
          </w:tcPr>
          <w:p w14:paraId="36565696">
            <w:pPr>
              <w:pageBreakBefore w:val="0"/>
              <w:kinsoku/>
              <w:wordWrap/>
              <w:overflowPunct/>
              <w:topLinePunct w:val="0"/>
              <w:bidi w:val="0"/>
              <w:jc w:val="both"/>
              <w:rPr>
                <w:rFonts w:hint="eastAsia" w:ascii="宋体" w:hAnsi="宋体" w:eastAsia="宋体" w:cs="宋体"/>
                <w:b w:val="0"/>
                <w:bCs/>
              </w:rPr>
            </w:pPr>
          </w:p>
        </w:tc>
        <w:tc>
          <w:tcPr>
            <w:tcW w:w="1559" w:type="dxa"/>
            <w:tcBorders>
              <w:top w:val="single" w:color="auto" w:sz="4" w:space="0"/>
              <w:left w:val="nil"/>
              <w:bottom w:val="single" w:color="auto" w:sz="4" w:space="0"/>
              <w:right w:val="single" w:color="auto" w:sz="4" w:space="0"/>
            </w:tcBorders>
            <w:noWrap w:val="0"/>
            <w:vAlign w:val="center"/>
          </w:tcPr>
          <w:p w14:paraId="0AB5D17C">
            <w:pPr>
              <w:pageBreakBefore w:val="0"/>
              <w:kinsoku/>
              <w:wordWrap/>
              <w:overflowPunct/>
              <w:topLinePunct w:val="0"/>
              <w:bidi w:val="0"/>
              <w:jc w:val="both"/>
              <w:rPr>
                <w:rFonts w:hint="eastAsia" w:ascii="宋体" w:hAnsi="宋体" w:eastAsia="宋体" w:cs="宋体"/>
                <w:b w:val="0"/>
                <w:bCs/>
              </w:rPr>
            </w:pPr>
          </w:p>
        </w:tc>
        <w:tc>
          <w:tcPr>
            <w:tcW w:w="1275" w:type="dxa"/>
            <w:tcBorders>
              <w:top w:val="single" w:color="auto" w:sz="4" w:space="0"/>
              <w:left w:val="nil"/>
              <w:bottom w:val="single" w:color="auto" w:sz="4" w:space="0"/>
              <w:right w:val="single" w:color="auto" w:sz="4" w:space="0"/>
            </w:tcBorders>
            <w:noWrap w:val="0"/>
            <w:vAlign w:val="center"/>
          </w:tcPr>
          <w:p w14:paraId="331C2864">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55554C0B">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26CA642F">
            <w:pPr>
              <w:pageBreakBefore w:val="0"/>
              <w:kinsoku/>
              <w:wordWrap/>
              <w:overflowPunct/>
              <w:topLinePunct w:val="0"/>
              <w:bidi w:val="0"/>
              <w:jc w:val="both"/>
              <w:rPr>
                <w:rFonts w:hint="eastAsia" w:ascii="宋体" w:hAnsi="宋体" w:eastAsia="宋体" w:cs="宋体"/>
                <w:b w:val="0"/>
                <w:bCs/>
              </w:rPr>
            </w:pPr>
          </w:p>
        </w:tc>
        <w:tc>
          <w:tcPr>
            <w:tcW w:w="993" w:type="dxa"/>
            <w:tcBorders>
              <w:top w:val="single" w:color="auto" w:sz="4" w:space="0"/>
              <w:left w:val="nil"/>
              <w:bottom w:val="single" w:color="auto" w:sz="4" w:space="0"/>
              <w:right w:val="single" w:color="auto" w:sz="4" w:space="0"/>
            </w:tcBorders>
            <w:noWrap w:val="0"/>
            <w:vAlign w:val="center"/>
          </w:tcPr>
          <w:p w14:paraId="06A1AAA5">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1EA53E65">
            <w:pPr>
              <w:pageBreakBefore w:val="0"/>
              <w:kinsoku/>
              <w:wordWrap/>
              <w:overflowPunct/>
              <w:topLinePunct w:val="0"/>
              <w:bidi w:val="0"/>
              <w:jc w:val="both"/>
              <w:rPr>
                <w:rFonts w:hint="eastAsia" w:ascii="宋体" w:hAnsi="宋体" w:eastAsia="宋体" w:cs="宋体"/>
                <w:b w:val="0"/>
                <w:bCs/>
              </w:rPr>
            </w:pPr>
          </w:p>
        </w:tc>
      </w:tr>
      <w:tr w14:paraId="63DE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40A86EFA">
            <w:pPr>
              <w:pageBreakBefore w:val="0"/>
              <w:kinsoku/>
              <w:wordWrap/>
              <w:overflowPunct/>
              <w:topLinePunct w:val="0"/>
              <w:bidi w:val="0"/>
              <w:jc w:val="both"/>
              <w:rPr>
                <w:rFonts w:hint="eastAsia" w:ascii="宋体" w:hAnsi="宋体" w:eastAsia="宋体" w:cs="宋体"/>
                <w:b w:val="0"/>
                <w:bCs/>
              </w:rPr>
            </w:pPr>
          </w:p>
        </w:tc>
        <w:tc>
          <w:tcPr>
            <w:tcW w:w="1643" w:type="dxa"/>
            <w:tcBorders>
              <w:top w:val="single" w:color="auto" w:sz="4" w:space="0"/>
              <w:left w:val="nil"/>
              <w:bottom w:val="single" w:color="auto" w:sz="4" w:space="0"/>
              <w:right w:val="single" w:color="auto" w:sz="4" w:space="0"/>
            </w:tcBorders>
            <w:noWrap w:val="0"/>
            <w:vAlign w:val="center"/>
          </w:tcPr>
          <w:p w14:paraId="71DFD845">
            <w:pPr>
              <w:pageBreakBefore w:val="0"/>
              <w:kinsoku/>
              <w:wordWrap/>
              <w:overflowPunct/>
              <w:topLinePunct w:val="0"/>
              <w:bidi w:val="0"/>
              <w:jc w:val="both"/>
              <w:rPr>
                <w:rFonts w:hint="eastAsia" w:ascii="宋体" w:hAnsi="宋体" w:eastAsia="宋体" w:cs="宋体"/>
                <w:b w:val="0"/>
                <w:bCs/>
              </w:rPr>
            </w:pPr>
          </w:p>
        </w:tc>
        <w:tc>
          <w:tcPr>
            <w:tcW w:w="1559" w:type="dxa"/>
            <w:tcBorders>
              <w:top w:val="single" w:color="auto" w:sz="4" w:space="0"/>
              <w:left w:val="nil"/>
              <w:bottom w:val="single" w:color="auto" w:sz="4" w:space="0"/>
              <w:right w:val="single" w:color="auto" w:sz="4" w:space="0"/>
            </w:tcBorders>
            <w:noWrap w:val="0"/>
            <w:vAlign w:val="center"/>
          </w:tcPr>
          <w:p w14:paraId="1CD26305">
            <w:pPr>
              <w:pageBreakBefore w:val="0"/>
              <w:kinsoku/>
              <w:wordWrap/>
              <w:overflowPunct/>
              <w:topLinePunct w:val="0"/>
              <w:bidi w:val="0"/>
              <w:jc w:val="both"/>
              <w:rPr>
                <w:rFonts w:hint="eastAsia" w:ascii="宋体" w:hAnsi="宋体" w:eastAsia="宋体" w:cs="宋体"/>
                <w:b w:val="0"/>
                <w:bCs/>
              </w:rPr>
            </w:pPr>
          </w:p>
        </w:tc>
        <w:tc>
          <w:tcPr>
            <w:tcW w:w="1275" w:type="dxa"/>
            <w:tcBorders>
              <w:top w:val="single" w:color="auto" w:sz="4" w:space="0"/>
              <w:left w:val="nil"/>
              <w:bottom w:val="single" w:color="auto" w:sz="4" w:space="0"/>
              <w:right w:val="single" w:color="auto" w:sz="4" w:space="0"/>
            </w:tcBorders>
            <w:noWrap w:val="0"/>
            <w:vAlign w:val="center"/>
          </w:tcPr>
          <w:p w14:paraId="485B0350">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3A00BC2C">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6F2C971A">
            <w:pPr>
              <w:pageBreakBefore w:val="0"/>
              <w:kinsoku/>
              <w:wordWrap/>
              <w:overflowPunct/>
              <w:topLinePunct w:val="0"/>
              <w:bidi w:val="0"/>
              <w:jc w:val="both"/>
              <w:rPr>
                <w:rFonts w:hint="eastAsia" w:ascii="宋体" w:hAnsi="宋体" w:eastAsia="宋体" w:cs="宋体"/>
                <w:b w:val="0"/>
                <w:bCs/>
              </w:rPr>
            </w:pPr>
          </w:p>
        </w:tc>
        <w:tc>
          <w:tcPr>
            <w:tcW w:w="993" w:type="dxa"/>
            <w:tcBorders>
              <w:top w:val="single" w:color="auto" w:sz="4" w:space="0"/>
              <w:left w:val="nil"/>
              <w:bottom w:val="single" w:color="auto" w:sz="4" w:space="0"/>
              <w:right w:val="single" w:color="auto" w:sz="4" w:space="0"/>
            </w:tcBorders>
            <w:noWrap w:val="0"/>
            <w:vAlign w:val="center"/>
          </w:tcPr>
          <w:p w14:paraId="68F567C7">
            <w:pPr>
              <w:pageBreakBefore w:val="0"/>
              <w:kinsoku/>
              <w:wordWrap/>
              <w:overflowPunct/>
              <w:topLinePunct w:val="0"/>
              <w:bidi w:val="0"/>
              <w:jc w:val="both"/>
              <w:rPr>
                <w:rFonts w:hint="eastAsia" w:ascii="宋体" w:hAnsi="宋体" w:eastAsia="宋体" w:cs="宋体"/>
                <w:b w:val="0"/>
                <w:bCs/>
              </w:rPr>
            </w:pPr>
          </w:p>
        </w:tc>
        <w:tc>
          <w:tcPr>
            <w:tcW w:w="1134" w:type="dxa"/>
            <w:tcBorders>
              <w:top w:val="single" w:color="auto" w:sz="4" w:space="0"/>
              <w:left w:val="nil"/>
              <w:bottom w:val="single" w:color="auto" w:sz="4" w:space="0"/>
              <w:right w:val="single" w:color="auto" w:sz="4" w:space="0"/>
            </w:tcBorders>
            <w:noWrap w:val="0"/>
            <w:vAlign w:val="center"/>
          </w:tcPr>
          <w:p w14:paraId="18FE4B3C">
            <w:pPr>
              <w:pageBreakBefore w:val="0"/>
              <w:kinsoku/>
              <w:wordWrap/>
              <w:overflowPunct/>
              <w:topLinePunct w:val="0"/>
              <w:bidi w:val="0"/>
              <w:jc w:val="both"/>
              <w:rPr>
                <w:rFonts w:hint="eastAsia" w:ascii="宋体" w:hAnsi="宋体" w:eastAsia="宋体" w:cs="宋体"/>
                <w:b w:val="0"/>
                <w:bCs/>
              </w:rPr>
            </w:pPr>
          </w:p>
        </w:tc>
      </w:tr>
    </w:tbl>
    <w:p w14:paraId="6AF760D3">
      <w:pPr>
        <w:pageBreakBefore w:val="0"/>
        <w:kinsoku/>
        <w:wordWrap/>
        <w:overflowPunct/>
        <w:topLinePunct w:val="0"/>
        <w:bidi w:val="0"/>
        <w:spacing w:line="360" w:lineRule="auto"/>
        <w:jc w:val="both"/>
        <w:rPr>
          <w:rFonts w:hint="eastAsia" w:ascii="宋体" w:hAnsi="宋体" w:eastAsia="宋体" w:cs="宋体"/>
          <w:sz w:val="22"/>
          <w:szCs w:val="22"/>
        </w:rPr>
      </w:pPr>
      <w:r>
        <w:rPr>
          <w:rFonts w:hint="eastAsia" w:ascii="宋体" w:hAnsi="宋体" w:eastAsia="宋体" w:cs="宋体"/>
          <w:sz w:val="22"/>
          <w:szCs w:val="22"/>
          <w:lang w:bidi="ar"/>
        </w:rPr>
        <w:t>备注：后附证明材料，证明材料详见评审办法及评分标准。</w:t>
      </w:r>
    </w:p>
    <w:p w14:paraId="0A7CC80D">
      <w:pPr>
        <w:pageBreakBefore w:val="0"/>
        <w:kinsoku/>
        <w:wordWrap/>
        <w:overflowPunct/>
        <w:topLinePunct w:val="0"/>
        <w:bidi w:val="0"/>
        <w:spacing w:line="360" w:lineRule="auto"/>
        <w:jc w:val="both"/>
        <w:rPr>
          <w:rFonts w:hint="eastAsia" w:ascii="宋体" w:hAnsi="宋体" w:eastAsia="宋体" w:cs="宋体"/>
          <w:sz w:val="22"/>
          <w:szCs w:val="22"/>
        </w:rPr>
      </w:pPr>
      <w:r>
        <w:rPr>
          <w:rFonts w:hint="eastAsia" w:ascii="宋体" w:hAnsi="宋体" w:eastAsia="宋体" w:cs="宋体"/>
          <w:sz w:val="22"/>
          <w:szCs w:val="22"/>
          <w:lang w:bidi="ar"/>
        </w:rPr>
        <w:t xml:space="preserve"> </w:t>
      </w:r>
    </w:p>
    <w:p w14:paraId="7D29AD53">
      <w:pPr>
        <w:pageBreakBefore w:val="0"/>
        <w:kinsoku/>
        <w:wordWrap/>
        <w:overflowPunct/>
        <w:topLinePunct w:val="0"/>
        <w:bidi w:val="0"/>
        <w:spacing w:line="360" w:lineRule="auto"/>
        <w:jc w:val="both"/>
        <w:rPr>
          <w:rFonts w:hint="eastAsia" w:ascii="宋体" w:hAnsi="宋体" w:eastAsia="宋体" w:cs="宋体"/>
          <w:sz w:val="22"/>
          <w:szCs w:val="22"/>
        </w:rPr>
      </w:pPr>
      <w:r>
        <w:rPr>
          <w:rFonts w:hint="eastAsia" w:ascii="宋体" w:hAnsi="宋体" w:eastAsia="宋体" w:cs="宋体"/>
          <w:sz w:val="22"/>
          <w:szCs w:val="22"/>
          <w:lang w:bidi="ar"/>
        </w:rPr>
        <w:t xml:space="preserve"> </w:t>
      </w:r>
    </w:p>
    <w:p w14:paraId="5C840487">
      <w:pPr>
        <w:pageBreakBefore w:val="0"/>
        <w:kinsoku/>
        <w:wordWrap/>
        <w:overflowPunct/>
        <w:topLinePunct w:val="0"/>
        <w:bidi w:val="0"/>
        <w:spacing w:line="360" w:lineRule="auto"/>
        <w:jc w:val="both"/>
        <w:rPr>
          <w:rFonts w:hint="eastAsia" w:ascii="宋体" w:hAnsi="宋体" w:eastAsia="宋体" w:cs="宋体"/>
          <w:b w:val="0"/>
          <w:bCs/>
          <w:sz w:val="22"/>
          <w:szCs w:val="22"/>
        </w:rPr>
      </w:pPr>
      <w:r>
        <w:rPr>
          <w:rFonts w:hint="eastAsia" w:ascii="宋体" w:hAnsi="宋体" w:eastAsia="宋体" w:cs="宋体"/>
          <w:b w:val="0"/>
          <w:bCs/>
          <w:sz w:val="22"/>
          <w:szCs w:val="22"/>
          <w:lang w:bidi="ar"/>
        </w:rPr>
        <w:t xml:space="preserve"> </w:t>
      </w:r>
    </w:p>
    <w:p w14:paraId="03B6CFAA">
      <w:pPr>
        <w:pageBreakBefore w:val="0"/>
        <w:kinsoku/>
        <w:wordWrap/>
        <w:overflowPunct/>
        <w:topLinePunct w:val="0"/>
        <w:bidi w:val="0"/>
        <w:snapToGrid w:val="0"/>
        <w:spacing w:line="360" w:lineRule="auto"/>
        <w:jc w:val="both"/>
        <w:rPr>
          <w:rFonts w:hint="eastAsia" w:ascii="宋体" w:hAnsi="宋体" w:eastAsia="宋体" w:cs="宋体"/>
          <w:b w:val="0"/>
          <w:bCs/>
          <w:sz w:val="22"/>
          <w:szCs w:val="22"/>
        </w:rPr>
      </w:pPr>
      <w:r>
        <w:rPr>
          <w:rFonts w:hint="eastAsia" w:ascii="宋体" w:hAnsi="宋体" w:eastAsia="宋体" w:cs="宋体"/>
          <w:b w:val="0"/>
          <w:bCs/>
          <w:sz w:val="22"/>
          <w:szCs w:val="22"/>
          <w:lang w:bidi="ar"/>
        </w:rPr>
        <w:t>投标供应商名称（电子签章）：</w:t>
      </w:r>
      <w:r>
        <w:rPr>
          <w:rFonts w:hint="eastAsia" w:ascii="宋体" w:hAnsi="宋体" w:eastAsia="宋体" w:cs="宋体"/>
          <w:b w:val="0"/>
          <w:bCs/>
          <w:sz w:val="22"/>
          <w:szCs w:val="22"/>
          <w:u w:val="single"/>
          <w:lang w:bidi="ar"/>
        </w:rPr>
        <w:t xml:space="preserve">                            </w:t>
      </w:r>
    </w:p>
    <w:p w14:paraId="43FE59F7">
      <w:pPr>
        <w:pageBreakBefore w:val="0"/>
        <w:kinsoku/>
        <w:wordWrap/>
        <w:overflowPunct/>
        <w:topLinePunct w:val="0"/>
        <w:bidi w:val="0"/>
        <w:snapToGrid w:val="0"/>
        <w:spacing w:line="360" w:lineRule="auto"/>
        <w:jc w:val="both"/>
        <w:rPr>
          <w:rFonts w:hint="eastAsia" w:ascii="宋体" w:hAnsi="宋体" w:eastAsia="宋体" w:cs="宋体"/>
          <w:b w:val="0"/>
          <w:bCs/>
          <w:sz w:val="22"/>
          <w:szCs w:val="22"/>
        </w:rPr>
      </w:pPr>
      <w:r>
        <w:rPr>
          <w:rFonts w:hint="eastAsia" w:ascii="宋体" w:hAnsi="宋体" w:eastAsia="宋体" w:cs="宋体"/>
          <w:b w:val="0"/>
          <w:bCs/>
          <w:sz w:val="22"/>
          <w:szCs w:val="22"/>
          <w:lang w:bidi="ar"/>
        </w:rPr>
        <w:t>法人或其授权代表（签字或盖章）：</w:t>
      </w:r>
      <w:r>
        <w:rPr>
          <w:rFonts w:hint="eastAsia" w:ascii="宋体" w:hAnsi="宋体" w:eastAsia="宋体" w:cs="宋体"/>
          <w:b w:val="0"/>
          <w:bCs/>
          <w:sz w:val="22"/>
          <w:szCs w:val="22"/>
          <w:u w:val="single"/>
          <w:lang w:bidi="ar"/>
        </w:rPr>
        <w:t xml:space="preserve">                </w:t>
      </w:r>
    </w:p>
    <w:p w14:paraId="45650C59">
      <w:pPr>
        <w:pageBreakBefore w:val="0"/>
        <w:shd w:val="clear" w:color="auto" w:fill="FFFFFF"/>
        <w:kinsoku/>
        <w:wordWrap/>
        <w:overflowPunct/>
        <w:topLinePunct w:val="0"/>
        <w:bidi w:val="0"/>
        <w:snapToGrid w:val="0"/>
        <w:spacing w:line="360" w:lineRule="auto"/>
        <w:jc w:val="both"/>
        <w:rPr>
          <w:rFonts w:hint="eastAsia" w:ascii="宋体" w:hAnsi="宋体" w:eastAsia="宋体" w:cs="宋体"/>
          <w:b w:val="0"/>
          <w:bCs/>
          <w:sz w:val="22"/>
          <w:szCs w:val="22"/>
          <w:u w:val="single"/>
          <w:lang w:bidi="ar"/>
        </w:rPr>
      </w:pPr>
      <w:r>
        <w:rPr>
          <w:rFonts w:hint="eastAsia" w:ascii="宋体" w:hAnsi="宋体" w:eastAsia="宋体" w:cs="宋体"/>
          <w:b w:val="0"/>
          <w:bCs/>
          <w:sz w:val="22"/>
          <w:szCs w:val="22"/>
          <w:lang w:bidi="ar"/>
        </w:rPr>
        <w:t>日期：</w:t>
      </w:r>
      <w:r>
        <w:rPr>
          <w:rFonts w:hint="eastAsia" w:ascii="宋体" w:hAnsi="宋体" w:eastAsia="宋体" w:cs="宋体"/>
          <w:b w:val="0"/>
          <w:bCs/>
          <w:sz w:val="22"/>
          <w:szCs w:val="22"/>
          <w:u w:val="single"/>
          <w:lang w:bidi="ar"/>
        </w:rPr>
        <w:t xml:space="preserve">                                         </w:t>
      </w:r>
    </w:p>
    <w:p w14:paraId="27EFA68E">
      <w:pPr>
        <w:pStyle w:val="8"/>
        <w:numPr>
          <w:ilvl w:val="0"/>
          <w:numId w:val="0"/>
        </w:numPr>
        <w:tabs>
          <w:tab w:val="clear" w:pos="1110"/>
        </w:tabs>
        <w:rPr>
          <w:rFonts w:hint="eastAsia"/>
        </w:rPr>
      </w:pPr>
    </w:p>
    <w:p w14:paraId="6B4A25D5">
      <w:pPr>
        <w:pageBreakBefore w:val="0"/>
        <w:shd w:val="clear" w:color="auto" w:fill="FFFFFF"/>
        <w:kinsoku/>
        <w:wordWrap/>
        <w:overflowPunct/>
        <w:topLinePunct w:val="0"/>
        <w:bidi w:val="0"/>
        <w:snapToGrid w:val="0"/>
        <w:spacing w:line="360" w:lineRule="auto"/>
        <w:jc w:val="both"/>
        <w:rPr>
          <w:rFonts w:hint="eastAsia" w:ascii="宋体" w:hAnsi="宋体" w:eastAsia="宋体" w:cs="宋体"/>
          <w:b/>
          <w:bCs/>
          <w:color w:val="auto"/>
          <w:sz w:val="32"/>
          <w:szCs w:val="32"/>
          <w:highlight w:val="none"/>
        </w:rPr>
      </w:pPr>
    </w:p>
    <w:p w14:paraId="660920A3">
      <w:pPr>
        <w:pageBreakBefore w:val="0"/>
        <w:shd w:val="clear" w:color="auto" w:fill="FFFFFF"/>
        <w:kinsoku/>
        <w:wordWrap/>
        <w:overflowPunct/>
        <w:topLinePunct w:val="0"/>
        <w:bidi w:val="0"/>
        <w:snapToGrid w:val="0"/>
        <w:spacing w:line="360" w:lineRule="auto"/>
        <w:jc w:val="both"/>
        <w:rPr>
          <w:rFonts w:hint="eastAsia" w:ascii="宋体" w:hAnsi="宋体" w:eastAsia="宋体" w:cs="宋体"/>
          <w:b/>
          <w:bCs/>
          <w:color w:val="auto"/>
          <w:sz w:val="32"/>
          <w:szCs w:val="32"/>
          <w:highlight w:val="none"/>
        </w:rPr>
      </w:pPr>
    </w:p>
    <w:p w14:paraId="3369ADAC">
      <w:pPr>
        <w:pageBreakBefore w:val="0"/>
        <w:shd w:val="clear" w:color="auto" w:fill="FFFFFF"/>
        <w:kinsoku/>
        <w:wordWrap/>
        <w:overflowPunct/>
        <w:topLinePunct w:val="0"/>
        <w:bidi w:val="0"/>
        <w:snapToGrid w:val="0"/>
        <w:spacing w:line="360" w:lineRule="auto"/>
        <w:jc w:val="both"/>
        <w:rPr>
          <w:rFonts w:hint="eastAsia" w:ascii="宋体" w:hAnsi="宋体" w:eastAsia="宋体" w:cs="宋体"/>
          <w:b/>
          <w:bCs/>
          <w:color w:val="auto"/>
          <w:sz w:val="32"/>
          <w:szCs w:val="32"/>
          <w:highlight w:val="none"/>
        </w:rPr>
      </w:pPr>
    </w:p>
    <w:p w14:paraId="47D60D47">
      <w:pPr>
        <w:pageBreakBefore w:val="0"/>
        <w:shd w:val="clear" w:color="auto" w:fill="FFFFFF"/>
        <w:kinsoku/>
        <w:wordWrap/>
        <w:overflowPunct/>
        <w:topLinePunct w:val="0"/>
        <w:bidi w:val="0"/>
        <w:snapToGrid w:val="0"/>
        <w:spacing w:line="360" w:lineRule="auto"/>
        <w:jc w:val="both"/>
        <w:rPr>
          <w:rFonts w:hint="eastAsia" w:ascii="宋体" w:hAnsi="宋体" w:eastAsia="宋体" w:cs="宋体"/>
          <w:b/>
          <w:bCs/>
          <w:color w:val="auto"/>
          <w:sz w:val="32"/>
          <w:szCs w:val="32"/>
          <w:highlight w:val="none"/>
        </w:rPr>
      </w:pPr>
    </w:p>
    <w:p w14:paraId="4FFF8F1D">
      <w:pPr>
        <w:pStyle w:val="10"/>
        <w:pageBreakBefore w:val="0"/>
        <w:kinsoku/>
        <w:wordWrap/>
        <w:overflowPunct/>
        <w:topLinePunct w:val="0"/>
        <w:bidi w:val="0"/>
        <w:spacing w:line="400" w:lineRule="exact"/>
        <w:ind w:firstLine="0"/>
        <w:jc w:val="center"/>
        <w:rPr>
          <w:rFonts w:hint="eastAsia" w:ascii="宋体" w:hAnsi="宋体" w:eastAsia="宋体" w:cs="宋体"/>
          <w:spacing w:val="0"/>
          <w:kern w:val="2"/>
          <w:sz w:val="32"/>
          <w:szCs w:val="32"/>
          <w:lang w:val="en-US" w:eastAsia="zh-CN" w:bidi="ar"/>
        </w:rPr>
      </w:pPr>
    </w:p>
    <w:p w14:paraId="15D46234">
      <w:pPr>
        <w:pStyle w:val="10"/>
        <w:pageBreakBefore w:val="0"/>
        <w:kinsoku/>
        <w:wordWrap/>
        <w:overflowPunct/>
        <w:topLinePunct w:val="0"/>
        <w:bidi w:val="0"/>
        <w:spacing w:line="400" w:lineRule="exact"/>
        <w:ind w:firstLine="0"/>
        <w:jc w:val="center"/>
        <w:rPr>
          <w:rFonts w:hint="eastAsia" w:ascii="宋体" w:hAnsi="宋体" w:eastAsia="宋体" w:cs="宋体"/>
          <w:spacing w:val="0"/>
          <w:kern w:val="2"/>
          <w:sz w:val="32"/>
          <w:szCs w:val="32"/>
          <w:lang w:val="en-US" w:eastAsia="zh-CN" w:bidi="ar"/>
        </w:rPr>
      </w:pPr>
    </w:p>
    <w:p w14:paraId="6EA18F8F">
      <w:pPr>
        <w:pStyle w:val="10"/>
        <w:pageBreakBefore w:val="0"/>
        <w:kinsoku/>
        <w:wordWrap/>
        <w:overflowPunct/>
        <w:topLinePunct w:val="0"/>
        <w:bidi w:val="0"/>
        <w:spacing w:line="400" w:lineRule="exact"/>
        <w:ind w:firstLine="0"/>
        <w:jc w:val="center"/>
        <w:rPr>
          <w:rFonts w:hint="eastAsia" w:ascii="宋体" w:hAnsi="宋体" w:eastAsia="宋体" w:cs="宋体"/>
          <w:spacing w:val="0"/>
          <w:kern w:val="2"/>
          <w:sz w:val="32"/>
          <w:szCs w:val="32"/>
          <w:lang w:val="en-US" w:eastAsia="zh-CN" w:bidi="ar"/>
        </w:rPr>
      </w:pPr>
    </w:p>
    <w:p w14:paraId="35B821BF">
      <w:pPr>
        <w:pStyle w:val="10"/>
        <w:pageBreakBefore w:val="0"/>
        <w:kinsoku/>
        <w:wordWrap/>
        <w:overflowPunct/>
        <w:topLinePunct w:val="0"/>
        <w:bidi w:val="0"/>
        <w:spacing w:line="400" w:lineRule="exact"/>
        <w:ind w:firstLine="0"/>
        <w:jc w:val="center"/>
        <w:rPr>
          <w:rFonts w:hint="eastAsia" w:ascii="宋体" w:hAnsi="宋体" w:eastAsia="宋体" w:cs="宋体"/>
          <w:spacing w:val="0"/>
          <w:kern w:val="2"/>
          <w:sz w:val="32"/>
          <w:szCs w:val="32"/>
          <w:lang w:val="en-US" w:eastAsia="zh-CN" w:bidi="ar"/>
        </w:rPr>
      </w:pPr>
    </w:p>
    <w:p w14:paraId="1D3BC879">
      <w:pPr>
        <w:pStyle w:val="10"/>
        <w:pageBreakBefore w:val="0"/>
        <w:kinsoku/>
        <w:wordWrap/>
        <w:overflowPunct/>
        <w:topLinePunct w:val="0"/>
        <w:bidi w:val="0"/>
        <w:spacing w:line="400" w:lineRule="exact"/>
        <w:ind w:firstLine="0"/>
        <w:jc w:val="center"/>
        <w:rPr>
          <w:rFonts w:hint="eastAsia" w:ascii="宋体" w:hAnsi="宋体" w:eastAsia="宋体" w:cs="宋体"/>
          <w:sz w:val="32"/>
          <w:szCs w:val="32"/>
          <w:lang w:eastAsia="zh-CN"/>
        </w:rPr>
      </w:pPr>
      <w:r>
        <w:rPr>
          <w:rFonts w:hint="eastAsia" w:ascii="宋体" w:hAnsi="宋体" w:eastAsia="宋体" w:cs="宋体"/>
          <w:color w:val="auto"/>
          <w:sz w:val="40"/>
          <w:szCs w:val="40"/>
          <w:highlight w:val="none"/>
          <w:lang w:val="en-US" w:eastAsia="zh-CN"/>
        </w:rPr>
        <w:t>项目的难点要点分析及解决措施</w:t>
      </w:r>
    </w:p>
    <w:p w14:paraId="0C66A85D">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tbl>
      <w:tblPr>
        <w:tblStyle w:val="24"/>
        <w:tblW w:w="968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680"/>
      </w:tblGrid>
      <w:tr w14:paraId="6DA7464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719" w:hRule="atLeast"/>
        </w:trPr>
        <w:tc>
          <w:tcPr>
            <w:tcW w:w="9680" w:type="dxa"/>
            <w:tcBorders>
              <w:tl2br w:val="nil"/>
              <w:tr2bl w:val="nil"/>
            </w:tcBorders>
            <w:noWrap w:val="0"/>
            <w:vAlign w:val="top"/>
          </w:tcPr>
          <w:p w14:paraId="031C54F1">
            <w:pPr>
              <w:pStyle w:val="10"/>
              <w:pageBreakBefore w:val="0"/>
              <w:kinsoku/>
              <w:wordWrap/>
              <w:overflowPunct/>
              <w:topLinePunct w:val="0"/>
              <w:bidi w:val="0"/>
              <w:spacing w:line="400" w:lineRule="exact"/>
              <w:jc w:val="both"/>
              <w:rPr>
                <w:rFonts w:hint="eastAsia" w:ascii="宋体" w:hAnsi="宋体" w:eastAsia="宋体" w:cs="宋体"/>
                <w:sz w:val="32"/>
                <w:szCs w:val="32"/>
                <w:vertAlign w:val="baseline"/>
              </w:rPr>
            </w:pPr>
          </w:p>
        </w:tc>
      </w:tr>
    </w:tbl>
    <w:p w14:paraId="3C0442AB">
      <w:pPr>
        <w:pageBreakBefore w:val="0"/>
        <w:shd w:val="clear" w:color="auto" w:fill="FFFFFF"/>
        <w:kinsoku/>
        <w:wordWrap/>
        <w:overflowPunct/>
        <w:topLinePunct w:val="0"/>
        <w:bidi w:val="0"/>
        <w:snapToGrid w:val="0"/>
        <w:spacing w:line="360" w:lineRule="auto"/>
        <w:jc w:val="both"/>
        <w:rPr>
          <w:rFonts w:hint="eastAsia" w:ascii="宋体" w:hAnsi="宋体" w:eastAsia="宋体" w:cs="宋体"/>
          <w:b/>
          <w:bCs/>
          <w:color w:val="auto"/>
          <w:sz w:val="32"/>
          <w:szCs w:val="32"/>
          <w:highlight w:val="none"/>
        </w:rPr>
      </w:pPr>
    </w:p>
    <w:p w14:paraId="13E0AA41">
      <w:pPr>
        <w:pageBreakBefore w:val="0"/>
        <w:shd w:val="clear" w:color="auto" w:fill="FFFFFF"/>
        <w:kinsoku/>
        <w:wordWrap/>
        <w:overflowPunct/>
        <w:topLinePunct w:val="0"/>
        <w:bidi w:val="0"/>
        <w:snapToGrid w:val="0"/>
        <w:spacing w:line="360" w:lineRule="auto"/>
        <w:jc w:val="both"/>
        <w:rPr>
          <w:rFonts w:hint="eastAsia" w:ascii="宋体" w:hAnsi="宋体" w:eastAsia="宋体" w:cs="宋体"/>
          <w:b/>
          <w:bCs/>
          <w:color w:val="auto"/>
          <w:sz w:val="32"/>
          <w:szCs w:val="32"/>
          <w:highlight w:val="none"/>
        </w:rPr>
      </w:pPr>
    </w:p>
    <w:p w14:paraId="7A52BC5D">
      <w:pPr>
        <w:pStyle w:val="10"/>
        <w:pageBreakBefore w:val="0"/>
        <w:kinsoku/>
        <w:wordWrap/>
        <w:overflowPunct/>
        <w:topLinePunct w:val="0"/>
        <w:bidi w:val="0"/>
        <w:spacing w:line="400" w:lineRule="exact"/>
        <w:ind w:firstLine="0"/>
        <w:jc w:val="center"/>
        <w:rPr>
          <w:rFonts w:hint="eastAsia" w:ascii="宋体" w:hAnsi="宋体" w:eastAsia="宋体" w:cs="宋体"/>
          <w:spacing w:val="0"/>
          <w:kern w:val="2"/>
          <w:sz w:val="32"/>
          <w:szCs w:val="32"/>
          <w:lang w:val="en-US" w:eastAsia="zh-CN" w:bidi="ar"/>
        </w:rPr>
      </w:pPr>
    </w:p>
    <w:p w14:paraId="1FFD4832">
      <w:pPr>
        <w:pStyle w:val="10"/>
        <w:pageBreakBefore w:val="0"/>
        <w:kinsoku/>
        <w:wordWrap/>
        <w:overflowPunct/>
        <w:topLinePunct w:val="0"/>
        <w:bidi w:val="0"/>
        <w:spacing w:line="400" w:lineRule="exact"/>
        <w:ind w:firstLine="0"/>
        <w:jc w:val="center"/>
        <w:rPr>
          <w:rFonts w:hint="eastAsia" w:ascii="宋体" w:hAnsi="宋体" w:eastAsia="宋体" w:cs="宋体"/>
          <w:spacing w:val="0"/>
          <w:kern w:val="2"/>
          <w:sz w:val="32"/>
          <w:szCs w:val="32"/>
          <w:lang w:val="en-US" w:eastAsia="zh-CN" w:bidi="ar"/>
        </w:rPr>
      </w:pPr>
    </w:p>
    <w:p w14:paraId="792C4ADB">
      <w:pPr>
        <w:pStyle w:val="10"/>
        <w:pageBreakBefore w:val="0"/>
        <w:kinsoku/>
        <w:wordWrap/>
        <w:overflowPunct/>
        <w:topLinePunct w:val="0"/>
        <w:bidi w:val="0"/>
        <w:spacing w:line="400" w:lineRule="exact"/>
        <w:ind w:firstLine="0"/>
        <w:jc w:val="center"/>
        <w:rPr>
          <w:rFonts w:hint="eastAsia" w:ascii="宋体" w:hAnsi="宋体" w:eastAsia="宋体" w:cs="宋体"/>
          <w:spacing w:val="0"/>
          <w:kern w:val="2"/>
          <w:sz w:val="32"/>
          <w:szCs w:val="32"/>
          <w:lang w:val="en-US" w:eastAsia="zh-CN" w:bidi="ar"/>
        </w:rPr>
      </w:pPr>
    </w:p>
    <w:p w14:paraId="6798702F">
      <w:pPr>
        <w:pStyle w:val="10"/>
        <w:pageBreakBefore w:val="0"/>
        <w:kinsoku/>
        <w:wordWrap/>
        <w:overflowPunct/>
        <w:topLinePunct w:val="0"/>
        <w:bidi w:val="0"/>
        <w:spacing w:line="400" w:lineRule="exact"/>
        <w:ind w:firstLine="0"/>
        <w:jc w:val="center"/>
        <w:rPr>
          <w:rFonts w:hint="eastAsia" w:ascii="宋体" w:hAnsi="宋体" w:eastAsia="宋体" w:cs="宋体"/>
          <w:spacing w:val="0"/>
          <w:kern w:val="2"/>
          <w:sz w:val="32"/>
          <w:szCs w:val="32"/>
          <w:lang w:val="en-US" w:eastAsia="zh-CN" w:bidi="ar"/>
        </w:rPr>
      </w:pPr>
    </w:p>
    <w:p w14:paraId="258EEF97">
      <w:pPr>
        <w:pStyle w:val="10"/>
        <w:pageBreakBefore w:val="0"/>
        <w:kinsoku/>
        <w:wordWrap/>
        <w:overflowPunct/>
        <w:topLinePunct w:val="0"/>
        <w:bidi w:val="0"/>
        <w:spacing w:line="400" w:lineRule="exact"/>
        <w:ind w:firstLine="0"/>
        <w:jc w:val="center"/>
        <w:rPr>
          <w:rFonts w:hint="eastAsia" w:ascii="宋体" w:hAnsi="宋体" w:eastAsia="宋体" w:cs="宋体"/>
          <w:spacing w:val="0"/>
          <w:kern w:val="2"/>
          <w:sz w:val="32"/>
          <w:szCs w:val="32"/>
          <w:lang w:val="en-US" w:eastAsia="zh-CN" w:bidi="ar"/>
        </w:rPr>
      </w:pPr>
    </w:p>
    <w:p w14:paraId="488DC3C7">
      <w:pPr>
        <w:pStyle w:val="10"/>
        <w:pageBreakBefore w:val="0"/>
        <w:kinsoku/>
        <w:wordWrap/>
        <w:overflowPunct/>
        <w:topLinePunct w:val="0"/>
        <w:bidi w:val="0"/>
        <w:spacing w:line="400" w:lineRule="exact"/>
        <w:ind w:firstLine="0"/>
        <w:jc w:val="center"/>
        <w:rPr>
          <w:rFonts w:hint="eastAsia" w:ascii="宋体" w:hAnsi="宋体" w:eastAsia="宋体" w:cs="宋体"/>
          <w:spacing w:val="0"/>
          <w:kern w:val="2"/>
          <w:sz w:val="32"/>
          <w:szCs w:val="32"/>
          <w:lang w:val="en-US" w:eastAsia="zh-CN" w:bidi="ar"/>
        </w:rPr>
      </w:pPr>
    </w:p>
    <w:p w14:paraId="66AAFA6B">
      <w:pPr>
        <w:pStyle w:val="10"/>
        <w:pageBreakBefore w:val="0"/>
        <w:kinsoku/>
        <w:wordWrap/>
        <w:overflowPunct/>
        <w:topLinePunct w:val="0"/>
        <w:bidi w:val="0"/>
        <w:spacing w:line="400" w:lineRule="exact"/>
        <w:ind w:firstLine="0"/>
        <w:jc w:val="center"/>
        <w:rPr>
          <w:rFonts w:hint="eastAsia" w:ascii="宋体" w:hAnsi="宋体" w:eastAsia="宋体" w:cs="宋体"/>
          <w:spacing w:val="0"/>
          <w:kern w:val="2"/>
          <w:sz w:val="32"/>
          <w:szCs w:val="32"/>
          <w:lang w:val="en-US" w:eastAsia="zh-CN" w:bidi="ar"/>
        </w:rPr>
      </w:pPr>
    </w:p>
    <w:p w14:paraId="698D9F16">
      <w:pPr>
        <w:pStyle w:val="10"/>
        <w:pageBreakBefore w:val="0"/>
        <w:kinsoku/>
        <w:wordWrap/>
        <w:overflowPunct/>
        <w:topLinePunct w:val="0"/>
        <w:bidi w:val="0"/>
        <w:spacing w:line="400" w:lineRule="exact"/>
        <w:ind w:firstLine="0"/>
        <w:jc w:val="center"/>
        <w:rPr>
          <w:rFonts w:hint="eastAsia" w:ascii="宋体" w:hAnsi="宋体" w:eastAsia="宋体" w:cs="宋体"/>
          <w:color w:val="auto"/>
          <w:sz w:val="40"/>
          <w:szCs w:val="40"/>
          <w:highlight w:val="none"/>
          <w:lang w:val="en-US" w:eastAsia="zh-CN"/>
        </w:rPr>
      </w:pPr>
      <w:r>
        <w:rPr>
          <w:rFonts w:hint="eastAsia" w:ascii="宋体" w:hAnsi="宋体" w:eastAsia="宋体" w:cs="宋体"/>
          <w:color w:val="auto"/>
          <w:sz w:val="40"/>
          <w:szCs w:val="40"/>
          <w:highlight w:val="none"/>
          <w:lang w:val="en-US" w:eastAsia="zh-CN"/>
        </w:rPr>
        <w:t>油品质量保证措施</w:t>
      </w:r>
    </w:p>
    <w:p w14:paraId="20E77023">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tbl>
      <w:tblPr>
        <w:tblStyle w:val="24"/>
        <w:tblW w:w="968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680"/>
      </w:tblGrid>
      <w:tr w14:paraId="7B658EE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719" w:hRule="atLeast"/>
        </w:trPr>
        <w:tc>
          <w:tcPr>
            <w:tcW w:w="9680" w:type="dxa"/>
            <w:tcBorders>
              <w:tl2br w:val="nil"/>
              <w:tr2bl w:val="nil"/>
            </w:tcBorders>
            <w:noWrap w:val="0"/>
            <w:vAlign w:val="top"/>
          </w:tcPr>
          <w:p w14:paraId="336BA337">
            <w:pPr>
              <w:pStyle w:val="10"/>
              <w:pageBreakBefore w:val="0"/>
              <w:kinsoku/>
              <w:wordWrap/>
              <w:overflowPunct/>
              <w:topLinePunct w:val="0"/>
              <w:bidi w:val="0"/>
              <w:spacing w:line="400" w:lineRule="exact"/>
              <w:jc w:val="both"/>
              <w:rPr>
                <w:rFonts w:hint="eastAsia" w:ascii="宋体" w:hAnsi="宋体" w:eastAsia="宋体" w:cs="宋体"/>
                <w:sz w:val="32"/>
                <w:szCs w:val="32"/>
                <w:vertAlign w:val="baseline"/>
              </w:rPr>
            </w:pPr>
          </w:p>
        </w:tc>
      </w:tr>
    </w:tbl>
    <w:p w14:paraId="7CEBF1DE">
      <w:pPr>
        <w:rPr>
          <w:rFonts w:hint="eastAsia"/>
        </w:rPr>
      </w:pPr>
    </w:p>
    <w:p w14:paraId="01CB2B76">
      <w:pPr>
        <w:pStyle w:val="10"/>
        <w:pageBreakBefore w:val="0"/>
        <w:kinsoku/>
        <w:wordWrap/>
        <w:overflowPunct/>
        <w:topLinePunct w:val="0"/>
        <w:bidi w:val="0"/>
        <w:spacing w:line="400" w:lineRule="exact"/>
        <w:ind w:firstLine="0"/>
        <w:jc w:val="center"/>
        <w:rPr>
          <w:rFonts w:hint="eastAsia" w:ascii="宋体" w:hAnsi="宋体" w:eastAsia="宋体" w:cs="宋体"/>
          <w:spacing w:val="0"/>
          <w:kern w:val="2"/>
          <w:sz w:val="32"/>
          <w:szCs w:val="32"/>
          <w:lang w:val="en-US" w:eastAsia="zh-CN" w:bidi="ar"/>
        </w:rPr>
      </w:pPr>
    </w:p>
    <w:p w14:paraId="10922BA4">
      <w:pPr>
        <w:pStyle w:val="10"/>
        <w:pageBreakBefore w:val="0"/>
        <w:kinsoku/>
        <w:wordWrap/>
        <w:overflowPunct/>
        <w:topLinePunct w:val="0"/>
        <w:bidi w:val="0"/>
        <w:spacing w:line="400" w:lineRule="exact"/>
        <w:ind w:firstLine="0"/>
        <w:jc w:val="center"/>
        <w:rPr>
          <w:rFonts w:hint="eastAsia" w:ascii="宋体" w:hAnsi="宋体" w:eastAsia="宋体" w:cs="宋体"/>
          <w:spacing w:val="0"/>
          <w:kern w:val="2"/>
          <w:sz w:val="32"/>
          <w:szCs w:val="32"/>
          <w:lang w:val="en-US" w:eastAsia="zh-CN" w:bidi="ar"/>
        </w:rPr>
      </w:pPr>
    </w:p>
    <w:p w14:paraId="732DA3C4">
      <w:pPr>
        <w:pStyle w:val="10"/>
        <w:pageBreakBefore w:val="0"/>
        <w:kinsoku/>
        <w:wordWrap/>
        <w:overflowPunct/>
        <w:topLinePunct w:val="0"/>
        <w:bidi w:val="0"/>
        <w:spacing w:line="400" w:lineRule="exact"/>
        <w:ind w:firstLine="0"/>
        <w:jc w:val="center"/>
        <w:rPr>
          <w:rFonts w:hint="eastAsia" w:ascii="宋体" w:hAnsi="宋体" w:eastAsia="宋体" w:cs="宋体"/>
          <w:spacing w:val="0"/>
          <w:kern w:val="2"/>
          <w:sz w:val="32"/>
          <w:szCs w:val="32"/>
          <w:lang w:val="en-US" w:eastAsia="zh-CN" w:bidi="ar"/>
        </w:rPr>
      </w:pPr>
    </w:p>
    <w:p w14:paraId="5DBA381F">
      <w:pPr>
        <w:pStyle w:val="10"/>
        <w:pageBreakBefore w:val="0"/>
        <w:kinsoku/>
        <w:wordWrap/>
        <w:overflowPunct/>
        <w:topLinePunct w:val="0"/>
        <w:bidi w:val="0"/>
        <w:spacing w:line="400" w:lineRule="exact"/>
        <w:ind w:firstLine="0"/>
        <w:jc w:val="center"/>
        <w:rPr>
          <w:rFonts w:hint="eastAsia" w:ascii="宋体" w:hAnsi="宋体" w:eastAsia="宋体" w:cs="宋体"/>
          <w:spacing w:val="0"/>
          <w:kern w:val="2"/>
          <w:sz w:val="32"/>
          <w:szCs w:val="32"/>
          <w:lang w:val="en-US" w:eastAsia="zh-CN" w:bidi="ar"/>
        </w:rPr>
      </w:pPr>
    </w:p>
    <w:p w14:paraId="5C483F24">
      <w:pPr>
        <w:pStyle w:val="10"/>
        <w:pageBreakBefore w:val="0"/>
        <w:kinsoku/>
        <w:wordWrap/>
        <w:overflowPunct/>
        <w:topLinePunct w:val="0"/>
        <w:bidi w:val="0"/>
        <w:spacing w:line="400" w:lineRule="exact"/>
        <w:ind w:firstLine="0"/>
        <w:jc w:val="center"/>
        <w:rPr>
          <w:rFonts w:hint="eastAsia" w:ascii="宋体" w:hAnsi="宋体" w:eastAsia="宋体" w:cs="宋体"/>
          <w:spacing w:val="0"/>
          <w:kern w:val="2"/>
          <w:sz w:val="32"/>
          <w:szCs w:val="32"/>
          <w:lang w:val="en-US" w:eastAsia="zh-CN" w:bidi="ar"/>
        </w:rPr>
      </w:pPr>
    </w:p>
    <w:p w14:paraId="266C90C9">
      <w:pPr>
        <w:pStyle w:val="10"/>
        <w:pageBreakBefore w:val="0"/>
        <w:kinsoku/>
        <w:wordWrap/>
        <w:overflowPunct/>
        <w:topLinePunct w:val="0"/>
        <w:bidi w:val="0"/>
        <w:spacing w:line="400" w:lineRule="exact"/>
        <w:ind w:firstLine="0"/>
        <w:jc w:val="center"/>
        <w:rPr>
          <w:rFonts w:hint="eastAsia" w:ascii="宋体" w:hAnsi="宋体" w:eastAsia="宋体" w:cs="宋体"/>
          <w:spacing w:val="0"/>
          <w:kern w:val="2"/>
          <w:sz w:val="32"/>
          <w:szCs w:val="32"/>
          <w:lang w:val="en-US" w:eastAsia="zh-CN" w:bidi="ar"/>
        </w:rPr>
      </w:pPr>
    </w:p>
    <w:p w14:paraId="3DD42C82">
      <w:pPr>
        <w:pStyle w:val="10"/>
        <w:pageBreakBefore w:val="0"/>
        <w:kinsoku/>
        <w:wordWrap/>
        <w:overflowPunct/>
        <w:topLinePunct w:val="0"/>
        <w:bidi w:val="0"/>
        <w:spacing w:line="400" w:lineRule="exact"/>
        <w:ind w:firstLine="0"/>
        <w:jc w:val="center"/>
        <w:rPr>
          <w:rFonts w:hint="eastAsia" w:ascii="宋体" w:hAnsi="宋体" w:eastAsia="宋体" w:cs="宋体"/>
          <w:spacing w:val="0"/>
          <w:kern w:val="2"/>
          <w:sz w:val="32"/>
          <w:szCs w:val="32"/>
          <w:lang w:val="en-US" w:eastAsia="zh-CN" w:bidi="ar"/>
        </w:rPr>
      </w:pPr>
    </w:p>
    <w:p w14:paraId="610839D4">
      <w:pPr>
        <w:pStyle w:val="10"/>
        <w:pageBreakBefore w:val="0"/>
        <w:kinsoku/>
        <w:wordWrap/>
        <w:overflowPunct/>
        <w:topLinePunct w:val="0"/>
        <w:bidi w:val="0"/>
        <w:spacing w:line="400" w:lineRule="exact"/>
        <w:ind w:firstLine="0"/>
        <w:jc w:val="center"/>
        <w:rPr>
          <w:rFonts w:hint="eastAsia" w:ascii="宋体" w:hAnsi="宋体" w:eastAsia="宋体" w:cs="宋体"/>
          <w:spacing w:val="0"/>
          <w:kern w:val="2"/>
          <w:sz w:val="32"/>
          <w:szCs w:val="32"/>
          <w:lang w:val="en-US" w:eastAsia="zh-CN" w:bidi="ar"/>
        </w:rPr>
      </w:pPr>
    </w:p>
    <w:p w14:paraId="0F810A18">
      <w:pPr>
        <w:pStyle w:val="10"/>
        <w:pageBreakBefore w:val="0"/>
        <w:kinsoku/>
        <w:wordWrap/>
        <w:overflowPunct/>
        <w:topLinePunct w:val="0"/>
        <w:bidi w:val="0"/>
        <w:spacing w:line="400" w:lineRule="exact"/>
        <w:ind w:firstLine="0"/>
        <w:jc w:val="center"/>
        <w:rPr>
          <w:rFonts w:hint="eastAsia" w:ascii="宋体" w:hAnsi="宋体" w:eastAsia="宋体" w:cs="宋体"/>
          <w:spacing w:val="0"/>
          <w:kern w:val="2"/>
          <w:sz w:val="32"/>
          <w:szCs w:val="32"/>
          <w:lang w:val="en-US" w:eastAsia="zh-CN" w:bidi="ar"/>
        </w:rPr>
      </w:pPr>
    </w:p>
    <w:p w14:paraId="23D3C97F">
      <w:pPr>
        <w:pStyle w:val="10"/>
        <w:pageBreakBefore w:val="0"/>
        <w:kinsoku/>
        <w:wordWrap/>
        <w:overflowPunct/>
        <w:topLinePunct w:val="0"/>
        <w:bidi w:val="0"/>
        <w:spacing w:line="400" w:lineRule="exact"/>
        <w:ind w:firstLine="0"/>
        <w:jc w:val="center"/>
        <w:rPr>
          <w:rFonts w:hint="eastAsia" w:ascii="宋体" w:hAnsi="宋体" w:eastAsia="宋体" w:cs="宋体"/>
          <w:sz w:val="32"/>
          <w:szCs w:val="32"/>
          <w:lang w:eastAsia="zh-CN"/>
        </w:rPr>
      </w:pPr>
      <w:r>
        <w:rPr>
          <w:rFonts w:hint="eastAsia" w:ascii="宋体" w:hAnsi="宋体" w:eastAsia="宋体" w:cs="宋体"/>
          <w:spacing w:val="0"/>
          <w:kern w:val="2"/>
          <w:sz w:val="32"/>
          <w:szCs w:val="32"/>
          <w:lang w:val="en-US" w:eastAsia="zh-CN" w:bidi="ar"/>
        </w:rPr>
        <w:t>项目实施方案</w:t>
      </w:r>
    </w:p>
    <w:p w14:paraId="4E598FE5">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tbl>
      <w:tblPr>
        <w:tblStyle w:val="24"/>
        <w:tblW w:w="968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680"/>
      </w:tblGrid>
      <w:tr w14:paraId="5BB3FC1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719" w:hRule="atLeast"/>
        </w:trPr>
        <w:tc>
          <w:tcPr>
            <w:tcW w:w="9680" w:type="dxa"/>
            <w:tcBorders>
              <w:tl2br w:val="nil"/>
              <w:tr2bl w:val="nil"/>
            </w:tcBorders>
            <w:noWrap w:val="0"/>
            <w:vAlign w:val="top"/>
          </w:tcPr>
          <w:p w14:paraId="1A074FCE">
            <w:pPr>
              <w:pStyle w:val="10"/>
              <w:pageBreakBefore w:val="0"/>
              <w:kinsoku/>
              <w:wordWrap/>
              <w:overflowPunct/>
              <w:topLinePunct w:val="0"/>
              <w:bidi w:val="0"/>
              <w:spacing w:line="400" w:lineRule="exact"/>
              <w:jc w:val="both"/>
              <w:rPr>
                <w:rFonts w:hint="eastAsia" w:ascii="宋体" w:hAnsi="宋体" w:eastAsia="宋体" w:cs="宋体"/>
                <w:sz w:val="32"/>
                <w:szCs w:val="32"/>
                <w:vertAlign w:val="baseline"/>
              </w:rPr>
            </w:pPr>
          </w:p>
        </w:tc>
      </w:tr>
    </w:tbl>
    <w:p w14:paraId="1A99E1E0">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4E450999">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795CC697">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50298AE6">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52ABC070">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4245C36A">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73E9F3F8">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271CAFDA">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6DA0A4F0">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64CF23E2">
      <w:pPr>
        <w:pStyle w:val="10"/>
        <w:pageBreakBefore w:val="0"/>
        <w:kinsoku/>
        <w:wordWrap/>
        <w:overflowPunct/>
        <w:topLinePunct w:val="0"/>
        <w:bidi w:val="0"/>
        <w:spacing w:line="400" w:lineRule="exact"/>
        <w:ind w:firstLine="0"/>
        <w:jc w:val="both"/>
        <w:rPr>
          <w:rFonts w:hint="eastAsia" w:ascii="宋体" w:hAnsi="宋体" w:eastAsia="宋体" w:cs="宋体"/>
          <w:color w:val="FF0000"/>
          <w:sz w:val="32"/>
          <w:szCs w:val="32"/>
        </w:rPr>
      </w:pPr>
    </w:p>
    <w:p w14:paraId="10DFA336">
      <w:pPr>
        <w:pStyle w:val="10"/>
        <w:pageBreakBefore w:val="0"/>
        <w:kinsoku/>
        <w:wordWrap/>
        <w:overflowPunct/>
        <w:topLinePunct w:val="0"/>
        <w:bidi w:val="0"/>
        <w:spacing w:line="400" w:lineRule="exact"/>
        <w:ind w:firstLine="0"/>
        <w:jc w:val="center"/>
        <w:rPr>
          <w:rFonts w:hint="default" w:ascii="宋体" w:hAnsi="宋体" w:eastAsia="宋体" w:cs="宋体"/>
          <w:color w:val="FF0000"/>
          <w:sz w:val="32"/>
          <w:szCs w:val="32"/>
          <w:lang w:val="en-US"/>
        </w:rPr>
      </w:pPr>
      <w:r>
        <w:rPr>
          <w:rFonts w:hint="eastAsia" w:ascii="宋体" w:hAnsi="宋体" w:cs="宋体"/>
          <w:color w:val="FF0000"/>
          <w:sz w:val="32"/>
          <w:szCs w:val="32"/>
          <w:lang w:val="en-US" w:eastAsia="zh-CN"/>
        </w:rPr>
        <w:t>安全管理制度</w:t>
      </w:r>
    </w:p>
    <w:tbl>
      <w:tblPr>
        <w:tblStyle w:val="24"/>
        <w:tblW w:w="968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680"/>
      </w:tblGrid>
      <w:tr w14:paraId="740F022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719" w:hRule="atLeast"/>
        </w:trPr>
        <w:tc>
          <w:tcPr>
            <w:tcW w:w="9680" w:type="dxa"/>
            <w:tcBorders>
              <w:tl2br w:val="nil"/>
              <w:tr2bl w:val="nil"/>
            </w:tcBorders>
            <w:noWrap w:val="0"/>
            <w:vAlign w:val="top"/>
          </w:tcPr>
          <w:p w14:paraId="4F81E5E4">
            <w:pPr>
              <w:pStyle w:val="10"/>
              <w:pageBreakBefore w:val="0"/>
              <w:kinsoku/>
              <w:wordWrap/>
              <w:overflowPunct/>
              <w:topLinePunct w:val="0"/>
              <w:bidi w:val="0"/>
              <w:spacing w:line="400" w:lineRule="exact"/>
              <w:jc w:val="both"/>
              <w:rPr>
                <w:rFonts w:hint="eastAsia" w:ascii="宋体" w:hAnsi="宋体" w:eastAsia="宋体" w:cs="宋体"/>
                <w:sz w:val="32"/>
                <w:szCs w:val="32"/>
                <w:vertAlign w:val="baseline"/>
              </w:rPr>
            </w:pPr>
          </w:p>
        </w:tc>
      </w:tr>
    </w:tbl>
    <w:p w14:paraId="27E04B71">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0F036EBD">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7A1DE7D8">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55CEBA48">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0DB4E0A1">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3ABE4F4F">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074CDBB1">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2E156141">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5B925D1F">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624CEDDF">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19A719F2">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735E799C">
      <w:pPr>
        <w:pStyle w:val="10"/>
        <w:pageBreakBefore w:val="0"/>
        <w:kinsoku/>
        <w:wordWrap/>
        <w:overflowPunct/>
        <w:topLinePunct w:val="0"/>
        <w:bidi w:val="0"/>
        <w:spacing w:line="400" w:lineRule="exact"/>
        <w:ind w:firstLine="0"/>
        <w:jc w:val="center"/>
        <w:rPr>
          <w:rFonts w:hint="default" w:ascii="宋体" w:hAnsi="宋体" w:cs="宋体"/>
          <w:b/>
          <w:bCs w:val="0"/>
          <w:color w:val="FF0000"/>
          <w:kern w:val="0"/>
          <w:sz w:val="24"/>
          <w:szCs w:val="24"/>
          <w:lang w:val="en-US" w:eastAsia="zh-CN" w:bidi="ar-SA"/>
        </w:rPr>
      </w:pPr>
      <w:r>
        <w:rPr>
          <w:rFonts w:hint="eastAsia" w:ascii="宋体" w:hAnsi="宋体" w:eastAsia="宋体" w:cs="宋体"/>
          <w:color w:val="FF0000"/>
          <w:sz w:val="32"/>
          <w:szCs w:val="32"/>
          <w:lang w:val="en-US" w:eastAsia="zh-CN"/>
        </w:rPr>
        <w:t>安全保障措施</w:t>
      </w:r>
    </w:p>
    <w:tbl>
      <w:tblPr>
        <w:tblStyle w:val="24"/>
        <w:tblW w:w="968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680"/>
      </w:tblGrid>
      <w:tr w14:paraId="6ABDA56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719" w:hRule="atLeast"/>
        </w:trPr>
        <w:tc>
          <w:tcPr>
            <w:tcW w:w="9680" w:type="dxa"/>
            <w:tcBorders>
              <w:tl2br w:val="nil"/>
              <w:tr2bl w:val="nil"/>
            </w:tcBorders>
            <w:noWrap w:val="0"/>
            <w:vAlign w:val="top"/>
          </w:tcPr>
          <w:p w14:paraId="119E7721">
            <w:pPr>
              <w:pStyle w:val="10"/>
              <w:pageBreakBefore w:val="0"/>
              <w:kinsoku/>
              <w:wordWrap/>
              <w:overflowPunct/>
              <w:topLinePunct w:val="0"/>
              <w:bidi w:val="0"/>
              <w:spacing w:line="400" w:lineRule="exact"/>
              <w:jc w:val="both"/>
              <w:rPr>
                <w:rFonts w:hint="eastAsia" w:ascii="宋体" w:hAnsi="宋体" w:eastAsia="宋体" w:cs="宋体"/>
                <w:sz w:val="32"/>
                <w:szCs w:val="32"/>
                <w:vertAlign w:val="baseline"/>
              </w:rPr>
            </w:pPr>
          </w:p>
        </w:tc>
      </w:tr>
    </w:tbl>
    <w:p w14:paraId="3DA490D6">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2463823B">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5EB63D11">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6805FCBD">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52079EE8">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5AFDC45B">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441629BF">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1B66A195">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1A38521F">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5BC0869A">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1F3E3BC8">
      <w:pPr>
        <w:pStyle w:val="10"/>
        <w:pageBreakBefore w:val="0"/>
        <w:kinsoku/>
        <w:wordWrap/>
        <w:overflowPunct/>
        <w:topLinePunct w:val="0"/>
        <w:bidi w:val="0"/>
        <w:spacing w:line="400" w:lineRule="exact"/>
        <w:ind w:firstLine="0"/>
        <w:jc w:val="both"/>
        <w:rPr>
          <w:rFonts w:hint="eastAsia" w:ascii="宋体" w:hAnsi="宋体" w:eastAsia="宋体" w:cs="宋体"/>
          <w:color w:val="FF0000"/>
          <w:sz w:val="32"/>
          <w:szCs w:val="32"/>
        </w:rPr>
      </w:pPr>
    </w:p>
    <w:p w14:paraId="0AF92337">
      <w:pPr>
        <w:pStyle w:val="10"/>
        <w:pageBreakBefore w:val="0"/>
        <w:kinsoku/>
        <w:wordWrap/>
        <w:overflowPunct/>
        <w:topLinePunct w:val="0"/>
        <w:bidi w:val="0"/>
        <w:spacing w:line="400" w:lineRule="exact"/>
        <w:ind w:firstLine="0"/>
        <w:jc w:val="center"/>
        <w:rPr>
          <w:rFonts w:hint="default" w:ascii="宋体" w:hAnsi="宋体" w:eastAsia="宋体" w:cs="宋体"/>
          <w:color w:val="FF0000"/>
          <w:sz w:val="32"/>
          <w:szCs w:val="32"/>
          <w:lang w:val="en-US"/>
        </w:rPr>
      </w:pPr>
      <w:r>
        <w:rPr>
          <w:rFonts w:hint="eastAsia" w:ascii="宋体" w:hAnsi="宋体" w:eastAsia="宋体" w:cs="宋体"/>
          <w:color w:val="FF0000"/>
          <w:sz w:val="32"/>
          <w:szCs w:val="32"/>
          <w:lang w:val="en-US" w:eastAsia="zh-CN"/>
        </w:rPr>
        <w:t>应急方案</w:t>
      </w:r>
    </w:p>
    <w:tbl>
      <w:tblPr>
        <w:tblStyle w:val="24"/>
        <w:tblW w:w="968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680"/>
      </w:tblGrid>
      <w:tr w14:paraId="1DE1B63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719" w:hRule="atLeast"/>
        </w:trPr>
        <w:tc>
          <w:tcPr>
            <w:tcW w:w="9680" w:type="dxa"/>
            <w:tcBorders>
              <w:tl2br w:val="nil"/>
              <w:tr2bl w:val="nil"/>
            </w:tcBorders>
            <w:noWrap w:val="0"/>
            <w:vAlign w:val="top"/>
          </w:tcPr>
          <w:p w14:paraId="26798DAE">
            <w:pPr>
              <w:pStyle w:val="10"/>
              <w:pageBreakBefore w:val="0"/>
              <w:kinsoku/>
              <w:wordWrap/>
              <w:overflowPunct/>
              <w:topLinePunct w:val="0"/>
              <w:bidi w:val="0"/>
              <w:spacing w:line="400" w:lineRule="exact"/>
              <w:jc w:val="both"/>
              <w:rPr>
                <w:rFonts w:hint="eastAsia" w:ascii="宋体" w:hAnsi="宋体" w:eastAsia="宋体" w:cs="宋体"/>
                <w:sz w:val="32"/>
                <w:szCs w:val="32"/>
                <w:vertAlign w:val="baseline"/>
              </w:rPr>
            </w:pPr>
          </w:p>
        </w:tc>
      </w:tr>
    </w:tbl>
    <w:p w14:paraId="6489FE37">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4FD8E10F">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427DA077">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54153386">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406F8BE9">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7527317B">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5BDBA409">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2D40103B">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29F82080">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49C77293">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120271BC">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17D18563">
      <w:pPr>
        <w:pStyle w:val="10"/>
        <w:pageBreakBefore w:val="0"/>
        <w:kinsoku/>
        <w:wordWrap/>
        <w:overflowPunct/>
        <w:topLinePunct w:val="0"/>
        <w:bidi w:val="0"/>
        <w:spacing w:line="400" w:lineRule="exact"/>
        <w:ind w:firstLine="0"/>
        <w:jc w:val="center"/>
        <w:rPr>
          <w:rFonts w:hint="eastAsia" w:ascii="宋体" w:hAnsi="宋体" w:eastAsia="宋体" w:cs="宋体"/>
          <w:color w:val="FF0000"/>
          <w:sz w:val="32"/>
          <w:szCs w:val="32"/>
          <w:lang w:val="en-US" w:eastAsia="zh-CN"/>
        </w:rPr>
      </w:pPr>
    </w:p>
    <w:p w14:paraId="58A49213">
      <w:pPr>
        <w:pStyle w:val="10"/>
        <w:pageBreakBefore w:val="0"/>
        <w:kinsoku/>
        <w:wordWrap/>
        <w:overflowPunct/>
        <w:topLinePunct w:val="0"/>
        <w:bidi w:val="0"/>
        <w:spacing w:line="400" w:lineRule="exact"/>
        <w:ind w:firstLine="0"/>
        <w:jc w:val="center"/>
        <w:rPr>
          <w:rFonts w:hint="default" w:ascii="宋体" w:hAnsi="宋体" w:eastAsia="宋体" w:cs="宋体"/>
          <w:color w:val="FF0000"/>
          <w:sz w:val="32"/>
          <w:szCs w:val="32"/>
          <w:lang w:val="en-US" w:eastAsia="zh-CN"/>
        </w:rPr>
      </w:pPr>
      <w:r>
        <w:rPr>
          <w:rFonts w:hint="eastAsia" w:ascii="宋体" w:hAnsi="宋体" w:cs="宋体"/>
          <w:color w:val="FF0000"/>
          <w:sz w:val="32"/>
          <w:szCs w:val="32"/>
          <w:lang w:val="en-US" w:eastAsia="zh-CN"/>
        </w:rPr>
        <w:t>售后服务方案</w:t>
      </w:r>
    </w:p>
    <w:tbl>
      <w:tblPr>
        <w:tblStyle w:val="24"/>
        <w:tblW w:w="968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680"/>
      </w:tblGrid>
      <w:tr w14:paraId="5375D96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719" w:hRule="atLeast"/>
        </w:trPr>
        <w:tc>
          <w:tcPr>
            <w:tcW w:w="9680" w:type="dxa"/>
            <w:tcBorders>
              <w:tl2br w:val="nil"/>
              <w:tr2bl w:val="nil"/>
            </w:tcBorders>
            <w:noWrap w:val="0"/>
            <w:vAlign w:val="top"/>
          </w:tcPr>
          <w:p w14:paraId="1B890C60">
            <w:pPr>
              <w:pStyle w:val="10"/>
              <w:pageBreakBefore w:val="0"/>
              <w:kinsoku/>
              <w:wordWrap/>
              <w:overflowPunct/>
              <w:topLinePunct w:val="0"/>
              <w:bidi w:val="0"/>
              <w:spacing w:line="400" w:lineRule="exact"/>
              <w:jc w:val="both"/>
              <w:rPr>
                <w:rFonts w:hint="eastAsia" w:ascii="宋体" w:hAnsi="宋体" w:eastAsia="宋体" w:cs="宋体"/>
                <w:sz w:val="32"/>
                <w:szCs w:val="32"/>
                <w:vertAlign w:val="baseline"/>
              </w:rPr>
            </w:pPr>
          </w:p>
        </w:tc>
      </w:tr>
    </w:tbl>
    <w:p w14:paraId="06589C7F">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51D4C631">
      <w:pPr>
        <w:pStyle w:val="10"/>
        <w:pageBreakBefore w:val="0"/>
        <w:kinsoku/>
        <w:wordWrap/>
        <w:overflowPunct/>
        <w:topLinePunct w:val="0"/>
        <w:bidi w:val="0"/>
        <w:spacing w:line="400" w:lineRule="exact"/>
        <w:ind w:firstLine="0"/>
        <w:jc w:val="both"/>
        <w:rPr>
          <w:rFonts w:hint="eastAsia" w:ascii="宋体" w:hAnsi="宋体" w:eastAsia="宋体" w:cs="宋体"/>
          <w:sz w:val="32"/>
          <w:szCs w:val="32"/>
        </w:rPr>
      </w:pPr>
    </w:p>
    <w:p w14:paraId="5D6054C3">
      <w:pPr>
        <w:pStyle w:val="10"/>
        <w:pageBreakBefore w:val="0"/>
        <w:kinsoku/>
        <w:wordWrap/>
        <w:overflowPunct/>
        <w:topLinePunct w:val="0"/>
        <w:bidi w:val="0"/>
        <w:spacing w:line="400" w:lineRule="exact"/>
        <w:ind w:firstLine="0"/>
        <w:jc w:val="center"/>
        <w:rPr>
          <w:rFonts w:hint="eastAsia" w:ascii="宋体" w:hAnsi="宋体" w:eastAsia="宋体" w:cs="宋体"/>
          <w:color w:val="FF0000"/>
          <w:sz w:val="32"/>
          <w:szCs w:val="32"/>
          <w:lang w:val="en-US" w:eastAsia="zh-CN"/>
        </w:rPr>
      </w:pPr>
    </w:p>
    <w:p w14:paraId="59AB0C81">
      <w:pPr>
        <w:pStyle w:val="10"/>
        <w:pageBreakBefore w:val="0"/>
        <w:kinsoku/>
        <w:wordWrap/>
        <w:overflowPunct/>
        <w:topLinePunct w:val="0"/>
        <w:bidi w:val="0"/>
        <w:spacing w:line="400" w:lineRule="exact"/>
        <w:ind w:firstLine="0"/>
        <w:jc w:val="center"/>
        <w:rPr>
          <w:rFonts w:hint="eastAsia" w:ascii="宋体" w:hAnsi="宋体" w:eastAsia="宋体" w:cs="宋体"/>
          <w:color w:val="FF0000"/>
          <w:sz w:val="32"/>
          <w:szCs w:val="32"/>
          <w:lang w:val="en-US" w:eastAsia="zh-CN"/>
        </w:rPr>
      </w:pPr>
    </w:p>
    <w:p w14:paraId="7B9DDB98">
      <w:pPr>
        <w:pStyle w:val="10"/>
        <w:pageBreakBefore w:val="0"/>
        <w:kinsoku/>
        <w:wordWrap/>
        <w:overflowPunct/>
        <w:topLinePunct w:val="0"/>
        <w:bidi w:val="0"/>
        <w:spacing w:line="400" w:lineRule="exact"/>
        <w:ind w:firstLine="0"/>
        <w:jc w:val="center"/>
        <w:rPr>
          <w:rFonts w:hint="eastAsia" w:ascii="宋体" w:hAnsi="宋体" w:eastAsia="宋体" w:cs="宋体"/>
          <w:color w:val="FF0000"/>
          <w:sz w:val="32"/>
          <w:szCs w:val="32"/>
          <w:lang w:val="en-US" w:eastAsia="zh-CN"/>
        </w:rPr>
      </w:pPr>
    </w:p>
    <w:p w14:paraId="399230C8">
      <w:pPr>
        <w:pStyle w:val="10"/>
        <w:pageBreakBefore w:val="0"/>
        <w:kinsoku/>
        <w:wordWrap/>
        <w:overflowPunct/>
        <w:topLinePunct w:val="0"/>
        <w:bidi w:val="0"/>
        <w:spacing w:line="400" w:lineRule="exact"/>
        <w:ind w:firstLine="0"/>
        <w:jc w:val="center"/>
        <w:rPr>
          <w:rFonts w:hint="eastAsia" w:ascii="宋体" w:hAnsi="宋体" w:eastAsia="宋体" w:cs="宋体"/>
          <w:color w:val="FF0000"/>
          <w:sz w:val="32"/>
          <w:szCs w:val="32"/>
          <w:lang w:val="en-US" w:eastAsia="zh-CN"/>
        </w:rPr>
      </w:pPr>
    </w:p>
    <w:p w14:paraId="6C1F0A70">
      <w:pPr>
        <w:pStyle w:val="10"/>
        <w:pageBreakBefore w:val="0"/>
        <w:kinsoku/>
        <w:wordWrap/>
        <w:overflowPunct/>
        <w:topLinePunct w:val="0"/>
        <w:bidi w:val="0"/>
        <w:spacing w:line="400" w:lineRule="exact"/>
        <w:ind w:firstLine="0"/>
        <w:jc w:val="center"/>
        <w:rPr>
          <w:rFonts w:hint="eastAsia" w:ascii="宋体" w:hAnsi="宋体" w:eastAsia="宋体" w:cs="宋体"/>
          <w:color w:val="FF0000"/>
          <w:sz w:val="32"/>
          <w:szCs w:val="32"/>
          <w:lang w:val="en-US" w:eastAsia="zh-CN"/>
        </w:rPr>
      </w:pPr>
    </w:p>
    <w:p w14:paraId="25C21BA9">
      <w:pPr>
        <w:pStyle w:val="10"/>
        <w:pageBreakBefore w:val="0"/>
        <w:kinsoku/>
        <w:wordWrap/>
        <w:overflowPunct/>
        <w:topLinePunct w:val="0"/>
        <w:bidi w:val="0"/>
        <w:spacing w:line="400" w:lineRule="exact"/>
        <w:ind w:firstLine="0"/>
        <w:jc w:val="center"/>
        <w:rPr>
          <w:rFonts w:hint="eastAsia" w:ascii="宋体" w:hAnsi="宋体" w:eastAsia="宋体" w:cs="宋体"/>
          <w:color w:val="FF0000"/>
          <w:sz w:val="32"/>
          <w:szCs w:val="32"/>
          <w:lang w:val="en-US" w:eastAsia="zh-CN"/>
        </w:rPr>
      </w:pPr>
    </w:p>
    <w:p w14:paraId="4B6CC0EF">
      <w:pPr>
        <w:pStyle w:val="10"/>
        <w:pageBreakBefore w:val="0"/>
        <w:kinsoku/>
        <w:wordWrap/>
        <w:overflowPunct/>
        <w:topLinePunct w:val="0"/>
        <w:bidi w:val="0"/>
        <w:spacing w:line="400" w:lineRule="exact"/>
        <w:ind w:firstLine="0"/>
        <w:jc w:val="center"/>
        <w:rPr>
          <w:rFonts w:hint="eastAsia" w:ascii="宋体" w:hAnsi="宋体" w:eastAsia="宋体" w:cs="宋体"/>
          <w:color w:val="FF0000"/>
          <w:sz w:val="32"/>
          <w:szCs w:val="32"/>
          <w:lang w:val="en-US" w:eastAsia="zh-CN"/>
        </w:rPr>
      </w:pPr>
    </w:p>
    <w:p w14:paraId="068837C3">
      <w:pPr>
        <w:pageBreakBefore w:val="0"/>
        <w:shd w:val="clear" w:color="auto" w:fill="FFFFFF"/>
        <w:kinsoku/>
        <w:wordWrap/>
        <w:overflowPunct/>
        <w:topLinePunct w:val="0"/>
        <w:bidi w:val="0"/>
        <w:snapToGrid w:val="0"/>
        <w:spacing w:line="360" w:lineRule="auto"/>
        <w:jc w:val="both"/>
        <w:rPr>
          <w:rFonts w:hint="eastAsia" w:ascii="宋体" w:hAnsi="宋体" w:eastAsia="宋体" w:cs="宋体"/>
          <w:b/>
          <w:bCs/>
          <w:color w:val="auto"/>
          <w:sz w:val="32"/>
          <w:szCs w:val="32"/>
          <w:highlight w:val="none"/>
        </w:rPr>
      </w:pPr>
    </w:p>
    <w:p w14:paraId="47A415BD">
      <w:pPr>
        <w:pageBreakBefore w:val="0"/>
        <w:shd w:val="clear" w:color="auto" w:fill="FFFFFF"/>
        <w:kinsoku/>
        <w:wordWrap/>
        <w:overflowPunct/>
        <w:topLinePunct w:val="0"/>
        <w:bidi w:val="0"/>
        <w:snapToGrid w:val="0"/>
        <w:spacing w:line="360" w:lineRule="auto"/>
        <w:jc w:val="both"/>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投标文件封面</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参考</w:t>
      </w:r>
      <w:r>
        <w:rPr>
          <w:rFonts w:hint="eastAsia" w:ascii="宋体" w:hAnsi="宋体" w:cs="宋体"/>
          <w:b/>
          <w:bCs/>
          <w:color w:val="auto"/>
          <w:sz w:val="32"/>
          <w:szCs w:val="32"/>
          <w:highlight w:val="none"/>
          <w:lang w:eastAsia="zh-CN"/>
        </w:rPr>
        <w:t>）</w:t>
      </w:r>
    </w:p>
    <w:p w14:paraId="40B08277">
      <w:pPr>
        <w:shd w:val="clear" w:color="auto" w:fill="FFFFFF"/>
        <w:tabs>
          <w:tab w:val="left" w:pos="4500"/>
        </w:tabs>
        <w:snapToGrid w:val="0"/>
        <w:spacing w:line="360" w:lineRule="auto"/>
        <w:jc w:val="center"/>
        <w:textAlignment w:val="bottom"/>
        <w:rPr>
          <w:rFonts w:hint="eastAsia" w:ascii="宋体" w:hAnsi="宋体" w:cs="宋体"/>
          <w:b/>
          <w:bCs/>
          <w:color w:val="auto"/>
          <w:spacing w:val="-17"/>
          <w:sz w:val="52"/>
          <w:szCs w:val="52"/>
          <w:highlight w:val="none"/>
          <w:lang w:eastAsia="zh-CN"/>
        </w:rPr>
      </w:pPr>
    </w:p>
    <w:p w14:paraId="6CD9E946">
      <w:pPr>
        <w:shd w:val="clear" w:color="auto" w:fill="FFFFFF"/>
        <w:tabs>
          <w:tab w:val="left" w:pos="4500"/>
        </w:tabs>
        <w:snapToGrid w:val="0"/>
        <w:spacing w:line="360" w:lineRule="auto"/>
        <w:jc w:val="center"/>
        <w:textAlignment w:val="bottom"/>
        <w:rPr>
          <w:rFonts w:hint="eastAsia" w:ascii="宋体" w:hAnsi="宋体" w:eastAsia="宋体" w:cs="宋体"/>
          <w:b/>
          <w:bCs/>
          <w:color w:val="auto"/>
          <w:spacing w:val="-17"/>
          <w:sz w:val="52"/>
          <w:szCs w:val="52"/>
          <w:highlight w:val="none"/>
          <w:lang w:eastAsia="zh-CN"/>
        </w:rPr>
      </w:pPr>
      <w:r>
        <w:rPr>
          <w:rFonts w:hint="eastAsia" w:ascii="宋体" w:hAnsi="宋体" w:cs="宋体"/>
          <w:b/>
          <w:bCs/>
          <w:color w:val="auto"/>
          <w:spacing w:val="-17"/>
          <w:sz w:val="52"/>
          <w:szCs w:val="52"/>
          <w:highlight w:val="none"/>
          <w:lang w:eastAsia="zh-CN"/>
        </w:rPr>
        <w:t>苍南县交通工程养护基地项目热喷燃烧油采购</w:t>
      </w:r>
    </w:p>
    <w:p w14:paraId="4841AE9E">
      <w:pPr>
        <w:shd w:val="clear" w:color="auto" w:fill="FFFFFF"/>
        <w:snapToGrid w:val="0"/>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（资格文件/报价文件/商务技术文件）</w:t>
      </w:r>
    </w:p>
    <w:p w14:paraId="019F27F6">
      <w:pPr>
        <w:shd w:val="clear" w:color="auto" w:fill="FFFFFF"/>
        <w:snapToGrid w:val="0"/>
        <w:spacing w:line="360" w:lineRule="auto"/>
        <w:ind w:firstLine="2209" w:firstLineChars="500"/>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项目编号：</w:t>
      </w:r>
      <w:r>
        <w:rPr>
          <w:rFonts w:hint="eastAsia" w:ascii="宋体" w:hAnsi="宋体" w:cs="宋体"/>
          <w:b/>
          <w:bCs/>
          <w:color w:val="auto"/>
          <w:sz w:val="44"/>
          <w:szCs w:val="44"/>
          <w:highlight w:val="none"/>
          <w:lang w:eastAsia="zh-CN"/>
        </w:rPr>
        <w:t>HYGYCN20250530002</w:t>
      </w:r>
    </w:p>
    <w:bookmarkEnd w:id="24"/>
    <w:bookmarkEnd w:id="25"/>
    <w:bookmarkEnd w:id="26"/>
    <w:bookmarkEnd w:id="27"/>
    <w:bookmarkEnd w:id="131"/>
    <w:p w14:paraId="24162C72">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投</w:t>
      </w:r>
    </w:p>
    <w:p w14:paraId="5ED66BE3">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标</w:t>
      </w:r>
    </w:p>
    <w:p w14:paraId="402D9F99">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文</w:t>
      </w:r>
    </w:p>
    <w:p w14:paraId="6D6B6DCE">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件</w:t>
      </w:r>
    </w:p>
    <w:p w14:paraId="60355761">
      <w:pPr>
        <w:snapToGrid w:val="0"/>
        <w:spacing w:line="360" w:lineRule="auto"/>
        <w:jc w:val="center"/>
        <w:rPr>
          <w:rFonts w:hint="eastAsia" w:ascii="宋体" w:hAnsi="宋体" w:eastAsia="宋体" w:cs="宋体"/>
          <w:color w:val="auto"/>
          <w:sz w:val="24"/>
          <w:highlight w:val="none"/>
        </w:rPr>
      </w:pPr>
    </w:p>
    <w:p w14:paraId="2B5BC4C2">
      <w:pPr>
        <w:snapToGrid w:val="0"/>
        <w:spacing w:line="360" w:lineRule="auto"/>
        <w:ind w:firstLine="2160" w:firstLineChars="600"/>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投标供应商（盖章）</w:t>
      </w:r>
      <w:r>
        <w:rPr>
          <w:rFonts w:hint="eastAsia" w:ascii="宋体" w:hAnsi="宋体" w:cs="宋体"/>
          <w:color w:val="auto"/>
          <w:sz w:val="36"/>
          <w:szCs w:val="36"/>
          <w:highlight w:val="none"/>
          <w:lang w:eastAsia="zh-CN"/>
        </w:rPr>
        <w:t>：</w:t>
      </w:r>
    </w:p>
    <w:p w14:paraId="1D9C4744">
      <w:pPr>
        <w:snapToGrid w:val="0"/>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年   月   日</w:t>
      </w:r>
    </w:p>
    <w:p w14:paraId="78F18A52">
      <w:pPr>
        <w:spacing w:line="360" w:lineRule="auto"/>
        <w:rPr>
          <w:rFonts w:hint="eastAsia" w:ascii="宋体" w:hAnsi="宋体" w:eastAsia="宋体" w:cs="宋体"/>
          <w:color w:val="auto"/>
          <w:highlight w:val="none"/>
        </w:rPr>
      </w:pPr>
    </w:p>
    <w:p w14:paraId="4F81F23D">
      <w:pPr>
        <w:spacing w:line="360" w:lineRule="auto"/>
        <w:rPr>
          <w:rFonts w:hint="eastAsia" w:ascii="宋体" w:hAnsi="宋体" w:eastAsia="宋体" w:cs="宋体"/>
          <w:color w:val="auto"/>
          <w:highlight w:val="none"/>
        </w:rPr>
      </w:pPr>
    </w:p>
    <w:p w14:paraId="2F8C3AE3">
      <w:pPr>
        <w:pStyle w:val="38"/>
        <w:widowControl w:val="0"/>
        <w:snapToGrid w:val="0"/>
        <w:spacing w:line="5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rPr>
        <w:t>采购活动现场确认声明书</w:t>
      </w:r>
    </w:p>
    <w:p w14:paraId="082485A4">
      <w:pPr>
        <w:pStyle w:val="38"/>
        <w:widowControl w:val="0"/>
        <w:snapToGrid w:val="0"/>
        <w:spacing w:line="500" w:lineRule="exact"/>
        <w:jc w:val="center"/>
        <w:rPr>
          <w:rFonts w:hint="eastAsia" w:ascii="宋体" w:hAnsi="宋体" w:eastAsia="宋体" w:cs="宋体"/>
          <w:color w:val="auto"/>
          <w:kern w:val="0"/>
          <w:sz w:val="28"/>
          <w:szCs w:val="28"/>
          <w:highlight w:val="none"/>
        </w:rPr>
      </w:pPr>
      <w:r>
        <w:rPr>
          <w:rFonts w:hint="eastAsia" w:ascii="宋体" w:hAnsi="宋体" w:eastAsia="宋体" w:cs="宋体"/>
          <w:b/>
          <w:color w:val="auto"/>
          <w:szCs w:val="24"/>
          <w:highlight w:val="none"/>
        </w:rPr>
        <w:t>（</w:t>
      </w:r>
      <w:r>
        <w:rPr>
          <w:rFonts w:hint="eastAsia" w:ascii="宋体" w:hAnsi="宋体" w:eastAsia="宋体" w:cs="宋体"/>
          <w:color w:val="auto"/>
          <w:kern w:val="0"/>
          <w:highlight w:val="none"/>
        </w:rPr>
        <w:t>投标文件在线解密结束后，</w:t>
      </w:r>
      <w:r>
        <w:rPr>
          <w:rFonts w:hint="eastAsia" w:hAnsi="宋体" w:cs="宋体"/>
          <w:color w:val="auto"/>
          <w:kern w:val="0"/>
          <w:highlight w:val="none"/>
          <w:lang w:val="en-US" w:eastAsia="zh-CN"/>
        </w:rPr>
        <w:t>完成填写以扫描件形式发送至249119727@qq.com</w:t>
      </w:r>
      <w:r>
        <w:rPr>
          <w:rFonts w:hint="eastAsia" w:ascii="宋体" w:hAnsi="宋体" w:eastAsia="宋体" w:cs="宋体"/>
          <w:b/>
          <w:color w:val="auto"/>
          <w:szCs w:val="24"/>
          <w:highlight w:val="none"/>
        </w:rPr>
        <w:t>）</w:t>
      </w:r>
    </w:p>
    <w:p w14:paraId="13CCF03B">
      <w:pPr>
        <w:pStyle w:val="38"/>
        <w:widowControl w:val="0"/>
        <w:snapToGrid w:val="0"/>
        <w:spacing w:line="440" w:lineRule="exact"/>
        <w:jc w:val="both"/>
        <w:rPr>
          <w:rFonts w:hint="eastAsia" w:ascii="宋体" w:hAnsi="宋体" w:eastAsia="宋体" w:cs="宋体"/>
          <w:bCs/>
          <w:color w:val="auto"/>
          <w:szCs w:val="24"/>
          <w:highlight w:val="none"/>
        </w:rPr>
      </w:pPr>
      <w:r>
        <w:rPr>
          <w:rFonts w:hint="eastAsia" w:hAnsi="宋体" w:cs="宋体"/>
          <w:color w:val="auto"/>
          <w:szCs w:val="24"/>
          <w:highlight w:val="none"/>
          <w:lang w:eastAsia="zh-CN"/>
        </w:rPr>
        <w:t>浙江华域高宇项目管理有限公司</w:t>
      </w:r>
      <w:r>
        <w:rPr>
          <w:rFonts w:hint="eastAsia" w:ascii="宋体" w:hAnsi="宋体" w:eastAsia="宋体" w:cs="宋体"/>
          <w:color w:val="auto"/>
          <w:kern w:val="0"/>
          <w:szCs w:val="24"/>
          <w:highlight w:val="none"/>
        </w:rPr>
        <w:t>：</w:t>
      </w:r>
    </w:p>
    <w:p w14:paraId="439887D1">
      <w:pPr>
        <w:pStyle w:val="38"/>
        <w:widowControl w:val="0"/>
        <w:snapToGrid w:val="0"/>
        <w:spacing w:line="240" w:lineRule="auto"/>
        <w:ind w:left="425" w:firstLine="504" w:firstLineChars="200"/>
        <w:jc w:val="both"/>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本人</w:t>
      </w:r>
      <w:r>
        <w:rPr>
          <w:rFonts w:hint="eastAsia" w:ascii="宋体" w:hAnsi="宋体" w:eastAsia="宋体" w:cs="宋体"/>
          <w:color w:val="auto"/>
          <w:spacing w:val="6"/>
          <w:szCs w:val="24"/>
          <w:highlight w:val="none"/>
          <w:u w:val="single"/>
        </w:rPr>
        <w:t xml:space="preserve">        </w:t>
      </w:r>
      <w:r>
        <w:rPr>
          <w:rFonts w:hint="eastAsia" w:ascii="宋体" w:hAnsi="宋体" w:eastAsia="宋体" w:cs="宋体"/>
          <w:color w:val="auto"/>
          <w:spacing w:val="6"/>
          <w:szCs w:val="24"/>
          <w:highlight w:val="none"/>
        </w:rPr>
        <w:t>（授权代表姓名），经由</w:t>
      </w:r>
      <w:r>
        <w:rPr>
          <w:rFonts w:hint="eastAsia" w:ascii="宋体" w:hAnsi="宋体" w:eastAsia="宋体" w:cs="宋体"/>
          <w:color w:val="auto"/>
          <w:spacing w:val="6"/>
          <w:szCs w:val="24"/>
          <w:highlight w:val="none"/>
          <w:u w:val="single"/>
        </w:rPr>
        <w:t xml:space="preserve">                         </w:t>
      </w:r>
      <w:r>
        <w:rPr>
          <w:rFonts w:hint="eastAsia" w:ascii="宋体" w:hAnsi="宋体" w:eastAsia="宋体" w:cs="宋体"/>
          <w:color w:val="auto"/>
          <w:spacing w:val="6"/>
          <w:szCs w:val="24"/>
          <w:highlight w:val="none"/>
        </w:rPr>
        <w:t>（单位）</w:t>
      </w:r>
      <w:r>
        <w:rPr>
          <w:rFonts w:hint="eastAsia" w:ascii="宋体" w:hAnsi="宋体" w:eastAsia="宋体" w:cs="宋体"/>
          <w:color w:val="auto"/>
          <w:spacing w:val="6"/>
          <w:szCs w:val="24"/>
          <w:highlight w:val="none"/>
          <w:u w:val="single"/>
        </w:rPr>
        <w:t xml:space="preserve">         </w:t>
      </w:r>
      <w:r>
        <w:rPr>
          <w:rFonts w:hint="eastAsia" w:ascii="宋体" w:hAnsi="宋体" w:eastAsia="宋体" w:cs="宋体"/>
          <w:color w:val="auto"/>
          <w:spacing w:val="6"/>
          <w:szCs w:val="24"/>
          <w:highlight w:val="none"/>
        </w:rPr>
        <w:t>（法定代表人姓名）合法授权参加</w:t>
      </w:r>
      <w:r>
        <w:rPr>
          <w:rFonts w:hint="eastAsia" w:hAnsi="宋体" w:cs="宋体"/>
          <w:color w:val="auto"/>
          <w:spacing w:val="6"/>
          <w:szCs w:val="24"/>
          <w:highlight w:val="none"/>
          <w:u w:val="single"/>
          <w:lang w:eastAsia="zh-CN"/>
        </w:rPr>
        <w:t>苍南县交通工程养护基地项目热喷燃烧油采购</w:t>
      </w:r>
      <w:r>
        <w:rPr>
          <w:rFonts w:hint="eastAsia" w:ascii="宋体" w:hAnsi="宋体" w:eastAsia="宋体" w:cs="宋体"/>
          <w:color w:val="auto"/>
          <w:spacing w:val="6"/>
          <w:szCs w:val="24"/>
          <w:highlight w:val="none"/>
        </w:rPr>
        <w:t>（编号：</w:t>
      </w:r>
      <w:r>
        <w:rPr>
          <w:rFonts w:hint="eastAsia" w:ascii="宋体" w:hAnsi="宋体" w:eastAsia="宋体" w:cs="宋体"/>
          <w:color w:val="auto"/>
          <w:highlight w:val="none"/>
        </w:rPr>
        <w:t xml:space="preserve"> </w:t>
      </w:r>
      <w:r>
        <w:rPr>
          <w:rFonts w:hint="eastAsia" w:hAnsi="宋体" w:cs="宋体"/>
          <w:color w:val="auto"/>
          <w:spacing w:val="6"/>
          <w:szCs w:val="24"/>
          <w:highlight w:val="none"/>
          <w:u w:val="single"/>
          <w:lang w:eastAsia="zh-CN"/>
        </w:rPr>
        <w:t>HYGYCN20250530002</w:t>
      </w:r>
      <w:r>
        <w:rPr>
          <w:rFonts w:hint="eastAsia" w:ascii="宋体" w:hAnsi="宋体" w:eastAsia="宋体" w:cs="宋体"/>
          <w:color w:val="auto"/>
          <w:spacing w:val="6"/>
          <w:szCs w:val="24"/>
          <w:highlight w:val="none"/>
          <w:u w:val="single"/>
          <w:lang w:eastAsia="zh-CN"/>
        </w:rPr>
        <w:t xml:space="preserve"> </w:t>
      </w:r>
      <w:r>
        <w:rPr>
          <w:rFonts w:hint="eastAsia" w:ascii="宋体" w:hAnsi="宋体" w:eastAsia="宋体" w:cs="宋体"/>
          <w:color w:val="auto"/>
          <w:spacing w:val="6"/>
          <w:szCs w:val="24"/>
          <w:highlight w:val="none"/>
        </w:rPr>
        <w:t xml:space="preserve">）采购活动，经与本单位法人代表（负责人）联系确认，现就有关公平竞争事项郑重声明如下： </w:t>
      </w:r>
    </w:p>
    <w:p w14:paraId="13C83370">
      <w:pPr>
        <w:pStyle w:val="39"/>
        <w:widowControl/>
        <w:numPr>
          <w:ilvl w:val="0"/>
          <w:numId w:val="10"/>
        </w:numPr>
        <w:snapToGrid w:val="0"/>
        <w:spacing w:line="240" w:lineRule="auto"/>
        <w:ind w:left="425" w:firstLine="453" w:firstLineChars="189"/>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本单位与采购人之间 □不存在利害关系 □存在下列利害关系</w:t>
      </w:r>
      <w:r>
        <w:rPr>
          <w:rFonts w:hint="eastAsia" w:ascii="宋体" w:hAnsi="宋体" w:eastAsia="宋体" w:cs="宋体"/>
          <w:color w:val="auto"/>
          <w:kern w:val="0"/>
          <w:szCs w:val="24"/>
          <w:highlight w:val="none"/>
          <w:u w:val="single"/>
        </w:rPr>
        <w:t xml:space="preserve">           </w:t>
      </w:r>
      <w:r>
        <w:rPr>
          <w:rFonts w:hint="eastAsia" w:ascii="宋体" w:hAnsi="宋体" w:eastAsia="宋体" w:cs="宋体"/>
          <w:color w:val="auto"/>
          <w:kern w:val="0"/>
          <w:szCs w:val="24"/>
          <w:highlight w:val="none"/>
        </w:rPr>
        <w:t>：</w:t>
      </w:r>
    </w:p>
    <w:p w14:paraId="323089C4">
      <w:pPr>
        <w:pStyle w:val="39"/>
        <w:widowControl/>
        <w:snapToGrid w:val="0"/>
        <w:spacing w:line="240" w:lineRule="auto"/>
        <w:ind w:left="425"/>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  A.投资关系    B.行政隶属关系    C.业务指导关系</w:t>
      </w:r>
    </w:p>
    <w:p w14:paraId="1360D648">
      <w:pPr>
        <w:pStyle w:val="39"/>
        <w:widowControl/>
        <w:snapToGrid w:val="0"/>
        <w:spacing w:line="240" w:lineRule="auto"/>
        <w:ind w:left="425"/>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  D.其他可能</w:t>
      </w:r>
      <w:r>
        <w:rPr>
          <w:rFonts w:hint="eastAsia" w:ascii="宋体" w:hAnsi="宋体" w:eastAsia="宋体" w:cs="宋体"/>
          <w:color w:val="auto"/>
          <w:szCs w:val="24"/>
          <w:highlight w:val="none"/>
        </w:rPr>
        <w:t>影响采购公正的</w:t>
      </w:r>
      <w:r>
        <w:rPr>
          <w:rFonts w:hint="eastAsia" w:ascii="宋体" w:hAnsi="宋体" w:eastAsia="宋体" w:cs="宋体"/>
          <w:color w:val="auto"/>
          <w:kern w:val="0"/>
          <w:szCs w:val="24"/>
          <w:highlight w:val="none"/>
        </w:rPr>
        <w:t xml:space="preserve">利害关系（如有，请如实说明） </w:t>
      </w:r>
      <w:r>
        <w:rPr>
          <w:rFonts w:hint="eastAsia" w:ascii="宋体" w:hAnsi="宋体" w:eastAsia="宋体" w:cs="宋体"/>
          <w:color w:val="auto"/>
          <w:kern w:val="0"/>
          <w:szCs w:val="24"/>
          <w:highlight w:val="none"/>
          <w:u w:val="single"/>
        </w:rPr>
        <w:t xml:space="preserve">                </w:t>
      </w:r>
      <w:r>
        <w:rPr>
          <w:rFonts w:hint="eastAsia" w:ascii="宋体" w:hAnsi="宋体" w:eastAsia="宋体" w:cs="宋体"/>
          <w:color w:val="auto"/>
          <w:kern w:val="0"/>
          <w:szCs w:val="24"/>
          <w:highlight w:val="none"/>
        </w:rPr>
        <w:t>。</w:t>
      </w:r>
    </w:p>
    <w:p w14:paraId="259D2F35">
      <w:pPr>
        <w:pStyle w:val="39"/>
        <w:widowControl/>
        <w:numPr>
          <w:ilvl w:val="0"/>
          <w:numId w:val="10"/>
        </w:numPr>
        <w:snapToGrid w:val="0"/>
        <w:spacing w:line="240" w:lineRule="auto"/>
        <w:ind w:left="425" w:firstLine="453" w:firstLineChars="189"/>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现已清楚知道参加本项目采购活动的其他所有供应商名称，本单位 □与其他所有供应商之间均不存在利害关系 □与 </w:t>
      </w:r>
      <w:r>
        <w:rPr>
          <w:rFonts w:hint="eastAsia" w:ascii="宋体" w:hAnsi="宋体" w:eastAsia="宋体" w:cs="宋体"/>
          <w:color w:val="auto"/>
          <w:kern w:val="0"/>
          <w:szCs w:val="24"/>
          <w:highlight w:val="none"/>
          <w:u w:val="single"/>
        </w:rPr>
        <w:t xml:space="preserve">               </w:t>
      </w:r>
      <w:r>
        <w:rPr>
          <w:rFonts w:hint="eastAsia" w:ascii="宋体" w:hAnsi="宋体" w:eastAsia="宋体" w:cs="宋体"/>
          <w:color w:val="auto"/>
          <w:kern w:val="0"/>
          <w:szCs w:val="24"/>
          <w:highlight w:val="none"/>
        </w:rPr>
        <w:t>（供应商名称）之间存在下列利害关系</w:t>
      </w:r>
      <w:r>
        <w:rPr>
          <w:rFonts w:hint="eastAsia" w:ascii="宋体" w:hAnsi="宋体" w:eastAsia="宋体" w:cs="宋体"/>
          <w:color w:val="auto"/>
          <w:kern w:val="0"/>
          <w:szCs w:val="24"/>
          <w:highlight w:val="none"/>
          <w:u w:val="single"/>
        </w:rPr>
        <w:t xml:space="preserve">               </w:t>
      </w:r>
      <w:r>
        <w:rPr>
          <w:rFonts w:hint="eastAsia" w:ascii="宋体" w:hAnsi="宋体" w:eastAsia="宋体" w:cs="宋体"/>
          <w:color w:val="auto"/>
          <w:kern w:val="0"/>
          <w:szCs w:val="24"/>
          <w:highlight w:val="none"/>
        </w:rPr>
        <w:t>：</w:t>
      </w:r>
    </w:p>
    <w:p w14:paraId="7BE9F80B">
      <w:pPr>
        <w:pStyle w:val="38"/>
        <w:widowControl w:val="0"/>
        <w:snapToGrid w:val="0"/>
        <w:spacing w:line="240" w:lineRule="auto"/>
        <w:ind w:left="425"/>
        <w:jc w:val="both"/>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  A.法定代表人或负责人或实际控制人是同一人</w:t>
      </w:r>
    </w:p>
    <w:p w14:paraId="72A37F94">
      <w:pPr>
        <w:pStyle w:val="38"/>
        <w:widowControl w:val="0"/>
        <w:snapToGrid w:val="0"/>
        <w:spacing w:line="240" w:lineRule="auto"/>
        <w:ind w:left="425"/>
        <w:jc w:val="both"/>
        <w:rPr>
          <w:rFonts w:hint="eastAsia" w:ascii="宋体" w:hAnsi="宋体" w:eastAsia="宋体" w:cs="宋体"/>
          <w:color w:val="auto"/>
          <w:spacing w:val="6"/>
          <w:szCs w:val="24"/>
          <w:highlight w:val="none"/>
        </w:rPr>
      </w:pPr>
      <w:r>
        <w:rPr>
          <w:rFonts w:hint="eastAsia" w:ascii="宋体" w:hAnsi="宋体" w:eastAsia="宋体" w:cs="宋体"/>
          <w:color w:val="auto"/>
          <w:kern w:val="0"/>
          <w:szCs w:val="24"/>
          <w:highlight w:val="none"/>
        </w:rPr>
        <w:t xml:space="preserve">  B.法定代表人或负责人或实际控制人是夫妻关系</w:t>
      </w:r>
    </w:p>
    <w:p w14:paraId="3D04824D">
      <w:pPr>
        <w:pStyle w:val="38"/>
        <w:widowControl w:val="0"/>
        <w:snapToGrid w:val="0"/>
        <w:spacing w:line="240" w:lineRule="auto"/>
        <w:ind w:left="425"/>
        <w:jc w:val="both"/>
        <w:rPr>
          <w:rFonts w:hint="eastAsia" w:ascii="宋体" w:hAnsi="宋体" w:eastAsia="宋体" w:cs="宋体"/>
          <w:color w:val="auto"/>
          <w:spacing w:val="6"/>
          <w:szCs w:val="24"/>
          <w:highlight w:val="none"/>
        </w:rPr>
      </w:pPr>
      <w:r>
        <w:rPr>
          <w:rFonts w:hint="eastAsia" w:ascii="宋体" w:hAnsi="宋体" w:eastAsia="宋体" w:cs="宋体"/>
          <w:color w:val="auto"/>
          <w:kern w:val="0"/>
          <w:szCs w:val="24"/>
          <w:highlight w:val="none"/>
        </w:rPr>
        <w:t xml:space="preserve">  C.法定代表人或负责人或实际控制人是直系血亲关系</w:t>
      </w:r>
    </w:p>
    <w:p w14:paraId="3D7F94BC">
      <w:pPr>
        <w:pStyle w:val="38"/>
        <w:widowControl w:val="0"/>
        <w:snapToGrid w:val="0"/>
        <w:spacing w:line="240" w:lineRule="auto"/>
        <w:ind w:left="425"/>
        <w:jc w:val="both"/>
        <w:rPr>
          <w:rFonts w:hint="eastAsia" w:ascii="宋体" w:hAnsi="宋体" w:eastAsia="宋体" w:cs="宋体"/>
          <w:color w:val="auto"/>
          <w:spacing w:val="6"/>
          <w:szCs w:val="24"/>
          <w:highlight w:val="none"/>
        </w:rPr>
      </w:pPr>
      <w:r>
        <w:rPr>
          <w:rFonts w:hint="eastAsia" w:ascii="宋体" w:hAnsi="宋体" w:eastAsia="宋体" w:cs="宋体"/>
          <w:color w:val="auto"/>
          <w:kern w:val="0"/>
          <w:szCs w:val="24"/>
          <w:highlight w:val="none"/>
        </w:rPr>
        <w:t xml:space="preserve">  D.法定代表人或负责人或实际控制人存在三代以内旁系血亲关系</w:t>
      </w:r>
    </w:p>
    <w:p w14:paraId="75077D72">
      <w:pPr>
        <w:pStyle w:val="38"/>
        <w:widowControl w:val="0"/>
        <w:snapToGrid w:val="0"/>
        <w:spacing w:line="240" w:lineRule="auto"/>
        <w:ind w:left="425"/>
        <w:jc w:val="both"/>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  E.法定代表人或负责人或实际控制人存在近姻亲关系</w:t>
      </w:r>
    </w:p>
    <w:p w14:paraId="43A282AD">
      <w:pPr>
        <w:pStyle w:val="38"/>
        <w:widowControl w:val="0"/>
        <w:snapToGrid w:val="0"/>
        <w:spacing w:line="240" w:lineRule="auto"/>
        <w:ind w:left="425"/>
        <w:jc w:val="both"/>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  F.法定代表人或负责人或实际控制人存在股份控制或实际控制关系</w:t>
      </w:r>
    </w:p>
    <w:p w14:paraId="5A5E3B7B">
      <w:pPr>
        <w:pStyle w:val="38"/>
        <w:widowControl w:val="0"/>
        <w:snapToGrid w:val="0"/>
        <w:spacing w:line="240" w:lineRule="auto"/>
        <w:ind w:left="425"/>
        <w:jc w:val="both"/>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  G.存在共同直接或间接投资设立子公司、联营企业和合营企业情况</w:t>
      </w:r>
    </w:p>
    <w:p w14:paraId="598F8EE4">
      <w:pPr>
        <w:pStyle w:val="38"/>
        <w:widowControl w:val="0"/>
        <w:snapToGrid w:val="0"/>
        <w:spacing w:line="240" w:lineRule="auto"/>
        <w:ind w:left="425"/>
        <w:jc w:val="both"/>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 xml:space="preserve">  H.存在分级代理或代销关系、同一生产制造商关系、</w:t>
      </w:r>
      <w:r>
        <w:rPr>
          <w:rFonts w:hint="eastAsia" w:ascii="宋体" w:hAnsi="宋体" w:eastAsia="宋体" w:cs="宋体"/>
          <w:color w:val="auto"/>
          <w:szCs w:val="24"/>
          <w:highlight w:val="none"/>
        </w:rPr>
        <w:t>管理关系、重要业务（占主营业务收入50%以上）或重要财务往来关系（如融资）等其他实质性控制关系</w:t>
      </w:r>
    </w:p>
    <w:p w14:paraId="6FE4EA08">
      <w:pPr>
        <w:pStyle w:val="38"/>
        <w:widowControl w:val="0"/>
        <w:snapToGrid w:val="0"/>
        <w:spacing w:line="240" w:lineRule="auto"/>
        <w:ind w:left="425"/>
        <w:jc w:val="both"/>
        <w:rPr>
          <w:rFonts w:hint="eastAsia" w:ascii="宋体" w:hAnsi="宋体" w:eastAsia="宋体" w:cs="宋体"/>
          <w:color w:val="auto"/>
          <w:spacing w:val="6"/>
          <w:szCs w:val="24"/>
          <w:highlight w:val="none"/>
        </w:rPr>
      </w:pPr>
      <w:r>
        <w:rPr>
          <w:rFonts w:hint="eastAsia" w:ascii="宋体" w:hAnsi="宋体" w:eastAsia="宋体" w:cs="宋体"/>
          <w:color w:val="auto"/>
          <w:szCs w:val="24"/>
          <w:highlight w:val="none"/>
        </w:rPr>
        <w:t xml:space="preserve">  I</w:t>
      </w:r>
      <w:r>
        <w:rPr>
          <w:rFonts w:hint="eastAsia" w:ascii="宋体" w:hAnsi="宋体" w:eastAsia="宋体" w:cs="宋体"/>
          <w:color w:val="auto"/>
          <w:kern w:val="0"/>
          <w:szCs w:val="24"/>
          <w:highlight w:val="none"/>
        </w:rPr>
        <w:t>.</w:t>
      </w:r>
      <w:r>
        <w:rPr>
          <w:rFonts w:hint="eastAsia" w:ascii="宋体" w:hAnsi="宋体" w:eastAsia="宋体" w:cs="宋体"/>
          <w:color w:val="auto"/>
          <w:szCs w:val="24"/>
          <w:highlight w:val="none"/>
        </w:rPr>
        <w:t>其他利害关系情况</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kern w:val="0"/>
          <w:szCs w:val="24"/>
          <w:highlight w:val="none"/>
        </w:rPr>
        <w:t>。</w:t>
      </w:r>
    </w:p>
    <w:p w14:paraId="3694CF23">
      <w:pPr>
        <w:pStyle w:val="39"/>
        <w:widowControl/>
        <w:numPr>
          <w:ilvl w:val="0"/>
          <w:numId w:val="11"/>
        </w:numPr>
        <w:snapToGrid w:val="0"/>
        <w:spacing w:line="240" w:lineRule="auto"/>
        <w:ind w:left="425" w:firstLine="453" w:firstLineChars="189"/>
        <w:rPr>
          <w:rFonts w:hint="eastAsia" w:ascii="宋体" w:hAnsi="宋体" w:eastAsia="宋体" w:cs="宋体"/>
          <w:color w:val="auto"/>
          <w:kern w:val="0"/>
          <w:szCs w:val="24"/>
          <w:highlight w:val="none"/>
        </w:rPr>
      </w:pPr>
      <w:r>
        <w:rPr>
          <w:rFonts w:hint="eastAsia" w:ascii="宋体" w:hAnsi="宋体" w:eastAsia="宋体" w:cs="宋体"/>
          <w:color w:val="auto"/>
          <w:szCs w:val="24"/>
          <w:highlight w:val="none"/>
        </w:rPr>
        <w:t>现已清楚知道并</w:t>
      </w:r>
      <w:r>
        <w:rPr>
          <w:rFonts w:hint="eastAsia" w:ascii="宋体" w:hAnsi="宋体" w:eastAsia="宋体" w:cs="宋体"/>
          <w:color w:val="auto"/>
          <w:kern w:val="0"/>
          <w:szCs w:val="24"/>
          <w:highlight w:val="none"/>
        </w:rPr>
        <w:t>严格遵守采购法律法规和现场纪律。</w:t>
      </w:r>
    </w:p>
    <w:p w14:paraId="6D34C786">
      <w:pPr>
        <w:pStyle w:val="39"/>
        <w:widowControl/>
        <w:numPr>
          <w:ilvl w:val="0"/>
          <w:numId w:val="11"/>
        </w:numPr>
        <w:snapToGrid w:val="0"/>
        <w:spacing w:line="240" w:lineRule="auto"/>
        <w:ind w:left="425" w:firstLine="453" w:firstLineChars="189"/>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我发现</w:t>
      </w:r>
      <w:r>
        <w:rPr>
          <w:rFonts w:hint="eastAsia" w:ascii="宋体" w:hAnsi="宋体" w:eastAsia="宋体" w:cs="宋体"/>
          <w:color w:val="auto"/>
          <w:kern w:val="0"/>
          <w:szCs w:val="24"/>
          <w:highlight w:val="none"/>
          <w:u w:val="single"/>
        </w:rPr>
        <w:t xml:space="preserve">               </w:t>
      </w:r>
      <w:r>
        <w:rPr>
          <w:rFonts w:hint="eastAsia" w:ascii="宋体" w:hAnsi="宋体" w:cs="宋体"/>
          <w:color w:val="auto"/>
          <w:kern w:val="0"/>
          <w:szCs w:val="24"/>
          <w:highlight w:val="none"/>
          <w:u w:val="single"/>
          <w:lang w:val="en-US" w:eastAsia="zh-CN"/>
        </w:rPr>
        <w:t xml:space="preserve">   </w:t>
      </w:r>
      <w:r>
        <w:rPr>
          <w:rFonts w:hint="eastAsia" w:ascii="宋体" w:hAnsi="宋体" w:eastAsia="宋体" w:cs="宋体"/>
          <w:color w:val="auto"/>
          <w:kern w:val="0"/>
          <w:szCs w:val="24"/>
          <w:highlight w:val="none"/>
          <w:u w:val="single"/>
        </w:rPr>
        <w:t xml:space="preserve">     </w:t>
      </w:r>
      <w:r>
        <w:rPr>
          <w:rFonts w:hint="eastAsia" w:ascii="宋体" w:hAnsi="宋体" w:eastAsia="宋体" w:cs="宋体"/>
          <w:color w:val="auto"/>
          <w:kern w:val="0"/>
          <w:szCs w:val="24"/>
          <w:highlight w:val="none"/>
        </w:rPr>
        <w:t>供应商之间存在或可能存在上述第二条第</w:t>
      </w:r>
      <w:r>
        <w:rPr>
          <w:rFonts w:hint="eastAsia" w:ascii="宋体" w:hAnsi="宋体" w:eastAsia="宋体" w:cs="宋体"/>
          <w:color w:val="auto"/>
          <w:kern w:val="0"/>
          <w:szCs w:val="24"/>
          <w:highlight w:val="none"/>
          <w:u w:val="single"/>
        </w:rPr>
        <w:t xml:space="preserve">        </w:t>
      </w:r>
      <w:r>
        <w:rPr>
          <w:rFonts w:hint="eastAsia" w:ascii="宋体" w:hAnsi="宋体" w:eastAsia="宋体" w:cs="宋体"/>
          <w:color w:val="auto"/>
          <w:kern w:val="0"/>
          <w:szCs w:val="24"/>
          <w:highlight w:val="none"/>
        </w:rPr>
        <w:t>项利害关系。</w:t>
      </w:r>
    </w:p>
    <w:p w14:paraId="0AF53E1C">
      <w:pPr>
        <w:pStyle w:val="38"/>
        <w:widowControl w:val="0"/>
        <w:snapToGrid w:val="0"/>
        <w:spacing w:line="240" w:lineRule="auto"/>
        <w:ind w:left="425"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p w14:paraId="0DA2D0B8">
      <w:pPr>
        <w:pStyle w:val="38"/>
        <w:widowControl w:val="0"/>
        <w:snapToGrid w:val="0"/>
        <w:spacing w:line="240" w:lineRule="auto"/>
        <w:ind w:left="425" w:firstLine="4080" w:firstLineChars="17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（加盖单位公章）：</w:t>
      </w:r>
    </w:p>
    <w:p w14:paraId="60FA7F4E">
      <w:pPr>
        <w:pStyle w:val="38"/>
        <w:widowControl w:val="0"/>
        <w:snapToGrid w:val="0"/>
        <w:spacing w:line="240" w:lineRule="auto"/>
        <w:ind w:left="425" w:firstLine="480" w:firstLineChars="20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年  月   日</w:t>
      </w:r>
    </w:p>
    <w:p w14:paraId="411CAA3E">
      <w:pPr>
        <w:snapToGrid w:val="0"/>
        <w:spacing w:line="360" w:lineRule="auto"/>
        <w:rPr>
          <w:rFonts w:hint="eastAsia" w:ascii="宋体" w:hAnsi="宋体" w:eastAsia="宋体" w:cs="宋体"/>
          <w:color w:val="auto"/>
          <w:highlight w:val="none"/>
        </w:rPr>
      </w:pPr>
    </w:p>
    <w:p w14:paraId="23609C1E">
      <w:pPr>
        <w:rPr>
          <w:color w:val="auto"/>
        </w:rPr>
      </w:pPr>
    </w:p>
    <w:sectPr>
      <w:headerReference r:id="rId5" w:type="default"/>
      <w:footerReference r:id="rId6" w:type="default"/>
      <w:footerReference r:id="rId7" w:type="even"/>
      <w:pgSz w:w="11906" w:h="16838"/>
      <w:pgMar w:top="993" w:right="1474" w:bottom="1134" w:left="1474" w:header="851" w:footer="641" w:gutter="0"/>
      <w:pgBorders>
        <w:top w:val="none" w:sz="0" w:space="0"/>
        <w:left w:val="none" w:sz="0" w:space="0"/>
        <w:bottom w:val="none" w:sz="0" w:space="0"/>
        <w:right w:val="none" w:sz="0" w:space="0"/>
      </w:pgBorders>
      <w:pgNumType w:fmt="decimal"/>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Light">
    <w:panose1 w:val="020B0502040204020203"/>
    <w:charset w:val="86"/>
    <w:family w:val="swiss"/>
    <w:pitch w:val="default"/>
    <w:sig w:usb0="80000287" w:usb1="2ACF0010" w:usb2="00000016" w:usb3="00000000" w:csb0="0004001F" w:csb1="00000000"/>
  </w:font>
  <w:font w:name="Segoe UI">
    <w:panose1 w:val="020B0502040204020203"/>
    <w:charset w:val="00"/>
    <w:family w:val="auto"/>
    <w:pitch w:val="default"/>
    <w:sig w:usb0="E4002EFF" w:usb1="C000E47F"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77B8C">
    <w:pPr>
      <w:pStyle w:val="15"/>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5B2D3">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05B2D3">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F26DB">
    <w:pPr>
      <w:pStyle w:val="5"/>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44EA76">
                          <w:pPr>
                            <w:pStyle w:val="15"/>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23</w:t>
                          </w:r>
                          <w:r>
                            <w:rPr>
                              <w:rFonts w:hint="eastAsia"/>
                              <w:sz w:val="18"/>
                              <w:szCs w:val="1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x0MkBAACZ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vHQyQEAAJkDAAAOAAAAAAAAAAEAIAAAAB4BAABkcnMvZTJvRG9j&#10;LnhtbFBLBQYAAAAABgAGAFkBAABZBQAAAAA=&#10;">
              <v:fill on="f" focussize="0,0"/>
              <v:stroke on="f"/>
              <v:imagedata o:title=""/>
              <o:lock v:ext="edit" aspectratio="f"/>
              <v:textbox inset="0mm,0mm,0mm,0mm" style="mso-fit-shape-to-text:t;">
                <w:txbxContent>
                  <w:p w14:paraId="1E44EA76">
                    <w:pPr>
                      <w:pStyle w:val="15"/>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23</w:t>
                    </w:r>
                    <w:r>
                      <w:rPr>
                        <w:rFonts w:hint="eastAsia"/>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39C2F">
    <w:pPr>
      <w:pStyle w:val="15"/>
      <w:rPr>
        <w:rFonts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BE2824">
                          <w:pPr>
                            <w:pStyle w:val="1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3BE2824">
                    <w:pPr>
                      <w:pStyle w:val="1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D6872">
    <w:pPr>
      <w:pStyle w:val="15"/>
      <w:framePr w:wrap="around" w:vAnchor="text" w:hAnchor="margin" w:xAlign="center" w:y="1"/>
      <w:rPr>
        <w:rStyle w:val="27"/>
        <w:rFonts w:cs="Times New Roman"/>
      </w:rPr>
    </w:pPr>
    <w:r>
      <w:rPr>
        <w:rFonts w:cs="Times New Roman"/>
      </w:rPr>
      <w:fldChar w:fldCharType="begin"/>
    </w:r>
    <w:r>
      <w:rPr>
        <w:rStyle w:val="27"/>
        <w:rFonts w:eastAsia="宋体" w:cs="Times New Roman"/>
      </w:rPr>
      <w:instrText xml:space="preserve">PAGE  </w:instrText>
    </w:r>
    <w:r>
      <w:rPr>
        <w:rFonts w:cs="Times New Roman"/>
      </w:rPr>
      <w:fldChar w:fldCharType="end"/>
    </w:r>
  </w:p>
  <w:p w14:paraId="3021E991">
    <w:pPr>
      <w:pStyle w:val="15"/>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82734">
    <w:pPr>
      <w:pStyle w:val="16"/>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D8544"/>
    <w:multiLevelType w:val="singleLevel"/>
    <w:tmpl w:val="85FD8544"/>
    <w:lvl w:ilvl="0" w:tentative="0">
      <w:start w:val="1"/>
      <w:numFmt w:val="decimal"/>
      <w:lvlText w:val="%1)"/>
      <w:lvlJc w:val="left"/>
      <w:pPr>
        <w:ind w:left="425" w:hanging="425"/>
      </w:pPr>
      <w:rPr>
        <w:rFonts w:hint="default"/>
      </w:rPr>
    </w:lvl>
  </w:abstractNum>
  <w:abstractNum w:abstractNumId="1">
    <w:nsid w:val="00000033"/>
    <w:multiLevelType w:val="multilevel"/>
    <w:tmpl w:val="00000033"/>
    <w:lvl w:ilvl="0" w:tentative="0">
      <w:start w:val="1"/>
      <w:numFmt w:val="decimal"/>
      <w:lvlText w:val="%1."/>
      <w:lvlJc w:val="left"/>
      <w:pPr>
        <w:tabs>
          <w:tab w:val="left" w:pos="420"/>
        </w:tabs>
        <w:ind w:left="420" w:hanging="420"/>
      </w:pPr>
      <w:rPr>
        <w:rFonts w:hint="default" w:ascii="Arial" w:hAnsi="Arial" w:cs="Arial"/>
        <w:b w:val="0"/>
      </w:rPr>
    </w:lvl>
    <w:lvl w:ilvl="1" w:tentative="0">
      <w:start w:val="1"/>
      <w:numFmt w:val="decimal"/>
      <w:lvlText w:val="9.%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068E1A3F"/>
    <w:multiLevelType w:val="multilevel"/>
    <w:tmpl w:val="068E1A3F"/>
    <w:lvl w:ilvl="0" w:tentative="0">
      <w:start w:val="1"/>
      <w:numFmt w:val="bullet"/>
      <w:lvlText w:val="l"/>
      <w:lvlJc w:val="left"/>
      <w:pPr>
        <w:tabs>
          <w:tab w:val="left" w:pos="900"/>
        </w:tabs>
        <w:ind w:left="900" w:hanging="420"/>
      </w:pPr>
      <w:rPr>
        <w:rFonts w:hint="default" w:ascii="Wingdings" w:hAnsi="Wingdings"/>
      </w:rPr>
    </w:lvl>
    <w:lvl w:ilvl="1" w:tentative="0">
      <w:start w:val="1"/>
      <w:numFmt w:val="bullet"/>
      <w:lvlText w:val="n"/>
      <w:lvlJc w:val="left"/>
      <w:pPr>
        <w:tabs>
          <w:tab w:val="left" w:pos="1320"/>
        </w:tabs>
        <w:ind w:left="1320" w:hanging="420"/>
      </w:pPr>
      <w:rPr>
        <w:rFonts w:hint="default" w:ascii="Wingdings" w:hAnsi="Wingdings"/>
      </w:rPr>
    </w:lvl>
    <w:lvl w:ilvl="2" w:tentative="0">
      <w:start w:val="1"/>
      <w:numFmt w:val="bullet"/>
      <w:lvlText w:val="u"/>
      <w:lvlJc w:val="left"/>
      <w:pPr>
        <w:tabs>
          <w:tab w:val="left" w:pos="1740"/>
        </w:tabs>
        <w:ind w:left="1740" w:hanging="420"/>
      </w:pPr>
      <w:rPr>
        <w:rFonts w:hint="default" w:ascii="Wingdings" w:hAnsi="Wingdings"/>
      </w:rPr>
    </w:lvl>
    <w:lvl w:ilvl="3" w:tentative="0">
      <w:start w:val="1"/>
      <w:numFmt w:val="bullet"/>
      <w:lvlText w:val="l"/>
      <w:lvlJc w:val="left"/>
      <w:pPr>
        <w:tabs>
          <w:tab w:val="left" w:pos="2160"/>
        </w:tabs>
        <w:ind w:left="2160" w:hanging="420"/>
      </w:pPr>
      <w:rPr>
        <w:rFonts w:hint="default" w:ascii="Wingdings" w:hAnsi="Wingdings"/>
      </w:rPr>
    </w:lvl>
    <w:lvl w:ilvl="4" w:tentative="0">
      <w:start w:val="1"/>
      <w:numFmt w:val="bullet"/>
      <w:lvlText w:val="n"/>
      <w:lvlJc w:val="left"/>
      <w:pPr>
        <w:tabs>
          <w:tab w:val="left" w:pos="2580"/>
        </w:tabs>
        <w:ind w:left="2580" w:hanging="420"/>
      </w:pPr>
      <w:rPr>
        <w:rFonts w:hint="default" w:ascii="Wingdings" w:hAnsi="Wingdings"/>
      </w:rPr>
    </w:lvl>
    <w:lvl w:ilvl="5" w:tentative="0">
      <w:start w:val="1"/>
      <w:numFmt w:val="bullet"/>
      <w:lvlText w:val="u"/>
      <w:lvlJc w:val="left"/>
      <w:pPr>
        <w:tabs>
          <w:tab w:val="left" w:pos="3000"/>
        </w:tabs>
        <w:ind w:left="3000" w:hanging="420"/>
      </w:pPr>
      <w:rPr>
        <w:rFonts w:hint="default" w:ascii="Wingdings" w:hAnsi="Wingdings"/>
      </w:rPr>
    </w:lvl>
    <w:lvl w:ilvl="6" w:tentative="0">
      <w:start w:val="1"/>
      <w:numFmt w:val="bullet"/>
      <w:lvlText w:val="l"/>
      <w:lvlJc w:val="left"/>
      <w:pPr>
        <w:tabs>
          <w:tab w:val="left" w:pos="3420"/>
        </w:tabs>
        <w:ind w:left="3420" w:hanging="420"/>
      </w:pPr>
      <w:rPr>
        <w:rFonts w:hint="default" w:ascii="Wingdings" w:hAnsi="Wingdings"/>
      </w:rPr>
    </w:lvl>
    <w:lvl w:ilvl="7" w:tentative="0">
      <w:start w:val="1"/>
      <w:numFmt w:val="bullet"/>
      <w:lvlText w:val="n"/>
      <w:lvlJc w:val="left"/>
      <w:pPr>
        <w:tabs>
          <w:tab w:val="left" w:pos="3840"/>
        </w:tabs>
        <w:ind w:left="3840" w:hanging="420"/>
      </w:pPr>
      <w:rPr>
        <w:rFonts w:hint="default" w:ascii="Wingdings" w:hAnsi="Wingdings"/>
      </w:rPr>
    </w:lvl>
    <w:lvl w:ilvl="8" w:tentative="0">
      <w:start w:val="1"/>
      <w:numFmt w:val="bullet"/>
      <w:lvlText w:val="u"/>
      <w:lvlJc w:val="left"/>
      <w:pPr>
        <w:tabs>
          <w:tab w:val="left" w:pos="4260"/>
        </w:tabs>
        <w:ind w:left="4260" w:hanging="420"/>
      </w:pPr>
      <w:rPr>
        <w:rFonts w:hint="default" w:ascii="Wingdings" w:hAnsi="Wingdings"/>
      </w:rPr>
    </w:lvl>
  </w:abstractNum>
  <w:abstractNum w:abstractNumId="3">
    <w:nsid w:val="2C1B1685"/>
    <w:multiLevelType w:val="singleLevel"/>
    <w:tmpl w:val="2C1B1685"/>
    <w:lvl w:ilvl="0" w:tentative="0">
      <w:start w:val="10"/>
      <w:numFmt w:val="chineseCounting"/>
      <w:suff w:val="nothing"/>
      <w:lvlText w:val="%1、"/>
      <w:lvlJc w:val="left"/>
      <w:rPr>
        <w:rFonts w:hint="eastAsia"/>
      </w:rPr>
    </w:lvl>
  </w:abstractNum>
  <w:abstractNum w:abstractNumId="4">
    <w:nsid w:val="521A360F"/>
    <w:multiLevelType w:val="singleLevel"/>
    <w:tmpl w:val="521A360F"/>
    <w:lvl w:ilvl="0" w:tentative="0">
      <w:start w:val="1"/>
      <w:numFmt w:val="decimal"/>
      <w:suff w:val="nothing"/>
      <w:lvlText w:val="（%1）"/>
      <w:lvlJc w:val="left"/>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59F84D04"/>
    <w:multiLevelType w:val="singleLevel"/>
    <w:tmpl w:val="59F84D04"/>
    <w:lvl w:ilvl="0" w:tentative="0">
      <w:start w:val="1"/>
      <w:numFmt w:val="chineseCounting"/>
      <w:suff w:val="nothing"/>
      <w:lvlText w:val="%1、"/>
      <w:lvlJc w:val="left"/>
    </w:lvl>
  </w:abstractNum>
  <w:abstractNum w:abstractNumId="8">
    <w:nsid w:val="60AE39CC"/>
    <w:multiLevelType w:val="multilevel"/>
    <w:tmpl w:val="60AE39CC"/>
    <w:lvl w:ilvl="0" w:tentative="0">
      <w:start w:val="1"/>
      <w:numFmt w:val="chineseCountingThousand"/>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9"/>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70AE2C0F"/>
    <w:multiLevelType w:val="singleLevel"/>
    <w:tmpl w:val="70AE2C0F"/>
    <w:lvl w:ilvl="0" w:tentative="0">
      <w:start w:val="4"/>
      <w:numFmt w:val="decimal"/>
      <w:suff w:val="space"/>
      <w:lvlText w:val="%1."/>
      <w:lvlJc w:val="left"/>
    </w:lvl>
  </w:abstractNum>
  <w:abstractNum w:abstractNumId="10">
    <w:nsid w:val="765316F3"/>
    <w:multiLevelType w:val="multilevel"/>
    <w:tmpl w:val="765316F3"/>
    <w:lvl w:ilvl="0" w:tentative="0">
      <w:start w:val="1"/>
      <w:numFmt w:val="chineseCountingThousand"/>
      <w:pStyle w:val="8"/>
      <w:lvlText w:val="%1、"/>
      <w:lvlJc w:val="left"/>
      <w:pPr>
        <w:tabs>
          <w:tab w:val="left" w:pos="1110"/>
        </w:tabs>
        <w:ind w:left="106" w:firstLine="454"/>
      </w:pPr>
      <w:rPr>
        <w:rFonts w:hint="default" w:ascii="??" w:hAnsi="??" w:eastAsia="??"/>
        <w:b/>
        <w:i w:val="0"/>
        <w:iCs w:val="0"/>
        <w:caps w:val="0"/>
        <w:smallCaps w:val="0"/>
        <w:strike w:val="0"/>
        <w:dstrike w:val="0"/>
        <w:vanish w:val="0"/>
        <w:spacing w:val="0"/>
        <w:position w:val="0"/>
        <w:sz w:val="21"/>
        <w:szCs w:val="21"/>
        <w:u w:val="none"/>
        <w:vertAlign w:val="baseli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num w:numId="1">
    <w:abstractNumId w:val="10"/>
    <w:lvlOverride w:ilvl="0">
      <w:startOverride w:val="1"/>
    </w:lvlOverride>
    <w:lvlOverride w:ilvl="1">
      <w:startOverride w:val="1"/>
    </w:lvlOverride>
    <w:lvlOverride w:ilvl="2">
      <w:startOverride w:val="2"/>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1"/>
  </w:num>
  <w:num w:numId="7">
    <w:abstractNumId w:val="7"/>
  </w:num>
  <w:num w:numId="8">
    <w:abstractNumId w:val="0"/>
  </w:num>
  <w:num w:numId="9">
    <w:abstractNumId w:val="9"/>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ZDBmOGNiYjU1ZGIxYWYxNGVkZjkyMzg4OTJmYmQifQ=="/>
  </w:docVars>
  <w:rsids>
    <w:rsidRoot w:val="6FE94DDF"/>
    <w:rsid w:val="001A4716"/>
    <w:rsid w:val="00257C6A"/>
    <w:rsid w:val="002F3AF3"/>
    <w:rsid w:val="023D03DE"/>
    <w:rsid w:val="03B65EE5"/>
    <w:rsid w:val="03F47A85"/>
    <w:rsid w:val="044A471A"/>
    <w:rsid w:val="04AB0476"/>
    <w:rsid w:val="04B8615E"/>
    <w:rsid w:val="05445D91"/>
    <w:rsid w:val="056A2234"/>
    <w:rsid w:val="059120EB"/>
    <w:rsid w:val="07953675"/>
    <w:rsid w:val="08DC7710"/>
    <w:rsid w:val="09267C87"/>
    <w:rsid w:val="09750C0F"/>
    <w:rsid w:val="098B2403"/>
    <w:rsid w:val="098E1780"/>
    <w:rsid w:val="0A00672A"/>
    <w:rsid w:val="0B6C6351"/>
    <w:rsid w:val="0CC51ADF"/>
    <w:rsid w:val="0DCA7C5A"/>
    <w:rsid w:val="0DD116A4"/>
    <w:rsid w:val="0DE46058"/>
    <w:rsid w:val="0E1F3CA3"/>
    <w:rsid w:val="0E525AB5"/>
    <w:rsid w:val="0EBF67DB"/>
    <w:rsid w:val="0ED362BB"/>
    <w:rsid w:val="0F3207B5"/>
    <w:rsid w:val="0F361C32"/>
    <w:rsid w:val="0F4A3109"/>
    <w:rsid w:val="0FD3177D"/>
    <w:rsid w:val="11CA7308"/>
    <w:rsid w:val="11DF0BA6"/>
    <w:rsid w:val="12070122"/>
    <w:rsid w:val="123F5E6A"/>
    <w:rsid w:val="137C39E2"/>
    <w:rsid w:val="13FE67B9"/>
    <w:rsid w:val="14C21A25"/>
    <w:rsid w:val="1512047B"/>
    <w:rsid w:val="151D1073"/>
    <w:rsid w:val="15535762"/>
    <w:rsid w:val="1644541F"/>
    <w:rsid w:val="165878EE"/>
    <w:rsid w:val="16AD7782"/>
    <w:rsid w:val="17732C32"/>
    <w:rsid w:val="17F252CF"/>
    <w:rsid w:val="188D7D23"/>
    <w:rsid w:val="18D63961"/>
    <w:rsid w:val="195359EE"/>
    <w:rsid w:val="1BD71772"/>
    <w:rsid w:val="1D0F76C2"/>
    <w:rsid w:val="1D55664E"/>
    <w:rsid w:val="1DA33DB7"/>
    <w:rsid w:val="1ED336FE"/>
    <w:rsid w:val="1F0771A2"/>
    <w:rsid w:val="210800A6"/>
    <w:rsid w:val="21151CEC"/>
    <w:rsid w:val="21BE528F"/>
    <w:rsid w:val="229B303C"/>
    <w:rsid w:val="22B934C3"/>
    <w:rsid w:val="23535F24"/>
    <w:rsid w:val="23724D9B"/>
    <w:rsid w:val="2541744C"/>
    <w:rsid w:val="25F42302"/>
    <w:rsid w:val="25FA6BAC"/>
    <w:rsid w:val="26A031B5"/>
    <w:rsid w:val="272E0E7D"/>
    <w:rsid w:val="276D21F3"/>
    <w:rsid w:val="27B44596"/>
    <w:rsid w:val="29E62C04"/>
    <w:rsid w:val="2ACF5D85"/>
    <w:rsid w:val="2ADE61BC"/>
    <w:rsid w:val="2C7B7B25"/>
    <w:rsid w:val="2CF65B93"/>
    <w:rsid w:val="2E223F00"/>
    <w:rsid w:val="2E341AEF"/>
    <w:rsid w:val="2E733DE0"/>
    <w:rsid w:val="2F726C5C"/>
    <w:rsid w:val="30322DED"/>
    <w:rsid w:val="305331A8"/>
    <w:rsid w:val="30BA4643"/>
    <w:rsid w:val="32A30C51"/>
    <w:rsid w:val="32FE164D"/>
    <w:rsid w:val="33736B77"/>
    <w:rsid w:val="33EA7294"/>
    <w:rsid w:val="34713CB2"/>
    <w:rsid w:val="35905724"/>
    <w:rsid w:val="369A5916"/>
    <w:rsid w:val="383A02C8"/>
    <w:rsid w:val="390342AB"/>
    <w:rsid w:val="39CC70E1"/>
    <w:rsid w:val="39DE31C2"/>
    <w:rsid w:val="3A3825C4"/>
    <w:rsid w:val="3BA540EB"/>
    <w:rsid w:val="3BE86EB7"/>
    <w:rsid w:val="3BEA7C12"/>
    <w:rsid w:val="3C59317D"/>
    <w:rsid w:val="3CEA6C43"/>
    <w:rsid w:val="3DB8167A"/>
    <w:rsid w:val="3EB5502E"/>
    <w:rsid w:val="3F6B518D"/>
    <w:rsid w:val="3FD862AE"/>
    <w:rsid w:val="415D5065"/>
    <w:rsid w:val="41D70A35"/>
    <w:rsid w:val="422229DB"/>
    <w:rsid w:val="451A1F09"/>
    <w:rsid w:val="478E2107"/>
    <w:rsid w:val="47970BD3"/>
    <w:rsid w:val="4AB10DA0"/>
    <w:rsid w:val="4B04234B"/>
    <w:rsid w:val="4BBF7F73"/>
    <w:rsid w:val="4C593039"/>
    <w:rsid w:val="4CEA084E"/>
    <w:rsid w:val="4DD575EF"/>
    <w:rsid w:val="4EA7405A"/>
    <w:rsid w:val="4F3E565E"/>
    <w:rsid w:val="4F9302FA"/>
    <w:rsid w:val="50982F53"/>
    <w:rsid w:val="50E56FC2"/>
    <w:rsid w:val="50F74679"/>
    <w:rsid w:val="519F5DF6"/>
    <w:rsid w:val="52224331"/>
    <w:rsid w:val="52716819"/>
    <w:rsid w:val="52D675F5"/>
    <w:rsid w:val="52E22309"/>
    <w:rsid w:val="531408EA"/>
    <w:rsid w:val="53177C0E"/>
    <w:rsid w:val="537E2888"/>
    <w:rsid w:val="53AA11EA"/>
    <w:rsid w:val="53D035D9"/>
    <w:rsid w:val="5475572B"/>
    <w:rsid w:val="57B7006F"/>
    <w:rsid w:val="588D6B14"/>
    <w:rsid w:val="5894696D"/>
    <w:rsid w:val="589E6E07"/>
    <w:rsid w:val="59A6512E"/>
    <w:rsid w:val="5AB501BF"/>
    <w:rsid w:val="5BB41EE3"/>
    <w:rsid w:val="5C5B5E86"/>
    <w:rsid w:val="5CD54DC2"/>
    <w:rsid w:val="5DD010E5"/>
    <w:rsid w:val="5E33378D"/>
    <w:rsid w:val="5FF15E24"/>
    <w:rsid w:val="60191A7E"/>
    <w:rsid w:val="604B1504"/>
    <w:rsid w:val="617463E3"/>
    <w:rsid w:val="61B85182"/>
    <w:rsid w:val="61FF3389"/>
    <w:rsid w:val="622C0F19"/>
    <w:rsid w:val="625F5F56"/>
    <w:rsid w:val="629E6BC7"/>
    <w:rsid w:val="62F21981"/>
    <w:rsid w:val="62FA4F49"/>
    <w:rsid w:val="64335E3F"/>
    <w:rsid w:val="655E7294"/>
    <w:rsid w:val="66AF47C4"/>
    <w:rsid w:val="687975D8"/>
    <w:rsid w:val="68FC14DC"/>
    <w:rsid w:val="69846066"/>
    <w:rsid w:val="6A9B5BAB"/>
    <w:rsid w:val="6B0B7C00"/>
    <w:rsid w:val="6CC52224"/>
    <w:rsid w:val="6D88559F"/>
    <w:rsid w:val="6E5F72BE"/>
    <w:rsid w:val="6F192857"/>
    <w:rsid w:val="6F260835"/>
    <w:rsid w:val="6FE94DDF"/>
    <w:rsid w:val="705B4B80"/>
    <w:rsid w:val="70A865E0"/>
    <w:rsid w:val="71454216"/>
    <w:rsid w:val="71807E8E"/>
    <w:rsid w:val="739A3943"/>
    <w:rsid w:val="74491C61"/>
    <w:rsid w:val="74AA7A01"/>
    <w:rsid w:val="75E1612D"/>
    <w:rsid w:val="77955793"/>
    <w:rsid w:val="78027B36"/>
    <w:rsid w:val="78CC6E19"/>
    <w:rsid w:val="79254583"/>
    <w:rsid w:val="792D01EC"/>
    <w:rsid w:val="79522E6E"/>
    <w:rsid w:val="79A10344"/>
    <w:rsid w:val="79B37DE1"/>
    <w:rsid w:val="7A5C01B2"/>
    <w:rsid w:val="7A6D0321"/>
    <w:rsid w:val="7B5362D7"/>
    <w:rsid w:val="7B841168"/>
    <w:rsid w:val="7B9B4FDB"/>
    <w:rsid w:val="7BC777E4"/>
    <w:rsid w:val="7CF02FDB"/>
    <w:rsid w:val="7D584F27"/>
    <w:rsid w:val="7EF56893"/>
    <w:rsid w:val="7F276137"/>
    <w:rsid w:val="7F932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宋体" w:cs="Times New Roman"/>
      <w:kern w:val="2"/>
      <w:sz w:val="21"/>
      <w:szCs w:val="24"/>
      <w:lang w:val="en-US" w:eastAsia="zh-CN" w:bidi="ar-SA"/>
    </w:rPr>
  </w:style>
  <w:style w:type="paragraph" w:styleId="7">
    <w:name w:val="heading 1"/>
    <w:basedOn w:val="1"/>
    <w:next w:val="1"/>
    <w:link w:val="61"/>
    <w:autoRedefine/>
    <w:qFormat/>
    <w:uiPriority w:val="0"/>
    <w:pPr>
      <w:keepNext/>
      <w:widowControl/>
      <w:spacing w:line="360" w:lineRule="auto"/>
      <w:jc w:val="center"/>
      <w:outlineLvl w:val="0"/>
    </w:pPr>
    <w:rPr>
      <w:rFonts w:ascii="??" w:hAnsi="??" w:eastAsia="??" w:cs="宋体"/>
      <w:b/>
      <w:kern w:val="36"/>
      <w:sz w:val="32"/>
      <w:szCs w:val="28"/>
      <w:lang w:val="en-US" w:eastAsia="zh-CN" w:bidi="ar-SA"/>
    </w:rPr>
  </w:style>
  <w:style w:type="paragraph" w:styleId="8">
    <w:name w:val="heading 2"/>
    <w:basedOn w:val="1"/>
    <w:next w:val="1"/>
    <w:autoRedefine/>
    <w:qFormat/>
    <w:uiPriority w:val="0"/>
    <w:pPr>
      <w:keepNext/>
      <w:keepLines/>
      <w:widowControl w:val="0"/>
      <w:numPr>
        <w:ilvl w:val="0"/>
        <w:numId w:val="1"/>
      </w:numPr>
      <w:tabs>
        <w:tab w:val="left" w:pos="706"/>
      </w:tabs>
      <w:spacing w:line="360" w:lineRule="auto"/>
      <w:jc w:val="both"/>
      <w:outlineLvl w:val="1"/>
    </w:pPr>
    <w:rPr>
      <w:rFonts w:ascii="Arial" w:hAnsi="Arial" w:eastAsia="??" w:cs="Arial"/>
      <w:b/>
      <w:bCs/>
      <w:kern w:val="2"/>
      <w:sz w:val="21"/>
      <w:szCs w:val="32"/>
      <w:lang w:val="en-US" w:eastAsia="zh-CN" w:bidi="ar-SA"/>
    </w:rPr>
  </w:style>
  <w:style w:type="paragraph" w:styleId="9">
    <w:name w:val="heading 3"/>
    <w:next w:val="1"/>
    <w:autoRedefine/>
    <w:qFormat/>
    <w:uiPriority w:val="0"/>
    <w:pPr>
      <w:keepNext/>
      <w:keepLines/>
      <w:widowControl/>
      <w:numPr>
        <w:ilvl w:val="2"/>
        <w:numId w:val="2"/>
      </w:numPr>
      <w:spacing w:before="120" w:after="120" w:line="360" w:lineRule="auto"/>
      <w:jc w:val="center"/>
      <w:outlineLvl w:val="2"/>
    </w:pPr>
    <w:rPr>
      <w:rFonts w:ascii="Times New Roman" w:hAnsi="Times New Roman" w:eastAsia="??" w:cs="Times New Roman"/>
      <w:b/>
      <w:kern w:val="0"/>
      <w:sz w:val="32"/>
      <w:szCs w:val="28"/>
      <w:lang w:val="en-US" w:eastAsia="zh-CN" w:bidi="ar-SA"/>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autoRedefine/>
    <w:qFormat/>
    <w:uiPriority w:val="0"/>
    <w:pPr>
      <w:widowControl w:val="0"/>
      <w:spacing w:after="120" w:line="240" w:lineRule="auto"/>
      <w:ind w:left="420" w:leftChars="200" w:firstLine="420" w:firstLineChars="200"/>
      <w:jc w:val="both"/>
    </w:pPr>
    <w:rPr>
      <w:rFonts w:ascii="Times New Roman" w:hAnsi="Times New Roman" w:eastAsia="宋体" w:cs="Times New Roman"/>
      <w:kern w:val="2"/>
      <w:sz w:val="21"/>
      <w:szCs w:val="20"/>
      <w:lang w:val="en-US" w:eastAsia="zh-CN" w:bidi="ar-SA"/>
    </w:rPr>
  </w:style>
  <w:style w:type="paragraph" w:styleId="3">
    <w:name w:val="Body Text Indent"/>
    <w:basedOn w:val="1"/>
    <w:next w:val="4"/>
    <w:autoRedefine/>
    <w:qFormat/>
    <w:uiPriority w:val="0"/>
    <w:pPr>
      <w:widowControl w:val="0"/>
      <w:spacing w:line="480" w:lineRule="atLeast"/>
      <w:ind w:firstLine="570"/>
      <w:jc w:val="both"/>
    </w:pPr>
    <w:rPr>
      <w:rFonts w:ascii="??" w:hAnsi="??" w:eastAsia="??" w:cs="Times New Roman"/>
      <w:kern w:val="2"/>
      <w:sz w:val="28"/>
      <w:szCs w:val="28"/>
      <w:lang w:val="en-US" w:eastAsia="zh-CN" w:bidi="ar-SA"/>
    </w:rPr>
  </w:style>
  <w:style w:type="paragraph" w:styleId="4">
    <w:name w:val="envelope return"/>
    <w:basedOn w:val="1"/>
    <w:qFormat/>
    <w:uiPriority w:val="0"/>
    <w:pPr>
      <w:snapToGrid w:val="0"/>
    </w:pPr>
    <w:rPr>
      <w:rFonts w:ascii="Arial" w:hAnsi="Arial"/>
    </w:rPr>
  </w:style>
  <w:style w:type="paragraph" w:styleId="5">
    <w:name w:val="Body Text"/>
    <w:basedOn w:val="1"/>
    <w:next w:val="6"/>
    <w:autoRedefine/>
    <w:qFormat/>
    <w:uiPriority w:val="0"/>
    <w:pPr>
      <w:widowControl w:val="0"/>
      <w:jc w:val="both"/>
    </w:pPr>
    <w:rPr>
      <w:rFonts w:ascii="等线" w:hAnsi="等线" w:eastAsia="??" w:cs="Times New Roman"/>
      <w:kern w:val="2"/>
      <w:sz w:val="24"/>
      <w:szCs w:val="28"/>
      <w:lang w:val="en-US" w:eastAsia="zh-CN" w:bidi="ar-SA"/>
    </w:rPr>
  </w:style>
  <w:style w:type="paragraph" w:styleId="6">
    <w:name w:val="Body Text First Indent"/>
    <w:basedOn w:val="5"/>
    <w:next w:val="1"/>
    <w:autoRedefine/>
    <w:qFormat/>
    <w:uiPriority w:val="0"/>
    <w:pPr>
      <w:widowControl w:val="0"/>
      <w:autoSpaceDE w:val="0"/>
      <w:autoSpaceDN w:val="0"/>
      <w:adjustRightInd w:val="0"/>
      <w:spacing w:line="360" w:lineRule="auto"/>
      <w:ind w:firstLine="420"/>
      <w:jc w:val="both"/>
    </w:pPr>
    <w:rPr>
      <w:rFonts w:ascii="宋体" w:hAnsi="Times New Roman" w:eastAsia="宋体" w:cs="Times New Roman"/>
      <w:kern w:val="2"/>
      <w:sz w:val="24"/>
      <w:szCs w:val="20"/>
      <w:lang w:val="zh-CN" w:eastAsia="zh-CN" w:bidi="ar-SA"/>
    </w:rPr>
  </w:style>
  <w:style w:type="paragraph" w:styleId="10">
    <w:name w:val="Normal Indent"/>
    <w:basedOn w:val="1"/>
    <w:qFormat/>
    <w:uiPriority w:val="0"/>
    <w:pPr>
      <w:spacing w:line="460" w:lineRule="exact"/>
      <w:ind w:firstLine="420"/>
    </w:pPr>
    <w:rPr>
      <w:spacing w:val="14"/>
      <w:kern w:val="24"/>
      <w:sz w:val="24"/>
      <w:szCs w:val="20"/>
    </w:rPr>
  </w:style>
  <w:style w:type="paragraph" w:styleId="11">
    <w:name w:val="toa heading"/>
    <w:basedOn w:val="1"/>
    <w:next w:val="1"/>
    <w:qFormat/>
    <w:uiPriority w:val="0"/>
    <w:pPr>
      <w:spacing w:before="120"/>
    </w:pPr>
    <w:rPr>
      <w:rFonts w:ascii="Arial" w:hAnsi="Arial" w:eastAsia="仿宋_GB2312" w:cs="Arial"/>
      <w:b/>
      <w:bCs/>
      <w:color w:val="000000"/>
      <w:kern w:val="0"/>
      <w:sz w:val="24"/>
      <w:szCs w:val="21"/>
    </w:rPr>
  </w:style>
  <w:style w:type="paragraph" w:styleId="12">
    <w:name w:val="Body Text 3"/>
    <w:basedOn w:val="1"/>
    <w:autoRedefine/>
    <w:qFormat/>
    <w:uiPriority w:val="0"/>
    <w:pPr>
      <w:spacing w:after="120"/>
    </w:pPr>
    <w:rPr>
      <w:sz w:val="16"/>
      <w:szCs w:val="16"/>
    </w:rPr>
  </w:style>
  <w:style w:type="paragraph" w:styleId="13">
    <w:name w:val="Plain Text"/>
    <w:basedOn w:val="1"/>
    <w:autoRedefine/>
    <w:qFormat/>
    <w:uiPriority w:val="0"/>
    <w:pPr>
      <w:widowControl w:val="0"/>
      <w:jc w:val="both"/>
    </w:pPr>
    <w:rPr>
      <w:rFonts w:ascii="??" w:hAnsi="??" w:eastAsia="??" w:cs="Times New Roman"/>
      <w:kern w:val="2"/>
      <w:sz w:val="21"/>
      <w:szCs w:val="21"/>
      <w:lang w:val="en-US" w:eastAsia="zh-CN" w:bidi="ar-SA"/>
    </w:rPr>
  </w:style>
  <w:style w:type="paragraph" w:styleId="14">
    <w:name w:val="Date"/>
    <w:basedOn w:val="1"/>
    <w:next w:val="1"/>
    <w:qFormat/>
    <w:uiPriority w:val="0"/>
    <w:pPr>
      <w:ind w:left="100" w:leftChars="2500"/>
    </w:pPr>
    <w:rPr>
      <w:rFonts w:ascii="宋体"/>
      <w:sz w:val="24"/>
      <w:szCs w:val="21"/>
      <w:lang w:val="zh-CN"/>
    </w:rPr>
  </w:style>
  <w:style w:type="paragraph" w:styleId="15">
    <w:name w:val="footer"/>
    <w:basedOn w:val="1"/>
    <w:autoRedefine/>
    <w:qFormat/>
    <w:uiPriority w:val="0"/>
    <w:pPr>
      <w:widowControl w:val="0"/>
      <w:tabs>
        <w:tab w:val="center" w:pos="4153"/>
        <w:tab w:val="right" w:pos="8306"/>
      </w:tabs>
      <w:snapToGrid w:val="0"/>
      <w:jc w:val="left"/>
    </w:pPr>
    <w:rPr>
      <w:rFonts w:ascii="Times New Roman" w:hAnsi="Times New Roman" w:eastAsia="??" w:cs="Times New Roman"/>
      <w:kern w:val="2"/>
      <w:sz w:val="18"/>
      <w:szCs w:val="28"/>
      <w:lang w:val="en-US" w:eastAsia="zh-CN" w:bidi="ar-SA"/>
    </w:rPr>
  </w:style>
  <w:style w:type="paragraph" w:styleId="16">
    <w:name w:val="header"/>
    <w:autoRedefine/>
    <w:qFormat/>
    <w:uiPriority w:val="0"/>
    <w:pPr>
      <w:widowControl w:val="0"/>
      <w:pBdr>
        <w:bottom w:val="single" w:color="auto" w:sz="6" w:space="1"/>
      </w:pBdr>
      <w:tabs>
        <w:tab w:val="center" w:pos="4153"/>
        <w:tab w:val="right" w:pos="8306"/>
      </w:tabs>
      <w:snapToGrid w:val="0"/>
      <w:jc w:val="center"/>
    </w:pPr>
    <w:rPr>
      <w:rFonts w:ascii="Times New Roman" w:hAnsi="Times New Roman" w:eastAsia="??" w:cs="Times New Roman"/>
      <w:kern w:val="2"/>
      <w:sz w:val="18"/>
      <w:szCs w:val="28"/>
      <w:lang w:val="en-US" w:eastAsia="zh-CN" w:bidi="ar-SA"/>
    </w:rPr>
  </w:style>
  <w:style w:type="paragraph" w:styleId="17">
    <w:name w:val="toc 1"/>
    <w:next w:val="1"/>
    <w:autoRedefine/>
    <w:qFormat/>
    <w:uiPriority w:val="39"/>
    <w:pPr>
      <w:widowControl w:val="0"/>
      <w:spacing w:before="120" w:after="120"/>
      <w:jc w:val="left"/>
    </w:pPr>
    <w:rPr>
      <w:rFonts w:ascii="等线" w:hAnsi="等线" w:eastAsia="宋体" w:cs="Times New Roman"/>
      <w:b/>
      <w:bCs/>
      <w:caps/>
      <w:kern w:val="2"/>
      <w:sz w:val="20"/>
      <w:szCs w:val="20"/>
      <w:lang w:val="en-US" w:eastAsia="zh-CN" w:bidi="ar-SA"/>
    </w:rPr>
  </w:style>
  <w:style w:type="paragraph" w:styleId="18">
    <w:name w:val="toc 6"/>
    <w:basedOn w:val="1"/>
    <w:next w:val="1"/>
    <w:autoRedefine/>
    <w:qFormat/>
    <w:uiPriority w:val="0"/>
    <w:pPr>
      <w:ind w:left="2100"/>
    </w:pPr>
    <w:rPr>
      <w:rFonts w:ascii="Times New Roman" w:hAnsi="Times New Roman" w:cs="Times New Roman"/>
      <w:kern w:val="2"/>
      <w:szCs w:val="20"/>
      <w:lang w:bidi="ar-SA"/>
    </w:rPr>
  </w:style>
  <w:style w:type="paragraph" w:styleId="19">
    <w:name w:val="table of figures"/>
    <w:basedOn w:val="1"/>
    <w:next w:val="1"/>
    <w:autoRedefine/>
    <w:unhideWhenUsed/>
    <w:qFormat/>
    <w:uiPriority w:val="99"/>
    <w:pPr>
      <w:ind w:left="200" w:leftChars="200" w:hanging="200" w:hangingChars="200"/>
    </w:pPr>
  </w:style>
  <w:style w:type="paragraph" w:styleId="20">
    <w:name w:val="toc 2"/>
    <w:basedOn w:val="1"/>
    <w:next w:val="1"/>
    <w:autoRedefine/>
    <w:qFormat/>
    <w:uiPriority w:val="39"/>
    <w:pPr>
      <w:widowControl w:val="0"/>
      <w:ind w:left="210"/>
      <w:jc w:val="left"/>
    </w:pPr>
    <w:rPr>
      <w:rFonts w:ascii="等线" w:hAnsi="等线" w:eastAsia="宋体" w:cs="Times New Roman"/>
      <w:smallCaps/>
      <w:kern w:val="2"/>
      <w:sz w:val="20"/>
      <w:szCs w:val="20"/>
      <w:lang w:val="en-US" w:eastAsia="zh-CN" w:bidi="ar-SA"/>
    </w:rPr>
  </w:style>
  <w:style w:type="paragraph" w:styleId="21">
    <w:name w:val="Normal (Web)"/>
    <w:autoRedefine/>
    <w:qFormat/>
    <w:uiPriority w:val="0"/>
    <w:pPr>
      <w:widowControl/>
      <w:spacing w:before="100" w:beforeAutospacing="1" w:after="100" w:afterAutospacing="1"/>
      <w:jc w:val="left"/>
    </w:pPr>
    <w:rPr>
      <w:rFonts w:ascii="??" w:hAnsi="??" w:eastAsia="??" w:cs="宋体"/>
      <w:kern w:val="0"/>
      <w:sz w:val="24"/>
      <w:szCs w:val="24"/>
      <w:lang w:val="en-US" w:eastAsia="zh-CN" w:bidi="ar-SA"/>
    </w:rPr>
  </w:style>
  <w:style w:type="paragraph" w:styleId="22">
    <w:name w:val="Title"/>
    <w:basedOn w:val="1"/>
    <w:next w:val="1"/>
    <w:autoRedefine/>
    <w:qFormat/>
    <w:uiPriority w:val="10"/>
    <w:pPr>
      <w:spacing w:before="240" w:after="60"/>
      <w:jc w:val="center"/>
      <w:outlineLvl w:val="0"/>
    </w:pPr>
    <w:rPr>
      <w:rFonts w:asciiTheme="majorHAnsi" w:hAnsiTheme="majorHAnsi" w:cstheme="majorBidi"/>
      <w:bCs/>
      <w:sz w:val="32"/>
      <w:szCs w:val="32"/>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autoRedefine/>
    <w:qFormat/>
    <w:uiPriority w:val="0"/>
  </w:style>
  <w:style w:type="character" w:styleId="28">
    <w:name w:val="Hyperlink"/>
    <w:autoRedefine/>
    <w:qFormat/>
    <w:uiPriority w:val="99"/>
    <w:rPr>
      <w:color w:val="0000FF"/>
      <w:u w:val="single"/>
    </w:rPr>
  </w:style>
  <w:style w:type="paragraph" w:customStyle="1" w:styleId="29">
    <w:name w:val="TOC Heading1"/>
    <w:next w:val="1"/>
    <w:autoRedefine/>
    <w:qFormat/>
    <w:uiPriority w:val="0"/>
    <w:pPr>
      <w:wordWrap w:val="0"/>
    </w:pPr>
    <w:rPr>
      <w:rFonts w:ascii="Calibri" w:hAnsi="Calibri" w:eastAsia="宋体" w:cs="Times New Roman"/>
      <w:sz w:val="32"/>
      <w:lang w:val="en-US" w:eastAsia="zh-CN" w:bidi="ar-SA"/>
    </w:rPr>
  </w:style>
  <w:style w:type="paragraph" w:customStyle="1" w:styleId="30">
    <w:name w:val="首行缩进"/>
    <w:basedOn w:val="1"/>
    <w:autoRedefine/>
    <w:qFormat/>
    <w:uiPriority w:val="0"/>
    <w:pPr>
      <w:ind w:firstLine="480" w:firstLineChars="200"/>
    </w:pPr>
    <w:rPr>
      <w:lang w:val="zh-CN"/>
    </w:rPr>
  </w:style>
  <w:style w:type="paragraph" w:customStyle="1" w:styleId="31">
    <w:name w:val="表格文字"/>
    <w:basedOn w:val="13"/>
    <w:next w:val="5"/>
    <w:autoRedefine/>
    <w:qFormat/>
    <w:uiPriority w:val="0"/>
    <w:pPr>
      <w:jc w:val="left"/>
      <w:textAlignment w:val="top"/>
    </w:pPr>
    <w:rPr>
      <w:sz w:val="18"/>
    </w:rPr>
  </w:style>
  <w:style w:type="paragraph" w:customStyle="1" w:styleId="32">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3">
    <w:name w:val="样式 宋体 小四 行距: 1.5 倍行距 首行缩进:  2 字符"/>
    <w:autoRedefine/>
    <w:qFormat/>
    <w:uiPriority w:val="0"/>
    <w:pPr>
      <w:widowControl w:val="0"/>
      <w:spacing w:line="360" w:lineRule="auto"/>
      <w:ind w:firstLine="200" w:firstLineChars="200"/>
      <w:jc w:val="both"/>
    </w:pPr>
    <w:rPr>
      <w:rFonts w:ascii="宋体" w:hAnsi="宋体" w:eastAsia="宋体" w:cs="宋体"/>
      <w:kern w:val="2"/>
      <w:sz w:val="24"/>
      <w:szCs w:val="24"/>
      <w:lang w:val="en-US" w:eastAsia="zh-CN" w:bidi="ar-SA"/>
    </w:rPr>
  </w:style>
  <w:style w:type="paragraph" w:customStyle="1" w:styleId="34">
    <w:name w:val="正文2"/>
    <w:autoRedefine/>
    <w:qFormat/>
    <w:uiPriority w:val="0"/>
    <w:pPr>
      <w:widowControl w:val="0"/>
      <w:spacing w:before="156" w:line="360" w:lineRule="auto"/>
      <w:ind w:firstLine="200" w:firstLineChars="200"/>
      <w:jc w:val="both"/>
    </w:pPr>
    <w:rPr>
      <w:rFonts w:ascii="Times New Roman" w:hAnsi="Times New Roman" w:eastAsia="??" w:cs="Times New Roman"/>
      <w:kern w:val="2"/>
      <w:sz w:val="24"/>
      <w:szCs w:val="28"/>
      <w:lang w:val="en-US" w:eastAsia="zh-CN" w:bidi="ar-SA"/>
    </w:rPr>
  </w:style>
  <w:style w:type="paragraph" w:customStyle="1" w:styleId="3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Cs w:val="28"/>
      <w:lang w:val="en-US" w:eastAsia="zh-CN" w:bidi="ar-SA"/>
    </w:rPr>
  </w:style>
  <w:style w:type="paragraph" w:customStyle="1" w:styleId="36">
    <w:name w:val="Default"/>
    <w:next w:val="1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7">
    <w:name w:val="List Paragraph"/>
    <w:basedOn w:val="1"/>
    <w:autoRedefine/>
    <w:qFormat/>
    <w:uiPriority w:val="0"/>
    <w:pPr>
      <w:widowControl w:val="0"/>
      <w:ind w:firstLine="420" w:firstLineChars="200"/>
      <w:jc w:val="both"/>
    </w:pPr>
    <w:rPr>
      <w:rFonts w:ascii="等线" w:hAnsi="等线" w:eastAsia="宋体" w:cs="Times New Roman"/>
      <w:kern w:val="2"/>
      <w:sz w:val="21"/>
      <w:szCs w:val="20"/>
      <w:lang w:val="en-US" w:eastAsia="zh-CN" w:bidi="ar-SA"/>
    </w:rPr>
  </w:style>
  <w:style w:type="paragraph" w:customStyle="1" w:styleId="38">
    <w:name w:val="纯文本1"/>
    <w:autoRedefine/>
    <w:qFormat/>
    <w:uiPriority w:val="99"/>
    <w:pPr>
      <w:widowControl/>
      <w:spacing w:before="156" w:line="360" w:lineRule="auto"/>
      <w:ind w:left="426"/>
      <w:jc w:val="left"/>
    </w:pPr>
    <w:rPr>
      <w:rFonts w:ascii="宋体" w:hAnsi="Courier New" w:eastAsia="宋体" w:cs="宋体"/>
      <w:kern w:val="2"/>
      <w:sz w:val="24"/>
      <w:szCs w:val="20"/>
      <w:lang w:val="en-US" w:eastAsia="zh-CN" w:bidi="ar-SA"/>
    </w:rPr>
  </w:style>
  <w:style w:type="paragraph" w:customStyle="1" w:styleId="39">
    <w:name w:val="正文1"/>
    <w:next w:val="1"/>
    <w:qFormat/>
    <w:uiPriority w:val="0"/>
    <w:pPr>
      <w:widowControl w:val="0"/>
      <w:spacing w:before="156" w:line="360" w:lineRule="auto"/>
      <w:ind w:left="426"/>
      <w:jc w:val="both"/>
    </w:pPr>
    <w:rPr>
      <w:rFonts w:ascii="等线" w:hAnsi="等线" w:eastAsia="宋体" w:cs="Times New Roman"/>
      <w:kern w:val="2"/>
      <w:sz w:val="24"/>
      <w:szCs w:val="20"/>
      <w:lang w:val="en-US" w:eastAsia="zh-CN" w:bidi="ar-SA"/>
    </w:rPr>
  </w:style>
  <w:style w:type="paragraph" w:customStyle="1" w:styleId="40">
    <w:name w:val="Other|1"/>
    <w:basedOn w:val="1"/>
    <w:autoRedefine/>
    <w:qFormat/>
    <w:uiPriority w:val="0"/>
    <w:pPr>
      <w:widowControl w:val="0"/>
      <w:shd w:val="clear" w:color="auto" w:fill="auto"/>
      <w:spacing w:before="600" w:after="600"/>
      <w:jc w:val="center"/>
    </w:pPr>
    <w:rPr>
      <w:rFonts w:ascii="宋体" w:hAnsi="宋体" w:eastAsia="宋体" w:cs="宋体"/>
      <w:sz w:val="32"/>
      <w:szCs w:val="32"/>
      <w:u w:val="single"/>
      <w:shd w:val="clear" w:color="auto" w:fill="auto"/>
      <w:lang w:val="zh-TW" w:eastAsia="zh-TW" w:bidi="zh-TW"/>
    </w:rPr>
  </w:style>
  <w:style w:type="character" w:customStyle="1" w:styleId="41">
    <w:name w:val="font91"/>
    <w:basedOn w:val="25"/>
    <w:autoRedefine/>
    <w:qFormat/>
    <w:uiPriority w:val="0"/>
    <w:rPr>
      <w:rFonts w:hint="eastAsia" w:ascii="宋体" w:hAnsi="宋体" w:eastAsia="宋体" w:cs="宋体"/>
      <w:b/>
      <w:bCs/>
      <w:color w:val="000000"/>
      <w:sz w:val="20"/>
      <w:szCs w:val="20"/>
      <w:u w:val="none"/>
    </w:rPr>
  </w:style>
  <w:style w:type="character" w:customStyle="1" w:styleId="42">
    <w:name w:val="font191"/>
    <w:basedOn w:val="25"/>
    <w:autoRedefine/>
    <w:qFormat/>
    <w:uiPriority w:val="0"/>
    <w:rPr>
      <w:rFonts w:hint="eastAsia" w:ascii="宋体" w:hAnsi="宋体" w:eastAsia="宋体" w:cs="宋体"/>
      <w:color w:val="000000"/>
      <w:sz w:val="18"/>
      <w:szCs w:val="18"/>
      <w:u w:val="none"/>
    </w:rPr>
  </w:style>
  <w:style w:type="character" w:customStyle="1" w:styleId="43">
    <w:name w:val="font481"/>
    <w:basedOn w:val="25"/>
    <w:autoRedefine/>
    <w:qFormat/>
    <w:uiPriority w:val="0"/>
    <w:rPr>
      <w:rFonts w:hint="default" w:ascii="Times New Roman" w:hAnsi="Times New Roman" w:cs="Times New Roman"/>
      <w:color w:val="000000"/>
      <w:sz w:val="18"/>
      <w:szCs w:val="18"/>
      <w:u w:val="none"/>
    </w:rPr>
  </w:style>
  <w:style w:type="character" w:customStyle="1" w:styleId="44">
    <w:name w:val="font151"/>
    <w:basedOn w:val="25"/>
    <w:autoRedefine/>
    <w:qFormat/>
    <w:uiPriority w:val="0"/>
    <w:rPr>
      <w:rFonts w:ascii="Arial" w:hAnsi="Arial" w:cs="Arial"/>
      <w:color w:val="000000"/>
      <w:sz w:val="20"/>
      <w:szCs w:val="20"/>
      <w:u w:val="none"/>
    </w:rPr>
  </w:style>
  <w:style w:type="character" w:customStyle="1" w:styleId="45">
    <w:name w:val="font31"/>
    <w:basedOn w:val="25"/>
    <w:autoRedefine/>
    <w:qFormat/>
    <w:uiPriority w:val="0"/>
    <w:rPr>
      <w:rFonts w:hint="eastAsia" w:ascii="宋体" w:hAnsi="宋体" w:eastAsia="宋体" w:cs="宋体"/>
      <w:color w:val="000000"/>
      <w:sz w:val="20"/>
      <w:szCs w:val="20"/>
      <w:u w:val="none"/>
    </w:rPr>
  </w:style>
  <w:style w:type="character" w:customStyle="1" w:styleId="46">
    <w:name w:val="font61"/>
    <w:basedOn w:val="25"/>
    <w:autoRedefine/>
    <w:qFormat/>
    <w:uiPriority w:val="0"/>
    <w:rPr>
      <w:rFonts w:hint="eastAsia" w:ascii="宋体" w:hAnsi="宋体" w:eastAsia="宋体" w:cs="宋体"/>
      <w:color w:val="000000"/>
      <w:sz w:val="20"/>
      <w:szCs w:val="20"/>
      <w:u w:val="none"/>
    </w:rPr>
  </w:style>
  <w:style w:type="character" w:customStyle="1" w:styleId="47">
    <w:name w:val="font41"/>
    <w:basedOn w:val="25"/>
    <w:autoRedefine/>
    <w:qFormat/>
    <w:uiPriority w:val="0"/>
    <w:rPr>
      <w:rFonts w:hint="eastAsia" w:ascii="宋体" w:hAnsi="宋体" w:eastAsia="宋体" w:cs="宋体"/>
      <w:color w:val="000000"/>
      <w:sz w:val="18"/>
      <w:szCs w:val="18"/>
      <w:u w:val="none"/>
    </w:rPr>
  </w:style>
  <w:style w:type="character" w:customStyle="1" w:styleId="48">
    <w:name w:val="font11"/>
    <w:basedOn w:val="25"/>
    <w:autoRedefine/>
    <w:qFormat/>
    <w:uiPriority w:val="0"/>
    <w:rPr>
      <w:rFonts w:hint="eastAsia" w:ascii="宋体" w:hAnsi="宋体" w:eastAsia="宋体" w:cs="宋体"/>
      <w:color w:val="000000"/>
      <w:sz w:val="20"/>
      <w:szCs w:val="20"/>
      <w:u w:val="none"/>
    </w:rPr>
  </w:style>
  <w:style w:type="character" w:customStyle="1" w:styleId="49">
    <w:name w:val="font21"/>
    <w:basedOn w:val="25"/>
    <w:autoRedefine/>
    <w:qFormat/>
    <w:uiPriority w:val="0"/>
    <w:rPr>
      <w:rFonts w:hint="eastAsia" w:ascii="宋体" w:hAnsi="宋体" w:eastAsia="宋体" w:cs="宋体"/>
      <w:color w:val="000000"/>
      <w:sz w:val="18"/>
      <w:szCs w:val="18"/>
      <w:u w:val="none"/>
    </w:rPr>
  </w:style>
  <w:style w:type="character" w:customStyle="1" w:styleId="50">
    <w:name w:val="font51"/>
    <w:basedOn w:val="25"/>
    <w:autoRedefine/>
    <w:qFormat/>
    <w:uiPriority w:val="0"/>
    <w:rPr>
      <w:rFonts w:hint="eastAsia" w:ascii="宋体" w:hAnsi="宋体" w:eastAsia="宋体" w:cs="宋体"/>
      <w:color w:val="000000"/>
      <w:sz w:val="20"/>
      <w:szCs w:val="20"/>
      <w:u w:val="none"/>
    </w:rPr>
  </w:style>
  <w:style w:type="character" w:customStyle="1" w:styleId="51">
    <w:name w:val="font161"/>
    <w:basedOn w:val="25"/>
    <w:autoRedefine/>
    <w:qFormat/>
    <w:uiPriority w:val="0"/>
    <w:rPr>
      <w:rFonts w:hint="default" w:ascii="Times New Roman" w:hAnsi="Times New Roman" w:cs="Times New Roman"/>
      <w:color w:val="000000"/>
      <w:sz w:val="20"/>
      <w:szCs w:val="20"/>
      <w:u w:val="none"/>
    </w:rPr>
  </w:style>
  <w:style w:type="character" w:customStyle="1" w:styleId="52">
    <w:name w:val="font112"/>
    <w:basedOn w:val="25"/>
    <w:autoRedefine/>
    <w:qFormat/>
    <w:uiPriority w:val="0"/>
    <w:rPr>
      <w:rFonts w:hint="default" w:ascii="Times New Roman" w:hAnsi="Times New Roman" w:cs="Times New Roman"/>
      <w:color w:val="000000"/>
      <w:sz w:val="20"/>
      <w:szCs w:val="20"/>
      <w:u w:val="none"/>
    </w:rPr>
  </w:style>
  <w:style w:type="paragraph" w:customStyle="1" w:styleId="53">
    <w:name w:val="表格正文"/>
    <w:autoRedefine/>
    <w:qFormat/>
    <w:uiPriority w:val="0"/>
    <w:pPr>
      <w:spacing w:line="360" w:lineRule="auto"/>
      <w:contextualSpacing/>
      <w:jc w:val="both"/>
    </w:pPr>
    <w:rPr>
      <w:rFonts w:ascii="Times New Roman" w:hAnsi="Times New Roman" w:eastAsia="宋体" w:cs="Times New Roman"/>
      <w:kern w:val="2"/>
      <w:sz w:val="24"/>
      <w:szCs w:val="24"/>
      <w:lang w:val="en-US" w:eastAsia="zh-CN" w:bidi="ar-SA"/>
    </w:rPr>
  </w:style>
  <w:style w:type="table" w:customStyle="1" w:styleId="54">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55">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56">
    <w:name w:val="正文缩进1"/>
    <w:basedOn w:val="1"/>
    <w:autoRedefine/>
    <w:qFormat/>
    <w:uiPriority w:val="0"/>
    <w:pPr>
      <w:spacing w:line="360" w:lineRule="auto"/>
      <w:ind w:firstLine="454"/>
      <w:jc w:val="left"/>
    </w:pPr>
    <w:rPr>
      <w:sz w:val="24"/>
    </w:rPr>
  </w:style>
  <w:style w:type="paragraph" w:customStyle="1" w:styleId="57">
    <w:name w:val="TOAHeading"/>
    <w:basedOn w:val="1"/>
    <w:next w:val="1"/>
    <w:qFormat/>
    <w:uiPriority w:val="0"/>
    <w:pPr>
      <w:spacing w:before="120"/>
      <w:jc w:val="both"/>
      <w:textAlignment w:val="baseline"/>
    </w:pPr>
    <w:rPr>
      <w:rFonts w:ascii="Arial" w:hAnsi="Arial" w:eastAsia="宋体"/>
      <w:kern w:val="2"/>
      <w:sz w:val="24"/>
      <w:lang w:val="en-US" w:eastAsia="zh-CN" w:bidi="ar-SA"/>
    </w:rPr>
  </w:style>
  <w:style w:type="character" w:customStyle="1" w:styleId="58">
    <w:name w:val="NormalCharacter"/>
    <w:semiHidden/>
    <w:qFormat/>
    <w:uiPriority w:val="0"/>
    <w:rPr>
      <w:kern w:val="2"/>
      <w:sz w:val="21"/>
      <w:szCs w:val="24"/>
      <w:lang w:val="en-US" w:eastAsia="zh-CN" w:bidi="ar-SA"/>
    </w:rPr>
  </w:style>
  <w:style w:type="paragraph" w:customStyle="1" w:styleId="59">
    <w:name w:val="无间距1"/>
    <w:qFormat/>
    <w:uiPriority w:val="1"/>
    <w:pPr>
      <w:widowControl w:val="0"/>
      <w:jc w:val="both"/>
    </w:pPr>
    <w:rPr>
      <w:rFonts w:ascii="Times New Roman" w:hAnsi="Times New Roman" w:eastAsia="微软雅黑 Light" w:cs="Times New Roman"/>
      <w:kern w:val="2"/>
      <w:sz w:val="24"/>
      <w:szCs w:val="22"/>
      <w:lang w:val="en-US" w:eastAsia="zh-CN" w:bidi="ar-SA"/>
    </w:rPr>
  </w:style>
  <w:style w:type="paragraph" w:customStyle="1" w:styleId="60">
    <w:name w:val="表头文本"/>
    <w:basedOn w:val="1"/>
    <w:qFormat/>
    <w:uiPriority w:val="0"/>
    <w:pPr>
      <w:autoSpaceDE w:val="0"/>
      <w:autoSpaceDN w:val="0"/>
      <w:adjustRightInd w:val="0"/>
      <w:jc w:val="center"/>
    </w:pPr>
    <w:rPr>
      <w:kern w:val="0"/>
      <w:sz w:val="24"/>
      <w:szCs w:val="20"/>
    </w:rPr>
  </w:style>
  <w:style w:type="character" w:customStyle="1" w:styleId="61">
    <w:name w:val="标题 1 字符"/>
    <w:link w:val="7"/>
    <w:qFormat/>
    <w:uiPriority w:val="0"/>
    <w:rPr>
      <w:rFonts w:ascii="??" w:hAnsi="??" w:eastAsia="??" w:cs="宋体"/>
      <w:b/>
      <w:kern w:val="36"/>
      <w:sz w:val="32"/>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12889</Words>
  <Characters>13695</Characters>
  <Lines>0</Lines>
  <Paragraphs>0</Paragraphs>
  <TotalTime>11</TotalTime>
  <ScaleCrop>false</ScaleCrop>
  <LinksUpToDate>false</LinksUpToDate>
  <CharactersWithSpaces>13815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2023-04-07T06:00:00Z</dcterms:created>
  <dc:creator>NTKO</dc:creator>
  <cp:lastModifiedBy>Jack</cp:lastModifiedBy>
  <cp:lastPrinted>2024-06-04T07:01:00Z</cp:lastPrinted>
  <dcterms:modified xsi:type="dcterms:W3CDTF">2025-05-30T08:07:31Z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44F92DE0E393460E8FE63C7E839BB78D_13</vt:lpwstr>
  </property>
  <property fmtid="{D5CDD505-2E9C-101B-9397-08002B2CF9AE}" pid="4" name="KSOTemplateDocerSaveRecord">
    <vt:lpwstr>eyJoZGlkIjoiNDUwZDBmOGNiYjU1ZGIxYWYxNGVkZjkyMzg4OTJmYmQiLCJ1c2VySWQiOiI0Mzk1OTM5MTIifQ==</vt:lpwstr>
  </property>
</Properties>
</file>