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21769">
      <w:pPr>
        <w:keepNext w:val="0"/>
        <w:keepLines w:val="0"/>
        <w:wordWrap w:val="0"/>
        <w:topLinePunct/>
        <w:spacing w:line="360" w:lineRule="auto"/>
        <w:jc w:val="center"/>
        <w:rPr>
          <w:rFonts w:hint="eastAsia" w:ascii="仿宋" w:hAnsi="仿宋" w:eastAsia="仿宋" w:cs="仿宋"/>
          <w:b/>
          <w:sz w:val="56"/>
          <w:szCs w:val="56"/>
          <w:highlight w:val="none"/>
        </w:rPr>
      </w:pPr>
      <w:bookmarkStart w:id="0" w:name="_Toc498001148"/>
    </w:p>
    <w:p w14:paraId="0FCFB256">
      <w:pPr>
        <w:keepNext w:val="0"/>
        <w:keepLines w:val="0"/>
        <w:wordWrap w:val="0"/>
        <w:topLinePunct/>
        <w:spacing w:line="360" w:lineRule="auto"/>
        <w:jc w:val="center"/>
        <w:rPr>
          <w:rFonts w:hint="eastAsia" w:ascii="仿宋" w:hAnsi="仿宋" w:eastAsia="仿宋" w:cs="仿宋"/>
          <w:b/>
          <w:sz w:val="84"/>
          <w:szCs w:val="84"/>
          <w:highlight w:val="none"/>
        </w:rPr>
      </w:pPr>
    </w:p>
    <w:p w14:paraId="6F6A4520">
      <w:pPr>
        <w:keepNext w:val="0"/>
        <w:keepLines w:val="0"/>
        <w:wordWrap w:val="0"/>
        <w:topLinePunct/>
        <w:spacing w:line="360" w:lineRule="auto"/>
        <w:jc w:val="center"/>
        <w:rPr>
          <w:rFonts w:hint="eastAsia" w:ascii="仿宋" w:hAnsi="仿宋" w:eastAsia="仿宋" w:cs="仿宋"/>
          <w:b/>
          <w:sz w:val="84"/>
          <w:szCs w:val="84"/>
          <w:highlight w:val="none"/>
        </w:rPr>
      </w:pPr>
      <w:r>
        <w:rPr>
          <w:rFonts w:hint="eastAsia" w:ascii="仿宋" w:hAnsi="仿宋" w:eastAsia="仿宋" w:cs="仿宋"/>
          <w:b/>
          <w:sz w:val="84"/>
          <w:szCs w:val="84"/>
          <w:highlight w:val="none"/>
        </w:rPr>
        <w:t>招标文件</w:t>
      </w:r>
    </w:p>
    <w:p w14:paraId="67DABAB9">
      <w:pPr>
        <w:keepNext w:val="0"/>
        <w:keepLines w:val="0"/>
        <w:widowControl/>
        <w:wordWrap w:val="0"/>
        <w:topLinePunct/>
        <w:spacing w:line="360" w:lineRule="auto"/>
        <w:ind w:right="-2"/>
        <w:jc w:val="center"/>
        <w:rPr>
          <w:rFonts w:hint="eastAsia" w:ascii="仿宋" w:hAnsi="仿宋" w:eastAsia="仿宋" w:cs="仿宋"/>
          <w:b/>
          <w:sz w:val="44"/>
          <w:szCs w:val="44"/>
          <w:highlight w:val="none"/>
        </w:rPr>
      </w:pPr>
      <w:r>
        <w:rPr>
          <w:rFonts w:hint="eastAsia" w:ascii="仿宋" w:hAnsi="仿宋" w:eastAsia="仿宋" w:cs="仿宋"/>
          <w:b/>
          <w:sz w:val="36"/>
          <w:highlight w:val="none"/>
        </w:rPr>
        <w:t>（</w:t>
      </w:r>
      <w:r>
        <w:rPr>
          <w:rFonts w:hint="eastAsia" w:ascii="仿宋" w:hAnsi="仿宋" w:eastAsia="仿宋" w:cs="仿宋"/>
          <w:b/>
          <w:color w:val="auto"/>
          <w:sz w:val="44"/>
          <w:szCs w:val="44"/>
          <w:highlight w:val="none"/>
        </w:rPr>
        <w:t>线上电子采购</w:t>
      </w:r>
      <w:r>
        <w:rPr>
          <w:rFonts w:hint="eastAsia" w:ascii="仿宋" w:hAnsi="仿宋" w:eastAsia="仿宋" w:cs="仿宋"/>
          <w:b/>
          <w:sz w:val="36"/>
          <w:highlight w:val="none"/>
        </w:rPr>
        <w:t>）</w:t>
      </w:r>
    </w:p>
    <w:p w14:paraId="4094ECEA">
      <w:pPr>
        <w:pStyle w:val="21"/>
        <w:keepNext w:val="0"/>
        <w:keepLines w:val="0"/>
        <w:wordWrap w:val="0"/>
        <w:topLinePunct/>
        <w:spacing w:line="360" w:lineRule="auto"/>
        <w:ind w:firstLine="0" w:firstLineChars="0"/>
        <w:jc w:val="center"/>
        <w:rPr>
          <w:rFonts w:hint="eastAsia" w:ascii="仿宋" w:hAnsi="仿宋" w:eastAsia="仿宋" w:cs="仿宋"/>
          <w:sz w:val="28"/>
          <w:szCs w:val="28"/>
          <w:highlight w:val="none"/>
        </w:rPr>
      </w:pPr>
    </w:p>
    <w:tbl>
      <w:tblPr>
        <w:tblStyle w:val="46"/>
        <w:tblW w:w="7751" w:type="dxa"/>
        <w:tblInd w:w="885" w:type="dxa"/>
        <w:tblLayout w:type="fixed"/>
        <w:tblCellMar>
          <w:top w:w="0" w:type="dxa"/>
          <w:left w:w="108" w:type="dxa"/>
          <w:bottom w:w="0" w:type="dxa"/>
          <w:right w:w="108" w:type="dxa"/>
        </w:tblCellMar>
      </w:tblPr>
      <w:tblGrid>
        <w:gridCol w:w="1859"/>
        <w:gridCol w:w="5892"/>
      </w:tblGrid>
      <w:tr w14:paraId="60EB73BE">
        <w:tblPrEx>
          <w:tblCellMar>
            <w:top w:w="0" w:type="dxa"/>
            <w:left w:w="108" w:type="dxa"/>
            <w:bottom w:w="0" w:type="dxa"/>
            <w:right w:w="108" w:type="dxa"/>
          </w:tblCellMar>
        </w:tblPrEx>
        <w:trPr>
          <w:trHeight w:val="1213" w:hRule="atLeast"/>
        </w:trPr>
        <w:tc>
          <w:tcPr>
            <w:tcW w:w="1859" w:type="dxa"/>
            <w:vAlign w:val="center"/>
          </w:tcPr>
          <w:p w14:paraId="6D97DF85">
            <w:pPr>
              <w:keepNext w:val="0"/>
              <w:keepLines w:val="0"/>
              <w:suppressLineNumbers w:val="0"/>
              <w:wordWrap w:val="0"/>
              <w:topLinePunct/>
              <w:spacing w:before="0" w:beforeAutospacing="0" w:after="0" w:afterAutospacing="0" w:line="360" w:lineRule="auto"/>
              <w:ind w:left="0" w:right="0"/>
              <w:jc w:val="center"/>
              <w:rPr>
                <w:rFonts w:hint="eastAsia" w:ascii="仿宋" w:hAnsi="仿宋" w:eastAsia="仿宋" w:cs="仿宋"/>
                <w:b/>
                <w:bCs/>
                <w:sz w:val="32"/>
                <w:highlight w:val="none"/>
              </w:rPr>
            </w:pPr>
            <w:r>
              <w:rPr>
                <w:rFonts w:hint="eastAsia" w:ascii="仿宋" w:hAnsi="仿宋" w:eastAsia="仿宋" w:cs="仿宋"/>
                <w:b/>
                <w:bCs/>
                <w:sz w:val="32"/>
                <w:highlight w:val="none"/>
              </w:rPr>
              <w:t>项目名称：</w:t>
            </w:r>
          </w:p>
        </w:tc>
        <w:tc>
          <w:tcPr>
            <w:tcW w:w="5892" w:type="dxa"/>
            <w:vAlign w:val="center"/>
          </w:tcPr>
          <w:p w14:paraId="21881BFF">
            <w:pPr>
              <w:keepNext w:val="0"/>
              <w:keepLines w:val="0"/>
              <w:suppressLineNumbers w:val="0"/>
              <w:wordWrap w:val="0"/>
              <w:topLinePunct/>
              <w:spacing w:before="0" w:beforeAutospacing="0" w:after="0" w:afterAutospacing="0" w:line="360" w:lineRule="auto"/>
              <w:ind w:left="0" w:right="0"/>
              <w:jc w:val="left"/>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新昌县人民医院迁建工程-窗帘采购项目</w:t>
            </w:r>
          </w:p>
        </w:tc>
      </w:tr>
      <w:tr w14:paraId="36E29C83">
        <w:tblPrEx>
          <w:tblCellMar>
            <w:top w:w="0" w:type="dxa"/>
            <w:left w:w="108" w:type="dxa"/>
            <w:bottom w:w="0" w:type="dxa"/>
            <w:right w:w="108" w:type="dxa"/>
          </w:tblCellMar>
        </w:tblPrEx>
        <w:trPr>
          <w:trHeight w:val="1213" w:hRule="atLeast"/>
        </w:trPr>
        <w:tc>
          <w:tcPr>
            <w:tcW w:w="1859" w:type="dxa"/>
            <w:vAlign w:val="center"/>
          </w:tcPr>
          <w:p w14:paraId="013D85BE">
            <w:pPr>
              <w:keepNext w:val="0"/>
              <w:keepLines w:val="0"/>
              <w:suppressLineNumbers w:val="0"/>
              <w:wordWrap w:val="0"/>
              <w:topLinePunct/>
              <w:spacing w:before="0" w:beforeAutospacing="0" w:after="0" w:afterAutospacing="0" w:line="360" w:lineRule="auto"/>
              <w:ind w:left="0" w:right="0"/>
              <w:jc w:val="center"/>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rPr>
              <w:t>项目编号：</w:t>
            </w:r>
          </w:p>
        </w:tc>
        <w:tc>
          <w:tcPr>
            <w:tcW w:w="5892" w:type="dxa"/>
            <w:vAlign w:val="center"/>
          </w:tcPr>
          <w:p w14:paraId="0E706513">
            <w:pPr>
              <w:keepNext w:val="0"/>
              <w:keepLines w:val="0"/>
              <w:suppressLineNumbers w:val="0"/>
              <w:wordWrap w:val="0"/>
              <w:topLinePunct/>
              <w:spacing w:before="0" w:beforeAutospacing="0" w:after="0" w:afterAutospacing="0" w:line="360" w:lineRule="auto"/>
              <w:ind w:left="0" w:right="0"/>
              <w:jc w:val="left"/>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GJXC-2025-24</w:t>
            </w:r>
          </w:p>
        </w:tc>
      </w:tr>
    </w:tbl>
    <w:p w14:paraId="7081B2C6">
      <w:pPr>
        <w:pStyle w:val="45"/>
        <w:keepNext w:val="0"/>
        <w:keepLines w:val="0"/>
        <w:wordWrap w:val="0"/>
        <w:topLinePunct/>
        <w:ind w:left="0" w:leftChars="0" w:firstLine="0" w:firstLineChars="0"/>
        <w:rPr>
          <w:rFonts w:hint="eastAsia" w:ascii="仿宋" w:hAnsi="仿宋" w:eastAsia="仿宋" w:cs="仿宋"/>
          <w:color w:val="auto"/>
          <w:highlight w:val="none"/>
        </w:rPr>
      </w:pPr>
    </w:p>
    <w:p w14:paraId="00651FF3">
      <w:pPr>
        <w:pStyle w:val="45"/>
        <w:keepNext w:val="0"/>
        <w:keepLines w:val="0"/>
        <w:wordWrap w:val="0"/>
        <w:topLinePunct/>
        <w:ind w:left="0" w:leftChars="0" w:firstLine="0" w:firstLineChars="0"/>
        <w:rPr>
          <w:rFonts w:hint="eastAsia" w:ascii="仿宋" w:hAnsi="仿宋" w:eastAsia="仿宋" w:cs="仿宋"/>
          <w:color w:val="auto"/>
          <w:highlight w:val="none"/>
        </w:rPr>
      </w:pPr>
    </w:p>
    <w:p w14:paraId="5C81A790">
      <w:pPr>
        <w:pStyle w:val="45"/>
        <w:keepNext w:val="0"/>
        <w:keepLines w:val="0"/>
        <w:wordWrap w:val="0"/>
        <w:topLinePunct/>
        <w:ind w:firstLine="480"/>
        <w:rPr>
          <w:rFonts w:hint="eastAsia" w:ascii="仿宋" w:hAnsi="仿宋" w:eastAsia="仿宋" w:cs="仿宋"/>
          <w:color w:val="auto"/>
          <w:highlight w:val="none"/>
        </w:rPr>
      </w:pPr>
    </w:p>
    <w:p w14:paraId="2365C30A">
      <w:pPr>
        <w:pStyle w:val="45"/>
        <w:keepNext w:val="0"/>
        <w:keepLines w:val="0"/>
        <w:wordWrap w:val="0"/>
        <w:topLinePunct/>
        <w:ind w:firstLine="480"/>
        <w:rPr>
          <w:rFonts w:hint="eastAsia" w:ascii="仿宋" w:hAnsi="仿宋" w:eastAsia="仿宋" w:cs="仿宋"/>
          <w:color w:val="auto"/>
          <w:highlight w:val="none"/>
        </w:rPr>
      </w:pPr>
    </w:p>
    <w:p w14:paraId="3EE4D522">
      <w:pPr>
        <w:pStyle w:val="45"/>
        <w:keepNext w:val="0"/>
        <w:keepLines w:val="0"/>
        <w:wordWrap w:val="0"/>
        <w:topLinePunct/>
        <w:ind w:firstLine="480"/>
        <w:rPr>
          <w:rFonts w:hint="eastAsia" w:ascii="仿宋" w:hAnsi="仿宋" w:eastAsia="仿宋" w:cs="仿宋"/>
          <w:color w:val="auto"/>
          <w:highlight w:val="none"/>
        </w:rPr>
      </w:pPr>
    </w:p>
    <w:p w14:paraId="7CB9ADE0">
      <w:pPr>
        <w:pStyle w:val="45"/>
        <w:keepNext w:val="0"/>
        <w:keepLines w:val="0"/>
        <w:wordWrap w:val="0"/>
        <w:topLinePunct/>
        <w:ind w:firstLine="480"/>
        <w:rPr>
          <w:rFonts w:hint="eastAsia" w:ascii="仿宋" w:hAnsi="仿宋" w:eastAsia="仿宋" w:cs="仿宋"/>
          <w:color w:val="auto"/>
          <w:highlight w:val="none"/>
        </w:rPr>
      </w:pPr>
    </w:p>
    <w:tbl>
      <w:tblPr>
        <w:tblStyle w:val="46"/>
        <w:tblpPr w:leftFromText="180" w:rightFromText="180" w:vertAnchor="text" w:horzAnchor="page" w:tblpX="2233" w:tblpY="300"/>
        <w:tblOverlap w:val="never"/>
        <w:tblW w:w="8142" w:type="dxa"/>
        <w:tblInd w:w="0" w:type="dxa"/>
        <w:tblLayout w:type="fixed"/>
        <w:tblCellMar>
          <w:top w:w="0" w:type="dxa"/>
          <w:left w:w="108" w:type="dxa"/>
          <w:bottom w:w="0" w:type="dxa"/>
          <w:right w:w="108" w:type="dxa"/>
        </w:tblCellMar>
      </w:tblPr>
      <w:tblGrid>
        <w:gridCol w:w="2410"/>
        <w:gridCol w:w="5732"/>
      </w:tblGrid>
      <w:tr w14:paraId="5298EDA3">
        <w:tblPrEx>
          <w:tblCellMar>
            <w:top w:w="0" w:type="dxa"/>
            <w:left w:w="108" w:type="dxa"/>
            <w:bottom w:w="0" w:type="dxa"/>
            <w:right w:w="108" w:type="dxa"/>
          </w:tblCellMar>
        </w:tblPrEx>
        <w:trPr>
          <w:trHeight w:val="876" w:hRule="atLeast"/>
        </w:trPr>
        <w:tc>
          <w:tcPr>
            <w:tcW w:w="2410" w:type="dxa"/>
          </w:tcPr>
          <w:p w14:paraId="549296EB">
            <w:pPr>
              <w:keepNext w:val="0"/>
              <w:keepLines w:val="0"/>
              <w:suppressLineNumbers w:val="0"/>
              <w:wordWrap w:val="0"/>
              <w:topLinePunct/>
              <w:spacing w:before="0" w:beforeAutospacing="0" w:after="0" w:afterAutospacing="0" w:line="360" w:lineRule="auto"/>
              <w:ind w:left="0" w:right="0"/>
              <w:rPr>
                <w:rFonts w:hint="eastAsia" w:ascii="仿宋" w:hAnsi="仿宋" w:eastAsia="仿宋" w:cs="仿宋"/>
                <w:color w:val="auto"/>
                <w:sz w:val="32"/>
                <w:highlight w:val="none"/>
              </w:rPr>
            </w:pPr>
            <w:r>
              <w:rPr>
                <w:rFonts w:hint="eastAsia" w:ascii="仿宋" w:hAnsi="仿宋" w:eastAsia="仿宋" w:cs="仿宋"/>
                <w:b/>
                <w:bCs/>
                <w:color w:val="auto"/>
                <w:sz w:val="36"/>
                <w:szCs w:val="36"/>
                <w:highlight w:val="none"/>
              </w:rPr>
              <w:t>招标人：</w:t>
            </w:r>
          </w:p>
        </w:tc>
        <w:tc>
          <w:tcPr>
            <w:tcW w:w="5732" w:type="dxa"/>
          </w:tcPr>
          <w:p w14:paraId="2C6EA8ED">
            <w:pPr>
              <w:keepNext w:val="0"/>
              <w:keepLines w:val="0"/>
              <w:suppressLineNumbers w:val="0"/>
              <w:wordWrap w:val="0"/>
              <w:topLinePunct/>
              <w:spacing w:before="0" w:beforeAutospacing="0" w:after="0" w:afterAutospacing="0" w:line="360" w:lineRule="auto"/>
              <w:ind w:left="0" w:right="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新昌县城市建设投资集团有限公司</w:t>
            </w:r>
          </w:p>
        </w:tc>
      </w:tr>
      <w:tr w14:paraId="4D6EFA45">
        <w:tblPrEx>
          <w:tblCellMar>
            <w:top w:w="0" w:type="dxa"/>
            <w:left w:w="108" w:type="dxa"/>
            <w:bottom w:w="0" w:type="dxa"/>
            <w:right w:w="108" w:type="dxa"/>
          </w:tblCellMar>
        </w:tblPrEx>
        <w:trPr>
          <w:trHeight w:val="895" w:hRule="atLeast"/>
        </w:trPr>
        <w:tc>
          <w:tcPr>
            <w:tcW w:w="2410" w:type="dxa"/>
          </w:tcPr>
          <w:p w14:paraId="76DB6101">
            <w:pPr>
              <w:keepNext w:val="0"/>
              <w:keepLines w:val="0"/>
              <w:suppressLineNumbers w:val="0"/>
              <w:wordWrap w:val="0"/>
              <w:topLinePunct/>
              <w:spacing w:before="0" w:beforeAutospacing="0" w:after="0" w:afterAutospacing="0" w:line="360" w:lineRule="auto"/>
              <w:ind w:left="0" w:right="0"/>
              <w:rPr>
                <w:rFonts w:hint="eastAsia" w:ascii="仿宋" w:hAnsi="仿宋" w:eastAsia="仿宋" w:cs="仿宋"/>
                <w:color w:val="auto"/>
                <w:sz w:val="32"/>
                <w:highlight w:val="none"/>
              </w:rPr>
            </w:pPr>
            <w:r>
              <w:rPr>
                <w:rFonts w:hint="eastAsia" w:ascii="仿宋" w:hAnsi="仿宋" w:eastAsia="仿宋" w:cs="仿宋"/>
                <w:b/>
                <w:bCs/>
                <w:color w:val="auto"/>
                <w:sz w:val="36"/>
                <w:szCs w:val="36"/>
                <w:highlight w:val="none"/>
              </w:rPr>
              <w:t>招标代理：</w:t>
            </w:r>
          </w:p>
        </w:tc>
        <w:tc>
          <w:tcPr>
            <w:tcW w:w="5732" w:type="dxa"/>
          </w:tcPr>
          <w:p w14:paraId="43B89929">
            <w:pPr>
              <w:keepNext w:val="0"/>
              <w:keepLines w:val="0"/>
              <w:suppressLineNumbers w:val="0"/>
              <w:wordWrap w:val="0"/>
              <w:topLinePunct/>
              <w:spacing w:before="0" w:beforeAutospacing="0" w:after="0" w:afterAutospacing="0" w:line="360" w:lineRule="auto"/>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杭州贯今工程咨询有限公司</w:t>
            </w:r>
          </w:p>
        </w:tc>
      </w:tr>
      <w:tr w14:paraId="30C4FDBC">
        <w:tblPrEx>
          <w:tblCellMar>
            <w:top w:w="0" w:type="dxa"/>
            <w:left w:w="108" w:type="dxa"/>
            <w:bottom w:w="0" w:type="dxa"/>
            <w:right w:w="108" w:type="dxa"/>
          </w:tblCellMar>
        </w:tblPrEx>
        <w:trPr>
          <w:trHeight w:val="895" w:hRule="atLeast"/>
        </w:trPr>
        <w:tc>
          <w:tcPr>
            <w:tcW w:w="2410" w:type="dxa"/>
          </w:tcPr>
          <w:p w14:paraId="7AFA43E2">
            <w:pPr>
              <w:keepNext w:val="0"/>
              <w:keepLines w:val="0"/>
              <w:suppressLineNumbers w:val="0"/>
              <w:wordWrap w:val="0"/>
              <w:topLinePunct/>
              <w:spacing w:before="0" w:beforeAutospacing="0" w:after="0" w:afterAutospacing="0" w:line="360" w:lineRule="auto"/>
              <w:ind w:left="0" w:right="0"/>
              <w:rPr>
                <w:rFonts w:hint="eastAsia" w:ascii="仿宋" w:hAnsi="仿宋" w:eastAsia="仿宋" w:cs="仿宋"/>
                <w:b/>
                <w:bCs/>
                <w:color w:val="auto"/>
                <w:sz w:val="36"/>
                <w:szCs w:val="36"/>
                <w:highlight w:val="none"/>
              </w:rPr>
            </w:pPr>
            <w:r>
              <w:rPr>
                <w:rFonts w:hint="eastAsia" w:ascii="仿宋" w:hAnsi="仿宋" w:eastAsia="仿宋" w:cs="仿宋"/>
                <w:b/>
                <w:bCs/>
                <w:color w:val="auto"/>
                <w:w w:val="95"/>
                <w:sz w:val="36"/>
                <w:szCs w:val="36"/>
                <w:highlight w:val="none"/>
              </w:rPr>
              <w:t>日期：</w:t>
            </w:r>
          </w:p>
        </w:tc>
        <w:tc>
          <w:tcPr>
            <w:tcW w:w="5732" w:type="dxa"/>
          </w:tcPr>
          <w:p w14:paraId="45BF007E">
            <w:pPr>
              <w:keepNext w:val="0"/>
              <w:keepLines w:val="0"/>
              <w:suppressLineNumbers w:val="0"/>
              <w:wordWrap w:val="0"/>
              <w:topLinePunct/>
              <w:spacing w:before="0" w:beforeAutospacing="0" w:after="0" w:afterAutospacing="0" w:line="360" w:lineRule="auto"/>
              <w:ind w:left="0" w:right="0"/>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w w:val="95"/>
                <w:sz w:val="36"/>
                <w:szCs w:val="36"/>
                <w:highlight w:val="none"/>
                <w:lang w:val="en-US" w:eastAsia="zh-CN"/>
              </w:rPr>
              <w:t>2025</w:t>
            </w:r>
            <w:r>
              <w:rPr>
                <w:rFonts w:hint="eastAsia" w:ascii="仿宋" w:hAnsi="仿宋" w:eastAsia="仿宋" w:cs="仿宋"/>
                <w:b/>
                <w:bCs/>
                <w:color w:val="auto"/>
                <w:w w:val="95"/>
                <w:sz w:val="36"/>
                <w:szCs w:val="36"/>
                <w:highlight w:val="none"/>
              </w:rPr>
              <w:t>年</w:t>
            </w:r>
            <w:r>
              <w:rPr>
                <w:rFonts w:hint="eastAsia" w:ascii="仿宋" w:hAnsi="仿宋" w:eastAsia="仿宋" w:cs="仿宋"/>
                <w:b/>
                <w:bCs/>
                <w:color w:val="auto"/>
                <w:w w:val="95"/>
                <w:sz w:val="36"/>
                <w:szCs w:val="36"/>
                <w:highlight w:val="none"/>
                <w:lang w:val="en-US" w:eastAsia="zh-CN"/>
              </w:rPr>
              <w:t>7</w:t>
            </w:r>
            <w:r>
              <w:rPr>
                <w:rFonts w:hint="eastAsia" w:ascii="仿宋" w:hAnsi="仿宋" w:eastAsia="仿宋" w:cs="仿宋"/>
                <w:b/>
                <w:bCs/>
                <w:color w:val="auto"/>
                <w:w w:val="95"/>
                <w:sz w:val="36"/>
                <w:szCs w:val="36"/>
                <w:highlight w:val="none"/>
              </w:rPr>
              <w:t>月</w:t>
            </w:r>
            <w:r>
              <w:rPr>
                <w:rFonts w:hint="eastAsia" w:ascii="仿宋" w:hAnsi="仿宋" w:eastAsia="仿宋" w:cs="仿宋"/>
                <w:b/>
                <w:bCs/>
                <w:color w:val="auto"/>
                <w:w w:val="95"/>
                <w:sz w:val="36"/>
                <w:szCs w:val="36"/>
                <w:highlight w:val="none"/>
                <w:lang w:val="en-US" w:eastAsia="zh-CN"/>
              </w:rPr>
              <w:t>11日</w:t>
            </w:r>
          </w:p>
        </w:tc>
      </w:tr>
    </w:tbl>
    <w:p w14:paraId="7181FC44">
      <w:pPr>
        <w:keepNext w:val="0"/>
        <w:keepLines w:val="0"/>
        <w:wordWrap w:val="0"/>
        <w:topLinePunct/>
        <w:spacing w:line="360" w:lineRule="auto"/>
        <w:rPr>
          <w:rFonts w:hint="eastAsia" w:ascii="仿宋" w:hAnsi="仿宋" w:eastAsia="仿宋" w:cs="仿宋"/>
          <w:highlight w:val="none"/>
        </w:rPr>
      </w:pPr>
    </w:p>
    <w:p w14:paraId="4F110550">
      <w:pPr>
        <w:keepNext w:val="0"/>
        <w:keepLines w:val="0"/>
        <w:wordWrap w:val="0"/>
        <w:topLinePunct/>
        <w:spacing w:line="360" w:lineRule="auto"/>
        <w:jc w:val="center"/>
        <w:rPr>
          <w:rFonts w:hint="eastAsia" w:ascii="仿宋" w:hAnsi="仿宋" w:eastAsia="仿宋" w:cs="仿宋"/>
          <w:b/>
          <w:sz w:val="56"/>
          <w:szCs w:val="56"/>
          <w:highlight w:val="none"/>
        </w:rPr>
      </w:pPr>
    </w:p>
    <w:p w14:paraId="254880E3">
      <w:pPr>
        <w:pStyle w:val="21"/>
        <w:keepNext w:val="0"/>
        <w:keepLines w:val="0"/>
        <w:wordWrap w:val="0"/>
        <w:topLinePunct/>
        <w:ind w:firstLine="241"/>
        <w:rPr>
          <w:rFonts w:hint="eastAsia" w:ascii="仿宋" w:hAnsi="仿宋" w:eastAsia="仿宋" w:cs="仿宋"/>
          <w:highlight w:val="none"/>
        </w:rPr>
      </w:pPr>
    </w:p>
    <w:p w14:paraId="06AC6D00">
      <w:pPr>
        <w:pStyle w:val="21"/>
        <w:keepNext w:val="0"/>
        <w:keepLines w:val="0"/>
        <w:wordWrap w:val="0"/>
        <w:topLinePunct/>
        <w:ind w:firstLine="241"/>
        <w:rPr>
          <w:rFonts w:hint="eastAsia" w:ascii="仿宋" w:hAnsi="仿宋" w:eastAsia="仿宋" w:cs="仿宋"/>
          <w:highlight w:val="none"/>
        </w:rPr>
      </w:pPr>
    </w:p>
    <w:p w14:paraId="49304948">
      <w:pPr>
        <w:rPr>
          <w:rFonts w:hint="eastAsia" w:ascii="仿宋" w:hAnsi="仿宋" w:eastAsia="仿宋" w:cs="仿宋"/>
          <w:b w:val="0"/>
          <w:color w:val="2F5496"/>
          <w:sz w:val="32"/>
          <w:highlight w:val="none"/>
        </w:rPr>
      </w:pPr>
    </w:p>
    <w:p w14:paraId="44F4E359">
      <w:pPr>
        <w:pStyle w:val="33"/>
        <w:rPr>
          <w:rFonts w:hint="eastAsia" w:ascii="仿宋" w:hAnsi="仿宋" w:eastAsia="仿宋" w:cs="仿宋"/>
          <w:b w:val="0"/>
          <w:color w:val="2F5496"/>
          <w:sz w:val="32"/>
          <w:highlight w:val="none"/>
        </w:rPr>
      </w:pPr>
    </w:p>
    <w:p w14:paraId="114B8012">
      <w:pPr>
        <w:rPr>
          <w:rFonts w:hint="eastAsia" w:ascii="仿宋" w:hAnsi="仿宋" w:eastAsia="仿宋" w:cs="仿宋"/>
          <w:b w:val="0"/>
          <w:sz w:val="21"/>
          <w:highlight w:val="none"/>
        </w:rPr>
      </w:pPr>
    </w:p>
    <w:p w14:paraId="3716A7C7">
      <w:pPr>
        <w:rPr>
          <w:rFonts w:hint="eastAsia" w:ascii="仿宋" w:hAnsi="仿宋" w:eastAsia="仿宋" w:cs="仿宋"/>
          <w:b/>
          <w:bCs/>
          <w:w w:val="95"/>
          <w:sz w:val="36"/>
          <w:szCs w:val="36"/>
          <w:highlight w:val="none"/>
        </w:rPr>
      </w:pPr>
    </w:p>
    <w:p w14:paraId="722B3A1A">
      <w:pPr>
        <w:jc w:val="center"/>
        <w:rPr>
          <w:rFonts w:hint="eastAsia" w:ascii="仿宋" w:hAnsi="仿宋" w:eastAsia="仿宋" w:cs="仿宋"/>
          <w:b/>
          <w:bCs/>
          <w:w w:val="95"/>
          <w:sz w:val="36"/>
          <w:szCs w:val="36"/>
          <w:highlight w:val="none"/>
        </w:rPr>
        <w:sectPr>
          <w:headerReference r:id="rId3" w:type="default"/>
          <w:footerReference r:id="rId4" w:type="default"/>
          <w:pgSz w:w="11850" w:h="16783"/>
          <w:pgMar w:top="907" w:right="1247" w:bottom="907" w:left="1247" w:header="510" w:footer="510" w:gutter="0"/>
          <w:pgNumType w:fmt="decimal"/>
          <w:cols w:space="720" w:num="1"/>
          <w:docGrid w:linePitch="286" w:charSpace="0"/>
        </w:sectPr>
      </w:pPr>
    </w:p>
    <w:p w14:paraId="6ABE84A5">
      <w:pPr>
        <w:jc w:val="center"/>
        <w:rPr>
          <w:rFonts w:hint="eastAsia" w:ascii="仿宋" w:hAnsi="仿宋" w:eastAsia="仿宋" w:cs="仿宋"/>
          <w:b/>
          <w:bCs/>
          <w:w w:val="95"/>
          <w:sz w:val="36"/>
          <w:szCs w:val="36"/>
          <w:highlight w:val="none"/>
        </w:rPr>
      </w:pPr>
    </w:p>
    <w:p w14:paraId="33471B17">
      <w:pPr>
        <w:jc w:val="center"/>
        <w:rPr>
          <w:rFonts w:hint="eastAsia" w:ascii="仿宋" w:hAnsi="仿宋" w:eastAsia="仿宋" w:cs="仿宋"/>
          <w:b/>
          <w:bCs/>
          <w:w w:val="95"/>
          <w:sz w:val="36"/>
          <w:szCs w:val="36"/>
          <w:highlight w:val="none"/>
        </w:rPr>
      </w:pPr>
    </w:p>
    <w:p w14:paraId="551BACF7">
      <w:pPr>
        <w:jc w:val="center"/>
        <w:rPr>
          <w:rFonts w:hint="eastAsia" w:ascii="仿宋" w:hAnsi="仿宋" w:eastAsia="仿宋" w:cs="仿宋"/>
          <w:b/>
          <w:bCs/>
          <w:w w:val="95"/>
          <w:sz w:val="36"/>
          <w:szCs w:val="36"/>
          <w:highlight w:val="none"/>
        </w:rPr>
      </w:pPr>
      <w:r>
        <w:rPr>
          <w:rFonts w:hint="eastAsia" w:ascii="仿宋" w:hAnsi="仿宋" w:eastAsia="仿宋" w:cs="仿宋"/>
          <w:b/>
          <w:bCs/>
          <w:w w:val="95"/>
          <w:sz w:val="36"/>
          <w:szCs w:val="36"/>
          <w:highlight w:val="none"/>
        </w:rPr>
        <w:t>目</w:t>
      </w:r>
      <w:r>
        <w:rPr>
          <w:rFonts w:hint="eastAsia" w:ascii="仿宋" w:hAnsi="仿宋" w:eastAsia="仿宋" w:cs="仿宋"/>
          <w:b/>
          <w:bCs/>
          <w:w w:val="95"/>
          <w:sz w:val="36"/>
          <w:szCs w:val="36"/>
          <w:highlight w:val="none"/>
          <w:lang w:val="en-US" w:eastAsia="zh-CN"/>
        </w:rPr>
        <w:t xml:space="preserve">  </w:t>
      </w:r>
      <w:r>
        <w:rPr>
          <w:rFonts w:hint="eastAsia" w:ascii="仿宋" w:hAnsi="仿宋" w:eastAsia="仿宋" w:cs="仿宋"/>
          <w:b/>
          <w:bCs/>
          <w:w w:val="95"/>
          <w:sz w:val="36"/>
          <w:szCs w:val="36"/>
          <w:highlight w:val="none"/>
        </w:rPr>
        <w:t>录</w:t>
      </w:r>
    </w:p>
    <w:p w14:paraId="68FEA14D">
      <w:pPr>
        <w:keepNext w:val="0"/>
        <w:keepLines w:val="0"/>
        <w:wordWrap w:val="0"/>
        <w:topLinePunct/>
        <w:spacing w:line="360" w:lineRule="auto"/>
        <w:jc w:val="center"/>
        <w:rPr>
          <w:rFonts w:hint="eastAsia" w:ascii="仿宋" w:hAnsi="仿宋" w:eastAsia="仿宋" w:cs="仿宋"/>
          <w:highlight w:val="none"/>
          <w:lang w:val="zh-CN"/>
        </w:rPr>
      </w:pPr>
    </w:p>
    <w:p w14:paraId="4E8CD3DF">
      <w:pPr>
        <w:pStyle w:val="33"/>
        <w:keepNext w:val="0"/>
        <w:keepLines w:val="0"/>
        <w:tabs>
          <w:tab w:val="clear" w:pos="840"/>
          <w:tab w:val="clear" w:pos="8296"/>
        </w:tabs>
        <w:wordWrap w:val="0"/>
        <w:topLinePunct/>
        <w:spacing w:line="360" w:lineRule="auto"/>
        <w:jc w:val="center"/>
        <w:rPr>
          <w:rFonts w:hint="eastAsia" w:ascii="仿宋" w:hAnsi="仿宋" w:eastAsia="仿宋" w:cs="仿宋"/>
          <w:sz w:val="28"/>
          <w:szCs w:val="28"/>
          <w:highlight w:val="none"/>
        </w:rPr>
      </w:pPr>
    </w:p>
    <w:p w14:paraId="7E4FE526">
      <w:pPr>
        <w:pStyle w:val="33"/>
        <w:tabs>
          <w:tab w:val="right" w:leader="dot" w:pos="9356"/>
          <w:tab w:val="clear" w:pos="840"/>
          <w:tab w:val="clear" w:pos="8296"/>
        </w:tabs>
        <w:spacing w:line="480" w:lineRule="auto"/>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\h \z \t "dyibufen,1"</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_Toc14646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招标公告</w:t>
      </w:r>
      <w:r>
        <w:rPr>
          <w:sz w:val="28"/>
          <w:szCs w:val="28"/>
          <w:highlight w:val="none"/>
        </w:rPr>
        <w:tab/>
      </w:r>
      <w:r>
        <w:rPr>
          <w:sz w:val="28"/>
          <w:szCs w:val="28"/>
          <w:highlight w:val="none"/>
        </w:rPr>
        <w:fldChar w:fldCharType="begin"/>
      </w:r>
      <w:r>
        <w:rPr>
          <w:sz w:val="28"/>
          <w:szCs w:val="28"/>
          <w:highlight w:val="none"/>
        </w:rPr>
        <w:instrText xml:space="preserve"> PAGEREF _Toc14646 \h </w:instrText>
      </w:r>
      <w:r>
        <w:rPr>
          <w:sz w:val="28"/>
          <w:szCs w:val="28"/>
          <w:highlight w:val="none"/>
        </w:rPr>
        <w:fldChar w:fldCharType="separate"/>
      </w:r>
      <w:r>
        <w:rPr>
          <w:sz w:val="28"/>
          <w:szCs w:val="28"/>
          <w:highlight w:val="none"/>
        </w:rPr>
        <w:t>3</w:t>
      </w:r>
      <w:r>
        <w:rPr>
          <w:sz w:val="28"/>
          <w:szCs w:val="28"/>
          <w:highlight w:val="none"/>
        </w:rPr>
        <w:fldChar w:fldCharType="end"/>
      </w:r>
      <w:r>
        <w:rPr>
          <w:rFonts w:hint="eastAsia" w:ascii="仿宋" w:hAnsi="仿宋" w:eastAsia="仿宋" w:cs="仿宋"/>
          <w:sz w:val="28"/>
          <w:szCs w:val="28"/>
          <w:highlight w:val="none"/>
        </w:rPr>
        <w:fldChar w:fldCharType="end"/>
      </w:r>
    </w:p>
    <w:p w14:paraId="3CAD39D5">
      <w:pPr>
        <w:pStyle w:val="33"/>
        <w:tabs>
          <w:tab w:val="right" w:leader="dot" w:pos="9356"/>
          <w:tab w:val="clear" w:pos="840"/>
          <w:tab w:val="clear" w:pos="8296"/>
        </w:tabs>
        <w:spacing w:line="480" w:lineRule="auto"/>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_Toc18629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投标人须知</w:t>
      </w:r>
      <w:r>
        <w:rPr>
          <w:sz w:val="28"/>
          <w:szCs w:val="28"/>
          <w:highlight w:val="none"/>
        </w:rPr>
        <w:tab/>
      </w:r>
      <w:r>
        <w:rPr>
          <w:sz w:val="28"/>
          <w:szCs w:val="28"/>
          <w:highlight w:val="none"/>
        </w:rPr>
        <w:fldChar w:fldCharType="begin"/>
      </w:r>
      <w:r>
        <w:rPr>
          <w:sz w:val="28"/>
          <w:szCs w:val="28"/>
          <w:highlight w:val="none"/>
        </w:rPr>
        <w:instrText xml:space="preserve"> PAGEREF _Toc18629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仿宋" w:hAnsi="仿宋" w:eastAsia="仿宋" w:cs="仿宋"/>
          <w:sz w:val="28"/>
          <w:szCs w:val="28"/>
          <w:highlight w:val="none"/>
        </w:rPr>
        <w:fldChar w:fldCharType="end"/>
      </w:r>
    </w:p>
    <w:p w14:paraId="7A21ED74">
      <w:pPr>
        <w:pStyle w:val="33"/>
        <w:tabs>
          <w:tab w:val="right" w:leader="dot" w:pos="9356"/>
          <w:tab w:val="clear" w:pos="840"/>
          <w:tab w:val="clear" w:pos="8296"/>
        </w:tabs>
        <w:spacing w:line="480" w:lineRule="auto"/>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_Toc30563 </w:instrText>
      </w:r>
      <w:r>
        <w:rPr>
          <w:rFonts w:hint="eastAsia" w:ascii="仿宋" w:hAnsi="仿宋" w:eastAsia="仿宋" w:cs="仿宋"/>
          <w:sz w:val="28"/>
          <w:szCs w:val="28"/>
          <w:highlight w:val="none"/>
        </w:rPr>
        <w:fldChar w:fldCharType="separate"/>
      </w:r>
      <w:r>
        <w:rPr>
          <w:rFonts w:hint="eastAsia" w:ascii="仿宋" w:hAnsi="仿宋" w:eastAsia="仿宋" w:cs="仿宋"/>
          <w:bCs w:val="0"/>
          <w:sz w:val="28"/>
          <w:szCs w:val="28"/>
          <w:highlight w:val="none"/>
          <w:lang w:val="en-US"/>
        </w:rPr>
        <w:t>第三部分</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lang w:val="en-US"/>
        </w:rPr>
        <w:t>采购需求和技术要求</w:t>
      </w:r>
      <w:r>
        <w:rPr>
          <w:sz w:val="28"/>
          <w:szCs w:val="28"/>
          <w:highlight w:val="none"/>
        </w:rPr>
        <w:tab/>
      </w:r>
      <w:r>
        <w:rPr>
          <w:sz w:val="28"/>
          <w:szCs w:val="28"/>
          <w:highlight w:val="none"/>
        </w:rPr>
        <w:fldChar w:fldCharType="begin"/>
      </w:r>
      <w:r>
        <w:rPr>
          <w:sz w:val="28"/>
          <w:szCs w:val="28"/>
          <w:highlight w:val="none"/>
        </w:rPr>
        <w:instrText xml:space="preserve"> PAGEREF _Toc30563 \h </w:instrText>
      </w:r>
      <w:r>
        <w:rPr>
          <w:sz w:val="28"/>
          <w:szCs w:val="28"/>
          <w:highlight w:val="none"/>
        </w:rPr>
        <w:fldChar w:fldCharType="separate"/>
      </w:r>
      <w:r>
        <w:rPr>
          <w:sz w:val="28"/>
          <w:szCs w:val="28"/>
          <w:highlight w:val="none"/>
        </w:rPr>
        <w:t>22</w:t>
      </w:r>
      <w:r>
        <w:rPr>
          <w:sz w:val="28"/>
          <w:szCs w:val="28"/>
          <w:highlight w:val="none"/>
        </w:rPr>
        <w:fldChar w:fldCharType="end"/>
      </w:r>
      <w:r>
        <w:rPr>
          <w:rFonts w:hint="eastAsia" w:ascii="仿宋" w:hAnsi="仿宋" w:eastAsia="仿宋" w:cs="仿宋"/>
          <w:sz w:val="28"/>
          <w:szCs w:val="28"/>
          <w:highlight w:val="none"/>
        </w:rPr>
        <w:fldChar w:fldCharType="end"/>
      </w:r>
    </w:p>
    <w:p w14:paraId="293A3EED">
      <w:pPr>
        <w:pStyle w:val="33"/>
        <w:tabs>
          <w:tab w:val="right" w:leader="dot" w:pos="9356"/>
          <w:tab w:val="clear" w:pos="840"/>
          <w:tab w:val="clear" w:pos="8296"/>
        </w:tabs>
        <w:spacing w:line="480" w:lineRule="auto"/>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_Toc32345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合同条款</w:t>
      </w:r>
      <w:r>
        <w:rPr>
          <w:sz w:val="28"/>
          <w:szCs w:val="28"/>
          <w:highlight w:val="none"/>
        </w:rPr>
        <w:tab/>
      </w:r>
      <w:r>
        <w:rPr>
          <w:sz w:val="28"/>
          <w:szCs w:val="28"/>
          <w:highlight w:val="none"/>
        </w:rPr>
        <w:fldChar w:fldCharType="begin"/>
      </w:r>
      <w:r>
        <w:rPr>
          <w:sz w:val="28"/>
          <w:szCs w:val="28"/>
          <w:highlight w:val="none"/>
        </w:rPr>
        <w:instrText xml:space="preserve"> PAGEREF _Toc32345 \h </w:instrText>
      </w:r>
      <w:r>
        <w:rPr>
          <w:sz w:val="28"/>
          <w:szCs w:val="28"/>
          <w:highlight w:val="none"/>
        </w:rPr>
        <w:fldChar w:fldCharType="separate"/>
      </w:r>
      <w:r>
        <w:rPr>
          <w:sz w:val="28"/>
          <w:szCs w:val="28"/>
          <w:highlight w:val="none"/>
        </w:rPr>
        <w:t>34</w:t>
      </w:r>
      <w:r>
        <w:rPr>
          <w:sz w:val="28"/>
          <w:szCs w:val="28"/>
          <w:highlight w:val="none"/>
        </w:rPr>
        <w:fldChar w:fldCharType="end"/>
      </w:r>
      <w:r>
        <w:rPr>
          <w:rFonts w:hint="eastAsia" w:ascii="仿宋" w:hAnsi="仿宋" w:eastAsia="仿宋" w:cs="仿宋"/>
          <w:sz w:val="28"/>
          <w:szCs w:val="28"/>
          <w:highlight w:val="none"/>
        </w:rPr>
        <w:fldChar w:fldCharType="end"/>
      </w:r>
    </w:p>
    <w:p w14:paraId="7FF44FB8">
      <w:pPr>
        <w:pStyle w:val="33"/>
        <w:tabs>
          <w:tab w:val="right" w:leader="dot" w:pos="9356"/>
          <w:tab w:val="clear" w:pos="840"/>
          <w:tab w:val="clear" w:pos="8296"/>
        </w:tabs>
        <w:spacing w:line="480" w:lineRule="auto"/>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_Toc28920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第五部分</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投标文件格式</w:t>
      </w:r>
      <w:r>
        <w:rPr>
          <w:sz w:val="28"/>
          <w:szCs w:val="28"/>
          <w:highlight w:val="none"/>
        </w:rPr>
        <w:tab/>
      </w:r>
      <w:r>
        <w:rPr>
          <w:sz w:val="28"/>
          <w:szCs w:val="28"/>
          <w:highlight w:val="none"/>
        </w:rPr>
        <w:fldChar w:fldCharType="begin"/>
      </w:r>
      <w:r>
        <w:rPr>
          <w:sz w:val="28"/>
          <w:szCs w:val="28"/>
          <w:highlight w:val="none"/>
        </w:rPr>
        <w:instrText xml:space="preserve"> PAGEREF _Toc28920 \h </w:instrText>
      </w:r>
      <w:r>
        <w:rPr>
          <w:sz w:val="28"/>
          <w:szCs w:val="28"/>
          <w:highlight w:val="none"/>
        </w:rPr>
        <w:fldChar w:fldCharType="separate"/>
      </w:r>
      <w:r>
        <w:rPr>
          <w:sz w:val="28"/>
          <w:szCs w:val="28"/>
          <w:highlight w:val="none"/>
        </w:rPr>
        <w:t>48</w:t>
      </w:r>
      <w:r>
        <w:rPr>
          <w:sz w:val="28"/>
          <w:szCs w:val="28"/>
          <w:highlight w:val="none"/>
        </w:rPr>
        <w:fldChar w:fldCharType="end"/>
      </w:r>
      <w:r>
        <w:rPr>
          <w:rFonts w:hint="eastAsia" w:ascii="仿宋" w:hAnsi="仿宋" w:eastAsia="仿宋" w:cs="仿宋"/>
          <w:sz w:val="28"/>
          <w:szCs w:val="28"/>
          <w:highlight w:val="none"/>
        </w:rPr>
        <w:fldChar w:fldCharType="end"/>
      </w:r>
    </w:p>
    <w:p w14:paraId="75699025">
      <w:pPr>
        <w:pStyle w:val="33"/>
        <w:tabs>
          <w:tab w:val="right" w:leader="dot" w:pos="9356"/>
          <w:tab w:val="clear" w:pos="840"/>
          <w:tab w:val="clear" w:pos="8296"/>
        </w:tabs>
        <w:spacing w:line="480" w:lineRule="auto"/>
        <w:rPr>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_Toc709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第六部分</w:t>
      </w:r>
      <w:r>
        <w:rPr>
          <w:rFonts w:hint="eastAsia" w:ascii="仿宋" w:hAnsi="仿宋" w:eastAsia="仿宋" w:cs="仿宋"/>
          <w:sz w:val="28"/>
          <w:szCs w:val="28"/>
          <w:highlight w:val="none"/>
          <w:lang w:val="en-US" w:eastAsia="zh-CN"/>
        </w:rPr>
        <w:t xml:space="preserve">  评审办法</w:t>
      </w:r>
      <w:r>
        <w:rPr>
          <w:sz w:val="28"/>
          <w:szCs w:val="28"/>
          <w:highlight w:val="none"/>
        </w:rPr>
        <w:tab/>
      </w:r>
      <w:r>
        <w:rPr>
          <w:sz w:val="28"/>
          <w:szCs w:val="28"/>
          <w:highlight w:val="none"/>
        </w:rPr>
        <w:fldChar w:fldCharType="begin"/>
      </w:r>
      <w:r>
        <w:rPr>
          <w:sz w:val="28"/>
          <w:szCs w:val="28"/>
          <w:highlight w:val="none"/>
        </w:rPr>
        <w:instrText xml:space="preserve"> PAGEREF _Toc709 \h </w:instrText>
      </w:r>
      <w:r>
        <w:rPr>
          <w:sz w:val="28"/>
          <w:szCs w:val="28"/>
          <w:highlight w:val="none"/>
        </w:rPr>
        <w:fldChar w:fldCharType="separate"/>
      </w:r>
      <w:r>
        <w:rPr>
          <w:sz w:val="28"/>
          <w:szCs w:val="28"/>
          <w:highlight w:val="none"/>
        </w:rPr>
        <w:t>65</w:t>
      </w:r>
      <w:r>
        <w:rPr>
          <w:sz w:val="28"/>
          <w:szCs w:val="28"/>
          <w:highlight w:val="none"/>
        </w:rPr>
        <w:fldChar w:fldCharType="end"/>
      </w:r>
      <w:r>
        <w:rPr>
          <w:rFonts w:hint="eastAsia" w:ascii="仿宋" w:hAnsi="仿宋" w:eastAsia="仿宋" w:cs="仿宋"/>
          <w:sz w:val="28"/>
          <w:szCs w:val="28"/>
          <w:highlight w:val="none"/>
        </w:rPr>
        <w:fldChar w:fldCharType="end"/>
      </w:r>
    </w:p>
    <w:p w14:paraId="0AECFE39">
      <w:pPr>
        <w:keepNext w:val="0"/>
        <w:keepLines w:val="0"/>
        <w:wordWrap w:val="0"/>
        <w:topLinePunct/>
        <w:spacing w:line="480" w:lineRule="auto"/>
        <w:rPr>
          <w:rFonts w:hint="default" w:ascii="仿宋" w:hAnsi="仿宋" w:eastAsia="仿宋" w:cs="仿宋"/>
          <w:sz w:val="28"/>
          <w:szCs w:val="28"/>
          <w:highlight w:val="none"/>
          <w:lang w:val="en-US" w:eastAsia="zh-CN"/>
        </w:rPr>
        <w:sectPr>
          <w:pgSz w:w="11850" w:h="16783"/>
          <w:pgMar w:top="907" w:right="1247" w:bottom="907" w:left="1247" w:header="510" w:footer="510" w:gutter="0"/>
          <w:pgNumType w:fmt="decimal"/>
          <w:cols w:space="720" w:num="1"/>
          <w:docGrid w:linePitch="286" w:charSpace="0"/>
        </w:sectPr>
      </w:pP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附：场地平面图</w:t>
      </w:r>
    </w:p>
    <w:p w14:paraId="7A0CF040">
      <w:pPr>
        <w:pStyle w:val="181"/>
        <w:keepNext w:val="0"/>
        <w:keepLines w:val="0"/>
        <w:wordWrap w:val="0"/>
        <w:topLinePunct/>
        <w:rPr>
          <w:rFonts w:hint="eastAsia" w:ascii="仿宋" w:hAnsi="仿宋" w:eastAsia="仿宋" w:cs="仿宋"/>
          <w:color w:val="auto"/>
          <w:highlight w:val="none"/>
          <w:lang w:eastAsia="zh-CN"/>
        </w:rPr>
      </w:pPr>
      <w:bookmarkStart w:id="1" w:name="_Toc28071"/>
      <w:bookmarkStart w:id="2" w:name="_Toc14646"/>
      <w:bookmarkStart w:id="3" w:name="_Toc15381"/>
      <w:bookmarkStart w:id="4" w:name="_Toc3535"/>
      <w:bookmarkStart w:id="5" w:name="_Toc12112"/>
      <w:r>
        <w:rPr>
          <w:rFonts w:hint="eastAsia" w:ascii="仿宋" w:hAnsi="仿宋" w:eastAsia="仿宋" w:cs="仿宋"/>
          <w:color w:val="auto"/>
          <w:highlight w:val="none"/>
        </w:rPr>
        <w:t>第一部分</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招标公告</w:t>
      </w:r>
      <w:bookmarkEnd w:id="1"/>
      <w:bookmarkEnd w:id="2"/>
      <w:bookmarkEnd w:id="3"/>
      <w:bookmarkEnd w:id="4"/>
      <w:bookmarkEnd w:id="5"/>
    </w:p>
    <w:p w14:paraId="13164D77">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杭州贯今工程咨询有限公司受</w:t>
      </w:r>
      <w:r>
        <w:rPr>
          <w:rFonts w:hint="eastAsia" w:ascii="仿宋" w:hAnsi="仿宋" w:eastAsia="仿宋" w:cs="仿宋"/>
          <w:sz w:val="24"/>
          <w:szCs w:val="24"/>
          <w:highlight w:val="none"/>
          <w:lang w:eastAsia="zh-CN"/>
        </w:rPr>
        <w:t>新昌县城市建设投资集团有限公司</w:t>
      </w:r>
      <w:r>
        <w:rPr>
          <w:rFonts w:hint="eastAsia" w:ascii="仿宋" w:hAnsi="仿宋" w:eastAsia="仿宋" w:cs="仿宋"/>
          <w:sz w:val="24"/>
          <w:szCs w:val="24"/>
          <w:highlight w:val="none"/>
        </w:rPr>
        <w:t>委托，就</w:t>
      </w:r>
      <w:r>
        <w:rPr>
          <w:rFonts w:hint="eastAsia" w:ascii="仿宋" w:hAnsi="仿宋" w:eastAsia="仿宋" w:cs="仿宋"/>
          <w:sz w:val="24"/>
          <w:szCs w:val="24"/>
          <w:highlight w:val="none"/>
          <w:u w:val="single"/>
          <w:lang w:eastAsia="zh-CN"/>
        </w:rPr>
        <w:t>新昌县人民医院迁建工程-窗帘采购项目</w:t>
      </w:r>
      <w:r>
        <w:rPr>
          <w:rFonts w:hint="eastAsia" w:ascii="仿宋" w:hAnsi="仿宋" w:eastAsia="仿宋" w:cs="仿宋"/>
          <w:sz w:val="24"/>
          <w:szCs w:val="24"/>
          <w:highlight w:val="none"/>
        </w:rPr>
        <w:t>进行公开招标，欢迎符合资格条件的单位前</w:t>
      </w:r>
      <w:bookmarkStart w:id="6" w:name="_Toc15995"/>
      <w:r>
        <w:rPr>
          <w:rFonts w:hint="eastAsia" w:ascii="仿宋" w:hAnsi="仿宋" w:eastAsia="仿宋" w:cs="仿宋"/>
          <w:sz w:val="24"/>
          <w:szCs w:val="24"/>
          <w:highlight w:val="none"/>
        </w:rPr>
        <w:t>来报名并获取招标文件。</w:t>
      </w:r>
      <w:bookmarkEnd w:id="6"/>
      <w:r>
        <w:rPr>
          <w:rFonts w:hint="eastAsia" w:ascii="仿宋" w:hAnsi="仿宋" w:eastAsia="仿宋" w:cs="仿宋"/>
          <w:color w:val="auto"/>
          <w:sz w:val="24"/>
          <w:szCs w:val="24"/>
          <w:highlight w:val="none"/>
        </w:rPr>
        <w:t>潜在供应商应在</w:t>
      </w:r>
      <w:r>
        <w:rPr>
          <w:rFonts w:hint="eastAsia" w:ascii="仿宋" w:hAnsi="仿宋" w:eastAsia="仿宋" w:cs="仿宋"/>
          <w:color w:val="auto"/>
          <w:sz w:val="24"/>
          <w:szCs w:val="24"/>
          <w:highlight w:val="none"/>
          <w:lang w:eastAsia="zh-CN"/>
        </w:rPr>
        <w:t>乐采云平台(www.lecaiyun.com)线上</w:t>
      </w:r>
      <w:r>
        <w:rPr>
          <w:rFonts w:hint="eastAsia" w:ascii="仿宋" w:hAnsi="仿宋" w:eastAsia="仿宋" w:cs="仿宋"/>
          <w:color w:val="auto"/>
          <w:sz w:val="24"/>
          <w:szCs w:val="24"/>
          <w:highlight w:val="none"/>
        </w:rPr>
        <w:t>获取（下载）</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文件。本项目为非政府采购项目。</w:t>
      </w:r>
    </w:p>
    <w:p w14:paraId="0C06923B">
      <w:pPr>
        <w:keepNext w:val="0"/>
        <w:keepLines w:val="0"/>
        <w:pageBreakBefore w:val="0"/>
        <w:numPr>
          <w:ilvl w:val="0"/>
          <w:numId w:val="0"/>
        </w:numPr>
        <w:kinsoku/>
        <w:wordWrap w:val="0"/>
        <w:overflowPunct/>
        <w:topLinePunct/>
        <w:autoSpaceDN/>
        <w:bidi w:val="0"/>
        <w:spacing w:line="360" w:lineRule="auto"/>
        <w:ind w:firstLine="482" w:firstLineChars="200"/>
        <w:textAlignment w:val="auto"/>
        <w:rPr>
          <w:rFonts w:hint="eastAsia" w:ascii="仿宋" w:hAnsi="仿宋" w:eastAsia="仿宋" w:cs="仿宋"/>
          <w:b/>
          <w:bCs/>
          <w:color w:val="auto"/>
          <w:sz w:val="24"/>
          <w:szCs w:val="24"/>
          <w:highlight w:val="none"/>
        </w:rPr>
      </w:pPr>
      <w:bookmarkStart w:id="7" w:name="_Toc16227"/>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szCs w:val="24"/>
          <w:highlight w:val="none"/>
        </w:rPr>
        <w:t>项目编号:</w:t>
      </w:r>
      <w:bookmarkEnd w:id="7"/>
      <w:r>
        <w:rPr>
          <w:rFonts w:hint="eastAsia" w:ascii="仿宋" w:hAnsi="仿宋" w:eastAsia="仿宋" w:cs="仿宋"/>
          <w:color w:val="auto"/>
          <w:sz w:val="24"/>
          <w:szCs w:val="24"/>
          <w:highlight w:val="none"/>
          <w:lang w:eastAsia="zh-CN"/>
        </w:rPr>
        <w:t>GJXC-2025-24</w:t>
      </w:r>
    </w:p>
    <w:p w14:paraId="1972A3DB">
      <w:pPr>
        <w:keepNext w:val="0"/>
        <w:keepLines w:val="0"/>
        <w:pageBreakBefore w:val="0"/>
        <w:numPr>
          <w:ilvl w:val="0"/>
          <w:numId w:val="0"/>
        </w:numPr>
        <w:kinsoku/>
        <w:wordWrap w:val="0"/>
        <w:overflowPunct/>
        <w:topLinePunct/>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二、</w:t>
      </w:r>
      <w:r>
        <w:rPr>
          <w:rFonts w:hint="eastAsia" w:ascii="仿宋" w:hAnsi="仿宋" w:eastAsia="仿宋" w:cs="仿宋"/>
          <w:b/>
          <w:bCs/>
          <w:color w:val="auto"/>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新昌县人民医院迁建工程-窗帘采购项目</w:t>
      </w:r>
    </w:p>
    <w:p w14:paraId="66DD1C40">
      <w:pPr>
        <w:keepNext w:val="0"/>
        <w:keepLines w:val="0"/>
        <w:pageBreakBefore w:val="0"/>
        <w:kinsoku/>
        <w:wordWrap w:val="0"/>
        <w:overflowPunct/>
        <w:topLinePunct/>
        <w:autoSpaceDN/>
        <w:bidi w:val="0"/>
        <w:spacing w:line="360" w:lineRule="auto"/>
        <w:ind w:firstLine="482" w:firstLineChars="200"/>
        <w:textAlignment w:val="auto"/>
        <w:rPr>
          <w:rFonts w:hint="eastAsia" w:ascii="仿宋" w:hAnsi="仿宋" w:eastAsia="仿宋" w:cs="仿宋"/>
          <w:b/>
          <w:bCs/>
          <w:color w:val="auto"/>
          <w:sz w:val="24"/>
          <w:szCs w:val="24"/>
          <w:highlight w:val="none"/>
        </w:rPr>
      </w:pPr>
      <w:bookmarkStart w:id="8" w:name="_Toc25061"/>
      <w:r>
        <w:rPr>
          <w:rFonts w:hint="eastAsia" w:ascii="仿宋" w:hAnsi="仿宋" w:eastAsia="仿宋" w:cs="仿宋"/>
          <w:b/>
          <w:bCs/>
          <w:color w:val="auto"/>
          <w:sz w:val="24"/>
          <w:szCs w:val="24"/>
          <w:highlight w:val="none"/>
        </w:rPr>
        <w:t>三、招标范围</w:t>
      </w:r>
      <w:bookmarkEnd w:id="8"/>
    </w:p>
    <w:p w14:paraId="51DD62D6">
      <w:pPr>
        <w:keepNext w:val="0"/>
        <w:keepLines w:val="0"/>
        <w:pageBreakBefore w:val="0"/>
        <w:kinsoku/>
        <w:overflowPunct/>
        <w:autoSpaceDE w:val="0"/>
        <w:autoSpaceDN/>
        <w:bidi w:val="0"/>
        <w:adjustRightInd/>
        <w:snapToGrid w:val="0"/>
        <w:spacing w:line="360" w:lineRule="auto"/>
        <w:ind w:firstLine="480" w:firstLineChars="200"/>
        <w:textAlignment w:val="auto"/>
        <w:outlineLvl w:val="0"/>
        <w:rPr>
          <w:rFonts w:hint="eastAsia" w:ascii="仿宋" w:hAnsi="仿宋" w:eastAsia="仿宋" w:cs="仿宋"/>
          <w:color w:val="auto"/>
          <w:sz w:val="24"/>
          <w:szCs w:val="24"/>
          <w:highlight w:val="none"/>
          <w:lang w:bidi="ar"/>
        </w:rPr>
      </w:pPr>
      <w:bookmarkStart w:id="9" w:name="_Hlk85226394"/>
      <w:r>
        <w:rPr>
          <w:rFonts w:hint="eastAsia" w:ascii="仿宋" w:hAnsi="仿宋" w:eastAsia="仿宋" w:cs="仿宋"/>
          <w:b w:val="0"/>
          <w:bCs w:val="0"/>
          <w:color w:val="auto"/>
          <w:sz w:val="24"/>
          <w:szCs w:val="24"/>
          <w:highlight w:val="none"/>
          <w:lang w:eastAsia="zh-CN"/>
        </w:rPr>
        <w:t>窗帘的供货、安装（含复尺）、验收、质保及售后服务等。</w:t>
      </w:r>
      <w:r>
        <w:rPr>
          <w:rFonts w:hint="eastAsia" w:ascii="仿宋" w:hAnsi="仿宋" w:eastAsia="仿宋" w:cs="仿宋"/>
          <w:bCs/>
          <w:color w:val="auto"/>
          <w:kern w:val="2"/>
          <w:sz w:val="24"/>
          <w:szCs w:val="24"/>
          <w:highlight w:val="none"/>
        </w:rPr>
        <w:t>具体详见“</w:t>
      </w:r>
      <w:r>
        <w:rPr>
          <w:rFonts w:hint="eastAsia" w:ascii="仿宋" w:hAnsi="仿宋" w:eastAsia="仿宋" w:cs="仿宋"/>
          <w:bCs/>
          <w:color w:val="auto"/>
          <w:kern w:val="2"/>
          <w:sz w:val="24"/>
          <w:szCs w:val="24"/>
          <w:highlight w:val="none"/>
          <w:lang w:eastAsia="zh-CN"/>
        </w:rPr>
        <w:t>第三部分采购需求和技术要求</w:t>
      </w:r>
      <w:r>
        <w:rPr>
          <w:rFonts w:hint="eastAsia" w:ascii="仿宋" w:hAnsi="仿宋" w:eastAsia="仿宋" w:cs="仿宋"/>
          <w:bCs/>
          <w:color w:val="auto"/>
          <w:kern w:val="2"/>
          <w:sz w:val="24"/>
          <w:szCs w:val="24"/>
          <w:highlight w:val="none"/>
        </w:rPr>
        <w:t>”。</w:t>
      </w:r>
      <w:bookmarkEnd w:id="9"/>
    </w:p>
    <w:p w14:paraId="49EC55C0">
      <w:pPr>
        <w:keepNext w:val="0"/>
        <w:keepLines w:val="0"/>
        <w:pageBreakBefore w:val="0"/>
        <w:widowControl/>
        <w:kinsoku/>
        <w:overflowPunct/>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bidi="ar"/>
        </w:rPr>
        <w:t>.预算金额（最高限价）：</w:t>
      </w:r>
      <w:r>
        <w:rPr>
          <w:rFonts w:hint="eastAsia" w:ascii="仿宋" w:hAnsi="仿宋" w:eastAsia="仿宋" w:cs="仿宋"/>
          <w:b w:val="0"/>
          <w:bCs w:val="0"/>
          <w:color w:val="auto"/>
          <w:kern w:val="0"/>
          <w:sz w:val="24"/>
          <w:szCs w:val="24"/>
          <w:highlight w:val="none"/>
          <w:lang w:val="en-US" w:eastAsia="zh-CN" w:bidi="ar"/>
        </w:rPr>
        <w:t>262.1469万元</w:t>
      </w:r>
      <w:r>
        <w:rPr>
          <w:rFonts w:hint="eastAsia" w:ascii="仿宋" w:hAnsi="仿宋" w:eastAsia="仿宋" w:cs="仿宋"/>
          <w:color w:val="auto"/>
          <w:sz w:val="24"/>
          <w:szCs w:val="24"/>
          <w:highlight w:val="none"/>
          <w:lang w:eastAsia="zh-CN" w:bidi="ar"/>
        </w:rPr>
        <w:t>。</w:t>
      </w:r>
    </w:p>
    <w:p w14:paraId="3EC61D78">
      <w:pPr>
        <w:keepNext w:val="0"/>
        <w:keepLines w:val="0"/>
        <w:pageBreakBefore w:val="0"/>
        <w:kinsoku/>
        <w:overflowPunct/>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lang w:bidi="ar"/>
        </w:rPr>
      </w:pPr>
      <w:r>
        <w:rPr>
          <w:rFonts w:hint="eastAsia" w:ascii="仿宋" w:hAnsi="仿宋" w:eastAsia="仿宋" w:cs="仿宋"/>
          <w:b w:val="0"/>
          <w:bCs w:val="0"/>
          <w:color w:val="auto"/>
          <w:sz w:val="24"/>
          <w:szCs w:val="24"/>
          <w:highlight w:val="none"/>
          <w:lang w:val="en-US" w:eastAsia="zh-CN" w:bidi="ar"/>
        </w:rPr>
        <w:t>2</w:t>
      </w:r>
      <w:r>
        <w:rPr>
          <w:rFonts w:hint="eastAsia" w:ascii="仿宋" w:hAnsi="仿宋" w:eastAsia="仿宋" w:cs="仿宋"/>
          <w:b w:val="0"/>
          <w:bCs w:val="0"/>
          <w:color w:val="auto"/>
          <w:sz w:val="24"/>
          <w:szCs w:val="24"/>
          <w:highlight w:val="none"/>
          <w:lang w:bidi="ar"/>
        </w:rPr>
        <w:t>.</w:t>
      </w:r>
      <w:r>
        <w:rPr>
          <w:rFonts w:hint="eastAsia" w:ascii="仿宋" w:hAnsi="仿宋" w:eastAsia="仿宋" w:cs="仿宋"/>
          <w:b w:val="0"/>
          <w:bCs w:val="0"/>
          <w:color w:val="auto"/>
          <w:sz w:val="24"/>
          <w:szCs w:val="24"/>
          <w:highlight w:val="none"/>
        </w:rPr>
        <w:t>合同履约期限：</w:t>
      </w:r>
      <w:bookmarkStart w:id="10" w:name="OLE_LINK4"/>
      <w:r>
        <w:rPr>
          <w:rFonts w:hint="eastAsia" w:ascii="仿宋" w:hAnsi="仿宋" w:eastAsia="仿宋" w:cs="仿宋"/>
          <w:b w:val="0"/>
          <w:bCs w:val="0"/>
          <w:color w:val="auto"/>
          <w:sz w:val="24"/>
          <w:szCs w:val="24"/>
          <w:highlight w:val="none"/>
          <w:lang w:eastAsia="zh-CN"/>
        </w:rPr>
        <w:t>合同签订生效之日起至</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lang w:eastAsia="zh-CN"/>
        </w:rPr>
        <w:t>验收通过之日</w:t>
      </w:r>
      <w:bookmarkEnd w:id="10"/>
      <w:r>
        <w:rPr>
          <w:rFonts w:hint="eastAsia" w:ascii="仿宋" w:hAnsi="仿宋" w:eastAsia="仿宋" w:cs="仿宋"/>
          <w:b w:val="0"/>
          <w:bCs w:val="0"/>
          <w:color w:val="auto"/>
          <w:sz w:val="24"/>
          <w:szCs w:val="24"/>
          <w:highlight w:val="none"/>
          <w:lang w:eastAsia="zh-CN"/>
        </w:rPr>
        <w:t>。</w:t>
      </w:r>
    </w:p>
    <w:p w14:paraId="0779F6E1">
      <w:pPr>
        <w:keepNext w:val="0"/>
        <w:keepLines w:val="0"/>
        <w:pageBreakBefore w:val="0"/>
        <w:kinsoku/>
        <w:wordWrap w:val="0"/>
        <w:overflowPunct/>
        <w:topLinePunct/>
        <w:autoSpaceDN/>
        <w:bidi w:val="0"/>
        <w:spacing w:line="360" w:lineRule="auto"/>
        <w:ind w:firstLine="482" w:firstLineChars="200"/>
        <w:textAlignment w:val="auto"/>
        <w:rPr>
          <w:rFonts w:hint="eastAsia" w:ascii="仿宋" w:hAnsi="仿宋" w:eastAsia="仿宋" w:cs="仿宋"/>
          <w:b/>
          <w:bCs/>
          <w:color w:val="auto"/>
          <w:sz w:val="24"/>
          <w:szCs w:val="24"/>
          <w:highlight w:val="none"/>
        </w:rPr>
      </w:pPr>
      <w:bookmarkStart w:id="11" w:name="_Toc11998"/>
      <w:r>
        <w:rPr>
          <w:rFonts w:hint="eastAsia" w:ascii="仿宋" w:hAnsi="仿宋" w:eastAsia="仿宋" w:cs="仿宋"/>
          <w:b/>
          <w:bCs/>
          <w:color w:val="auto"/>
          <w:sz w:val="24"/>
          <w:szCs w:val="24"/>
          <w:highlight w:val="none"/>
        </w:rPr>
        <w:t>四、投标人资格要求</w:t>
      </w:r>
      <w:bookmarkEnd w:id="11"/>
    </w:p>
    <w:p w14:paraId="7214B20C">
      <w:pPr>
        <w:keepNext w:val="0"/>
        <w:keepLines w:val="0"/>
        <w:pageBreakBefore w:val="0"/>
        <w:kinsoku/>
        <w:overflowPunct/>
        <w:autoSpaceDN/>
        <w:bidi w:val="0"/>
        <w:adjustRightInd w:val="0"/>
        <w:spacing w:line="360" w:lineRule="auto"/>
        <w:ind w:firstLine="480" w:firstLineChars="200"/>
        <w:textAlignment w:val="auto"/>
        <w:rPr>
          <w:rFonts w:hint="eastAsia" w:ascii="仿宋" w:hAnsi="仿宋" w:eastAsia="仿宋" w:cs="仿宋"/>
          <w:sz w:val="24"/>
          <w:szCs w:val="24"/>
          <w:highlight w:val="none"/>
          <w:lang w:bidi="ar"/>
        </w:rPr>
      </w:pPr>
      <w:bookmarkStart w:id="12" w:name="_Toc32231"/>
      <w:r>
        <w:rPr>
          <w:rFonts w:hint="eastAsia" w:ascii="仿宋" w:hAnsi="仿宋" w:eastAsia="仿宋" w:cs="仿宋"/>
          <w:sz w:val="24"/>
          <w:szCs w:val="24"/>
          <w:highlight w:val="none"/>
          <w:lang w:bidi="ar"/>
        </w:rPr>
        <w:t>1.</w:t>
      </w:r>
      <w:r>
        <w:rPr>
          <w:rFonts w:hint="eastAsia" w:ascii="仿宋" w:hAnsi="仿宋" w:eastAsia="仿宋" w:cs="仿宋"/>
          <w:snapToGrid w:val="0"/>
          <w:kern w:val="28"/>
          <w:sz w:val="24"/>
          <w:szCs w:val="20"/>
          <w:highlight w:val="none"/>
          <w:lang w:val="en-US" w:eastAsia="zh-CN"/>
        </w:rPr>
        <w:t>符合</w:t>
      </w:r>
      <w:r>
        <w:rPr>
          <w:rFonts w:hint="eastAsia" w:ascii="仿宋" w:hAnsi="仿宋" w:eastAsia="仿宋" w:cs="仿宋"/>
          <w:snapToGrid w:val="0"/>
          <w:kern w:val="28"/>
          <w:sz w:val="24"/>
          <w:szCs w:val="20"/>
          <w:highlight w:val="none"/>
        </w:rPr>
        <w:t>《中华人民共和国政府采购法》第二十二条规定；未被“信用中国”（www.creditchina.gov.cn)、中国政府采购网（www.ccgp.gov.cn）列入失信被执行人、重大</w:t>
      </w:r>
      <w:r>
        <w:rPr>
          <w:rFonts w:hint="eastAsia" w:ascii="仿宋" w:hAnsi="仿宋" w:eastAsia="仿宋" w:cs="仿宋"/>
          <w:snapToGrid w:val="0"/>
          <w:color w:val="auto"/>
          <w:kern w:val="28"/>
          <w:sz w:val="24"/>
          <w:szCs w:val="20"/>
          <w:highlight w:val="none"/>
        </w:rPr>
        <w:t>税收违法案件当事人名单、政府采购严重违法失信行为记录名单；</w:t>
      </w:r>
    </w:p>
    <w:p w14:paraId="4C123A39">
      <w:pPr>
        <w:keepNext w:val="0"/>
        <w:keepLines w:val="0"/>
        <w:pageBreakBefore w:val="0"/>
        <w:kinsoku/>
        <w:overflowPunct/>
        <w:autoSpaceDN/>
        <w:bidi w:val="0"/>
        <w:adjustRightInd w:val="0"/>
        <w:spacing w:line="360" w:lineRule="auto"/>
        <w:ind w:firstLine="480" w:firstLineChars="200"/>
        <w:textAlignment w:val="auto"/>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lang w:bidi="ar"/>
        </w:rPr>
        <w:t>2.</w:t>
      </w:r>
      <w:r>
        <w:rPr>
          <w:rFonts w:hint="eastAsia" w:ascii="仿宋" w:hAnsi="仿宋" w:eastAsia="仿宋" w:cs="仿宋"/>
          <w:sz w:val="24"/>
          <w:highlight w:val="none"/>
        </w:rPr>
        <w:t>本项目的特定资格要求：</w:t>
      </w:r>
      <w:r>
        <w:rPr>
          <w:rFonts w:hint="eastAsia" w:ascii="仿宋" w:hAnsi="仿宋" w:eastAsia="仿宋" w:cs="仿宋"/>
          <w:sz w:val="24"/>
          <w:szCs w:val="24"/>
          <w:highlight w:val="none"/>
          <w:lang w:val="en-US" w:eastAsia="zh-CN" w:bidi="ar"/>
        </w:rPr>
        <w:t>无</w:t>
      </w:r>
      <w:r>
        <w:rPr>
          <w:rFonts w:hint="eastAsia" w:ascii="仿宋" w:hAnsi="仿宋" w:eastAsia="仿宋" w:cs="仿宋"/>
          <w:sz w:val="24"/>
          <w:szCs w:val="24"/>
          <w:highlight w:val="none"/>
          <w:lang w:eastAsia="zh-CN" w:bidi="ar"/>
        </w:rPr>
        <w:t>；</w:t>
      </w:r>
    </w:p>
    <w:p w14:paraId="0C70AD32">
      <w:pPr>
        <w:keepNext w:val="0"/>
        <w:keepLines w:val="0"/>
        <w:pageBreakBefore w:val="0"/>
        <w:kinsoku/>
        <w:overflowPunct/>
        <w:autoSpaceDN/>
        <w:bidi w:val="0"/>
        <w:adjustRightInd w:val="0"/>
        <w:spacing w:line="360" w:lineRule="auto"/>
        <w:ind w:firstLine="480" w:firstLineChars="200"/>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3.</w:t>
      </w:r>
      <w:r>
        <w:rPr>
          <w:rFonts w:hint="eastAsia" w:ascii="仿宋" w:hAnsi="仿宋" w:eastAsia="仿宋" w:cs="仿宋"/>
          <w:sz w:val="24"/>
          <w:szCs w:val="24"/>
          <w:highlight w:val="none"/>
          <w:lang w:bidi="ar"/>
        </w:rPr>
        <w:t>单位负责人为同一人或者存在直接控股、管理关系的不同单位，不得同时参加同一合同项下的投标。（以开标当天招标代理机构通过“天眼查”查询结果为准）；</w:t>
      </w:r>
    </w:p>
    <w:p w14:paraId="0242788D">
      <w:pPr>
        <w:keepNext w:val="0"/>
        <w:keepLines w:val="0"/>
        <w:pageBreakBefore w:val="0"/>
        <w:kinsoku/>
        <w:overflowPunct/>
        <w:autoSpaceDN/>
        <w:bidi w:val="0"/>
        <w:adjustRightInd w:val="0"/>
        <w:spacing w:line="360" w:lineRule="auto"/>
        <w:ind w:firstLine="480" w:firstLineChars="200"/>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4.</w:t>
      </w:r>
      <w:r>
        <w:rPr>
          <w:rFonts w:hint="eastAsia" w:ascii="仿宋" w:hAnsi="仿宋" w:eastAsia="仿宋" w:cs="仿宋"/>
          <w:sz w:val="24"/>
          <w:szCs w:val="24"/>
          <w:highlight w:val="none"/>
          <w:lang w:bidi="ar"/>
        </w:rPr>
        <w:t>本</w:t>
      </w:r>
      <w:r>
        <w:rPr>
          <w:rFonts w:hint="eastAsia" w:ascii="仿宋" w:hAnsi="仿宋" w:eastAsia="仿宋" w:cs="仿宋"/>
          <w:sz w:val="24"/>
          <w:szCs w:val="24"/>
          <w:highlight w:val="none"/>
          <w:lang w:val="en-US" w:eastAsia="zh-CN" w:bidi="ar"/>
        </w:rPr>
        <w:t>项目</w:t>
      </w:r>
      <w:r>
        <w:rPr>
          <w:rFonts w:hint="eastAsia" w:ascii="仿宋" w:hAnsi="仿宋" w:eastAsia="仿宋" w:cs="仿宋"/>
          <w:sz w:val="24"/>
          <w:szCs w:val="24"/>
          <w:highlight w:val="none"/>
          <w:lang w:bidi="ar"/>
        </w:rPr>
        <w:t>不接受联合体投标。</w:t>
      </w:r>
    </w:p>
    <w:bookmarkEnd w:id="12"/>
    <w:p w14:paraId="1CAD03E5">
      <w:pPr>
        <w:keepNext w:val="0"/>
        <w:keepLines w:val="0"/>
        <w:pageBreakBefore w:val="0"/>
        <w:kinsoku/>
        <w:wordWrap w:val="0"/>
        <w:overflowPunct/>
        <w:topLinePunct/>
        <w:autoSpaceDN/>
        <w:bidi w:val="0"/>
        <w:spacing w:line="360" w:lineRule="auto"/>
        <w:ind w:firstLine="482" w:firstLineChars="200"/>
        <w:textAlignment w:val="auto"/>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五、报名及获取招标文件：</w:t>
      </w:r>
    </w:p>
    <w:p w14:paraId="394149A1">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0000FF"/>
          <w:sz w:val="24"/>
          <w:highlight w:val="none"/>
          <w:u w:val="single"/>
          <w:lang w:eastAsia="zh-CN"/>
        </w:rPr>
        <w:t>2025</w:t>
      </w:r>
      <w:r>
        <w:rPr>
          <w:rFonts w:hint="eastAsia" w:ascii="仿宋" w:hAnsi="仿宋" w:eastAsia="仿宋" w:cs="仿宋"/>
          <w:color w:val="0000FF"/>
          <w:sz w:val="24"/>
          <w:highlight w:val="none"/>
          <w:u w:val="single"/>
        </w:rPr>
        <w:t>年</w:t>
      </w:r>
      <w:r>
        <w:rPr>
          <w:rFonts w:hint="eastAsia" w:ascii="仿宋" w:hAnsi="仿宋" w:eastAsia="仿宋" w:cs="仿宋"/>
          <w:color w:val="0000FF"/>
          <w:sz w:val="24"/>
          <w:highlight w:val="none"/>
          <w:u w:val="single"/>
          <w:lang w:val="en-US" w:eastAsia="zh-CN"/>
        </w:rPr>
        <w:t>8</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1</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9</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30</w:t>
      </w:r>
      <w:r>
        <w:rPr>
          <w:rFonts w:hint="eastAsia" w:ascii="仿宋" w:hAnsi="仿宋" w:eastAsia="仿宋" w:cs="仿宋"/>
          <w:color w:val="0000FF"/>
          <w:sz w:val="24"/>
          <w:highlight w:val="none"/>
          <w:u w:val="single"/>
        </w:rPr>
        <w:t>分</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553AE37A">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乐采云平台(www.lecaiyun.com)线上</w:t>
      </w:r>
    </w:p>
    <w:p w14:paraId="379B7A50">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供应商登录乐采云平台(www.lecaiyun.com)在线申请获取采购文件（进入“项目采购”应用，在获取采购文件菜单中选择项目，申请获取采购文件）。</w:t>
      </w:r>
    </w:p>
    <w:p w14:paraId="02123AC8">
      <w:pPr>
        <w:spacing w:line="360" w:lineRule="auto"/>
        <w:ind w:firstLine="482" w:firstLineChars="200"/>
        <w:rPr>
          <w:rFonts w:hint="eastAsia" w:ascii="仿宋" w:hAnsi="仿宋" w:eastAsia="仿宋" w:cs="仿宋"/>
          <w:sz w:val="24"/>
          <w:szCs w:val="24"/>
          <w:highlight w:val="none"/>
          <w:lang w:bidi="ar"/>
        </w:rPr>
      </w:pPr>
      <w:r>
        <w:rPr>
          <w:rFonts w:hint="eastAsia" w:ascii="仿宋" w:hAnsi="仿宋" w:eastAsia="仿宋" w:cs="仿宋"/>
          <w:b/>
          <w:color w:val="auto"/>
          <w:sz w:val="24"/>
          <w:highlight w:val="none"/>
        </w:rPr>
        <w:t>售价（元）：</w:t>
      </w:r>
      <w:r>
        <w:rPr>
          <w:rFonts w:hint="eastAsia" w:ascii="仿宋" w:hAnsi="仿宋" w:eastAsia="仿宋" w:cs="仿宋"/>
          <w:sz w:val="24"/>
          <w:szCs w:val="24"/>
          <w:highlight w:val="none"/>
          <w:u w:val="single"/>
          <w:lang w:val="en-US" w:eastAsia="zh-CN" w:bidi="ar"/>
        </w:rPr>
        <w:t>0</w:t>
      </w:r>
      <w:r>
        <w:rPr>
          <w:rFonts w:hint="eastAsia" w:ascii="仿宋" w:hAnsi="仿宋" w:eastAsia="仿宋" w:cs="仿宋"/>
          <w:sz w:val="24"/>
          <w:szCs w:val="24"/>
          <w:highlight w:val="none"/>
          <w:lang w:bidi="ar"/>
        </w:rPr>
        <w:t>元人民币，售后恕不退还。</w:t>
      </w:r>
    </w:p>
    <w:p w14:paraId="7DD5979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bCs/>
          <w:sz w:val="24"/>
          <w:szCs w:val="24"/>
          <w:highlight w:val="none"/>
        </w:rPr>
        <w:t>六、</w:t>
      </w: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文件截止时间、开</w:t>
      </w:r>
      <w:r>
        <w:rPr>
          <w:rFonts w:hint="eastAsia" w:ascii="仿宋" w:hAnsi="仿宋" w:eastAsia="仿宋" w:cs="仿宋"/>
          <w:b/>
          <w:color w:val="auto"/>
          <w:sz w:val="24"/>
          <w:highlight w:val="none"/>
          <w:lang w:val="en-US" w:eastAsia="zh-CN"/>
        </w:rPr>
        <w:t>标</w:t>
      </w:r>
      <w:r>
        <w:rPr>
          <w:rFonts w:hint="eastAsia" w:ascii="仿宋" w:hAnsi="仿宋" w:eastAsia="仿宋" w:cs="仿宋"/>
          <w:b/>
          <w:color w:val="auto"/>
          <w:sz w:val="24"/>
          <w:highlight w:val="none"/>
        </w:rPr>
        <w:t>时间和地点</w:t>
      </w:r>
    </w:p>
    <w:p w14:paraId="6869C005">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文件截止时间：</w:t>
      </w:r>
      <w:r>
        <w:rPr>
          <w:rFonts w:hint="eastAsia" w:ascii="仿宋" w:hAnsi="仿宋" w:eastAsia="仿宋" w:cs="仿宋"/>
          <w:color w:val="0000FF"/>
          <w:sz w:val="24"/>
          <w:highlight w:val="none"/>
          <w:u w:val="single"/>
          <w:lang w:eastAsia="zh-CN"/>
        </w:rPr>
        <w:t>2025</w:t>
      </w:r>
      <w:r>
        <w:rPr>
          <w:rFonts w:hint="eastAsia" w:ascii="仿宋" w:hAnsi="仿宋" w:eastAsia="仿宋" w:cs="仿宋"/>
          <w:color w:val="0000FF"/>
          <w:sz w:val="24"/>
          <w:highlight w:val="none"/>
          <w:u w:val="single"/>
        </w:rPr>
        <w:t>年</w:t>
      </w:r>
      <w:r>
        <w:rPr>
          <w:rFonts w:hint="eastAsia" w:ascii="仿宋" w:hAnsi="仿宋" w:eastAsia="仿宋" w:cs="仿宋"/>
          <w:color w:val="0000FF"/>
          <w:sz w:val="24"/>
          <w:highlight w:val="none"/>
          <w:u w:val="single"/>
          <w:lang w:val="en-US" w:eastAsia="zh-CN"/>
        </w:rPr>
        <w:t>8</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1</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9</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w:t>
      </w:r>
      <w:r>
        <w:rPr>
          <w:rFonts w:hint="eastAsia" w:ascii="仿宋" w:hAnsi="仿宋" w:eastAsia="仿宋" w:cs="仿宋"/>
          <w:color w:val="0000FF"/>
          <w:sz w:val="24"/>
          <w:highlight w:val="none"/>
          <w:u w:val="single"/>
        </w:rPr>
        <w:t>0分</w:t>
      </w:r>
      <w:r>
        <w:rPr>
          <w:rFonts w:hint="eastAsia" w:ascii="仿宋" w:hAnsi="仿宋" w:eastAsia="仿宋" w:cs="仿宋"/>
          <w:color w:val="auto"/>
          <w:sz w:val="24"/>
          <w:highlight w:val="none"/>
        </w:rPr>
        <w:t>（北京时间）</w:t>
      </w:r>
    </w:p>
    <w:p w14:paraId="41468154">
      <w:pPr>
        <w:wordWrap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请登录乐采云投标客户端投标，客户端下载地址https://sitecdn.zcycdn.com/zcy-client/bidding-client-new/official/lcy/LeCaiYunSetup.latest.exe</w:t>
      </w:r>
    </w:p>
    <w:p w14:paraId="4EE8E23B">
      <w:pPr>
        <w:snapToGrid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w:t>
      </w:r>
      <w:r>
        <w:rPr>
          <w:rFonts w:hint="eastAsia" w:ascii="仿宋" w:hAnsi="仿宋" w:eastAsia="仿宋" w:cs="仿宋"/>
          <w:b/>
          <w:color w:val="auto"/>
          <w:sz w:val="24"/>
          <w:highlight w:val="none"/>
          <w:lang w:val="en-US" w:eastAsia="zh-CN"/>
        </w:rPr>
        <w:t>标</w:t>
      </w:r>
      <w:r>
        <w:rPr>
          <w:rFonts w:hint="eastAsia" w:ascii="仿宋" w:hAnsi="仿宋" w:eastAsia="仿宋" w:cs="仿宋"/>
          <w:b/>
          <w:color w:val="auto"/>
          <w:sz w:val="24"/>
          <w:highlight w:val="none"/>
        </w:rPr>
        <w:t>时间：</w:t>
      </w:r>
      <w:r>
        <w:rPr>
          <w:rFonts w:hint="eastAsia" w:ascii="仿宋" w:hAnsi="仿宋" w:eastAsia="仿宋" w:cs="仿宋"/>
          <w:color w:val="0000FF"/>
          <w:sz w:val="24"/>
          <w:highlight w:val="none"/>
          <w:u w:val="single"/>
          <w:lang w:eastAsia="zh-CN"/>
        </w:rPr>
        <w:t>2025</w:t>
      </w:r>
      <w:r>
        <w:rPr>
          <w:rFonts w:hint="eastAsia" w:ascii="仿宋" w:hAnsi="仿宋" w:eastAsia="仿宋" w:cs="仿宋"/>
          <w:color w:val="0000FF"/>
          <w:sz w:val="24"/>
          <w:highlight w:val="none"/>
          <w:u w:val="single"/>
        </w:rPr>
        <w:t>年</w:t>
      </w:r>
      <w:r>
        <w:rPr>
          <w:rFonts w:hint="eastAsia" w:ascii="仿宋" w:hAnsi="仿宋" w:eastAsia="仿宋" w:cs="仿宋"/>
          <w:color w:val="0000FF"/>
          <w:sz w:val="24"/>
          <w:highlight w:val="none"/>
          <w:u w:val="single"/>
          <w:lang w:val="en-US" w:eastAsia="zh-CN"/>
        </w:rPr>
        <w:t>8</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1</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9</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30</w:t>
      </w:r>
      <w:r>
        <w:rPr>
          <w:rFonts w:hint="eastAsia" w:ascii="仿宋" w:hAnsi="仿宋" w:eastAsia="仿宋" w:cs="仿宋"/>
          <w:color w:val="0000FF"/>
          <w:sz w:val="24"/>
          <w:highlight w:val="none"/>
          <w:u w:val="single"/>
        </w:rPr>
        <w:t>分</w:t>
      </w:r>
    </w:p>
    <w:p w14:paraId="2D00A69B">
      <w:pPr>
        <w:pStyle w:val="45"/>
        <w:snapToGrid w:val="0"/>
        <w:spacing w:after="0" w:line="360" w:lineRule="auto"/>
        <w:ind w:left="0" w:leftChars="0" w:firstLine="482"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color w:val="auto"/>
          <w:sz w:val="24"/>
          <w:highlight w:val="none"/>
        </w:rPr>
        <w:t>开</w:t>
      </w:r>
      <w:r>
        <w:rPr>
          <w:rFonts w:hint="eastAsia" w:ascii="仿宋" w:hAnsi="仿宋" w:eastAsia="仿宋" w:cs="仿宋"/>
          <w:b/>
          <w:color w:val="auto"/>
          <w:sz w:val="24"/>
          <w:highlight w:val="none"/>
          <w:lang w:val="en-US" w:eastAsia="zh-CN"/>
        </w:rPr>
        <w:t>标</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乐采云平台(www.lecaiyun.com)线上</w:t>
      </w:r>
      <w:r>
        <w:rPr>
          <w:rFonts w:hint="eastAsia" w:ascii="仿宋" w:hAnsi="仿宋" w:eastAsia="仿宋" w:cs="仿宋"/>
          <w:color w:val="auto"/>
          <w:sz w:val="24"/>
          <w:highlight w:val="none"/>
        </w:rPr>
        <w:t>，</w:t>
      </w:r>
      <w:r>
        <w:rPr>
          <w:rFonts w:hint="eastAsia" w:ascii="仿宋" w:hAnsi="仿宋" w:eastAsia="仿宋" w:cs="仿宋"/>
          <w:color w:val="0000FF"/>
          <w:sz w:val="24"/>
          <w:highlight w:val="none"/>
        </w:rPr>
        <w:t>开</w:t>
      </w:r>
      <w:r>
        <w:rPr>
          <w:rFonts w:hint="eastAsia" w:ascii="仿宋" w:hAnsi="仿宋" w:eastAsia="仿宋" w:cs="仿宋"/>
          <w:color w:val="0000FF"/>
          <w:sz w:val="24"/>
          <w:highlight w:val="none"/>
          <w:lang w:val="en-US" w:eastAsia="zh-CN"/>
        </w:rPr>
        <w:t>标</w:t>
      </w:r>
      <w:r>
        <w:rPr>
          <w:rFonts w:hint="eastAsia" w:ascii="仿宋" w:hAnsi="仿宋" w:eastAsia="仿宋" w:cs="仿宋"/>
          <w:color w:val="0000FF"/>
          <w:sz w:val="24"/>
          <w:highlight w:val="none"/>
        </w:rPr>
        <w:t>现场会议组织地点：</w:t>
      </w:r>
      <w:r>
        <w:rPr>
          <w:rFonts w:hint="eastAsia" w:ascii="仿宋" w:hAnsi="仿宋" w:eastAsia="仿宋" w:cs="仿宋"/>
          <w:color w:val="0000FF"/>
          <w:kern w:val="0"/>
          <w:sz w:val="24"/>
          <w:szCs w:val="24"/>
          <w:highlight w:val="none"/>
          <w:u w:val="none"/>
          <w:lang w:val="en-US" w:eastAsia="zh-CN"/>
        </w:rPr>
        <w:t>新昌县七星街道江滨西路588号（建业大厦2212室）。</w:t>
      </w:r>
    </w:p>
    <w:p w14:paraId="305381C3">
      <w:pPr>
        <w:keepNext w:val="0"/>
        <w:keepLines w:val="0"/>
        <w:wordWrap/>
        <w:topLinePunct w:val="0"/>
        <w:spacing w:line="360" w:lineRule="auto"/>
        <w:ind w:firstLine="482" w:firstLineChars="20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七、</w:t>
      </w:r>
      <w:r>
        <w:rPr>
          <w:rFonts w:hint="eastAsia" w:ascii="仿宋" w:hAnsi="仿宋" w:eastAsia="仿宋" w:cs="仿宋"/>
          <w:b/>
          <w:bCs/>
          <w:sz w:val="24"/>
          <w:szCs w:val="24"/>
          <w:highlight w:val="none"/>
          <w:lang w:val="en-US" w:eastAsia="zh-CN"/>
        </w:rPr>
        <w:t>公告期限</w:t>
      </w:r>
    </w:p>
    <w:p w14:paraId="6FB43267">
      <w:pPr>
        <w:keepNext w:val="0"/>
        <w:keepLines w:val="0"/>
        <w:wordWrap/>
        <w:topLinePunct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自本公告发布之日起5个工作日。</w:t>
      </w:r>
    </w:p>
    <w:p w14:paraId="0B401278">
      <w:pPr>
        <w:keepNext w:val="0"/>
        <w:keepLines w:val="0"/>
        <w:wordWrap/>
        <w:topLinePunct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bCs/>
          <w:sz w:val="24"/>
          <w:szCs w:val="24"/>
          <w:highlight w:val="none"/>
        </w:rPr>
        <w:t>八、</w:t>
      </w:r>
      <w:r>
        <w:rPr>
          <w:rFonts w:hint="eastAsia" w:ascii="仿宋" w:hAnsi="仿宋" w:eastAsia="仿宋" w:cs="仿宋"/>
          <w:b/>
          <w:color w:val="auto"/>
          <w:sz w:val="24"/>
          <w:highlight w:val="none"/>
        </w:rPr>
        <w:t>其他补充事宜</w:t>
      </w:r>
    </w:p>
    <w:p w14:paraId="20D18F40">
      <w:pPr>
        <w:keepNext w:val="0"/>
        <w:keepLines w:val="0"/>
        <w:wordWrap w:val="0"/>
        <w:topLinePunct/>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人监督管理部门投诉。质疑函范本、投诉书范本请到浙江政府采购网下载专区下载。</w:t>
      </w:r>
    </w:p>
    <w:p w14:paraId="23DEB28D">
      <w:pPr>
        <w:keepNext w:val="0"/>
        <w:keepLines w:val="0"/>
        <w:wordWrap w:val="0"/>
        <w:topLinePunct/>
        <w:spacing w:line="360" w:lineRule="auto"/>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电子招投标的说明：①电子招投标：本项目以数据电文形式，依托“</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”进行招投标活动，不接受纸质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文件；②</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准备：注册账号--点击“商家入驻”，进行</w:t>
      </w:r>
      <w:r>
        <w:rPr>
          <w:rFonts w:hint="eastAsia" w:ascii="仿宋" w:hAnsi="仿宋" w:eastAsia="仿宋" w:cs="仿宋"/>
          <w:sz w:val="24"/>
          <w:highlight w:val="none"/>
        </w:rPr>
        <w:t>采购</w:t>
      </w:r>
      <w:r>
        <w:rPr>
          <w:rFonts w:hint="eastAsia" w:ascii="仿宋" w:hAnsi="仿宋" w:eastAsia="仿宋" w:cs="仿宋"/>
          <w:color w:val="auto"/>
          <w:sz w:val="24"/>
          <w:highlight w:val="none"/>
        </w:rPr>
        <w:t>供应商资料填写；申领CA数字证书---申领流程详见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“服务中心-帮助文档-注册与系统管理-CA管理-申领CA证书”；安装“</w:t>
      </w:r>
      <w:r>
        <w:rPr>
          <w:rFonts w:hint="eastAsia" w:ascii="仿宋" w:hAnsi="仿宋" w:eastAsia="仿宋" w:cs="仿宋"/>
          <w:color w:val="auto"/>
          <w:sz w:val="24"/>
          <w:highlight w:val="none"/>
          <w:lang w:val="en-US" w:eastAsia="zh-CN"/>
        </w:rPr>
        <w:t>乐采云投标客户端</w:t>
      </w:r>
      <w:r>
        <w:rPr>
          <w:rFonts w:hint="eastAsia" w:ascii="仿宋" w:hAnsi="仿宋" w:eastAsia="仿宋" w:cs="仿宋"/>
          <w:color w:val="auto"/>
          <w:sz w:val="24"/>
          <w:highlight w:val="none"/>
        </w:rPr>
        <w:t>”----前往“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客户端”进行下载并安装；③</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平台；进入“项目采购”应用，在获取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菜单中选择项目，获取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文件的制作：在“</w:t>
      </w:r>
      <w:r>
        <w:rPr>
          <w:rFonts w:hint="eastAsia" w:ascii="仿宋" w:hAnsi="仿宋" w:eastAsia="仿宋" w:cs="仿宋"/>
          <w:color w:val="auto"/>
          <w:sz w:val="24"/>
          <w:highlight w:val="none"/>
          <w:lang w:val="en-US" w:eastAsia="zh-CN"/>
        </w:rPr>
        <w:t>乐采云投标客户端</w:t>
      </w:r>
      <w:r>
        <w:rPr>
          <w:rFonts w:hint="eastAsia" w:ascii="仿宋" w:hAnsi="仿宋" w:eastAsia="仿宋" w:cs="仿宋"/>
          <w:color w:val="auto"/>
          <w:sz w:val="24"/>
          <w:highlight w:val="none"/>
        </w:rPr>
        <w:t>”中完成“填写基本信息”、“导入投标文件”、“标书关联”、“标书检查”、“电子签名”、“生成电子标书”等操作；⑤</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活动；⑥对未按上述方式获取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机构将不予处理；⑦不提供</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文件的传输递交：供应商在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文件上传至</w:t>
      </w:r>
      <w:r>
        <w:rPr>
          <w:rFonts w:hint="eastAsia" w:ascii="仿宋" w:hAnsi="仿宋" w:eastAsia="仿宋" w:cs="仿宋"/>
          <w:color w:val="auto"/>
          <w:sz w:val="24"/>
          <w:highlight w:val="none"/>
          <w:lang w:val="en-US" w:eastAsia="zh-CN"/>
        </w:rPr>
        <w:t>乐采</w:t>
      </w:r>
      <w:r>
        <w:rPr>
          <w:rFonts w:hint="eastAsia" w:ascii="仿宋" w:hAnsi="仿宋" w:eastAsia="仿宋" w:cs="仿宋"/>
          <w:color w:val="auto"/>
          <w:sz w:val="24"/>
          <w:highlight w:val="none"/>
        </w:rPr>
        <w:t>云平台，还可以在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截止时间前直接提交或者以快递方式递交备份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文件1份。⑨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文件的解密：供应商按照平台提示和</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文件无法按时解密，供应商递交了备份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文件的，以备份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文件为依据，否则视为</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文件撤回。通过“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文件已按时解密的，备份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文件自动失效。供应商仅提交备份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文件，没有在电子交易平台传输递交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无效；⑩具体操作指南：详见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“服务中心-帮助文档-项目采购-乐采云电子招投标（公开招标）-供应商”。</w:t>
      </w:r>
    </w:p>
    <w:p w14:paraId="3BE21D1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sz w:val="24"/>
          <w:highlight w:val="none"/>
        </w:rPr>
        <w:t>招标文件公告期限与招标公告的公告期限一致，</w:t>
      </w:r>
      <w:r>
        <w:rPr>
          <w:rFonts w:hint="eastAsia" w:ascii="仿宋" w:hAnsi="仿宋" w:eastAsia="仿宋" w:cs="仿宋"/>
          <w:color w:val="0000FF"/>
          <w:sz w:val="24"/>
          <w:highlight w:val="none"/>
        </w:rPr>
        <w:t>公告期限为发布之日起至</w:t>
      </w:r>
      <w:r>
        <w:rPr>
          <w:rFonts w:hint="eastAsia" w:ascii="仿宋" w:hAnsi="仿宋" w:eastAsia="仿宋" w:cs="仿宋"/>
          <w:color w:val="0000FF"/>
          <w:sz w:val="24"/>
          <w:highlight w:val="none"/>
          <w:lang w:eastAsia="zh-CN"/>
        </w:rPr>
        <w:t>2025</w:t>
      </w:r>
      <w:r>
        <w:rPr>
          <w:rFonts w:hint="eastAsia" w:ascii="仿宋" w:hAnsi="仿宋" w:eastAsia="仿宋" w:cs="仿宋"/>
          <w:color w:val="0000FF"/>
          <w:sz w:val="24"/>
          <w:highlight w:val="none"/>
        </w:rPr>
        <w:t>年</w:t>
      </w:r>
      <w:r>
        <w:rPr>
          <w:rFonts w:hint="eastAsia" w:ascii="仿宋" w:hAnsi="仿宋" w:eastAsia="仿宋" w:cs="仿宋"/>
          <w:color w:val="0000FF"/>
          <w:sz w:val="24"/>
          <w:highlight w:val="none"/>
          <w:lang w:val="en-US" w:eastAsia="zh-CN"/>
        </w:rPr>
        <w:t>7</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18</w:t>
      </w:r>
      <w:r>
        <w:rPr>
          <w:rFonts w:hint="eastAsia" w:ascii="仿宋" w:hAnsi="仿宋" w:eastAsia="仿宋" w:cs="仿宋"/>
          <w:color w:val="0000FF"/>
          <w:sz w:val="24"/>
          <w:highlight w:val="none"/>
        </w:rPr>
        <w:t>日</w:t>
      </w:r>
      <w:r>
        <w:rPr>
          <w:rFonts w:hint="eastAsia" w:ascii="仿宋" w:hAnsi="仿宋" w:eastAsia="仿宋" w:cs="仿宋"/>
          <w:sz w:val="24"/>
          <w:highlight w:val="none"/>
        </w:rPr>
        <w:t>。</w:t>
      </w:r>
    </w:p>
    <w:p w14:paraId="721F12D7">
      <w:pPr>
        <w:keepNext w:val="0"/>
        <w:keepLines w:val="0"/>
        <w:wordWrap w:val="0"/>
        <w:topLinePunct/>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bCs/>
          <w:sz w:val="24"/>
          <w:szCs w:val="24"/>
          <w:highlight w:val="none"/>
        </w:rPr>
        <w:t>联系方式</w:t>
      </w:r>
    </w:p>
    <w:p w14:paraId="729696CB">
      <w:pPr>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招标单位名称：</w:t>
      </w:r>
      <w:r>
        <w:rPr>
          <w:rFonts w:hint="eastAsia" w:ascii="仿宋" w:hAnsi="仿宋" w:eastAsia="仿宋" w:cs="仿宋"/>
          <w:color w:val="auto"/>
          <w:kern w:val="0"/>
          <w:sz w:val="24"/>
          <w:szCs w:val="24"/>
          <w:highlight w:val="none"/>
          <w:lang w:eastAsia="zh-CN"/>
        </w:rPr>
        <w:t>新昌县城市建设投资集团有限公司</w:t>
      </w:r>
    </w:p>
    <w:p w14:paraId="052BF09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招标单位地址：</w:t>
      </w:r>
      <w:r>
        <w:rPr>
          <w:rFonts w:hint="eastAsia" w:ascii="仿宋" w:hAnsi="仿宋" w:eastAsia="仿宋" w:cs="仿宋"/>
          <w:b w:val="0"/>
          <w:bCs/>
          <w:color w:val="auto"/>
          <w:sz w:val="24"/>
          <w:szCs w:val="24"/>
          <w:highlight w:val="none"/>
          <w:u w:val="none"/>
          <w:lang w:val="en-US" w:eastAsia="zh-CN"/>
        </w:rPr>
        <w:t>浙江省绍兴市新昌县七星街道江滨西路588号</w:t>
      </w:r>
    </w:p>
    <w:p w14:paraId="195EE37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招标单位联系人：</w:t>
      </w:r>
      <w:r>
        <w:rPr>
          <w:rFonts w:hint="eastAsia" w:ascii="仿宋" w:hAnsi="仿宋" w:eastAsia="仿宋" w:cs="仿宋"/>
          <w:color w:val="auto"/>
          <w:kern w:val="0"/>
          <w:sz w:val="24"/>
          <w:szCs w:val="24"/>
          <w:highlight w:val="none"/>
          <w:lang w:val="en-US" w:eastAsia="zh-CN"/>
        </w:rPr>
        <w:t>朱建权</w:t>
      </w:r>
      <w:r>
        <w:rPr>
          <w:rFonts w:hint="eastAsia" w:ascii="仿宋" w:hAnsi="仿宋" w:eastAsia="仿宋" w:cs="仿宋"/>
          <w:bCs/>
          <w:color w:val="auto"/>
          <w:sz w:val="24"/>
          <w:szCs w:val="24"/>
          <w:highlight w:val="none"/>
          <w:u w:val="none"/>
          <w:lang w:val="en-US" w:eastAsia="zh-CN"/>
        </w:rPr>
        <w:t xml:space="preserve"> </w:t>
      </w:r>
    </w:p>
    <w:p w14:paraId="34DC4A88">
      <w:pPr>
        <w:pStyle w:val="14"/>
        <w:keepNext w:val="0"/>
        <w:keepLines w:val="0"/>
        <w:pageBreakBefore w:val="0"/>
        <w:kinsoku/>
        <w:wordWrap w:val="0"/>
        <w:overflowPunct/>
        <w:topLinePunct w:val="0"/>
        <w:autoSpaceDE/>
        <w:autoSpaceDN/>
        <w:bidi w:val="0"/>
        <w:spacing w:line="360" w:lineRule="auto"/>
        <w:ind w:firstLine="480"/>
        <w:textAlignment w:val="auto"/>
        <w:rPr>
          <w:rFonts w:hint="default" w:ascii="仿宋" w:hAnsi="仿宋" w:eastAsia="仿宋" w:cs="仿宋"/>
          <w:b w:val="0"/>
          <w:bCs/>
          <w:color w:val="auto"/>
          <w:sz w:val="24"/>
          <w:szCs w:val="24"/>
          <w:highlight w:val="none"/>
          <w:u w:val="none"/>
          <w:lang w:val="en-US" w:eastAsia="zh-CN"/>
        </w:rPr>
      </w:pPr>
      <w:r>
        <w:rPr>
          <w:rFonts w:hint="eastAsia" w:ascii="仿宋" w:hAnsi="仿宋" w:eastAsia="仿宋" w:cs="仿宋"/>
          <w:color w:val="auto"/>
          <w:kern w:val="0"/>
          <w:sz w:val="24"/>
          <w:szCs w:val="24"/>
          <w:highlight w:val="none"/>
        </w:rPr>
        <w:t>联系电话：</w:t>
      </w:r>
      <w:bookmarkStart w:id="13" w:name="OLE_LINK16"/>
      <w:r>
        <w:rPr>
          <w:rFonts w:hint="eastAsia" w:ascii="仿宋" w:hAnsi="仿宋" w:eastAsia="仿宋" w:cs="仿宋"/>
          <w:color w:val="auto"/>
          <w:kern w:val="0"/>
          <w:sz w:val="24"/>
          <w:szCs w:val="24"/>
          <w:highlight w:val="none"/>
          <w:lang w:val="en-US" w:eastAsia="zh-CN"/>
        </w:rPr>
        <w:t>0575-86938376</w:t>
      </w:r>
    </w:p>
    <w:bookmarkEnd w:id="13"/>
    <w:p w14:paraId="0B63328C">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rPr>
        <w:t>招标代理机构名称：杭州贯今工程</w:t>
      </w:r>
      <w:r>
        <w:rPr>
          <w:rFonts w:hint="eastAsia" w:ascii="仿宋" w:hAnsi="仿宋" w:eastAsia="仿宋" w:cs="仿宋"/>
          <w:kern w:val="0"/>
          <w:sz w:val="24"/>
          <w:szCs w:val="24"/>
          <w:highlight w:val="none"/>
        </w:rPr>
        <w:t>咨询有限公司</w:t>
      </w:r>
    </w:p>
    <w:p w14:paraId="31073D92">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招标代理机构地址：新昌县城南乡石溪村望师岭2-12号</w:t>
      </w:r>
    </w:p>
    <w:p w14:paraId="3040D727">
      <w:pPr>
        <w:spacing w:line="360" w:lineRule="auto"/>
        <w:ind w:firstLine="480" w:firstLineChars="200"/>
        <w:rPr>
          <w:rFonts w:hint="eastAsia" w:ascii="仿宋" w:hAnsi="仿宋" w:eastAsia="仿宋" w:cs="仿宋"/>
          <w:bCs/>
          <w:kern w:val="0"/>
          <w:sz w:val="24"/>
          <w:highlight w:val="none"/>
          <w:shd w:val="clear" w:color="auto" w:fill="FFFFFF"/>
          <w:lang w:val="en-US" w:eastAsia="zh-CN"/>
        </w:rPr>
      </w:pPr>
      <w:r>
        <w:rPr>
          <w:rFonts w:hint="eastAsia" w:ascii="仿宋" w:hAnsi="仿宋" w:eastAsia="仿宋" w:cs="仿宋"/>
          <w:kern w:val="0"/>
          <w:sz w:val="24"/>
          <w:szCs w:val="24"/>
          <w:highlight w:val="none"/>
        </w:rPr>
        <w:t>招标代理机构联系人：</w:t>
      </w:r>
      <w:r>
        <w:rPr>
          <w:rFonts w:hint="eastAsia" w:ascii="仿宋" w:hAnsi="仿宋" w:eastAsia="仿宋" w:cs="仿宋"/>
          <w:bCs/>
          <w:kern w:val="0"/>
          <w:sz w:val="24"/>
          <w:highlight w:val="none"/>
          <w:shd w:val="clear" w:color="auto" w:fill="FFFFFF"/>
          <w:lang w:eastAsia="zh-CN"/>
        </w:rPr>
        <w:t>求</w:t>
      </w:r>
      <w:r>
        <w:rPr>
          <w:rFonts w:hint="eastAsia" w:ascii="仿宋" w:hAnsi="仿宋" w:eastAsia="仿宋" w:cs="仿宋"/>
          <w:bCs/>
          <w:kern w:val="0"/>
          <w:sz w:val="24"/>
          <w:highlight w:val="none"/>
          <w:shd w:val="clear" w:color="auto" w:fill="FFFFFF"/>
          <w:lang w:val="en-US" w:eastAsia="zh-CN"/>
        </w:rPr>
        <w:t>丽芳、吕若楠、卢昌来</w:t>
      </w:r>
    </w:p>
    <w:p w14:paraId="41A25398">
      <w:pPr>
        <w:spacing w:line="360" w:lineRule="auto"/>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bCs/>
          <w:kern w:val="0"/>
          <w:sz w:val="24"/>
          <w:highlight w:val="none"/>
          <w:shd w:val="clear" w:color="auto" w:fill="FFFFFF"/>
        </w:rPr>
        <w:t>联系电话：0575-86185027</w:t>
      </w:r>
      <w:r>
        <w:rPr>
          <w:rFonts w:hint="eastAsia" w:ascii="仿宋" w:hAnsi="仿宋" w:eastAsia="仿宋" w:cs="仿宋"/>
          <w:bCs/>
          <w:kern w:val="0"/>
          <w:sz w:val="24"/>
          <w:highlight w:val="none"/>
          <w:shd w:val="clear" w:color="auto" w:fill="FFFFFF"/>
          <w:lang w:eastAsia="zh-CN"/>
        </w:rPr>
        <w:t>、</w:t>
      </w:r>
      <w:r>
        <w:rPr>
          <w:rFonts w:hint="eastAsia" w:ascii="仿宋" w:hAnsi="仿宋" w:eastAsia="仿宋" w:cs="仿宋"/>
          <w:bCs/>
          <w:kern w:val="0"/>
          <w:sz w:val="24"/>
          <w:highlight w:val="none"/>
          <w:shd w:val="clear" w:color="auto" w:fill="FFFFFF"/>
          <w:lang w:val="en-US" w:eastAsia="zh-CN"/>
        </w:rPr>
        <w:t>17757554623</w:t>
      </w:r>
    </w:p>
    <w:p w14:paraId="09AE5FF7">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邮箱：GJXCFGS@163.com</w:t>
      </w:r>
    </w:p>
    <w:p w14:paraId="7E066681">
      <w:pPr>
        <w:spacing w:line="440" w:lineRule="exact"/>
        <w:ind w:firstLine="480" w:firstLineChars="200"/>
        <w:rPr>
          <w:rFonts w:hint="eastAsia" w:ascii="仿宋" w:hAnsi="仿宋" w:eastAsia="仿宋" w:cs="仿宋"/>
          <w:kern w:val="0"/>
          <w:sz w:val="24"/>
          <w:szCs w:val="24"/>
          <w:highlight w:val="none"/>
        </w:rPr>
      </w:pPr>
    </w:p>
    <w:p w14:paraId="27815F0E">
      <w:pPr>
        <w:spacing w:line="440" w:lineRule="exact"/>
        <w:ind w:firstLine="480" w:firstLineChars="200"/>
        <w:rPr>
          <w:rFonts w:hint="eastAsia" w:ascii="仿宋" w:hAnsi="仿宋" w:eastAsia="仿宋" w:cs="仿宋"/>
          <w:kern w:val="0"/>
          <w:sz w:val="24"/>
          <w:szCs w:val="24"/>
          <w:highlight w:val="none"/>
        </w:rPr>
      </w:pPr>
    </w:p>
    <w:p w14:paraId="042363B7">
      <w:pPr>
        <w:spacing w:line="440" w:lineRule="exact"/>
        <w:ind w:firstLine="480" w:firstLineChars="200"/>
        <w:jc w:val="righ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新昌县城市建设投资集团有限公司</w:t>
      </w:r>
    </w:p>
    <w:p w14:paraId="403299BF">
      <w:pPr>
        <w:spacing w:line="440" w:lineRule="exact"/>
        <w:ind w:firstLine="480" w:firstLineChars="200"/>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杭州贯今工程咨询有限公司</w:t>
      </w:r>
    </w:p>
    <w:p w14:paraId="608EDC2C">
      <w:pPr>
        <w:spacing w:line="440" w:lineRule="exact"/>
        <w:ind w:firstLine="480" w:firstLineChars="200"/>
        <w:jc w:val="right"/>
        <w:rPr>
          <w:rFonts w:hint="eastAsia" w:ascii="仿宋" w:hAnsi="仿宋" w:eastAsia="仿宋" w:cs="仿宋"/>
          <w:color w:val="0000FF"/>
          <w:kern w:val="0"/>
          <w:sz w:val="24"/>
          <w:szCs w:val="24"/>
          <w:highlight w:val="none"/>
        </w:rPr>
      </w:pPr>
      <w:r>
        <w:rPr>
          <w:rFonts w:hint="eastAsia" w:ascii="仿宋" w:hAnsi="仿宋" w:eastAsia="仿宋" w:cs="仿宋"/>
          <w:color w:val="0000FF"/>
          <w:kern w:val="0"/>
          <w:sz w:val="24"/>
          <w:szCs w:val="24"/>
          <w:highlight w:val="none"/>
          <w:lang w:eastAsia="zh-CN"/>
        </w:rPr>
        <w:t>2025</w:t>
      </w:r>
      <w:r>
        <w:rPr>
          <w:rFonts w:hint="eastAsia" w:ascii="仿宋" w:hAnsi="仿宋" w:eastAsia="仿宋" w:cs="仿宋"/>
          <w:color w:val="0000FF"/>
          <w:kern w:val="0"/>
          <w:sz w:val="24"/>
          <w:szCs w:val="24"/>
          <w:highlight w:val="none"/>
        </w:rPr>
        <w:t>年</w:t>
      </w:r>
      <w:r>
        <w:rPr>
          <w:rFonts w:hint="eastAsia" w:ascii="仿宋" w:hAnsi="仿宋" w:eastAsia="仿宋" w:cs="仿宋"/>
          <w:color w:val="0000FF"/>
          <w:kern w:val="0"/>
          <w:sz w:val="24"/>
          <w:szCs w:val="24"/>
          <w:highlight w:val="none"/>
          <w:lang w:val="en-US" w:eastAsia="zh-CN"/>
        </w:rPr>
        <w:t>7</w:t>
      </w:r>
      <w:r>
        <w:rPr>
          <w:rFonts w:hint="eastAsia" w:ascii="仿宋" w:hAnsi="仿宋" w:eastAsia="仿宋" w:cs="仿宋"/>
          <w:color w:val="0000FF"/>
          <w:kern w:val="0"/>
          <w:sz w:val="24"/>
          <w:szCs w:val="24"/>
          <w:highlight w:val="none"/>
        </w:rPr>
        <w:t>月</w:t>
      </w:r>
      <w:r>
        <w:rPr>
          <w:rFonts w:hint="eastAsia" w:ascii="仿宋" w:hAnsi="仿宋" w:eastAsia="仿宋" w:cs="仿宋"/>
          <w:color w:val="0000FF"/>
          <w:kern w:val="0"/>
          <w:sz w:val="24"/>
          <w:szCs w:val="24"/>
          <w:highlight w:val="none"/>
          <w:lang w:val="en-US" w:eastAsia="zh-CN"/>
        </w:rPr>
        <w:t>11</w:t>
      </w:r>
      <w:r>
        <w:rPr>
          <w:rFonts w:hint="eastAsia" w:ascii="仿宋" w:hAnsi="仿宋" w:eastAsia="仿宋" w:cs="仿宋"/>
          <w:color w:val="0000FF"/>
          <w:kern w:val="0"/>
          <w:sz w:val="24"/>
          <w:szCs w:val="24"/>
          <w:highlight w:val="none"/>
        </w:rPr>
        <w:t>日</w:t>
      </w:r>
      <w:bookmarkStart w:id="14" w:name="_Toc16470"/>
      <w:bookmarkStart w:id="15" w:name="_Toc20200"/>
      <w:bookmarkStart w:id="16" w:name="_Toc22469"/>
      <w:bookmarkStart w:id="17" w:name="_Toc20329"/>
      <w:bookmarkStart w:id="18" w:name="_Toc14901"/>
      <w:bookmarkStart w:id="19" w:name="_Toc19426"/>
      <w:bookmarkStart w:id="20" w:name="_Toc20661"/>
    </w:p>
    <w:p w14:paraId="408AA3DE">
      <w:pPr>
        <w:wordWrap w:val="0"/>
        <w:spacing w:line="360" w:lineRule="auto"/>
        <w:ind w:firstLine="480" w:firstLineChars="200"/>
        <w:rPr>
          <w:rFonts w:hint="eastAsia" w:ascii="仿宋" w:hAnsi="仿宋" w:eastAsia="仿宋" w:cs="仿宋"/>
          <w:color w:val="auto"/>
          <w:sz w:val="24"/>
          <w:highlight w:val="none"/>
        </w:rPr>
      </w:pPr>
    </w:p>
    <w:p w14:paraId="4E208AB3">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，点击右侧咨询小采，获取采小蜜智能服务管家帮助，或拨打政采云服务热线95763获取热线服务帮助。</w:t>
      </w:r>
    </w:p>
    <w:p w14:paraId="659DC53C">
      <w:pPr>
        <w:wordWrap w:val="0"/>
        <w:spacing w:line="360" w:lineRule="auto"/>
        <w:ind w:firstLine="480" w:firstLineChars="200"/>
        <w:rPr>
          <w:rFonts w:hint="eastAsia" w:ascii="仿宋" w:hAnsi="仿宋" w:eastAsia="仿宋" w:cs="仿宋"/>
          <w:highlight w:val="none"/>
          <w:lang w:eastAsia="zh-TW"/>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sz w:val="24"/>
          <w:szCs w:val="24"/>
          <w:highlight w:val="none"/>
          <w:lang w:eastAsia="zh-TW"/>
        </w:rPr>
        <w:br w:type="page"/>
      </w:r>
    </w:p>
    <w:p w14:paraId="59EB5644">
      <w:pPr>
        <w:pStyle w:val="181"/>
        <w:keepNext w:val="0"/>
        <w:keepLines w:val="0"/>
        <w:wordWrap w:val="0"/>
        <w:topLinePunct/>
        <w:rPr>
          <w:rFonts w:hint="eastAsia" w:ascii="仿宋" w:hAnsi="仿宋" w:eastAsia="仿宋" w:cs="仿宋"/>
          <w:bCs/>
          <w:color w:val="auto"/>
          <w:sz w:val="30"/>
          <w:szCs w:val="30"/>
          <w:highlight w:val="none"/>
        </w:rPr>
      </w:pPr>
      <w:bookmarkStart w:id="239" w:name="_GoBack"/>
      <w:bookmarkEnd w:id="239"/>
      <w:bookmarkStart w:id="21" w:name="_Toc11339"/>
      <w:bookmarkStart w:id="22" w:name="_Toc18629"/>
      <w:bookmarkStart w:id="23" w:name="_Toc31390"/>
      <w:bookmarkStart w:id="24" w:name="_Toc5722"/>
      <w:bookmarkStart w:id="25" w:name="_Toc16787"/>
      <w:bookmarkStart w:id="26" w:name="_Toc79135037"/>
      <w:bookmarkStart w:id="27" w:name="_Toc25985"/>
      <w:bookmarkStart w:id="28" w:name="_Toc4432"/>
      <w:r>
        <w:rPr>
          <w:rFonts w:hint="eastAsia" w:ascii="仿宋" w:hAnsi="仿宋" w:eastAsia="仿宋" w:cs="仿宋"/>
          <w:color w:val="auto"/>
          <w:highlight w:val="none"/>
        </w:rPr>
        <w:t>第二部分</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F58CE5F">
      <w:pPr>
        <w:spacing w:after="120" w:afterLines="50"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投标须知前附表</w:t>
      </w:r>
    </w:p>
    <w:tbl>
      <w:tblPr>
        <w:tblStyle w:val="46"/>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8"/>
        <w:gridCol w:w="1978"/>
        <w:gridCol w:w="6540"/>
      </w:tblGrid>
      <w:tr w14:paraId="524F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67D275D3">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5B3E86F6">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6725FBCD">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r>
      <w:tr w14:paraId="58DE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32947225">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7C8EDC86">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23B77487">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招标公告</w:t>
            </w:r>
          </w:p>
        </w:tc>
      </w:tr>
      <w:tr w14:paraId="5452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32EF0F48">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5F8DFE07">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25A9FC42">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企业自筹</w:t>
            </w:r>
          </w:p>
        </w:tc>
      </w:tr>
      <w:tr w14:paraId="3078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3387BD97">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570589E1">
            <w:pPr>
              <w:keepNext w:val="0"/>
              <w:keepLines w:val="0"/>
              <w:suppressLineNumbers w:val="0"/>
              <w:wordWrap w:val="0"/>
              <w:snapToGrid w:val="0"/>
              <w:spacing w:before="0" w:beforeAutospacing="0" w:after="0" w:afterAutospacing="0" w:line="360" w:lineRule="exact"/>
              <w:ind w:left="0" w:right="0"/>
              <w:jc w:val="center"/>
              <w:rPr>
                <w:rFonts w:hint="eastAsia" w:ascii="仿宋" w:hAnsi="仿宋" w:eastAsia="仿宋" w:cs="仿宋"/>
                <w:b/>
                <w:color w:val="auto"/>
                <w:kern w:val="2"/>
                <w:sz w:val="24"/>
                <w:szCs w:val="22"/>
                <w:highlight w:val="none"/>
                <w:lang w:val="en-US" w:eastAsia="zh-CN" w:bidi="ar-SA"/>
              </w:rPr>
            </w:pPr>
            <w:r>
              <w:rPr>
                <w:rFonts w:hint="eastAsia" w:ascii="仿宋" w:hAnsi="仿宋" w:eastAsia="仿宋" w:cs="仿宋"/>
                <w:b w:val="0"/>
                <w:color w:val="auto"/>
                <w:sz w:val="24"/>
                <w:szCs w:val="24"/>
                <w:highlight w:val="none"/>
              </w:rPr>
              <w:t>项目属性</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6C796C6C">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b w:val="0"/>
                <w:color w:val="auto"/>
                <w:sz w:val="24"/>
                <w:szCs w:val="24"/>
                <w:highlight w:val="none"/>
                <w:lang w:val="en-US" w:eastAsia="zh-CN"/>
              </w:rPr>
              <w:t>货物类</w:t>
            </w:r>
          </w:p>
        </w:tc>
      </w:tr>
      <w:tr w14:paraId="1DEE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542865AF">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0529F53D">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招标范围</w:t>
            </w:r>
          </w:p>
          <w:p w14:paraId="79BD9640">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及内容</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260E7DF9">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招标公告</w:t>
            </w:r>
          </w:p>
        </w:tc>
      </w:tr>
      <w:tr w14:paraId="1183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1BB4EFEB">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0CF579F2">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w:t>
            </w:r>
            <w:r>
              <w:rPr>
                <w:rFonts w:hint="eastAsia" w:ascii="仿宋" w:hAnsi="仿宋" w:eastAsia="仿宋" w:cs="仿宋"/>
                <w:b w:val="0"/>
                <w:bCs/>
                <w:sz w:val="24"/>
                <w:szCs w:val="24"/>
                <w:highlight w:val="none"/>
              </w:rPr>
              <w:t>合同履约期限</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1DD362B1">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u w:val="single"/>
              </w:rPr>
            </w:pPr>
            <w:r>
              <w:rPr>
                <w:rFonts w:hint="eastAsia" w:ascii="仿宋" w:hAnsi="仿宋" w:eastAsia="仿宋" w:cs="仿宋"/>
                <w:b w:val="0"/>
                <w:bCs/>
                <w:sz w:val="24"/>
                <w:szCs w:val="24"/>
                <w:highlight w:val="none"/>
                <w:lang w:eastAsia="zh-CN"/>
              </w:rPr>
              <w:t>合同签订生效之日起至</w:t>
            </w:r>
            <w:r>
              <w:rPr>
                <w:rFonts w:hint="eastAsia" w:ascii="仿宋" w:hAnsi="仿宋" w:eastAsia="仿宋" w:cs="仿宋"/>
                <w:b w:val="0"/>
                <w:bCs/>
                <w:sz w:val="24"/>
                <w:szCs w:val="24"/>
                <w:highlight w:val="none"/>
                <w:lang w:val="en-US" w:eastAsia="zh-CN"/>
              </w:rPr>
              <w:t>项目</w:t>
            </w:r>
            <w:r>
              <w:rPr>
                <w:rFonts w:hint="eastAsia" w:ascii="仿宋" w:hAnsi="仿宋" w:eastAsia="仿宋" w:cs="仿宋"/>
                <w:b w:val="0"/>
                <w:bCs/>
                <w:sz w:val="24"/>
                <w:szCs w:val="24"/>
                <w:highlight w:val="none"/>
                <w:lang w:eastAsia="zh-CN"/>
              </w:rPr>
              <w:t>验收通过之日</w:t>
            </w:r>
          </w:p>
        </w:tc>
      </w:tr>
      <w:tr w14:paraId="5B35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418EF890">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2342BB6D">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项目地点</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147F2535">
            <w:pPr>
              <w:pStyle w:val="41"/>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新昌县人民医院（新昌县孝行路66号</w:t>
            </w:r>
            <w:r>
              <w:rPr>
                <w:rFonts w:hint="eastAsia" w:ascii="仿宋" w:hAnsi="仿宋" w:eastAsia="仿宋" w:cs="仿宋"/>
                <w:i w:val="0"/>
                <w:iCs w:val="0"/>
                <w:caps w:val="0"/>
                <w:color w:val="auto"/>
                <w:spacing w:val="0"/>
                <w:sz w:val="24"/>
                <w:szCs w:val="24"/>
                <w:highlight w:val="none"/>
                <w:shd w:val="clear"/>
                <w:lang w:eastAsia="zh-CN"/>
              </w:rPr>
              <w:t>）</w:t>
            </w:r>
          </w:p>
        </w:tc>
      </w:tr>
      <w:tr w14:paraId="5E4A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562C0778">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35682CD0">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投标最高限价</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7F610082">
            <w:pPr>
              <w:pStyle w:val="41"/>
              <w:keepNext w:val="0"/>
              <w:keepLines w:val="0"/>
              <w:suppressLineNumbers w:val="0"/>
              <w:shd w:val="clear" w:color="auto" w:fill="FFFFFF"/>
              <w:spacing w:before="0" w:beforeAutospacing="0" w:after="0" w:afterAutospacing="0" w:line="360"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见招标公告，</w:t>
            </w:r>
            <w:r>
              <w:rPr>
                <w:rFonts w:hint="eastAsia" w:ascii="仿宋" w:hAnsi="仿宋" w:eastAsia="仿宋" w:cs="仿宋"/>
                <w:color w:val="auto"/>
                <w:sz w:val="24"/>
                <w:szCs w:val="24"/>
                <w:highlight w:val="none"/>
                <w:lang w:bidi="ar"/>
              </w:rPr>
              <w:t>超过限价的按无效标处理</w:t>
            </w:r>
          </w:p>
        </w:tc>
      </w:tr>
      <w:tr w14:paraId="5E41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741433FE">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453E0832">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公告发布网站</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423EE0A4">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浙江政府采购网（乐采云平台）、</w:t>
            </w:r>
            <w:r>
              <w:rPr>
                <w:rFonts w:hint="eastAsia" w:ascii="仿宋" w:hAnsi="仿宋" w:eastAsia="仿宋" w:cs="仿宋"/>
                <w:color w:val="auto"/>
                <w:sz w:val="24"/>
                <w:szCs w:val="24"/>
                <w:highlight w:val="none"/>
                <w:lang w:eastAsia="zh-CN"/>
              </w:rPr>
              <w:t>新昌县公共资源交易平台</w:t>
            </w:r>
          </w:p>
        </w:tc>
      </w:tr>
      <w:tr w14:paraId="199B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4C673ADA">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7203F3AE">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投标人资格</w:t>
            </w:r>
          </w:p>
          <w:p w14:paraId="4A2BA1AE">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条件</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204BFF10">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详见第一部分招标公告中“四、投标人资格条件”</w:t>
            </w:r>
          </w:p>
        </w:tc>
      </w:tr>
      <w:tr w14:paraId="397B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7ACC0C28">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75CB44EA">
            <w:pPr>
              <w:keepNext w:val="0"/>
              <w:keepLines w:val="0"/>
              <w:suppressLineNumbers w:val="0"/>
              <w:wordWrap w:val="0"/>
              <w:adjustRightInd w:val="0"/>
              <w:snapToGrid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是否接受</w:t>
            </w:r>
          </w:p>
          <w:p w14:paraId="38FAB0F0">
            <w:pPr>
              <w:keepNext w:val="0"/>
              <w:keepLines w:val="0"/>
              <w:suppressLineNumbers w:val="0"/>
              <w:wordWrap w:val="0"/>
              <w:adjustRightInd w:val="0"/>
              <w:snapToGrid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46B8FE53">
            <w:pPr>
              <w:keepNext w:val="0"/>
              <w:keepLines w:val="0"/>
              <w:suppressLineNumbers w:val="0"/>
              <w:wordWrap w:val="0"/>
              <w:spacing w:before="0" w:beforeAutospacing="0" w:after="0" w:afterAutospacing="0" w:line="360" w:lineRule="exact"/>
              <w:ind w:left="0"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□接受。应满足下列要求：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552CCCB">
            <w:pPr>
              <w:keepNext w:val="0"/>
              <w:keepLines w:val="0"/>
              <w:suppressLineNumbers w:val="0"/>
              <w:wordWrap w:val="0"/>
              <w:spacing w:before="0" w:beforeAutospacing="0" w:after="0" w:afterAutospacing="0" w:line="360" w:lineRule="exact"/>
              <w:ind w:left="0"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tc>
      </w:tr>
      <w:tr w14:paraId="282D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41CB7EAE">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65070C7E">
            <w:pPr>
              <w:keepNext w:val="0"/>
              <w:keepLines w:val="0"/>
              <w:suppressLineNumbers w:val="0"/>
              <w:wordWrap w:val="0"/>
              <w:adjustRightInd w:val="0"/>
              <w:snapToGrid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16120636">
            <w:pPr>
              <w:keepNext w:val="0"/>
              <w:keepLines w:val="0"/>
              <w:suppressLineNumbers w:val="0"/>
              <w:wordWrap w:val="0"/>
              <w:spacing w:before="0" w:beforeAutospacing="0" w:after="0" w:afterAutospacing="0" w:line="360" w:lineRule="exact"/>
              <w:ind w:left="0"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投标截止日起90天内。</w:t>
            </w:r>
          </w:p>
        </w:tc>
      </w:tr>
      <w:tr w14:paraId="2775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2A42C2B8">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7915AB04">
            <w:pPr>
              <w:pStyle w:val="41"/>
              <w:keepNext w:val="0"/>
              <w:keepLines w:val="0"/>
              <w:suppressLineNumbers w:val="0"/>
              <w:shd w:val="clear" w:color="auto" w:fill="FFFFFF"/>
              <w:wordWrap w:val="0"/>
              <w:spacing w:before="0" w:beforeAutospacing="0" w:after="0" w:afterAutospacing="0" w:line="360" w:lineRule="exact"/>
              <w:ind w:left="0" w:right="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投标保证金</w:t>
            </w:r>
          </w:p>
          <w:p w14:paraId="2AACF0B0">
            <w:pPr>
              <w:pStyle w:val="41"/>
              <w:keepNext w:val="0"/>
              <w:keepLines w:val="0"/>
              <w:suppressLineNumbers w:val="0"/>
              <w:shd w:val="clear" w:color="auto" w:fill="FFFFFF"/>
              <w:wordWrap w:val="0"/>
              <w:spacing w:before="0" w:beforeAutospacing="0" w:after="0" w:afterAutospacing="0" w:line="360" w:lineRule="exact"/>
              <w:ind w:left="0" w:right="0"/>
              <w:rPr>
                <w:rFonts w:hint="eastAsia" w:ascii="仿宋" w:hAnsi="仿宋" w:eastAsia="仿宋" w:cs="仿宋"/>
                <w:color w:val="auto"/>
                <w:szCs w:val="24"/>
                <w:highlight w:val="none"/>
              </w:rPr>
            </w:pP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7B79B3E2">
            <w:pPr>
              <w:pStyle w:val="41"/>
              <w:keepNext w:val="0"/>
              <w:keepLines w:val="0"/>
              <w:suppressLineNumbers w:val="0"/>
              <w:shd w:val="clear" w:color="auto" w:fill="FFFFFF"/>
              <w:wordWrap w:val="0"/>
              <w:spacing w:before="0" w:beforeAutospacing="0" w:after="0" w:afterAutospacing="0" w:line="360" w:lineRule="exact"/>
              <w:ind w:left="0" w:right="0"/>
              <w:rPr>
                <w:rFonts w:hint="eastAsia" w:ascii="仿宋" w:hAnsi="仿宋" w:eastAsia="仿宋" w:cs="仿宋"/>
                <w:color w:val="auto"/>
                <w:szCs w:val="24"/>
                <w:highlight w:val="none"/>
              </w:rPr>
            </w:pPr>
            <w:r>
              <w:rPr>
                <w:rFonts w:hint="eastAsia" w:ascii="仿宋" w:hAnsi="仿宋" w:eastAsia="仿宋" w:cs="仿宋"/>
                <w:color w:val="auto"/>
                <w:szCs w:val="24"/>
                <w:highlight w:val="none"/>
              </w:rPr>
              <w:t>递交人：投标人</w:t>
            </w:r>
          </w:p>
          <w:p w14:paraId="2074CE26">
            <w:pPr>
              <w:pStyle w:val="41"/>
              <w:keepNext w:val="0"/>
              <w:keepLines w:val="0"/>
              <w:suppressLineNumbers w:val="0"/>
              <w:shd w:val="clear" w:color="auto" w:fill="FFFFFF"/>
              <w:wordWrap w:val="0"/>
              <w:spacing w:before="0" w:beforeAutospacing="0" w:after="0" w:afterAutospacing="0" w:line="360" w:lineRule="exact"/>
              <w:ind w:left="0" w:right="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金额：</w:t>
            </w:r>
            <w:r>
              <w:rPr>
                <w:rFonts w:hint="eastAsia" w:ascii="仿宋" w:hAnsi="仿宋" w:eastAsia="仿宋" w:cs="仿宋"/>
                <w:sz w:val="24"/>
                <w:szCs w:val="24"/>
                <w:highlight w:val="none"/>
              </w:rPr>
              <w:t>人民币</w:t>
            </w:r>
            <w:r>
              <w:rPr>
                <w:rFonts w:hint="eastAsia" w:ascii="仿宋" w:hAnsi="仿宋" w:eastAsia="仿宋" w:cs="仿宋"/>
                <w:color w:val="0000FF"/>
                <w:sz w:val="24"/>
                <w:szCs w:val="24"/>
                <w:highlight w:val="none"/>
                <w:u w:val="single"/>
                <w:lang w:val="en-US" w:eastAsia="zh-CN"/>
              </w:rPr>
              <w:t xml:space="preserve">  4  </w:t>
            </w:r>
            <w:r>
              <w:rPr>
                <w:rFonts w:hint="eastAsia" w:ascii="仿宋" w:hAnsi="仿宋" w:eastAsia="仿宋" w:cs="仿宋"/>
                <w:color w:val="0000FF"/>
                <w:sz w:val="24"/>
                <w:szCs w:val="24"/>
                <w:highlight w:val="none"/>
              </w:rPr>
              <w:t>万元</w:t>
            </w:r>
            <w:r>
              <w:rPr>
                <w:rFonts w:hint="eastAsia" w:ascii="仿宋" w:hAnsi="仿宋" w:eastAsia="仿宋" w:cs="仿宋"/>
                <w:sz w:val="24"/>
                <w:szCs w:val="24"/>
                <w:highlight w:val="none"/>
              </w:rPr>
              <w:t>整（不超过最高限价的2%）</w:t>
            </w:r>
          </w:p>
          <w:p w14:paraId="29CD2C79">
            <w:pPr>
              <w:pStyle w:val="41"/>
              <w:keepNext w:val="0"/>
              <w:keepLines w:val="0"/>
              <w:suppressLineNumbers w:val="0"/>
              <w:shd w:val="clear" w:color="auto" w:fill="FFFFFF"/>
              <w:wordWrap w:val="0"/>
              <w:spacing w:before="0" w:beforeAutospacing="0" w:after="0" w:afterAutospacing="0" w:line="360" w:lineRule="exact"/>
              <w:ind w:left="0" w:right="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形式：□汇票、</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转帐支票、</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现金、</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网银或</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电汇</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保函</w:t>
            </w:r>
          </w:p>
          <w:p w14:paraId="30EF5903">
            <w:pPr>
              <w:pStyle w:val="41"/>
              <w:keepNext w:val="0"/>
              <w:keepLines w:val="0"/>
              <w:suppressLineNumbers w:val="0"/>
              <w:shd w:val="clear" w:color="auto" w:fill="FFFFFF"/>
              <w:wordWrap w:val="0"/>
              <w:spacing w:before="0" w:beforeAutospacing="0" w:after="0" w:afterAutospacing="0" w:line="360" w:lineRule="exact"/>
              <w:ind w:left="0" w:right="0"/>
              <w:rPr>
                <w:rFonts w:hint="eastAsia" w:ascii="仿宋" w:hAnsi="仿宋" w:eastAsia="仿宋" w:cs="仿宋"/>
                <w:color w:val="auto"/>
                <w:szCs w:val="24"/>
                <w:highlight w:val="none"/>
              </w:rPr>
            </w:pPr>
            <w:r>
              <w:rPr>
                <w:rFonts w:hint="eastAsia" w:ascii="仿宋" w:hAnsi="仿宋" w:eastAsia="仿宋" w:cs="仿宋"/>
                <w:color w:val="auto"/>
                <w:szCs w:val="24"/>
                <w:highlight w:val="none"/>
              </w:rPr>
              <w:t>时间：投标人须确保投标保证金在投标截止时间前到达以下指定账户：</w:t>
            </w:r>
          </w:p>
          <w:p w14:paraId="1B589FF1">
            <w:pPr>
              <w:pStyle w:val="41"/>
              <w:keepNext w:val="0"/>
              <w:keepLines w:val="0"/>
              <w:suppressLineNumbers w:val="0"/>
              <w:shd w:val="clear" w:color="auto" w:fill="FFFFFF"/>
              <w:wordWrap w:val="0"/>
              <w:spacing w:before="0" w:beforeAutospacing="0" w:after="0" w:afterAutospacing="0" w:line="360" w:lineRule="exact"/>
              <w:ind w:left="0" w:right="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户  名：杭州贯今工程咨询有限公司   </w:t>
            </w:r>
          </w:p>
          <w:p w14:paraId="5392E920">
            <w:pPr>
              <w:pStyle w:val="41"/>
              <w:keepNext w:val="0"/>
              <w:keepLines w:val="0"/>
              <w:suppressLineNumbers w:val="0"/>
              <w:shd w:val="clear" w:color="auto" w:fill="FFFFFF"/>
              <w:wordWrap w:val="0"/>
              <w:spacing w:before="0" w:beforeAutospacing="0" w:after="0" w:afterAutospacing="0" w:line="360" w:lineRule="exact"/>
              <w:ind w:left="0" w:right="0"/>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开户行：杭州联合银行解放路支行</w:t>
            </w:r>
          </w:p>
          <w:p w14:paraId="61569389">
            <w:pPr>
              <w:pStyle w:val="41"/>
              <w:keepNext w:val="0"/>
              <w:keepLines w:val="0"/>
              <w:suppressLineNumbers w:val="0"/>
              <w:shd w:val="clear" w:color="auto" w:fill="FFFFFF"/>
              <w:wordWrap w:val="0"/>
              <w:spacing w:before="0" w:beforeAutospacing="0" w:after="0" w:afterAutospacing="0" w:line="360" w:lineRule="exact"/>
              <w:ind w:left="0" w:right="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账  号：201000386174900</w:t>
            </w:r>
          </w:p>
          <w:p w14:paraId="1D6260B8">
            <w:pPr>
              <w:pStyle w:val="41"/>
              <w:keepNext w:val="0"/>
              <w:keepLines w:val="0"/>
              <w:suppressLineNumbers w:val="0"/>
              <w:shd w:val="clear" w:color="auto" w:fill="FFFFFF"/>
              <w:wordWrap w:val="0"/>
              <w:spacing w:before="0" w:beforeAutospacing="0" w:after="0" w:afterAutospacing="0" w:line="360" w:lineRule="exact"/>
              <w:ind w:left="0" w:right="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有效期：递交投标文件截止时间起 90天。</w:t>
            </w:r>
          </w:p>
          <w:p w14:paraId="0058A150">
            <w:pPr>
              <w:pStyle w:val="41"/>
              <w:keepNext w:val="0"/>
              <w:keepLines w:val="0"/>
              <w:suppressLineNumbers w:val="0"/>
              <w:shd w:val="clear" w:color="auto" w:fill="FFFFFF"/>
              <w:wordWrap w:val="0"/>
              <w:spacing w:before="0" w:beforeAutospacing="0" w:after="0" w:afterAutospacing="0" w:line="360" w:lineRule="exact"/>
              <w:ind w:left="0" w:right="0"/>
              <w:rPr>
                <w:rFonts w:hint="eastAsia" w:ascii="仿宋" w:hAnsi="仿宋" w:eastAsia="仿宋" w:cs="仿宋"/>
                <w:color w:val="auto"/>
                <w:szCs w:val="24"/>
                <w:highlight w:val="none"/>
              </w:rPr>
            </w:pPr>
            <w:r>
              <w:rPr>
                <w:rFonts w:hint="eastAsia" w:ascii="仿宋" w:hAnsi="仿宋" w:eastAsia="仿宋" w:cs="仿宋"/>
                <w:color w:val="auto"/>
                <w:szCs w:val="24"/>
                <w:highlight w:val="none"/>
              </w:rPr>
              <w:t>保证金退还：书面合同签订后5日内向中标人和未中标的投标人退还投标保证金。</w:t>
            </w:r>
          </w:p>
        </w:tc>
      </w:tr>
      <w:tr w14:paraId="3472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100FA04D">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01A6709E">
            <w:pPr>
              <w:keepNext w:val="0"/>
              <w:keepLines w:val="0"/>
              <w:suppressLineNumbers w:val="0"/>
              <w:wordWrap w:val="0"/>
              <w:adjustRightInd w:val="0"/>
              <w:snapToGrid w:val="0"/>
              <w:spacing w:before="0" w:beforeAutospacing="0" w:after="0" w:afterAutospacing="0" w:line="360" w:lineRule="exac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现场</w:t>
            </w:r>
            <w:r>
              <w:rPr>
                <w:rFonts w:hint="eastAsia" w:ascii="仿宋" w:hAnsi="仿宋" w:eastAsia="仿宋" w:cs="仿宋"/>
                <w:color w:val="auto"/>
                <w:sz w:val="24"/>
                <w:szCs w:val="24"/>
                <w:highlight w:val="none"/>
                <w:lang w:val="en-US" w:eastAsia="zh-CN"/>
              </w:rPr>
              <w:t>踏勘</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42C1F9DC">
            <w:pPr>
              <w:keepNext w:val="0"/>
              <w:keepLines w:val="0"/>
              <w:suppressLineNumbers w:val="0"/>
              <w:wordWrap w:val="0"/>
              <w:spacing w:before="0" w:beforeAutospacing="0" w:after="0" w:afterAutospacing="0" w:line="360" w:lineRule="exact"/>
              <w:ind w:left="0"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□组织，联系人：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B6EB34E">
            <w:pPr>
              <w:keepNext w:val="0"/>
              <w:keepLines w:val="0"/>
              <w:suppressLineNumbers w:val="0"/>
              <w:wordWrap w:val="0"/>
              <w:spacing w:before="0" w:beforeAutospacing="0" w:after="0" w:afterAutospacing="0" w:line="360" w:lineRule="exact"/>
              <w:ind w:left="0"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不组织</w:t>
            </w:r>
          </w:p>
          <w:p w14:paraId="2DD4CC4E">
            <w:pPr>
              <w:keepNext w:val="0"/>
              <w:keepLines w:val="0"/>
              <w:suppressLineNumbers w:val="0"/>
              <w:wordWrap w:val="0"/>
              <w:spacing w:before="0" w:beforeAutospacing="0" w:after="0" w:afterAutospacing="0" w:line="360" w:lineRule="exact"/>
              <w:ind w:left="0"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☑招标人不集中组织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投标截止前，对项目实施现场及周边环境等进行勘察，以获取编制投标文件和签署合同所需的所有资料，否则，由此所造成的一切后果由投标人自行承担。无论投标人是否踏勘现场，均被视作对项目现场的了解已完全满足本采购项目投标报价的需要。有关踏勘现场需要发生的一切费用由投标人自理，投标人自行负责在踏勘现场中所发生的任何风险责任和财产损失。</w:t>
            </w:r>
          </w:p>
        </w:tc>
      </w:tr>
      <w:tr w14:paraId="6DC9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5ACEA710">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3871EC73">
            <w:pPr>
              <w:keepNext w:val="0"/>
              <w:keepLines w:val="0"/>
              <w:suppressLineNumbers w:val="0"/>
              <w:wordWrap w:val="0"/>
              <w:adjustRightInd w:val="0"/>
              <w:snapToGrid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1306BAE4">
            <w:pPr>
              <w:keepNext w:val="0"/>
              <w:keepLines w:val="0"/>
              <w:suppressLineNumbers w:val="0"/>
              <w:wordWrap w:val="0"/>
              <w:snapToGrid w:val="0"/>
              <w:spacing w:before="0" w:beforeAutospacing="0" w:after="0" w:afterAutospacing="0" w:line="360" w:lineRule="exact"/>
              <w:ind w:left="0" w:right="0"/>
              <w:jc w:val="left"/>
              <w:rPr>
                <w:rFonts w:hint="eastAsia" w:ascii="仿宋" w:hAnsi="仿宋" w:eastAsia="仿宋" w:cs="仿宋"/>
                <w:color w:val="auto"/>
                <w:kern w:val="0"/>
                <w:sz w:val="24"/>
                <w:szCs w:val="24"/>
                <w:highlight w:val="none"/>
                <w:lang w:val="zh-CN"/>
              </w:rPr>
            </w:pPr>
            <w:r>
              <w:rPr>
                <w:rFonts w:hint="eastAsia" w:ascii="仿宋" w:hAnsi="仿宋" w:eastAsia="仿宋" w:cs="仿宋"/>
                <w:b w:val="0"/>
                <w:bCs w:val="0"/>
                <w:color w:val="auto"/>
                <w:kern w:val="0"/>
                <w:sz w:val="24"/>
                <w:szCs w:val="24"/>
                <w:highlight w:val="none"/>
                <w:lang w:val="zh-CN"/>
              </w:rPr>
              <w:t>有关本项目实施所需的所有费用（含税费）均计入报价，</w:t>
            </w:r>
            <w:r>
              <w:rPr>
                <w:rFonts w:hint="eastAsia" w:ascii="仿宋" w:hAnsi="仿宋" w:eastAsia="仿宋" w:cs="仿宋"/>
                <w:color w:val="auto"/>
                <w:kern w:val="0"/>
                <w:sz w:val="24"/>
                <w:highlight w:val="none"/>
                <w:lang w:val="zh-CN"/>
              </w:rPr>
              <w:t>包括但不限于</w:t>
            </w:r>
            <w:r>
              <w:rPr>
                <w:rFonts w:hint="eastAsia" w:ascii="仿宋" w:hAnsi="仿宋" w:eastAsia="仿宋" w:cs="仿宋"/>
                <w:color w:val="auto"/>
                <w:sz w:val="24"/>
                <w:szCs w:val="22"/>
                <w:highlight w:val="none"/>
                <w:lang w:val="en-US" w:eastAsia="zh-CN" w:bidi="ar-SA"/>
              </w:rPr>
              <w:t>现场</w:t>
            </w:r>
            <w:r>
              <w:rPr>
                <w:rFonts w:hint="eastAsia" w:ascii="仿宋" w:hAnsi="仿宋" w:eastAsia="仿宋" w:cs="仿宋"/>
                <w:color w:val="auto"/>
                <w:sz w:val="24"/>
                <w:szCs w:val="22"/>
                <w:highlight w:val="none"/>
                <w:lang w:val="zh-CN" w:eastAsia="zh-CN" w:bidi="ar-SA"/>
              </w:rPr>
              <w:t>踏勘费、</w:t>
            </w:r>
            <w:r>
              <w:rPr>
                <w:rFonts w:hint="eastAsia" w:ascii="仿宋" w:hAnsi="仿宋" w:eastAsia="仿宋" w:cs="仿宋"/>
                <w:b w:val="0"/>
                <w:bCs w:val="0"/>
                <w:color w:val="auto"/>
                <w:kern w:val="0"/>
                <w:sz w:val="24"/>
                <w:szCs w:val="22"/>
                <w:highlight w:val="none"/>
                <w:lang w:val="en-US" w:eastAsia="zh-CN" w:bidi="ar-SA"/>
              </w:rPr>
              <w:t>货物出厂价</w:t>
            </w:r>
            <w:r>
              <w:rPr>
                <w:rFonts w:hint="eastAsia" w:ascii="仿宋" w:hAnsi="仿宋" w:eastAsia="仿宋" w:cs="仿宋"/>
                <w:b w:val="0"/>
                <w:bCs w:val="0"/>
                <w:color w:val="auto"/>
                <w:kern w:val="0"/>
                <w:sz w:val="24"/>
                <w:szCs w:val="22"/>
                <w:highlight w:val="none"/>
                <w:lang w:val="zh-CN" w:eastAsia="zh-CN" w:bidi="ar-SA"/>
              </w:rPr>
              <w:t>、</w:t>
            </w:r>
            <w:r>
              <w:rPr>
                <w:rFonts w:hint="eastAsia" w:ascii="仿宋" w:hAnsi="仿宋" w:eastAsia="仿宋" w:cs="仿宋"/>
                <w:b w:val="0"/>
                <w:bCs w:val="0"/>
                <w:color w:val="auto"/>
                <w:kern w:val="0"/>
                <w:sz w:val="24"/>
                <w:szCs w:val="22"/>
                <w:highlight w:val="none"/>
                <w:lang w:val="en-US" w:eastAsia="zh-CN" w:bidi="ar-SA"/>
              </w:rPr>
              <w:t>运杂</w:t>
            </w:r>
            <w:r>
              <w:rPr>
                <w:rFonts w:hint="eastAsia" w:ascii="仿宋" w:hAnsi="仿宋" w:eastAsia="仿宋" w:cs="仿宋"/>
                <w:b w:val="0"/>
                <w:bCs w:val="0"/>
                <w:color w:val="auto"/>
                <w:kern w:val="0"/>
                <w:sz w:val="24"/>
                <w:szCs w:val="22"/>
                <w:highlight w:val="none"/>
                <w:lang w:val="zh-CN" w:eastAsia="zh-CN" w:bidi="ar-SA"/>
              </w:rPr>
              <w:t>费、</w:t>
            </w:r>
            <w:r>
              <w:rPr>
                <w:rFonts w:hint="eastAsia" w:ascii="仿宋" w:hAnsi="仿宋" w:eastAsia="仿宋" w:cs="仿宋"/>
                <w:b w:val="0"/>
                <w:bCs w:val="0"/>
                <w:color w:val="auto"/>
                <w:kern w:val="0"/>
                <w:sz w:val="24"/>
                <w:szCs w:val="22"/>
                <w:highlight w:val="none"/>
                <w:lang w:val="en-US" w:eastAsia="zh-CN" w:bidi="ar-SA"/>
              </w:rPr>
              <w:t>复尺费、</w:t>
            </w:r>
            <w:r>
              <w:rPr>
                <w:rFonts w:hint="eastAsia" w:ascii="仿宋" w:hAnsi="仿宋" w:eastAsia="仿宋" w:cs="仿宋"/>
                <w:b w:val="0"/>
                <w:bCs w:val="0"/>
                <w:color w:val="auto"/>
                <w:kern w:val="0"/>
                <w:sz w:val="24"/>
                <w:szCs w:val="22"/>
                <w:highlight w:val="none"/>
                <w:lang w:val="zh-CN" w:eastAsia="zh-CN" w:bidi="ar-SA"/>
              </w:rPr>
              <w:t>安装</w:t>
            </w:r>
            <w:r>
              <w:rPr>
                <w:rFonts w:hint="eastAsia" w:ascii="仿宋" w:hAnsi="仿宋" w:eastAsia="仿宋" w:cs="仿宋"/>
                <w:b w:val="0"/>
                <w:bCs w:val="0"/>
                <w:color w:val="auto"/>
                <w:kern w:val="0"/>
                <w:sz w:val="24"/>
                <w:szCs w:val="22"/>
                <w:highlight w:val="none"/>
                <w:lang w:val="en-US" w:eastAsia="zh-CN" w:bidi="ar-SA"/>
              </w:rPr>
              <w:t>费</w:t>
            </w:r>
            <w:r>
              <w:rPr>
                <w:rFonts w:hint="eastAsia" w:ascii="仿宋" w:hAnsi="仿宋" w:eastAsia="仿宋" w:cs="仿宋"/>
                <w:b w:val="0"/>
                <w:bCs w:val="0"/>
                <w:color w:val="auto"/>
                <w:kern w:val="0"/>
                <w:sz w:val="24"/>
                <w:szCs w:val="22"/>
                <w:highlight w:val="none"/>
                <w:lang w:val="zh-CN" w:eastAsia="zh-CN" w:bidi="ar-SA"/>
              </w:rPr>
              <w:t>、调试费、</w:t>
            </w:r>
            <w:r>
              <w:rPr>
                <w:rFonts w:hint="eastAsia" w:ascii="仿宋" w:hAnsi="仿宋" w:eastAsia="仿宋" w:cs="仿宋"/>
                <w:b w:val="0"/>
                <w:bCs w:val="0"/>
                <w:color w:val="auto"/>
                <w:kern w:val="0"/>
                <w:sz w:val="24"/>
                <w:szCs w:val="22"/>
                <w:highlight w:val="none"/>
                <w:lang w:val="en-US" w:eastAsia="zh-CN" w:bidi="ar-SA"/>
              </w:rPr>
              <w:t>检测费、验收</w:t>
            </w:r>
            <w:r>
              <w:rPr>
                <w:rFonts w:hint="eastAsia" w:ascii="仿宋" w:hAnsi="仿宋" w:eastAsia="仿宋" w:cs="仿宋"/>
                <w:b w:val="0"/>
                <w:bCs w:val="0"/>
                <w:color w:val="auto"/>
                <w:kern w:val="0"/>
                <w:sz w:val="24"/>
                <w:szCs w:val="22"/>
                <w:highlight w:val="none"/>
                <w:lang w:val="zh-CN" w:eastAsia="zh-CN" w:bidi="ar-SA"/>
              </w:rPr>
              <w:t>费、</w:t>
            </w:r>
            <w:r>
              <w:rPr>
                <w:rFonts w:hint="eastAsia" w:ascii="仿宋" w:hAnsi="仿宋" w:eastAsia="仿宋" w:cs="仿宋"/>
                <w:color w:val="auto"/>
                <w:sz w:val="24"/>
                <w:szCs w:val="22"/>
                <w:highlight w:val="none"/>
                <w:lang w:val="zh-CN" w:eastAsia="zh-CN" w:bidi="ar-SA"/>
              </w:rPr>
              <w:t>售后及质保服务费、垃圾清理费、</w:t>
            </w:r>
            <w:r>
              <w:rPr>
                <w:rFonts w:hint="eastAsia" w:ascii="仿宋" w:hAnsi="仿宋" w:eastAsia="仿宋" w:cs="仿宋"/>
                <w:color w:val="auto"/>
                <w:sz w:val="24"/>
                <w:szCs w:val="22"/>
                <w:highlight w:val="none"/>
                <w:lang w:val="en-US" w:eastAsia="zh-CN" w:bidi="ar-SA"/>
              </w:rPr>
              <w:t>企业</w:t>
            </w:r>
            <w:r>
              <w:rPr>
                <w:rFonts w:hint="eastAsia" w:ascii="仿宋" w:hAnsi="仿宋" w:eastAsia="仿宋" w:cs="仿宋"/>
                <w:color w:val="auto"/>
                <w:sz w:val="24"/>
                <w:szCs w:val="22"/>
                <w:highlight w:val="none"/>
                <w:lang w:val="zh-CN" w:eastAsia="zh-CN" w:bidi="ar-SA"/>
              </w:rPr>
              <w:t>管理费、利润、税金等一切费用。本项目还应包括场地及原有设备的保护措施费、现场安装施工组织（含安全文明施工）措施费等。</w:t>
            </w:r>
          </w:p>
          <w:p w14:paraId="79D16052">
            <w:pPr>
              <w:keepNext w:val="0"/>
              <w:keepLines w:val="0"/>
              <w:pageBreakBefore w:val="0"/>
              <w:suppressLineNumbers w:val="0"/>
              <w:topLinePunct w:val="0"/>
              <w:autoSpaceDN/>
              <w:bidi w:val="0"/>
              <w:snapToGrid w:val="0"/>
              <w:spacing w:before="0" w:beforeAutospacing="0" w:after="0" w:afterAutospacing="0" w:line="360" w:lineRule="exact"/>
              <w:ind w:left="0" w:right="0"/>
              <w:jc w:val="left"/>
              <w:textAlignment w:val="auto"/>
              <w:rPr>
                <w:rFonts w:hint="eastAsia" w:ascii="仿宋" w:hAnsi="仿宋" w:eastAsia="仿宋" w:cs="仿宋"/>
                <w:kern w:val="0"/>
                <w:sz w:val="24"/>
                <w:szCs w:val="24"/>
                <w:highlight w:val="none"/>
                <w:lang w:val="zh-CN"/>
              </w:rPr>
            </w:pPr>
            <w:r>
              <w:rPr>
                <w:rFonts w:hint="eastAsia" w:ascii="仿宋" w:hAnsi="仿宋" w:eastAsia="仿宋" w:cs="仿宋"/>
                <w:sz w:val="24"/>
                <w:szCs w:val="24"/>
                <w:highlight w:val="none"/>
              </w:rPr>
              <w:t>开标一览表（报价表）是报价的唯一载体</w:t>
            </w:r>
            <w:r>
              <w:rPr>
                <w:rFonts w:hint="eastAsia" w:ascii="仿宋" w:hAnsi="仿宋" w:eastAsia="仿宋" w:cs="仿宋"/>
                <w:kern w:val="0"/>
                <w:sz w:val="24"/>
                <w:szCs w:val="24"/>
                <w:highlight w:val="none"/>
                <w:lang w:val="zh-CN"/>
              </w:rPr>
              <w:t>。</w:t>
            </w:r>
            <w:r>
              <w:rPr>
                <w:rFonts w:hint="eastAsia" w:ascii="仿宋" w:hAnsi="仿宋" w:eastAsia="仿宋" w:cs="仿宋"/>
                <w:b/>
                <w:bCs/>
                <w:color w:val="auto"/>
                <w:kern w:val="0"/>
                <w:sz w:val="24"/>
                <w:highlight w:val="none"/>
                <w:lang w:val="zh-CN"/>
              </w:rPr>
              <w:t>如投标人在乐采云平台填写的投标报价与投标文件报价文件中开标一览表（报价表）不一致的，以报价文件中开标一览表（报价表）为准。</w:t>
            </w:r>
            <w:r>
              <w:rPr>
                <w:rFonts w:hint="eastAsia" w:ascii="仿宋" w:hAnsi="仿宋" w:eastAsia="仿宋" w:cs="仿宋"/>
                <w:kern w:val="0"/>
                <w:sz w:val="24"/>
                <w:szCs w:val="24"/>
                <w:highlight w:val="none"/>
                <w:lang w:val="zh-CN"/>
              </w:rPr>
              <w:t>投标文件中价格全部采用人民币报价。招标文件未列明，而投标人认为必需的费用也需列入报价。</w:t>
            </w:r>
          </w:p>
          <w:p w14:paraId="5AABE784">
            <w:pPr>
              <w:keepNext w:val="0"/>
              <w:keepLines w:val="0"/>
              <w:widowControl w:val="0"/>
              <w:suppressLineNumbers w:val="0"/>
              <w:autoSpaceDE w:val="0"/>
              <w:autoSpaceDN/>
              <w:snapToGrid w:val="0"/>
              <w:spacing w:before="0" w:beforeAutospacing="0" w:after="0" w:afterAutospacing="0" w:line="360" w:lineRule="exact"/>
              <w:ind w:left="0" w:right="0"/>
              <w:jc w:val="left"/>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lang w:val="en-US" w:eastAsia="zh-CN" w:bidi="ar"/>
              </w:rPr>
              <w:t>提醒：</w:t>
            </w:r>
            <w:r>
              <w:rPr>
                <w:rFonts w:hint="eastAsia" w:ascii="仿宋" w:hAnsi="仿宋" w:eastAsia="仿宋" w:cs="仿宋"/>
                <w:b/>
                <w:bCs w:val="0"/>
                <w:kern w:val="0"/>
                <w:sz w:val="24"/>
                <w:szCs w:val="24"/>
                <w:highlight w:val="none"/>
                <w:lang w:val="en-US" w:eastAsia="zh-CN" w:bidi="ar"/>
              </w:rPr>
              <w:sym w:font="Wingdings 2" w:char="00A3"/>
            </w:r>
            <w:r>
              <w:rPr>
                <w:rFonts w:hint="eastAsia" w:ascii="仿宋" w:hAnsi="仿宋" w:eastAsia="仿宋" w:cs="仿宋"/>
                <w:b/>
                <w:bCs w:val="0"/>
                <w:kern w:val="0"/>
                <w:sz w:val="24"/>
                <w:szCs w:val="24"/>
                <w:highlight w:val="none"/>
                <w:lang w:val="en-US" w:eastAsia="zh-CN" w:bidi="ar"/>
              </w:rPr>
              <w:t>本项目履约验收时委托第三方检测，验收时检测费用由采购人承担，不包含在投标总价中。</w:t>
            </w:r>
            <w:r>
              <w:rPr>
                <w:rFonts w:hint="eastAsia" w:ascii="仿宋" w:hAnsi="仿宋" w:eastAsia="仿宋" w:cs="仿宋"/>
                <w:b/>
                <w:bCs w:val="0"/>
                <w:kern w:val="0"/>
                <w:sz w:val="24"/>
                <w:szCs w:val="24"/>
                <w:highlight w:val="none"/>
                <w:lang w:val="en-US" w:eastAsia="zh-CN" w:bidi="ar"/>
              </w:rPr>
              <w:sym w:font="Wingdings 2" w:char="0052"/>
            </w:r>
            <w:r>
              <w:rPr>
                <w:rFonts w:hint="eastAsia" w:ascii="仿宋" w:hAnsi="仿宋" w:eastAsia="仿宋" w:cs="仿宋"/>
                <w:b/>
                <w:bCs w:val="0"/>
                <w:kern w:val="0"/>
                <w:sz w:val="24"/>
                <w:szCs w:val="24"/>
                <w:highlight w:val="none"/>
                <w:lang w:val="en-US" w:eastAsia="zh-CN" w:bidi="ar"/>
              </w:rPr>
              <w:t>本项目履约验收时不委托第三方检测。</w:t>
            </w:r>
          </w:p>
          <w:p w14:paraId="23B529E9">
            <w:pPr>
              <w:keepNext w:val="0"/>
              <w:keepLines w:val="0"/>
              <w:pageBreakBefore w:val="0"/>
              <w:suppressLineNumbers w:val="0"/>
              <w:topLinePunct w:val="0"/>
              <w:autoSpaceDN/>
              <w:bidi w:val="0"/>
              <w:snapToGrid w:val="0"/>
              <w:spacing w:before="0" w:beforeAutospacing="0" w:after="0" w:afterAutospacing="0" w:line="360" w:lineRule="exact"/>
              <w:ind w:left="0" w:right="0"/>
              <w:jc w:val="left"/>
              <w:textAlignment w:val="auto"/>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投标报价出现下列情形的，投标无效：</w:t>
            </w:r>
          </w:p>
          <w:p w14:paraId="6073592A">
            <w:pPr>
              <w:keepNext w:val="0"/>
              <w:keepLines w:val="0"/>
              <w:pageBreakBefore w:val="0"/>
              <w:suppressLineNumbers w:val="0"/>
              <w:topLinePunct w:val="0"/>
              <w:autoSpaceDN/>
              <w:bidi w:val="0"/>
              <w:snapToGrid w:val="0"/>
              <w:spacing w:before="0" w:beforeAutospacing="0" w:after="0" w:afterAutospacing="0" w:line="360" w:lineRule="exact"/>
              <w:ind w:left="0" w:right="0" w:firstLine="482" w:firstLineChars="200"/>
              <w:jc w:val="left"/>
              <w:textAlignment w:val="auto"/>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en-US" w:eastAsia="zh-CN"/>
              </w:rPr>
              <w:t>1.</w:t>
            </w:r>
            <w:r>
              <w:rPr>
                <w:rFonts w:hint="eastAsia" w:ascii="仿宋" w:hAnsi="仿宋" w:eastAsia="仿宋" w:cs="仿宋"/>
                <w:b/>
                <w:kern w:val="0"/>
                <w:sz w:val="24"/>
                <w:szCs w:val="24"/>
                <w:highlight w:val="none"/>
                <w:lang w:val="zh-CN"/>
              </w:rPr>
              <w:t>投标文件出现不是唯一的、有选择性投标报价的；</w:t>
            </w:r>
          </w:p>
          <w:p w14:paraId="5D25C48C">
            <w:pPr>
              <w:keepNext w:val="0"/>
              <w:keepLines w:val="0"/>
              <w:pageBreakBefore w:val="0"/>
              <w:suppressLineNumbers w:val="0"/>
              <w:topLinePunct w:val="0"/>
              <w:autoSpaceDN/>
              <w:bidi w:val="0"/>
              <w:snapToGrid w:val="0"/>
              <w:spacing w:before="0" w:beforeAutospacing="0" w:after="0" w:afterAutospacing="0" w:line="360" w:lineRule="exact"/>
              <w:ind w:left="0" w:right="0" w:firstLine="482" w:firstLineChars="200"/>
              <w:jc w:val="left"/>
              <w:textAlignment w:val="auto"/>
              <w:rPr>
                <w:rFonts w:hint="eastAsia" w:ascii="仿宋" w:hAnsi="仿宋" w:eastAsia="仿宋" w:cs="仿宋"/>
                <w:kern w:val="0"/>
                <w:sz w:val="24"/>
                <w:szCs w:val="24"/>
                <w:highlight w:val="none"/>
                <w:lang w:val="zh-CN"/>
              </w:rPr>
            </w:pPr>
            <w:r>
              <w:rPr>
                <w:rFonts w:hint="eastAsia" w:ascii="仿宋" w:hAnsi="仿宋" w:eastAsia="仿宋" w:cs="仿宋"/>
                <w:b/>
                <w:kern w:val="0"/>
                <w:sz w:val="24"/>
                <w:szCs w:val="24"/>
                <w:highlight w:val="none"/>
                <w:lang w:val="en-US" w:eastAsia="zh-CN"/>
              </w:rPr>
              <w:t>2.</w:t>
            </w:r>
            <w:r>
              <w:rPr>
                <w:rFonts w:hint="eastAsia" w:ascii="仿宋" w:hAnsi="仿宋" w:eastAsia="仿宋" w:cs="仿宋"/>
                <w:b/>
                <w:kern w:val="0"/>
                <w:sz w:val="24"/>
                <w:szCs w:val="24"/>
                <w:highlight w:val="none"/>
                <w:lang w:val="zh-CN"/>
              </w:rPr>
              <w:t>投标报价超过招标文件中规定的预算金额或者最高限价的；</w:t>
            </w:r>
          </w:p>
          <w:p w14:paraId="7FFDF1EB">
            <w:pPr>
              <w:keepNext w:val="0"/>
              <w:keepLines w:val="0"/>
              <w:pageBreakBefore w:val="0"/>
              <w:suppressLineNumbers w:val="0"/>
              <w:topLinePunct w:val="0"/>
              <w:autoSpaceDN/>
              <w:bidi w:val="0"/>
              <w:spacing w:before="0" w:beforeAutospacing="0" w:after="0" w:afterAutospacing="0" w:line="360" w:lineRule="exact"/>
              <w:ind w:left="0" w:right="0" w:firstLine="482" w:firstLineChars="200"/>
              <w:textAlignment w:val="auto"/>
              <w:rPr>
                <w:rFonts w:hint="eastAsia" w:ascii="仿宋" w:hAnsi="仿宋" w:eastAsia="仿宋" w:cs="仿宋"/>
                <w:b/>
                <w:sz w:val="24"/>
                <w:szCs w:val="24"/>
                <w:highlight w:val="none"/>
                <w:lang w:eastAsia="zh-CN"/>
              </w:rPr>
            </w:pPr>
            <w:r>
              <w:rPr>
                <w:rFonts w:hint="eastAsia" w:ascii="仿宋" w:hAnsi="仿宋" w:eastAsia="仿宋" w:cs="仿宋"/>
                <w:b/>
                <w:kern w:val="0"/>
                <w:sz w:val="24"/>
                <w:szCs w:val="24"/>
                <w:highlight w:val="none"/>
                <w:lang w:val="en-US" w:eastAsia="zh-CN"/>
              </w:rPr>
              <w:t>3.</w:t>
            </w:r>
            <w:r>
              <w:rPr>
                <w:rFonts w:hint="eastAsia" w:ascii="仿宋" w:hAnsi="仿宋" w:eastAsia="仿宋" w:cs="仿宋"/>
                <w:b/>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4"/>
                <w:highlight w:val="none"/>
                <w:lang w:eastAsia="zh-CN"/>
              </w:rPr>
              <w:t>；</w:t>
            </w:r>
          </w:p>
          <w:p w14:paraId="4D08152F">
            <w:pPr>
              <w:keepNext w:val="0"/>
              <w:keepLines w:val="0"/>
              <w:suppressLineNumbers w:val="0"/>
              <w:spacing w:before="0" w:beforeAutospacing="0" w:after="0" w:afterAutospacing="0" w:line="360" w:lineRule="exact"/>
              <w:ind w:left="0" w:right="0" w:firstLine="482"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
                <w:kern w:val="0"/>
                <w:sz w:val="24"/>
                <w:szCs w:val="24"/>
                <w:highlight w:val="none"/>
                <w:lang w:val="en-US" w:eastAsia="zh-CN"/>
              </w:rPr>
              <w:t>4.</w:t>
            </w:r>
            <w:r>
              <w:rPr>
                <w:rFonts w:hint="eastAsia" w:ascii="仿宋" w:hAnsi="仿宋" w:eastAsia="仿宋" w:cs="仿宋"/>
                <w:b/>
                <w:kern w:val="0"/>
                <w:sz w:val="24"/>
                <w:szCs w:val="24"/>
                <w:highlight w:val="none"/>
              </w:rPr>
              <w:t>投标人对根据修正原则修正后的报价不确认的</w:t>
            </w:r>
            <w:r>
              <w:rPr>
                <w:rFonts w:hint="eastAsia" w:ascii="仿宋" w:hAnsi="仿宋" w:eastAsia="仿宋" w:cs="仿宋"/>
                <w:b/>
                <w:sz w:val="24"/>
                <w:szCs w:val="24"/>
                <w:highlight w:val="none"/>
              </w:rPr>
              <w:t>。</w:t>
            </w:r>
          </w:p>
        </w:tc>
      </w:tr>
      <w:tr w14:paraId="4787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0513E637">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bookmarkStart w:id="29" w:name="_Hlk95218620"/>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347F8462">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w:t>
            </w:r>
          </w:p>
          <w:p w14:paraId="5991B363">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组成</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3C346BD5">
            <w:pPr>
              <w:keepNext w:val="0"/>
              <w:keepLines w:val="0"/>
              <w:pageBreakBefore w:val="0"/>
              <w:suppressLineNumbers w:val="0"/>
              <w:kinsoku/>
              <w:wordWrap/>
              <w:overflowPunct/>
              <w:topLinePunct w:val="0"/>
              <w:bidi w:val="0"/>
              <w:adjustRightInd/>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投标文件由资格审查文件、资信技术文件、报价文件三部分组成：</w:t>
            </w:r>
          </w:p>
          <w:p w14:paraId="53AD261F">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1.资格审查文件：</w:t>
            </w:r>
          </w:p>
          <w:p w14:paraId="080699E8">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（1）营业执照</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事业单位法人证书、社会团体法人登记证书或其他组织登记证明文件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6E3099FE">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（2）投标声明书（格式见附件）；</w:t>
            </w:r>
          </w:p>
          <w:p w14:paraId="093D725C">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注：以上复印件加盖单位公章。</w:t>
            </w:r>
          </w:p>
          <w:p w14:paraId="7F87600E">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2.资信技术文件：</w:t>
            </w:r>
          </w:p>
          <w:p w14:paraId="4FA28A38">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投标内容对应表</w:t>
            </w:r>
          </w:p>
          <w:p w14:paraId="3315A881">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2.1资信部分</w:t>
            </w:r>
          </w:p>
          <w:p w14:paraId="552F3C30">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（1）法定代表人（负责人）授权委托书，</w:t>
            </w:r>
            <w:r>
              <w:rPr>
                <w:rFonts w:hint="eastAsia" w:ascii="仿宋" w:hAnsi="仿宋" w:eastAsia="仿宋" w:cs="仿宋"/>
                <w:sz w:val="24"/>
                <w:szCs w:val="24"/>
                <w:highlight w:val="none"/>
                <w:lang w:eastAsia="zh-CN"/>
              </w:rPr>
              <w:t>法定代表人（负责人）</w:t>
            </w:r>
            <w:r>
              <w:rPr>
                <w:rFonts w:hint="eastAsia" w:ascii="仿宋" w:hAnsi="仿宋" w:eastAsia="仿宋" w:cs="仿宋"/>
                <w:sz w:val="24"/>
                <w:szCs w:val="24"/>
                <w:highlight w:val="none"/>
              </w:rPr>
              <w:t>及授权委托人的身份证(复印件)</w:t>
            </w:r>
            <w:r>
              <w:rPr>
                <w:rFonts w:hint="eastAsia" w:ascii="仿宋" w:hAnsi="仿宋" w:eastAsia="仿宋" w:cs="仿宋"/>
                <w:sz w:val="24"/>
                <w:szCs w:val="24"/>
                <w:highlight w:val="none"/>
                <w:lang w:eastAsia="zh-CN"/>
              </w:rPr>
              <w:t>；</w:t>
            </w:r>
          </w:p>
          <w:p w14:paraId="37776AEA">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（2）供应商廉洁自律承诺书（格式见附件）；</w:t>
            </w:r>
          </w:p>
          <w:p w14:paraId="321AC59B">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（3）诚信投标承诺书（格式</w:t>
            </w:r>
            <w:r>
              <w:rPr>
                <w:rFonts w:hint="eastAsia" w:ascii="仿宋" w:hAnsi="仿宋" w:eastAsia="仿宋" w:cs="仿宋"/>
                <w:sz w:val="24"/>
                <w:szCs w:val="24"/>
                <w:highlight w:val="none"/>
                <w:lang w:val="en-US" w:eastAsia="zh-CN"/>
              </w:rPr>
              <w:t>见</w:t>
            </w:r>
            <w:r>
              <w:rPr>
                <w:rFonts w:hint="eastAsia" w:ascii="仿宋" w:hAnsi="仿宋" w:eastAsia="仿宋" w:cs="仿宋"/>
                <w:sz w:val="24"/>
                <w:szCs w:val="24"/>
                <w:highlight w:val="none"/>
              </w:rPr>
              <w:t>附件）；</w:t>
            </w:r>
          </w:p>
          <w:p w14:paraId="727A3C37">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（4）公司介绍；</w:t>
            </w:r>
          </w:p>
          <w:p w14:paraId="51C2A668">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（5）资格、资质、</w:t>
            </w:r>
            <w:r>
              <w:rPr>
                <w:rFonts w:hint="eastAsia" w:ascii="仿宋" w:hAnsi="仿宋" w:eastAsia="仿宋" w:cs="仿宋"/>
                <w:sz w:val="24"/>
                <w:szCs w:val="24"/>
                <w:highlight w:val="none"/>
                <w:lang w:eastAsia="zh-CN"/>
              </w:rPr>
              <w:t>认证、</w:t>
            </w:r>
            <w:r>
              <w:rPr>
                <w:rFonts w:hint="eastAsia" w:ascii="仿宋" w:hAnsi="仿宋" w:eastAsia="仿宋" w:cs="仿宋"/>
                <w:sz w:val="24"/>
                <w:szCs w:val="24"/>
                <w:highlight w:val="none"/>
              </w:rPr>
              <w:t>获得的荣誉等证明文件（如有）；</w:t>
            </w:r>
          </w:p>
          <w:p w14:paraId="57B3A11C">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（6</w:t>
            </w:r>
            <w:r>
              <w:rPr>
                <w:rFonts w:hint="eastAsia" w:ascii="仿宋" w:hAnsi="仿宋" w:eastAsia="仿宋" w:cs="仿宋"/>
                <w:color w:val="auto"/>
                <w:sz w:val="24"/>
                <w:szCs w:val="24"/>
                <w:highlight w:val="none"/>
              </w:rPr>
              <w:t>）类似项目业绩表及证明材料（如有）；</w:t>
            </w:r>
          </w:p>
          <w:p w14:paraId="414504B2">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商务偏离表（格式</w:t>
            </w:r>
            <w:r>
              <w:rPr>
                <w:rFonts w:hint="eastAsia" w:ascii="仿宋" w:hAnsi="仿宋" w:eastAsia="仿宋" w:cs="仿宋"/>
                <w:color w:val="auto"/>
                <w:sz w:val="24"/>
                <w:szCs w:val="24"/>
                <w:highlight w:val="none"/>
                <w:lang w:val="en-US" w:eastAsia="zh-CN"/>
              </w:rPr>
              <w:t>见</w:t>
            </w:r>
            <w:r>
              <w:rPr>
                <w:rFonts w:hint="eastAsia" w:ascii="仿宋" w:hAnsi="仿宋" w:eastAsia="仿宋" w:cs="仿宋"/>
                <w:color w:val="auto"/>
                <w:sz w:val="24"/>
                <w:szCs w:val="24"/>
                <w:highlight w:val="none"/>
              </w:rPr>
              <w:t>附件）；</w:t>
            </w:r>
          </w:p>
          <w:p w14:paraId="499B30BA">
            <w:pPr>
              <w:keepNext w:val="0"/>
              <w:keepLines w:val="0"/>
              <w:suppressLineNumbers w:val="0"/>
              <w:spacing w:before="0" w:beforeAutospacing="0" w:after="0" w:afterAutospacing="0" w:line="360" w:lineRule="exac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）投标</w:t>
            </w:r>
            <w:r>
              <w:rPr>
                <w:rFonts w:hint="eastAsia" w:ascii="仿宋" w:hAnsi="仿宋" w:eastAsia="仿宋" w:cs="仿宋"/>
                <w:color w:val="000000" w:themeColor="text1"/>
                <w:sz w:val="24"/>
                <w:szCs w:val="24"/>
                <w:highlight w:val="none"/>
                <w14:textFill>
                  <w14:solidFill>
                    <w14:schemeClr w14:val="tx1"/>
                  </w14:solidFill>
                </w14:textFill>
              </w:rPr>
              <w:t>人认为需要提供的资料。</w:t>
            </w:r>
          </w:p>
          <w:p w14:paraId="1477FB49">
            <w:pPr>
              <w:keepNext w:val="0"/>
              <w:keepLines w:val="0"/>
              <w:numPr>
                <w:ilvl w:val="-1"/>
                <w:numId w:val="0"/>
              </w:numPr>
              <w:suppressLineNumbers w:val="0"/>
              <w:spacing w:before="0" w:beforeAutospacing="0" w:after="0" w:afterAutospacing="0" w:line="360" w:lineRule="exact"/>
              <w:ind w:left="0" w:right="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2.2技术部分</w:t>
            </w:r>
          </w:p>
          <w:p w14:paraId="710CE10D">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default" w:ascii="仿宋" w:hAnsi="仿宋" w:eastAsia="仿宋" w:cs="仿宋"/>
                <w:color w:val="000000" w:themeColor="text1"/>
                <w:sz w:val="24"/>
                <w:szCs w:val="24"/>
                <w:highlight w:val="none"/>
                <w14:textFill>
                  <w14:solidFill>
                    <w14:schemeClr w14:val="tx1"/>
                  </w14:solidFill>
                </w14:textFill>
              </w:rPr>
              <w:t>供货清</w:t>
            </w:r>
            <w:r>
              <w:rPr>
                <w:rFonts w:hint="default" w:ascii="仿宋" w:hAnsi="仿宋" w:eastAsia="仿宋" w:cs="仿宋"/>
                <w:color w:val="auto"/>
                <w:sz w:val="24"/>
                <w:szCs w:val="24"/>
                <w:highlight w:val="none"/>
              </w:rPr>
              <w:t>单情况一览表</w:t>
            </w:r>
            <w:r>
              <w:rPr>
                <w:rFonts w:hint="eastAsia" w:ascii="仿宋" w:hAnsi="仿宋" w:eastAsia="仿宋" w:cs="仿宋"/>
                <w:color w:val="auto"/>
                <w:sz w:val="24"/>
                <w:szCs w:val="24"/>
                <w:highlight w:val="none"/>
                <w:lang w:eastAsia="zh-CN"/>
              </w:rPr>
              <w:t>（格式见附件）；</w:t>
            </w:r>
          </w:p>
          <w:p w14:paraId="71167CD3">
            <w:pPr>
              <w:keepNext w:val="0"/>
              <w:keepLines w:val="0"/>
              <w:suppressLineNumbers w:val="0"/>
              <w:spacing w:before="0" w:beforeAutospacing="0" w:after="0" w:afterAutospacing="0" w:line="360" w:lineRule="exact"/>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技术偏离表（格式见附件）</w:t>
            </w:r>
            <w:r>
              <w:rPr>
                <w:rFonts w:hint="eastAsia" w:ascii="仿宋" w:hAnsi="仿宋" w:eastAsia="仿宋" w:cs="仿宋"/>
                <w:color w:val="auto"/>
                <w:sz w:val="24"/>
                <w:szCs w:val="24"/>
                <w:highlight w:val="none"/>
                <w:lang w:val="en-US" w:eastAsia="zh-CN"/>
              </w:rPr>
              <w:t>及相关证明材料</w:t>
            </w:r>
            <w:r>
              <w:rPr>
                <w:rFonts w:hint="eastAsia" w:ascii="仿宋" w:hAnsi="仿宋" w:eastAsia="仿宋" w:cs="仿宋"/>
                <w:color w:val="auto"/>
                <w:sz w:val="24"/>
                <w:szCs w:val="24"/>
                <w:highlight w:val="none"/>
                <w:lang w:eastAsia="zh-CN"/>
              </w:rPr>
              <w:t>；</w:t>
            </w:r>
          </w:p>
          <w:p w14:paraId="7F11D648">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项目组织实施方案</w:t>
            </w:r>
            <w:r>
              <w:rPr>
                <w:rFonts w:hint="eastAsia" w:ascii="仿宋" w:hAnsi="仿宋" w:eastAsia="仿宋" w:cs="仿宋"/>
                <w:color w:val="auto"/>
                <w:sz w:val="24"/>
                <w:szCs w:val="24"/>
                <w:highlight w:val="none"/>
                <w:lang w:eastAsia="zh-CN"/>
              </w:rPr>
              <w:t>；</w:t>
            </w:r>
          </w:p>
          <w:p w14:paraId="2A44CFF7">
            <w:pPr>
              <w:keepNext w:val="0"/>
              <w:keepLines w:val="0"/>
              <w:suppressLineNumbers w:val="0"/>
              <w:spacing w:before="0" w:beforeAutospacing="0" w:after="0" w:afterAutospacing="0" w:line="360"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窗帘效果图；</w:t>
            </w:r>
          </w:p>
          <w:p w14:paraId="2EEEF553">
            <w:pPr>
              <w:keepNext w:val="0"/>
              <w:keepLines w:val="0"/>
              <w:suppressLineNumbers w:val="0"/>
              <w:spacing w:before="0" w:beforeAutospacing="0" w:after="0" w:afterAutospacing="0" w:line="360" w:lineRule="exact"/>
              <w:ind w:left="0" w:right="0"/>
              <w:rPr>
                <w:rFonts w:hint="default"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default" w:ascii="仿宋" w:hAnsi="仿宋" w:eastAsia="仿宋" w:cs="仿宋"/>
                <w:color w:val="auto"/>
                <w:sz w:val="24"/>
                <w:szCs w:val="24"/>
                <w:highlight w:val="none"/>
              </w:rPr>
              <w:t>售后服务方案</w:t>
            </w:r>
            <w:r>
              <w:rPr>
                <w:rFonts w:hint="default" w:ascii="仿宋" w:hAnsi="仿宋" w:eastAsia="仿宋" w:cs="仿宋"/>
                <w:color w:val="auto"/>
                <w:sz w:val="24"/>
                <w:szCs w:val="24"/>
                <w:highlight w:val="none"/>
                <w:lang w:eastAsia="zh-CN"/>
              </w:rPr>
              <w:t>；</w:t>
            </w:r>
          </w:p>
          <w:p w14:paraId="0C8654F1">
            <w:pPr>
              <w:keepNext w:val="0"/>
              <w:keepLines w:val="0"/>
              <w:numPr>
                <w:ilvl w:val="0"/>
                <w:numId w:val="0"/>
              </w:numPr>
              <w:suppressLineNumbers w:val="0"/>
              <w:spacing w:before="0" w:beforeAutospacing="0" w:after="0" w:afterAutospacing="0" w:line="360" w:lineRule="exact"/>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（6）承诺书（格式见附件）；</w:t>
            </w:r>
          </w:p>
          <w:p w14:paraId="27A23665">
            <w:pPr>
              <w:keepNext w:val="0"/>
              <w:keepLines w:val="0"/>
              <w:numPr>
                <w:ilvl w:val="0"/>
                <w:numId w:val="0"/>
              </w:numPr>
              <w:suppressLineNumbers w:val="0"/>
              <w:spacing w:before="0" w:beforeAutospacing="0" w:after="0" w:afterAutospacing="0" w:line="360" w:lineRule="exact"/>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（7）项目组人员配备情况；</w:t>
            </w:r>
          </w:p>
          <w:p w14:paraId="736F75A6">
            <w:pPr>
              <w:keepNext w:val="0"/>
              <w:keepLines w:val="0"/>
              <w:numPr>
                <w:ilvl w:val="0"/>
                <w:numId w:val="0"/>
              </w:numPr>
              <w:suppressLineNumbers w:val="0"/>
              <w:spacing w:before="0" w:beforeAutospacing="0" w:after="0" w:afterAutospacing="0" w:line="360" w:lineRule="exact"/>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lang w:val="en-US" w:eastAsia="zh-CN" w:bidi="ar-SA"/>
              </w:rPr>
              <w:t>（8）</w:t>
            </w:r>
            <w:r>
              <w:rPr>
                <w:rFonts w:hint="eastAsia" w:ascii="仿宋" w:hAnsi="仿宋" w:eastAsia="仿宋" w:cs="仿宋"/>
                <w:color w:val="auto"/>
                <w:sz w:val="24"/>
                <w:szCs w:val="24"/>
                <w:highlight w:val="none"/>
              </w:rPr>
              <w:t>投标人认为需要提供的其它资料。</w:t>
            </w:r>
          </w:p>
          <w:p w14:paraId="572E15C5">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w:t>
            </w:r>
          </w:p>
          <w:p w14:paraId="49BA9D43">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w:t>
            </w:r>
          </w:p>
          <w:p w14:paraId="787E2724">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（2）投标报价组成；</w:t>
            </w:r>
          </w:p>
          <w:p w14:paraId="1EDA1EF2">
            <w:pPr>
              <w:keepNext w:val="0"/>
              <w:keepLines w:val="0"/>
              <w:suppressLineNumbers w:val="0"/>
              <w:wordWrap w:val="0"/>
              <w:adjustRightInd w:val="0"/>
              <w:snapToGrid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（3）投标人认为需要提供的其它资料。</w:t>
            </w:r>
          </w:p>
        </w:tc>
      </w:tr>
      <w:bookmarkEnd w:id="29"/>
      <w:tr w14:paraId="7CB9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23A5CA76">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1F5F4CA2">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投标文件</w:t>
            </w:r>
          </w:p>
          <w:p w14:paraId="14F80A99">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形式</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12084DFE">
            <w:pPr>
              <w:keepNext w:val="0"/>
              <w:keepLines w:val="0"/>
              <w:suppressLineNumbers w:val="0"/>
              <w:autoSpaceDE w:val="0"/>
              <w:autoSpaceDN w:val="0"/>
              <w:adjustRightInd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（包括“电子加密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”和“备份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编制完成后同时生成）：</w:t>
            </w:r>
          </w:p>
          <w:p w14:paraId="6ECCD22A">
            <w:pPr>
              <w:keepNext w:val="0"/>
              <w:keepLines w:val="0"/>
              <w:suppressLineNumbers w:val="0"/>
              <w:autoSpaceDE w:val="0"/>
              <w:autoSpaceDN w:val="0"/>
              <w:adjustRightInd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”是指通过“</w:t>
            </w:r>
            <w:r>
              <w:rPr>
                <w:rFonts w:hint="eastAsia" w:ascii="仿宋" w:hAnsi="仿宋" w:eastAsia="仿宋" w:cs="仿宋"/>
                <w:color w:val="auto"/>
                <w:sz w:val="24"/>
                <w:highlight w:val="none"/>
                <w:lang w:eastAsia="zh-CN"/>
              </w:rPr>
              <w:t>乐采云投标客户端</w:t>
            </w:r>
            <w:r>
              <w:rPr>
                <w:rFonts w:hint="eastAsia" w:ascii="仿宋" w:hAnsi="仿宋" w:eastAsia="仿宋" w:cs="仿宋"/>
                <w:color w:val="auto"/>
                <w:sz w:val="24"/>
                <w:highlight w:val="none"/>
              </w:rPr>
              <w:t>”完成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编制后生成并加密的数据电文形式的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12F90960">
            <w:pPr>
              <w:keepNext w:val="0"/>
              <w:keepLines w:val="0"/>
              <w:suppressLineNumbers w:val="0"/>
              <w:autoSpaceDE w:val="0"/>
              <w:autoSpaceDN w:val="0"/>
              <w:adjustRightInd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”是指与“电子加密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”同时生成的数据电文采用U盘储存的电子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备份电子</w:t>
            </w:r>
            <w:r>
              <w:rPr>
                <w:rFonts w:hint="eastAsia" w:ascii="仿宋" w:hAnsi="仿宋" w:eastAsia="仿宋" w:cs="仿宋"/>
                <w:b/>
                <w:bCs/>
                <w:color w:val="auto"/>
                <w:sz w:val="24"/>
                <w:highlight w:val="none"/>
                <w:lang w:eastAsia="zh-CN"/>
              </w:rPr>
              <w:t>投标文件投标人</w:t>
            </w:r>
            <w:r>
              <w:rPr>
                <w:rFonts w:hint="eastAsia" w:ascii="仿宋" w:hAnsi="仿宋" w:eastAsia="仿宋" w:cs="仿宋"/>
                <w:b/>
                <w:bCs/>
                <w:color w:val="auto"/>
                <w:sz w:val="24"/>
                <w:highlight w:val="none"/>
              </w:rPr>
              <w:t>可自行确定是否提供。</w:t>
            </w:r>
          </w:p>
          <w:p w14:paraId="2C4B668E">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（3）其他方式编制的备份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视为无效备份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tc>
      </w:tr>
      <w:tr w14:paraId="146F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46EAC717">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5AFE0AE7">
            <w:pPr>
              <w:keepNext w:val="0"/>
              <w:keepLines w:val="0"/>
              <w:suppressLineNumbers w:val="0"/>
              <w:snapToGrid w:val="0"/>
              <w:spacing w:before="0" w:beforeAutospacing="0" w:after="0" w:afterAutospacing="0"/>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送达地点和签收</w:t>
            </w:r>
          </w:p>
          <w:p w14:paraId="0FE7BFFB">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rPr>
              <w:t>人员</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2E0CD8DC">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lang w:eastAsia="zh-CN"/>
              </w:rPr>
              <w:t>投标人</w:t>
            </w:r>
            <w:r>
              <w:rPr>
                <w:rFonts w:hint="eastAsia" w:ascii="仿宋" w:hAnsi="仿宋" w:eastAsia="仿宋" w:cs="仿宋"/>
                <w:color w:val="auto"/>
                <w:kern w:val="28"/>
                <w:sz w:val="24"/>
                <w:szCs w:val="24"/>
                <w:highlight w:val="none"/>
              </w:rPr>
              <w:t>如提交备份</w:t>
            </w:r>
            <w:r>
              <w:rPr>
                <w:rFonts w:hint="eastAsia" w:ascii="仿宋" w:hAnsi="仿宋" w:eastAsia="仿宋" w:cs="仿宋"/>
                <w:color w:val="auto"/>
                <w:kern w:val="28"/>
                <w:sz w:val="24"/>
                <w:szCs w:val="24"/>
                <w:highlight w:val="none"/>
                <w:lang w:eastAsia="zh-CN"/>
              </w:rPr>
              <w:t>投标文件</w:t>
            </w:r>
            <w:r>
              <w:rPr>
                <w:rFonts w:hint="eastAsia" w:ascii="仿宋" w:hAnsi="仿宋" w:eastAsia="仿宋" w:cs="仿宋"/>
                <w:color w:val="auto"/>
                <w:kern w:val="28"/>
                <w:sz w:val="24"/>
                <w:szCs w:val="24"/>
                <w:highlight w:val="none"/>
              </w:rPr>
              <w:t>的，请送至</w:t>
            </w:r>
            <w:r>
              <w:rPr>
                <w:rFonts w:hint="eastAsia" w:ascii="仿宋" w:hAnsi="仿宋" w:eastAsia="仿宋" w:cs="仿宋"/>
                <w:color w:val="auto"/>
                <w:kern w:val="28"/>
                <w:sz w:val="24"/>
                <w:szCs w:val="24"/>
                <w:highlight w:val="none"/>
                <w:u w:val="single"/>
              </w:rPr>
              <w:t>新昌县城南乡石溪村望师岭2-12号</w:t>
            </w: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投标文件</w:t>
            </w:r>
            <w:r>
              <w:rPr>
                <w:rFonts w:hint="eastAsia" w:ascii="仿宋" w:hAnsi="仿宋" w:eastAsia="仿宋" w:cs="仿宋"/>
                <w:color w:val="auto"/>
                <w:kern w:val="28"/>
                <w:sz w:val="24"/>
                <w:szCs w:val="24"/>
                <w:highlight w:val="none"/>
              </w:rPr>
              <w:t>签收人员：</w:t>
            </w:r>
            <w:r>
              <w:rPr>
                <w:rFonts w:hint="eastAsia" w:ascii="仿宋" w:hAnsi="仿宋" w:eastAsia="仿宋" w:cs="仿宋"/>
                <w:color w:val="auto"/>
                <w:sz w:val="24"/>
                <w:szCs w:val="24"/>
                <w:highlight w:val="none"/>
                <w:u w:val="single"/>
                <w:lang w:val="en-US" w:eastAsia="zh-CN"/>
              </w:rPr>
              <w:t>求工</w:t>
            </w:r>
            <w:r>
              <w:rPr>
                <w:rFonts w:hint="eastAsia" w:ascii="仿宋" w:hAnsi="仿宋" w:eastAsia="仿宋" w:cs="仿宋"/>
                <w:color w:val="auto"/>
                <w:sz w:val="24"/>
                <w:szCs w:val="24"/>
                <w:highlight w:val="none"/>
                <w:u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0575-86185027</w:t>
            </w:r>
            <w:r>
              <w:rPr>
                <w:rFonts w:hint="eastAsia" w:ascii="仿宋" w:hAnsi="仿宋" w:eastAsia="仿宋" w:cs="仿宋"/>
                <w:color w:val="auto"/>
                <w:sz w:val="24"/>
                <w:szCs w:val="24"/>
                <w:highlight w:val="none"/>
              </w:rPr>
              <w:t>。</w:t>
            </w:r>
          </w:p>
        </w:tc>
      </w:tr>
      <w:tr w14:paraId="19E2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22BC954C">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055E47DF">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p>
          <w:p w14:paraId="2BCF5E9C">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提疑</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3E15F3E4">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各投标人如对招标文件有疑问，请将书面材料加盖公章的扫描件于</w:t>
            </w:r>
            <w:r>
              <w:rPr>
                <w:rFonts w:hint="eastAsia" w:ascii="仿宋" w:hAnsi="仿宋" w:eastAsia="仿宋" w:cs="仿宋"/>
                <w:color w:val="0000FF"/>
                <w:sz w:val="24"/>
                <w:szCs w:val="24"/>
                <w:highlight w:val="none"/>
                <w:u w:val="none"/>
                <w:lang w:eastAsia="zh-CN"/>
              </w:rPr>
              <w:t>2025</w:t>
            </w:r>
            <w:r>
              <w:rPr>
                <w:rFonts w:hint="eastAsia" w:ascii="仿宋" w:hAnsi="仿宋" w:eastAsia="仿宋" w:cs="仿宋"/>
                <w:color w:val="0000FF"/>
                <w:sz w:val="24"/>
                <w:szCs w:val="24"/>
                <w:highlight w:val="none"/>
                <w:u w:val="none"/>
              </w:rPr>
              <w:t>年</w:t>
            </w:r>
            <w:r>
              <w:rPr>
                <w:rFonts w:hint="eastAsia" w:ascii="仿宋" w:hAnsi="仿宋" w:eastAsia="仿宋" w:cs="仿宋"/>
                <w:color w:val="0000FF"/>
                <w:sz w:val="24"/>
                <w:szCs w:val="24"/>
                <w:highlight w:val="none"/>
                <w:u w:val="none"/>
                <w:lang w:val="en-US" w:eastAsia="zh-CN"/>
              </w:rPr>
              <w:t>7</w:t>
            </w:r>
            <w:r>
              <w:rPr>
                <w:rFonts w:hint="eastAsia" w:ascii="仿宋" w:hAnsi="仿宋" w:eastAsia="仿宋" w:cs="仿宋"/>
                <w:color w:val="0000FF"/>
                <w:sz w:val="24"/>
                <w:szCs w:val="24"/>
                <w:highlight w:val="none"/>
                <w:u w:val="none"/>
              </w:rPr>
              <w:t>月</w:t>
            </w:r>
            <w:r>
              <w:rPr>
                <w:rFonts w:hint="eastAsia" w:ascii="仿宋" w:hAnsi="仿宋" w:eastAsia="仿宋" w:cs="仿宋"/>
                <w:color w:val="0000FF"/>
                <w:sz w:val="24"/>
                <w:szCs w:val="24"/>
                <w:highlight w:val="none"/>
                <w:u w:val="none"/>
                <w:lang w:val="en-US" w:eastAsia="zh-CN"/>
              </w:rPr>
              <w:t>18</w:t>
            </w:r>
            <w:r>
              <w:rPr>
                <w:rFonts w:hint="eastAsia" w:ascii="仿宋" w:hAnsi="仿宋" w:eastAsia="仿宋" w:cs="仿宋"/>
                <w:color w:val="0000FF"/>
                <w:sz w:val="24"/>
                <w:szCs w:val="24"/>
                <w:highlight w:val="none"/>
                <w:u w:val="none"/>
              </w:rPr>
              <w:t>日</w:t>
            </w:r>
            <w:r>
              <w:rPr>
                <w:rFonts w:hint="eastAsia" w:ascii="仿宋" w:hAnsi="仿宋" w:eastAsia="仿宋" w:cs="仿宋"/>
                <w:color w:val="0000FF"/>
                <w:sz w:val="24"/>
                <w:szCs w:val="24"/>
                <w:highlight w:val="none"/>
                <w:u w:val="none"/>
                <w:lang w:val="en-US" w:eastAsia="zh-CN"/>
              </w:rPr>
              <w:t>17</w:t>
            </w:r>
            <w:r>
              <w:rPr>
                <w:rFonts w:hint="eastAsia" w:ascii="仿宋" w:hAnsi="仿宋" w:eastAsia="仿宋" w:cs="仿宋"/>
                <w:color w:val="0000FF"/>
                <w:sz w:val="24"/>
                <w:szCs w:val="24"/>
                <w:highlight w:val="none"/>
                <w:u w:val="none"/>
              </w:rPr>
              <w:t>：00</w:t>
            </w:r>
            <w:r>
              <w:rPr>
                <w:rFonts w:hint="eastAsia" w:ascii="仿宋" w:hAnsi="仿宋" w:eastAsia="仿宋" w:cs="仿宋"/>
                <w:color w:val="auto"/>
                <w:sz w:val="24"/>
                <w:szCs w:val="24"/>
                <w:highlight w:val="none"/>
              </w:rPr>
              <w:t>时前发送至</w:t>
            </w:r>
            <w:r>
              <w:rPr>
                <w:rFonts w:hint="eastAsia" w:ascii="仿宋" w:hAnsi="仿宋" w:eastAsia="仿宋" w:cs="仿宋"/>
                <w:color w:val="auto"/>
                <w:sz w:val="24"/>
                <w:szCs w:val="24"/>
                <w:highlight w:val="none"/>
                <w:u w:val="none"/>
              </w:rPr>
              <w:t>GJXCFGS@163.com</w:t>
            </w:r>
            <w:r>
              <w:rPr>
                <w:rFonts w:hint="eastAsia" w:ascii="仿宋" w:hAnsi="仿宋" w:eastAsia="仿宋" w:cs="仿宋"/>
                <w:color w:val="auto"/>
                <w:sz w:val="24"/>
                <w:szCs w:val="24"/>
                <w:highlight w:val="none"/>
              </w:rPr>
              <w:t>，招标人仅对投标人提出的合理疑问进行答复。</w:t>
            </w:r>
          </w:p>
        </w:tc>
      </w:tr>
      <w:tr w14:paraId="3DD3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8" w:type="dxa"/>
            <w:vMerge w:val="restart"/>
            <w:tcBorders>
              <w:top w:val="single" w:color="auto" w:sz="4" w:space="0"/>
              <w:left w:val="single" w:color="auto" w:sz="4" w:space="0"/>
              <w:right w:val="single" w:color="auto" w:sz="4" w:space="0"/>
            </w:tcBorders>
            <w:shd w:val="clear" w:color="auto" w:fill="FFFFFF"/>
            <w:vAlign w:val="center"/>
          </w:tcPr>
          <w:p w14:paraId="7A7CAE43">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vMerge w:val="restart"/>
            <w:tcBorders>
              <w:top w:val="single" w:color="auto" w:sz="4" w:space="0"/>
              <w:left w:val="single" w:color="auto" w:sz="4" w:space="0"/>
              <w:right w:val="single" w:color="auto" w:sz="4" w:space="0"/>
            </w:tcBorders>
            <w:shd w:val="clear" w:color="auto" w:fill="FFFFFF"/>
            <w:vAlign w:val="center"/>
          </w:tcPr>
          <w:p w14:paraId="1B10F541">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招标人书面澄清或修改</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64FFCDE7">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招标文件的澄清将以书面电子邮件形式在</w:t>
            </w:r>
            <w:r>
              <w:rPr>
                <w:rFonts w:hint="eastAsia" w:ascii="仿宋" w:hAnsi="仿宋" w:eastAsia="仿宋" w:cs="仿宋"/>
                <w:color w:val="0000FF"/>
                <w:sz w:val="24"/>
                <w:szCs w:val="24"/>
                <w:highlight w:val="none"/>
              </w:rPr>
              <w:t>2025年</w:t>
            </w:r>
            <w:r>
              <w:rPr>
                <w:rFonts w:hint="eastAsia" w:ascii="仿宋" w:hAnsi="仿宋" w:eastAsia="仿宋" w:cs="仿宋"/>
                <w:color w:val="0000FF"/>
                <w:sz w:val="24"/>
                <w:szCs w:val="24"/>
                <w:highlight w:val="none"/>
                <w:lang w:val="en-US" w:eastAsia="zh-CN"/>
              </w:rPr>
              <w:t>7</w:t>
            </w:r>
            <w:r>
              <w:rPr>
                <w:rFonts w:hint="eastAsia" w:ascii="仿宋" w:hAnsi="仿宋" w:eastAsia="仿宋" w:cs="仿宋"/>
                <w:color w:val="0000FF"/>
                <w:sz w:val="24"/>
                <w:szCs w:val="24"/>
                <w:highlight w:val="none"/>
              </w:rPr>
              <w:t>月</w:t>
            </w:r>
            <w:r>
              <w:rPr>
                <w:rFonts w:hint="eastAsia" w:ascii="仿宋" w:hAnsi="仿宋" w:eastAsia="仿宋" w:cs="仿宋"/>
                <w:color w:val="0000FF"/>
                <w:sz w:val="24"/>
                <w:szCs w:val="24"/>
                <w:highlight w:val="none"/>
                <w:lang w:val="en-US" w:eastAsia="zh-CN"/>
              </w:rPr>
              <w:t>22</w:t>
            </w:r>
            <w:r>
              <w:rPr>
                <w:rFonts w:hint="eastAsia" w:ascii="仿宋" w:hAnsi="仿宋" w:eastAsia="仿宋" w:cs="仿宋"/>
                <w:color w:val="0000FF"/>
                <w:sz w:val="24"/>
                <w:szCs w:val="24"/>
                <w:highlight w:val="none"/>
              </w:rPr>
              <w:t>日17：00</w:t>
            </w:r>
            <w:r>
              <w:rPr>
                <w:rFonts w:hint="eastAsia" w:ascii="仿宋" w:hAnsi="仿宋" w:eastAsia="仿宋" w:cs="仿宋"/>
                <w:color w:val="auto"/>
                <w:sz w:val="24"/>
                <w:szCs w:val="24"/>
                <w:highlight w:val="none"/>
              </w:rPr>
              <w:t>前发给所有获取招标文件的投标人，但不指明澄清问题的来源。</w:t>
            </w:r>
          </w:p>
        </w:tc>
      </w:tr>
      <w:tr w14:paraId="6494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8" w:type="dxa"/>
            <w:vMerge w:val="continue"/>
            <w:tcBorders>
              <w:left w:val="single" w:color="auto" w:sz="4" w:space="0"/>
              <w:bottom w:val="single" w:color="auto" w:sz="4" w:space="0"/>
              <w:right w:val="single" w:color="auto" w:sz="4" w:space="0"/>
            </w:tcBorders>
            <w:shd w:val="clear" w:color="auto" w:fill="FFFFFF"/>
            <w:vAlign w:val="center"/>
          </w:tcPr>
          <w:p w14:paraId="53BB728B">
            <w:pPr>
              <w:pStyle w:val="58"/>
              <w:keepNext w:val="0"/>
              <w:keepLines w:val="0"/>
              <w:numPr>
                <w:ilvl w:val="0"/>
                <w:numId w:val="0"/>
              </w:numPr>
              <w:suppressLineNumbers w:val="0"/>
              <w:wordWrap w:val="0"/>
              <w:spacing w:before="0" w:beforeAutospacing="0" w:after="0" w:afterAutospacing="0" w:line="360" w:lineRule="exact"/>
              <w:ind w:left="0" w:leftChars="0" w:right="0" w:rightChars="0"/>
              <w:jc w:val="both"/>
              <w:rPr>
                <w:rFonts w:hint="eastAsia" w:ascii="仿宋" w:hAnsi="仿宋" w:eastAsia="仿宋" w:cs="仿宋"/>
                <w:bCs/>
                <w:color w:val="auto"/>
                <w:szCs w:val="24"/>
                <w:highlight w:val="none"/>
              </w:rPr>
            </w:pPr>
          </w:p>
        </w:tc>
        <w:tc>
          <w:tcPr>
            <w:tcW w:w="1978" w:type="dxa"/>
            <w:vMerge w:val="continue"/>
            <w:tcBorders>
              <w:left w:val="single" w:color="auto" w:sz="4" w:space="0"/>
              <w:bottom w:val="single" w:color="auto" w:sz="4" w:space="0"/>
              <w:right w:val="single" w:color="auto" w:sz="4" w:space="0"/>
            </w:tcBorders>
            <w:shd w:val="clear" w:color="auto" w:fill="FFFFFF"/>
            <w:vAlign w:val="center"/>
          </w:tcPr>
          <w:p w14:paraId="1A42A70D">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06F393B4">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招标文件的修改将以更正公告的形式在公告发布网站发布。</w:t>
            </w:r>
          </w:p>
        </w:tc>
      </w:tr>
      <w:tr w14:paraId="6B38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3F250D80">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05C7E3DF">
            <w:pPr>
              <w:keepNext w:val="0"/>
              <w:keepLines w:val="0"/>
              <w:pageBreakBefore w:val="0"/>
              <w:suppressLineNumbers w:val="0"/>
              <w:topLinePunct w:val="0"/>
              <w:autoSpaceDN/>
              <w:bidi w:val="0"/>
              <w:snapToGrid w:val="0"/>
              <w:spacing w:before="0" w:beforeAutospacing="0" w:after="0" w:afterAutospacing="0" w:line="360" w:lineRule="exact"/>
              <w:ind w:left="0" w:right="0"/>
              <w:jc w:val="center"/>
              <w:textAlignment w:val="auto"/>
              <w:rPr>
                <w:rFonts w:hint="eastAsia" w:ascii="仿宋" w:hAnsi="仿宋" w:eastAsia="仿宋" w:cs="仿宋"/>
                <w:b/>
                <w:kern w:val="2"/>
                <w:sz w:val="24"/>
                <w:szCs w:val="22"/>
                <w:highlight w:val="none"/>
                <w:lang w:val="en-US" w:eastAsia="zh-CN" w:bidi="ar-SA"/>
              </w:rPr>
            </w:pPr>
            <w:r>
              <w:rPr>
                <w:rFonts w:hint="eastAsia" w:ascii="仿宋" w:hAnsi="仿宋" w:eastAsia="仿宋" w:cs="仿宋"/>
                <w:b/>
                <w:sz w:val="24"/>
                <w:highlight w:val="none"/>
              </w:rPr>
              <w:t>开标时间和地点</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1910FED1">
            <w:pPr>
              <w:keepNext w:val="0"/>
              <w:keepLines w:val="0"/>
              <w:pageBreakBefore w:val="0"/>
              <w:suppressLineNumbers w:val="0"/>
              <w:topLinePunct w:val="0"/>
              <w:autoSpaceDN/>
              <w:bidi w:val="0"/>
              <w:spacing w:before="0" w:beforeAutospacing="0" w:after="0" w:afterAutospacing="0" w:line="360" w:lineRule="exact"/>
              <w:ind w:left="0" w:right="0"/>
              <w:jc w:val="left"/>
              <w:textAlignment w:val="auto"/>
              <w:rPr>
                <w:rFonts w:hint="default" w:ascii="仿宋" w:hAnsi="仿宋" w:eastAsia="仿宋" w:cs="仿宋"/>
                <w:sz w:val="24"/>
                <w:highlight w:val="none"/>
              </w:rPr>
            </w:pPr>
            <w:r>
              <w:rPr>
                <w:rFonts w:hint="eastAsia" w:ascii="仿宋" w:hAnsi="仿宋" w:eastAsia="仿宋" w:cs="仿宋"/>
                <w:sz w:val="24"/>
                <w:highlight w:val="none"/>
              </w:rPr>
              <w:t>时间：详见招标公告。</w:t>
            </w:r>
          </w:p>
          <w:p w14:paraId="4E8C58C5">
            <w:pPr>
              <w:keepNext w:val="0"/>
              <w:keepLines w:val="0"/>
              <w:suppressLineNumbers w:val="0"/>
              <w:spacing w:before="0" w:beforeAutospacing="0" w:after="0" w:afterAutospacing="0" w:line="360" w:lineRule="exact"/>
              <w:ind w:left="0" w:right="0"/>
              <w:jc w:val="left"/>
              <w:rPr>
                <w:rFonts w:hint="eastAsia" w:ascii="仿宋" w:hAnsi="仿宋" w:eastAsia="仿宋" w:cs="仿宋"/>
                <w:sz w:val="24"/>
                <w:highlight w:val="none"/>
              </w:rPr>
            </w:pPr>
            <w:r>
              <w:rPr>
                <w:rFonts w:hint="eastAsia" w:ascii="仿宋" w:hAnsi="仿宋" w:eastAsia="仿宋" w:cs="仿宋"/>
                <w:sz w:val="24"/>
                <w:highlight w:val="none"/>
              </w:rPr>
              <w:t>地点：详见招标公告。</w:t>
            </w:r>
          </w:p>
          <w:p w14:paraId="018C70D8">
            <w:pPr>
              <w:keepNext w:val="0"/>
              <w:keepLines w:val="0"/>
              <w:suppressLineNumbers w:val="0"/>
              <w:spacing w:before="0" w:beforeAutospacing="0" w:after="0" w:afterAutospacing="0" w:line="360" w:lineRule="exact"/>
              <w:ind w:left="0" w:right="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存在下列情况之一的，视为撤回：</w:t>
            </w:r>
          </w:p>
          <w:p w14:paraId="4B889893">
            <w:pPr>
              <w:keepNext w:val="0"/>
              <w:keepLines w:val="0"/>
              <w:suppressLineNumbers w:val="0"/>
              <w:spacing w:before="0" w:beforeAutospacing="0" w:after="0" w:afterAutospacing="0" w:line="360" w:lineRule="exact"/>
              <w:ind w:left="0" w:right="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（含备份文件）无法解密的；</w:t>
            </w:r>
          </w:p>
          <w:p w14:paraId="410483A2">
            <w:pPr>
              <w:keepNext w:val="0"/>
              <w:keepLines w:val="0"/>
              <w:suppressLineNumbers w:val="0"/>
              <w:spacing w:before="0" w:beforeAutospacing="0" w:after="0" w:afterAutospacing="0" w:line="360" w:lineRule="exact"/>
              <w:ind w:left="0" w:right="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未按时解密或备份文件无法成功导入的；</w:t>
            </w:r>
          </w:p>
          <w:p w14:paraId="65E35326">
            <w:pPr>
              <w:keepNext w:val="0"/>
              <w:keepLines w:val="0"/>
              <w:pageBreakBefore w:val="0"/>
              <w:suppressLineNumbers w:val="0"/>
              <w:topLinePunct w:val="0"/>
              <w:autoSpaceDN/>
              <w:bidi w:val="0"/>
              <w:spacing w:before="0" w:beforeAutospacing="0" w:after="0" w:afterAutospacing="0" w:line="360" w:lineRule="exact"/>
              <w:ind w:left="0" w:right="0"/>
              <w:jc w:val="left"/>
              <w:textAlignment w:val="auto"/>
              <w:rPr>
                <w:rFonts w:hint="eastAsia" w:ascii="仿宋" w:hAnsi="仿宋" w:eastAsia="仿宋" w:cs="仿宋"/>
                <w:kern w:val="2"/>
                <w:sz w:val="24"/>
                <w:szCs w:val="22"/>
                <w:highlight w:val="none"/>
                <w:lang w:val="en-US" w:eastAsia="zh-CN" w:bidi="ar-SA"/>
              </w:rPr>
            </w:pPr>
            <w:r>
              <w:rPr>
                <w:rFonts w:hint="eastAsia" w:ascii="仿宋" w:hAnsi="仿宋" w:eastAsia="仿宋" w:cs="仿宋"/>
                <w:snapToGrid w:val="0"/>
                <w:color w:val="auto"/>
                <w:kern w:val="28"/>
                <w:sz w:val="24"/>
                <w:highlight w:val="none"/>
              </w:rPr>
              <w:t>（3）</w:t>
            </w:r>
            <w:r>
              <w:rPr>
                <w:rFonts w:hint="eastAsia" w:ascii="仿宋" w:hAnsi="仿宋" w:eastAsia="仿宋" w:cs="仿宋"/>
                <w:snapToGrid w:val="0"/>
                <w:color w:val="auto"/>
                <w:kern w:val="28"/>
                <w:sz w:val="24"/>
                <w:highlight w:val="none"/>
                <w:lang w:eastAsia="zh-CN"/>
              </w:rPr>
              <w:t>投标</w:t>
            </w:r>
            <w:r>
              <w:rPr>
                <w:rFonts w:hint="eastAsia" w:ascii="仿宋" w:hAnsi="仿宋" w:eastAsia="仿宋" w:cs="仿宋"/>
                <w:snapToGrid w:val="0"/>
                <w:color w:val="auto"/>
                <w:kern w:val="28"/>
                <w:sz w:val="24"/>
                <w:highlight w:val="none"/>
              </w:rPr>
              <w:t>截止时间前，供应商仅递交了“备份</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”而未将“电子加密</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”成功上传至“</w:t>
            </w:r>
            <w:r>
              <w:rPr>
                <w:rFonts w:hint="eastAsia" w:ascii="仿宋" w:hAnsi="仿宋" w:eastAsia="仿宋" w:cs="仿宋"/>
                <w:snapToGrid w:val="0"/>
                <w:color w:val="auto"/>
                <w:kern w:val="28"/>
                <w:sz w:val="24"/>
                <w:highlight w:val="none"/>
                <w:lang w:eastAsia="zh-CN"/>
              </w:rPr>
              <w:t>乐采云平台</w:t>
            </w:r>
            <w:r>
              <w:rPr>
                <w:rFonts w:hint="eastAsia" w:ascii="仿宋" w:hAnsi="仿宋" w:eastAsia="仿宋" w:cs="仿宋"/>
                <w:snapToGrid w:val="0"/>
                <w:color w:val="auto"/>
                <w:kern w:val="28"/>
                <w:sz w:val="24"/>
                <w:highlight w:val="none"/>
              </w:rPr>
              <w:t>”的。</w:t>
            </w:r>
          </w:p>
        </w:tc>
      </w:tr>
      <w:tr w14:paraId="0F88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19C18D75">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5DF0CE81">
            <w:pPr>
              <w:keepNext w:val="0"/>
              <w:keepLines w:val="0"/>
              <w:suppressLineNumbers w:val="0"/>
              <w:wordWrap w:val="0"/>
              <w:spacing w:before="0" w:beforeAutospacing="0" w:after="0" w:afterAutospacing="0" w:line="360" w:lineRule="exact"/>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评标委员会</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3FA5872B">
            <w:pPr>
              <w:keepNext w:val="0"/>
              <w:keepLines w:val="0"/>
              <w:suppressLineNumbers w:val="0"/>
              <w:wordWrap w:val="0"/>
              <w:spacing w:before="0" w:beforeAutospacing="0" w:after="0" w:afterAutospacing="0" w:line="360" w:lineRule="exact"/>
              <w:ind w:left="0" w:leftChars="0" w:right="-109" w:rightChars="-52" w:firstLine="24" w:firstLineChars="1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评标委员会由招标人依法组建，评标委员会由</w:t>
            </w:r>
            <w:r>
              <w:rPr>
                <w:rFonts w:hint="eastAsia" w:ascii="仿宋" w:hAnsi="仿宋" w:eastAsia="仿宋" w:cs="仿宋"/>
                <w:color w:val="auto"/>
                <w:sz w:val="24"/>
                <w:szCs w:val="24"/>
                <w:highlight w:val="none"/>
                <w:u w:val="none"/>
              </w:rPr>
              <w:t>5</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及以上单数</w:t>
            </w:r>
            <w:r>
              <w:rPr>
                <w:rFonts w:hint="eastAsia" w:ascii="仿宋" w:hAnsi="仿宋" w:eastAsia="仿宋" w:cs="仿宋"/>
                <w:color w:val="auto"/>
                <w:sz w:val="24"/>
                <w:szCs w:val="24"/>
                <w:highlight w:val="none"/>
              </w:rPr>
              <w:t>组成，其中招标人代表不超过三分之一。</w:t>
            </w:r>
          </w:p>
        </w:tc>
      </w:tr>
      <w:tr w14:paraId="5607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69CE7672">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0CB3609C">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2A664A5F">
            <w:pPr>
              <w:keepNext w:val="0"/>
              <w:keepLines w:val="0"/>
              <w:suppressLineNumbers w:val="0"/>
              <w:wordWrap w:val="0"/>
              <w:spacing w:before="0" w:beforeAutospacing="0" w:after="0" w:afterAutospacing="0" w:line="360" w:lineRule="exact"/>
              <w:ind w:left="0" w:right="-109" w:rightChars="-52" w:firstLine="24" w:firstLineChars="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☑综合评分法，□经评审最低价法，□其他：</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53BE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7FE44D6C">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37F0D722">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w:t>
            </w:r>
          </w:p>
          <w:p w14:paraId="2E84CFAA">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124D62AD">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评标委员会根据综合得分从高到</w:t>
            </w:r>
            <w:r>
              <w:rPr>
                <w:rFonts w:hint="eastAsia" w:ascii="仿宋" w:hAnsi="仿宋" w:eastAsia="仿宋" w:cs="仿宋"/>
                <w:color w:val="auto"/>
                <w:sz w:val="24"/>
                <w:szCs w:val="24"/>
                <w:highlight w:val="none"/>
                <w:lang w:val="en-US" w:eastAsia="zh-CN"/>
              </w:rPr>
              <w:t>低</w:t>
            </w:r>
            <w:r>
              <w:rPr>
                <w:rFonts w:hint="eastAsia" w:ascii="仿宋" w:hAnsi="仿宋" w:eastAsia="仿宋" w:cs="仿宋"/>
                <w:color w:val="auto"/>
                <w:sz w:val="24"/>
                <w:szCs w:val="24"/>
                <w:highlight w:val="none"/>
              </w:rPr>
              <w:t>的顺序排名，推荐</w:t>
            </w:r>
            <w:r>
              <w:rPr>
                <w:rFonts w:hint="eastAsia" w:ascii="仿宋" w:hAnsi="仿宋" w:eastAsia="仿宋" w:cs="仿宋"/>
                <w:color w:val="auto"/>
                <w:sz w:val="24"/>
                <w:szCs w:val="24"/>
                <w:highlight w:val="none"/>
                <w:lang w:val="en-US" w:eastAsia="zh-CN"/>
              </w:rPr>
              <w:t>前</w:t>
            </w:r>
            <w:r>
              <w:rPr>
                <w:rFonts w:hint="default"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 xml:space="preserve">名作为中标候选人（不超过3名）。 </w:t>
            </w:r>
          </w:p>
        </w:tc>
      </w:tr>
      <w:tr w14:paraId="033F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4A3ACA13">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4D97B589">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中标人数量</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4B7DD953">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u w:val="single"/>
                <w:lang w:val="en-US"/>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名。</w:t>
            </w:r>
          </w:p>
        </w:tc>
      </w:tr>
      <w:tr w14:paraId="5480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469078F8">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768FCAA1">
            <w:pPr>
              <w:keepNext w:val="0"/>
              <w:keepLines w:val="0"/>
              <w:widowControl w:val="0"/>
              <w:suppressLineNumbers w:val="0"/>
              <w:wordWrap w:val="0"/>
              <w:adjustRightInd w:val="0"/>
              <w:snapToGrid w:val="0"/>
              <w:spacing w:before="0" w:beforeAutospacing="0" w:after="0" w:afterAutospacing="0" w:line="38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中标候选人</w:t>
            </w:r>
          </w:p>
          <w:p w14:paraId="0F3CAE50">
            <w:pPr>
              <w:keepNext w:val="0"/>
              <w:keepLines w:val="0"/>
              <w:widowControl w:val="0"/>
              <w:suppressLineNumbers w:val="0"/>
              <w:wordWrap w:val="0"/>
              <w:adjustRightInd w:val="0"/>
              <w:snapToGrid w:val="0"/>
              <w:spacing w:before="0" w:beforeAutospacing="0" w:after="0" w:afterAutospacing="0" w:line="380" w:lineRule="exac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kern w:val="2"/>
                <w:sz w:val="24"/>
                <w:szCs w:val="24"/>
                <w:lang w:val="en-US" w:eastAsia="zh-CN" w:bidi="ar"/>
              </w:rPr>
              <w:t>公示</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293DFFB0">
            <w:pPr>
              <w:keepNext w:val="0"/>
              <w:keepLines w:val="0"/>
              <w:widowControl w:val="0"/>
              <w:suppressLineNumbers w:val="0"/>
              <w:wordWrap w:val="0"/>
              <w:adjustRightInd w:val="0"/>
              <w:snapToGrid w:val="0"/>
              <w:spacing w:before="0" w:beforeAutospacing="0" w:after="0" w:afterAutospacing="0" w:line="3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kern w:val="2"/>
                <w:sz w:val="24"/>
                <w:szCs w:val="24"/>
                <w:lang w:val="en-US" w:eastAsia="zh-CN" w:bidi="ar"/>
              </w:rPr>
              <w:t>自收到评标报告之日起5个工作日内，将在公告发布网站发布中标候选人公示，公示期限为1个工作日。各参加投标活动的投标人认为该拟中标结果和招标过程等使自己的权益受到损害的，可以在公示期内，以书面形式向招标代理机构提出异议。</w:t>
            </w:r>
          </w:p>
        </w:tc>
      </w:tr>
      <w:tr w14:paraId="71E6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3833570B">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40E4E827">
            <w:pPr>
              <w:keepNext w:val="0"/>
              <w:keepLines w:val="0"/>
              <w:widowControl w:val="0"/>
              <w:suppressLineNumbers w:val="0"/>
              <w:wordWrap w:val="0"/>
              <w:adjustRightInd w:val="0"/>
              <w:snapToGrid w:val="0"/>
              <w:spacing w:before="0" w:beforeAutospacing="0" w:after="0" w:afterAutospacing="0" w:line="380" w:lineRule="exac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kern w:val="2"/>
                <w:sz w:val="24"/>
                <w:szCs w:val="24"/>
                <w:lang w:val="en-US" w:eastAsia="zh-CN" w:bidi="ar"/>
              </w:rPr>
              <w:t>中标公告</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3D4D902E">
            <w:pPr>
              <w:keepNext w:val="0"/>
              <w:keepLines w:val="0"/>
              <w:widowControl w:val="0"/>
              <w:suppressLineNumbers w:val="0"/>
              <w:wordWrap w:val="0"/>
              <w:adjustRightInd w:val="0"/>
              <w:snapToGrid w:val="0"/>
              <w:spacing w:before="0" w:beforeAutospacing="0" w:after="0" w:afterAutospacing="0" w:line="3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kern w:val="2"/>
                <w:sz w:val="24"/>
                <w:szCs w:val="24"/>
                <w:lang w:val="en-US" w:eastAsia="zh-CN" w:bidi="ar"/>
              </w:rPr>
              <w:t>中标人确定之日起2日内，将在公告发布网站发布中标公告。</w:t>
            </w:r>
          </w:p>
        </w:tc>
      </w:tr>
      <w:tr w14:paraId="1A97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3"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54BF61BA">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529F1418">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履约保证金</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3AD183C7">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bookmarkStart w:id="30" w:name="_Hlk95143630"/>
            <w:r>
              <w:rPr>
                <w:rFonts w:hint="eastAsia" w:ascii="仿宋" w:hAnsi="仿宋" w:eastAsia="仿宋" w:cs="仿宋"/>
                <w:b/>
                <w:bCs/>
                <w:color w:val="auto"/>
                <w:sz w:val="24"/>
                <w:szCs w:val="24"/>
                <w:highlight w:val="none"/>
              </w:rPr>
              <w:t>金额：</w:t>
            </w:r>
            <w:r>
              <w:rPr>
                <w:rFonts w:hint="eastAsia" w:ascii="仿宋" w:hAnsi="仿宋" w:eastAsia="仿宋" w:cs="仿宋"/>
                <w:b/>
                <w:bCs/>
                <w:color w:val="auto"/>
                <w:sz w:val="24"/>
                <w:szCs w:val="24"/>
                <w:highlight w:val="none"/>
                <w:lang w:val="en-US" w:eastAsia="zh-CN"/>
              </w:rPr>
              <w:t>合同签约价的</w:t>
            </w:r>
            <w:r>
              <w:rPr>
                <w:rFonts w:hint="eastAsia" w:ascii="仿宋" w:hAnsi="仿宋" w:eastAsia="仿宋" w:cs="仿宋"/>
                <w:b/>
                <w:bCs/>
                <w:color w:val="auto"/>
                <w:sz w:val="24"/>
                <w:szCs w:val="24"/>
                <w:highlight w:val="none"/>
                <w:u w:val="single"/>
                <w:lang w:val="en-US" w:eastAsia="zh-CN"/>
              </w:rPr>
              <w:t xml:space="preserve"> 1 </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rPr>
              <w:t>；</w:t>
            </w:r>
          </w:p>
          <w:p w14:paraId="11F1DF42">
            <w:pPr>
              <w:keepNext w:val="0"/>
              <w:keepLines w:val="0"/>
              <w:suppressLineNumbers w:val="0"/>
              <w:wordWrap/>
              <w:adjustRightInd/>
              <w:snapToGrid/>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缴纳形式：①中标人基本账户的银行转账或支票、银行汇票；②银行或保险公司保函。</w:t>
            </w:r>
          </w:p>
          <w:p w14:paraId="34DD8678">
            <w:pPr>
              <w:keepNext w:val="0"/>
              <w:keepLines w:val="0"/>
              <w:suppressLineNumbers w:val="0"/>
              <w:wordWrap/>
              <w:adjustRightInd/>
              <w:snapToGrid/>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交纳时间：中标单位在中标通知书发出后10日历天内、签订合同前向招标人提交履约保证金。若中标单位拒交履约保证金的，则视为主动放弃中标资格。</w:t>
            </w:r>
            <w:bookmarkEnd w:id="30"/>
            <w:r>
              <w:rPr>
                <w:rFonts w:hint="eastAsia" w:ascii="仿宋" w:hAnsi="仿宋" w:eastAsia="仿宋" w:cs="仿宋"/>
                <w:color w:val="auto"/>
                <w:sz w:val="24"/>
                <w:szCs w:val="24"/>
                <w:highlight w:val="none"/>
              </w:rPr>
              <w:t>履约保证金被扣除后未及时补齐的，招标人有权提前解除本合同。</w:t>
            </w:r>
          </w:p>
          <w:p w14:paraId="39B14520">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供应商违约造成招标人损失的，招标人有权在保证金中将相关金额扣除。招标人扣除保证金后，应通知供应商补足保证金，供应商应在收到通知后的7日内补足。保证金不足以弥补招标人损失的，招标人可以继续要求供应商承担赔偿损失的责任。</w:t>
            </w:r>
          </w:p>
        </w:tc>
      </w:tr>
      <w:tr w14:paraId="59BA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90"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62229779">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52678E65">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质量保证期</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651B0C0E">
            <w:pPr>
              <w:keepNext w:val="0"/>
              <w:keepLines w:val="0"/>
              <w:suppressLineNumbers w:val="0"/>
              <w:wordWrap w:val="0"/>
              <w:adjustRightInd w:val="0"/>
              <w:snapToGrid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第三部分“采购需求和技术要求”</w:t>
            </w:r>
            <w:r>
              <w:rPr>
                <w:rFonts w:hint="eastAsia" w:ascii="仿宋" w:hAnsi="仿宋" w:eastAsia="仿宋" w:cs="仿宋"/>
                <w:color w:val="auto"/>
                <w:sz w:val="24"/>
                <w:szCs w:val="24"/>
                <w:highlight w:val="none"/>
                <w:lang w:eastAsia="zh-CN"/>
              </w:rPr>
              <w:t>。</w:t>
            </w:r>
          </w:p>
        </w:tc>
      </w:tr>
      <w:tr w14:paraId="6FFB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6B46843C">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37EF533A">
            <w:pPr>
              <w:keepNext w:val="0"/>
              <w:keepLines w:val="0"/>
              <w:suppressLineNumbers w:val="0"/>
              <w:wordWrap w:val="0"/>
              <w:adjustRightInd w:val="0"/>
              <w:snapToGrid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质量保证金</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7D18DA3C">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质量保证金：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SYMBOL 0 \f "Times New Roman" \s 12</w:instrTex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SYMBOL 0 \f "Times New Roman" \s 12</w:instrTex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无</w:t>
            </w:r>
          </w:p>
          <w:p w14:paraId="7D05C689">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金额：合同</w:t>
            </w:r>
            <w:r>
              <w:rPr>
                <w:rFonts w:hint="eastAsia" w:ascii="仿宋" w:hAnsi="仿宋" w:eastAsia="仿宋" w:cs="仿宋"/>
                <w:color w:val="auto"/>
                <w:sz w:val="24"/>
                <w:szCs w:val="24"/>
                <w:highlight w:val="none"/>
                <w:lang w:val="en-US" w:eastAsia="zh-CN"/>
              </w:rPr>
              <w:t>结算</w:t>
            </w:r>
            <w:r>
              <w:rPr>
                <w:rFonts w:hint="eastAsia" w:ascii="仿宋" w:hAnsi="仿宋" w:eastAsia="仿宋" w:cs="仿宋"/>
                <w:color w:val="auto"/>
                <w:sz w:val="24"/>
                <w:szCs w:val="24"/>
                <w:highlight w:val="none"/>
              </w:rPr>
              <w:t>价</w:t>
            </w:r>
            <w:r>
              <w:rPr>
                <w:rFonts w:hint="eastAsia" w:ascii="仿宋" w:hAnsi="仿宋" w:eastAsia="仿宋" w:cs="仿宋"/>
                <w:sz w:val="24"/>
                <w:szCs w:val="24"/>
                <w:highlight w:val="none"/>
              </w:rPr>
              <w:t xml:space="preserve">的 </w:t>
            </w:r>
            <w:r>
              <w:rPr>
                <w:rFonts w:hint="eastAsia" w:ascii="仿宋" w:hAnsi="仿宋" w:eastAsia="仿宋" w:cs="仿宋"/>
                <w:sz w:val="24"/>
                <w:szCs w:val="24"/>
                <w:highlight w:val="none"/>
                <w:u w:val="single"/>
              </w:rPr>
              <w:t xml:space="preserve">1.5 </w:t>
            </w:r>
            <w:r>
              <w:rPr>
                <w:rFonts w:hint="eastAsia" w:ascii="仿宋" w:hAnsi="仿宋" w:eastAsia="仿宋" w:cs="仿宋"/>
                <w:sz w:val="24"/>
                <w:szCs w:val="24"/>
                <w:highlight w:val="none"/>
              </w:rPr>
              <w:t>%；</w:t>
            </w:r>
          </w:p>
          <w:p w14:paraId="6D337200">
            <w:pPr>
              <w:keepNext w:val="0"/>
              <w:keepLines w:val="0"/>
              <w:suppressLineNumbers w:val="0"/>
              <w:wordWrap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缴纳</w:t>
            </w:r>
            <w:r>
              <w:rPr>
                <w:rFonts w:hint="eastAsia" w:ascii="仿宋" w:hAnsi="仿宋" w:eastAsia="仿宋" w:cs="仿宋"/>
                <w:sz w:val="24"/>
                <w:szCs w:val="24"/>
                <w:highlight w:val="none"/>
              </w:rPr>
              <w:t>形式：①中标人基本账户的银行转账或支票、银行汇票；②银行或保险公司保函。</w:t>
            </w:r>
          </w:p>
          <w:p w14:paraId="0545D0FA">
            <w:pPr>
              <w:keepNext w:val="0"/>
              <w:keepLines w:val="0"/>
              <w:suppressLineNumbers w:val="0"/>
              <w:wordWrap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提交时间：接到</w:t>
            </w:r>
            <w:r>
              <w:rPr>
                <w:rFonts w:hint="eastAsia" w:ascii="仿宋" w:hAnsi="仿宋" w:eastAsia="仿宋" w:cs="仿宋"/>
                <w:sz w:val="24"/>
                <w:szCs w:val="24"/>
                <w:highlight w:val="none"/>
                <w:lang w:val="en-US" w:eastAsia="zh-CN"/>
              </w:rPr>
              <w:t>招标人</w:t>
            </w:r>
            <w:r>
              <w:rPr>
                <w:rFonts w:hint="eastAsia" w:ascii="仿宋" w:hAnsi="仿宋" w:eastAsia="仿宋" w:cs="仿宋"/>
                <w:sz w:val="24"/>
                <w:szCs w:val="24"/>
                <w:highlight w:val="none"/>
              </w:rPr>
              <w:t>通知后15日历天内提交质保金。若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拒交质保金的，</w:t>
            </w:r>
            <w:r>
              <w:rPr>
                <w:rFonts w:hint="eastAsia" w:ascii="仿宋" w:hAnsi="仿宋" w:eastAsia="仿宋" w:cs="仿宋"/>
                <w:sz w:val="24"/>
                <w:szCs w:val="24"/>
                <w:highlight w:val="none"/>
                <w:lang w:val="en-US" w:eastAsia="zh-CN"/>
              </w:rPr>
              <w:t>招标人</w:t>
            </w:r>
            <w:r>
              <w:rPr>
                <w:rFonts w:hint="eastAsia" w:ascii="仿宋" w:hAnsi="仿宋" w:eastAsia="仿宋" w:cs="仿宋"/>
                <w:sz w:val="24"/>
                <w:szCs w:val="24"/>
                <w:highlight w:val="none"/>
              </w:rPr>
              <w:t>有权直接在合同款项中扣留。</w:t>
            </w:r>
          </w:p>
          <w:p w14:paraId="6BE87B54">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退还时间：质保期结束后经</w:t>
            </w:r>
            <w:r>
              <w:rPr>
                <w:rFonts w:hint="eastAsia" w:ascii="仿宋" w:hAnsi="仿宋" w:eastAsia="仿宋" w:cs="仿宋"/>
                <w:sz w:val="24"/>
                <w:szCs w:val="24"/>
                <w:highlight w:val="none"/>
                <w:lang w:val="en-US" w:eastAsia="zh-CN"/>
              </w:rPr>
              <w:t>招标人</w:t>
            </w:r>
            <w:r>
              <w:rPr>
                <w:rFonts w:hint="eastAsia" w:ascii="仿宋" w:hAnsi="仿宋" w:eastAsia="仿宋" w:cs="仿宋"/>
                <w:sz w:val="24"/>
                <w:szCs w:val="24"/>
                <w:highlight w:val="none"/>
              </w:rPr>
              <w:t>确认后无息退还。</w:t>
            </w:r>
          </w:p>
        </w:tc>
      </w:tr>
      <w:tr w14:paraId="71A2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420C3795">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2A7FCDAF">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w:t>
            </w:r>
          </w:p>
          <w:p w14:paraId="2522D783">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响应条款</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628E6F53">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招标文件中打“▲”的为实质性响应条款，不允许负偏离，负偏离的按无效标处理。</w:t>
            </w:r>
          </w:p>
        </w:tc>
      </w:tr>
      <w:tr w14:paraId="0FC8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7EE8E350">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2C0D9187">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样品</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7516289B">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5CDF7CCE">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B要求提供，</w:t>
            </w:r>
          </w:p>
          <w:p w14:paraId="032B9D2E">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详见“第三部分  采购需求和技术要求”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4CAE1DB9">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snapToGrid w:val="0"/>
                <w:color w:val="auto"/>
                <w:kern w:val="28"/>
                <w:sz w:val="24"/>
                <w:szCs w:val="24"/>
                <w:highlight w:val="none"/>
                <w:u w:val="single"/>
              </w:rPr>
              <w:t>详见“</w:t>
            </w:r>
            <w:r>
              <w:rPr>
                <w:rFonts w:hint="eastAsia" w:ascii="仿宋" w:hAnsi="仿宋" w:eastAsia="仿宋" w:cs="仿宋"/>
                <w:snapToGrid w:val="0"/>
                <w:color w:val="auto"/>
                <w:kern w:val="28"/>
                <w:sz w:val="24"/>
                <w:szCs w:val="24"/>
                <w:highlight w:val="none"/>
                <w:u w:val="single"/>
                <w:lang w:eastAsia="zh-CN"/>
              </w:rPr>
              <w:t>第三部分  采购需求和技术要求</w:t>
            </w:r>
            <w:r>
              <w:rPr>
                <w:rFonts w:hint="eastAsia" w:ascii="仿宋" w:hAnsi="仿宋" w:eastAsia="仿宋" w:cs="仿宋"/>
                <w:snapToGrid w:val="0"/>
                <w:color w:val="auto"/>
                <w:kern w:val="28"/>
                <w:sz w:val="24"/>
                <w:szCs w:val="24"/>
                <w:highlight w:val="none"/>
                <w:u w:val="singl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3A8D037">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szCs w:val="24"/>
                <w:highlight w:val="none"/>
              </w:rPr>
              <w:t>；</w:t>
            </w:r>
          </w:p>
          <w:p w14:paraId="73179E5E">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7B900A99">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u w:val="single"/>
              </w:rPr>
              <w:t>投标文件递交截止时间前递交，递交时间以送达接受时间为准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新昌县七星街道江滨西路588号（建业大厦2212室）</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求工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kern w:val="0"/>
                <w:sz w:val="24"/>
                <w:highlight w:val="none"/>
                <w:u w:val="single"/>
                <w:shd w:val="clear" w:color="auto" w:fill="FFFFFF"/>
                <w:lang w:val="en-US" w:eastAsia="zh-CN"/>
              </w:rPr>
              <w:t>17757554623</w:t>
            </w:r>
            <w:r>
              <w:rPr>
                <w:rFonts w:hint="eastAsia" w:ascii="仿宋" w:hAnsi="仿宋" w:eastAsia="仿宋" w:cs="仿宋"/>
                <w:color w:val="auto"/>
                <w:sz w:val="24"/>
                <w:szCs w:val="24"/>
                <w:highlight w:val="none"/>
              </w:rPr>
              <w:t>。请投标人在上述时间内提供样品并按规定位置安装完毕。超过截止时间的，招标人或代理机构将不予接收，并将清场并封闭样品现场。</w:t>
            </w:r>
          </w:p>
          <w:p w14:paraId="27CCE3D1">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活动结束后，对于未中标人提供的样品，招标人、代理机构将通知未中标人在规定的时间内取回，逾期未取回的，招标人、代理机构不负保管义务；对于中标人提供的样品，招标人将进行保管、封存，并作为履约验收的参考。</w:t>
            </w:r>
          </w:p>
          <w:p w14:paraId="7483A906">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14:paraId="1C93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43150D3D">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1714B804">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highlight w:val="none"/>
              </w:rPr>
              <w:t>系统演示</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1BC53E3B">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A不组织。</w:t>
            </w:r>
          </w:p>
          <w:p w14:paraId="38827C57">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B组织。</w:t>
            </w:r>
          </w:p>
          <w:p w14:paraId="4F3EDEBD">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演示，使用PPT、Word、视频、DEMO等非真实系统方式演示</w:t>
            </w:r>
            <w:r>
              <w:rPr>
                <w:rFonts w:hint="eastAsia" w:ascii="仿宋" w:hAnsi="仿宋" w:eastAsia="仿宋" w:cs="仿宋"/>
                <w:color w:val="auto"/>
                <w:kern w:val="0"/>
                <w:sz w:val="24"/>
                <w:highlight w:val="none"/>
                <w:u w:val="single"/>
                <w:lang w:val="en-US" w:eastAsia="zh-CN"/>
              </w:rPr>
              <w:t>不得分</w:t>
            </w:r>
            <w:r>
              <w:rPr>
                <w:rFonts w:hint="eastAsia" w:ascii="仿宋" w:hAnsi="仿宋" w:eastAsia="仿宋" w:cs="仿宋"/>
                <w:color w:val="auto"/>
                <w:kern w:val="0"/>
                <w:sz w:val="24"/>
                <w:highlight w:val="none"/>
                <w:u w:val="single"/>
              </w:rPr>
              <w:t>，具体内容详见评标办法</w:t>
            </w:r>
            <w:r>
              <w:rPr>
                <w:rFonts w:hint="eastAsia" w:ascii="仿宋" w:hAnsi="仿宋" w:eastAsia="仿宋" w:cs="仿宋"/>
                <w:color w:val="auto"/>
                <w:kern w:val="0"/>
                <w:sz w:val="24"/>
                <w:highlight w:val="none"/>
              </w:rPr>
              <w:t>。每个投标人时间不超过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分钟，</w:t>
            </w:r>
            <w:r>
              <w:rPr>
                <w:rFonts w:hint="eastAsia" w:ascii="仿宋" w:hAnsi="仿宋" w:eastAsia="仿宋" w:cs="仿宋"/>
                <w:color w:val="auto"/>
                <w:kern w:val="0"/>
                <w:sz w:val="24"/>
                <w:highlight w:val="none"/>
                <w:lang w:eastAsia="zh-CN"/>
              </w:rPr>
              <w:t>演示次序以开标先后次序为准</w:t>
            </w:r>
            <w:r>
              <w:rPr>
                <w:rFonts w:hint="eastAsia" w:ascii="仿宋" w:hAnsi="仿宋" w:eastAsia="仿宋" w:cs="仿宋"/>
                <w:color w:val="auto"/>
                <w:kern w:val="0"/>
                <w:sz w:val="24"/>
                <w:highlight w:val="none"/>
              </w:rPr>
              <w:t>，演示人员（</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人。讲解演示结束后按要求解答评标委员会提问。</w:t>
            </w:r>
          </w:p>
          <w:p w14:paraId="15A5257D">
            <w:pPr>
              <w:keepNext w:val="0"/>
              <w:keepLines w:val="0"/>
              <w:suppressLineNumbers w:val="0"/>
              <w:wordWrap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98DF841">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①代理机构评标场所现场讲解。现场讲解地点为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，讲解演示所用电脑等设备由投标人自备。</w:t>
            </w:r>
            <w:r>
              <w:rPr>
                <w:rFonts w:hint="eastAsia" w:ascii="仿宋" w:hAnsi="仿宋" w:eastAsia="仿宋" w:cs="仿宋"/>
                <w:color w:val="auto"/>
                <w:kern w:val="0"/>
                <w:sz w:val="24"/>
                <w:highlight w:val="none"/>
              </w:rPr>
              <w:t>现场讲解演示人员进场时提供讲解人员名单（加盖公章或授权代表签名）</w:t>
            </w:r>
            <w:r>
              <w:rPr>
                <w:rFonts w:hint="eastAsia" w:ascii="仿宋" w:hAnsi="仿宋" w:eastAsia="仿宋" w:cs="仿宋"/>
                <w:b w:val="0"/>
                <w:bCs w:val="0"/>
                <w:color w:val="auto"/>
                <w:kern w:val="0"/>
                <w:sz w:val="24"/>
                <w:highlight w:val="none"/>
                <w:lang w:eastAsia="zh-CN"/>
              </w:rPr>
              <w:t>、</w:t>
            </w:r>
            <w:r>
              <w:rPr>
                <w:rFonts w:hint="eastAsia" w:ascii="仿宋" w:hAnsi="仿宋" w:eastAsia="仿宋" w:cs="仿宋"/>
                <w:color w:val="auto"/>
                <w:kern w:val="0"/>
                <w:sz w:val="24"/>
                <w:highlight w:val="none"/>
              </w:rPr>
              <w:t>身份证明及投标截止月上溯3个月（含投标截止日当月，共4个月）中任意连续2个月在投标单位的社保缴纳证明（投标人所属社保机构出具的加盖印章的单位或个人专用社保证明）</w:t>
            </w:r>
            <w:r>
              <w:rPr>
                <w:rFonts w:hint="eastAsia" w:ascii="仿宋" w:hAnsi="仿宋" w:eastAsia="仿宋" w:cs="仿宋"/>
                <w:color w:val="auto"/>
                <w:sz w:val="24"/>
                <w:szCs w:val="24"/>
                <w:highlight w:val="none"/>
              </w:rPr>
              <w:t>，否则不得讲解演示。</w:t>
            </w:r>
          </w:p>
          <w:p w14:paraId="5DA06414">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等候地点：</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（建议开标时间前到达）。</w:t>
            </w:r>
          </w:p>
          <w:p w14:paraId="05FFF97E">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讲解时间：评标期间（开标结束后进入评标），具体时间以现场口头通知为准。代理工作人员在</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口头通知</w:t>
            </w:r>
            <w:r>
              <w:rPr>
                <w:rFonts w:hint="eastAsia" w:ascii="仿宋" w:hAnsi="仿宋" w:eastAsia="仿宋" w:cs="仿宋"/>
                <w:color w:val="auto"/>
                <w:sz w:val="24"/>
                <w:szCs w:val="24"/>
                <w:highlight w:val="none"/>
                <w:lang w:eastAsia="zh-CN"/>
              </w:rPr>
              <w:t>讲解</w:t>
            </w:r>
            <w:r>
              <w:rPr>
                <w:rFonts w:hint="eastAsia" w:ascii="仿宋" w:hAnsi="仿宋" w:eastAsia="仿宋" w:cs="仿宋"/>
                <w:color w:val="auto"/>
                <w:sz w:val="24"/>
                <w:szCs w:val="24"/>
                <w:highlight w:val="none"/>
              </w:rPr>
              <w:t>人员，并在工作人员的带领下进入</w:t>
            </w:r>
            <w:r>
              <w:rPr>
                <w:rFonts w:hint="eastAsia" w:ascii="仿宋" w:hAnsi="仿宋" w:eastAsia="仿宋" w:cs="仿宋"/>
                <w:color w:val="auto"/>
                <w:sz w:val="24"/>
                <w:szCs w:val="24"/>
                <w:highlight w:val="none"/>
                <w:lang w:eastAsia="zh-CN"/>
              </w:rPr>
              <w:t>讲解</w:t>
            </w:r>
            <w:r>
              <w:rPr>
                <w:rFonts w:hint="eastAsia" w:ascii="仿宋" w:hAnsi="仿宋" w:eastAsia="仿宋" w:cs="仿宋"/>
                <w:color w:val="auto"/>
                <w:sz w:val="24"/>
                <w:szCs w:val="24"/>
                <w:highlight w:val="none"/>
              </w:rPr>
              <w:t>地点，若口头通知后5分钟内未到达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的，视为放弃讲解。</w:t>
            </w:r>
          </w:p>
          <w:p w14:paraId="0799DAD7">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②采用现场钉钉直播</w:t>
            </w:r>
            <w:r>
              <w:rPr>
                <w:rFonts w:hint="eastAsia" w:ascii="仿宋" w:hAnsi="仿宋" w:eastAsia="仿宋" w:cs="仿宋"/>
                <w:color w:val="auto"/>
                <w:sz w:val="24"/>
                <w:szCs w:val="24"/>
                <w:highlight w:val="none"/>
                <w:lang w:eastAsia="zh-CN"/>
              </w:rPr>
              <w:t>讲解</w:t>
            </w:r>
            <w:r>
              <w:rPr>
                <w:rFonts w:hint="eastAsia" w:ascii="仿宋" w:hAnsi="仿宋" w:eastAsia="仿宋" w:cs="仿宋"/>
                <w:color w:val="auto"/>
                <w:sz w:val="24"/>
                <w:szCs w:val="24"/>
                <w:highlight w:val="none"/>
              </w:rPr>
              <w:t>的。开标后，</w:t>
            </w:r>
            <w:r>
              <w:rPr>
                <w:rFonts w:hint="eastAsia" w:ascii="仿宋" w:hAnsi="仿宋" w:eastAsia="仿宋" w:cs="仿宋"/>
                <w:color w:val="auto"/>
                <w:sz w:val="24"/>
                <w:szCs w:val="24"/>
                <w:highlight w:val="none"/>
                <w:lang w:eastAsia="zh-CN"/>
              </w:rPr>
              <w:t>讲解</w:t>
            </w:r>
            <w:r>
              <w:rPr>
                <w:rFonts w:hint="eastAsia" w:ascii="仿宋" w:hAnsi="仿宋" w:eastAsia="仿宋" w:cs="仿宋"/>
                <w:color w:val="auto"/>
                <w:sz w:val="24"/>
                <w:szCs w:val="24"/>
                <w:highlight w:val="none"/>
              </w:rPr>
              <w:t>人请加钉钉号/ ，请求发送后，代理工作人员将通过好友验证。直播</w:t>
            </w:r>
            <w:r>
              <w:rPr>
                <w:rFonts w:hint="eastAsia" w:ascii="仿宋" w:hAnsi="仿宋" w:eastAsia="仿宋" w:cs="仿宋"/>
                <w:color w:val="auto"/>
                <w:sz w:val="24"/>
                <w:szCs w:val="24"/>
                <w:highlight w:val="none"/>
                <w:lang w:eastAsia="zh-CN"/>
              </w:rPr>
              <w:t>讲解</w:t>
            </w:r>
            <w:r>
              <w:rPr>
                <w:rFonts w:hint="eastAsia" w:ascii="仿宋" w:hAnsi="仿宋" w:eastAsia="仿宋" w:cs="仿宋"/>
                <w:color w:val="auto"/>
                <w:sz w:val="24"/>
                <w:szCs w:val="24"/>
                <w:highlight w:val="none"/>
              </w:rPr>
              <w:t>前，首先</w:t>
            </w:r>
            <w:r>
              <w:rPr>
                <w:rFonts w:hint="eastAsia" w:ascii="仿宋" w:hAnsi="仿宋" w:eastAsia="仿宋" w:cs="仿宋"/>
                <w:color w:val="auto"/>
                <w:sz w:val="24"/>
                <w:szCs w:val="24"/>
                <w:highlight w:val="none"/>
                <w:lang w:eastAsia="zh-CN"/>
              </w:rPr>
              <w:t>讲解</w:t>
            </w:r>
            <w:r>
              <w:rPr>
                <w:rFonts w:hint="eastAsia" w:ascii="仿宋" w:hAnsi="仿宋" w:eastAsia="仿宋" w:cs="仿宋"/>
                <w:color w:val="auto"/>
                <w:sz w:val="24"/>
                <w:szCs w:val="24"/>
                <w:highlight w:val="none"/>
              </w:rPr>
              <w:t>人进行身份信息直播核对。未派遣符合要求的讲解演示人员进行直播演示讲解或未提供身份证明的，评分项不得分。</w:t>
            </w:r>
          </w:p>
          <w:p w14:paraId="51E482B2">
            <w:pPr>
              <w:keepNext w:val="0"/>
              <w:keepLines w:val="0"/>
              <w:suppressLineNumbers w:val="0"/>
              <w:snapToGrid w:val="0"/>
              <w:spacing w:before="0" w:beforeAutospacing="0" w:after="0" w:afterAutospacing="0" w:line="360" w:lineRule="exact"/>
              <w:ind w:left="0" w:right="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③采用视频录制方式，用U盘介质储存</w:t>
            </w:r>
            <w:r>
              <w:rPr>
                <w:rFonts w:hint="eastAsia" w:ascii="仿宋" w:hAnsi="仿宋" w:eastAsia="仿宋" w:cs="仿宋"/>
                <w:color w:val="auto"/>
                <w:kern w:val="0"/>
                <w:sz w:val="24"/>
                <w:highlight w:val="none"/>
                <w:lang w:val="en-US" w:eastAsia="zh-CN"/>
              </w:rPr>
              <w:t>密封包装后</w:t>
            </w:r>
            <w:r>
              <w:rPr>
                <w:rFonts w:hint="eastAsia" w:ascii="仿宋" w:hAnsi="仿宋" w:eastAsia="仿宋" w:cs="仿宋"/>
                <w:color w:val="auto"/>
                <w:kern w:val="0"/>
                <w:sz w:val="24"/>
                <w:highlight w:val="none"/>
              </w:rPr>
              <w:t>快递或</w:t>
            </w:r>
            <w:r>
              <w:rPr>
                <w:rFonts w:hint="eastAsia" w:ascii="仿宋" w:hAnsi="仿宋" w:eastAsia="仿宋" w:cs="仿宋"/>
                <w:color w:val="auto"/>
                <w:kern w:val="0"/>
                <w:sz w:val="24"/>
                <w:highlight w:val="none"/>
                <w:lang w:val="en-US" w:eastAsia="zh-CN"/>
              </w:rPr>
              <w:t>现场送达</w:t>
            </w:r>
            <w:r>
              <w:rPr>
                <w:rFonts w:hint="eastAsia" w:ascii="仿宋" w:hAnsi="仿宋" w:eastAsia="仿宋" w:cs="仿宋"/>
                <w:color w:val="auto"/>
                <w:kern w:val="0"/>
                <w:sz w:val="24"/>
                <w:highlight w:val="none"/>
              </w:rPr>
              <w:t>至代理机构（公告中列明的地址），</w:t>
            </w:r>
            <w:r>
              <w:rPr>
                <w:rFonts w:hint="eastAsia" w:ascii="仿宋" w:hAnsi="仿宋" w:eastAsia="仿宋" w:cs="仿宋"/>
                <w:b/>
                <w:bCs/>
                <w:color w:val="auto"/>
                <w:kern w:val="0"/>
                <w:sz w:val="24"/>
                <w:highlight w:val="none"/>
              </w:rPr>
              <w:t>包装</w:t>
            </w:r>
            <w:r>
              <w:rPr>
                <w:rFonts w:hint="eastAsia" w:ascii="仿宋" w:hAnsi="仿宋" w:eastAsia="仿宋" w:cs="仿宋"/>
                <w:b/>
                <w:bCs/>
                <w:color w:val="auto"/>
                <w:kern w:val="0"/>
                <w:sz w:val="24"/>
                <w:highlight w:val="none"/>
                <w:lang w:eastAsia="zh-CN"/>
              </w:rPr>
              <w:t>要求同备份投标文件要求</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w:t>
            </w:r>
            <w:r>
              <w:rPr>
                <w:rFonts w:hint="eastAsia" w:ascii="仿宋" w:hAnsi="仿宋" w:eastAsia="仿宋" w:cs="仿宋"/>
                <w:b/>
                <w:bCs/>
                <w:color w:val="auto"/>
                <w:kern w:val="0"/>
                <w:sz w:val="24"/>
                <w:highlight w:val="none"/>
              </w:rPr>
              <w:t>投标人可</w:t>
            </w:r>
            <w:r>
              <w:rPr>
                <w:rFonts w:hint="eastAsia" w:ascii="仿宋" w:hAnsi="仿宋" w:eastAsia="仿宋" w:cs="仿宋"/>
                <w:b/>
                <w:bCs/>
                <w:color w:val="auto"/>
                <w:kern w:val="0"/>
                <w:sz w:val="24"/>
                <w:highlight w:val="none"/>
                <w:lang w:val="en-US" w:eastAsia="zh-CN"/>
              </w:rPr>
              <w:t>另外</w:t>
            </w:r>
            <w:r>
              <w:rPr>
                <w:rFonts w:hint="eastAsia" w:ascii="仿宋" w:hAnsi="仿宋" w:eastAsia="仿宋" w:cs="仿宋"/>
                <w:b/>
                <w:bCs/>
                <w:color w:val="auto"/>
                <w:kern w:val="0"/>
                <w:sz w:val="24"/>
                <w:highlight w:val="none"/>
              </w:rPr>
              <w:t>提供一份用U盘介质储存的备份演示文件（须标明备份）。</w:t>
            </w:r>
            <w:r>
              <w:rPr>
                <w:rFonts w:hint="eastAsia" w:ascii="仿宋" w:hAnsi="仿宋" w:eastAsia="仿宋" w:cs="仿宋"/>
                <w:color w:val="auto"/>
                <w:kern w:val="0"/>
                <w:sz w:val="24"/>
                <w:highlight w:val="none"/>
              </w:rPr>
              <w:t>若因U盘损坏或打不开则视为未提交。</w:t>
            </w:r>
          </w:p>
          <w:p w14:paraId="2B88F098">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注：因投标人自身原因导致无法</w:t>
            </w:r>
            <w:r>
              <w:rPr>
                <w:rFonts w:hint="eastAsia" w:ascii="仿宋" w:hAnsi="仿宋" w:eastAsia="仿宋" w:cs="仿宋"/>
                <w:color w:val="auto"/>
                <w:sz w:val="24"/>
                <w:szCs w:val="24"/>
                <w:highlight w:val="none"/>
                <w:lang w:eastAsia="zh-CN"/>
              </w:rPr>
              <w:t>讲解</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讲解</w:t>
            </w:r>
            <w:r>
              <w:rPr>
                <w:rFonts w:hint="eastAsia" w:ascii="仿宋" w:hAnsi="仿宋" w:eastAsia="仿宋" w:cs="仿宋"/>
                <w:color w:val="auto"/>
                <w:sz w:val="24"/>
                <w:szCs w:val="24"/>
                <w:highlight w:val="none"/>
              </w:rPr>
              <w:t>效果不理想的，责任自负。</w:t>
            </w:r>
          </w:p>
        </w:tc>
      </w:tr>
      <w:tr w14:paraId="71ED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35E68BE4">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03BFFEFB">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注意事项</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02CE3148">
            <w:pPr>
              <w:keepNext w:val="0"/>
              <w:keepLines w:val="0"/>
              <w:suppressLineNumbers w:val="0"/>
              <w:spacing w:before="0" w:beforeAutospacing="0" w:after="0" w:afterAutospacing="0" w:line="360" w:lineRule="exact"/>
              <w:ind w:left="0" w:right="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1.供应商如果发现本</w:t>
            </w:r>
            <w:r>
              <w:rPr>
                <w:rFonts w:hint="eastAsia" w:ascii="仿宋" w:hAnsi="仿宋" w:eastAsia="仿宋" w:cs="仿宋"/>
                <w:bCs/>
                <w:color w:val="auto"/>
                <w:sz w:val="24"/>
                <w:highlight w:val="none"/>
                <w:lang w:eastAsia="zh-CN"/>
              </w:rPr>
              <w:t>采购文件</w:t>
            </w:r>
            <w:r>
              <w:rPr>
                <w:rFonts w:hint="eastAsia" w:ascii="仿宋" w:hAnsi="仿宋" w:eastAsia="仿宋" w:cs="仿宋"/>
                <w:bCs/>
                <w:color w:val="auto"/>
                <w:sz w:val="24"/>
                <w:highlight w:val="none"/>
              </w:rPr>
              <w:t>中存在含糊不清、相互矛盾、多种含义以及歧视性不公正条款或违法违规等内容时，请在</w:t>
            </w:r>
            <w:r>
              <w:rPr>
                <w:rFonts w:hint="eastAsia" w:ascii="仿宋" w:hAnsi="仿宋" w:eastAsia="仿宋" w:cs="仿宋"/>
                <w:bCs/>
                <w:color w:val="auto"/>
                <w:sz w:val="24"/>
                <w:highlight w:val="none"/>
                <w:lang w:eastAsia="zh-CN"/>
              </w:rPr>
              <w:t>投标文件</w:t>
            </w:r>
            <w:r>
              <w:rPr>
                <w:rFonts w:hint="eastAsia" w:ascii="仿宋" w:hAnsi="仿宋" w:eastAsia="仿宋" w:cs="仿宋"/>
                <w:bCs/>
                <w:color w:val="auto"/>
                <w:sz w:val="24"/>
                <w:highlight w:val="none"/>
              </w:rPr>
              <w:t>提疑截止时间前书面（含传真等数据电文）向</w:t>
            </w:r>
            <w:r>
              <w:rPr>
                <w:rFonts w:hint="eastAsia" w:ascii="仿宋" w:hAnsi="仿宋" w:eastAsia="仿宋" w:cs="仿宋"/>
                <w:bCs/>
                <w:color w:val="auto"/>
                <w:sz w:val="24"/>
                <w:highlight w:val="none"/>
                <w:lang w:eastAsia="zh-CN"/>
              </w:rPr>
              <w:t>招标人</w:t>
            </w:r>
            <w:r>
              <w:rPr>
                <w:rFonts w:hint="eastAsia" w:ascii="仿宋" w:hAnsi="仿宋" w:eastAsia="仿宋" w:cs="仿宋"/>
                <w:bCs/>
                <w:color w:val="auto"/>
                <w:sz w:val="24"/>
                <w:highlight w:val="none"/>
              </w:rPr>
              <w:t>及代理机构提出，逾期不得再对</w:t>
            </w:r>
            <w:r>
              <w:rPr>
                <w:rFonts w:hint="eastAsia" w:ascii="仿宋" w:hAnsi="仿宋" w:eastAsia="仿宋" w:cs="仿宋"/>
                <w:bCs/>
                <w:color w:val="auto"/>
                <w:sz w:val="24"/>
                <w:highlight w:val="none"/>
                <w:lang w:eastAsia="zh-CN"/>
              </w:rPr>
              <w:t>采购文件</w:t>
            </w:r>
            <w:r>
              <w:rPr>
                <w:rFonts w:hint="eastAsia" w:ascii="仿宋" w:hAnsi="仿宋" w:eastAsia="仿宋" w:cs="仿宋"/>
                <w:bCs/>
                <w:color w:val="auto"/>
                <w:sz w:val="24"/>
                <w:highlight w:val="none"/>
              </w:rPr>
              <w:t>提出质疑。</w:t>
            </w:r>
          </w:p>
          <w:p w14:paraId="7DC87AC5">
            <w:pPr>
              <w:keepNext w:val="0"/>
              <w:keepLines w:val="0"/>
              <w:suppressLineNumbers w:val="0"/>
              <w:spacing w:before="0" w:beforeAutospacing="0" w:after="0" w:afterAutospacing="0" w:line="360" w:lineRule="exact"/>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2.如果</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中有文字表述与本</w:t>
            </w:r>
            <w:r>
              <w:rPr>
                <w:rFonts w:hint="eastAsia" w:ascii="仿宋" w:hAnsi="仿宋" w:eastAsia="仿宋" w:cs="仿宋"/>
                <w:b/>
                <w:color w:val="auto"/>
                <w:sz w:val="24"/>
                <w:highlight w:val="none"/>
                <w:lang w:eastAsia="zh-CN"/>
              </w:rPr>
              <w:t>投标</w:t>
            </w:r>
            <w:r>
              <w:rPr>
                <w:rFonts w:hint="eastAsia" w:ascii="仿宋" w:hAnsi="仿宋" w:eastAsia="仿宋" w:cs="仿宋"/>
                <w:b/>
                <w:color w:val="auto"/>
                <w:sz w:val="24"/>
                <w:highlight w:val="none"/>
              </w:rPr>
              <w:t>须知前附表内容不一致时,以本</w:t>
            </w:r>
            <w:r>
              <w:rPr>
                <w:rFonts w:hint="eastAsia" w:ascii="仿宋" w:hAnsi="仿宋" w:eastAsia="仿宋" w:cs="仿宋"/>
                <w:b/>
                <w:color w:val="auto"/>
                <w:sz w:val="24"/>
                <w:highlight w:val="none"/>
                <w:lang w:eastAsia="zh-CN"/>
              </w:rPr>
              <w:t>投标</w:t>
            </w:r>
            <w:r>
              <w:rPr>
                <w:rFonts w:hint="eastAsia" w:ascii="仿宋" w:hAnsi="仿宋" w:eastAsia="仿宋" w:cs="仿宋"/>
                <w:b/>
                <w:color w:val="auto"/>
                <w:sz w:val="24"/>
                <w:highlight w:val="none"/>
              </w:rPr>
              <w:t>须知前附表为准。</w:t>
            </w:r>
          </w:p>
          <w:p w14:paraId="27528762">
            <w:pPr>
              <w:keepNext w:val="0"/>
              <w:keepLines w:val="0"/>
              <w:suppressLineNumbers w:val="0"/>
              <w:spacing w:before="0" w:beforeAutospacing="0" w:after="0" w:afterAutospacing="0" w:line="360" w:lineRule="exact"/>
              <w:ind w:left="0" w:right="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存在下列情况之一的，视为撤回：</w:t>
            </w:r>
          </w:p>
          <w:p w14:paraId="52C99453">
            <w:pPr>
              <w:keepNext w:val="0"/>
              <w:keepLines w:val="0"/>
              <w:suppressLineNumbers w:val="0"/>
              <w:spacing w:before="0" w:beforeAutospacing="0" w:after="0" w:afterAutospacing="0" w:line="360" w:lineRule="exact"/>
              <w:ind w:left="0" w:right="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（含备份文件）无法解密的；</w:t>
            </w:r>
          </w:p>
          <w:p w14:paraId="58E37FD9">
            <w:pPr>
              <w:keepNext w:val="0"/>
              <w:keepLines w:val="0"/>
              <w:suppressLineNumbers w:val="0"/>
              <w:spacing w:before="0" w:beforeAutospacing="0" w:after="0" w:afterAutospacing="0" w:line="360" w:lineRule="exact"/>
              <w:ind w:left="0" w:right="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未按时解密或备份文件无法成功导入的；</w:t>
            </w:r>
          </w:p>
          <w:p w14:paraId="0331DB1C">
            <w:pPr>
              <w:keepNext w:val="0"/>
              <w:keepLines w:val="0"/>
              <w:suppressLineNumbers w:val="0"/>
              <w:spacing w:before="0" w:beforeAutospacing="0" w:after="0" w:afterAutospacing="0" w:line="360" w:lineRule="exact"/>
              <w:ind w:left="0" w:right="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w:t>
            </w:r>
            <w:r>
              <w:rPr>
                <w:rFonts w:hint="eastAsia" w:ascii="仿宋" w:hAnsi="仿宋" w:eastAsia="仿宋" w:cs="仿宋"/>
                <w:snapToGrid w:val="0"/>
                <w:color w:val="auto"/>
                <w:kern w:val="28"/>
                <w:sz w:val="24"/>
                <w:highlight w:val="none"/>
                <w:lang w:eastAsia="zh-CN"/>
              </w:rPr>
              <w:t>投标</w:t>
            </w:r>
            <w:r>
              <w:rPr>
                <w:rFonts w:hint="eastAsia" w:ascii="仿宋" w:hAnsi="仿宋" w:eastAsia="仿宋" w:cs="仿宋"/>
                <w:snapToGrid w:val="0"/>
                <w:color w:val="auto"/>
                <w:kern w:val="28"/>
                <w:sz w:val="24"/>
                <w:highlight w:val="none"/>
              </w:rPr>
              <w:t>截止时间前，供应商仅递交了“备份</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”而未将“电子加密</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”成功上传至“</w:t>
            </w:r>
            <w:r>
              <w:rPr>
                <w:rFonts w:hint="eastAsia" w:ascii="仿宋" w:hAnsi="仿宋" w:eastAsia="仿宋" w:cs="仿宋"/>
                <w:snapToGrid w:val="0"/>
                <w:color w:val="auto"/>
                <w:kern w:val="28"/>
                <w:sz w:val="24"/>
                <w:highlight w:val="none"/>
                <w:lang w:eastAsia="zh-CN"/>
              </w:rPr>
              <w:t>乐采云平台</w:t>
            </w:r>
            <w:r>
              <w:rPr>
                <w:rFonts w:hint="eastAsia" w:ascii="仿宋" w:hAnsi="仿宋" w:eastAsia="仿宋" w:cs="仿宋"/>
                <w:snapToGrid w:val="0"/>
                <w:color w:val="auto"/>
                <w:kern w:val="28"/>
                <w:sz w:val="24"/>
                <w:highlight w:val="none"/>
              </w:rPr>
              <w:t>”的。</w:t>
            </w:r>
          </w:p>
          <w:p w14:paraId="7CECBDFD">
            <w:pPr>
              <w:keepNext w:val="0"/>
              <w:keepLines w:val="0"/>
              <w:suppressLineNumbers w:val="0"/>
              <w:spacing w:before="0" w:beforeAutospacing="0" w:after="0" w:afterAutospacing="0" w:line="360" w:lineRule="exact"/>
              <w:ind w:left="0" w:right="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highlight w:val="none"/>
              </w:rPr>
              <w:t>4.</w:t>
            </w:r>
            <w:r>
              <w:rPr>
                <w:rFonts w:hint="eastAsia" w:ascii="仿宋" w:hAnsi="仿宋" w:eastAsia="仿宋" w:cs="仿宋"/>
                <w:snapToGrid w:val="0"/>
                <w:color w:val="auto"/>
                <w:kern w:val="28"/>
                <w:sz w:val="24"/>
                <w:highlight w:val="none"/>
                <w:lang w:eastAsia="zh-CN"/>
              </w:rPr>
              <w:t>乐采云平台</w:t>
            </w:r>
            <w:r>
              <w:rPr>
                <w:rFonts w:hint="eastAsia" w:ascii="仿宋" w:hAnsi="仿宋" w:eastAsia="仿宋" w:cs="仿宋"/>
                <w:snapToGrid w:val="0"/>
                <w:color w:val="auto"/>
                <w:kern w:val="28"/>
                <w:sz w:val="24"/>
                <w:highlight w:val="none"/>
              </w:rPr>
              <w:t>如对电子化交易及评审程序有调整的，按调整后的程序操作。</w:t>
            </w:r>
          </w:p>
        </w:tc>
      </w:tr>
      <w:tr w14:paraId="423C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5"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420576F4">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54B6C74B">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其他说明</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3542FF75">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投标人保证本投标文件及资料均未侵犯他人的知识产权，否则须承担由此引起的全部法律责任和经济责任。</w:t>
            </w:r>
          </w:p>
          <w:p w14:paraId="0D2E6746">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若投标人使用他人的专利、专有技术时，所涉及到的费用及产生的纠纷，由投标人自行解决。</w:t>
            </w:r>
          </w:p>
          <w:p w14:paraId="496C289F">
            <w:pPr>
              <w:keepNext w:val="0"/>
              <w:keepLines w:val="0"/>
              <w:suppressLineNumbers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招标人提供的相关资料只供本次活动使用，各投标人应承担保密义务，不得擅自拷贝和传播。</w:t>
            </w:r>
          </w:p>
          <w:p w14:paraId="424BFC91">
            <w:pPr>
              <w:keepNext w:val="0"/>
              <w:keepLines w:val="0"/>
              <w:suppressLineNumbers w:val="0"/>
              <w:wordWrap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投标人的所有</w:t>
            </w:r>
            <w:r>
              <w:rPr>
                <w:rFonts w:hint="eastAsia" w:ascii="仿宋" w:hAnsi="仿宋" w:eastAsia="仿宋" w:cs="仿宋"/>
                <w:sz w:val="24"/>
                <w:szCs w:val="24"/>
                <w:highlight w:val="none"/>
                <w:lang w:val="en-US" w:eastAsia="zh-CN"/>
              </w:rPr>
              <w:t>备份</w:t>
            </w:r>
            <w:r>
              <w:rPr>
                <w:rFonts w:hint="eastAsia" w:ascii="仿宋" w:hAnsi="仿宋" w:eastAsia="仿宋" w:cs="仿宋"/>
                <w:sz w:val="24"/>
                <w:szCs w:val="24"/>
                <w:highlight w:val="none"/>
              </w:rPr>
              <w:t>投标文件不予退还。</w:t>
            </w:r>
          </w:p>
          <w:p w14:paraId="1E451065">
            <w:pPr>
              <w:keepNext w:val="0"/>
              <w:keepLines w:val="0"/>
              <w:suppressLineNumbers w:val="0"/>
              <w:wordWrap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不允许转包；未经招标人同意，不允许分包。</w:t>
            </w:r>
          </w:p>
          <w:p w14:paraId="66468CBA">
            <w:pPr>
              <w:keepNext w:val="0"/>
              <w:keepLines w:val="0"/>
              <w:suppressLineNumbers w:val="0"/>
              <w:wordWrap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提供英文资料的应同时提供中文翻译资料，评标以中文翻译为准。若翻译有错误，投标人自行承担不利后果。</w:t>
            </w:r>
          </w:p>
          <w:p w14:paraId="0A8964E0">
            <w:pPr>
              <w:keepNext w:val="0"/>
              <w:keepLines w:val="0"/>
              <w:suppressLineNumbers w:val="0"/>
              <w:wordWrap w:val="0"/>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本招标文件中“以上”包括本数，“以下”不包括本数。</w:t>
            </w:r>
          </w:p>
          <w:p w14:paraId="7367A7C0">
            <w:pPr>
              <w:keepNext w:val="0"/>
              <w:keepLines w:val="0"/>
              <w:suppressLineNumbers w:val="0"/>
              <w:wordWrap w:val="0"/>
              <w:spacing w:before="0" w:beforeAutospacing="0" w:after="0" w:afterAutospacing="0" w:line="360" w:lineRule="exact"/>
              <w:ind w:left="0" w:right="0"/>
              <w:rPr>
                <w:rFonts w:hint="default"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default" w:ascii="仿宋" w:hAnsi="仿宋" w:eastAsia="仿宋" w:cs="仿宋"/>
                <w:sz w:val="24"/>
                <w:szCs w:val="24"/>
                <w:highlight w:val="none"/>
              </w:rPr>
              <w:t>.乐采云平台如对电子化开标及评审程序有调整的，按调整后的程序操作。</w:t>
            </w:r>
          </w:p>
          <w:p w14:paraId="0C82F8F8">
            <w:pPr>
              <w:keepNext w:val="0"/>
              <w:keepLines w:val="0"/>
              <w:suppressLineNumbers w:val="0"/>
              <w:wordWrap w:val="0"/>
              <w:spacing w:before="0" w:beforeAutospacing="0" w:after="0" w:afterAutospacing="0" w:line="360" w:lineRule="exact"/>
              <w:ind w:left="0" w:right="0"/>
              <w:rPr>
                <w:rFonts w:hint="default"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default" w:ascii="仿宋" w:hAnsi="仿宋" w:eastAsia="仿宋" w:cs="仿宋"/>
                <w:sz w:val="24"/>
                <w:szCs w:val="24"/>
                <w:highlight w:val="none"/>
              </w:rPr>
              <w:t>.中标供应商在领取中标通知书时提供纸质投标文件</w:t>
            </w:r>
            <w:r>
              <w:rPr>
                <w:rFonts w:hint="eastAsia" w:ascii="仿宋" w:hAnsi="仿宋" w:eastAsia="仿宋" w:cs="仿宋"/>
                <w:sz w:val="24"/>
                <w:szCs w:val="24"/>
                <w:highlight w:val="none"/>
                <w:lang w:val="en-US" w:eastAsia="zh-CN"/>
              </w:rPr>
              <w:t>五</w:t>
            </w:r>
            <w:r>
              <w:rPr>
                <w:rFonts w:hint="default" w:ascii="仿宋" w:hAnsi="仿宋" w:eastAsia="仿宋" w:cs="仿宋"/>
                <w:sz w:val="24"/>
                <w:szCs w:val="24"/>
                <w:highlight w:val="none"/>
              </w:rPr>
              <w:t>份（电子投标文件打印，装订成册，采用胶订或线订；封面再加盖单位公章（物理章）。</w:t>
            </w:r>
          </w:p>
          <w:p w14:paraId="2A7AD2FB">
            <w:pPr>
              <w:keepNext w:val="0"/>
              <w:keepLines w:val="0"/>
              <w:suppressLineNumbers w:val="0"/>
              <w:wordWrap w:val="0"/>
              <w:spacing w:before="0" w:beforeAutospacing="0" w:after="0" w:afterAutospacing="0" w:line="360" w:lineRule="exact"/>
              <w:ind w:left="0" w:right="0"/>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0</w:t>
            </w:r>
            <w:r>
              <w:rPr>
                <w:rFonts w:hint="default" w:ascii="仿宋" w:hAnsi="仿宋" w:eastAsia="仿宋" w:cs="仿宋"/>
                <w:sz w:val="24"/>
                <w:szCs w:val="24"/>
                <w:highlight w:val="none"/>
              </w:rPr>
              <w:t>.本项目通用总则条款与前附表等专用特别规定有冲突之处，以专用条款（特别规定）为准。</w:t>
            </w:r>
          </w:p>
          <w:p w14:paraId="352F7CBB">
            <w:pPr>
              <w:keepNext w:val="0"/>
              <w:keepLines w:val="0"/>
              <w:suppressLineNumbers w:val="0"/>
              <w:wordWrap w:val="0"/>
              <w:spacing w:before="0" w:beforeAutospacing="0" w:after="0" w:afterAutospacing="0" w:line="360" w:lineRule="exact"/>
              <w:ind w:left="0" w:right="0"/>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rPr>
              <w:t>.</w:t>
            </w:r>
            <w:r>
              <w:rPr>
                <w:rFonts w:hint="default" w:ascii="仿宋" w:hAnsi="仿宋" w:eastAsia="仿宋" w:cs="仿宋"/>
                <w:b/>
                <w:bCs/>
                <w:sz w:val="24"/>
                <w:szCs w:val="24"/>
                <w:highlight w:val="none"/>
              </w:rPr>
              <w:t>在评审结束后、合同签订前，采购人、采购代理机构将通过网站查询、原件核对等方式对中标（成交）供应商在投标（响应）文件中涉及客观分评审内容的检测报告、认证证书等资料的真实性进行复核，复核情况详细记录，并纳入采购档案。发现供应商提供虚假材料的，书面报告</w:t>
            </w:r>
            <w:r>
              <w:rPr>
                <w:rFonts w:hint="eastAsia" w:ascii="仿宋" w:hAnsi="仿宋" w:eastAsia="仿宋" w:cs="仿宋"/>
                <w:b/>
                <w:bCs/>
                <w:sz w:val="24"/>
                <w:szCs w:val="24"/>
                <w:highlight w:val="none"/>
                <w:lang w:val="en-US" w:eastAsia="zh-CN"/>
              </w:rPr>
              <w:t>招标</w:t>
            </w:r>
            <w:r>
              <w:rPr>
                <w:rFonts w:hint="default" w:ascii="仿宋" w:hAnsi="仿宋" w:eastAsia="仿宋" w:cs="仿宋"/>
                <w:b/>
                <w:bCs/>
                <w:sz w:val="24"/>
                <w:szCs w:val="24"/>
                <w:highlight w:val="none"/>
              </w:rPr>
              <w:t>人监督部门。</w:t>
            </w:r>
          </w:p>
          <w:p w14:paraId="6432FF68">
            <w:pPr>
              <w:keepNext w:val="0"/>
              <w:keepLines w:val="0"/>
              <w:suppressLineNumbers w:val="0"/>
              <w:wordWrap w:val="0"/>
              <w:spacing w:before="0" w:beforeAutospacing="0" w:after="0" w:afterAutospacing="0" w:line="360" w:lineRule="exact"/>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本招标文件的解释权属于招标人和招标代理机构。</w:t>
            </w:r>
          </w:p>
        </w:tc>
      </w:tr>
      <w:tr w14:paraId="5A2D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5"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18B91B06">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64DCC286">
            <w:pPr>
              <w:keepNext w:val="0"/>
              <w:keepLines w:val="0"/>
              <w:suppressLineNumbers w:val="0"/>
              <w:wordWrap w:val="0"/>
              <w:spacing w:before="0" w:beforeAutospacing="0" w:after="0" w:afterAutospacing="0" w:line="380" w:lineRule="exact"/>
              <w:ind w:left="0" w:right="0"/>
              <w:jc w:val="center"/>
              <w:rPr>
                <w:rFonts w:hint="default" w:ascii="仿宋" w:hAnsi="仿宋" w:eastAsia="仿宋" w:cs="仿宋"/>
                <w:sz w:val="24"/>
                <w:szCs w:val="24"/>
                <w:highlight w:val="none"/>
              </w:rPr>
            </w:pPr>
            <w:r>
              <w:rPr>
                <w:rFonts w:hint="eastAsia" w:ascii="仿宋" w:hAnsi="仿宋" w:eastAsia="仿宋" w:cs="仿宋"/>
                <w:sz w:val="24"/>
                <w:szCs w:val="24"/>
                <w:highlight w:val="none"/>
              </w:rPr>
              <w:t>招标代理</w:t>
            </w:r>
          </w:p>
          <w:p w14:paraId="5BEB54C7">
            <w:pPr>
              <w:keepNext w:val="0"/>
              <w:keepLines w:val="0"/>
              <w:suppressLineNumbers w:val="0"/>
              <w:wordWrap w:val="0"/>
              <w:spacing w:before="0" w:beforeAutospacing="0" w:after="0" w:afterAutospacing="0" w:line="3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服务费</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56DD2B6F">
            <w:pPr>
              <w:keepNext w:val="0"/>
              <w:keepLines w:val="0"/>
              <w:suppressLineNumbers w:val="0"/>
              <w:wordWrap w:val="0"/>
              <w:spacing w:before="0" w:beforeAutospacing="0" w:after="0" w:afterAutospacing="0" w:line="380" w:lineRule="exact"/>
              <w:ind w:left="0" w:right="0"/>
              <w:rPr>
                <w:rFonts w:hint="default"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采购人支付</w:t>
            </w:r>
            <w:r>
              <w:rPr>
                <w:rFonts w:hint="eastAsia" w:ascii="仿宋" w:hAnsi="仿宋" w:eastAsia="仿宋" w:cs="仿宋"/>
                <w:sz w:val="24"/>
                <w:szCs w:val="24"/>
                <w:highlight w:val="none"/>
              </w:rPr>
              <w:t>。</w:t>
            </w:r>
          </w:p>
          <w:p w14:paraId="3DD3275C">
            <w:pPr>
              <w:keepNext w:val="0"/>
              <w:keepLines w:val="0"/>
              <w:suppressLineNumbers w:val="0"/>
              <w:wordWrap w:val="0"/>
              <w:spacing w:before="0" w:beforeAutospacing="0" w:after="0" w:afterAutospacing="0" w:line="360" w:lineRule="exact"/>
              <w:ind w:left="0" w:right="0"/>
              <w:rPr>
                <w:rFonts w:hint="eastAsia" w:ascii="仿宋" w:hAnsi="仿宋" w:eastAsia="仿宋" w:cs="仿宋"/>
                <w:sz w:val="24"/>
                <w:szCs w:val="24"/>
                <w:highlight w:val="none"/>
                <w:lang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主动放弃中标资格或未签订合同的供应商应承担代理费和专家评审费等费用。</w:t>
            </w:r>
          </w:p>
        </w:tc>
      </w:tr>
      <w:tr w14:paraId="16FB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6A3546C6">
            <w:pPr>
              <w:pStyle w:val="58"/>
              <w:keepNext w:val="0"/>
              <w:keepLines w:val="0"/>
              <w:numPr>
                <w:ilvl w:val="0"/>
                <w:numId w:val="11"/>
              </w:numPr>
              <w:suppressLineNumbers w:val="0"/>
              <w:wordWrap w:val="0"/>
              <w:spacing w:before="0" w:beforeAutospacing="0" w:after="0" w:afterAutospacing="0" w:line="360" w:lineRule="exact"/>
              <w:ind w:right="0" w:firstLineChars="0"/>
              <w:jc w:val="center"/>
              <w:rPr>
                <w:rFonts w:hint="eastAsia" w:ascii="仿宋" w:hAnsi="仿宋" w:eastAsia="仿宋" w:cs="仿宋"/>
                <w:bCs/>
                <w:color w:val="auto"/>
                <w:szCs w:val="24"/>
                <w:highlight w:val="none"/>
              </w:rPr>
            </w:pPr>
          </w:p>
        </w:tc>
        <w:tc>
          <w:tcPr>
            <w:tcW w:w="1978" w:type="dxa"/>
            <w:tcBorders>
              <w:top w:val="single" w:color="auto" w:sz="4" w:space="0"/>
              <w:left w:val="single" w:color="auto" w:sz="4" w:space="0"/>
              <w:bottom w:val="single" w:color="auto" w:sz="4" w:space="0"/>
              <w:right w:val="single" w:color="auto" w:sz="4" w:space="0"/>
            </w:tcBorders>
            <w:shd w:val="clear" w:color="auto" w:fill="FFFFFF"/>
            <w:vAlign w:val="center"/>
          </w:tcPr>
          <w:p w14:paraId="50C994FA">
            <w:pPr>
              <w:keepNext w:val="0"/>
              <w:keepLines w:val="0"/>
              <w:suppressLineNumbers w:val="0"/>
              <w:wordWrap w:val="0"/>
              <w:spacing w:before="0" w:beforeAutospacing="0" w:after="0" w:afterAutospacing="0" w:line="380" w:lineRule="exact"/>
              <w:ind w:left="0" w:right="0"/>
              <w:jc w:val="center"/>
              <w:rPr>
                <w:rFonts w:hint="eastAsia" w:ascii="仿宋" w:hAnsi="仿宋" w:eastAsia="仿宋" w:cs="仿宋"/>
                <w:sz w:val="24"/>
                <w:szCs w:val="24"/>
                <w:highlight w:val="none"/>
              </w:rPr>
            </w:pPr>
            <w:r>
              <w:rPr>
                <w:rFonts w:hint="eastAsia" w:ascii="仿宋" w:hAnsi="仿宋" w:eastAsia="仿宋" w:cs="仿宋"/>
                <w:kern w:val="2"/>
                <w:sz w:val="24"/>
                <w:szCs w:val="24"/>
                <w:lang w:val="en-US" w:eastAsia="zh-CN" w:bidi="ar"/>
              </w:rPr>
              <w:t>乐采云平台交易服务费</w:t>
            </w:r>
          </w:p>
        </w:tc>
        <w:tc>
          <w:tcPr>
            <w:tcW w:w="6540" w:type="dxa"/>
            <w:tcBorders>
              <w:top w:val="single" w:color="auto" w:sz="4" w:space="0"/>
              <w:left w:val="single" w:color="auto" w:sz="4" w:space="0"/>
              <w:bottom w:val="single" w:color="auto" w:sz="4" w:space="0"/>
              <w:right w:val="single" w:color="auto" w:sz="4" w:space="0"/>
            </w:tcBorders>
            <w:shd w:val="clear" w:color="auto" w:fill="FFFFFF"/>
            <w:vAlign w:val="center"/>
          </w:tcPr>
          <w:p w14:paraId="2FA80E77">
            <w:pPr>
              <w:keepNext w:val="0"/>
              <w:keepLines w:val="0"/>
              <w:widowControl/>
              <w:suppressLineNumbers w:val="0"/>
              <w:wordWrap w:val="0"/>
              <w:spacing w:before="0" w:beforeAutospacing="0" w:after="0" w:afterAutospacing="0" w:line="380" w:lineRule="exact"/>
              <w:ind w:left="0" w:right="0"/>
              <w:jc w:val="left"/>
              <w:rPr>
                <w:rFonts w:hint="default" w:ascii="仿宋" w:hAnsi="仿宋" w:eastAsia="仿宋" w:cs="仿宋"/>
                <w:kern w:val="2"/>
                <w:sz w:val="24"/>
                <w:szCs w:val="22"/>
                <w:highlight w:val="none"/>
              </w:rPr>
            </w:pPr>
            <w:r>
              <w:rPr>
                <w:rFonts w:hint="eastAsia" w:ascii="仿宋" w:hAnsi="仿宋" w:eastAsia="仿宋" w:cs="仿宋"/>
                <w:kern w:val="2"/>
                <w:sz w:val="24"/>
                <w:szCs w:val="22"/>
                <w:highlight w:val="none"/>
                <w:lang w:val="en-US" w:eastAsia="zh-CN" w:bidi="ar"/>
              </w:rPr>
              <w:t>（1）金额：中标价的0.1%，最低800元，最高3万元。</w:t>
            </w:r>
          </w:p>
          <w:p w14:paraId="09650D42">
            <w:pPr>
              <w:keepNext w:val="0"/>
              <w:keepLines w:val="0"/>
              <w:suppressLineNumbers w:val="0"/>
              <w:wordWrap w:val="0"/>
              <w:spacing w:before="0" w:beforeAutospacing="0" w:after="0" w:afterAutospacing="0" w:line="380" w:lineRule="exact"/>
              <w:ind w:left="0" w:right="0"/>
              <w:rPr>
                <w:rFonts w:hint="eastAsia" w:ascii="仿宋" w:hAnsi="仿宋" w:eastAsia="仿宋" w:cs="仿宋"/>
                <w:sz w:val="24"/>
                <w:highlight w:val="none"/>
              </w:rPr>
            </w:pPr>
            <w:r>
              <w:rPr>
                <w:rFonts w:hint="eastAsia" w:ascii="仿宋" w:hAnsi="仿宋" w:eastAsia="仿宋" w:cs="仿宋"/>
                <w:kern w:val="2"/>
                <w:sz w:val="24"/>
                <w:szCs w:val="22"/>
                <w:highlight w:val="none"/>
                <w:lang w:val="en-US" w:eastAsia="zh-CN" w:bidi="ar"/>
              </w:rPr>
              <w:t>（2）支付方式：中标人一次性向平台支付。</w:t>
            </w:r>
          </w:p>
        </w:tc>
      </w:tr>
    </w:tbl>
    <w:p w14:paraId="67CB39C1">
      <w:pPr>
        <w:pStyle w:val="22"/>
        <w:rPr>
          <w:rFonts w:hint="eastAsia" w:ascii="仿宋" w:hAnsi="仿宋" w:eastAsia="仿宋" w:cs="仿宋"/>
          <w:highlight w:val="none"/>
        </w:rPr>
      </w:pPr>
    </w:p>
    <w:bookmarkEnd w:id="0"/>
    <w:p w14:paraId="305E35C6">
      <w:pPr>
        <w:keepNext w:val="0"/>
        <w:keepLines w:val="0"/>
        <w:wordWrap w:val="0"/>
        <w:topLinePunct/>
        <w:adjustRightInd w:val="0"/>
        <w:snapToGrid w:val="0"/>
        <w:spacing w:line="360" w:lineRule="auto"/>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3BD1E4BE">
      <w:pPr>
        <w:keepNext w:val="0"/>
        <w:keepLines w:val="0"/>
        <w:wordWrap w:val="0"/>
        <w:topLinePunct/>
        <w:spacing w:line="360" w:lineRule="auto"/>
        <w:jc w:val="center"/>
        <w:outlineLvl w:val="2"/>
        <w:rPr>
          <w:rFonts w:hint="eastAsia" w:ascii="仿宋" w:hAnsi="仿宋" w:eastAsia="仿宋" w:cs="仿宋"/>
          <w:b/>
          <w:sz w:val="28"/>
          <w:highlight w:val="none"/>
        </w:rPr>
      </w:pPr>
      <w:r>
        <w:rPr>
          <w:rFonts w:hint="eastAsia" w:ascii="仿宋" w:hAnsi="仿宋" w:eastAsia="仿宋" w:cs="仿宋"/>
          <w:b/>
          <w:sz w:val="28"/>
          <w:highlight w:val="none"/>
        </w:rPr>
        <w:t>（一）总说明</w:t>
      </w:r>
    </w:p>
    <w:p w14:paraId="7730678D">
      <w:pPr>
        <w:keepNext w:val="0"/>
        <w:keepLines w:val="0"/>
        <w:wordWrap w:val="0"/>
        <w:topLinePunct/>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1.适用范围</w:t>
      </w:r>
    </w:p>
    <w:p w14:paraId="044278D2">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1.1本招标文件仅适用于本次招标采购所叙述的货物、服务。</w:t>
      </w:r>
    </w:p>
    <w:p w14:paraId="0046413B">
      <w:pPr>
        <w:keepNext w:val="0"/>
        <w:keepLines w:val="0"/>
        <w:wordWrap w:val="0"/>
        <w:topLinePunct/>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2.项目概况</w:t>
      </w:r>
    </w:p>
    <w:p w14:paraId="07EAF88B">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公告</w:t>
      </w:r>
      <w:r>
        <w:rPr>
          <w:rFonts w:hint="eastAsia" w:ascii="仿宋" w:hAnsi="仿宋" w:eastAsia="仿宋" w:cs="仿宋"/>
          <w:sz w:val="24"/>
          <w:szCs w:val="24"/>
          <w:highlight w:val="none"/>
        </w:rPr>
        <w:t>和第三部分“采购需求和技术要求”。</w:t>
      </w:r>
    </w:p>
    <w:p w14:paraId="39FBA778">
      <w:pPr>
        <w:keepNext w:val="0"/>
        <w:keepLines w:val="0"/>
        <w:wordWrap w:val="0"/>
        <w:topLinePunct/>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3.定义</w:t>
      </w:r>
    </w:p>
    <w:p w14:paraId="10703116">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3.1“招标人”、</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甲方系指</w:t>
      </w:r>
      <w:r>
        <w:rPr>
          <w:rFonts w:hint="eastAsia" w:ascii="仿宋" w:hAnsi="仿宋" w:eastAsia="仿宋" w:cs="仿宋"/>
          <w:sz w:val="24"/>
          <w:szCs w:val="24"/>
          <w:highlight w:val="none"/>
          <w:lang w:eastAsia="zh-CN"/>
        </w:rPr>
        <w:t>新昌县城市建设投资集团有限公司</w:t>
      </w:r>
      <w:r>
        <w:rPr>
          <w:rFonts w:hint="eastAsia" w:ascii="仿宋" w:hAnsi="仿宋" w:eastAsia="仿宋" w:cs="仿宋"/>
          <w:sz w:val="24"/>
          <w:szCs w:val="24"/>
          <w:highlight w:val="none"/>
        </w:rPr>
        <w:t>。</w:t>
      </w:r>
    </w:p>
    <w:p w14:paraId="37DCE4A0">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3.2“招标代理”系指受招标人委托组织本次招标的杭州贯今工程咨询有限公司</w:t>
      </w:r>
    </w:p>
    <w:p w14:paraId="4640DC6C">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3.3“投标人”系指接受招标文件的要求，向招标人提交投标文件的单位。</w:t>
      </w:r>
    </w:p>
    <w:p w14:paraId="442F3982">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3.4“投标人代表”系指全权代表投标人参加本次投标活动并签署投标文件的人，如果投标人代表不是投标人的</w:t>
      </w:r>
      <w:r>
        <w:rPr>
          <w:rFonts w:hint="eastAsia" w:ascii="仿宋" w:hAnsi="仿宋" w:eastAsia="仿宋" w:cs="仿宋"/>
          <w:sz w:val="24"/>
          <w:szCs w:val="24"/>
          <w:highlight w:val="none"/>
          <w:lang w:eastAsia="zh-CN"/>
        </w:rPr>
        <w:t>法定代表人（负责人）</w:t>
      </w:r>
      <w:r>
        <w:rPr>
          <w:rFonts w:hint="eastAsia" w:ascii="仿宋" w:hAnsi="仿宋" w:eastAsia="仿宋" w:cs="仿宋"/>
          <w:sz w:val="24"/>
          <w:szCs w:val="24"/>
          <w:highlight w:val="none"/>
        </w:rPr>
        <w:t>，须持有《</w:t>
      </w:r>
      <w:r>
        <w:rPr>
          <w:rFonts w:hint="eastAsia" w:ascii="仿宋" w:hAnsi="仿宋" w:eastAsia="仿宋" w:cs="仿宋"/>
          <w:sz w:val="24"/>
          <w:szCs w:val="24"/>
          <w:highlight w:val="none"/>
          <w:lang w:eastAsia="zh-CN"/>
        </w:rPr>
        <w:t>法定代表人（负责人）</w:t>
      </w:r>
      <w:r>
        <w:rPr>
          <w:rFonts w:hint="eastAsia" w:ascii="仿宋" w:hAnsi="仿宋" w:eastAsia="仿宋" w:cs="仿宋"/>
          <w:sz w:val="24"/>
          <w:szCs w:val="24"/>
          <w:highlight w:val="none"/>
        </w:rPr>
        <w:t>授权书》。</w:t>
      </w:r>
    </w:p>
    <w:p w14:paraId="5B81F945">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3.5“货物”系指投标人按招标文件规定，须向招标人提供的一切产品及其它有关技术资料和材料。</w:t>
      </w:r>
    </w:p>
    <w:p w14:paraId="0F78731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3.6“服务”系指招标文件规定投标人为完成全部合同义务须承担的、有形货物除外的所有工作，包括：使用培训、售后服务以及其他类似的义务。</w:t>
      </w:r>
    </w:p>
    <w:p w14:paraId="6D4D91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3.7</w:t>
      </w:r>
      <w:r>
        <w:rPr>
          <w:rFonts w:hint="eastAsia" w:ascii="仿宋" w:hAnsi="仿宋" w:eastAsia="仿宋" w:cs="仿宋"/>
          <w:color w:val="auto"/>
          <w:sz w:val="24"/>
          <w:highlight w:val="none"/>
        </w:rPr>
        <w:t>“书面形式”包括信函、传真、电邮等。</w:t>
      </w:r>
    </w:p>
    <w:p w14:paraId="7FC454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w:t>
      </w:r>
    </w:p>
    <w:p w14:paraId="287097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3.9</w:t>
      </w:r>
      <w:r>
        <w:rPr>
          <w:rFonts w:hint="eastAsia" w:ascii="仿宋" w:hAnsi="仿宋" w:eastAsia="仿宋" w:cs="仿宋"/>
          <w:color w:val="auto"/>
          <w:sz w:val="24"/>
          <w:highlight w:val="none"/>
        </w:rPr>
        <w:t xml:space="preserve"> “电子交易平台”是指本项目采购活动所依托的</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w:t>
      </w:r>
    </w:p>
    <w:p w14:paraId="5F7B2E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3.10</w:t>
      </w:r>
      <w:r>
        <w:rPr>
          <w:rFonts w:hint="eastAsia" w:ascii="仿宋" w:hAnsi="仿宋" w:eastAsia="仿宋" w:cs="仿宋"/>
          <w:color w:val="auto"/>
          <w:sz w:val="24"/>
          <w:highlight w:val="none"/>
        </w:rPr>
        <w:t>“▲”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65105C27">
      <w:pPr>
        <w:keepNext w:val="0"/>
        <w:keepLines w:val="0"/>
        <w:wordWrap w:val="0"/>
        <w:topLinePunct/>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4.投标费用</w:t>
      </w:r>
    </w:p>
    <w:p w14:paraId="5189DFAE">
      <w:pPr>
        <w:keepNext w:val="0"/>
        <w:keepLines w:val="0"/>
        <w:wordWrap w:val="0"/>
        <w:topLinePunct/>
        <w:autoSpaceDE w:val="0"/>
        <w:autoSpaceDN w:val="0"/>
        <w:spacing w:line="360" w:lineRule="auto"/>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投标人应承担所有与编写和提交投标文件有关的费用，不论投标的结果如何，招标人和招标代理机构在任何情况下均无义务和责任承担这些费用。</w:t>
      </w:r>
    </w:p>
    <w:p w14:paraId="1BC9B088">
      <w:pPr>
        <w:keepNext w:val="0"/>
        <w:keepLines w:val="0"/>
        <w:wordWrap w:val="0"/>
        <w:topLinePunct/>
        <w:spacing w:line="360" w:lineRule="auto"/>
        <w:jc w:val="center"/>
        <w:outlineLvl w:val="2"/>
        <w:rPr>
          <w:rFonts w:hint="eastAsia" w:ascii="仿宋" w:hAnsi="仿宋" w:eastAsia="仿宋" w:cs="仿宋"/>
          <w:b/>
          <w:sz w:val="28"/>
          <w:highlight w:val="none"/>
        </w:rPr>
      </w:pPr>
      <w:r>
        <w:rPr>
          <w:rFonts w:hint="eastAsia" w:ascii="仿宋" w:hAnsi="仿宋" w:eastAsia="仿宋" w:cs="仿宋"/>
          <w:b/>
          <w:sz w:val="28"/>
          <w:highlight w:val="none"/>
        </w:rPr>
        <w:t>（二）招标文件</w:t>
      </w:r>
    </w:p>
    <w:p w14:paraId="5C1CDFBF">
      <w:pPr>
        <w:keepNext w:val="0"/>
        <w:keepLines w:val="0"/>
        <w:wordWrap w:val="0"/>
        <w:topLinePunct/>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5.招标文件构成</w:t>
      </w:r>
    </w:p>
    <w:p w14:paraId="20DA539B">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5.1“招标文件”由下述部分组成：</w:t>
      </w:r>
    </w:p>
    <w:p w14:paraId="6246C24E">
      <w:pPr>
        <w:keepNext w:val="0"/>
        <w:keepLines w:val="0"/>
        <w:wordWrap w:val="0"/>
        <w:topLinePunct/>
        <w:snapToGrid w:val="0"/>
        <w:spacing w:line="360" w:lineRule="auto"/>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第一部分</w:t>
      </w:r>
      <w:r>
        <w:rPr>
          <w:rFonts w:hint="eastAsia" w:ascii="仿宋" w:hAnsi="仿宋" w:eastAsia="仿宋" w:cs="仿宋"/>
          <w:bCs/>
          <w:sz w:val="24"/>
          <w:szCs w:val="24"/>
          <w:highlight w:val="none"/>
          <w:lang w:eastAsia="zh-CN"/>
        </w:rPr>
        <w:t>招标公告</w:t>
      </w:r>
    </w:p>
    <w:p w14:paraId="2FECB8D7">
      <w:pPr>
        <w:keepNext w:val="0"/>
        <w:keepLines w:val="0"/>
        <w:wordWrap w:val="0"/>
        <w:topLinePunct/>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第二部分投标须知及前附表</w:t>
      </w:r>
    </w:p>
    <w:p w14:paraId="755A9363">
      <w:pPr>
        <w:keepNext w:val="0"/>
        <w:keepLines w:val="0"/>
        <w:wordWrap w:val="0"/>
        <w:topLinePunct/>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第三部分采购需求和技术要求</w:t>
      </w:r>
    </w:p>
    <w:p w14:paraId="5CC8E8E5">
      <w:pPr>
        <w:keepNext w:val="0"/>
        <w:keepLines w:val="0"/>
        <w:wordWrap w:val="0"/>
        <w:topLinePunct/>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第四部分合同主要条款</w:t>
      </w:r>
    </w:p>
    <w:p w14:paraId="29ECE1E9">
      <w:pPr>
        <w:keepNext w:val="0"/>
        <w:keepLines w:val="0"/>
        <w:wordWrap w:val="0"/>
        <w:topLinePunct/>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第五部分投标文件格式</w:t>
      </w:r>
    </w:p>
    <w:p w14:paraId="63DC58C5">
      <w:pPr>
        <w:keepNext w:val="0"/>
        <w:keepLines w:val="0"/>
        <w:wordWrap w:val="0"/>
        <w:topLinePunct/>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第六部分评分标准</w:t>
      </w:r>
    </w:p>
    <w:p w14:paraId="2CC0E06E">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5.2投标人应认真审阅招标文件所有的内容，如果投标人的投标文件不符合招标文件要求，责任由投标人自负。</w:t>
      </w:r>
    </w:p>
    <w:p w14:paraId="5E90DDA2">
      <w:pPr>
        <w:keepNext w:val="0"/>
        <w:keepLines w:val="0"/>
        <w:wordWrap w:val="0"/>
        <w:topLinePunct/>
        <w:spacing w:line="360" w:lineRule="auto"/>
        <w:ind w:right="-21" w:rightChars="-10"/>
        <w:rPr>
          <w:rFonts w:hint="eastAsia" w:ascii="仿宋" w:hAnsi="仿宋" w:eastAsia="仿宋" w:cs="仿宋"/>
          <w:b/>
          <w:sz w:val="24"/>
          <w:szCs w:val="24"/>
          <w:highlight w:val="none"/>
        </w:rPr>
      </w:pPr>
      <w:r>
        <w:rPr>
          <w:rFonts w:hint="eastAsia" w:ascii="仿宋" w:hAnsi="仿宋" w:eastAsia="仿宋" w:cs="仿宋"/>
          <w:b/>
          <w:sz w:val="24"/>
          <w:szCs w:val="24"/>
          <w:highlight w:val="none"/>
        </w:rPr>
        <w:t>6.招标文件的澄清</w:t>
      </w:r>
    </w:p>
    <w:p w14:paraId="129FBB2F">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6.1投标人对招标文件如有疑问，可在规定的时间前，以书面形式（包括信函或传真，下同）</w:t>
      </w:r>
      <w:r>
        <w:rPr>
          <w:rFonts w:hint="eastAsia" w:ascii="仿宋" w:hAnsi="仿宋" w:eastAsia="仿宋" w:cs="仿宋"/>
          <w:sz w:val="24"/>
          <w:szCs w:val="24"/>
          <w:highlight w:val="none"/>
          <w:lang w:val="en-US" w:eastAsia="zh-CN"/>
        </w:rPr>
        <w:t>提交至</w:t>
      </w:r>
      <w:r>
        <w:rPr>
          <w:rFonts w:hint="eastAsia" w:ascii="仿宋" w:hAnsi="仿宋" w:eastAsia="仿宋" w:cs="仿宋"/>
          <w:sz w:val="24"/>
          <w:szCs w:val="24"/>
          <w:highlight w:val="none"/>
        </w:rPr>
        <w:t>招标代理机构，并须加盖公章。</w:t>
      </w:r>
    </w:p>
    <w:p w14:paraId="353EA916">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6.2招标文件发出后，招标人可主动或对于投标人提出的问题而予以澄清答复。澄清内容可能影响投标文件编制的，招标人应当在提交投标截止时间至少15日前，在公告发布网站发布更正公告；不足15日的，招标人应当顺延提交投标文件的截止时间。</w:t>
      </w:r>
    </w:p>
    <w:p w14:paraId="47555464">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6.3澄清答复文件将构成招标文件的一部分，对投标人有约束力。</w:t>
      </w:r>
    </w:p>
    <w:p w14:paraId="5E6A09E5">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6.4招标文件及澄清答复之间就同一内容相互矛盾的，以最后发出的加盖公章的书面文件为准。</w:t>
      </w:r>
    </w:p>
    <w:p w14:paraId="68CE684A">
      <w:pPr>
        <w:keepNext w:val="0"/>
        <w:keepLines w:val="0"/>
        <w:wordWrap w:val="0"/>
        <w:topLinePunct/>
        <w:snapToGrid w:val="0"/>
        <w:spacing w:line="360" w:lineRule="auto"/>
        <w:ind w:right="-21" w:rightChars="-10"/>
        <w:rPr>
          <w:rFonts w:hint="eastAsia" w:ascii="仿宋" w:hAnsi="仿宋" w:eastAsia="仿宋" w:cs="仿宋"/>
          <w:b/>
          <w:sz w:val="24"/>
          <w:szCs w:val="24"/>
          <w:highlight w:val="none"/>
        </w:rPr>
      </w:pPr>
      <w:r>
        <w:rPr>
          <w:rFonts w:hint="eastAsia" w:ascii="仿宋" w:hAnsi="仿宋" w:eastAsia="仿宋" w:cs="仿宋"/>
          <w:b/>
          <w:sz w:val="24"/>
          <w:szCs w:val="24"/>
          <w:highlight w:val="none"/>
        </w:rPr>
        <w:t>7.招标文件的修改</w:t>
      </w:r>
    </w:p>
    <w:p w14:paraId="3DFC5E27">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bookmarkStart w:id="31" w:name="_Toc2751"/>
      <w:bookmarkStart w:id="32" w:name="_Toc28665"/>
      <w:bookmarkStart w:id="33" w:name="_Toc12114"/>
      <w:bookmarkStart w:id="34" w:name="_Toc4794"/>
      <w:r>
        <w:rPr>
          <w:rFonts w:hint="eastAsia" w:ascii="仿宋" w:hAnsi="仿宋" w:eastAsia="仿宋" w:cs="仿宋"/>
          <w:sz w:val="24"/>
          <w:szCs w:val="24"/>
          <w:highlight w:val="none"/>
        </w:rPr>
        <w:t>7.1招标文件发出后，招标人可主动或依据投标人要求澄清的问题而修改招标文件，修改内容可能影响投标文件编制的，招标人应当在提交投标截止时间至少15日前，以更正公告的形式在公告发布网站发布；不足15日的，招标人应当顺延提交投标文件的截止时间。</w:t>
      </w:r>
    </w:p>
    <w:p w14:paraId="4FD3F3BE">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7.2更正公告将构成招标文件的一部分，对投标人有约束力。</w:t>
      </w:r>
    </w:p>
    <w:p w14:paraId="1A6AA2B5">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7.3招标文件及澄清答复、更正公告之间就同一内容相互矛盾的，以最后发出的加盖公章的书面文件、更正公告为准。</w:t>
      </w:r>
    </w:p>
    <w:p w14:paraId="462CC020">
      <w:pPr>
        <w:keepNext w:val="0"/>
        <w:keepLines w:val="0"/>
        <w:wordWrap w:val="0"/>
        <w:topLinePunct/>
        <w:spacing w:line="360" w:lineRule="auto"/>
        <w:jc w:val="center"/>
        <w:outlineLvl w:val="2"/>
        <w:rPr>
          <w:rFonts w:hint="eastAsia" w:ascii="仿宋" w:hAnsi="仿宋" w:eastAsia="仿宋" w:cs="仿宋"/>
          <w:b/>
          <w:sz w:val="28"/>
          <w:highlight w:val="none"/>
        </w:rPr>
      </w:pPr>
      <w:r>
        <w:rPr>
          <w:rFonts w:hint="eastAsia" w:ascii="仿宋" w:hAnsi="仿宋" w:eastAsia="仿宋" w:cs="仿宋"/>
          <w:b/>
          <w:sz w:val="28"/>
          <w:highlight w:val="none"/>
        </w:rPr>
        <w:t>（三）投标文件的编制</w:t>
      </w:r>
      <w:bookmarkEnd w:id="31"/>
      <w:bookmarkEnd w:id="32"/>
      <w:bookmarkEnd w:id="33"/>
      <w:bookmarkEnd w:id="34"/>
    </w:p>
    <w:p w14:paraId="7D3571DC">
      <w:pPr>
        <w:keepNext w:val="0"/>
        <w:keepLines w:val="0"/>
        <w:wordWrap w:val="0"/>
        <w:topLinePunct/>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8.投标要求</w:t>
      </w:r>
    </w:p>
    <w:p w14:paraId="22B8922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8.1投标人应仔细阅读招标文件的所有内容，按招标文件的要求编制投标文件，并保证所提供的全部资料的真实性，以使其投标对招标文件实质性要求作出完全响应，否则，其投标可能被拒绝。任何对招标文件的忽略或误解不能作为投标文件没有完全响应招标文件的有效理由。</w:t>
      </w:r>
    </w:p>
    <w:p w14:paraId="2EE4C28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sz w:val="24"/>
          <w:szCs w:val="24"/>
          <w:highlight w:val="none"/>
          <w:lang w:val="en-US" w:eastAsia="zh-CN"/>
        </w:rPr>
        <w:t>8.2</w:t>
      </w:r>
      <w:r>
        <w:rPr>
          <w:rFonts w:hint="eastAsia" w:ascii="仿宋" w:hAnsi="仿宋" w:eastAsia="仿宋" w:cs="仿宋"/>
          <w:color w:val="auto"/>
          <w:kern w:val="0"/>
          <w:sz w:val="24"/>
          <w:highlight w:val="none"/>
          <w:lang w:val="zh-CN"/>
        </w:rPr>
        <w:t>投标人进行电子</w:t>
      </w:r>
      <w:r>
        <w:rPr>
          <w:rFonts w:hint="eastAsia" w:ascii="仿宋" w:hAnsi="仿宋" w:eastAsia="仿宋" w:cs="仿宋"/>
          <w:color w:val="auto"/>
          <w:kern w:val="0"/>
          <w:sz w:val="24"/>
          <w:highlight w:val="none"/>
          <w:lang w:val="en-US" w:eastAsia="zh-CN"/>
        </w:rPr>
        <w:t>投标</w:t>
      </w:r>
      <w:r>
        <w:rPr>
          <w:rFonts w:hint="eastAsia" w:ascii="仿宋" w:hAnsi="仿宋" w:eastAsia="仿宋" w:cs="仿宋"/>
          <w:color w:val="auto"/>
          <w:kern w:val="0"/>
          <w:sz w:val="24"/>
          <w:highlight w:val="none"/>
          <w:lang w:val="zh-CN"/>
        </w:rPr>
        <w:t>应安装客户端软件—“乐采云投标客户端”，并按照采购文件和电子交易平台的要求编制并加密投标文件。投标人未按规定加密的投标文件，电子交易平台将拒收并提示。</w:t>
      </w:r>
    </w:p>
    <w:p w14:paraId="6E3AD58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kern w:val="0"/>
          <w:sz w:val="24"/>
          <w:highlight w:val="none"/>
          <w:lang w:val="en-US" w:eastAsia="zh-CN"/>
        </w:rPr>
        <w:t>8.3</w:t>
      </w:r>
      <w:r>
        <w:rPr>
          <w:rFonts w:hint="eastAsia" w:ascii="仿宋" w:hAnsi="仿宋" w:eastAsia="仿宋" w:cs="仿宋"/>
          <w:color w:val="auto"/>
          <w:kern w:val="0"/>
          <w:sz w:val="24"/>
          <w:highlight w:val="none"/>
          <w:lang w:val="zh-CN"/>
        </w:rPr>
        <w:t>使用“乐采云投标客户端”需要提前申领CA数字证书，申领流程请自行前往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“服务中心-帮助文档-注册与系统管理-CA管理-申领CA证书”</w:t>
      </w:r>
      <w:r>
        <w:rPr>
          <w:rFonts w:hint="eastAsia" w:ascii="仿宋" w:hAnsi="仿宋" w:eastAsia="仿宋" w:cs="仿宋"/>
          <w:color w:val="auto"/>
          <w:kern w:val="0"/>
          <w:sz w:val="24"/>
          <w:highlight w:val="none"/>
          <w:lang w:val="zh-CN"/>
        </w:rPr>
        <w:t>进行查阅。</w:t>
      </w:r>
    </w:p>
    <w:p w14:paraId="03724F48">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p>
    <w:p w14:paraId="563126D4">
      <w:pPr>
        <w:keepNext w:val="0"/>
        <w:keepLines w:val="0"/>
        <w:wordWrap w:val="0"/>
        <w:topLinePunct/>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9.投标文件的语言和计量单位</w:t>
      </w:r>
    </w:p>
    <w:p w14:paraId="18F8F8F5">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9.1投标文件和与投标有关的所有文件均应使用汉语。投标人可以提交用其他语言印制的资料，但与投标实质性内容有关的段落必须译成中文，在有差异和矛盾时以中文为准。</w:t>
      </w:r>
    </w:p>
    <w:p w14:paraId="6797C1BC">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9.2除在技术规格中另有规定外，投标文件使用的度量衡单位，均采用中华人民共和国法定计量单位。</w:t>
      </w:r>
    </w:p>
    <w:p w14:paraId="7574DEF3">
      <w:pPr>
        <w:keepNext w:val="0"/>
        <w:keepLines w:val="0"/>
        <w:wordWrap w:val="0"/>
        <w:topLinePunct/>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10.投标文件的构成（见须知前附表）</w:t>
      </w:r>
    </w:p>
    <w:p w14:paraId="2AB1BF40">
      <w:pPr>
        <w:keepNext w:val="0"/>
        <w:keepLines w:val="0"/>
        <w:wordWrap w:val="0"/>
        <w:topLinePunct/>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11.投标报价</w:t>
      </w:r>
    </w:p>
    <w:p w14:paraId="58B65F50">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.1投标人的投标报价应是完成本次招标范围和合同条款所要求的全部费用，不得以任何理由予以重复，作为投标人计算单价或总价的依据。投标人须自行考虑各种风险责任及不可预见费等。</w:t>
      </w:r>
    </w:p>
    <w:p w14:paraId="3DAA57F6">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.2投标人的报价表应按招标文件要求的格式编制、填写报价内容(可自动增行)，凡未按招标文件要求编制、完整填写，严重偏离的投标文件将被拒绝，予以无效标处理。</w:t>
      </w:r>
    </w:p>
    <w:p w14:paraId="6F5199CC">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投标报价组成内容可在报价表中单独列出，如不列明详细报价，则视为已含入各分项报价里。</w:t>
      </w:r>
    </w:p>
    <w:p w14:paraId="276F087E">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.3技术规范要求的费用、技术及售后服务费用应包括在投标报价中；</w:t>
      </w:r>
    </w:p>
    <w:p w14:paraId="33BA52C5">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.4招标人拒绝有选择的报价和不平衡报价。如评标委员会认定投标人提供严重不平衡报价的，则其投标将被拒绝。有选择的报价将不予接受。并只允许一次报价，不允许在开标后将调整的报价作为评标的依据。</w:t>
      </w:r>
    </w:p>
    <w:p w14:paraId="05CCCC49">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.5投标人如到现场踏勘可以充分了解现场及任何其它足以影响报价的情况，任何因忽视或误解现场情况而导致的索赔或其它申请将不获批准。</w:t>
      </w:r>
    </w:p>
    <w:p w14:paraId="5A13DC7F">
      <w:pPr>
        <w:keepNext w:val="0"/>
        <w:keepLines w:val="0"/>
        <w:wordWrap w:val="0"/>
        <w:topLinePunct/>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.投标有效期</w:t>
      </w:r>
    </w:p>
    <w:p w14:paraId="1E1E3C12">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.1投标有效期见本须知前附表所规定的期限，在此期限内，凡符合本招标文件要求的投标文件均保持有效。</w:t>
      </w:r>
    </w:p>
    <w:p w14:paraId="23E92757">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.2在特殊情况下，招标人在原定投标有效期内，可以根据需要以书面形式向投标人提出延长投标有效期的要求，对此要求投标人须以书面形式予以答复。投标人可以拒绝招标人这种要求，</w:t>
      </w:r>
      <w:r>
        <w:rPr>
          <w:rFonts w:hint="eastAsia" w:ascii="仿宋" w:hAnsi="仿宋" w:eastAsia="仿宋" w:cs="仿宋"/>
          <w:kern w:val="0"/>
          <w:sz w:val="24"/>
          <w:szCs w:val="24"/>
          <w:highlight w:val="none"/>
        </w:rPr>
        <w:t>并收</w:t>
      </w:r>
      <w:r>
        <w:rPr>
          <w:rFonts w:hint="eastAsia" w:ascii="仿宋" w:hAnsi="仿宋" w:eastAsia="仿宋" w:cs="仿宋"/>
          <w:sz w:val="24"/>
          <w:szCs w:val="24"/>
          <w:highlight w:val="none"/>
        </w:rPr>
        <w:t>回投标保证金。同意延长投标有效期的投标人既不能要求也不允许修改其投标文件，但需要相应的延长投标保证金的有效期，在延长的投标有效期内本须知关于投标保证金的退还与不退还的规定仍然适用。</w:t>
      </w:r>
    </w:p>
    <w:p w14:paraId="20742EB1">
      <w:pPr>
        <w:keepNext w:val="0"/>
        <w:keepLines w:val="0"/>
        <w:wordWrap w:val="0"/>
        <w:topLinePunct/>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.投标保证金</w:t>
      </w:r>
    </w:p>
    <w:p w14:paraId="056B99E0">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.1投标人应在提交投标文件的同时，按本须知前附表所规定的方式、数额提交投标保证金，并作为其投标文件的一部分。</w:t>
      </w:r>
    </w:p>
    <w:p w14:paraId="21FBFEC9">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.2对于未能按要求提交投标保证金的投标，招标人将视为不响应招标文件而予以拒绝。</w:t>
      </w:r>
    </w:p>
    <w:p w14:paraId="3A37AFAE">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.3有下列情形之一的，投标担保将不予退还：</w:t>
      </w:r>
    </w:p>
    <w:p w14:paraId="3DB71588">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（1）投标人在投标有效期内撤销投标文件；</w:t>
      </w:r>
    </w:p>
    <w:p w14:paraId="2368A52C">
      <w:pPr>
        <w:keepNext w:val="0"/>
        <w:keepLines w:val="0"/>
        <w:wordWrap w:val="0"/>
        <w:topLinePunct/>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（2）中标人在收到中标通知书后，无正当理由不与招标人订立合同，在签订合同时向招标人提出附加条件，或者不按照招标文件要求提交履约保证金；</w:t>
      </w:r>
    </w:p>
    <w:p w14:paraId="32DA6B89">
      <w:pPr>
        <w:keepNext w:val="0"/>
        <w:keepLines w:val="0"/>
        <w:wordWrap w:val="0"/>
        <w:topLinePunct/>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（3）经查实，投标人在投标过程中存在串通投标或弄虚作假的。</w:t>
      </w:r>
    </w:p>
    <w:p w14:paraId="75BD01F6">
      <w:pPr>
        <w:keepNext w:val="0"/>
        <w:keepLines w:val="0"/>
        <w:wordWrap w:val="0"/>
        <w:topLinePunct/>
        <w:snapToGrid w:val="0"/>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.投标文件的签署、盖章</w:t>
      </w:r>
    </w:p>
    <w:p w14:paraId="252BDE4B">
      <w:pPr>
        <w:pStyle w:val="69"/>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14.1</w:t>
      </w:r>
      <w:r>
        <w:rPr>
          <w:rFonts w:hint="eastAsia" w:ascii="仿宋" w:hAnsi="仿宋" w:eastAsia="仿宋" w:cs="仿宋"/>
          <w:color w:val="auto"/>
          <w:szCs w:val="24"/>
          <w:highlight w:val="none"/>
        </w:rPr>
        <w:t>投标文件按照招标文件第</w:t>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2DF155B">
      <w:pPr>
        <w:pStyle w:val="69"/>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14.2</w:t>
      </w:r>
      <w:r>
        <w:rPr>
          <w:rFonts w:hint="eastAsia" w:ascii="仿宋" w:hAnsi="仿宋" w:eastAsia="仿宋" w:cs="仿宋"/>
          <w:b/>
          <w:bCs/>
          <w:color w:val="auto"/>
          <w:highlight w:val="none"/>
        </w:rPr>
        <w:t>为确保网上操作合法、有效和安全，投标人应当在投标截止时间前完成在“</w:t>
      </w:r>
      <w:r>
        <w:rPr>
          <w:rFonts w:hint="eastAsia" w:ascii="仿宋" w:hAnsi="仿宋" w:eastAsia="仿宋" w:cs="仿宋"/>
          <w:b/>
          <w:bCs/>
          <w:color w:val="auto"/>
          <w:highlight w:val="none"/>
          <w:lang w:eastAsia="zh-CN"/>
        </w:rPr>
        <w:t>乐采云平台</w:t>
      </w:r>
      <w:r>
        <w:rPr>
          <w:rFonts w:hint="eastAsia" w:ascii="仿宋" w:hAnsi="仿宋" w:eastAsia="仿宋" w:cs="仿宋"/>
          <w:b/>
          <w:bCs/>
          <w:color w:val="auto"/>
          <w:highlight w:val="none"/>
        </w:rPr>
        <w:t>”的身份认证，确保在电子投标过程中能够对相关数据电文进行加密和使用电子签名。</w:t>
      </w:r>
    </w:p>
    <w:p w14:paraId="4861F685">
      <w:pPr>
        <w:pStyle w:val="69"/>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14.3</w:t>
      </w:r>
      <w:r>
        <w:rPr>
          <w:rFonts w:hint="eastAsia" w:ascii="仿宋" w:hAnsi="仿宋" w:eastAsia="仿宋" w:cs="仿宋"/>
          <w:b/>
          <w:bCs/>
          <w:color w:val="auto"/>
          <w:highlight w:val="none"/>
        </w:rPr>
        <w:t>招标文件对投标文件签署、盖章的要求适用于电子签名。</w:t>
      </w:r>
    </w:p>
    <w:p w14:paraId="3F201DAA">
      <w:pPr>
        <w:keepNext w:val="0"/>
        <w:keepLines w:val="0"/>
        <w:wordWrap w:val="0"/>
        <w:topLinePunct/>
        <w:spacing w:line="360" w:lineRule="auto"/>
        <w:jc w:val="center"/>
        <w:outlineLvl w:val="2"/>
        <w:rPr>
          <w:rFonts w:hint="eastAsia" w:ascii="仿宋" w:hAnsi="仿宋" w:eastAsia="仿宋" w:cs="仿宋"/>
          <w:b/>
          <w:sz w:val="28"/>
          <w:highlight w:val="none"/>
        </w:rPr>
      </w:pPr>
      <w:r>
        <w:rPr>
          <w:rFonts w:hint="eastAsia" w:ascii="仿宋" w:hAnsi="仿宋" w:eastAsia="仿宋" w:cs="仿宋"/>
          <w:b/>
          <w:sz w:val="28"/>
          <w:highlight w:val="none"/>
        </w:rPr>
        <w:t>（四）投标文件的提交、补充、修改、撤回</w:t>
      </w:r>
    </w:p>
    <w:p w14:paraId="3EDCFD4E">
      <w:pPr>
        <w:pStyle w:val="69"/>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15.</w:t>
      </w:r>
      <w:r>
        <w:rPr>
          <w:rFonts w:hint="eastAsia" w:ascii="仿宋" w:hAnsi="仿宋" w:eastAsia="仿宋" w:cs="仿宋"/>
          <w:b/>
          <w:bCs/>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9B7977F">
      <w:pPr>
        <w:pStyle w:val="69"/>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16.</w:t>
      </w:r>
      <w:r>
        <w:rPr>
          <w:rFonts w:hint="eastAsia" w:ascii="仿宋" w:hAnsi="仿宋" w:eastAsia="仿宋" w:cs="仿宋"/>
          <w:b/>
          <w:bCs/>
          <w:color w:val="auto"/>
          <w:highlight w:val="none"/>
        </w:rPr>
        <w:t>电子交易平台收到投标文件，将妥善保存并即时向供应商发出确认回执通知。在投标截止时间前，除供应商补充、修改或者撤回投标文件外，任何单位和个人不得解密或提取投标文件。</w:t>
      </w:r>
    </w:p>
    <w:p w14:paraId="6CCE4FFD">
      <w:pPr>
        <w:pStyle w:val="69"/>
        <w:spacing w:before="0"/>
        <w:ind w:firstLine="482"/>
        <w:rPr>
          <w:rFonts w:hint="eastAsia" w:ascii="仿宋" w:hAnsi="仿宋" w:eastAsia="仿宋" w:cs="仿宋"/>
          <w:highlight w:val="none"/>
        </w:rPr>
      </w:pPr>
      <w:r>
        <w:rPr>
          <w:rFonts w:hint="eastAsia" w:ascii="仿宋" w:hAnsi="仿宋" w:eastAsia="仿宋" w:cs="仿宋"/>
          <w:b/>
          <w:bCs/>
          <w:color w:val="auto"/>
          <w:highlight w:val="none"/>
          <w:lang w:val="en-US" w:eastAsia="zh-CN"/>
        </w:rPr>
        <w:t>17.</w:t>
      </w:r>
      <w:r>
        <w:rPr>
          <w:rFonts w:hint="eastAsia" w:ascii="仿宋" w:hAnsi="仿宋" w:eastAsia="仿宋" w:cs="仿宋"/>
          <w:b/>
          <w:bCs/>
          <w:color w:val="auto"/>
          <w:highlight w:val="none"/>
          <w:lang w:eastAsia="zh-CN"/>
        </w:rPr>
        <w:t>招标人</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招标代理</w:t>
      </w:r>
      <w:r>
        <w:rPr>
          <w:rFonts w:hint="eastAsia" w:ascii="仿宋" w:hAnsi="仿宋" w:eastAsia="仿宋" w:cs="仿宋"/>
          <w:b/>
          <w:bCs/>
          <w:color w:val="auto"/>
          <w:highlight w:val="none"/>
        </w:rPr>
        <w:t>机构可以视情况延长投标文件提交的截止 时间。在上述情况下，</w:t>
      </w:r>
      <w:r>
        <w:rPr>
          <w:rFonts w:hint="eastAsia" w:ascii="仿宋" w:hAnsi="仿宋" w:eastAsia="仿宋" w:cs="仿宋"/>
          <w:b/>
          <w:bCs/>
          <w:color w:val="auto"/>
          <w:highlight w:val="none"/>
          <w:lang w:eastAsia="zh-CN"/>
        </w:rPr>
        <w:t>招标代理</w:t>
      </w:r>
      <w:r>
        <w:rPr>
          <w:rFonts w:hint="eastAsia" w:ascii="仿宋" w:hAnsi="仿宋" w:eastAsia="仿宋" w:cs="仿宋"/>
          <w:b/>
          <w:bCs/>
          <w:color w:val="auto"/>
          <w:highlight w:val="none"/>
        </w:rPr>
        <w:t>机构与投标人以前在投标截止期方面的全部权利、责任和义务，将适用于延长至新的投标截止期。</w:t>
      </w:r>
    </w:p>
    <w:p w14:paraId="44BA100E">
      <w:pPr>
        <w:keepNext w:val="0"/>
        <w:keepLines w:val="0"/>
        <w:wordWrap w:val="0"/>
        <w:topLinePunct/>
        <w:spacing w:line="360" w:lineRule="auto"/>
        <w:jc w:val="center"/>
        <w:outlineLvl w:val="2"/>
        <w:rPr>
          <w:rFonts w:hint="eastAsia" w:ascii="仿宋" w:hAnsi="仿宋" w:eastAsia="仿宋" w:cs="仿宋"/>
          <w:b/>
          <w:bCs/>
          <w:color w:val="auto"/>
          <w:sz w:val="28"/>
          <w:szCs w:val="32"/>
          <w:highlight w:val="none"/>
          <w:lang w:eastAsia="zh-CN"/>
        </w:rPr>
      </w:pPr>
      <w:r>
        <w:rPr>
          <w:rFonts w:hint="eastAsia" w:ascii="仿宋" w:hAnsi="仿宋" w:eastAsia="仿宋" w:cs="仿宋"/>
          <w:b/>
          <w:sz w:val="28"/>
          <w:highlight w:val="none"/>
        </w:rPr>
        <w:t>（五）</w:t>
      </w:r>
      <w:r>
        <w:rPr>
          <w:rFonts w:hint="eastAsia" w:ascii="仿宋" w:hAnsi="仿宋" w:eastAsia="仿宋" w:cs="仿宋"/>
          <w:b/>
          <w:bCs/>
          <w:color w:val="auto"/>
          <w:sz w:val="28"/>
          <w:szCs w:val="32"/>
          <w:highlight w:val="none"/>
        </w:rPr>
        <w:t>备份</w:t>
      </w:r>
      <w:r>
        <w:rPr>
          <w:rFonts w:hint="eastAsia" w:ascii="仿宋" w:hAnsi="仿宋" w:eastAsia="仿宋" w:cs="仿宋"/>
          <w:b/>
          <w:bCs/>
          <w:color w:val="auto"/>
          <w:sz w:val="28"/>
          <w:szCs w:val="32"/>
          <w:highlight w:val="none"/>
          <w:lang w:eastAsia="zh-CN"/>
        </w:rPr>
        <w:t>投标文件</w:t>
      </w:r>
    </w:p>
    <w:p w14:paraId="1D24C3AC">
      <w:pPr>
        <w:wordWrap w:val="0"/>
        <w:topLinePunct/>
        <w:spacing w:line="360" w:lineRule="auto"/>
        <w:ind w:right="0" w:rightChars="0" w:firstLine="480" w:firstLineChars="200"/>
        <w:rPr>
          <w:rFonts w:hint="eastAsia" w:ascii="仿宋" w:hAnsi="仿宋" w:eastAsia="仿宋" w:cs="仿宋"/>
          <w:b/>
          <w:bCs/>
          <w:color w:val="auto"/>
          <w:kern w:val="0"/>
          <w:sz w:val="24"/>
          <w:szCs w:val="20"/>
          <w:highlight w:val="none"/>
        </w:rPr>
      </w:pPr>
      <w:r>
        <w:rPr>
          <w:rFonts w:hint="eastAsia" w:ascii="仿宋" w:hAnsi="仿宋" w:eastAsia="仿宋" w:cs="仿宋"/>
          <w:b w:val="0"/>
          <w:bCs w:val="0"/>
          <w:color w:val="auto"/>
          <w:kern w:val="0"/>
          <w:sz w:val="24"/>
          <w:szCs w:val="20"/>
          <w:highlight w:val="none"/>
          <w:lang w:eastAsia="zh-CN"/>
        </w:rPr>
        <w:t>1</w:t>
      </w:r>
      <w:r>
        <w:rPr>
          <w:rFonts w:hint="eastAsia" w:ascii="仿宋" w:hAnsi="仿宋" w:eastAsia="仿宋" w:cs="仿宋"/>
          <w:b w:val="0"/>
          <w:bCs w:val="0"/>
          <w:color w:val="auto"/>
          <w:kern w:val="0"/>
          <w:sz w:val="24"/>
          <w:szCs w:val="20"/>
          <w:highlight w:val="none"/>
          <w:lang w:val="en-US" w:eastAsia="zh-CN"/>
        </w:rPr>
        <w:t>8.</w:t>
      </w:r>
      <w:r>
        <w:rPr>
          <w:rFonts w:hint="eastAsia" w:ascii="仿宋" w:hAnsi="仿宋" w:eastAsia="仿宋" w:cs="仿宋"/>
          <w:b w:val="0"/>
          <w:bCs w:val="0"/>
          <w:color w:val="auto"/>
          <w:kern w:val="0"/>
          <w:sz w:val="24"/>
          <w:szCs w:val="20"/>
          <w:highlight w:val="none"/>
        </w:rPr>
        <w:t>供应商在电子交易平台传输递交</w:t>
      </w:r>
      <w:r>
        <w:rPr>
          <w:rFonts w:hint="eastAsia" w:ascii="仿宋" w:hAnsi="仿宋" w:eastAsia="仿宋" w:cs="仿宋"/>
          <w:b w:val="0"/>
          <w:bCs w:val="0"/>
          <w:color w:val="auto"/>
          <w:kern w:val="0"/>
          <w:sz w:val="24"/>
          <w:szCs w:val="20"/>
          <w:highlight w:val="none"/>
          <w:lang w:eastAsia="zh-CN"/>
        </w:rPr>
        <w:t>投标文件</w:t>
      </w:r>
      <w:r>
        <w:rPr>
          <w:rFonts w:hint="eastAsia" w:ascii="仿宋" w:hAnsi="仿宋" w:eastAsia="仿宋" w:cs="仿宋"/>
          <w:b w:val="0"/>
          <w:bCs w:val="0"/>
          <w:color w:val="auto"/>
          <w:kern w:val="0"/>
          <w:sz w:val="24"/>
          <w:szCs w:val="20"/>
          <w:highlight w:val="none"/>
        </w:rPr>
        <w:t>后，</w:t>
      </w:r>
      <w:r>
        <w:rPr>
          <w:rFonts w:hint="eastAsia" w:ascii="仿宋" w:hAnsi="仿宋" w:eastAsia="仿宋" w:cs="仿宋"/>
          <w:color w:val="auto"/>
          <w:sz w:val="24"/>
          <w:szCs w:val="24"/>
          <w:highlight w:val="none"/>
        </w:rPr>
        <w:t>可以在投标截止时间前直接提交或者以快递方式递交备份投标文件1份</w:t>
      </w:r>
      <w:r>
        <w:rPr>
          <w:rFonts w:hint="eastAsia" w:ascii="仿宋" w:hAnsi="仿宋" w:eastAsia="仿宋" w:cs="仿宋"/>
          <w:b/>
          <w:bCs/>
          <w:color w:val="auto"/>
          <w:kern w:val="0"/>
          <w:sz w:val="24"/>
          <w:szCs w:val="20"/>
          <w:highlight w:val="none"/>
        </w:rPr>
        <w:t>（非强制要求，供应商自行考虑，快递到付或包裹破损拒绝接受）。</w:t>
      </w:r>
    </w:p>
    <w:p w14:paraId="457EE66F">
      <w:pPr>
        <w:wordWrap w:val="0"/>
        <w:topLinePunct/>
        <w:spacing w:line="360" w:lineRule="auto"/>
        <w:ind w:right="0" w:rightChars="0" w:firstLine="480" w:firstLineChars="200"/>
        <w:rPr>
          <w:rFonts w:hint="eastAsia" w:ascii="仿宋" w:hAnsi="仿宋" w:eastAsia="仿宋" w:cs="仿宋"/>
          <w:b/>
          <w:bCs/>
          <w:color w:val="auto"/>
          <w:kern w:val="0"/>
          <w:sz w:val="24"/>
          <w:szCs w:val="20"/>
          <w:highlight w:val="none"/>
        </w:rPr>
      </w:pPr>
      <w:r>
        <w:rPr>
          <w:rFonts w:hint="eastAsia" w:ascii="仿宋" w:hAnsi="仿宋" w:eastAsia="仿宋" w:cs="仿宋"/>
          <w:b w:val="0"/>
          <w:bCs w:val="0"/>
          <w:color w:val="auto"/>
          <w:kern w:val="0"/>
          <w:sz w:val="24"/>
          <w:szCs w:val="20"/>
          <w:highlight w:val="none"/>
          <w:lang w:val="en-US" w:eastAsia="zh-CN"/>
        </w:rPr>
        <w:t>19.</w:t>
      </w:r>
      <w:r>
        <w:rPr>
          <w:rFonts w:hint="eastAsia" w:ascii="仿宋" w:hAnsi="仿宋" w:eastAsia="仿宋" w:cs="仿宋"/>
          <w:color w:val="auto"/>
          <w:sz w:val="24"/>
          <w:szCs w:val="24"/>
          <w:highlight w:val="none"/>
        </w:rPr>
        <w:t>备份投标文件须在“</w:t>
      </w:r>
      <w:r>
        <w:rPr>
          <w:rFonts w:hint="eastAsia" w:ascii="仿宋" w:hAnsi="仿宋" w:eastAsia="仿宋" w:cs="仿宋"/>
          <w:color w:val="auto"/>
          <w:sz w:val="24"/>
          <w:szCs w:val="24"/>
          <w:highlight w:val="none"/>
          <w:lang w:eastAsia="zh-CN"/>
        </w:rPr>
        <w:t>乐采云投标客户端</w:t>
      </w:r>
      <w:r>
        <w:rPr>
          <w:rFonts w:hint="eastAsia" w:ascii="仿宋" w:hAnsi="仿宋" w:eastAsia="仿宋" w:cs="仿宋"/>
          <w:color w:val="auto"/>
          <w:sz w:val="24"/>
          <w:szCs w:val="24"/>
          <w:highlight w:val="none"/>
        </w:rPr>
        <w:t>”制作生成，并储存在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bCs/>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14:paraId="7DE71010">
      <w:pPr>
        <w:wordWrap w:val="0"/>
        <w:topLinePunct/>
        <w:spacing w:line="360" w:lineRule="auto"/>
        <w:ind w:right="0" w:rightChars="0" w:firstLine="480" w:firstLineChars="200"/>
        <w:rPr>
          <w:rFonts w:hint="eastAsia" w:ascii="仿宋" w:hAnsi="仿宋" w:eastAsia="仿宋" w:cs="仿宋"/>
          <w:b w:val="0"/>
          <w:bCs w:val="0"/>
          <w:color w:val="auto"/>
          <w:kern w:val="0"/>
          <w:sz w:val="24"/>
          <w:szCs w:val="20"/>
          <w:highlight w:val="none"/>
        </w:rPr>
      </w:pPr>
      <w:r>
        <w:rPr>
          <w:rFonts w:hint="eastAsia" w:ascii="仿宋" w:hAnsi="仿宋" w:eastAsia="仿宋" w:cs="仿宋"/>
          <w:b w:val="0"/>
          <w:bCs w:val="0"/>
          <w:color w:val="auto"/>
          <w:kern w:val="0"/>
          <w:sz w:val="24"/>
          <w:szCs w:val="20"/>
          <w:highlight w:val="none"/>
          <w:lang w:eastAsia="zh-CN"/>
        </w:rPr>
        <w:t>2</w:t>
      </w:r>
      <w:r>
        <w:rPr>
          <w:rFonts w:hint="eastAsia" w:ascii="仿宋" w:hAnsi="仿宋" w:eastAsia="仿宋" w:cs="仿宋"/>
          <w:b w:val="0"/>
          <w:bCs w:val="0"/>
          <w:color w:val="auto"/>
          <w:kern w:val="0"/>
          <w:sz w:val="24"/>
          <w:szCs w:val="20"/>
          <w:highlight w:val="none"/>
          <w:lang w:val="en-US" w:eastAsia="zh-CN"/>
        </w:rPr>
        <w:t>0.</w:t>
      </w:r>
      <w:r>
        <w:rPr>
          <w:rFonts w:hint="eastAsia" w:ascii="仿宋" w:hAnsi="仿宋" w:eastAsia="仿宋" w:cs="仿宋"/>
          <w:color w:val="auto"/>
          <w:sz w:val="24"/>
          <w:szCs w:val="24"/>
          <w:highlight w:val="none"/>
        </w:rPr>
        <w:t>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招标代理</w:t>
      </w:r>
      <w:r>
        <w:rPr>
          <w:rFonts w:hint="eastAsia" w:ascii="仿宋" w:hAnsi="仿宋" w:eastAsia="仿宋" w:cs="仿宋"/>
          <w:color w:val="auto"/>
          <w:sz w:val="24"/>
          <w:szCs w:val="24"/>
          <w:highlight w:val="none"/>
        </w:rPr>
        <w:t>机构，</w:t>
      </w:r>
      <w:r>
        <w:rPr>
          <w:rFonts w:hint="eastAsia" w:ascii="仿宋" w:hAnsi="仿宋" w:eastAsia="仿宋" w:cs="仿宋"/>
          <w:color w:val="auto"/>
          <w:sz w:val="24"/>
          <w:szCs w:val="24"/>
          <w:highlight w:val="none"/>
          <w:lang w:eastAsia="zh-CN"/>
        </w:rPr>
        <w:t>招标代理</w:t>
      </w:r>
      <w:r>
        <w:rPr>
          <w:rFonts w:hint="eastAsia" w:ascii="仿宋" w:hAnsi="仿宋" w:eastAsia="仿宋" w:cs="仿宋"/>
          <w:color w:val="auto"/>
          <w:sz w:val="24"/>
          <w:szCs w:val="24"/>
          <w:highlight w:val="none"/>
        </w:rPr>
        <w:t>机构将拒绝接受逾期送达的备份投标文件。</w:t>
      </w:r>
    </w:p>
    <w:p w14:paraId="72FE14FC">
      <w:pPr>
        <w:wordWrap w:val="0"/>
        <w:topLinePunct/>
        <w:spacing w:line="360" w:lineRule="auto"/>
        <w:ind w:right="0" w:rightChars="0" w:firstLine="480" w:firstLineChars="200"/>
        <w:rPr>
          <w:rFonts w:hint="eastAsia" w:ascii="仿宋" w:hAnsi="仿宋" w:eastAsia="仿宋" w:cs="仿宋"/>
          <w:b w:val="0"/>
          <w:bCs w:val="0"/>
          <w:color w:val="auto"/>
          <w:kern w:val="0"/>
          <w:sz w:val="24"/>
          <w:szCs w:val="20"/>
          <w:highlight w:val="none"/>
        </w:rPr>
      </w:pPr>
      <w:r>
        <w:rPr>
          <w:rFonts w:hint="eastAsia" w:ascii="仿宋" w:hAnsi="仿宋" w:eastAsia="仿宋" w:cs="仿宋"/>
          <w:b w:val="0"/>
          <w:bCs w:val="0"/>
          <w:color w:val="auto"/>
          <w:kern w:val="0"/>
          <w:sz w:val="24"/>
          <w:szCs w:val="20"/>
          <w:highlight w:val="none"/>
          <w:lang w:eastAsia="zh-CN"/>
        </w:rPr>
        <w:t>2</w:t>
      </w:r>
      <w:r>
        <w:rPr>
          <w:rFonts w:hint="eastAsia" w:ascii="仿宋" w:hAnsi="仿宋" w:eastAsia="仿宋" w:cs="仿宋"/>
          <w:b w:val="0"/>
          <w:bCs w:val="0"/>
          <w:color w:val="auto"/>
          <w:kern w:val="0"/>
          <w:sz w:val="24"/>
          <w:szCs w:val="20"/>
          <w:highlight w:val="none"/>
          <w:lang w:val="en-US" w:eastAsia="zh-CN"/>
        </w:rPr>
        <w:t>1.</w:t>
      </w:r>
      <w:r>
        <w:rPr>
          <w:rFonts w:hint="eastAsia" w:ascii="仿宋" w:hAnsi="仿宋" w:eastAsia="仿宋" w:cs="仿宋"/>
          <w:color w:val="auto"/>
          <w:sz w:val="24"/>
          <w:szCs w:val="24"/>
          <w:highlight w:val="none"/>
        </w:rPr>
        <w:t>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招标代理</w:t>
      </w:r>
      <w:r>
        <w:rPr>
          <w:rFonts w:hint="eastAsia" w:ascii="仿宋" w:hAnsi="仿宋" w:eastAsia="仿宋" w:cs="仿宋"/>
          <w:color w:val="auto"/>
          <w:sz w:val="24"/>
          <w:szCs w:val="24"/>
          <w:highlight w:val="none"/>
        </w:rPr>
        <w:t>机构将拒绝接受逾期送达的备份投标文件。邮寄过程中，电子备份投标文件发生泄露、遗失、损坏或延期送达等情况的，由投标人自行负责。</w:t>
      </w:r>
    </w:p>
    <w:p w14:paraId="421F1445">
      <w:pPr>
        <w:keepNext w:val="0"/>
        <w:keepLines w:val="0"/>
        <w:wordWrap w:val="0"/>
        <w:topLinePunct/>
        <w:spacing w:line="360" w:lineRule="auto"/>
        <w:ind w:right="0" w:rightChars="0" w:firstLine="482" w:firstLineChars="200"/>
        <w:jc w:val="left"/>
        <w:outlineLvl w:val="9"/>
        <w:rPr>
          <w:rFonts w:hint="eastAsia"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lang w:val="en-US" w:eastAsia="zh-CN"/>
        </w:rPr>
        <w:t>22.</w:t>
      </w:r>
      <w:r>
        <w:rPr>
          <w:rFonts w:hint="eastAsia" w:ascii="仿宋" w:hAnsi="仿宋" w:eastAsia="仿宋" w:cs="仿宋"/>
          <w:b/>
          <w:color w:val="auto"/>
          <w:sz w:val="24"/>
          <w:szCs w:val="24"/>
          <w:highlight w:val="none"/>
        </w:rPr>
        <w:t>投标人仅提交备份投标文件，未在电子交易平台传输递交投标文件的，投标无效。</w:t>
      </w:r>
    </w:p>
    <w:p w14:paraId="37CA0D8A">
      <w:pPr>
        <w:keepNext w:val="0"/>
        <w:keepLines w:val="0"/>
        <w:wordWrap w:val="0"/>
        <w:topLinePunct/>
        <w:spacing w:line="360" w:lineRule="auto"/>
        <w:jc w:val="center"/>
        <w:outlineLvl w:val="2"/>
        <w:rPr>
          <w:rFonts w:hint="eastAsia" w:ascii="仿宋" w:hAnsi="仿宋" w:eastAsia="仿宋" w:cs="仿宋"/>
          <w:b/>
          <w:sz w:val="28"/>
          <w:highlight w:val="none"/>
        </w:rPr>
      </w:pPr>
      <w:r>
        <w:rPr>
          <w:rFonts w:hint="eastAsia" w:ascii="仿宋" w:hAnsi="仿宋" w:eastAsia="仿宋" w:cs="仿宋"/>
          <w:b/>
          <w:sz w:val="28"/>
          <w:highlight w:val="none"/>
        </w:rPr>
        <w:t>（</w:t>
      </w:r>
      <w:r>
        <w:rPr>
          <w:rFonts w:hint="eastAsia" w:ascii="仿宋" w:hAnsi="仿宋" w:eastAsia="仿宋" w:cs="仿宋"/>
          <w:b/>
          <w:sz w:val="28"/>
          <w:highlight w:val="none"/>
          <w:lang w:val="en-US" w:eastAsia="zh-CN"/>
        </w:rPr>
        <w:t>六</w:t>
      </w:r>
      <w:r>
        <w:rPr>
          <w:rFonts w:hint="eastAsia" w:ascii="仿宋" w:hAnsi="仿宋" w:eastAsia="仿宋" w:cs="仿宋"/>
          <w:b/>
          <w:sz w:val="28"/>
          <w:highlight w:val="none"/>
        </w:rPr>
        <w:t>）开标与信用信息查询</w:t>
      </w:r>
    </w:p>
    <w:p w14:paraId="10CEFEFC">
      <w:pPr>
        <w:keepNext w:val="0"/>
        <w:keepLines w:val="0"/>
        <w:wordWrap w:val="0"/>
        <w:topLinePunct/>
        <w:spacing w:line="360" w:lineRule="auto"/>
        <w:ind w:right="-21" w:rightChars="-10"/>
        <w:rPr>
          <w:rFonts w:hint="eastAsia" w:ascii="仿宋" w:hAnsi="仿宋" w:eastAsia="仿宋" w:cs="仿宋"/>
          <w:sz w:val="24"/>
          <w:szCs w:val="24"/>
          <w:highlight w:val="none"/>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.开标</w:t>
      </w:r>
    </w:p>
    <w:p w14:paraId="1D55534E">
      <w:pPr>
        <w:keepNext w:val="0"/>
        <w:keepLines w:val="0"/>
        <w:wordWrap w:val="0"/>
        <w:topLinePunct/>
        <w:spacing w:line="360" w:lineRule="auto"/>
        <w:ind w:firstLine="482" w:firstLineChars="200"/>
        <w:rPr>
          <w:rFonts w:hint="eastAsia" w:ascii="仿宋" w:hAnsi="仿宋" w:eastAsia="仿宋" w:cs="仿宋"/>
          <w:b/>
          <w:bCs/>
          <w:kern w:val="21"/>
          <w:sz w:val="24"/>
          <w:szCs w:val="24"/>
          <w:highlight w:val="none"/>
        </w:rPr>
      </w:pPr>
      <w:r>
        <w:rPr>
          <w:rFonts w:hint="eastAsia" w:ascii="仿宋" w:hAnsi="仿宋" w:eastAsia="仿宋" w:cs="仿宋"/>
          <w:b/>
          <w:bCs/>
          <w:kern w:val="21"/>
          <w:sz w:val="24"/>
          <w:szCs w:val="24"/>
          <w:highlight w:val="none"/>
        </w:rPr>
        <w:t>2</w:t>
      </w:r>
      <w:r>
        <w:rPr>
          <w:rFonts w:hint="eastAsia" w:ascii="仿宋" w:hAnsi="仿宋" w:eastAsia="仿宋" w:cs="仿宋"/>
          <w:b/>
          <w:bCs/>
          <w:kern w:val="21"/>
          <w:sz w:val="24"/>
          <w:szCs w:val="24"/>
          <w:highlight w:val="none"/>
          <w:lang w:val="en-US" w:eastAsia="zh-CN"/>
        </w:rPr>
        <w:t>3</w:t>
      </w:r>
      <w:r>
        <w:rPr>
          <w:rFonts w:hint="eastAsia" w:ascii="仿宋" w:hAnsi="仿宋" w:eastAsia="仿宋" w:cs="仿宋"/>
          <w:b/>
          <w:bCs/>
          <w:kern w:val="21"/>
          <w:sz w:val="24"/>
          <w:szCs w:val="24"/>
          <w:highlight w:val="none"/>
        </w:rPr>
        <w:t>.1</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规定的时间通过电子交易平台组织交易，所有供应商均应当准时在线参加。</w:t>
      </w:r>
      <w:r>
        <w:rPr>
          <w:rFonts w:hint="eastAsia" w:ascii="仿宋" w:hAnsi="仿宋" w:eastAsia="仿宋" w:cs="仿宋"/>
          <w:b/>
          <w:bCs/>
          <w:kern w:val="21"/>
          <w:sz w:val="24"/>
          <w:szCs w:val="24"/>
          <w:highlight w:val="none"/>
        </w:rPr>
        <w:t>开标时递交投标文件的投标单位不足三家，则不得开标，本次招标失败。</w:t>
      </w:r>
    </w:p>
    <w:p w14:paraId="0812E91E">
      <w:pPr>
        <w:keepNext w:val="0"/>
        <w:keepLines w:val="0"/>
        <w:wordWrap w:val="0"/>
        <w:topLinePunct/>
        <w:spacing w:line="360" w:lineRule="auto"/>
        <w:ind w:right="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w:t>
      </w:r>
      <w:r>
        <w:rPr>
          <w:rFonts w:hint="eastAsia" w:ascii="仿宋" w:hAnsi="仿宋" w:eastAsia="仿宋" w:cs="仿宋"/>
          <w:color w:val="auto"/>
          <w:sz w:val="24"/>
          <w:highlight w:val="none"/>
        </w:rPr>
        <w:t>开标时，电子交易平台按开标时间自动提取所有投标文件。</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机构依托电子交易平台发起开始解密指令，投标人按照平台提示和招标文件的规定在半小时内完成在线解密。</w:t>
      </w:r>
    </w:p>
    <w:p w14:paraId="65F2D7F8">
      <w:pPr>
        <w:pStyle w:val="119"/>
        <w:wordWrap w:val="0"/>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bCs/>
          <w:kern w:val="21"/>
          <w:sz w:val="24"/>
          <w:szCs w:val="24"/>
          <w:highlight w:val="none"/>
          <w:lang w:val="en-US" w:eastAsia="zh-CN"/>
        </w:rPr>
        <w:t>23.3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087D5988">
      <w:pPr>
        <w:pStyle w:val="119"/>
        <w:wordWrap w:val="0"/>
        <w:spacing w:before="0" w:line="360" w:lineRule="auto"/>
        <w:ind w:left="0" w:firstLine="480" w:firstLineChars="2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23.4</w:t>
      </w:r>
      <w:r>
        <w:rPr>
          <w:rFonts w:hint="eastAsia" w:ascii="仿宋" w:hAnsi="仿宋" w:eastAsia="仿宋" w:cs="仿宋"/>
          <w:color w:val="auto"/>
          <w:sz w:val="24"/>
          <w:highlight w:val="none"/>
          <w:u w:val="single"/>
        </w:rPr>
        <w:t>本项目唱标顺序：</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报价技术商务同时开（先唱标）。</w:t>
      </w:r>
    </w:p>
    <w:p w14:paraId="6909D5AD">
      <w:pPr>
        <w:pStyle w:val="69"/>
        <w:wordWrap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24</w:t>
      </w:r>
      <w:r>
        <w:rPr>
          <w:rFonts w:hint="eastAsia" w:ascii="仿宋" w:hAnsi="仿宋" w:eastAsia="仿宋" w:cs="仿宋"/>
          <w:b/>
          <w:color w:val="auto"/>
          <w:szCs w:val="24"/>
          <w:highlight w:val="none"/>
        </w:rPr>
        <w:t>.信用信息查询</w:t>
      </w:r>
    </w:p>
    <w:p w14:paraId="13BBEE9A">
      <w:pPr>
        <w:pStyle w:val="69"/>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b w:val="0"/>
          <w:bCs/>
          <w:color w:val="auto"/>
          <w:szCs w:val="24"/>
          <w:highlight w:val="none"/>
          <w:lang w:val="en-US" w:eastAsia="zh-CN"/>
        </w:rPr>
        <w:t>24</w:t>
      </w:r>
      <w:r>
        <w:rPr>
          <w:rFonts w:hint="eastAsia" w:ascii="仿宋" w:hAnsi="仿宋" w:eastAsia="仿宋" w:cs="仿宋"/>
          <w:bCs/>
          <w:color w:val="auto"/>
          <w:kern w:val="0"/>
          <w:szCs w:val="24"/>
          <w:highlight w:val="none"/>
        </w:rPr>
        <w:t>.1</w:t>
      </w:r>
      <w:r>
        <w:rPr>
          <w:rFonts w:hint="eastAsia" w:ascii="仿宋" w:hAnsi="仿宋" w:eastAsia="仿宋" w:cs="仿宋"/>
          <w:color w:val="auto"/>
          <w:kern w:val="0"/>
          <w:szCs w:val="24"/>
          <w:highlight w:val="none"/>
        </w:rPr>
        <w:t>信用信息查询渠道及截止时间：采购代理机构将在资格审查时通过“信用中国”网站(www.creditchina.gov.cn)、中国政府采购网(www.ccgp.gov.cn)渠道查询投标人接受资格审查时的信用记录</w:t>
      </w:r>
      <w:r>
        <w:rPr>
          <w:rFonts w:hint="eastAsia" w:ascii="仿宋" w:hAnsi="仿宋" w:eastAsia="仿宋" w:cs="仿宋"/>
          <w:color w:val="auto"/>
          <w:kern w:val="0"/>
          <w:szCs w:val="24"/>
          <w:highlight w:val="none"/>
          <w:lang w:eastAsia="zh-CN"/>
        </w:rPr>
        <w:t>；</w:t>
      </w:r>
      <w:r>
        <w:rPr>
          <w:rFonts w:hint="eastAsia" w:ascii="仿宋" w:hAnsi="仿宋" w:eastAsia="仿宋" w:cs="仿宋"/>
          <w:sz w:val="24"/>
          <w:szCs w:val="24"/>
          <w:highlight w:val="none"/>
        </w:rPr>
        <w:t>通过“天眼查”</w:t>
      </w:r>
      <w:r>
        <w:rPr>
          <w:rFonts w:hint="eastAsia" w:ascii="仿宋" w:hAnsi="仿宋" w:eastAsia="仿宋" w:cs="仿宋"/>
          <w:color w:val="auto"/>
          <w:kern w:val="0"/>
          <w:szCs w:val="24"/>
          <w:highlight w:val="none"/>
        </w:rPr>
        <w:t>查询投标人</w:t>
      </w:r>
      <w:r>
        <w:rPr>
          <w:rFonts w:hint="eastAsia" w:ascii="仿宋" w:hAnsi="仿宋" w:eastAsia="仿宋" w:cs="仿宋"/>
          <w:color w:val="auto"/>
          <w:kern w:val="0"/>
          <w:szCs w:val="24"/>
          <w:highlight w:val="none"/>
          <w:lang w:val="en-US" w:eastAsia="zh-CN"/>
        </w:rPr>
        <w:t>是否存在“</w:t>
      </w:r>
      <w:r>
        <w:rPr>
          <w:rFonts w:hint="eastAsia" w:ascii="仿宋" w:hAnsi="仿宋" w:eastAsia="仿宋" w:cs="仿宋"/>
          <w:sz w:val="24"/>
          <w:szCs w:val="24"/>
          <w:highlight w:val="none"/>
        </w:rPr>
        <w:t>单位负责人为同一人或者存在直接控股、管理关系</w:t>
      </w:r>
      <w:r>
        <w:rPr>
          <w:rFonts w:hint="eastAsia" w:ascii="仿宋" w:hAnsi="仿宋" w:eastAsia="仿宋" w:cs="仿宋"/>
          <w:color w:val="auto"/>
          <w:kern w:val="0"/>
          <w:szCs w:val="24"/>
          <w:highlight w:val="none"/>
          <w:lang w:val="en-US" w:eastAsia="zh-CN"/>
        </w:rPr>
        <w:t>”。</w:t>
      </w:r>
    </w:p>
    <w:p w14:paraId="420805D1">
      <w:pPr>
        <w:pStyle w:val="69"/>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b w:val="0"/>
          <w:color w:val="auto"/>
          <w:szCs w:val="24"/>
          <w:highlight w:val="none"/>
          <w:lang w:val="en-US" w:eastAsia="zh-CN"/>
        </w:rPr>
        <w:t>24</w:t>
      </w:r>
      <w:r>
        <w:rPr>
          <w:rFonts w:hint="eastAsia" w:ascii="仿宋" w:hAnsi="仿宋" w:eastAsia="仿宋" w:cs="仿宋"/>
          <w:color w:val="auto"/>
          <w:kern w:val="0"/>
          <w:szCs w:val="24"/>
          <w:highlight w:val="none"/>
        </w:rPr>
        <w:t>.2信用信息查询记录和证据留存的具体方式：现场查询的投标人的信用记录、查询结果经确认后将与采购文件一起存档。</w:t>
      </w:r>
    </w:p>
    <w:p w14:paraId="0A52A7BD">
      <w:pPr>
        <w:pStyle w:val="69"/>
        <w:wordWrap w:val="0"/>
        <w:topLinePunct/>
        <w:spacing w:before="0" w:line="360" w:lineRule="auto"/>
        <w:ind w:firstLine="493" w:firstLineChars="0"/>
        <w:jc w:val="both"/>
        <w:outlineLvl w:val="2"/>
        <w:rPr>
          <w:rFonts w:hint="eastAsia" w:ascii="仿宋" w:hAnsi="仿宋" w:eastAsia="仿宋" w:cs="仿宋"/>
          <w:color w:val="auto"/>
          <w:sz w:val="24"/>
          <w:szCs w:val="24"/>
          <w:highlight w:val="none"/>
          <w:lang w:eastAsia="zh-CN"/>
        </w:rPr>
      </w:pPr>
      <w:r>
        <w:rPr>
          <w:rFonts w:hint="eastAsia" w:ascii="仿宋" w:hAnsi="仿宋" w:eastAsia="仿宋" w:cs="仿宋"/>
          <w:b w:val="0"/>
          <w:color w:val="auto"/>
          <w:szCs w:val="24"/>
          <w:highlight w:val="none"/>
          <w:lang w:val="en-US" w:eastAsia="zh-CN"/>
        </w:rPr>
        <w:t>24</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.3信用信息的使用规则：经查询列入失信被执行人名单、重大税收违法案件当事人名单、政府采购严重违法失信行为记录名单的投标人将被拒绝参与采购活动。经查询</w:t>
      </w:r>
      <w:r>
        <w:rPr>
          <w:rFonts w:hint="eastAsia" w:ascii="仿宋" w:hAnsi="仿宋" w:eastAsia="仿宋" w:cs="仿宋"/>
          <w:sz w:val="24"/>
          <w:szCs w:val="24"/>
          <w:highlight w:val="none"/>
        </w:rPr>
        <w:t>单位负责人为同一人或者存在直接控股、管理关系的不同单位，</w:t>
      </w:r>
      <w:r>
        <w:rPr>
          <w:rFonts w:hint="eastAsia" w:ascii="仿宋" w:hAnsi="仿宋" w:eastAsia="仿宋" w:cs="仿宋"/>
          <w:color w:val="auto"/>
          <w:kern w:val="0"/>
          <w:szCs w:val="24"/>
          <w:highlight w:val="none"/>
        </w:rPr>
        <w:t>将被拒绝参与</w:t>
      </w:r>
      <w:r>
        <w:rPr>
          <w:rFonts w:hint="eastAsia" w:ascii="仿宋" w:hAnsi="仿宋" w:eastAsia="仿宋" w:cs="仿宋"/>
          <w:sz w:val="24"/>
          <w:szCs w:val="24"/>
          <w:highlight w:val="none"/>
        </w:rPr>
        <w:t>同一合同项下的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w:t>
      </w:r>
    </w:p>
    <w:p w14:paraId="67194C1D">
      <w:pPr>
        <w:keepNext w:val="0"/>
        <w:keepLines w:val="0"/>
        <w:tabs>
          <w:tab w:val="left" w:pos="540"/>
        </w:tabs>
        <w:wordWrap w:val="0"/>
        <w:topLinePunct/>
        <w:autoSpaceDE w:val="0"/>
        <w:autoSpaceDN w:val="0"/>
        <w:adjustRightInd w:val="0"/>
        <w:spacing w:line="360" w:lineRule="auto"/>
        <w:ind w:firstLine="480" w:firstLineChars="200"/>
        <w:rPr>
          <w:rFonts w:hint="eastAsia" w:ascii="仿宋" w:hAnsi="仿宋" w:eastAsia="仿宋" w:cs="仿宋"/>
          <w:b/>
          <w:bCs/>
          <w:kern w:val="21"/>
          <w:sz w:val="24"/>
          <w:szCs w:val="24"/>
          <w:highlight w:val="none"/>
        </w:rPr>
      </w:pPr>
      <w:r>
        <w:rPr>
          <w:rFonts w:hint="eastAsia" w:ascii="仿宋" w:hAnsi="仿宋" w:eastAsia="仿宋" w:cs="仿宋"/>
          <w:b w:val="0"/>
          <w:color w:val="auto"/>
          <w:sz w:val="24"/>
          <w:szCs w:val="24"/>
          <w:highlight w:val="none"/>
        </w:rPr>
        <w:t>24.4联合体信用信息查询：两个以上的自然人、法人或者其他组织组成一个联合体，以一个供应商的身份共同参加采购活动的，应当对所有联合体成员进行信用信息查询，联合体成员存在信用信息不符合情形的，视同联合体存在信用信息不符合情形。</w:t>
      </w:r>
    </w:p>
    <w:p w14:paraId="4207F8AC">
      <w:pPr>
        <w:keepNext w:val="0"/>
        <w:keepLines w:val="0"/>
        <w:wordWrap w:val="0"/>
        <w:topLinePunct/>
        <w:spacing w:line="360" w:lineRule="auto"/>
        <w:jc w:val="center"/>
        <w:outlineLvl w:val="2"/>
        <w:rPr>
          <w:rFonts w:hint="eastAsia" w:ascii="仿宋" w:hAnsi="仿宋" w:eastAsia="仿宋" w:cs="仿宋"/>
          <w:b/>
          <w:sz w:val="28"/>
          <w:highlight w:val="none"/>
        </w:rPr>
      </w:pPr>
      <w:bookmarkStart w:id="35" w:name="_Toc16628"/>
      <w:r>
        <w:rPr>
          <w:rFonts w:hint="eastAsia" w:ascii="仿宋" w:hAnsi="仿宋" w:eastAsia="仿宋" w:cs="仿宋"/>
          <w:b/>
          <w:sz w:val="28"/>
          <w:highlight w:val="none"/>
        </w:rPr>
        <w:t>（</w:t>
      </w:r>
      <w:r>
        <w:rPr>
          <w:rFonts w:hint="eastAsia" w:ascii="仿宋" w:hAnsi="仿宋" w:eastAsia="仿宋" w:cs="仿宋"/>
          <w:b/>
          <w:sz w:val="28"/>
          <w:highlight w:val="none"/>
          <w:lang w:val="en-US" w:eastAsia="zh-CN"/>
        </w:rPr>
        <w:t>七</w:t>
      </w:r>
      <w:r>
        <w:rPr>
          <w:rFonts w:hint="eastAsia" w:ascii="仿宋" w:hAnsi="仿宋" w:eastAsia="仿宋" w:cs="仿宋"/>
          <w:b/>
          <w:sz w:val="28"/>
          <w:highlight w:val="none"/>
        </w:rPr>
        <w:t>）评标</w:t>
      </w:r>
      <w:bookmarkEnd w:id="35"/>
    </w:p>
    <w:p w14:paraId="278BB1E9">
      <w:pPr>
        <w:keepNext w:val="0"/>
        <w:keepLines w:val="0"/>
        <w:wordWrap w:val="0"/>
        <w:topLinePunct/>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.评标委员会与评标</w:t>
      </w:r>
    </w:p>
    <w:p w14:paraId="64E2FE52">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.1评标委员会由招标人依法组建，负责评标活动。</w:t>
      </w:r>
    </w:p>
    <w:p w14:paraId="14A1088E">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.2评标采用保密方式进行。</w:t>
      </w:r>
    </w:p>
    <w:p w14:paraId="1A9E8E0E">
      <w:pPr>
        <w:keepNext w:val="0"/>
        <w:keepLines w:val="0"/>
        <w:wordWrap w:val="0"/>
        <w:topLinePunct/>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.评标过程的保密</w:t>
      </w:r>
    </w:p>
    <w:p w14:paraId="45C3863A">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.1开标后，直至授予中标人合同为止，凡属于对投标文件的审查、澄清、评价和比较的有关资料以及候选中标人的推荐情况，与评标有关的其他任何情况均严格保密。</w:t>
      </w:r>
    </w:p>
    <w:p w14:paraId="5B3ED42C">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.2在投标文件的评审和比较、候选中标人推荐以及授予合同的过程中，投标人向招标人和评标委员会施加影响的任何行为，都将会导致其投标被拒绝。</w:t>
      </w:r>
    </w:p>
    <w:p w14:paraId="747FEE94">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.3中标人确定后，招标人不对未中标人就评标过程以及未能中标原因作出任何解释。未中标人不得向评标委员会组成人员或其他有关人员索问评标过程的情况和材料。</w:t>
      </w:r>
    </w:p>
    <w:p w14:paraId="58DE42A0">
      <w:pPr>
        <w:keepNext w:val="0"/>
        <w:keepLines w:val="0"/>
        <w:wordWrap w:val="0"/>
        <w:topLinePunct/>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27.投标文件的初步评审</w:t>
      </w:r>
    </w:p>
    <w:p w14:paraId="61C762DD">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27.1开标后，评标委员会首先对投标人的投标文件进行资格审查和符合性审查，初审未通过的投标文件不进入后续评审。</w:t>
      </w:r>
    </w:p>
    <w:p w14:paraId="68EA9399">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27.2评标委员会将评定每份投标文件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14:paraId="396204C2">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27.3如果投标文件实质上不响应招标文件的各项要求，评标委员会将予以拒绝，并且不允许投标人通过修改或撤销其不符合要求的差异或保留，使之成为具有响应性的投标。</w:t>
      </w:r>
    </w:p>
    <w:p w14:paraId="2D11BB3A">
      <w:pPr>
        <w:keepNext w:val="0"/>
        <w:keepLines w:val="0"/>
        <w:wordWrap w:val="0"/>
        <w:topLinePunct/>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28.</w:t>
      </w:r>
      <w:r>
        <w:rPr>
          <w:rFonts w:hint="eastAsia" w:ascii="仿宋" w:hAnsi="仿宋" w:eastAsia="仿宋" w:cs="仿宋"/>
          <w:b/>
          <w:bCs/>
          <w:color w:val="auto"/>
          <w:sz w:val="24"/>
          <w:szCs w:val="24"/>
          <w:highlight w:val="none"/>
        </w:rPr>
        <w:t>澄清问题的形式</w:t>
      </w:r>
      <w:r>
        <w:rPr>
          <w:rFonts w:hint="eastAsia" w:ascii="仿宋" w:hAnsi="仿宋" w:eastAsia="仿宋" w:cs="仿宋"/>
          <w:b/>
          <w:bCs/>
          <w:color w:val="auto"/>
          <w:sz w:val="24"/>
          <w:szCs w:val="24"/>
          <w:highlight w:val="none"/>
          <w:lang w:val="en-US" w:eastAsia="zh-CN"/>
        </w:rPr>
        <w:t>与</w:t>
      </w:r>
      <w:r>
        <w:rPr>
          <w:rFonts w:hint="eastAsia" w:ascii="仿宋" w:hAnsi="仿宋" w:eastAsia="仿宋" w:cs="仿宋"/>
          <w:b/>
          <w:sz w:val="24"/>
          <w:szCs w:val="24"/>
          <w:highlight w:val="none"/>
        </w:rPr>
        <w:t>投标文件计算错误的修正</w:t>
      </w:r>
    </w:p>
    <w:p w14:paraId="63AD7BF3">
      <w:pPr>
        <w:keepNext w:val="0"/>
        <w:keepLines w:val="0"/>
        <w:wordWrap w:val="0"/>
        <w:topLinePunct/>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见评标办法。</w:t>
      </w:r>
    </w:p>
    <w:p w14:paraId="4C882B2F">
      <w:pPr>
        <w:keepNext w:val="0"/>
        <w:keepLines w:val="0"/>
        <w:wordWrap w:val="0"/>
        <w:topLinePunct/>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29.投标文件的评审、比较和否决</w:t>
      </w:r>
    </w:p>
    <w:p w14:paraId="12F536A9">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29.1评标委员会将按照本须知规定，仅对在实质上响应招标文件要求的投标文件进行评估和比较。</w:t>
      </w:r>
    </w:p>
    <w:p w14:paraId="44981A10">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29.2在评审过程中，评标委员会可以书面形式要求投标人就投标文件中含义不明确的内容进行书面说明并提供相关材料。</w:t>
      </w:r>
    </w:p>
    <w:p w14:paraId="6D68A5C1">
      <w:pPr>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29.3评标委员会依据本招标文件第六</w:t>
      </w:r>
      <w:r>
        <w:rPr>
          <w:rFonts w:hint="eastAsia" w:ascii="仿宋" w:hAnsi="仿宋" w:eastAsia="仿宋" w:cs="仿宋"/>
          <w:sz w:val="24"/>
          <w:szCs w:val="24"/>
          <w:highlight w:val="none"/>
          <w:lang w:val="en-US" w:eastAsia="zh-CN"/>
        </w:rPr>
        <w:t>部分</w:t>
      </w:r>
      <w:r>
        <w:rPr>
          <w:rFonts w:hint="eastAsia" w:ascii="仿宋" w:hAnsi="仿宋" w:eastAsia="仿宋" w:cs="仿宋"/>
          <w:sz w:val="24"/>
          <w:szCs w:val="24"/>
          <w:highlight w:val="none"/>
        </w:rPr>
        <w:t>载明的评标办法的规定，对投标文件进行评审和比较，向招标人提出书面评标报告，标明投标人综合得分排列顺序。</w:t>
      </w:r>
    </w:p>
    <w:p w14:paraId="1B27AAF0">
      <w:pPr>
        <w:snapToGrid w:val="0"/>
        <w:spacing w:line="360" w:lineRule="auto"/>
        <w:jc w:val="center"/>
        <w:outlineLvl w:val="1"/>
        <w:rPr>
          <w:rFonts w:hint="eastAsia" w:ascii="仿宋" w:hAnsi="仿宋" w:eastAsia="仿宋" w:cs="仿宋"/>
          <w:b/>
          <w:bCs w:val="0"/>
          <w:color w:val="auto"/>
          <w:kern w:val="0"/>
          <w:sz w:val="28"/>
          <w:szCs w:val="28"/>
          <w:highlight w:val="none"/>
        </w:rPr>
      </w:pPr>
      <w:r>
        <w:rPr>
          <w:rFonts w:hint="eastAsia" w:ascii="仿宋" w:hAnsi="仿宋" w:eastAsia="仿宋" w:cs="仿宋"/>
          <w:b/>
          <w:kern w:val="0"/>
          <w:sz w:val="28"/>
          <w:szCs w:val="28"/>
          <w:highlight w:val="none"/>
        </w:rPr>
        <w:t>（</w:t>
      </w:r>
      <w:r>
        <w:rPr>
          <w:rFonts w:hint="eastAsia" w:ascii="仿宋" w:hAnsi="仿宋" w:eastAsia="仿宋" w:cs="仿宋"/>
          <w:b/>
          <w:kern w:val="0"/>
          <w:sz w:val="28"/>
          <w:szCs w:val="28"/>
          <w:highlight w:val="none"/>
          <w:lang w:eastAsia="zh-CN"/>
        </w:rPr>
        <w:t>八</w:t>
      </w:r>
      <w:r>
        <w:rPr>
          <w:rFonts w:hint="eastAsia" w:ascii="仿宋" w:hAnsi="仿宋" w:eastAsia="仿宋" w:cs="仿宋"/>
          <w:b/>
          <w:kern w:val="0"/>
          <w:sz w:val="28"/>
          <w:szCs w:val="28"/>
          <w:highlight w:val="none"/>
        </w:rPr>
        <w:t>）</w:t>
      </w:r>
      <w:r>
        <w:rPr>
          <w:rFonts w:hint="eastAsia" w:ascii="仿宋" w:hAnsi="仿宋" w:eastAsia="仿宋" w:cs="仿宋"/>
          <w:b/>
          <w:bCs w:val="0"/>
          <w:color w:val="auto"/>
          <w:kern w:val="0"/>
          <w:sz w:val="28"/>
          <w:szCs w:val="28"/>
          <w:highlight w:val="none"/>
        </w:rPr>
        <w:t>电子交易活动的中止</w:t>
      </w:r>
    </w:p>
    <w:p w14:paraId="766EC34D">
      <w:pPr>
        <w:pStyle w:val="69"/>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lang w:val="en-US" w:eastAsia="zh-CN"/>
        </w:rPr>
        <w:t>30</w:t>
      </w:r>
      <w:r>
        <w:rPr>
          <w:rFonts w:hint="eastAsia" w:ascii="仿宋" w:hAnsi="仿宋" w:eastAsia="仿宋" w:cs="仿宋"/>
          <w:b w:val="0"/>
          <w:snapToGrid w:val="0"/>
          <w:color w:val="auto"/>
          <w:highlight w:val="none"/>
        </w:rPr>
        <w:t>.电子交易活动的中止。采购过程中出现以下情形，导致电子交易平台无法正常运行，或者无法保证电子交易的公平、公正和安全时，</w:t>
      </w:r>
      <w:r>
        <w:rPr>
          <w:rFonts w:hint="eastAsia" w:ascii="仿宋" w:hAnsi="仿宋" w:eastAsia="仿宋" w:cs="仿宋"/>
          <w:b w:val="0"/>
          <w:snapToGrid w:val="0"/>
          <w:color w:val="auto"/>
          <w:highlight w:val="none"/>
          <w:lang w:eastAsia="zh-CN"/>
        </w:rPr>
        <w:t>招标代理</w:t>
      </w:r>
      <w:r>
        <w:rPr>
          <w:rFonts w:hint="eastAsia" w:ascii="仿宋" w:hAnsi="仿宋" w:eastAsia="仿宋" w:cs="仿宋"/>
          <w:b w:val="0"/>
          <w:snapToGrid w:val="0"/>
          <w:color w:val="auto"/>
          <w:highlight w:val="none"/>
        </w:rPr>
        <w:t>机构可中止电子交易活动：</w:t>
      </w:r>
    </w:p>
    <w:p w14:paraId="5E7113F2">
      <w:pPr>
        <w:pStyle w:val="69"/>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（1）电子交易平台发生故障而无法登录访问的；</w:t>
      </w:r>
    </w:p>
    <w:p w14:paraId="4F1BAF58">
      <w:pPr>
        <w:pStyle w:val="69"/>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（2）电子交易平台应用或数据库出现错误，不能进行正常操作的；</w:t>
      </w:r>
    </w:p>
    <w:p w14:paraId="2807269D">
      <w:pPr>
        <w:pStyle w:val="69"/>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（3）电子交易平台发现严重安全漏洞，有潜在泄密危险的；</w:t>
      </w:r>
    </w:p>
    <w:p w14:paraId="70060153">
      <w:pPr>
        <w:pStyle w:val="69"/>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（4）病毒发作导致不能进行正常操作的；</w:t>
      </w:r>
    </w:p>
    <w:p w14:paraId="6EAB0C40">
      <w:pPr>
        <w:pStyle w:val="69"/>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（5）其他无法保证电子交易的公平、公正和安全的情况。</w:t>
      </w:r>
    </w:p>
    <w:p w14:paraId="4550BECD">
      <w:pPr>
        <w:pStyle w:val="69"/>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lang w:val="en-US" w:eastAsia="zh-CN"/>
        </w:rPr>
        <w:t>31</w:t>
      </w:r>
      <w:r>
        <w:rPr>
          <w:rFonts w:hint="eastAsia" w:ascii="仿宋" w:hAnsi="仿宋" w:eastAsia="仿宋" w:cs="仿宋"/>
          <w:b w:val="0"/>
          <w:snapToGrid w:val="0"/>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70D1BD0">
      <w:pPr>
        <w:pStyle w:val="25"/>
        <w:keepNext w:val="0"/>
        <w:keepLine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wordWrap w:val="0"/>
        <w:topLinePunct/>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w:t>
      </w:r>
      <w:r>
        <w:rPr>
          <w:rFonts w:hint="eastAsia" w:ascii="仿宋" w:hAnsi="仿宋" w:eastAsia="仿宋" w:cs="仿宋"/>
          <w:b/>
          <w:sz w:val="28"/>
          <w:szCs w:val="28"/>
          <w:highlight w:val="none"/>
          <w:lang w:val="en-US" w:eastAsia="zh-CN"/>
        </w:rPr>
        <w:t>九</w:t>
      </w:r>
      <w:r>
        <w:rPr>
          <w:rFonts w:hint="eastAsia" w:ascii="仿宋" w:hAnsi="仿宋" w:eastAsia="仿宋" w:cs="仿宋"/>
          <w:b/>
          <w:sz w:val="28"/>
          <w:szCs w:val="28"/>
          <w:highlight w:val="none"/>
        </w:rPr>
        <w:t>）合同签订</w:t>
      </w:r>
    </w:p>
    <w:p w14:paraId="47E9CEB7">
      <w:pPr>
        <w:keepNext w:val="0"/>
        <w:keepLines w:val="0"/>
        <w:wordWrap w:val="0"/>
        <w:topLinePunct/>
        <w:snapToGrid w:val="0"/>
        <w:spacing w:line="360" w:lineRule="auto"/>
        <w:ind w:right="-21" w:rightChars="-10"/>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.定标</w:t>
      </w:r>
    </w:p>
    <w:p w14:paraId="0E2CE64D">
      <w:pPr>
        <w:pStyle w:val="20"/>
        <w:keepNext w:val="0"/>
        <w:keepLines w:val="0"/>
        <w:wordWrap w:val="0"/>
        <w:topLinePunct/>
        <w:snapToGrid w:val="0"/>
        <w:spacing w:line="400" w:lineRule="exact"/>
        <w:ind w:right="11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定标由招标人负责，原则上应坚持评审小组推荐的第一中标候选人为中标人。</w:t>
      </w:r>
    </w:p>
    <w:p w14:paraId="0CEFD981">
      <w:pPr>
        <w:keepNext w:val="0"/>
        <w:keepLines w:val="0"/>
        <w:widowControl/>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但如出现下列情形之一的，招标人将重新组织招标或按中标候选人名单排序依次确定其他中标候选人为中标人：</w:t>
      </w:r>
    </w:p>
    <w:p w14:paraId="36D51B3D">
      <w:pPr>
        <w:keepNext w:val="0"/>
        <w:keepLines w:val="0"/>
        <w:widowControl/>
        <w:numPr>
          <w:ilvl w:val="0"/>
          <w:numId w:val="0"/>
        </w:numPr>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sz w:val="24"/>
          <w:szCs w:val="24"/>
          <w:highlight w:val="none"/>
        </w:rPr>
        <w:t>排名第一的中标候选人放弃中标、因不可抗力不能履行合同、不按照招标文件要求提交履约保证金的、</w:t>
      </w:r>
      <w:r>
        <w:rPr>
          <w:rFonts w:hint="eastAsia" w:ascii="仿宋" w:hAnsi="仿宋" w:eastAsia="仿宋" w:cs="仿宋"/>
          <w:sz w:val="24"/>
          <w:highlight w:val="none"/>
          <w:lang w:val="zh-CN"/>
        </w:rPr>
        <w:t>拒绝签订合同的</w:t>
      </w:r>
      <w:r>
        <w:rPr>
          <w:rFonts w:hint="eastAsia" w:ascii="仿宋" w:hAnsi="仿宋" w:eastAsia="仿宋" w:cs="仿宋"/>
          <w:sz w:val="24"/>
          <w:szCs w:val="24"/>
          <w:highlight w:val="none"/>
        </w:rPr>
        <w:t>；</w:t>
      </w:r>
    </w:p>
    <w:p w14:paraId="440FECBE">
      <w:pPr>
        <w:pStyle w:val="20"/>
        <w:wordWrap w:val="0"/>
        <w:snapToGrid w:val="0"/>
        <w:spacing w:after="0" w:line="360" w:lineRule="auto"/>
        <w:ind w:right="111" w:firstLine="480" w:firstLineChars="200"/>
        <w:rPr>
          <w:rFonts w:hint="eastAsia" w:ascii="仿宋" w:hAnsi="仿宋" w:eastAsia="仿宋" w:cs="仿宋"/>
          <w:sz w:val="24"/>
          <w:szCs w:val="24"/>
          <w:highlight w:val="none"/>
          <w:lang w:val="zh-CN"/>
        </w:rPr>
      </w:pPr>
      <w:r>
        <w:rPr>
          <w:rFonts w:hint="eastAsia" w:ascii="仿宋" w:hAnsi="仿宋" w:eastAsia="仿宋" w:cs="仿宋"/>
          <w:kern w:val="2"/>
          <w:sz w:val="24"/>
          <w:szCs w:val="24"/>
          <w:highlight w:val="none"/>
          <w:lang w:val="en-US" w:eastAsia="zh-CN" w:bidi="ar-SA"/>
        </w:rPr>
        <w:t>（2）</w:t>
      </w:r>
      <w:r>
        <w:rPr>
          <w:rFonts w:hint="eastAsia" w:ascii="仿宋" w:hAnsi="仿宋" w:eastAsia="仿宋" w:cs="仿宋"/>
          <w:sz w:val="24"/>
          <w:szCs w:val="24"/>
          <w:highlight w:val="none"/>
        </w:rPr>
        <w:t>异议成立的、被查实存在影响中标结果的违法行为等情形，不符合中标条件的。</w:t>
      </w:r>
    </w:p>
    <w:p w14:paraId="56DD5650">
      <w:pPr>
        <w:pStyle w:val="20"/>
        <w:wordWrap w:val="0"/>
        <w:snapToGrid w:val="0"/>
        <w:spacing w:after="0" w:line="360" w:lineRule="auto"/>
        <w:ind w:right="113"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第一</w:t>
      </w:r>
      <w:r>
        <w:rPr>
          <w:rFonts w:hint="eastAsia" w:ascii="仿宋" w:hAnsi="仿宋" w:eastAsia="仿宋" w:cs="仿宋"/>
          <w:sz w:val="24"/>
          <w:szCs w:val="24"/>
          <w:highlight w:val="none"/>
          <w:lang w:val="zh-CN"/>
        </w:rPr>
        <w:t>中标候选人的经营、财务状况发生较大变化或者存在违法行为，招标人认为可能影响其履约能力的，应当在发出中标通知书前由原评标委员会按照招标文件规定的标准和方法审查确认。</w:t>
      </w:r>
    </w:p>
    <w:p w14:paraId="3DFAF920">
      <w:pPr>
        <w:keepNext w:val="0"/>
        <w:keepLines w:val="0"/>
        <w:wordWrap w:val="0"/>
        <w:topLinePunct/>
        <w:spacing w:line="360" w:lineRule="auto"/>
        <w:ind w:right="-21" w:rightChars="-10"/>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.中标通知书</w:t>
      </w:r>
    </w:p>
    <w:p w14:paraId="308B8981">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.1中标人确定后，招标代理机构将以书面形式发出《中标通知书》。《中标通知书》一经发出即发生法律效力。</w:t>
      </w:r>
    </w:p>
    <w:p w14:paraId="75EC2BC0">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.2《中标通知书》将作为签订合同的依据。</w:t>
      </w:r>
    </w:p>
    <w:p w14:paraId="763D1117">
      <w:pPr>
        <w:keepNext w:val="0"/>
        <w:keepLines w:val="0"/>
        <w:wordWrap w:val="0"/>
        <w:topLinePunct/>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3</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.签订合同</w:t>
      </w:r>
    </w:p>
    <w:p w14:paraId="128BF025">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.1招标人和中标人应当自中标通知书发出之日起30日内签订合同。</w:t>
      </w:r>
    </w:p>
    <w:p w14:paraId="5EF55CB1">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.2招标文件、中标人的投标文件及其澄清文件等，均为签订合同的依据。</w:t>
      </w:r>
    </w:p>
    <w:p w14:paraId="1EE51056">
      <w:pPr>
        <w:keepNext w:val="0"/>
        <w:keepLines w:val="0"/>
        <w:wordWrap w:val="0"/>
        <w:topLinePunct/>
        <w:snapToGrid w:val="0"/>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.3签订中标协议后即为招标结束。</w:t>
      </w:r>
    </w:p>
    <w:p w14:paraId="4858567F">
      <w:pPr>
        <w:keepNext w:val="0"/>
        <w:keepLines w:val="0"/>
        <w:wordWrap w:val="0"/>
        <w:topLinePunct/>
        <w:snapToGrid w:val="0"/>
        <w:spacing w:line="360" w:lineRule="auto"/>
        <w:ind w:right="-21" w:rightChars="-10"/>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.履约保证金</w:t>
      </w:r>
    </w:p>
    <w:p w14:paraId="662DCDC0">
      <w:pPr>
        <w:keepNext w:val="0"/>
        <w:keepLines w:val="0"/>
        <w:wordWrap w:val="0"/>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见须知前附表。</w:t>
      </w:r>
    </w:p>
    <w:p w14:paraId="4D9ACD08">
      <w:pPr>
        <w:topLinePunct/>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lang w:val="en-US" w:eastAsia="zh-CN"/>
        </w:rPr>
        <w:t>36</w:t>
      </w:r>
      <w:r>
        <w:rPr>
          <w:rFonts w:hint="eastAsia" w:ascii="仿宋" w:hAnsi="仿宋" w:eastAsia="仿宋" w:cs="仿宋"/>
          <w:b/>
          <w:sz w:val="24"/>
          <w:szCs w:val="24"/>
          <w:highlight w:val="none"/>
        </w:rPr>
        <w:t xml:space="preserve">. </w:t>
      </w:r>
      <w:r>
        <w:rPr>
          <w:rFonts w:hint="eastAsia" w:ascii="仿宋" w:hAnsi="仿宋" w:eastAsia="仿宋" w:cs="仿宋"/>
          <w:b/>
          <w:color w:val="auto"/>
          <w:sz w:val="24"/>
          <w:highlight w:val="none"/>
        </w:rPr>
        <w:t>询问、质疑、投诉</w:t>
      </w:r>
    </w:p>
    <w:p w14:paraId="7B47037C">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en-US" w:eastAsia="zh-CN"/>
        </w:rPr>
        <w:t>36</w:t>
      </w:r>
      <w:r>
        <w:rPr>
          <w:rFonts w:ascii="仿宋" w:hAnsi="仿宋" w:eastAsia="仿宋" w:cs="微软雅黑"/>
          <w:kern w:val="0"/>
          <w:sz w:val="24"/>
          <w:highlight w:val="none"/>
          <w:lang w:val="zh-CN"/>
        </w:rPr>
        <w:t>.1询问</w:t>
      </w:r>
    </w:p>
    <w:p w14:paraId="6E96B97A">
      <w:pPr>
        <w:autoSpaceDE w:val="0"/>
        <w:autoSpaceDN w:val="0"/>
        <w:spacing w:line="360" w:lineRule="auto"/>
        <w:ind w:firstLine="480" w:firstLineChars="200"/>
        <w:jc w:val="left"/>
        <w:rPr>
          <w:rFonts w:ascii="仿宋" w:hAnsi="仿宋" w:eastAsia="仿宋" w:cs="微软雅黑"/>
          <w:kern w:val="0"/>
          <w:sz w:val="24"/>
          <w:highlight w:val="none"/>
        </w:rPr>
      </w:pPr>
      <w:r>
        <w:rPr>
          <w:rFonts w:hint="eastAsia" w:ascii="仿宋" w:hAnsi="仿宋" w:eastAsia="仿宋" w:cs="微软雅黑"/>
          <w:kern w:val="0"/>
          <w:sz w:val="24"/>
          <w:highlight w:val="none"/>
          <w:lang w:val="zh-CN"/>
        </w:rPr>
        <w:t>投标人对采购活动事项有疑问的，可以提出询问，招标人或者采购代理机构应当在</w:t>
      </w:r>
      <w:r>
        <w:rPr>
          <w:rFonts w:ascii="仿宋" w:hAnsi="仿宋" w:eastAsia="仿宋" w:cs="微软雅黑"/>
          <w:kern w:val="0"/>
          <w:sz w:val="24"/>
          <w:highlight w:val="none"/>
          <w:lang w:val="zh-CN"/>
        </w:rPr>
        <w:t>3个工作日内对</w:t>
      </w:r>
      <w:r>
        <w:rPr>
          <w:rFonts w:hint="eastAsia" w:ascii="仿宋" w:hAnsi="仿宋" w:eastAsia="仿宋" w:cs="微软雅黑"/>
          <w:kern w:val="0"/>
          <w:sz w:val="24"/>
          <w:highlight w:val="none"/>
          <w:lang w:val="zh-CN"/>
        </w:rPr>
        <w:t>投标人依法提出的询问作出答复，但答复的内容不得涉及商业秘密。投标人提出的询问超出招标人对采购代理机构委托授权范围的，采购代理机构应当告知投标人向招标人提出。</w:t>
      </w:r>
      <w:r>
        <w:rPr>
          <w:rFonts w:hint="eastAsia" w:ascii="仿宋" w:hAnsi="仿宋" w:eastAsia="仿宋" w:cs="仿宋"/>
          <w:kern w:val="0"/>
          <w:sz w:val="24"/>
          <w:szCs w:val="24"/>
          <w:highlight w:val="none"/>
        </w:rPr>
        <w:t>询问提疑截止时间详见须知前附表。</w:t>
      </w:r>
    </w:p>
    <w:p w14:paraId="54CD5659">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en-US" w:eastAsia="zh-CN"/>
        </w:rPr>
        <w:t>36</w:t>
      </w:r>
      <w:r>
        <w:rPr>
          <w:rFonts w:ascii="仿宋" w:hAnsi="仿宋" w:eastAsia="仿宋" w:cs="微软雅黑"/>
          <w:kern w:val="0"/>
          <w:sz w:val="24"/>
          <w:highlight w:val="none"/>
          <w:lang w:val="zh-CN"/>
        </w:rPr>
        <w:t>.2质疑</w:t>
      </w:r>
    </w:p>
    <w:p w14:paraId="7CEE726C">
      <w:pPr>
        <w:pStyle w:val="25"/>
        <w:spacing w:line="360" w:lineRule="auto"/>
        <w:ind w:firstLine="480" w:firstLineChars="200"/>
        <w:rPr>
          <w:rFonts w:ascii="仿宋" w:hAnsi="仿宋" w:eastAsia="仿宋"/>
          <w:sz w:val="24"/>
          <w:highlight w:val="none"/>
        </w:rPr>
      </w:pPr>
      <w:r>
        <w:rPr>
          <w:rFonts w:hint="eastAsia" w:ascii="仿宋" w:hAnsi="仿宋" w:eastAsia="仿宋" w:cs="微软雅黑"/>
          <w:kern w:val="0"/>
          <w:sz w:val="24"/>
          <w:highlight w:val="none"/>
          <w:lang w:val="en-US" w:eastAsia="zh-CN"/>
        </w:rPr>
        <w:t>36</w:t>
      </w:r>
      <w:r>
        <w:rPr>
          <w:rFonts w:ascii="仿宋" w:hAnsi="仿宋" w:eastAsia="仿宋" w:cs="微软雅黑"/>
          <w:kern w:val="0"/>
          <w:sz w:val="24"/>
          <w:highlight w:val="none"/>
          <w:lang w:val="zh-CN"/>
        </w:rPr>
        <w:t>.2</w:t>
      </w:r>
      <w:r>
        <w:rPr>
          <w:rFonts w:ascii="仿宋" w:hAnsi="仿宋" w:eastAsia="仿宋"/>
          <w:sz w:val="24"/>
          <w:highlight w:val="none"/>
        </w:rPr>
        <w:t>.1提出质疑的</w:t>
      </w:r>
      <w:r>
        <w:rPr>
          <w:rFonts w:hint="eastAsia" w:ascii="仿宋" w:hAnsi="仿宋" w:eastAsia="仿宋"/>
          <w:sz w:val="24"/>
          <w:highlight w:val="none"/>
          <w:lang w:eastAsia="zh-CN"/>
        </w:rPr>
        <w:t>投标人</w:t>
      </w:r>
      <w:r>
        <w:rPr>
          <w:rFonts w:ascii="仿宋" w:hAnsi="仿宋" w:eastAsia="仿宋"/>
          <w:sz w:val="24"/>
          <w:highlight w:val="none"/>
        </w:rPr>
        <w:t>应当是参与所质疑项目采购活动的</w:t>
      </w:r>
      <w:r>
        <w:rPr>
          <w:rFonts w:hint="eastAsia" w:ascii="仿宋" w:hAnsi="仿宋" w:eastAsia="仿宋"/>
          <w:sz w:val="24"/>
          <w:highlight w:val="none"/>
          <w:lang w:eastAsia="zh-CN"/>
        </w:rPr>
        <w:t>投标人</w:t>
      </w:r>
      <w:r>
        <w:rPr>
          <w:rFonts w:ascii="仿宋" w:hAnsi="仿宋" w:eastAsia="仿宋"/>
          <w:sz w:val="24"/>
          <w:highlight w:val="none"/>
        </w:rPr>
        <w:t>。潜在</w:t>
      </w:r>
      <w:r>
        <w:rPr>
          <w:rFonts w:hint="eastAsia" w:ascii="仿宋" w:hAnsi="仿宋" w:eastAsia="仿宋"/>
          <w:sz w:val="24"/>
          <w:highlight w:val="none"/>
          <w:lang w:eastAsia="zh-CN"/>
        </w:rPr>
        <w:t>投标人</w:t>
      </w:r>
      <w:r>
        <w:rPr>
          <w:rFonts w:ascii="仿宋" w:hAnsi="仿宋" w:eastAsia="仿宋"/>
          <w:sz w:val="24"/>
          <w:highlight w:val="none"/>
        </w:rPr>
        <w:t>已依法获取其可质疑的</w:t>
      </w:r>
      <w:r>
        <w:rPr>
          <w:rFonts w:hint="eastAsia" w:ascii="仿宋" w:hAnsi="仿宋" w:eastAsia="仿宋"/>
          <w:sz w:val="24"/>
          <w:highlight w:val="none"/>
        </w:rPr>
        <w:t>采购文件</w:t>
      </w:r>
      <w:r>
        <w:rPr>
          <w:rFonts w:ascii="仿宋" w:hAnsi="仿宋" w:eastAsia="仿宋"/>
          <w:sz w:val="24"/>
          <w:highlight w:val="none"/>
        </w:rPr>
        <w:t>的，可以对该文件提出质疑。</w:t>
      </w:r>
    </w:p>
    <w:p w14:paraId="0DB90D0B">
      <w:pPr>
        <w:pStyle w:val="25"/>
        <w:spacing w:line="360" w:lineRule="auto"/>
        <w:ind w:firstLine="480" w:firstLineChars="200"/>
        <w:rPr>
          <w:rFonts w:ascii="仿宋" w:hAnsi="仿宋" w:eastAsia="仿宋"/>
          <w:sz w:val="24"/>
          <w:highlight w:val="none"/>
        </w:rPr>
      </w:pPr>
      <w:r>
        <w:rPr>
          <w:rFonts w:hint="eastAsia" w:ascii="仿宋" w:hAnsi="仿宋" w:eastAsia="仿宋" w:cs="微软雅黑"/>
          <w:kern w:val="0"/>
          <w:sz w:val="24"/>
          <w:highlight w:val="none"/>
          <w:lang w:val="en-US" w:eastAsia="zh-CN"/>
        </w:rPr>
        <w:t>36</w:t>
      </w:r>
      <w:r>
        <w:rPr>
          <w:rFonts w:ascii="仿宋" w:hAnsi="仿宋" w:eastAsia="仿宋" w:cs="微软雅黑"/>
          <w:kern w:val="0"/>
          <w:sz w:val="24"/>
          <w:highlight w:val="none"/>
          <w:lang w:val="zh-CN"/>
        </w:rPr>
        <w:t>.2</w:t>
      </w:r>
      <w:r>
        <w:rPr>
          <w:rFonts w:ascii="仿宋" w:hAnsi="仿宋" w:eastAsia="仿宋"/>
          <w:sz w:val="24"/>
          <w:highlight w:val="none"/>
        </w:rPr>
        <w:t>.2</w:t>
      </w:r>
      <w:r>
        <w:rPr>
          <w:rFonts w:hint="eastAsia" w:ascii="仿宋" w:hAnsi="仿宋" w:eastAsia="仿宋"/>
          <w:sz w:val="24"/>
          <w:highlight w:val="none"/>
          <w:lang w:eastAsia="zh-CN"/>
        </w:rPr>
        <w:t>投标人</w:t>
      </w:r>
      <w:r>
        <w:rPr>
          <w:rFonts w:ascii="仿宋" w:hAnsi="仿宋" w:eastAsia="仿宋"/>
          <w:sz w:val="24"/>
          <w:highlight w:val="none"/>
        </w:rPr>
        <w:t>认为</w:t>
      </w:r>
      <w:r>
        <w:rPr>
          <w:rFonts w:hint="eastAsia" w:ascii="仿宋" w:hAnsi="仿宋" w:eastAsia="仿宋"/>
          <w:sz w:val="24"/>
          <w:highlight w:val="none"/>
        </w:rPr>
        <w:t>采购文件</w:t>
      </w:r>
      <w:r>
        <w:rPr>
          <w:rFonts w:ascii="仿宋" w:hAnsi="仿宋" w:eastAsia="仿宋"/>
          <w:sz w:val="24"/>
          <w:highlight w:val="none"/>
        </w:rPr>
        <w:t>、采购过程和</w:t>
      </w:r>
      <w:r>
        <w:rPr>
          <w:rFonts w:hint="eastAsia" w:ascii="仿宋" w:hAnsi="仿宋" w:eastAsia="仿宋"/>
          <w:sz w:val="24"/>
          <w:highlight w:val="none"/>
        </w:rPr>
        <w:t>成交</w:t>
      </w:r>
      <w:r>
        <w:rPr>
          <w:rFonts w:ascii="仿宋" w:hAnsi="仿宋" w:eastAsia="仿宋"/>
          <w:sz w:val="24"/>
          <w:highlight w:val="none"/>
        </w:rPr>
        <w:t>结果使自己的权益受到损害的，可以在知道或者应知其权益受到损害之日起七个工作日内，以书面形式向</w:t>
      </w:r>
      <w:r>
        <w:rPr>
          <w:rFonts w:hint="eastAsia" w:ascii="仿宋" w:hAnsi="仿宋" w:eastAsia="仿宋"/>
          <w:sz w:val="24"/>
          <w:highlight w:val="none"/>
          <w:lang w:eastAsia="zh-CN"/>
        </w:rPr>
        <w:t>招标人</w:t>
      </w:r>
      <w:r>
        <w:rPr>
          <w:rFonts w:ascii="仿宋" w:hAnsi="仿宋" w:eastAsia="仿宋"/>
          <w:sz w:val="24"/>
          <w:highlight w:val="none"/>
        </w:rPr>
        <w:t>或者</w:t>
      </w:r>
      <w:r>
        <w:rPr>
          <w:rFonts w:hint="eastAsia" w:ascii="仿宋" w:hAnsi="仿宋" w:eastAsia="仿宋"/>
          <w:sz w:val="24"/>
          <w:highlight w:val="none"/>
        </w:rPr>
        <w:t>采购代理机构</w:t>
      </w:r>
      <w:r>
        <w:rPr>
          <w:rFonts w:ascii="仿宋" w:hAnsi="仿宋" w:eastAsia="仿宋"/>
          <w:sz w:val="24"/>
          <w:highlight w:val="none"/>
        </w:rPr>
        <w:t>提出质疑，否则，</w:t>
      </w:r>
      <w:r>
        <w:rPr>
          <w:rFonts w:hint="eastAsia" w:ascii="仿宋" w:hAnsi="仿宋" w:eastAsia="仿宋"/>
          <w:sz w:val="24"/>
          <w:highlight w:val="none"/>
          <w:lang w:eastAsia="zh-CN"/>
        </w:rPr>
        <w:t>招标人</w:t>
      </w:r>
      <w:r>
        <w:rPr>
          <w:rFonts w:ascii="仿宋" w:hAnsi="仿宋" w:eastAsia="仿宋"/>
          <w:sz w:val="24"/>
          <w:highlight w:val="none"/>
        </w:rPr>
        <w:t>或者</w:t>
      </w:r>
      <w:r>
        <w:rPr>
          <w:rFonts w:hint="eastAsia" w:ascii="仿宋" w:hAnsi="仿宋" w:eastAsia="仿宋"/>
          <w:sz w:val="24"/>
          <w:highlight w:val="none"/>
        </w:rPr>
        <w:t>采购代理机构</w:t>
      </w:r>
      <w:r>
        <w:rPr>
          <w:rFonts w:ascii="仿宋" w:hAnsi="仿宋" w:eastAsia="仿宋"/>
          <w:sz w:val="24"/>
          <w:highlight w:val="none"/>
        </w:rPr>
        <w:t>不予受理：</w:t>
      </w:r>
    </w:p>
    <w:p w14:paraId="0858E2FF">
      <w:pPr>
        <w:pStyle w:val="14"/>
        <w:spacing w:line="360" w:lineRule="auto"/>
        <w:ind w:firstLine="480" w:firstLineChars="200"/>
        <w:rPr>
          <w:rFonts w:ascii="仿宋" w:hAnsi="仿宋" w:eastAsia="仿宋"/>
          <w:snapToGrid/>
          <w:color w:val="auto"/>
          <w:kern w:val="2"/>
          <w:sz w:val="24"/>
          <w:highlight w:val="none"/>
        </w:rPr>
      </w:pPr>
      <w:r>
        <w:rPr>
          <w:rFonts w:hint="eastAsia" w:ascii="仿宋" w:hAnsi="仿宋" w:eastAsia="仿宋" w:cs="微软雅黑"/>
          <w:kern w:val="0"/>
          <w:sz w:val="24"/>
          <w:highlight w:val="none"/>
          <w:lang w:val="en-US" w:eastAsia="zh-CN"/>
        </w:rPr>
        <w:t>36</w:t>
      </w:r>
      <w:r>
        <w:rPr>
          <w:rFonts w:ascii="仿宋" w:hAnsi="仿宋" w:eastAsia="仿宋"/>
          <w:snapToGrid/>
          <w:color w:val="auto"/>
          <w:kern w:val="2"/>
          <w:sz w:val="24"/>
          <w:highlight w:val="none"/>
        </w:rPr>
        <w:t>.2.2.1对</w:t>
      </w:r>
      <w:r>
        <w:rPr>
          <w:rFonts w:hint="eastAsia" w:ascii="仿宋" w:hAnsi="仿宋" w:eastAsia="仿宋"/>
          <w:snapToGrid/>
          <w:color w:val="auto"/>
          <w:kern w:val="2"/>
          <w:sz w:val="24"/>
          <w:highlight w:val="none"/>
        </w:rPr>
        <w:t>采购文件</w:t>
      </w:r>
      <w:r>
        <w:rPr>
          <w:rFonts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投标人</w:t>
      </w:r>
      <w:r>
        <w:rPr>
          <w:rFonts w:ascii="仿宋" w:hAnsi="仿宋" w:eastAsia="仿宋"/>
          <w:snapToGrid/>
          <w:color w:val="auto"/>
          <w:kern w:val="2"/>
          <w:sz w:val="24"/>
          <w:highlight w:val="none"/>
        </w:rPr>
        <w:t>获得</w:t>
      </w:r>
      <w:r>
        <w:rPr>
          <w:rFonts w:hint="eastAsia" w:ascii="仿宋" w:hAnsi="仿宋" w:eastAsia="仿宋"/>
          <w:snapToGrid/>
          <w:color w:val="auto"/>
          <w:kern w:val="2"/>
          <w:sz w:val="24"/>
          <w:highlight w:val="none"/>
        </w:rPr>
        <w:t>采购文件</w:t>
      </w:r>
      <w:r>
        <w:rPr>
          <w:rFonts w:ascii="仿宋" w:hAnsi="仿宋" w:eastAsia="仿宋"/>
          <w:snapToGrid/>
          <w:color w:val="auto"/>
          <w:kern w:val="2"/>
          <w:sz w:val="24"/>
          <w:highlight w:val="none"/>
        </w:rPr>
        <w:t>之日或者</w:t>
      </w:r>
      <w:r>
        <w:rPr>
          <w:rFonts w:hint="eastAsia" w:ascii="仿宋" w:hAnsi="仿宋" w:eastAsia="仿宋"/>
          <w:snapToGrid/>
          <w:color w:val="auto"/>
          <w:kern w:val="2"/>
          <w:sz w:val="24"/>
          <w:highlight w:val="none"/>
        </w:rPr>
        <w:t>采购文件</w:t>
      </w:r>
      <w:r>
        <w:rPr>
          <w:rFonts w:ascii="仿宋" w:hAnsi="仿宋" w:eastAsia="仿宋"/>
          <w:snapToGrid/>
          <w:color w:val="auto"/>
          <w:kern w:val="2"/>
          <w:sz w:val="24"/>
          <w:highlight w:val="none"/>
        </w:rPr>
        <w:t>公告期限届满之日起计算。</w:t>
      </w:r>
    </w:p>
    <w:p w14:paraId="4597A053">
      <w:pPr>
        <w:pStyle w:val="25"/>
        <w:spacing w:line="360" w:lineRule="auto"/>
        <w:ind w:firstLine="480" w:firstLineChars="200"/>
        <w:rPr>
          <w:rFonts w:ascii="仿宋" w:hAnsi="仿宋" w:eastAsia="仿宋"/>
          <w:sz w:val="24"/>
          <w:highlight w:val="none"/>
        </w:rPr>
      </w:pPr>
      <w:r>
        <w:rPr>
          <w:rFonts w:hint="eastAsia" w:ascii="仿宋" w:hAnsi="仿宋" w:eastAsia="仿宋" w:cs="微软雅黑"/>
          <w:kern w:val="0"/>
          <w:sz w:val="24"/>
          <w:highlight w:val="none"/>
          <w:lang w:val="en-US" w:eastAsia="zh-CN"/>
        </w:rPr>
        <w:t>36</w:t>
      </w:r>
      <w:r>
        <w:rPr>
          <w:rFonts w:ascii="仿宋" w:hAnsi="仿宋" w:eastAsia="仿宋"/>
          <w:sz w:val="24"/>
          <w:highlight w:val="none"/>
        </w:rPr>
        <w:t>.2.2.2对采购过程提出质疑的，质疑期限为各采购程序环节结束之日起计算。</w:t>
      </w:r>
    </w:p>
    <w:p w14:paraId="7E615977">
      <w:pPr>
        <w:pStyle w:val="25"/>
        <w:spacing w:line="360" w:lineRule="auto"/>
        <w:ind w:firstLine="480" w:firstLineChars="200"/>
        <w:rPr>
          <w:rFonts w:ascii="仿宋" w:hAnsi="仿宋" w:eastAsia="仿宋"/>
          <w:sz w:val="24"/>
          <w:highlight w:val="none"/>
        </w:rPr>
      </w:pPr>
      <w:r>
        <w:rPr>
          <w:rFonts w:hint="eastAsia" w:ascii="仿宋" w:hAnsi="仿宋" w:eastAsia="仿宋" w:cs="微软雅黑"/>
          <w:kern w:val="0"/>
          <w:sz w:val="24"/>
          <w:highlight w:val="none"/>
          <w:lang w:val="en-US" w:eastAsia="zh-CN"/>
        </w:rPr>
        <w:t>36</w:t>
      </w:r>
      <w:r>
        <w:rPr>
          <w:rFonts w:ascii="仿宋" w:hAnsi="仿宋" w:eastAsia="仿宋"/>
          <w:sz w:val="24"/>
          <w:highlight w:val="none"/>
        </w:rPr>
        <w:t>.2.2.3对采购结果提出质疑的，质疑期限自采购结果公告期限届满之日起计算。</w:t>
      </w:r>
    </w:p>
    <w:p w14:paraId="67CB6E65">
      <w:pPr>
        <w:pStyle w:val="25"/>
        <w:spacing w:line="360" w:lineRule="auto"/>
        <w:ind w:firstLine="480" w:firstLineChars="200"/>
        <w:rPr>
          <w:rFonts w:ascii="仿宋" w:hAnsi="仿宋" w:eastAsia="仿宋"/>
          <w:sz w:val="24"/>
          <w:highlight w:val="none"/>
        </w:rPr>
      </w:pPr>
      <w:r>
        <w:rPr>
          <w:rFonts w:hint="eastAsia" w:ascii="仿宋" w:hAnsi="仿宋" w:eastAsia="仿宋" w:cs="微软雅黑"/>
          <w:kern w:val="0"/>
          <w:sz w:val="24"/>
          <w:highlight w:val="none"/>
          <w:lang w:val="en-US" w:eastAsia="zh-CN"/>
        </w:rPr>
        <w:t>36</w:t>
      </w:r>
      <w:r>
        <w:rPr>
          <w:rFonts w:ascii="仿宋" w:hAnsi="仿宋" w:eastAsia="仿宋" w:cs="微软雅黑"/>
          <w:kern w:val="0"/>
          <w:sz w:val="24"/>
          <w:highlight w:val="none"/>
          <w:lang w:val="zh-CN"/>
        </w:rPr>
        <w:t>.</w:t>
      </w:r>
      <w:r>
        <w:rPr>
          <w:rFonts w:ascii="仿宋" w:hAnsi="仿宋" w:eastAsia="仿宋"/>
          <w:sz w:val="24"/>
          <w:highlight w:val="none"/>
        </w:rPr>
        <w:t>2.2.</w:t>
      </w:r>
      <w:r>
        <w:rPr>
          <w:rFonts w:hint="eastAsia" w:ascii="仿宋" w:hAnsi="仿宋" w:eastAsia="仿宋"/>
          <w:sz w:val="24"/>
          <w:highlight w:val="none"/>
          <w:lang w:val="en-US" w:eastAsia="zh-CN"/>
        </w:rPr>
        <w:t>4</w:t>
      </w:r>
      <w:r>
        <w:rPr>
          <w:rFonts w:ascii="仿宋" w:hAnsi="仿宋" w:eastAsia="仿宋"/>
          <w:sz w:val="24"/>
          <w:highlight w:val="none"/>
        </w:rPr>
        <w:t>对同一采购程序环节的质疑，</w:t>
      </w:r>
      <w:r>
        <w:rPr>
          <w:rFonts w:hint="eastAsia" w:ascii="仿宋" w:hAnsi="仿宋" w:eastAsia="仿宋"/>
          <w:sz w:val="24"/>
          <w:highlight w:val="none"/>
          <w:lang w:eastAsia="zh-CN"/>
        </w:rPr>
        <w:t>投标人</w:t>
      </w:r>
      <w:r>
        <w:rPr>
          <w:rFonts w:ascii="仿宋" w:hAnsi="仿宋" w:eastAsia="仿宋"/>
          <w:sz w:val="24"/>
          <w:highlight w:val="none"/>
        </w:rPr>
        <w:t>须一次性提出。</w:t>
      </w:r>
    </w:p>
    <w:p w14:paraId="476397D8">
      <w:pPr>
        <w:pStyle w:val="25"/>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en-US" w:eastAsia="zh-CN"/>
        </w:rPr>
        <w:t>36</w:t>
      </w:r>
      <w:r>
        <w:rPr>
          <w:rFonts w:ascii="仿宋" w:hAnsi="仿宋" w:eastAsia="仿宋" w:cs="微软雅黑"/>
          <w:kern w:val="0"/>
          <w:sz w:val="24"/>
          <w:highlight w:val="none"/>
          <w:lang w:val="zh-CN"/>
        </w:rPr>
        <w:t>.2.3</w:t>
      </w:r>
      <w:r>
        <w:rPr>
          <w:rFonts w:hint="eastAsia" w:ascii="仿宋" w:hAnsi="仿宋" w:eastAsia="仿宋"/>
          <w:sz w:val="24"/>
          <w:highlight w:val="none"/>
          <w:lang w:eastAsia="zh-CN"/>
        </w:rPr>
        <w:t>投标人</w:t>
      </w:r>
      <w:r>
        <w:rPr>
          <w:rFonts w:hint="eastAsia" w:ascii="仿宋" w:hAnsi="仿宋" w:eastAsia="仿宋"/>
          <w:sz w:val="24"/>
          <w:highlight w:val="none"/>
        </w:rPr>
        <w:t>提出质疑应当提交质疑函和必要的证明材料。质疑函应当包括下列内容：</w:t>
      </w:r>
    </w:p>
    <w:p w14:paraId="10D2D083">
      <w:pPr>
        <w:pStyle w:val="25"/>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en-US" w:eastAsia="zh-CN"/>
        </w:rPr>
        <w:t>36</w:t>
      </w:r>
      <w:r>
        <w:rPr>
          <w:rFonts w:ascii="仿宋" w:hAnsi="仿宋" w:eastAsia="仿宋" w:cs="微软雅黑"/>
          <w:kern w:val="0"/>
          <w:sz w:val="24"/>
          <w:highlight w:val="none"/>
          <w:lang w:val="zh-CN"/>
        </w:rPr>
        <w:t>.2.3.1</w:t>
      </w:r>
      <w:r>
        <w:rPr>
          <w:rFonts w:hint="eastAsia" w:ascii="仿宋" w:hAnsi="仿宋" w:eastAsia="仿宋" w:cs="微软雅黑"/>
          <w:kern w:val="0"/>
          <w:sz w:val="24"/>
          <w:highlight w:val="none"/>
          <w:lang w:val="zh-CN"/>
        </w:rPr>
        <w:t>投标人的姓名或者名称、地址、邮编、联系人及联系电话；</w:t>
      </w:r>
    </w:p>
    <w:p w14:paraId="4163F8A4">
      <w:pPr>
        <w:pStyle w:val="25"/>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en-US" w:eastAsia="zh-CN"/>
        </w:rPr>
        <w:t>36</w:t>
      </w:r>
      <w:r>
        <w:rPr>
          <w:rFonts w:ascii="仿宋" w:hAnsi="仿宋" w:eastAsia="仿宋" w:cs="微软雅黑"/>
          <w:kern w:val="0"/>
          <w:sz w:val="24"/>
          <w:highlight w:val="none"/>
          <w:lang w:val="zh-CN"/>
        </w:rPr>
        <w:t>.2.3.2</w:t>
      </w:r>
      <w:r>
        <w:rPr>
          <w:rFonts w:hint="eastAsia" w:ascii="仿宋" w:hAnsi="仿宋" w:eastAsia="仿宋" w:cs="微软雅黑"/>
          <w:kern w:val="0"/>
          <w:sz w:val="24"/>
          <w:highlight w:val="none"/>
          <w:lang w:val="zh-CN"/>
        </w:rPr>
        <w:t>质疑项目的名称、编号；</w:t>
      </w:r>
    </w:p>
    <w:p w14:paraId="47309B34">
      <w:pPr>
        <w:pStyle w:val="25"/>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en-US" w:eastAsia="zh-CN"/>
        </w:rPr>
        <w:t>36</w:t>
      </w:r>
      <w:r>
        <w:rPr>
          <w:rFonts w:ascii="仿宋" w:hAnsi="仿宋" w:eastAsia="仿宋" w:cs="微软雅黑"/>
          <w:kern w:val="0"/>
          <w:sz w:val="24"/>
          <w:highlight w:val="none"/>
          <w:lang w:val="zh-CN"/>
        </w:rPr>
        <w:t>.2.3.3</w:t>
      </w:r>
      <w:r>
        <w:rPr>
          <w:rFonts w:hint="eastAsia" w:ascii="仿宋" w:hAnsi="仿宋" w:eastAsia="仿宋" w:cs="微软雅黑"/>
          <w:kern w:val="0"/>
          <w:sz w:val="24"/>
          <w:highlight w:val="none"/>
          <w:lang w:val="zh-CN"/>
        </w:rPr>
        <w:t>具体、明确的质疑事项和与质疑事项相关的请求；</w:t>
      </w:r>
    </w:p>
    <w:p w14:paraId="2C60C197">
      <w:pPr>
        <w:pStyle w:val="25"/>
        <w:spacing w:line="360" w:lineRule="auto"/>
        <w:ind w:firstLine="48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en-US" w:eastAsia="zh-CN"/>
        </w:rPr>
        <w:t>36</w:t>
      </w:r>
      <w:r>
        <w:rPr>
          <w:rFonts w:hint="eastAsia" w:ascii="仿宋" w:hAnsi="仿宋" w:eastAsia="仿宋" w:cs="微软雅黑"/>
          <w:kern w:val="0"/>
          <w:sz w:val="24"/>
          <w:highlight w:val="none"/>
          <w:lang w:val="zh-CN"/>
        </w:rPr>
        <w:t>.2.3.4事实依据；</w:t>
      </w:r>
    </w:p>
    <w:p w14:paraId="65249189">
      <w:pPr>
        <w:pStyle w:val="25"/>
        <w:spacing w:line="360" w:lineRule="auto"/>
        <w:ind w:firstLine="48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en-US" w:eastAsia="zh-CN"/>
        </w:rPr>
        <w:t>36</w:t>
      </w:r>
      <w:r>
        <w:rPr>
          <w:rFonts w:hint="eastAsia" w:ascii="仿宋" w:hAnsi="仿宋" w:eastAsia="仿宋" w:cs="微软雅黑"/>
          <w:kern w:val="0"/>
          <w:sz w:val="24"/>
          <w:highlight w:val="none"/>
          <w:lang w:val="zh-CN"/>
        </w:rPr>
        <w:t>.2.3.5必要的法律依据；</w:t>
      </w:r>
    </w:p>
    <w:p w14:paraId="170509D0">
      <w:pPr>
        <w:pStyle w:val="25"/>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en-US" w:eastAsia="zh-CN"/>
        </w:rPr>
        <w:t>36</w:t>
      </w:r>
      <w:r>
        <w:rPr>
          <w:rFonts w:hint="eastAsia" w:ascii="仿宋" w:hAnsi="仿宋" w:eastAsia="仿宋" w:cs="微软雅黑"/>
          <w:kern w:val="0"/>
          <w:sz w:val="24"/>
          <w:highlight w:val="none"/>
          <w:lang w:val="zh-CN"/>
        </w:rPr>
        <w:t>.2.3.6提出质疑的日期。</w:t>
      </w:r>
    </w:p>
    <w:p w14:paraId="6B016199">
      <w:pPr>
        <w:pStyle w:val="25"/>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投标人提交的质疑函需一式三份。投标人为自然人的，应当由本人签字；投标人为法人或者其他组织的，应当由法定代表人（负责人）、主要负责人，或者其授权代表签字或者盖章，并加盖公章。</w:t>
      </w:r>
    </w:p>
    <w:p w14:paraId="10046EB4">
      <w:pPr>
        <w:pStyle w:val="302"/>
        <w:shd w:val="clear" w:color="auto" w:fill="FFFFFF"/>
        <w:snapToGrid w:val="0"/>
        <w:spacing w:before="0" w:beforeAutospacing="0" w:after="0" w:afterAutospacing="0" w:line="360" w:lineRule="auto"/>
        <w:ind w:firstLine="400"/>
        <w:contextualSpacing/>
        <w:rPr>
          <w:rFonts w:ascii="仿宋" w:hAnsi="仿宋" w:eastAsia="仿宋"/>
          <w:highlight w:val="none"/>
        </w:rPr>
      </w:pPr>
      <w:r>
        <w:rPr>
          <w:rFonts w:hint="eastAsia" w:ascii="仿宋" w:hAnsi="仿宋" w:eastAsia="仿宋" w:cs="微软雅黑"/>
          <w:kern w:val="0"/>
          <w:sz w:val="24"/>
          <w:highlight w:val="none"/>
          <w:lang w:val="en-US" w:eastAsia="zh-CN"/>
        </w:rPr>
        <w:t>36</w:t>
      </w:r>
      <w:r>
        <w:rPr>
          <w:rFonts w:ascii="仿宋" w:hAnsi="仿宋" w:eastAsia="仿宋" w:cs="微软雅黑"/>
          <w:highlight w:val="none"/>
          <w:lang w:val="zh-CN"/>
        </w:rPr>
        <w:t>.2</w:t>
      </w:r>
      <w:r>
        <w:rPr>
          <w:rFonts w:ascii="仿宋" w:hAnsi="仿宋" w:eastAsia="仿宋"/>
          <w:highlight w:val="none"/>
        </w:rPr>
        <w:t>.4</w:t>
      </w:r>
      <w:r>
        <w:rPr>
          <w:rFonts w:hint="eastAsia" w:ascii="仿宋" w:hAnsi="仿宋" w:eastAsia="仿宋"/>
          <w:highlight w:val="none"/>
          <w:lang w:eastAsia="zh-CN"/>
        </w:rPr>
        <w:t>招标人</w:t>
      </w:r>
      <w:r>
        <w:rPr>
          <w:rFonts w:hint="eastAsia" w:ascii="仿宋" w:hAnsi="仿宋" w:eastAsia="仿宋"/>
          <w:highlight w:val="none"/>
        </w:rPr>
        <w:t>或者采购代理机构应当在收到</w:t>
      </w:r>
      <w:r>
        <w:rPr>
          <w:rFonts w:hint="eastAsia" w:ascii="仿宋" w:hAnsi="仿宋" w:eastAsia="仿宋"/>
          <w:highlight w:val="none"/>
          <w:lang w:eastAsia="zh-CN"/>
        </w:rPr>
        <w:t>投标人</w:t>
      </w:r>
      <w:r>
        <w:rPr>
          <w:rFonts w:hint="eastAsia" w:ascii="仿宋" w:hAnsi="仿宋" w:eastAsia="仿宋"/>
          <w:highlight w:val="none"/>
        </w:rPr>
        <w:t>的书面质疑后七个工作日内作出答复，并以书面形式通知质疑</w:t>
      </w:r>
      <w:r>
        <w:rPr>
          <w:rFonts w:hint="eastAsia" w:ascii="仿宋" w:hAnsi="仿宋" w:eastAsia="仿宋"/>
          <w:highlight w:val="none"/>
          <w:lang w:eastAsia="zh-CN"/>
        </w:rPr>
        <w:t>投标人</w:t>
      </w:r>
      <w:r>
        <w:rPr>
          <w:rFonts w:hint="eastAsia" w:ascii="仿宋" w:hAnsi="仿宋" w:eastAsia="仿宋"/>
          <w:highlight w:val="none"/>
        </w:rPr>
        <w:t>和其他与质疑处理结果有利害关系的采购当事人，但答复的内容不得涉及商业秘密。</w:t>
      </w:r>
    </w:p>
    <w:p w14:paraId="3ED828BA">
      <w:pPr>
        <w:pStyle w:val="30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cs="微软雅黑"/>
          <w:kern w:val="0"/>
          <w:sz w:val="24"/>
          <w:highlight w:val="none"/>
          <w:lang w:val="en-US" w:eastAsia="zh-CN"/>
        </w:rPr>
        <w:t>36</w:t>
      </w:r>
      <w:r>
        <w:rPr>
          <w:rFonts w:ascii="仿宋" w:hAnsi="仿宋" w:eastAsia="仿宋" w:cs="微软雅黑"/>
          <w:highlight w:val="none"/>
          <w:lang w:val="zh-CN"/>
        </w:rPr>
        <w:t>.2</w:t>
      </w:r>
      <w:r>
        <w:rPr>
          <w:rFonts w:ascii="仿宋" w:hAnsi="仿宋" w:eastAsia="仿宋"/>
          <w:highlight w:val="none"/>
        </w:rPr>
        <w:t>.5询问或者质疑事项可能影响采购结果的，</w:t>
      </w:r>
      <w:r>
        <w:rPr>
          <w:rFonts w:hint="eastAsia" w:ascii="仿宋" w:hAnsi="仿宋" w:eastAsia="仿宋"/>
          <w:highlight w:val="none"/>
          <w:lang w:eastAsia="zh-CN"/>
        </w:rPr>
        <w:t>招标人</w:t>
      </w:r>
      <w:r>
        <w:rPr>
          <w:rFonts w:ascii="仿宋" w:hAnsi="仿宋" w:eastAsia="仿宋"/>
          <w:highlight w:val="none"/>
        </w:rPr>
        <w:t>应当暂停签订合同，已经签订合同的，应当中止履行合同。</w:t>
      </w:r>
    </w:p>
    <w:p w14:paraId="3D7BCCA7">
      <w:pPr>
        <w:pStyle w:val="302"/>
        <w:shd w:val="clear" w:color="auto" w:fill="FFFFFF"/>
        <w:snapToGrid w:val="0"/>
        <w:spacing w:after="240" w:afterAutospacing="0" w:line="360" w:lineRule="auto"/>
        <w:ind w:firstLine="480" w:firstLineChars="200"/>
        <w:contextualSpacing/>
        <w:rPr>
          <w:rFonts w:ascii="仿宋" w:hAnsi="仿宋" w:eastAsia="仿宋" w:cs="微软雅黑"/>
          <w:highlight w:val="none"/>
          <w:lang w:val="zh-CN"/>
        </w:rPr>
      </w:pPr>
      <w:r>
        <w:rPr>
          <w:rFonts w:hint="eastAsia" w:ascii="仿宋" w:hAnsi="仿宋" w:eastAsia="仿宋" w:cs="微软雅黑"/>
          <w:kern w:val="0"/>
          <w:sz w:val="24"/>
          <w:highlight w:val="none"/>
          <w:lang w:val="en-US" w:eastAsia="zh-CN"/>
        </w:rPr>
        <w:t>36</w:t>
      </w:r>
      <w:r>
        <w:rPr>
          <w:rFonts w:ascii="仿宋" w:hAnsi="仿宋" w:eastAsia="仿宋" w:cs="微软雅黑"/>
          <w:highlight w:val="none"/>
          <w:lang w:val="zh-CN"/>
        </w:rPr>
        <w:t>.3投诉</w:t>
      </w:r>
    </w:p>
    <w:p w14:paraId="2BF6AC99">
      <w:pPr>
        <w:pStyle w:val="302"/>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cs="微软雅黑"/>
          <w:kern w:val="0"/>
          <w:sz w:val="24"/>
          <w:highlight w:val="none"/>
          <w:lang w:val="en-US" w:eastAsia="zh-CN"/>
        </w:rPr>
        <w:t>36</w:t>
      </w:r>
      <w:r>
        <w:rPr>
          <w:rFonts w:ascii="仿宋" w:hAnsi="仿宋" w:eastAsia="仿宋"/>
          <w:highlight w:val="none"/>
        </w:rPr>
        <w:t>.3.1质疑</w:t>
      </w:r>
      <w:r>
        <w:rPr>
          <w:rFonts w:hint="eastAsia" w:ascii="仿宋" w:hAnsi="仿宋" w:eastAsia="仿宋"/>
          <w:highlight w:val="none"/>
          <w:lang w:eastAsia="zh-CN"/>
        </w:rPr>
        <w:t>投标人</w:t>
      </w:r>
      <w:r>
        <w:rPr>
          <w:rFonts w:ascii="仿宋" w:hAnsi="仿宋" w:eastAsia="仿宋"/>
          <w:highlight w:val="none"/>
        </w:rPr>
        <w:t>对</w:t>
      </w:r>
      <w:r>
        <w:rPr>
          <w:rFonts w:hint="eastAsia" w:ascii="仿宋" w:hAnsi="仿宋" w:eastAsia="仿宋"/>
          <w:highlight w:val="none"/>
          <w:lang w:eastAsia="zh-CN"/>
        </w:rPr>
        <w:t>招标人</w:t>
      </w:r>
      <w:r>
        <w:rPr>
          <w:rFonts w:ascii="仿宋" w:hAnsi="仿宋" w:eastAsia="仿宋"/>
          <w:highlight w:val="none"/>
        </w:rPr>
        <w:t>、</w:t>
      </w:r>
      <w:r>
        <w:rPr>
          <w:rFonts w:hint="eastAsia" w:ascii="仿宋" w:hAnsi="仿宋" w:eastAsia="仿宋"/>
          <w:highlight w:val="none"/>
        </w:rPr>
        <w:t>采购代理机构</w:t>
      </w:r>
      <w:r>
        <w:rPr>
          <w:rFonts w:ascii="仿宋" w:hAnsi="仿宋" w:eastAsia="仿宋"/>
          <w:highlight w:val="none"/>
        </w:rPr>
        <w:t>的答复不满意或者</w:t>
      </w:r>
      <w:r>
        <w:rPr>
          <w:rFonts w:hint="eastAsia" w:ascii="仿宋" w:hAnsi="仿宋" w:eastAsia="仿宋"/>
          <w:highlight w:val="none"/>
          <w:lang w:eastAsia="zh-CN"/>
        </w:rPr>
        <w:t>招标人</w:t>
      </w:r>
      <w:r>
        <w:rPr>
          <w:rFonts w:ascii="仿宋" w:hAnsi="仿宋" w:eastAsia="仿宋"/>
          <w:highlight w:val="none"/>
        </w:rPr>
        <w:t>、</w:t>
      </w:r>
      <w:r>
        <w:rPr>
          <w:rFonts w:hint="eastAsia" w:ascii="仿宋" w:hAnsi="仿宋" w:eastAsia="仿宋"/>
          <w:highlight w:val="none"/>
        </w:rPr>
        <w:t>采购代理机构</w:t>
      </w:r>
      <w:r>
        <w:rPr>
          <w:rFonts w:ascii="仿宋" w:hAnsi="仿宋" w:eastAsia="仿宋"/>
          <w:highlight w:val="none"/>
        </w:rPr>
        <w:t>未在规定的时间内</w:t>
      </w:r>
      <w:r>
        <w:rPr>
          <w:rFonts w:hint="eastAsia" w:ascii="仿宋" w:hAnsi="仿宋" w:eastAsia="仿宋"/>
          <w:highlight w:val="none"/>
        </w:rPr>
        <w:t>作出答复的，可以在收到答复之日</w:t>
      </w:r>
      <w:r>
        <w:rPr>
          <w:rFonts w:hint="eastAsia" w:ascii="仿宋" w:hAnsi="仿宋" w:eastAsia="仿宋"/>
          <w:highlight w:val="none"/>
          <w:lang w:val="en-US" w:eastAsia="zh-CN"/>
        </w:rPr>
        <w:t>或者</w:t>
      </w:r>
      <w:r>
        <w:rPr>
          <w:rFonts w:hint="eastAsia" w:ascii="仿宋" w:hAnsi="仿宋" w:eastAsia="仿宋"/>
          <w:highlight w:val="none"/>
        </w:rPr>
        <w:t>答复期满后十五个工作日内向</w:t>
      </w:r>
      <w:r>
        <w:rPr>
          <w:rFonts w:hint="eastAsia" w:ascii="仿宋" w:hAnsi="仿宋" w:eastAsia="仿宋"/>
          <w:highlight w:val="none"/>
          <w:lang w:eastAsia="zh-CN"/>
        </w:rPr>
        <w:t>招标人主管部门</w:t>
      </w:r>
      <w:r>
        <w:rPr>
          <w:rFonts w:hint="eastAsia" w:ascii="仿宋" w:hAnsi="仿宋" w:eastAsia="仿宋"/>
          <w:highlight w:val="none"/>
        </w:rPr>
        <w:t>提出投诉。</w:t>
      </w:r>
    </w:p>
    <w:p w14:paraId="39150CE4">
      <w:pPr>
        <w:pStyle w:val="302"/>
        <w:shd w:val="clear" w:color="auto" w:fill="FFFFFF"/>
        <w:snapToGrid w:val="0"/>
        <w:spacing w:before="0" w:beforeAutospacing="0" w:after="0" w:afterAutospacing="0" w:line="360" w:lineRule="auto"/>
        <w:ind w:firstLine="480" w:firstLineChars="200"/>
        <w:contextualSpacing/>
        <w:rPr>
          <w:rFonts w:ascii="仿宋" w:hAnsi="仿宋" w:eastAsia="仿宋"/>
          <w:sz w:val="24"/>
          <w:szCs w:val="24"/>
          <w:highlight w:val="none"/>
        </w:rPr>
      </w:pPr>
      <w:r>
        <w:rPr>
          <w:rFonts w:hint="eastAsia" w:ascii="仿宋" w:hAnsi="仿宋" w:eastAsia="仿宋" w:cs="微软雅黑"/>
          <w:kern w:val="0"/>
          <w:sz w:val="24"/>
          <w:szCs w:val="24"/>
          <w:highlight w:val="none"/>
          <w:lang w:val="en-US" w:eastAsia="zh-CN"/>
        </w:rPr>
        <w:t>36</w:t>
      </w:r>
      <w:r>
        <w:rPr>
          <w:rFonts w:ascii="仿宋" w:hAnsi="仿宋" w:eastAsia="仿宋"/>
          <w:sz w:val="24"/>
          <w:szCs w:val="24"/>
          <w:highlight w:val="none"/>
        </w:rPr>
        <w:t>.3.</w:t>
      </w:r>
      <w:r>
        <w:rPr>
          <w:rFonts w:ascii="仿宋" w:hAnsi="仿宋" w:eastAsia="仿宋" w:cs="微软雅黑"/>
          <w:sz w:val="24"/>
          <w:szCs w:val="24"/>
          <w:highlight w:val="none"/>
          <w:lang w:val="zh-CN"/>
        </w:rPr>
        <w:t>2</w:t>
      </w:r>
      <w:r>
        <w:rPr>
          <w:rFonts w:hint="eastAsia" w:ascii="仿宋" w:hAnsi="仿宋" w:eastAsia="仿宋"/>
          <w:sz w:val="24"/>
          <w:szCs w:val="24"/>
          <w:highlight w:val="none"/>
          <w:lang w:eastAsia="zh-CN"/>
        </w:rPr>
        <w:t>投标人</w:t>
      </w:r>
      <w:r>
        <w:rPr>
          <w:rFonts w:hint="eastAsia" w:ascii="仿宋" w:hAnsi="仿宋" w:eastAsia="仿宋"/>
          <w:sz w:val="24"/>
          <w:szCs w:val="24"/>
          <w:highlight w:val="none"/>
        </w:rPr>
        <w:t>投诉的事项不得超出已质疑事项的范围，基于质疑答复内容提出的投诉事项除外。</w:t>
      </w:r>
    </w:p>
    <w:p w14:paraId="577B8193">
      <w:pPr>
        <w:pStyle w:val="302"/>
        <w:shd w:val="clear" w:color="auto" w:fill="FFFFFF"/>
        <w:snapToGrid w:val="0"/>
        <w:spacing w:before="0" w:beforeAutospacing="0" w:after="0" w:afterAutospacing="0" w:line="360" w:lineRule="auto"/>
        <w:ind w:firstLine="480" w:firstLineChars="200"/>
        <w:contextualSpacing/>
        <w:rPr>
          <w:rFonts w:ascii="仿宋" w:hAnsi="仿宋" w:eastAsia="仿宋"/>
          <w:sz w:val="24"/>
          <w:szCs w:val="24"/>
          <w:highlight w:val="none"/>
        </w:rPr>
      </w:pPr>
      <w:r>
        <w:rPr>
          <w:rFonts w:hint="eastAsia" w:ascii="仿宋" w:hAnsi="仿宋" w:eastAsia="仿宋" w:cs="微软雅黑"/>
          <w:kern w:val="0"/>
          <w:sz w:val="24"/>
          <w:szCs w:val="24"/>
          <w:highlight w:val="none"/>
          <w:lang w:val="en-US" w:eastAsia="zh-CN"/>
        </w:rPr>
        <w:t>36</w:t>
      </w:r>
      <w:r>
        <w:rPr>
          <w:rFonts w:ascii="仿宋" w:hAnsi="仿宋" w:eastAsia="仿宋"/>
          <w:sz w:val="24"/>
          <w:szCs w:val="24"/>
          <w:highlight w:val="none"/>
        </w:rPr>
        <w:t>.3.3</w:t>
      </w:r>
      <w:r>
        <w:rPr>
          <w:rFonts w:hint="eastAsia" w:ascii="仿宋" w:hAnsi="仿宋" w:eastAsia="仿宋"/>
          <w:sz w:val="24"/>
          <w:szCs w:val="24"/>
          <w:highlight w:val="none"/>
          <w:lang w:eastAsia="zh-CN"/>
        </w:rPr>
        <w:t>投标人</w:t>
      </w:r>
      <w:r>
        <w:rPr>
          <w:rFonts w:hint="eastAsia" w:ascii="仿宋" w:hAnsi="仿宋" w:eastAsia="仿宋"/>
          <w:sz w:val="24"/>
          <w:szCs w:val="24"/>
          <w:highlight w:val="none"/>
        </w:rPr>
        <w:t>投诉应当有明确的请求和必要的证明材料。</w:t>
      </w:r>
    </w:p>
    <w:p w14:paraId="6C12C71F">
      <w:pPr>
        <w:topLinePunct/>
        <w:spacing w:line="360" w:lineRule="auto"/>
        <w:ind w:right="-21" w:rightChars="-10" w:firstLine="480" w:firstLineChars="200"/>
        <w:rPr>
          <w:rFonts w:hint="eastAsia" w:ascii="仿宋" w:hAnsi="仿宋" w:eastAsia="仿宋" w:cs="仿宋"/>
          <w:sz w:val="24"/>
          <w:szCs w:val="24"/>
          <w:highlight w:val="none"/>
        </w:rPr>
      </w:pPr>
      <w:r>
        <w:rPr>
          <w:rFonts w:hint="eastAsia" w:ascii="仿宋" w:hAnsi="仿宋" w:eastAsia="仿宋" w:cs="微软雅黑"/>
          <w:kern w:val="0"/>
          <w:sz w:val="24"/>
          <w:szCs w:val="24"/>
          <w:highlight w:val="none"/>
          <w:lang w:val="en-US" w:eastAsia="zh-CN"/>
        </w:rPr>
        <w:t>36</w:t>
      </w:r>
      <w:r>
        <w:rPr>
          <w:rFonts w:ascii="仿宋" w:hAnsi="仿宋" w:eastAsia="仿宋"/>
          <w:sz w:val="24"/>
          <w:szCs w:val="24"/>
          <w:highlight w:val="none"/>
        </w:rPr>
        <w:t xml:space="preserve">.3.5 </w:t>
      </w:r>
      <w:r>
        <w:rPr>
          <w:rFonts w:hint="eastAsia" w:ascii="仿宋" w:hAnsi="仿宋" w:eastAsia="仿宋"/>
          <w:sz w:val="24"/>
          <w:szCs w:val="24"/>
          <w:highlight w:val="none"/>
        </w:rPr>
        <w:t>以联合体形式参加采购活动的，其投诉应当由组成联合体的所有</w:t>
      </w:r>
      <w:r>
        <w:rPr>
          <w:rFonts w:hint="eastAsia" w:ascii="仿宋" w:hAnsi="仿宋" w:eastAsia="仿宋"/>
          <w:sz w:val="24"/>
          <w:szCs w:val="24"/>
          <w:highlight w:val="none"/>
          <w:lang w:eastAsia="zh-CN"/>
        </w:rPr>
        <w:t>投标人</w:t>
      </w:r>
      <w:r>
        <w:rPr>
          <w:rFonts w:hint="eastAsia" w:ascii="仿宋" w:hAnsi="仿宋" w:eastAsia="仿宋"/>
          <w:sz w:val="24"/>
          <w:szCs w:val="24"/>
          <w:highlight w:val="none"/>
        </w:rPr>
        <w:t>共同提出。</w:t>
      </w:r>
    </w:p>
    <w:p w14:paraId="77BD8124">
      <w:pPr>
        <w:keepNext w:val="0"/>
        <w:keepLines w:val="0"/>
        <w:wordWrap w:val="0"/>
        <w:topLinePunct/>
        <w:spacing w:line="360" w:lineRule="auto"/>
        <w:rPr>
          <w:rFonts w:hint="eastAsia" w:ascii="仿宋" w:hAnsi="仿宋" w:eastAsia="仿宋" w:cs="仿宋"/>
          <w:sz w:val="36"/>
          <w:szCs w:val="36"/>
          <w:highlight w:val="none"/>
          <w:lang w:val="zh-CN"/>
        </w:rPr>
      </w:pPr>
    </w:p>
    <w:p w14:paraId="6B70C995">
      <w:pPr>
        <w:pStyle w:val="181"/>
        <w:wordWrap w:val="0"/>
        <w:topLinePunct/>
        <w:rPr>
          <w:rFonts w:hint="eastAsia" w:ascii="仿宋" w:hAnsi="仿宋" w:eastAsia="仿宋" w:cs="仿宋"/>
          <w:b/>
          <w:bCs w:val="0"/>
          <w:color w:val="auto"/>
          <w:sz w:val="32"/>
          <w:szCs w:val="32"/>
          <w:highlight w:val="none"/>
          <w:lang w:val="en-US"/>
        </w:rPr>
        <w:sectPr>
          <w:headerReference r:id="rId5" w:type="default"/>
          <w:footerReference r:id="rId6" w:type="default"/>
          <w:pgSz w:w="11905" w:h="16838"/>
          <w:pgMar w:top="652" w:right="1417" w:bottom="680" w:left="1417" w:header="539" w:footer="482" w:gutter="0"/>
          <w:pgNumType w:fmt="decimal" w:start="3"/>
          <w:cols w:space="0" w:num="1"/>
          <w:rtlGutter w:val="0"/>
          <w:docGrid w:linePitch="0" w:charSpace="0"/>
        </w:sectPr>
      </w:pPr>
      <w:bookmarkStart w:id="36" w:name="_Toc8057"/>
      <w:bookmarkStart w:id="37" w:name="_Toc29307"/>
      <w:bookmarkStart w:id="38" w:name="_Toc14338"/>
      <w:bookmarkStart w:id="39" w:name="_Toc28357"/>
      <w:bookmarkStart w:id="40" w:name="_Toc27389"/>
      <w:bookmarkStart w:id="41" w:name="_Toc26465"/>
      <w:bookmarkStart w:id="42" w:name="_Toc4174"/>
      <w:bookmarkStart w:id="43" w:name="_Toc79135038"/>
      <w:bookmarkStart w:id="44" w:name="_Toc27762"/>
      <w:bookmarkStart w:id="45" w:name="_Toc20800"/>
      <w:bookmarkStart w:id="46" w:name="_Toc30563"/>
      <w:bookmarkStart w:id="47" w:name="_Toc8903"/>
    </w:p>
    <w:p w14:paraId="7FE5924D">
      <w:pPr>
        <w:pStyle w:val="181"/>
        <w:wordWrap w:val="0"/>
        <w:topLinePunct/>
        <w:rPr>
          <w:rFonts w:hint="eastAsia" w:ascii="仿宋" w:hAnsi="仿宋" w:eastAsia="仿宋" w:cs="仿宋"/>
          <w:b/>
          <w:bCs w:val="0"/>
          <w:color w:val="auto"/>
          <w:sz w:val="32"/>
          <w:szCs w:val="32"/>
          <w:highlight w:val="none"/>
          <w:lang w:val="en-US"/>
        </w:rPr>
      </w:pPr>
      <w:r>
        <w:rPr>
          <w:rFonts w:hint="eastAsia" w:ascii="仿宋" w:hAnsi="仿宋" w:eastAsia="仿宋" w:cs="仿宋"/>
          <w:b/>
          <w:bCs w:val="0"/>
          <w:color w:val="auto"/>
          <w:sz w:val="32"/>
          <w:szCs w:val="32"/>
          <w:highlight w:val="none"/>
          <w:lang w:val="en-US"/>
        </w:rPr>
        <w:t>第三部分</w:t>
      </w:r>
      <w:bookmarkEnd w:id="36"/>
      <w:bookmarkEnd w:id="37"/>
      <w:bookmarkEnd w:id="38"/>
      <w:bookmarkEnd w:id="39"/>
      <w:bookmarkEnd w:id="40"/>
      <w:bookmarkEnd w:id="41"/>
      <w:bookmarkEnd w:id="42"/>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
          <w:bCs w:val="0"/>
          <w:color w:val="auto"/>
          <w:sz w:val="32"/>
          <w:szCs w:val="32"/>
          <w:highlight w:val="none"/>
          <w:lang w:val="en-US"/>
        </w:rPr>
        <w:t>采购需求和技术要求</w:t>
      </w:r>
      <w:bookmarkEnd w:id="43"/>
      <w:bookmarkEnd w:id="44"/>
      <w:bookmarkEnd w:id="45"/>
      <w:bookmarkEnd w:id="46"/>
      <w:bookmarkEnd w:id="47"/>
    </w:p>
    <w:p w14:paraId="6893BA11">
      <w:pPr>
        <w:keepNext w:val="0"/>
        <w:keepLines w:val="0"/>
        <w:widowControl w:val="0"/>
        <w:suppressLineNumbers w:val="0"/>
        <w:adjustRightInd w:val="0"/>
        <w:spacing w:before="0" w:beforeLines="0" w:beforeAutospacing="0" w:after="0" w:afterAutospacing="0" w:line="360" w:lineRule="auto"/>
        <w:ind w:left="0" w:right="0" w:firstLine="482" w:firstLineChars="200"/>
        <w:jc w:val="both"/>
        <w:outlineLvl w:val="1"/>
        <w:rPr>
          <w:rFonts w:hint="eastAsia" w:ascii="仿宋" w:hAnsi="仿宋" w:eastAsia="仿宋" w:cs="仿宋"/>
          <w:b/>
          <w:bCs/>
          <w:kern w:val="2"/>
          <w:sz w:val="24"/>
          <w:szCs w:val="24"/>
        </w:rPr>
      </w:pPr>
      <w:bookmarkStart w:id="48" w:name="_Toc15035"/>
      <w:bookmarkStart w:id="49" w:name="_Toc21995"/>
      <w:bookmarkStart w:id="50" w:name="_Toc19925"/>
      <w:bookmarkStart w:id="51" w:name="_Toc32481"/>
      <w:bookmarkStart w:id="52" w:name="_Toc26020"/>
      <w:bookmarkStart w:id="53" w:name="_Toc30069"/>
      <w:bookmarkStart w:id="54" w:name="_Toc394664717"/>
      <w:bookmarkStart w:id="55" w:name="_Toc443895552"/>
      <w:r>
        <w:rPr>
          <w:rFonts w:hint="eastAsia" w:ascii="仿宋" w:hAnsi="仿宋" w:eastAsia="仿宋" w:cs="仿宋"/>
          <w:b/>
          <w:bCs/>
          <w:kern w:val="2"/>
          <w:sz w:val="24"/>
          <w:szCs w:val="24"/>
          <w:lang w:val="en-US" w:eastAsia="zh-CN" w:bidi="ar"/>
        </w:rPr>
        <w:t>一、项目概况</w:t>
      </w:r>
    </w:p>
    <w:p w14:paraId="7BCAAF1C">
      <w:pPr>
        <w:keepNext w:val="0"/>
        <w:keepLines w:val="0"/>
        <w:widowControl w:val="0"/>
        <w:suppressLineNumbers w:val="0"/>
        <w:spacing w:before="0" w:beforeAutospacing="0" w:after="0" w:afterAutospacing="0" w:line="360" w:lineRule="auto"/>
        <w:ind w:left="0" w:right="0" w:firstLine="480" w:firstLineChars="200"/>
        <w:jc w:val="both"/>
        <w:outlineLvl w:val="1"/>
        <w:rPr>
          <w:rFonts w:hint="default" w:ascii="仿宋" w:hAnsi="仿宋" w:eastAsia="宋体" w:cs="仿宋"/>
          <w:b w:val="0"/>
          <w:bCs w:val="0"/>
          <w:kern w:val="2"/>
          <w:sz w:val="24"/>
          <w:szCs w:val="24"/>
          <w:highlight w:val="yellow"/>
          <w:lang w:val="en-US" w:eastAsia="zh-CN"/>
        </w:rPr>
      </w:pPr>
      <w:r>
        <w:rPr>
          <w:rFonts w:hint="eastAsia" w:ascii="仿宋" w:hAnsi="仿宋" w:eastAsia="仿宋" w:cs="仿宋"/>
          <w:b w:val="0"/>
          <w:bCs w:val="0"/>
          <w:kern w:val="2"/>
          <w:sz w:val="24"/>
          <w:szCs w:val="24"/>
          <w:lang w:val="en-US" w:eastAsia="zh-CN" w:bidi="ar"/>
        </w:rPr>
        <w:t>新昌县人民医院迁建工程项目按照三级甲等医院的标准设计和建设，该项目总用地面积 113 亩，总建筑面积 255280 平方米，设置床位 1000 张。</w:t>
      </w:r>
    </w:p>
    <w:p w14:paraId="03D760AE">
      <w:pPr>
        <w:keepNext w:val="0"/>
        <w:keepLines w:val="0"/>
        <w:widowControl w:val="0"/>
        <w:numPr>
          <w:ilvl w:val="0"/>
          <w:numId w:val="12"/>
        </w:numPr>
        <w:suppressLineNumbers w:val="0"/>
        <w:adjustRightInd w:val="0"/>
        <w:spacing w:before="0" w:beforeAutospacing="0" w:after="0" w:afterAutospacing="0" w:line="360" w:lineRule="auto"/>
        <w:ind w:left="0" w:right="0" w:firstLine="482" w:firstLineChars="200"/>
        <w:jc w:val="both"/>
        <w:rPr>
          <w:rFonts w:hint="eastAsia" w:ascii="仿宋" w:hAnsi="仿宋" w:eastAsia="仿宋" w:cs="仿宋"/>
          <w:kern w:val="0"/>
          <w:sz w:val="24"/>
          <w:szCs w:val="24"/>
        </w:rPr>
      </w:pPr>
      <w:r>
        <w:rPr>
          <w:rFonts w:hint="eastAsia" w:ascii="仿宋" w:hAnsi="仿宋" w:eastAsia="仿宋" w:cs="仿宋"/>
          <w:b/>
          <w:bCs/>
          <w:kern w:val="2"/>
          <w:sz w:val="24"/>
          <w:szCs w:val="24"/>
          <w:lang w:val="en-US" w:eastAsia="zh-CN" w:bidi="ar"/>
        </w:rPr>
        <w:t>招标范围及内容：</w:t>
      </w:r>
      <w:r>
        <w:rPr>
          <w:rFonts w:hint="eastAsia" w:ascii="仿宋" w:hAnsi="仿宋" w:eastAsia="仿宋" w:cs="仿宋"/>
          <w:b w:val="0"/>
          <w:bCs w:val="0"/>
          <w:kern w:val="2"/>
          <w:sz w:val="24"/>
          <w:szCs w:val="24"/>
          <w:lang w:val="en-US" w:eastAsia="zh-CN" w:bidi="ar"/>
        </w:rPr>
        <w:t>窗帘的</w:t>
      </w:r>
      <w:r>
        <w:rPr>
          <w:rFonts w:hint="eastAsia" w:ascii="仿宋" w:hAnsi="仿宋" w:eastAsia="仿宋" w:cs="仿宋"/>
          <w:kern w:val="2"/>
          <w:sz w:val="24"/>
          <w:szCs w:val="24"/>
          <w:lang w:val="en-US" w:eastAsia="zh-CN" w:bidi="ar"/>
        </w:rPr>
        <w:t>供货、安装（含复尺）、验收、质保及售后服务</w:t>
      </w:r>
      <w:r>
        <w:rPr>
          <w:rFonts w:hint="eastAsia" w:ascii="仿宋" w:hAnsi="仿宋" w:eastAsia="仿宋" w:cs="仿宋"/>
          <w:b w:val="0"/>
          <w:bCs w:val="0"/>
          <w:kern w:val="2"/>
          <w:sz w:val="24"/>
          <w:szCs w:val="24"/>
          <w:lang w:val="en-US" w:eastAsia="zh-CN" w:bidi="ar"/>
        </w:rPr>
        <w:t>等</w:t>
      </w:r>
      <w:r>
        <w:rPr>
          <w:rFonts w:hint="eastAsia" w:ascii="仿宋" w:hAnsi="仿宋" w:eastAsia="仿宋" w:cs="仿宋"/>
          <w:kern w:val="0"/>
          <w:sz w:val="24"/>
          <w:szCs w:val="24"/>
          <w:lang w:val="en-US" w:eastAsia="zh-CN" w:bidi="ar"/>
        </w:rPr>
        <w:t>。</w:t>
      </w:r>
    </w:p>
    <w:p w14:paraId="007FB329">
      <w:pPr>
        <w:keepNext w:val="0"/>
        <w:keepLines w:val="0"/>
        <w:widowControl w:val="0"/>
        <w:suppressLineNumbers w:val="0"/>
        <w:adjustRightInd w:val="0"/>
        <w:spacing w:before="0" w:beforeAutospacing="0" w:after="0" w:afterAutospacing="0" w:line="360" w:lineRule="auto"/>
        <w:ind w:left="420" w:leftChars="200" w:right="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三、项目采购清单和参数要求</w:t>
      </w:r>
    </w:p>
    <w:p w14:paraId="64EFFD32">
      <w:pPr>
        <w:keepNext w:val="0"/>
        <w:keepLines w:val="0"/>
        <w:widowControl w:val="0"/>
        <w:suppressLineNumbers w:val="0"/>
        <w:adjustRightInd w:val="0"/>
        <w:spacing w:before="0" w:beforeAutospacing="0" w:after="0" w:afterAutospacing="0" w:line="360" w:lineRule="auto"/>
        <w:ind w:left="420" w:leftChars="200" w:right="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（一）采购清单</w:t>
      </w:r>
    </w:p>
    <w:tbl>
      <w:tblPr>
        <w:tblStyle w:val="46"/>
        <w:tblW w:w="48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54"/>
        <w:gridCol w:w="2030"/>
        <w:gridCol w:w="2325"/>
        <w:gridCol w:w="1660"/>
        <w:gridCol w:w="1661"/>
      </w:tblGrid>
      <w:tr w14:paraId="1FDE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40B45194">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bCs/>
                <w:i w:val="0"/>
                <w:iCs w:val="0"/>
                <w:color w:val="000000"/>
                <w:kern w:val="2"/>
                <w:sz w:val="24"/>
                <w:szCs w:val="24"/>
              </w:rPr>
            </w:pPr>
            <w:r>
              <w:rPr>
                <w:rFonts w:hint="eastAsia" w:ascii="仿宋" w:hAnsi="仿宋" w:eastAsia="仿宋" w:cs="仿宋"/>
                <w:b/>
                <w:bCs/>
                <w:i w:val="0"/>
                <w:iCs w:val="0"/>
                <w:color w:val="000000"/>
                <w:kern w:val="2"/>
                <w:sz w:val="24"/>
                <w:szCs w:val="24"/>
                <w:lang w:val="en-US" w:eastAsia="zh-CN" w:bidi="ar"/>
              </w:rPr>
              <w:t>序号</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200D799B">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bCs/>
                <w:i w:val="0"/>
                <w:iCs w:val="0"/>
                <w:color w:val="000000"/>
                <w:kern w:val="2"/>
                <w:sz w:val="24"/>
                <w:szCs w:val="24"/>
              </w:rPr>
            </w:pPr>
            <w:r>
              <w:rPr>
                <w:rFonts w:hint="eastAsia" w:ascii="仿宋" w:hAnsi="仿宋" w:eastAsia="仿宋" w:cs="仿宋"/>
                <w:b/>
                <w:bCs/>
                <w:i w:val="0"/>
                <w:iCs w:val="0"/>
                <w:color w:val="000000"/>
                <w:kern w:val="2"/>
                <w:sz w:val="24"/>
                <w:szCs w:val="24"/>
                <w:lang w:val="en-US" w:eastAsia="zh-CN" w:bidi="ar"/>
              </w:rPr>
              <w:t>名称</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44E76158">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bCs/>
                <w:i w:val="0"/>
                <w:iCs w:val="0"/>
                <w:color w:val="000000"/>
                <w:kern w:val="2"/>
                <w:sz w:val="24"/>
                <w:szCs w:val="24"/>
              </w:rPr>
            </w:pPr>
            <w:r>
              <w:rPr>
                <w:rFonts w:hint="eastAsia" w:ascii="仿宋" w:hAnsi="仿宋" w:eastAsia="仿宋" w:cs="仿宋"/>
                <w:b/>
                <w:bCs/>
                <w:i w:val="0"/>
                <w:iCs w:val="0"/>
                <w:color w:val="000000"/>
                <w:kern w:val="2"/>
                <w:sz w:val="24"/>
                <w:szCs w:val="24"/>
                <w:lang w:val="en-US" w:eastAsia="zh-CN" w:bidi="ar"/>
              </w:rPr>
              <w:t>数量</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7548FDC9">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bCs/>
                <w:i w:val="0"/>
                <w:iCs w:val="0"/>
                <w:color w:val="000000"/>
                <w:kern w:val="2"/>
                <w:sz w:val="24"/>
                <w:szCs w:val="24"/>
              </w:rPr>
            </w:pPr>
            <w:r>
              <w:rPr>
                <w:rFonts w:hint="eastAsia" w:ascii="仿宋" w:hAnsi="仿宋" w:eastAsia="仿宋" w:cs="仿宋"/>
                <w:b/>
                <w:bCs/>
                <w:i w:val="0"/>
                <w:iCs w:val="0"/>
                <w:color w:val="000000"/>
                <w:kern w:val="2"/>
                <w:sz w:val="24"/>
                <w:szCs w:val="24"/>
                <w:lang w:val="en-US" w:eastAsia="zh-CN" w:bidi="ar"/>
              </w:rPr>
              <w:t>单位</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42C8F526">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bCs/>
                <w:i w:val="0"/>
                <w:iCs w:val="0"/>
                <w:color w:val="000000"/>
                <w:kern w:val="2"/>
                <w:sz w:val="24"/>
                <w:szCs w:val="24"/>
              </w:rPr>
            </w:pPr>
            <w:r>
              <w:rPr>
                <w:rFonts w:hint="eastAsia" w:ascii="仿宋" w:hAnsi="仿宋" w:eastAsia="仿宋" w:cs="仿宋"/>
                <w:b/>
                <w:bCs/>
                <w:i w:val="0"/>
                <w:iCs w:val="0"/>
                <w:color w:val="000000"/>
                <w:kern w:val="2"/>
                <w:sz w:val="24"/>
                <w:szCs w:val="24"/>
                <w:lang w:val="en-US" w:eastAsia="zh-CN" w:bidi="ar"/>
              </w:rPr>
              <w:t>备注</w:t>
            </w:r>
          </w:p>
        </w:tc>
      </w:tr>
      <w:tr w14:paraId="7076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04C3523A">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1</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6406D852">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手动布帘1</w:t>
            </w:r>
          </w:p>
          <w:p w14:paraId="28B6D98B">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lang w:val="en-US" w:eastAsia="zh-CN"/>
              </w:rPr>
              <w:t>★</w:t>
            </w:r>
            <w:r>
              <w:rPr>
                <w:rFonts w:hint="eastAsia" w:ascii="仿宋" w:hAnsi="仿宋" w:eastAsia="仿宋" w:cs="仿宋"/>
                <w:b/>
                <w:bCs/>
                <w:i w:val="0"/>
                <w:iCs w:val="0"/>
                <w:color w:val="000000"/>
                <w:kern w:val="2"/>
                <w:sz w:val="24"/>
                <w:szCs w:val="24"/>
                <w:lang w:val="en-US" w:eastAsia="zh-CN" w:bidi="ar"/>
              </w:rPr>
              <w:t>核心产品</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40A14F37">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14278.22</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1F7D97AA">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平方米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238480B4">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3749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72F8B9F5">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2</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34E60584">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手动布帘2</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1B39D050">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4189.12</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1A4DE526">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平方米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28347F6E">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394B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6701F2BC">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3</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6DC02117">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电动布帘2</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3F6AA4E9">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60.95</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5331EABC">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平方米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63A0FB3A">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4364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587F8E66">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4</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21167BC5">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手动开合帘轨道</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4C0FE9B8">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2945.43</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47E7830B">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48ECCBD2">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2780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57E49217">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5</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6F04CF3D">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电动开合轨</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073B2B50">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2.00</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32EE903A">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套</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5B8451DA">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0680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6A9C693F">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6</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7AE7FF34">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手动1%透景卷帘</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0F6EDC64">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3366.16</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2D429C47">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平方米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0A9385C9">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2842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548AE636">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7</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06F6A399">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手动3%透景卷帘</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05881BC6">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3226.90</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4B3AEFFD">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平方米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7E238CB1">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1A87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2A53F583">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8</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739A061E">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手动全遮光卷帘</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6E29DA05">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929.20</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68FD8600">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平方米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76286A0E">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5C52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50E21D6B">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9</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4810C746">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手动香格里拉帘</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0BA7C7F7">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948.90</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5C264E63">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平方米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7DB192FD">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125E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3A0E4AB2">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10</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0F3CCBD4">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手动防风卷帘</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5BDE2968">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187.39</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155D4F6A">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平方米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26CC7D3D">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5898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31E718E8">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11</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2416AB85">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床边隔帘</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5A4E7256">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1521</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29E4BDA8">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平方米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0ECBF59F">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18CD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7399D3C6">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12</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14E900E1">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隔帘轨道</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2F203572">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390</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7B611CA5">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1E58D724">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59A2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0CB49F76">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13</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73E65524">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纱窗</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69DBA2C7">
            <w:pPr>
              <w:keepNext w:val="0"/>
              <w:keepLines w:val="0"/>
              <w:widowControl/>
              <w:suppressLineNumbers w:val="0"/>
              <w:wordWrap w:val="0"/>
              <w:autoSpaceDE w:val="0"/>
              <w:autoSpaceDN/>
              <w:spacing w:before="0" w:beforeAutospacing="0" w:after="0" w:afterAutospacing="0"/>
              <w:ind w:left="0" w:right="0"/>
              <w:jc w:val="center"/>
              <w:textAlignment w:val="center"/>
              <w:rPr>
                <w:rFonts w:hint="default" w:ascii="仿宋" w:hAnsi="仿宋" w:eastAsia="仿宋" w:cs="仿宋"/>
                <w:b w:val="0"/>
                <w:bCs w:val="0"/>
                <w:i w:val="0"/>
                <w:iCs w:val="0"/>
                <w:color w:val="000000"/>
                <w:kern w:val="2"/>
                <w:sz w:val="24"/>
                <w:szCs w:val="24"/>
                <w:lang w:val="en-US"/>
              </w:rPr>
            </w:pPr>
            <w:r>
              <w:rPr>
                <w:rFonts w:hint="eastAsia" w:ascii="仿宋" w:hAnsi="仿宋" w:eastAsia="仿宋" w:cs="仿宋"/>
                <w:b w:val="0"/>
                <w:bCs w:val="0"/>
                <w:i w:val="0"/>
                <w:iCs w:val="0"/>
                <w:color w:val="000000"/>
                <w:kern w:val="2"/>
                <w:sz w:val="24"/>
                <w:szCs w:val="24"/>
                <w:highlight w:val="none"/>
                <w:lang w:val="en-US" w:eastAsia="zh-CN" w:bidi="ar"/>
              </w:rPr>
              <w:t>1000</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0AF1A0B3">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平方米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21F610E7">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r w14:paraId="1748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14:paraId="6035A838">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14</w:t>
            </w:r>
          </w:p>
        </w:tc>
        <w:tc>
          <w:tcPr>
            <w:tcW w:w="1136" w:type="pct"/>
            <w:tcBorders>
              <w:top w:val="single" w:color="auto" w:sz="4" w:space="0"/>
              <w:left w:val="single" w:color="auto" w:sz="4" w:space="0"/>
              <w:bottom w:val="single" w:color="auto" w:sz="4" w:space="0"/>
              <w:right w:val="single" w:color="auto" w:sz="4" w:space="0"/>
            </w:tcBorders>
            <w:shd w:val="clear" w:color="auto" w:fill="auto"/>
            <w:vAlign w:val="center"/>
          </w:tcPr>
          <w:p w14:paraId="5D7134A5">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磨砂膜</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14:paraId="6F74A70B">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438.10</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65D92A06">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r>
              <w:rPr>
                <w:rFonts w:hint="eastAsia" w:ascii="仿宋" w:hAnsi="仿宋" w:eastAsia="仿宋" w:cs="仿宋"/>
                <w:b w:val="0"/>
                <w:bCs w:val="0"/>
                <w:i w:val="0"/>
                <w:iCs w:val="0"/>
                <w:color w:val="000000"/>
                <w:kern w:val="2"/>
                <w:sz w:val="24"/>
                <w:szCs w:val="24"/>
                <w:lang w:val="en-US" w:eastAsia="zh-CN" w:bidi="ar"/>
              </w:rPr>
              <w:t>平方米</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14:paraId="60270E29">
            <w:pPr>
              <w:keepNext w:val="0"/>
              <w:keepLines w:val="0"/>
              <w:widowControl/>
              <w:suppressLineNumbers w:val="0"/>
              <w:wordWrap w:val="0"/>
              <w:autoSpaceDE w:val="0"/>
              <w:autoSpaceDN/>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rPr>
            </w:pPr>
          </w:p>
        </w:tc>
      </w:tr>
    </w:tbl>
    <w:p w14:paraId="2E8FFDD5">
      <w:pPr>
        <w:keepNext w:val="0"/>
        <w:keepLines w:val="0"/>
        <w:widowControl/>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注：本次招标的卷帘、香格里拉帘、防风卷帘、</w:t>
      </w:r>
      <w:r>
        <w:rPr>
          <w:rFonts w:hint="eastAsia" w:ascii="仿宋" w:hAnsi="仿宋" w:eastAsia="仿宋" w:cs="仿宋"/>
          <w:b w:val="0"/>
          <w:bCs w:val="0"/>
          <w:i w:val="0"/>
          <w:iCs w:val="0"/>
          <w:kern w:val="2"/>
          <w:sz w:val="24"/>
          <w:szCs w:val="24"/>
          <w:lang w:val="en-US" w:eastAsia="zh-CN" w:bidi="ar"/>
        </w:rPr>
        <w:t>纱窗、</w:t>
      </w:r>
      <w:r>
        <w:rPr>
          <w:rFonts w:hint="eastAsia" w:ascii="仿宋" w:hAnsi="仿宋" w:eastAsia="仿宋" w:cs="仿宋"/>
          <w:kern w:val="2"/>
          <w:sz w:val="24"/>
          <w:szCs w:val="24"/>
          <w:lang w:val="en-US" w:eastAsia="zh-CN" w:bidi="ar"/>
        </w:rPr>
        <w:t>磨砂膜为覆盖面积；布帘、床边隔帘为窗帘实际用量，布帘需采用1:2打摺、床边隔帘1:1.5打摺。各产品数量供货时会有调整，结算时按采购人实际采购数量*中标单价按实结算。所有辅料配件、现场安装及产生的垃圾清理费均包含在投标报价中。</w:t>
      </w:r>
    </w:p>
    <w:p w14:paraId="08EEC82C">
      <w:pPr>
        <w:pStyle w:val="26"/>
        <w:rPr>
          <w:rFonts w:hint="eastAsia" w:ascii="仿宋" w:hAnsi="仿宋" w:eastAsia="仿宋" w:cs="仿宋"/>
          <w:color w:val="auto"/>
          <w:kern w:val="2"/>
          <w:sz w:val="24"/>
          <w:highlight w:val="none"/>
          <w:lang w:eastAsia="zh-CN"/>
        </w:rPr>
      </w:pPr>
    </w:p>
    <w:p w14:paraId="6E2B8F0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）参数要求</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6842"/>
      </w:tblGrid>
      <w:tr w14:paraId="6AC9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0" w:type="dxa"/>
            <w:vAlign w:val="center"/>
          </w:tcPr>
          <w:p w14:paraId="59C78B2F">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产品名称</w:t>
            </w:r>
          </w:p>
        </w:tc>
        <w:tc>
          <w:tcPr>
            <w:tcW w:w="6842" w:type="dxa"/>
          </w:tcPr>
          <w:p w14:paraId="556B2F79">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详细技术参数</w:t>
            </w:r>
          </w:p>
        </w:tc>
      </w:tr>
      <w:tr w14:paraId="2717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12E90D97">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手动布帘1</w:t>
            </w:r>
          </w:p>
          <w:p w14:paraId="0E25B70B">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w:t>
            </w:r>
            <w:r>
              <w:rPr>
                <w:rFonts w:hint="eastAsia" w:ascii="仿宋" w:hAnsi="仿宋" w:eastAsia="仿宋" w:cs="仿宋"/>
                <w:b/>
                <w:bCs/>
                <w:i w:val="0"/>
                <w:iCs w:val="0"/>
                <w:color w:val="auto"/>
                <w:sz w:val="24"/>
                <w:szCs w:val="24"/>
                <w:u w:val="none"/>
                <w:lang w:val="en-US" w:eastAsia="zh-CN"/>
              </w:rPr>
              <w:t>核心产品</w:t>
            </w:r>
          </w:p>
        </w:tc>
        <w:tc>
          <w:tcPr>
            <w:tcW w:w="6842" w:type="dxa"/>
            <w:vAlign w:val="top"/>
          </w:tcPr>
          <w:p w14:paraId="034400FA">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阻燃遮光面料</w:t>
            </w:r>
          </w:p>
          <w:p w14:paraId="0F81BE5B">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i w:val="0"/>
                <w:iCs w:val="0"/>
                <w:color w:val="auto"/>
                <w:sz w:val="24"/>
                <w:szCs w:val="24"/>
                <w:u w:val="none"/>
                <w:lang w:val="en-US" w:eastAsia="zh-CN"/>
              </w:rPr>
              <w:t>☆</w:t>
            </w:r>
            <w:r>
              <w:rPr>
                <w:rFonts w:hint="eastAsia" w:ascii="仿宋" w:hAnsi="仿宋" w:eastAsia="仿宋" w:cs="仿宋"/>
                <w:color w:val="auto"/>
                <w:sz w:val="24"/>
                <w:szCs w:val="24"/>
                <w:lang w:val="en-US" w:eastAsia="zh-CN"/>
              </w:rPr>
              <w:t>1.面料纤维含量：100%聚酯纤维；克重:≥310g/m²；</w:t>
            </w:r>
          </w:p>
          <w:p w14:paraId="432D21BA">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2.遮光率：≥90%；</w:t>
            </w:r>
          </w:p>
          <w:p w14:paraId="15576962">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▲3.燃烧性能等级:B1级及以上（依据GB8624-2012《建筑材料及制品燃烧性能分级》）；</w:t>
            </w:r>
          </w:p>
          <w:p w14:paraId="7FA0A4D8">
            <w:pPr>
              <w:keepNext w:val="0"/>
              <w:keepLines w:val="0"/>
              <w:pageBreakBefore w:val="0"/>
              <w:widowControl/>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4.断裂强力：经向≥2000N、纬向≥1000N（依据GB/T 3923.1-2013《纺织品织物拉伸性能第1部分:断裂强力和断裂伸长率的测定(条样法)》标准测定）；</w:t>
            </w:r>
          </w:p>
          <w:p w14:paraId="720ED36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☆5.甲醛含量：未检出</w:t>
            </w:r>
            <w:r>
              <w:rPr>
                <w:rFonts w:hint="eastAsia" w:ascii="仿宋" w:hAnsi="仿宋" w:eastAsia="仿宋" w:cs="仿宋"/>
                <w:color w:val="auto"/>
                <w:sz w:val="24"/>
                <w:szCs w:val="24"/>
              </w:rPr>
              <w:t>（依据GB/T2912.1-2009《纺织品 甲醛的测定 第1部分：游离和水解的甲醛（水萃取法）》标准</w:t>
            </w:r>
            <w:r>
              <w:rPr>
                <w:rFonts w:hint="eastAsia" w:ascii="仿宋" w:hAnsi="仿宋" w:eastAsia="仿宋" w:cs="仿宋"/>
                <w:color w:val="auto"/>
                <w:sz w:val="24"/>
                <w:szCs w:val="24"/>
                <w:lang w:val="en-US" w:eastAsia="zh-CN"/>
              </w:rPr>
              <w:t>测定</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w:t>
            </w:r>
          </w:p>
          <w:p w14:paraId="22160408">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耐热压色牢度：潮压变色</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4级（依据GB/T6152-</w:t>
            </w:r>
            <w:r>
              <w:rPr>
                <w:rFonts w:hint="eastAsia" w:ascii="仿宋" w:hAnsi="仿宋" w:eastAsia="仿宋" w:cs="仿宋"/>
                <w:color w:val="auto"/>
                <w:sz w:val="24"/>
                <w:szCs w:val="24"/>
                <w:lang w:val="en-US" w:eastAsia="zh-CN"/>
              </w:rPr>
              <w:t xml:space="preserve">1997《纺织品 色牢度试验 </w:t>
            </w:r>
            <w:r>
              <w:rPr>
                <w:rFonts w:hint="eastAsia" w:ascii="仿宋" w:hAnsi="仿宋" w:eastAsia="仿宋" w:cs="仿宋"/>
                <w:color w:val="auto"/>
                <w:sz w:val="24"/>
                <w:szCs w:val="24"/>
              </w:rPr>
              <w:t>耐热压色牢度</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标准）</w:t>
            </w:r>
          </w:p>
          <w:p w14:paraId="4E74105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7.PH值：4.0-7.5</w:t>
            </w:r>
            <w:r>
              <w:rPr>
                <w:rFonts w:hint="eastAsia" w:ascii="仿宋" w:hAnsi="仿宋" w:eastAsia="仿宋" w:cs="仿宋"/>
                <w:color w:val="auto"/>
                <w:sz w:val="24"/>
                <w:szCs w:val="24"/>
              </w:rPr>
              <w:t>（依据 GB/T 7573-2009《纺织品 水萃取液pH值的测定》标准测定）</w:t>
            </w:r>
            <w:r>
              <w:rPr>
                <w:rFonts w:hint="eastAsia" w:ascii="仿宋" w:hAnsi="仿宋" w:eastAsia="仿宋" w:cs="仿宋"/>
                <w:color w:val="auto"/>
                <w:sz w:val="24"/>
                <w:szCs w:val="24"/>
                <w:lang w:eastAsia="zh-CN"/>
              </w:rPr>
              <w:t>；</w:t>
            </w:r>
          </w:p>
          <w:p w14:paraId="0B09B256">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8.异味：无</w:t>
            </w:r>
            <w:r>
              <w:rPr>
                <w:rFonts w:hint="eastAsia" w:ascii="仿宋" w:hAnsi="仿宋" w:eastAsia="仿宋" w:cs="仿宋"/>
                <w:strike w:val="0"/>
                <w:dstrike w:val="0"/>
                <w:color w:val="auto"/>
                <w:sz w:val="24"/>
                <w:szCs w:val="24"/>
              </w:rPr>
              <w:t>（依据 GB 18401-2010《国家纺织产品基本安全技术规范》标准测定）</w:t>
            </w:r>
            <w:r>
              <w:rPr>
                <w:rFonts w:hint="eastAsia" w:ascii="仿宋" w:hAnsi="仿宋" w:eastAsia="仿宋" w:cs="仿宋"/>
                <w:strike w:val="0"/>
                <w:dstrike w:val="0"/>
                <w:color w:val="auto"/>
                <w:sz w:val="24"/>
                <w:szCs w:val="24"/>
                <w:lang w:val="en-US" w:eastAsia="zh-CN"/>
              </w:rPr>
              <w:t>；</w:t>
            </w:r>
          </w:p>
          <w:p w14:paraId="20EA468B">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可分解致癌芳香胺：禁用（依据 GB/T 17592-2011《纺织品 禁用偶氮染料的测定》标准测定）</w:t>
            </w:r>
            <w:r>
              <w:rPr>
                <w:rFonts w:hint="eastAsia" w:ascii="仿宋" w:hAnsi="仿宋" w:eastAsia="仿宋" w:cs="仿宋"/>
                <w:color w:val="auto"/>
                <w:sz w:val="24"/>
                <w:szCs w:val="24"/>
                <w:lang w:eastAsia="zh-CN"/>
              </w:rPr>
              <w:t>；</w:t>
            </w:r>
          </w:p>
          <w:p w14:paraId="542B05C0">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致敏染料：未检出（依据 GB/T 20383-2006《纺织品 致敏性分散染料的测定》标准测定）；</w:t>
            </w:r>
          </w:p>
          <w:p w14:paraId="572DFC86">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textAlignment w:val="auto"/>
              <w:rPr>
                <w:rFonts w:hint="eastAsia"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11.紫外线防护系数UPF</w:t>
            </w:r>
            <w:r>
              <w:rPr>
                <w:rFonts w:hint="eastAsia" w:ascii="仿宋" w:hAnsi="仿宋" w:eastAsia="仿宋" w:cs="仿宋"/>
                <w:color w:val="auto"/>
                <w:sz w:val="24"/>
                <w:szCs w:val="24"/>
                <w:lang w:val="en-US" w:eastAsia="zh-CN"/>
              </w:rPr>
              <w:t>≥</w:t>
            </w:r>
            <w:r>
              <w:rPr>
                <w:rFonts w:hint="eastAsia" w:ascii="仿宋" w:hAnsi="仿宋" w:eastAsia="仿宋" w:cs="仿宋"/>
                <w:strike w:val="0"/>
                <w:dstrike w:val="0"/>
                <w:color w:val="auto"/>
                <w:sz w:val="24"/>
                <w:szCs w:val="24"/>
                <w:lang w:val="en-US" w:eastAsia="zh-CN"/>
              </w:rPr>
              <w:t>40（依据 GB/T 18830-2009《纺织品 防紫外线性能的评定》标准测定）；</w:t>
            </w:r>
          </w:p>
          <w:p w14:paraId="7DA53119">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val="en-US" w:eastAsia="zh-CN"/>
              </w:rPr>
              <w:t>12.抗菌性能：金黄色葡萄球菌抑菌率</w:t>
            </w:r>
            <w:bookmarkStart w:id="56" w:name="OLE_LINK3"/>
            <w:r>
              <w:rPr>
                <w:rFonts w:hint="eastAsia" w:ascii="仿宋" w:hAnsi="仿宋" w:eastAsia="仿宋" w:cs="仿宋"/>
                <w:color w:val="auto"/>
                <w:sz w:val="24"/>
                <w:szCs w:val="24"/>
                <w:lang w:val="en-US" w:eastAsia="zh-CN"/>
              </w:rPr>
              <w:t>≥</w:t>
            </w:r>
            <w:bookmarkEnd w:id="56"/>
            <w:r>
              <w:rPr>
                <w:rFonts w:hint="eastAsia" w:ascii="仿宋" w:hAnsi="仿宋" w:eastAsia="仿宋" w:cs="仿宋"/>
                <w:color w:val="auto"/>
                <w:sz w:val="24"/>
                <w:szCs w:val="24"/>
                <w:lang w:val="en-US" w:eastAsia="zh-CN"/>
              </w:rPr>
              <w:t>95%，大肠杆菌抑菌率≥95%，白色念珠菌抑菌率≥95%</w:t>
            </w:r>
            <w:r>
              <w:rPr>
                <w:rFonts w:hint="eastAsia" w:ascii="仿宋" w:hAnsi="仿宋" w:eastAsia="仿宋" w:cs="仿宋"/>
                <w:color w:val="auto"/>
                <w:sz w:val="24"/>
                <w:szCs w:val="24"/>
                <w:lang w:bidi="zh-CN"/>
              </w:rPr>
              <w:t>（</w:t>
            </w:r>
            <w:r>
              <w:rPr>
                <w:rFonts w:hint="eastAsia" w:ascii="仿宋" w:hAnsi="仿宋" w:eastAsia="仿宋" w:cs="仿宋"/>
                <w:color w:val="auto"/>
                <w:sz w:val="24"/>
                <w:szCs w:val="24"/>
                <w:lang w:val="en-US" w:bidi="zh-CN"/>
              </w:rPr>
              <w:t>依据GB/T 20944-2007</w:t>
            </w:r>
            <w:r>
              <w:rPr>
                <w:rFonts w:hint="eastAsia" w:ascii="仿宋" w:hAnsi="仿宋" w:eastAsia="仿宋" w:cs="仿宋"/>
                <w:color w:val="auto"/>
                <w:sz w:val="24"/>
                <w:szCs w:val="24"/>
                <w:lang w:val="en-US" w:eastAsia="zh-CN" w:bidi="zh-CN"/>
              </w:rPr>
              <w:t>《纺织品 抗菌性能的评价》</w:t>
            </w:r>
            <w:r>
              <w:rPr>
                <w:rFonts w:hint="eastAsia" w:ascii="仿宋" w:hAnsi="仿宋" w:eastAsia="仿宋" w:cs="仿宋"/>
                <w:color w:val="auto"/>
                <w:sz w:val="24"/>
                <w:szCs w:val="24"/>
                <w:lang w:val="en-US" w:bidi="zh-CN"/>
              </w:rPr>
              <w:t>标准测定</w:t>
            </w:r>
            <w:r>
              <w:rPr>
                <w:rFonts w:hint="eastAsia" w:ascii="仿宋" w:hAnsi="仿宋" w:eastAsia="仿宋" w:cs="仿宋"/>
                <w:color w:val="auto"/>
                <w:sz w:val="24"/>
                <w:szCs w:val="24"/>
                <w:lang w:bidi="zh-CN"/>
              </w:rPr>
              <w:t>）</w:t>
            </w:r>
            <w:r>
              <w:rPr>
                <w:rFonts w:hint="eastAsia" w:ascii="仿宋" w:hAnsi="仿宋" w:eastAsia="仿宋" w:cs="仿宋"/>
                <w:strike w:val="0"/>
                <w:dstrike w:val="0"/>
                <w:color w:val="auto"/>
                <w:sz w:val="24"/>
                <w:szCs w:val="24"/>
                <w:lang w:val="en-US" w:eastAsia="zh-CN"/>
              </w:rPr>
              <w:t>。</w:t>
            </w:r>
          </w:p>
        </w:tc>
      </w:tr>
      <w:tr w14:paraId="38AF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1470" w:type="dxa"/>
            <w:vAlign w:val="center"/>
          </w:tcPr>
          <w:p w14:paraId="6A8867EA">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手动布帘2</w:t>
            </w:r>
          </w:p>
        </w:tc>
        <w:tc>
          <w:tcPr>
            <w:tcW w:w="6842" w:type="dxa"/>
            <w:vMerge w:val="restart"/>
            <w:vAlign w:val="top"/>
          </w:tcPr>
          <w:p w14:paraId="1FE3FD3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阻燃遮光面料</w:t>
            </w:r>
          </w:p>
          <w:p w14:paraId="7F416BA4">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i w:val="0"/>
                <w:iCs w:val="0"/>
                <w:color w:val="auto"/>
                <w:kern w:val="2"/>
                <w:sz w:val="24"/>
                <w:szCs w:val="24"/>
                <w:u w:val="none"/>
                <w:lang w:val="en-US" w:eastAsia="zh-CN" w:bidi="ar-SA"/>
              </w:rPr>
              <w:t>1.面料纤维含量：100%聚酯纤维、克重:≥400g/m²，</w:t>
            </w:r>
          </w:p>
          <w:p w14:paraId="74636F39">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2.遮光率：≥99%；</w:t>
            </w:r>
          </w:p>
          <w:p w14:paraId="505A2B8D">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default"/>
                <w:color w:val="auto"/>
                <w:sz w:val="24"/>
                <w:szCs w:val="24"/>
              </w:rPr>
            </w:pPr>
            <w:r>
              <w:rPr>
                <w:rFonts w:hint="eastAsia" w:ascii="仿宋" w:hAnsi="仿宋" w:eastAsia="仿宋" w:cs="仿宋"/>
                <w:b w:val="0"/>
                <w:bCs w:val="0"/>
                <w:i w:val="0"/>
                <w:iCs w:val="0"/>
                <w:color w:val="auto"/>
                <w:kern w:val="2"/>
                <w:sz w:val="24"/>
                <w:szCs w:val="24"/>
                <w:lang w:val="en-US" w:eastAsia="zh-CN" w:bidi="ar"/>
              </w:rPr>
              <w:t>▲3.燃烧性能等级:B1级及以上（依据GB8624-2012《建筑材料及制品燃烧性能分级》）</w:t>
            </w:r>
          </w:p>
          <w:p w14:paraId="465E5422">
            <w:pPr>
              <w:keepNext w:val="0"/>
              <w:keepLines w:val="0"/>
              <w:pageBreakBefore w:val="0"/>
              <w:widowControl/>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4.断裂强力：经向≥2000N、纬向≥1000N（依据GB/T 3923.1-2013《纺织品织物拉伸性能第1部分:断裂强力和断裂伸长率的测定(条样法)》标准测定）；</w:t>
            </w:r>
          </w:p>
          <w:p w14:paraId="1954E733">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i w:val="0"/>
                <w:iCs w:val="0"/>
                <w:color w:val="auto"/>
                <w:kern w:val="2"/>
                <w:sz w:val="24"/>
                <w:szCs w:val="24"/>
                <w:lang w:val="en-US" w:eastAsia="zh-CN" w:bidi="ar"/>
              </w:rPr>
              <w:t>5.甲醛含量：未检出</w:t>
            </w:r>
            <w:r>
              <w:rPr>
                <w:rFonts w:hint="eastAsia" w:ascii="仿宋" w:hAnsi="仿宋" w:eastAsia="仿宋" w:cs="仿宋"/>
                <w:color w:val="auto"/>
                <w:kern w:val="0"/>
                <w:sz w:val="24"/>
                <w:szCs w:val="24"/>
                <w:lang w:val="en-US" w:eastAsia="zh-CN" w:bidi="ar"/>
              </w:rPr>
              <w:t>（依据GB/T2912.1-2009《纺织品 甲醛的测定 第1部分：游离和水解的甲醛（水萃取法）》标准测定）</w:t>
            </w:r>
            <w:r>
              <w:rPr>
                <w:rFonts w:hint="eastAsia" w:ascii="仿宋" w:hAnsi="仿宋" w:eastAsia="仿宋" w:cs="仿宋"/>
                <w:b w:val="0"/>
                <w:bCs w:val="0"/>
                <w:i w:val="0"/>
                <w:iCs w:val="0"/>
                <w:color w:val="auto"/>
                <w:kern w:val="2"/>
                <w:sz w:val="24"/>
                <w:szCs w:val="24"/>
                <w:lang w:val="en-US" w:eastAsia="zh-CN" w:bidi="ar"/>
              </w:rPr>
              <w:t>；</w:t>
            </w:r>
          </w:p>
          <w:p w14:paraId="2F1500FE">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lang w:val="en-US" w:eastAsia="zh-CN" w:bidi="ar"/>
              </w:rPr>
              <w:t>6.耐热压色牢度：潮压变色不低于4级（依据GB/T6152-1997《纺织品 色牢度试验 耐热压色牢度》标准）</w:t>
            </w:r>
          </w:p>
          <w:p w14:paraId="66C8DDCD">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rPr>
            </w:pPr>
            <w:r>
              <w:rPr>
                <w:rFonts w:hint="eastAsia" w:ascii="仿宋" w:hAnsi="仿宋" w:eastAsia="仿宋" w:cs="仿宋"/>
                <w:b w:val="0"/>
                <w:bCs w:val="0"/>
                <w:i w:val="0"/>
                <w:iCs w:val="0"/>
                <w:color w:val="auto"/>
                <w:kern w:val="2"/>
                <w:sz w:val="24"/>
                <w:szCs w:val="24"/>
                <w:lang w:val="en-US" w:eastAsia="zh-CN" w:bidi="ar"/>
              </w:rPr>
              <w:t>7.PH值：4.0-7.5</w:t>
            </w:r>
            <w:r>
              <w:rPr>
                <w:rFonts w:hint="eastAsia" w:ascii="仿宋" w:hAnsi="仿宋" w:eastAsia="仿宋" w:cs="仿宋"/>
                <w:color w:val="auto"/>
                <w:kern w:val="0"/>
                <w:sz w:val="24"/>
                <w:szCs w:val="24"/>
                <w:lang w:val="en-US" w:eastAsia="zh-CN" w:bidi="ar"/>
              </w:rPr>
              <w:t>（依据 GB/T 7573-2009《纺织品 水萃取液pH值的测定》标准测定）；</w:t>
            </w:r>
          </w:p>
          <w:p w14:paraId="66E319EC">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strike w:val="0"/>
                <w:dstrike w:val="0"/>
                <w:color w:val="auto"/>
                <w:kern w:val="2"/>
                <w:sz w:val="24"/>
                <w:szCs w:val="24"/>
              </w:rPr>
            </w:pPr>
            <w:r>
              <w:rPr>
                <w:rFonts w:hint="eastAsia" w:ascii="仿宋" w:hAnsi="仿宋" w:eastAsia="仿宋" w:cs="仿宋"/>
                <w:b w:val="0"/>
                <w:bCs w:val="0"/>
                <w:i w:val="0"/>
                <w:iCs w:val="0"/>
                <w:strike w:val="0"/>
                <w:dstrike w:val="0"/>
                <w:color w:val="auto"/>
                <w:kern w:val="2"/>
                <w:sz w:val="24"/>
                <w:szCs w:val="24"/>
                <w:lang w:val="en-US" w:eastAsia="zh-CN" w:bidi="ar"/>
              </w:rPr>
              <w:t>8.异味：无</w:t>
            </w:r>
            <w:r>
              <w:rPr>
                <w:rFonts w:hint="eastAsia" w:ascii="仿宋" w:hAnsi="仿宋" w:eastAsia="仿宋" w:cs="仿宋"/>
                <w:strike w:val="0"/>
                <w:dstrike w:val="0"/>
                <w:color w:val="auto"/>
                <w:kern w:val="0"/>
                <w:sz w:val="24"/>
                <w:szCs w:val="24"/>
                <w:lang w:val="en-US" w:eastAsia="zh-CN" w:bidi="ar"/>
              </w:rPr>
              <w:t>（依据 GB 18401-2010《国家纺织产品基本安全技术规范》标准测定）</w:t>
            </w:r>
            <w:r>
              <w:rPr>
                <w:rFonts w:hint="eastAsia" w:ascii="仿宋" w:hAnsi="仿宋" w:eastAsia="仿宋" w:cs="仿宋"/>
                <w:b w:val="0"/>
                <w:bCs w:val="0"/>
                <w:i w:val="0"/>
                <w:iCs w:val="0"/>
                <w:strike w:val="0"/>
                <w:dstrike w:val="0"/>
                <w:color w:val="auto"/>
                <w:kern w:val="2"/>
                <w:sz w:val="24"/>
                <w:szCs w:val="24"/>
                <w:lang w:val="en-US" w:eastAsia="zh-CN" w:bidi="ar"/>
              </w:rPr>
              <w:t>；</w:t>
            </w:r>
          </w:p>
          <w:p w14:paraId="5214F7EC">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9.可分解致癌芳香胺：禁用（依据 GB/T 17592-2011《纺织品 禁用偶氮染料的测定》标准测定）；</w:t>
            </w:r>
          </w:p>
          <w:p w14:paraId="1186A818">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10.致敏染料：未检出（依据 GB/T 20383-2006《纺织品 致敏性分散染料的测定》标准测定）；</w:t>
            </w:r>
          </w:p>
          <w:p w14:paraId="5806BA1A">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lang w:val="en-US" w:eastAsia="zh-CN" w:bidi="ar"/>
              </w:rPr>
            </w:pPr>
            <w:r>
              <w:rPr>
                <w:rFonts w:hint="eastAsia" w:ascii="仿宋" w:hAnsi="仿宋" w:eastAsia="仿宋" w:cs="仿宋"/>
                <w:b w:val="0"/>
                <w:bCs w:val="0"/>
                <w:i w:val="0"/>
                <w:iCs w:val="0"/>
                <w:color w:val="auto"/>
                <w:kern w:val="2"/>
                <w:sz w:val="24"/>
                <w:szCs w:val="24"/>
                <w:lang w:val="en-US" w:eastAsia="zh-CN" w:bidi="ar"/>
              </w:rPr>
              <w:t>11.紫外线防护系数UPF</w:t>
            </w:r>
            <w:r>
              <w:rPr>
                <w:rFonts w:hint="eastAsia"/>
                <w:color w:val="auto"/>
                <w:sz w:val="24"/>
                <w:szCs w:val="24"/>
                <w:lang w:val="en-US" w:eastAsia="zh-CN"/>
              </w:rPr>
              <w:t>≥</w:t>
            </w:r>
            <w:r>
              <w:rPr>
                <w:rFonts w:hint="eastAsia" w:ascii="仿宋" w:hAnsi="仿宋" w:eastAsia="仿宋" w:cs="仿宋"/>
                <w:b w:val="0"/>
                <w:bCs w:val="0"/>
                <w:i w:val="0"/>
                <w:iCs w:val="0"/>
                <w:color w:val="auto"/>
                <w:kern w:val="2"/>
                <w:sz w:val="24"/>
                <w:szCs w:val="24"/>
                <w:lang w:val="en-US" w:eastAsia="zh-CN" w:bidi="ar"/>
              </w:rPr>
              <w:t>40（依据 GB/T 18830-2009《纺织品 防紫外线性能的评定》标准测定）；</w:t>
            </w:r>
          </w:p>
          <w:p w14:paraId="2B596399">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val="en-US" w:eastAsia="zh-CN"/>
              </w:rPr>
              <w:t>12.抗菌性能：金黄色葡萄球菌抑菌率≥95%，大肠杆菌抑菌率≥95%，白色念珠菌抑菌率≥95%</w:t>
            </w:r>
            <w:r>
              <w:rPr>
                <w:rFonts w:hint="eastAsia" w:ascii="仿宋" w:hAnsi="仿宋" w:eastAsia="仿宋" w:cs="仿宋"/>
                <w:color w:val="auto"/>
                <w:sz w:val="24"/>
                <w:szCs w:val="24"/>
                <w:lang w:bidi="zh-CN"/>
              </w:rPr>
              <w:t>（</w:t>
            </w:r>
            <w:r>
              <w:rPr>
                <w:rFonts w:hint="eastAsia" w:ascii="仿宋" w:hAnsi="仿宋" w:eastAsia="仿宋" w:cs="仿宋"/>
                <w:color w:val="auto"/>
                <w:sz w:val="24"/>
                <w:szCs w:val="24"/>
                <w:lang w:val="en-US" w:bidi="zh-CN"/>
              </w:rPr>
              <w:t>依据GB/T 20944-2007</w:t>
            </w:r>
            <w:r>
              <w:rPr>
                <w:rFonts w:hint="eastAsia" w:ascii="仿宋" w:hAnsi="仿宋" w:eastAsia="仿宋" w:cs="仿宋"/>
                <w:color w:val="auto"/>
                <w:sz w:val="24"/>
                <w:szCs w:val="24"/>
                <w:lang w:val="en-US" w:eastAsia="zh-CN" w:bidi="zh-CN"/>
              </w:rPr>
              <w:t>《纺织品 抗菌性能的评价》</w:t>
            </w:r>
            <w:r>
              <w:rPr>
                <w:rFonts w:hint="eastAsia" w:ascii="仿宋" w:hAnsi="仿宋" w:eastAsia="仿宋" w:cs="仿宋"/>
                <w:color w:val="auto"/>
                <w:sz w:val="24"/>
                <w:szCs w:val="24"/>
                <w:lang w:val="en-US" w:bidi="zh-CN"/>
              </w:rPr>
              <w:t>标准测定</w:t>
            </w:r>
            <w:r>
              <w:rPr>
                <w:rFonts w:hint="eastAsia" w:ascii="仿宋" w:hAnsi="仿宋" w:eastAsia="仿宋" w:cs="仿宋"/>
                <w:color w:val="auto"/>
                <w:sz w:val="24"/>
                <w:szCs w:val="24"/>
                <w:lang w:bidi="zh-CN"/>
              </w:rPr>
              <w:t>）</w:t>
            </w:r>
            <w:r>
              <w:rPr>
                <w:rFonts w:hint="eastAsia" w:ascii="仿宋" w:hAnsi="仿宋" w:eastAsia="仿宋" w:cs="仿宋"/>
                <w:strike w:val="0"/>
                <w:dstrike w:val="0"/>
                <w:color w:val="auto"/>
                <w:sz w:val="24"/>
                <w:szCs w:val="24"/>
                <w:lang w:val="en-US" w:eastAsia="zh-CN"/>
              </w:rPr>
              <w:t>。</w:t>
            </w:r>
          </w:p>
        </w:tc>
      </w:tr>
      <w:tr w14:paraId="7552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01CCA5C8">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电动布帘2</w:t>
            </w:r>
          </w:p>
        </w:tc>
        <w:tc>
          <w:tcPr>
            <w:tcW w:w="6842" w:type="dxa"/>
            <w:vMerge w:val="continue"/>
            <w:vAlign w:val="top"/>
          </w:tcPr>
          <w:p w14:paraId="73198D81">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default" w:ascii="仿宋" w:hAnsi="仿宋" w:eastAsia="仿宋" w:cs="仿宋"/>
                <w:color w:val="auto"/>
                <w:sz w:val="24"/>
                <w:szCs w:val="24"/>
                <w:highlight w:val="none"/>
                <w:lang w:val="en-US" w:eastAsia="zh-CN"/>
              </w:rPr>
            </w:pPr>
          </w:p>
        </w:tc>
      </w:tr>
      <w:tr w14:paraId="6130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vAlign w:val="center"/>
          </w:tcPr>
          <w:p w14:paraId="4434732C">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电动开合轨</w:t>
            </w:r>
          </w:p>
        </w:tc>
        <w:tc>
          <w:tcPr>
            <w:tcW w:w="6842" w:type="dxa"/>
            <w:vAlign w:val="center"/>
          </w:tcPr>
          <w:p w14:paraId="5E0E4AEE">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sz w:val="24"/>
                <w:szCs w:val="24"/>
                <w:lang w:val="en-US" w:eastAsia="zh-CN"/>
              </w:rPr>
              <w:t>轨道采用高强度6063-T5铝合金材质（按GB/T 5237.1 - 2008《铝合金建筑型材 第 1 部分：基材》要求），表面电泳工艺，壁厚≥2.0mm。</w:t>
            </w:r>
          </w:p>
          <w:p w14:paraId="7849A102">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sz w:val="24"/>
                <w:szCs w:val="24"/>
                <w:lang w:val="en-US" w:eastAsia="zh-CN"/>
              </w:rPr>
              <w:t>每套含5米以内轨道，轨道运行平顺，配套原装无线遥控器。</w:t>
            </w:r>
          </w:p>
          <w:p w14:paraId="16AEE13C">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3.采用静音电机，噪音≤32分贝</w:t>
            </w:r>
            <w:r>
              <w:rPr>
                <w:rFonts w:hint="eastAsia"/>
                <w:color w:val="auto"/>
                <w:sz w:val="24"/>
                <w:szCs w:val="24"/>
                <w:lang w:eastAsia="zh-CN"/>
              </w:rPr>
              <w:t>，</w:t>
            </w:r>
            <w:r>
              <w:rPr>
                <w:rFonts w:hint="eastAsia" w:ascii="仿宋" w:hAnsi="仿宋" w:eastAsia="仿宋" w:cs="仿宋"/>
                <w:color w:val="auto"/>
                <w:sz w:val="24"/>
                <w:szCs w:val="24"/>
                <w:lang w:val="en-US" w:eastAsia="zh-CN"/>
              </w:rPr>
              <w:t>扭矩≥2.0Nm，运行速度≥12cm/s，离合方式为机械，安全承重≥60KG，</w:t>
            </w:r>
            <w:r>
              <w:rPr>
                <w:rFonts w:hint="eastAsia" w:ascii="仿宋" w:hAnsi="仿宋" w:eastAsia="仿宋" w:cs="仿宋"/>
                <w:color w:val="auto"/>
                <w:sz w:val="24"/>
                <w:szCs w:val="24"/>
              </w:rPr>
              <w:t>运行速度≥14cm/s</w:t>
            </w:r>
            <w:r>
              <w:rPr>
                <w:rFonts w:hint="eastAsia" w:ascii="仿宋" w:hAnsi="仿宋" w:eastAsia="仿宋" w:cs="仿宋"/>
                <w:color w:val="auto"/>
                <w:sz w:val="24"/>
                <w:szCs w:val="24"/>
                <w:lang w:eastAsia="zh-CN"/>
              </w:rPr>
              <w:t>。</w:t>
            </w:r>
          </w:p>
          <w:p w14:paraId="4DA888AB">
            <w:pPr>
              <w:pStyle w:val="25"/>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采用手持或壁挂遥控器控制的方式，电机具备以下功能：电动开合窗帘开合位置能达到 0%~100%精确控制，步进位移精确度</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可用手随时开启或关闭窗帘，在停电状态下可进行手动操作而不损坏电机与附件，通电后能自动继续正常运行；电机具备软停软启功能；遇障碍停止的安全功能实现遇阻力即停；电机行程有偏差可手拉移动轨道滑块，电机自动重新计算行程；电机寿命≥10000次。</w:t>
            </w:r>
          </w:p>
        </w:tc>
      </w:tr>
      <w:tr w14:paraId="554A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18D812BA">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手动1%透景卷帘</w:t>
            </w:r>
          </w:p>
        </w:tc>
        <w:tc>
          <w:tcPr>
            <w:tcW w:w="6842" w:type="dxa"/>
            <w:vAlign w:val="top"/>
          </w:tcPr>
          <w:p w14:paraId="73AA3F75">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val="0"/>
                <w:color w:val="auto"/>
                <w:kern w:val="0"/>
                <w:sz w:val="24"/>
                <w:szCs w:val="24"/>
              </w:rPr>
              <w:t>阻燃</w:t>
            </w:r>
            <w:r>
              <w:rPr>
                <w:rFonts w:hint="eastAsia" w:ascii="仿宋" w:hAnsi="仿宋" w:eastAsia="仿宋" w:cs="仿宋"/>
                <w:b w:val="0"/>
                <w:color w:val="auto"/>
                <w:kern w:val="0"/>
                <w:sz w:val="24"/>
                <w:szCs w:val="24"/>
                <w:lang w:val="en-US" w:eastAsia="zh-CN"/>
              </w:rPr>
              <w:t>透景卷帘</w:t>
            </w:r>
            <w:r>
              <w:rPr>
                <w:rFonts w:hint="eastAsia" w:ascii="仿宋" w:hAnsi="仿宋" w:eastAsia="仿宋" w:cs="仿宋"/>
                <w:b w:val="0"/>
                <w:color w:val="auto"/>
                <w:kern w:val="0"/>
                <w:sz w:val="24"/>
                <w:szCs w:val="24"/>
              </w:rPr>
              <w:t>面料</w:t>
            </w:r>
            <w:r>
              <w:rPr>
                <w:rFonts w:hint="eastAsia" w:ascii="仿宋" w:hAnsi="仿宋" w:eastAsia="仿宋" w:cs="仿宋"/>
                <w:b w:val="0"/>
                <w:color w:val="auto"/>
                <w:kern w:val="0"/>
                <w:sz w:val="24"/>
                <w:szCs w:val="24"/>
                <w:lang w:eastAsia="zh-CN"/>
              </w:rPr>
              <w:t>，</w:t>
            </w:r>
            <w:r>
              <w:rPr>
                <w:rFonts w:hint="eastAsia" w:ascii="仿宋" w:hAnsi="仿宋" w:eastAsia="仿宋" w:cs="仿宋"/>
                <w:color w:val="auto"/>
                <w:sz w:val="24"/>
                <w:szCs w:val="24"/>
                <w:vertAlign w:val="baseline"/>
                <w:lang w:val="en-US" w:eastAsia="zh-CN"/>
              </w:rPr>
              <w:t>面料开孔率约1%，</w:t>
            </w:r>
          </w:p>
          <w:p w14:paraId="0A70F7AC">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val="0"/>
                <w:color w:val="auto"/>
                <w:kern w:val="0"/>
                <w:sz w:val="24"/>
                <w:szCs w:val="24"/>
                <w:lang w:val="en-US" w:eastAsia="zh-CN"/>
              </w:rPr>
              <w:t>1.</w:t>
            </w:r>
            <w:r>
              <w:rPr>
                <w:rFonts w:hint="eastAsia" w:ascii="仿宋" w:hAnsi="仿宋" w:eastAsia="仿宋" w:cs="仿宋"/>
                <w:color w:val="auto"/>
                <w:sz w:val="24"/>
                <w:szCs w:val="24"/>
                <w:vertAlign w:val="baseline"/>
                <w:lang w:val="en-US" w:eastAsia="zh-CN"/>
              </w:rPr>
              <w:t>面料纤维含量：</w:t>
            </w:r>
            <w:r>
              <w:rPr>
                <w:rFonts w:hint="eastAsia" w:ascii="仿宋" w:hAnsi="仿宋" w:eastAsia="仿宋" w:cs="仿宋"/>
                <w:color w:val="auto"/>
                <w:sz w:val="24"/>
                <w:szCs w:val="24"/>
                <w:lang w:val="en-US" w:eastAsia="zh-CN"/>
              </w:rPr>
              <w:t>100%玻璃纤维（非纤维物质除外）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克重：</w:t>
            </w:r>
            <w:r>
              <w:rPr>
                <w:rFonts w:hint="eastAsia" w:ascii="仿宋" w:hAnsi="仿宋" w:eastAsia="仿宋" w:cs="仿宋"/>
                <w:color w:val="auto"/>
                <w:sz w:val="24"/>
                <w:szCs w:val="24"/>
                <w:vertAlign w:val="baseline"/>
                <w:lang w:val="en-US" w:eastAsia="zh-CN"/>
              </w:rPr>
              <w:t>≥300g/m²；</w:t>
            </w:r>
          </w:p>
          <w:p w14:paraId="745BC183">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2.耐光色牢度：≥5级（依据GB/T 8427-2019《纺织品 色牢度试验 耐人造光色牢度：氙弧》标准测定）；</w:t>
            </w:r>
          </w:p>
          <w:p w14:paraId="3C9419FF">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▲3.燃烧性能等级:B1级及以上（依据GB8624-2012《建筑材料及制品燃烧性能分级》）；</w:t>
            </w:r>
          </w:p>
          <w:p w14:paraId="0159A8D2">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4.断裂强力：经向≥2500N、纬向≥1500N（依据GB/T 3923.1-2013《纺织品织物拉伸性能第1部分:断裂强力和断裂伸长率的测定(条样法)》标准测定）；</w:t>
            </w:r>
          </w:p>
          <w:p w14:paraId="74AD000D">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i w:val="0"/>
                <w:iCs w:val="0"/>
                <w:color w:val="auto"/>
                <w:kern w:val="2"/>
                <w:sz w:val="24"/>
                <w:szCs w:val="24"/>
                <w:u w:val="none"/>
                <w:lang w:val="en-US" w:eastAsia="zh-CN" w:bidi="ar-SA"/>
              </w:rPr>
              <w:t>5.甲醛含量：未检出（依据GB/T2912.1-2009《纺织品 甲醛的测定 第1部分：游离和水解的甲醛（水萃取法）》标准测定）；</w:t>
            </w:r>
          </w:p>
          <w:p w14:paraId="0973334E">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6.耐摩擦色牢度：≥3级（依据GB/T 3920-2008《纺织品 色牢度试验 耐摩擦色牢度》标准测定）；</w:t>
            </w:r>
          </w:p>
          <w:p w14:paraId="5B5A09D7">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7.PH值：4.0-9.0（依据GB/T 7573-2009《纺织品 水萃取液 pH 值的测定》标准测定）；</w:t>
            </w:r>
          </w:p>
          <w:p w14:paraId="4F5BBA98">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可分解致癌芳香胺：禁用（依据GB/T17592</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lang w:eastAsia="zh-CN"/>
              </w:rPr>
              <w:t>《纺织品 禁用偶氮染料的测定》</w:t>
            </w:r>
            <w:r>
              <w:rPr>
                <w:rFonts w:hint="eastAsia" w:ascii="仿宋" w:hAnsi="仿宋" w:eastAsia="仿宋" w:cs="仿宋"/>
                <w:color w:val="auto"/>
                <w:sz w:val="24"/>
                <w:szCs w:val="24"/>
                <w:highlight w:val="none"/>
              </w:rPr>
              <w:t>标准</w:t>
            </w:r>
            <w:r>
              <w:rPr>
                <w:rFonts w:hint="eastAsia" w:ascii="仿宋" w:hAnsi="仿宋" w:eastAsia="仿宋" w:cs="仿宋"/>
                <w:color w:val="auto"/>
                <w:sz w:val="24"/>
                <w:szCs w:val="24"/>
                <w:highlight w:val="none"/>
                <w:lang w:eastAsia="zh-CN"/>
              </w:rPr>
              <w:t>测定</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02154AEF">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致敏染料：未检出（依据GB/T 20383</w:t>
            </w:r>
            <w:r>
              <w:rPr>
                <w:rFonts w:hint="eastAsia" w:ascii="仿宋" w:hAnsi="仿宋" w:eastAsia="仿宋" w:cs="仿宋"/>
                <w:color w:val="auto"/>
                <w:sz w:val="24"/>
                <w:szCs w:val="24"/>
                <w:highlight w:val="none"/>
                <w:lang w:val="en-US" w:eastAsia="zh-CN"/>
              </w:rPr>
              <w:t>-2006《纺织品 致敏性分散染料的测定》</w:t>
            </w:r>
            <w:r>
              <w:rPr>
                <w:rFonts w:hint="eastAsia" w:ascii="仿宋" w:hAnsi="仿宋" w:eastAsia="仿宋" w:cs="仿宋"/>
                <w:color w:val="auto"/>
                <w:sz w:val="24"/>
                <w:szCs w:val="24"/>
                <w:highlight w:val="none"/>
              </w:rPr>
              <w:t>标准</w:t>
            </w:r>
            <w:r>
              <w:rPr>
                <w:rFonts w:hint="eastAsia" w:ascii="仿宋" w:hAnsi="仿宋" w:eastAsia="仿宋" w:cs="仿宋"/>
                <w:color w:val="auto"/>
                <w:sz w:val="24"/>
                <w:szCs w:val="24"/>
                <w:highlight w:val="none"/>
                <w:lang w:eastAsia="zh-CN"/>
              </w:rPr>
              <w:t>测定</w:t>
            </w:r>
            <w:r>
              <w:rPr>
                <w:rFonts w:hint="eastAsia" w:ascii="仿宋" w:hAnsi="仿宋" w:eastAsia="仿宋" w:cs="仿宋"/>
                <w:color w:val="auto"/>
                <w:sz w:val="24"/>
                <w:szCs w:val="24"/>
                <w:highlight w:val="none"/>
              </w:rPr>
              <w:t>）；</w:t>
            </w:r>
          </w:p>
          <w:p w14:paraId="4DCC4351">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strike/>
                <w:dstrike w:val="0"/>
                <w:color w:val="auto"/>
                <w:sz w:val="24"/>
                <w:szCs w:val="24"/>
                <w:vertAlign w:val="baseline"/>
                <w:lang w:val="en-US" w:eastAsia="zh-CN"/>
              </w:rPr>
            </w:pPr>
            <w:r>
              <w:rPr>
                <w:rFonts w:hint="eastAsia" w:ascii="仿宋" w:hAnsi="仿宋" w:eastAsia="仿宋" w:cs="仿宋"/>
                <w:b w:val="0"/>
                <w:bCs w:val="0"/>
                <w:i w:val="0"/>
                <w:iCs w:val="0"/>
                <w:strike w:val="0"/>
                <w:dstrike w:val="0"/>
                <w:color w:val="auto"/>
                <w:kern w:val="2"/>
                <w:sz w:val="24"/>
                <w:szCs w:val="24"/>
                <w:u w:val="none"/>
                <w:lang w:val="en-US" w:eastAsia="zh-CN" w:bidi="ar-SA"/>
              </w:rPr>
              <w:t>10.异味：无（依据 GB 18401-2010《国家纺织产品基本安全技术规范》标准测定）；</w:t>
            </w:r>
          </w:p>
          <w:p w14:paraId="0F7A8CAE">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11.紫外线防护系数UPF</w:t>
            </w:r>
            <w:r>
              <w:rPr>
                <w:rFonts w:hint="eastAsia"/>
                <w:color w:val="auto"/>
                <w:sz w:val="24"/>
                <w:szCs w:val="24"/>
                <w:lang w:val="en-US" w:eastAsia="zh-CN"/>
              </w:rPr>
              <w:t>≥</w:t>
            </w:r>
            <w:r>
              <w:rPr>
                <w:rFonts w:hint="eastAsia" w:ascii="仿宋" w:hAnsi="仿宋" w:eastAsia="仿宋" w:cs="仿宋"/>
                <w:b w:val="0"/>
                <w:bCs w:val="0"/>
                <w:i w:val="0"/>
                <w:iCs w:val="0"/>
                <w:color w:val="auto"/>
                <w:kern w:val="2"/>
                <w:sz w:val="24"/>
                <w:szCs w:val="24"/>
                <w:u w:val="none"/>
                <w:lang w:val="en-US" w:eastAsia="zh-CN" w:bidi="ar-SA"/>
              </w:rPr>
              <w:t>40，平均透射比：＜5（依据 GB/T 18830-2009《纺织品 防紫外线性能的评定》标准测定）；</w:t>
            </w:r>
          </w:p>
          <w:p w14:paraId="37752940">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val="en-US" w:bidi="zh-CN"/>
              </w:rPr>
              <w:t>12</w:t>
            </w:r>
            <w:r>
              <w:rPr>
                <w:rFonts w:hint="eastAsia" w:ascii="仿宋" w:hAnsi="仿宋" w:eastAsia="仿宋" w:cs="仿宋"/>
                <w:color w:val="auto"/>
                <w:sz w:val="24"/>
                <w:szCs w:val="24"/>
                <w:lang w:bidi="zh-CN"/>
              </w:rPr>
              <w:t>.抗菌性能：金黄色葡萄球菌抑菌率≥95%，大肠杆菌抑菌率≥95%，白色念珠菌抑菌率≥95%（</w:t>
            </w:r>
            <w:r>
              <w:rPr>
                <w:rFonts w:hint="eastAsia" w:ascii="仿宋" w:hAnsi="仿宋" w:eastAsia="仿宋" w:cs="仿宋"/>
                <w:color w:val="auto"/>
                <w:sz w:val="24"/>
                <w:szCs w:val="24"/>
                <w:lang w:val="en-US" w:bidi="zh-CN"/>
              </w:rPr>
              <w:t>依据GB/T 20944-2007</w:t>
            </w:r>
            <w:r>
              <w:rPr>
                <w:rFonts w:hint="eastAsia" w:ascii="仿宋" w:hAnsi="仿宋" w:eastAsia="仿宋" w:cs="仿宋"/>
                <w:color w:val="auto"/>
                <w:sz w:val="24"/>
                <w:szCs w:val="24"/>
                <w:lang w:val="en-US" w:eastAsia="zh-CN" w:bidi="zh-CN"/>
              </w:rPr>
              <w:t>《纺织品 抗菌性能的评价》</w:t>
            </w:r>
            <w:r>
              <w:rPr>
                <w:rFonts w:hint="eastAsia" w:ascii="仿宋" w:hAnsi="仿宋" w:eastAsia="仿宋" w:cs="仿宋"/>
                <w:color w:val="auto"/>
                <w:sz w:val="24"/>
                <w:szCs w:val="24"/>
                <w:lang w:val="en-US" w:bidi="zh-CN"/>
              </w:rPr>
              <w:t>标准测定</w:t>
            </w:r>
            <w:r>
              <w:rPr>
                <w:rFonts w:hint="eastAsia" w:ascii="仿宋" w:hAnsi="仿宋" w:eastAsia="仿宋" w:cs="仿宋"/>
                <w:color w:val="auto"/>
                <w:sz w:val="24"/>
                <w:szCs w:val="24"/>
                <w:lang w:bidi="zh-CN"/>
              </w:rPr>
              <w:t>）。</w:t>
            </w:r>
          </w:p>
        </w:tc>
      </w:tr>
      <w:tr w14:paraId="72AB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jc w:val="center"/>
        </w:trPr>
        <w:tc>
          <w:tcPr>
            <w:tcW w:w="1470" w:type="dxa"/>
            <w:vAlign w:val="center"/>
          </w:tcPr>
          <w:p w14:paraId="608CEE4F">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手动3%透景卷帘</w:t>
            </w:r>
          </w:p>
        </w:tc>
        <w:tc>
          <w:tcPr>
            <w:tcW w:w="6842" w:type="dxa"/>
            <w:vMerge w:val="restart"/>
            <w:vAlign w:val="top"/>
          </w:tcPr>
          <w:p w14:paraId="7903CFC5">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val="0"/>
                <w:color w:val="auto"/>
                <w:kern w:val="0"/>
                <w:sz w:val="24"/>
                <w:szCs w:val="24"/>
              </w:rPr>
              <w:t>阻燃</w:t>
            </w:r>
            <w:r>
              <w:rPr>
                <w:rFonts w:hint="eastAsia" w:ascii="仿宋" w:hAnsi="仿宋" w:eastAsia="仿宋" w:cs="仿宋"/>
                <w:b w:val="0"/>
                <w:color w:val="auto"/>
                <w:kern w:val="0"/>
                <w:sz w:val="24"/>
                <w:szCs w:val="24"/>
                <w:lang w:val="en-US" w:eastAsia="zh-CN"/>
              </w:rPr>
              <w:t>透景卷帘</w:t>
            </w:r>
            <w:r>
              <w:rPr>
                <w:rFonts w:hint="eastAsia" w:ascii="仿宋" w:hAnsi="仿宋" w:eastAsia="仿宋" w:cs="仿宋"/>
                <w:b w:val="0"/>
                <w:color w:val="auto"/>
                <w:kern w:val="0"/>
                <w:sz w:val="24"/>
                <w:szCs w:val="24"/>
              </w:rPr>
              <w:t>面料</w:t>
            </w:r>
            <w:r>
              <w:rPr>
                <w:rFonts w:hint="eastAsia" w:ascii="仿宋" w:hAnsi="仿宋" w:eastAsia="仿宋" w:cs="仿宋"/>
                <w:b w:val="0"/>
                <w:color w:val="auto"/>
                <w:kern w:val="0"/>
                <w:sz w:val="24"/>
                <w:szCs w:val="24"/>
                <w:lang w:eastAsia="zh-CN"/>
              </w:rPr>
              <w:t>，</w:t>
            </w:r>
            <w:r>
              <w:rPr>
                <w:rFonts w:hint="eastAsia" w:ascii="仿宋" w:hAnsi="仿宋" w:eastAsia="仿宋" w:cs="仿宋"/>
                <w:color w:val="auto"/>
                <w:sz w:val="24"/>
                <w:szCs w:val="24"/>
                <w:vertAlign w:val="baseline"/>
                <w:lang w:val="en-US" w:eastAsia="zh-CN"/>
              </w:rPr>
              <w:t>面料开孔率约3%，</w:t>
            </w:r>
          </w:p>
          <w:p w14:paraId="4FED1F3F">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val="0"/>
                <w:color w:val="auto"/>
                <w:kern w:val="0"/>
                <w:sz w:val="24"/>
                <w:szCs w:val="24"/>
                <w:lang w:val="en-US" w:eastAsia="zh-CN"/>
              </w:rPr>
              <w:t>1.</w:t>
            </w:r>
            <w:r>
              <w:rPr>
                <w:rFonts w:hint="eastAsia" w:ascii="仿宋" w:hAnsi="仿宋" w:eastAsia="仿宋" w:cs="仿宋"/>
                <w:color w:val="auto"/>
                <w:sz w:val="24"/>
                <w:szCs w:val="24"/>
                <w:vertAlign w:val="baseline"/>
                <w:lang w:val="en-US" w:eastAsia="zh-CN"/>
              </w:rPr>
              <w:t>面料纤维含量：</w:t>
            </w:r>
            <w:r>
              <w:rPr>
                <w:rFonts w:hint="eastAsia" w:ascii="仿宋" w:hAnsi="仿宋" w:eastAsia="仿宋" w:cs="仿宋"/>
                <w:color w:val="auto"/>
                <w:sz w:val="24"/>
                <w:szCs w:val="24"/>
                <w:lang w:val="en-US" w:eastAsia="zh-CN"/>
              </w:rPr>
              <w:t>100%玻璃纤维（非纤维物质除外）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克重：</w:t>
            </w:r>
            <w:r>
              <w:rPr>
                <w:rFonts w:hint="eastAsia" w:ascii="仿宋" w:hAnsi="仿宋" w:eastAsia="仿宋" w:cs="仿宋"/>
                <w:color w:val="auto"/>
                <w:sz w:val="24"/>
                <w:szCs w:val="24"/>
                <w:vertAlign w:val="baseline"/>
                <w:lang w:val="en-US" w:eastAsia="zh-CN"/>
              </w:rPr>
              <w:t>≥350g/m²；</w:t>
            </w:r>
          </w:p>
          <w:p w14:paraId="47782808">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2.耐光色牢度：≥5级；（GB/T 8427-2019《纺织品 色牢度试验 耐人造光色牢度：氙弧》）</w:t>
            </w:r>
          </w:p>
          <w:p w14:paraId="13F475D3">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3.燃烧性能等级:B1级及以上（依据GB8624-2012《建筑材料及制品燃烧性能分级》）；</w:t>
            </w:r>
          </w:p>
          <w:p w14:paraId="23E8065D">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4.断裂强力：经向≥2500N、纬向≥1500N（依据GB/T 3923.1-2013《纺织品织物拉伸性能第1部分:断裂强力和断裂伸长率的测定(条样法)》标准测定）；</w:t>
            </w:r>
          </w:p>
          <w:p w14:paraId="4486F6C0">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5.甲醛含量：未检出（依据GB/T2912.1-2009《纺织品 甲醛的测定 第1部分：游离和水解的甲醛（水萃取法）》标准测定）；</w:t>
            </w:r>
          </w:p>
          <w:p w14:paraId="003A1E20">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6.耐摩擦色牢度：≥3级（依据GB/T 3920-2008《纺织品 色牢度试验 耐摩擦色牢度》标准测定）；</w:t>
            </w:r>
          </w:p>
          <w:p w14:paraId="406139ED">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7.PH值：4.0-9.0（依据GB/T 7573-2009《纺织品 水萃取液 pH 值的测定》标准测定）；</w:t>
            </w:r>
          </w:p>
          <w:p w14:paraId="7C043C76">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8.可分解致癌芳香胺：禁用（依据GB/T17592-2024《纺织品 禁用偶氮染料的测定》标准测定）；</w:t>
            </w:r>
          </w:p>
          <w:p w14:paraId="604F288B">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9.致敏染料：未检出（依据GB/T 20383-2006《纺织品 致敏性分散染料的测定》标准测定）；</w:t>
            </w:r>
          </w:p>
          <w:p w14:paraId="6732444F">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default" w:ascii="仿宋" w:hAnsi="仿宋" w:eastAsia="仿宋" w:cs="仿宋"/>
                <w:b w:val="0"/>
                <w:bCs w:val="0"/>
                <w:i w:val="0"/>
                <w:iCs w:val="0"/>
                <w:strike w:val="0"/>
                <w:dstrike w:val="0"/>
                <w:color w:val="auto"/>
                <w:kern w:val="2"/>
                <w:sz w:val="24"/>
                <w:szCs w:val="24"/>
                <w:u w:val="none"/>
                <w:lang w:val="en-US" w:eastAsia="zh-CN" w:bidi="ar-SA"/>
              </w:rPr>
            </w:pPr>
            <w:r>
              <w:rPr>
                <w:rFonts w:hint="eastAsia" w:ascii="仿宋" w:hAnsi="仿宋" w:eastAsia="仿宋" w:cs="仿宋"/>
                <w:b w:val="0"/>
                <w:bCs w:val="0"/>
                <w:i w:val="0"/>
                <w:iCs w:val="0"/>
                <w:strike w:val="0"/>
                <w:dstrike w:val="0"/>
                <w:color w:val="auto"/>
                <w:kern w:val="2"/>
                <w:sz w:val="24"/>
                <w:szCs w:val="24"/>
                <w:u w:val="none"/>
                <w:lang w:val="en-US" w:eastAsia="zh-CN" w:bidi="ar-SA"/>
              </w:rPr>
              <w:t>10.异味：无（依据 GB 18401-2010《国家纺织产品基本安全技术规范》标准测定）；</w:t>
            </w:r>
          </w:p>
          <w:p w14:paraId="69A23364">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11.紫外线防护系数UPF</w:t>
            </w:r>
            <w:r>
              <w:rPr>
                <w:rFonts w:hint="eastAsia"/>
                <w:color w:val="auto"/>
                <w:sz w:val="24"/>
                <w:szCs w:val="24"/>
                <w:lang w:val="en-US" w:eastAsia="zh-CN"/>
              </w:rPr>
              <w:t>≥</w:t>
            </w:r>
            <w:r>
              <w:rPr>
                <w:rFonts w:hint="eastAsia" w:ascii="仿宋" w:hAnsi="仿宋" w:eastAsia="仿宋" w:cs="仿宋"/>
                <w:b w:val="0"/>
                <w:bCs w:val="0"/>
                <w:i w:val="0"/>
                <w:iCs w:val="0"/>
                <w:color w:val="auto"/>
                <w:kern w:val="2"/>
                <w:sz w:val="24"/>
                <w:szCs w:val="24"/>
                <w:u w:val="none"/>
                <w:lang w:val="en-US" w:eastAsia="zh-CN" w:bidi="ar-SA"/>
              </w:rPr>
              <w:t>40，平均透射比：＜5（依据 GB/T 18830-2009《纺织品 防紫外线性能的评定》标准测定）；</w:t>
            </w:r>
          </w:p>
          <w:p w14:paraId="7696E78B">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color w:val="auto"/>
                <w:sz w:val="24"/>
                <w:szCs w:val="24"/>
                <w:vertAlign w:val="baseline"/>
              </w:rPr>
            </w:pPr>
            <w:r>
              <w:rPr>
                <w:rFonts w:hint="eastAsia" w:ascii="仿宋" w:hAnsi="仿宋" w:eastAsia="仿宋" w:cs="仿宋"/>
                <w:b w:val="0"/>
                <w:bCs w:val="0"/>
                <w:i w:val="0"/>
                <w:iCs w:val="0"/>
                <w:color w:val="auto"/>
                <w:kern w:val="2"/>
                <w:sz w:val="24"/>
                <w:szCs w:val="24"/>
                <w:u w:val="none"/>
                <w:lang w:val="en-US" w:eastAsia="zh-CN" w:bidi="ar-SA"/>
              </w:rPr>
              <w:t>12.抗菌性能：金黄色葡萄球菌抑菌率≥95%，大肠杆菌抑菌率≥95%，白色念珠菌抑菌率≥95%（依据GB/T 20944-2007《纺织品 抗菌性能的评价》标准测定）。</w:t>
            </w:r>
          </w:p>
        </w:tc>
      </w:tr>
      <w:tr w14:paraId="3049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1470" w:type="dxa"/>
            <w:vAlign w:val="center"/>
          </w:tcPr>
          <w:p w14:paraId="069DE345">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手动防风卷帘面料</w:t>
            </w:r>
          </w:p>
        </w:tc>
        <w:tc>
          <w:tcPr>
            <w:tcW w:w="6842" w:type="dxa"/>
            <w:vMerge w:val="continue"/>
            <w:vAlign w:val="top"/>
          </w:tcPr>
          <w:p w14:paraId="1E578282">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p>
        </w:tc>
      </w:tr>
      <w:tr w14:paraId="0C9F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2E50C681">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手动全遮光卷帘</w:t>
            </w:r>
          </w:p>
        </w:tc>
        <w:tc>
          <w:tcPr>
            <w:tcW w:w="6842" w:type="dxa"/>
            <w:vAlign w:val="top"/>
          </w:tcPr>
          <w:p w14:paraId="258B0EF9">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val="0"/>
                <w:color w:val="auto"/>
                <w:kern w:val="0"/>
                <w:sz w:val="24"/>
                <w:szCs w:val="24"/>
              </w:rPr>
              <w:t>阻燃</w:t>
            </w:r>
            <w:r>
              <w:rPr>
                <w:rFonts w:hint="eastAsia" w:ascii="仿宋" w:hAnsi="仿宋" w:eastAsia="仿宋" w:cs="仿宋"/>
                <w:b w:val="0"/>
                <w:color w:val="auto"/>
                <w:kern w:val="0"/>
                <w:sz w:val="24"/>
                <w:szCs w:val="24"/>
                <w:lang w:val="en-US" w:eastAsia="zh-CN"/>
              </w:rPr>
              <w:t>遮光卷帘</w:t>
            </w:r>
            <w:r>
              <w:rPr>
                <w:rFonts w:hint="eastAsia" w:ascii="仿宋" w:hAnsi="仿宋" w:eastAsia="仿宋" w:cs="仿宋"/>
                <w:b w:val="0"/>
                <w:color w:val="auto"/>
                <w:kern w:val="0"/>
                <w:sz w:val="24"/>
                <w:szCs w:val="24"/>
              </w:rPr>
              <w:t>面料</w:t>
            </w:r>
            <w:r>
              <w:rPr>
                <w:rFonts w:hint="eastAsia" w:ascii="仿宋" w:hAnsi="仿宋" w:eastAsia="仿宋" w:cs="仿宋"/>
                <w:b w:val="0"/>
                <w:color w:val="auto"/>
                <w:kern w:val="0"/>
                <w:sz w:val="24"/>
                <w:szCs w:val="24"/>
                <w:lang w:eastAsia="zh-CN"/>
              </w:rPr>
              <w:t>，</w:t>
            </w:r>
            <w:r>
              <w:rPr>
                <w:rFonts w:hint="eastAsia" w:ascii="仿宋" w:hAnsi="仿宋" w:eastAsia="仿宋" w:cs="仿宋"/>
                <w:color w:val="auto"/>
                <w:sz w:val="24"/>
                <w:szCs w:val="24"/>
                <w:vertAlign w:val="baseline"/>
                <w:lang w:val="en-US" w:eastAsia="zh-CN"/>
              </w:rPr>
              <w:t>面料开孔率0%，</w:t>
            </w:r>
          </w:p>
          <w:p w14:paraId="01C9FC63">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val="0"/>
                <w:color w:val="auto"/>
                <w:kern w:val="0"/>
                <w:sz w:val="24"/>
                <w:szCs w:val="24"/>
                <w:lang w:val="en-US" w:eastAsia="zh-CN"/>
              </w:rPr>
              <w:t>1.</w:t>
            </w:r>
            <w:r>
              <w:rPr>
                <w:rFonts w:hint="eastAsia" w:ascii="仿宋" w:hAnsi="仿宋" w:eastAsia="仿宋" w:cs="仿宋"/>
                <w:color w:val="auto"/>
                <w:sz w:val="24"/>
                <w:szCs w:val="24"/>
                <w:vertAlign w:val="baseline"/>
                <w:lang w:val="en-US" w:eastAsia="zh-CN"/>
              </w:rPr>
              <w:t>面料纤维含量：</w:t>
            </w:r>
            <w:r>
              <w:rPr>
                <w:rFonts w:hint="eastAsia" w:ascii="仿宋" w:hAnsi="仿宋" w:eastAsia="仿宋" w:cs="仿宋"/>
                <w:color w:val="auto"/>
                <w:sz w:val="24"/>
                <w:szCs w:val="24"/>
                <w:lang w:val="en-US" w:eastAsia="zh-CN"/>
              </w:rPr>
              <w:t>100%玻璃纤维（非纤维物质除外）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克重：</w:t>
            </w:r>
            <w:r>
              <w:rPr>
                <w:rFonts w:hint="eastAsia" w:ascii="仿宋" w:hAnsi="仿宋" w:eastAsia="仿宋" w:cs="仿宋"/>
                <w:color w:val="auto"/>
                <w:sz w:val="24"/>
                <w:szCs w:val="24"/>
                <w:vertAlign w:val="baseline"/>
                <w:lang w:val="en-US" w:eastAsia="zh-CN"/>
              </w:rPr>
              <w:t>≥400g/m²；</w:t>
            </w:r>
          </w:p>
          <w:p w14:paraId="38CCE651">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2.耐光色牢度：≥5级（GB/T 8427-2019《纺织品 色牢度试验 耐人造光色牢度：氙弧》）；</w:t>
            </w:r>
          </w:p>
          <w:p w14:paraId="60733CA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3.燃烧性能等级:B1级及以上（依据GB8624-2012《建筑材料及制品燃烧性能分级》）；</w:t>
            </w:r>
          </w:p>
          <w:p w14:paraId="181A719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4.断裂强力：经向≥2500N、纬向≥1500N（依据GB/T 3923.1-2013《纺织品织物拉伸性能第1部分:断裂强力和断裂伸长率的测定(条样法)》标准测定）；</w:t>
            </w:r>
          </w:p>
          <w:p w14:paraId="4A7FD341">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5.甲醛含量：未检出（依据GB/T2912.1-2009《纺织品 甲醛的测定 第1部分：游离和水解的甲醛（水萃取法）》标准测定）；</w:t>
            </w:r>
          </w:p>
          <w:p w14:paraId="0FD6817D">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6.耐摩擦色牢度：≥3级（依据GB/T 3920-2008《纺织品 色牢度试验 耐摩擦色牢度》标准测定）；</w:t>
            </w:r>
          </w:p>
          <w:p w14:paraId="469F0A41">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7.PH值：4.0-9.0（依据GB/T 7573-2009《纺织品 水萃取液 pH 值的测定》标准测定）；</w:t>
            </w:r>
          </w:p>
          <w:p w14:paraId="0FC93421">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8.可分解致癌芳香胺：禁用（依据GB/T17592-2024《纺织品 禁用偶氮染料的测定》标准测定）；</w:t>
            </w:r>
          </w:p>
          <w:p w14:paraId="62F013E5">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9.致敏染料：未检出（依据GB/T 20383-2006《纺织品 致敏性分散染料的测定》标准测定）；</w:t>
            </w:r>
          </w:p>
          <w:p w14:paraId="20CFEEFD">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10.异味：无（依据 GB 18401-2010《国家纺织产品基本安全技术规范》标准测定）；</w:t>
            </w:r>
          </w:p>
          <w:p w14:paraId="0CA6B7A9">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11.紫外线防护系数UPF</w:t>
            </w:r>
            <w:r>
              <w:rPr>
                <w:rFonts w:hint="eastAsia"/>
                <w:color w:val="auto"/>
                <w:sz w:val="24"/>
                <w:szCs w:val="24"/>
                <w:lang w:val="en-US" w:eastAsia="zh-CN"/>
              </w:rPr>
              <w:t>≥</w:t>
            </w:r>
            <w:r>
              <w:rPr>
                <w:rFonts w:hint="eastAsia" w:ascii="仿宋" w:hAnsi="仿宋" w:eastAsia="仿宋" w:cs="仿宋"/>
                <w:b w:val="0"/>
                <w:bCs w:val="0"/>
                <w:i w:val="0"/>
                <w:iCs w:val="0"/>
                <w:color w:val="auto"/>
                <w:kern w:val="2"/>
                <w:sz w:val="24"/>
                <w:szCs w:val="24"/>
                <w:u w:val="none"/>
                <w:lang w:val="en-US" w:eastAsia="zh-CN" w:bidi="ar-SA"/>
              </w:rPr>
              <w:t>40，平均透射比：＜5（依据 GB/T 18830-2009《纺织品 防紫外线性能的评定》标准测定）；</w:t>
            </w:r>
          </w:p>
          <w:p w14:paraId="3586DF1C">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color w:val="auto"/>
                <w:sz w:val="24"/>
                <w:szCs w:val="24"/>
                <w:vertAlign w:val="baseline"/>
              </w:rPr>
            </w:pPr>
            <w:r>
              <w:rPr>
                <w:rFonts w:hint="eastAsia" w:ascii="仿宋" w:hAnsi="仿宋" w:eastAsia="仿宋" w:cs="仿宋"/>
                <w:b w:val="0"/>
                <w:bCs w:val="0"/>
                <w:i w:val="0"/>
                <w:iCs w:val="0"/>
                <w:color w:val="auto"/>
                <w:kern w:val="2"/>
                <w:sz w:val="24"/>
                <w:szCs w:val="24"/>
                <w:u w:val="none"/>
                <w:lang w:val="en-US" w:eastAsia="zh-CN" w:bidi="ar-SA"/>
              </w:rPr>
              <w:t>12.抗菌性能：金黄色葡萄球菌抑菌率≥95%，大肠杆菌抑菌率≥95%，白色念珠菌抑菌率≥95%（依据GB/T 20944-2007《纺织品 抗菌性能的评价》标准测定）。</w:t>
            </w:r>
          </w:p>
        </w:tc>
      </w:tr>
      <w:tr w14:paraId="47EF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5EFDAC72">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卷帘配件</w:t>
            </w:r>
          </w:p>
        </w:tc>
        <w:tc>
          <w:tcPr>
            <w:tcW w:w="6842" w:type="dxa"/>
          </w:tcPr>
          <w:p w14:paraId="7FB80A80">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kern w:val="0"/>
                <w:sz w:val="24"/>
                <w:szCs w:val="24"/>
                <w:vertAlign w:val="baseline"/>
                <w:lang w:val="en-US" w:eastAsia="zh-CN" w:bidi="ar"/>
              </w:rPr>
              <w:t>（一）</w:t>
            </w:r>
            <w:r>
              <w:rPr>
                <w:rFonts w:hint="eastAsia" w:ascii="仿宋" w:hAnsi="仿宋" w:eastAsia="仿宋" w:cs="仿宋"/>
                <w:b/>
                <w:bCs/>
                <w:color w:val="auto"/>
                <w:sz w:val="24"/>
                <w:szCs w:val="24"/>
                <w:vertAlign w:val="baseline"/>
                <w:lang w:val="en-US" w:eastAsia="zh-CN"/>
              </w:rPr>
              <w:t>卷帘卷管</w:t>
            </w:r>
          </w:p>
          <w:p w14:paraId="4EC24C8F">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采用高强度6063-T5铝合金材质</w:t>
            </w:r>
            <w:r>
              <w:rPr>
                <w:rFonts w:hint="eastAsia" w:ascii="仿宋" w:hAnsi="仿宋" w:eastAsia="仿宋" w:cs="仿宋"/>
                <w:b w:val="0"/>
                <w:bCs w:val="0"/>
                <w:color w:val="auto"/>
                <w:sz w:val="24"/>
                <w:szCs w:val="24"/>
                <w:vertAlign w:val="baseline"/>
                <w:lang w:val="en-US" w:eastAsia="zh-CN"/>
              </w:rPr>
              <w:t>（按GB/T 5237.1 - 2008《铝合金建筑型材 第 1 部分：基材》要求）</w:t>
            </w:r>
            <w:r>
              <w:rPr>
                <w:rFonts w:hint="eastAsia" w:ascii="仿宋" w:hAnsi="仿宋" w:eastAsia="仿宋" w:cs="仿宋"/>
                <w:color w:val="auto"/>
                <w:sz w:val="24"/>
                <w:szCs w:val="24"/>
                <w:vertAlign w:val="baseline"/>
                <w:lang w:val="en-US" w:eastAsia="zh-CN"/>
              </w:rPr>
              <w:t>；内置加强筋≥3根；表面阳极氧化处理；管材外表面带插槽，帘布经高温烫接插条或缝边处理后，直接插入卷筒表面的凹槽中；</w:t>
            </w:r>
          </w:p>
          <w:p w14:paraId="2869DAD0">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sz w:val="24"/>
                <w:szCs w:val="24"/>
                <w:vertAlign w:val="baseline"/>
                <w:lang w:val="en-US" w:eastAsia="zh-CN"/>
              </w:rPr>
            </w:pPr>
            <w:r>
              <w:rPr>
                <w:rFonts w:hint="default" w:ascii="宋体" w:hAnsi="宋体" w:eastAsia="宋体" w:cs="宋体"/>
                <w:color w:val="auto"/>
                <w:kern w:val="0"/>
                <w:sz w:val="24"/>
                <w:szCs w:val="24"/>
                <w:vertAlign w:val="baseline"/>
                <w:lang w:val="en-US" w:eastAsia="zh-CN" w:bidi="ar"/>
              </w:rPr>
              <w:t>1.</w:t>
            </w:r>
            <w:r>
              <w:rPr>
                <w:rFonts w:hint="eastAsia" w:ascii="仿宋" w:hAnsi="仿宋" w:eastAsia="仿宋" w:cs="仿宋"/>
                <w:color w:val="auto"/>
                <w:sz w:val="24"/>
                <w:szCs w:val="24"/>
                <w:vertAlign w:val="baseline"/>
                <w:lang w:val="en-US" w:eastAsia="zh-CN"/>
              </w:rPr>
              <w:t>卷管尺寸：壁厚：≥1.2mm；直径：≥38mm；</w:t>
            </w:r>
          </w:p>
          <w:p w14:paraId="0E20AB3B">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sz w:val="24"/>
                <w:szCs w:val="24"/>
                <w:vertAlign w:val="baseline"/>
                <w:lang w:val="en-US" w:eastAsia="zh-CN"/>
              </w:rPr>
            </w:pPr>
            <w:r>
              <w:rPr>
                <w:rFonts w:hint="default" w:ascii="宋体" w:hAnsi="宋体" w:eastAsia="宋体" w:cs="宋体"/>
                <w:color w:val="auto"/>
                <w:kern w:val="0"/>
                <w:sz w:val="24"/>
                <w:szCs w:val="24"/>
                <w:vertAlign w:val="baseline"/>
                <w:lang w:val="en-US" w:eastAsia="zh-CN" w:bidi="ar"/>
              </w:rPr>
              <w:t>2.</w:t>
            </w:r>
            <w:r>
              <w:rPr>
                <w:rFonts w:hint="eastAsia" w:ascii="仿宋" w:hAnsi="仿宋" w:eastAsia="仿宋" w:cs="仿宋"/>
                <w:color w:val="auto"/>
                <w:sz w:val="24"/>
                <w:szCs w:val="24"/>
                <w:vertAlign w:val="baseline"/>
                <w:lang w:val="en-US" w:eastAsia="zh-CN"/>
              </w:rPr>
              <w:t>卷管拉伸强度：规定非比例延伸强度≥130MPa；抗拉强度：≥175MPa；断后伸长率≥6%；</w:t>
            </w:r>
            <w:r>
              <w:rPr>
                <w:rFonts w:hint="eastAsia" w:ascii="仿宋" w:hAnsi="仿宋" w:eastAsia="仿宋" w:cs="仿宋"/>
                <w:color w:val="auto"/>
                <w:sz w:val="24"/>
                <w:szCs w:val="24"/>
                <w:lang w:val="en-US" w:eastAsia="zh-CN"/>
              </w:rPr>
              <w:t>（依据GB/T 228.1-2021《金属材料 拉伸试验 第1部分:室温试验方法》标准测定）</w:t>
            </w:r>
          </w:p>
          <w:p w14:paraId="09302811">
            <w:pPr>
              <w:keepNext w:val="0"/>
              <w:keepLines w:val="0"/>
              <w:pageBreakBefore w:val="0"/>
              <w:suppressLineNumbers w:val="0"/>
              <w:kinsoku/>
              <w:overflowPunct/>
              <w:topLinePunct w:val="0"/>
              <w:autoSpaceDN/>
              <w:bidi w:val="0"/>
              <w:adjustRightInd/>
              <w:spacing w:before="0" w:beforeAutospacing="0" w:after="0" w:afterAutospacing="0" w:line="240" w:lineRule="auto"/>
              <w:ind w:left="0" w:right="0"/>
              <w:textAlignment w:val="auto"/>
              <w:rPr>
                <w:rFonts w:hint="default"/>
                <w:color w:val="auto"/>
                <w:sz w:val="24"/>
                <w:szCs w:val="24"/>
              </w:rPr>
            </w:pPr>
            <w:r>
              <w:rPr>
                <w:rFonts w:hint="default" w:ascii="宋体" w:hAnsi="宋体" w:eastAsia="宋体" w:cs="宋体"/>
                <w:color w:val="auto"/>
                <w:kern w:val="0"/>
                <w:sz w:val="24"/>
                <w:szCs w:val="24"/>
                <w:lang w:val="en-US" w:eastAsia="zh-CN" w:bidi="ar"/>
              </w:rPr>
              <w:t>3.</w:t>
            </w:r>
            <w:r>
              <w:rPr>
                <w:rFonts w:hint="eastAsia" w:ascii="仿宋" w:hAnsi="仿宋" w:eastAsia="仿宋" w:cs="仿宋"/>
                <w:color w:val="auto"/>
                <w:sz w:val="24"/>
                <w:szCs w:val="24"/>
                <w:vertAlign w:val="baseline"/>
                <w:lang w:val="en-US" w:eastAsia="zh-CN"/>
              </w:rPr>
              <w:t>卷管硬度：韦氏硬度≥14；维氏硬度≥85；</w:t>
            </w:r>
            <w:r>
              <w:rPr>
                <w:rFonts w:hint="eastAsia" w:ascii="仿宋" w:hAnsi="仿宋" w:eastAsia="仿宋" w:cs="仿宋"/>
                <w:color w:val="auto"/>
                <w:sz w:val="24"/>
                <w:szCs w:val="24"/>
                <w:lang w:val="en-US" w:eastAsia="zh-CN"/>
              </w:rPr>
              <w:t>（依据GB/T 32660《金属材料 韦氏硬度试验》和GB/T 4340《金属材料 维氏硬度试验》标准测定）</w:t>
            </w:r>
          </w:p>
          <w:p w14:paraId="32051B22">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sz w:val="24"/>
                <w:szCs w:val="24"/>
                <w:vertAlign w:val="baseline"/>
                <w:lang w:val="en-US" w:eastAsia="zh-CN"/>
              </w:rPr>
            </w:pPr>
            <w:r>
              <w:rPr>
                <w:rFonts w:hint="eastAsia" w:ascii="宋体" w:hAnsi="宋体" w:eastAsia="宋体" w:cs="宋体"/>
                <w:color w:val="auto"/>
                <w:kern w:val="0"/>
                <w:sz w:val="24"/>
                <w:szCs w:val="24"/>
                <w:vertAlign w:val="baseline"/>
                <w:lang w:val="en-US" w:eastAsia="zh-CN" w:bidi="ar"/>
              </w:rPr>
              <w:t>4</w:t>
            </w:r>
            <w:r>
              <w:rPr>
                <w:rFonts w:hint="default" w:ascii="宋体" w:hAnsi="宋体" w:eastAsia="宋体" w:cs="宋体"/>
                <w:color w:val="auto"/>
                <w:kern w:val="0"/>
                <w:sz w:val="24"/>
                <w:szCs w:val="24"/>
                <w:vertAlign w:val="baseline"/>
                <w:lang w:val="en-US" w:eastAsia="zh-CN" w:bidi="ar"/>
              </w:rPr>
              <w:t>.</w:t>
            </w:r>
            <w:r>
              <w:rPr>
                <w:rFonts w:hint="eastAsia" w:ascii="仿宋" w:hAnsi="仿宋" w:eastAsia="仿宋" w:cs="仿宋"/>
                <w:color w:val="auto"/>
                <w:sz w:val="24"/>
                <w:szCs w:val="24"/>
                <w:vertAlign w:val="baseline"/>
                <w:lang w:val="en-US" w:eastAsia="zh-CN"/>
              </w:rPr>
              <w:t>耐盐雾腐蚀性（72h）：≥9级；</w:t>
            </w:r>
            <w:r>
              <w:rPr>
                <w:rFonts w:hint="eastAsia" w:ascii="仿宋" w:hAnsi="仿宋" w:eastAsia="仿宋" w:cs="仿宋"/>
                <w:color w:val="auto"/>
                <w:sz w:val="24"/>
                <w:szCs w:val="24"/>
                <w:lang w:val="en-US" w:eastAsia="zh-CN"/>
              </w:rPr>
              <w:t>（依据GB/T 10125-2021《人造气氛腐蚀试验 盐雾试验》标准测定）</w:t>
            </w:r>
          </w:p>
          <w:p w14:paraId="122A9BAF">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5</w:t>
            </w:r>
            <w:r>
              <w:rPr>
                <w:rFonts w:hint="default" w:ascii="宋体" w:hAnsi="宋体" w:eastAsia="宋体" w:cs="宋体"/>
                <w:color w:val="auto"/>
                <w:kern w:val="2"/>
                <w:sz w:val="24"/>
                <w:szCs w:val="24"/>
                <w:vertAlign w:val="baseline"/>
                <w:lang w:val="en-US" w:eastAsia="zh-CN" w:bidi="ar-SA"/>
              </w:rPr>
              <w:t>.</w:t>
            </w:r>
            <w:r>
              <w:rPr>
                <w:rFonts w:hint="eastAsia" w:ascii="仿宋" w:hAnsi="仿宋" w:eastAsia="仿宋" w:cs="仿宋"/>
                <w:color w:val="auto"/>
                <w:sz w:val="24"/>
                <w:szCs w:val="24"/>
                <w:vertAlign w:val="baseline"/>
                <w:lang w:val="en-US" w:eastAsia="zh-CN"/>
              </w:rPr>
              <w:t>卷管承重：对卷管施加≥50kg的荷载，卷管不变形。</w:t>
            </w:r>
          </w:p>
          <w:p w14:paraId="4A7B1265">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bCs/>
                <w:color w:val="auto"/>
                <w:kern w:val="0"/>
                <w:sz w:val="24"/>
                <w:szCs w:val="24"/>
                <w:vertAlign w:val="baseline"/>
                <w:lang w:val="en-US" w:eastAsia="zh-CN" w:bidi="ar"/>
              </w:rPr>
              <w:t>（二）</w:t>
            </w:r>
            <w:r>
              <w:rPr>
                <w:rFonts w:hint="eastAsia" w:ascii="仿宋" w:hAnsi="仿宋" w:eastAsia="仿宋" w:cs="仿宋"/>
                <w:b/>
                <w:bCs/>
                <w:color w:val="auto"/>
                <w:sz w:val="24"/>
                <w:szCs w:val="24"/>
                <w:vertAlign w:val="baseline"/>
                <w:lang w:val="en-US" w:eastAsia="zh-CN"/>
              </w:rPr>
              <w:t>下杆</w:t>
            </w:r>
          </w:p>
          <w:p w14:paraId="3705EB8C">
            <w:pPr>
              <w:keepNext w:val="0"/>
              <w:keepLines w:val="0"/>
              <w:pageBreakBefore w:val="0"/>
              <w:widowControl/>
              <w:suppressLineNumbers w:val="0"/>
              <w:kinsoku/>
              <w:overflowPunct/>
              <w:topLinePunct w:val="0"/>
              <w:autoSpaceDN/>
              <w:bidi w:val="0"/>
              <w:adjustRightInd/>
              <w:spacing w:before="0" w:beforeAutospacing="0" w:after="0" w:afterAutospacing="0" w:line="240" w:lineRule="auto"/>
              <w:ind w:left="0" w:right="0"/>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采用高强度6063-T5铝合金材质</w:t>
            </w:r>
            <w:r>
              <w:rPr>
                <w:rFonts w:hint="eastAsia" w:ascii="仿宋" w:hAnsi="仿宋" w:eastAsia="仿宋" w:cs="仿宋"/>
                <w:b w:val="0"/>
                <w:bCs w:val="0"/>
                <w:color w:val="auto"/>
                <w:kern w:val="0"/>
                <w:sz w:val="24"/>
                <w:szCs w:val="24"/>
                <w:lang w:val="en-US" w:eastAsia="zh-CN" w:bidi="ar"/>
              </w:rPr>
              <w:t>（按GB/T 5237.1 - 2008《铝合金建筑型材 第 1 部分：基材》要求）</w:t>
            </w:r>
            <w:r>
              <w:rPr>
                <w:rFonts w:hint="eastAsia" w:ascii="仿宋" w:hAnsi="仿宋" w:eastAsia="仿宋" w:cs="仿宋"/>
                <w:color w:val="auto"/>
                <w:sz w:val="24"/>
                <w:szCs w:val="24"/>
                <w:vertAlign w:val="baseline"/>
                <w:lang w:val="en-US" w:eastAsia="zh-CN"/>
              </w:rPr>
              <w:t>下杆，</w:t>
            </w:r>
            <w:r>
              <w:rPr>
                <w:rFonts w:hint="eastAsia" w:ascii="仿宋" w:hAnsi="仿宋" w:eastAsia="仿宋" w:cs="仿宋"/>
                <w:color w:val="auto"/>
                <w:sz w:val="24"/>
                <w:szCs w:val="24"/>
                <w:highlight w:val="none"/>
              </w:rPr>
              <w:t>带静音防撞胶条，边盖需螺丝固定</w:t>
            </w:r>
            <w:r>
              <w:rPr>
                <w:rFonts w:hint="eastAsia" w:ascii="仿宋" w:hAnsi="仿宋" w:eastAsia="仿宋" w:cs="仿宋"/>
                <w:color w:val="auto"/>
                <w:sz w:val="24"/>
                <w:szCs w:val="24"/>
                <w:vertAlign w:val="baseline"/>
                <w:lang w:val="en-US" w:eastAsia="zh-CN"/>
              </w:rPr>
              <w:t>；帘布底端插到下轨内，保证底部不起皱；</w:t>
            </w:r>
          </w:p>
          <w:p w14:paraId="4DB9768C">
            <w:pPr>
              <w:keepNext w:val="0"/>
              <w:keepLines w:val="0"/>
              <w:pageBreakBefore w:val="0"/>
              <w:suppressLineNumbers w:val="0"/>
              <w:kinsoku/>
              <w:overflowPunct/>
              <w:topLinePunct w:val="0"/>
              <w:autoSpaceDN/>
              <w:bidi w:val="0"/>
              <w:adjustRightInd/>
              <w:spacing w:before="0" w:beforeAutospacing="0" w:after="0" w:afterAutospacing="0" w:line="240" w:lineRule="auto"/>
              <w:ind w:left="0" w:right="0"/>
              <w:textAlignment w:val="auto"/>
              <w:rPr>
                <w:rFonts w:hint="default"/>
                <w:color w:val="auto"/>
                <w:sz w:val="24"/>
                <w:szCs w:val="24"/>
              </w:rPr>
            </w:pPr>
            <w:r>
              <w:rPr>
                <w:rFonts w:hint="eastAsia" w:ascii="仿宋" w:hAnsi="仿宋" w:eastAsia="仿宋" w:cs="仿宋"/>
                <w:color w:val="auto"/>
                <w:sz w:val="24"/>
                <w:szCs w:val="24"/>
                <w:vertAlign w:val="baseline"/>
                <w:lang w:val="en-US" w:eastAsia="zh-CN"/>
              </w:rPr>
              <w:t>下杆尺寸：壁厚≥1.2mm；宽度≥40mm；高度≥15mm；</w:t>
            </w:r>
          </w:p>
          <w:p w14:paraId="62A4AAAA">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bCs/>
                <w:color w:val="auto"/>
                <w:kern w:val="0"/>
                <w:sz w:val="24"/>
                <w:szCs w:val="24"/>
                <w:vertAlign w:val="baseline"/>
                <w:lang w:val="en-US" w:eastAsia="zh-CN" w:bidi="ar"/>
              </w:rPr>
              <w:t>（三）</w:t>
            </w:r>
            <w:r>
              <w:rPr>
                <w:rFonts w:hint="eastAsia" w:ascii="仿宋" w:hAnsi="仿宋" w:eastAsia="仿宋" w:cs="仿宋"/>
                <w:b/>
                <w:bCs/>
                <w:color w:val="auto"/>
                <w:sz w:val="24"/>
                <w:szCs w:val="24"/>
                <w:vertAlign w:val="baseline"/>
                <w:lang w:val="en-US" w:eastAsia="zh-CN"/>
              </w:rPr>
              <w:t>转动系统</w:t>
            </w:r>
          </w:p>
          <w:p w14:paraId="149E09B7">
            <w:pPr>
              <w:keepNext w:val="0"/>
              <w:keepLines w:val="0"/>
              <w:pageBreakBefore w:val="0"/>
              <w:widowControl w:val="0"/>
              <w:numPr>
                <w:ilvl w:val="0"/>
                <w:numId w:val="13"/>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采用万向静音省力制头，制头半圆型结构，可顶装、侧装，制尾带有上下限位系统，可调无极限位器，方便调整，安装方便；</w:t>
            </w:r>
          </w:p>
          <w:p w14:paraId="33D85574">
            <w:pPr>
              <w:keepNext w:val="0"/>
              <w:keepLines w:val="0"/>
              <w:pageBreakBefore w:val="0"/>
              <w:widowControl w:val="0"/>
              <w:numPr>
                <w:ilvl w:val="0"/>
                <w:numId w:val="13"/>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制头减速比1：5，行星齿轮减速系统，机构运动平稳。最大承重不小于20KG；</w:t>
            </w:r>
          </w:p>
          <w:p w14:paraId="40EDC7BF">
            <w:pPr>
              <w:keepNext w:val="0"/>
              <w:keepLines w:val="0"/>
              <w:pageBreakBefore w:val="0"/>
              <w:widowControl w:val="0"/>
              <w:numPr>
                <w:ilvl w:val="0"/>
                <w:numId w:val="13"/>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制头采用内置金属弹簧座、琴钢丝弹簧，金属芯刹车技术，制头产品寿命长，操作顺畅、轻便；</w:t>
            </w:r>
            <w:r>
              <w:rPr>
                <w:rFonts w:hint="eastAsia" w:ascii="仿宋" w:hAnsi="仿宋" w:eastAsia="仿宋" w:cs="仿宋"/>
                <w:i w:val="0"/>
                <w:iCs w:val="0"/>
                <w:caps w:val="0"/>
                <w:color w:val="auto"/>
                <w:spacing w:val="0"/>
                <w:sz w:val="24"/>
                <w:szCs w:val="24"/>
                <w:shd w:val="clear" w:fill="FCFCFC"/>
              </w:rPr>
              <w:t>​</w:t>
            </w:r>
            <w:r>
              <w:rPr>
                <w:rStyle w:val="49"/>
                <w:rFonts w:hint="eastAsia" w:ascii="仿宋" w:hAnsi="仿宋" w:eastAsia="仿宋" w:cs="仿宋"/>
                <w:b/>
                <w:bCs/>
                <w:i w:val="0"/>
                <w:iCs w:val="0"/>
                <w:caps w:val="0"/>
                <w:color w:val="auto"/>
                <w:spacing w:val="0"/>
                <w:sz w:val="24"/>
                <w:szCs w:val="24"/>
                <w:shd w:val="clear" w:fill="FCFCFC"/>
                <w:vertAlign w:val="baseline"/>
              </w:rPr>
              <w:t>​</w:t>
            </w:r>
          </w:p>
          <w:p w14:paraId="59F7A7BA">
            <w:pPr>
              <w:keepNext w:val="0"/>
              <w:keepLines w:val="0"/>
              <w:pageBreakBefore w:val="0"/>
              <w:widowControl w:val="0"/>
              <w:numPr>
                <w:ilvl w:val="0"/>
                <w:numId w:val="13"/>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制头要求主要采用PA66+33%玻纤增强工程塑料，安装码采用2mm的优质钢板，表面喷粉防锈处理。</w:t>
            </w:r>
          </w:p>
          <w:p w14:paraId="69D3C3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bidi="zh-CN"/>
              </w:rPr>
              <w:t>5</w:t>
            </w:r>
            <w:r>
              <w:rPr>
                <w:rFonts w:hint="eastAsia" w:ascii="仿宋" w:hAnsi="仿宋" w:eastAsia="仿宋" w:cs="仿宋"/>
                <w:color w:val="auto"/>
                <w:sz w:val="24"/>
                <w:szCs w:val="24"/>
                <w:lang w:bidi="zh-CN"/>
              </w:rPr>
              <w:t>.</w:t>
            </w:r>
            <w:r>
              <w:rPr>
                <w:rFonts w:hint="eastAsia" w:ascii="仿宋" w:hAnsi="仿宋" w:eastAsia="仿宋" w:cs="仿宋"/>
                <w:color w:val="auto"/>
                <w:sz w:val="24"/>
                <w:szCs w:val="24"/>
                <w:highlight w:val="none"/>
                <w:lang w:val="zh-CN" w:bidi="zh-CN"/>
              </w:rPr>
              <w:t>机械耐久性能≥10000次后，帘布无破损，机构装置无松动，能实现正常运行</w:t>
            </w:r>
            <w:r>
              <w:rPr>
                <w:rFonts w:hint="eastAsia" w:ascii="仿宋" w:hAnsi="仿宋" w:eastAsia="仿宋" w:cs="仿宋"/>
                <w:color w:val="auto"/>
                <w:sz w:val="24"/>
                <w:szCs w:val="24"/>
                <w:vertAlign w:val="baseline"/>
                <w:lang w:val="en-US" w:eastAsia="zh-CN"/>
              </w:rPr>
              <w:t>；空载拉力小于0.4kg；</w:t>
            </w:r>
          </w:p>
          <w:p w14:paraId="33739D50">
            <w:pPr>
              <w:keepNext w:val="0"/>
              <w:keepLines w:val="0"/>
              <w:pageBreakBefore w:val="0"/>
              <w:widowControl w:val="0"/>
              <w:numPr>
                <w:ilvl w:val="0"/>
                <w:numId w:val="13"/>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采用重型手柄，保证卷帘拉珠的垂感，防止拉珠弯曲；</w:t>
            </w:r>
          </w:p>
          <w:p w14:paraId="39F9C457">
            <w:pPr>
              <w:keepNext w:val="0"/>
              <w:keepLines w:val="0"/>
              <w:pageBreakBefore w:val="0"/>
              <w:widowControl w:val="0"/>
              <w:numPr>
                <w:ilvl w:val="0"/>
                <w:numId w:val="13"/>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vertAlign w:val="baseline"/>
                <w:lang w:val="en-US" w:eastAsia="zh-CN"/>
              </w:rPr>
              <w:t>拉珠采用PA66+33%玻纤增强工程塑料，</w:t>
            </w:r>
            <w:r>
              <w:rPr>
                <w:rFonts w:hint="eastAsia" w:ascii="仿宋" w:hAnsi="仿宋" w:eastAsia="仿宋" w:cs="仿宋"/>
                <w:b w:val="0"/>
                <w:color w:val="auto"/>
                <w:kern w:val="0"/>
                <w:sz w:val="24"/>
                <w:szCs w:val="24"/>
              </w:rPr>
              <w:t>环保</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不易变色</w:t>
            </w:r>
            <w:r>
              <w:rPr>
                <w:rFonts w:hint="eastAsia" w:ascii="仿宋" w:hAnsi="仿宋" w:eastAsia="仿宋" w:cs="仿宋"/>
                <w:color w:val="auto"/>
                <w:sz w:val="24"/>
                <w:szCs w:val="24"/>
                <w:vertAlign w:val="baseline"/>
                <w:lang w:val="en-US" w:eastAsia="zh-CN"/>
              </w:rPr>
              <w:t>。</w:t>
            </w:r>
          </w:p>
        </w:tc>
      </w:tr>
      <w:tr w14:paraId="5481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70" w:type="dxa"/>
            <w:vAlign w:val="center"/>
          </w:tcPr>
          <w:p w14:paraId="42951CE9">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手动香格里拉帘面料</w:t>
            </w:r>
          </w:p>
        </w:tc>
        <w:tc>
          <w:tcPr>
            <w:tcW w:w="6842" w:type="dxa"/>
            <w:vAlign w:val="center"/>
          </w:tcPr>
          <w:p w14:paraId="624B04E3">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S型加宽香格里拉面料，帘布编织部分≥2.5cm，白纱透景部分≥7cm；</w:t>
            </w:r>
          </w:p>
          <w:p w14:paraId="79F7C924">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1.面料纤维含量：100%聚酯纤维；克重：≥270g/㎡</w:t>
            </w:r>
            <w:r>
              <w:rPr>
                <w:rFonts w:hint="eastAsia" w:ascii="仿宋" w:hAnsi="仿宋" w:eastAsia="仿宋" w:cs="仿宋"/>
                <w:b w:val="0"/>
                <w:bCs w:val="0"/>
                <w:color w:val="auto"/>
                <w:sz w:val="24"/>
                <w:szCs w:val="24"/>
                <w:vertAlign w:val="baseline"/>
                <w:lang w:val="en-US" w:eastAsia="zh-CN"/>
              </w:rPr>
              <w:t>；</w:t>
            </w:r>
          </w:p>
          <w:p w14:paraId="059259CB">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color w:val="auto"/>
                <w:sz w:val="24"/>
                <w:szCs w:val="24"/>
                <w:vertAlign w:val="baseline"/>
                <w:lang w:val="en-US" w:eastAsia="zh-CN"/>
              </w:rPr>
            </w:pPr>
            <w:r>
              <w:rPr>
                <w:rFonts w:hint="eastAsia" w:ascii="宋体" w:hAnsi="宋体" w:eastAsia="宋体" w:cs="宋体"/>
                <w:b w:val="0"/>
                <w:bCs w:val="0"/>
                <w:color w:val="auto"/>
                <w:kern w:val="0"/>
                <w:sz w:val="24"/>
                <w:szCs w:val="24"/>
                <w:vertAlign w:val="baseline"/>
                <w:lang w:val="en-US" w:eastAsia="zh-CN" w:bidi="ar"/>
              </w:rPr>
              <w:t>2</w:t>
            </w:r>
            <w:r>
              <w:rPr>
                <w:rFonts w:hint="default" w:ascii="宋体" w:hAnsi="宋体" w:eastAsia="宋体" w:cs="宋体"/>
                <w:b w:val="0"/>
                <w:bCs w:val="0"/>
                <w:color w:val="auto"/>
                <w:kern w:val="0"/>
                <w:sz w:val="24"/>
                <w:szCs w:val="24"/>
                <w:vertAlign w:val="baseline"/>
                <w:lang w:val="en-US" w:eastAsia="zh-CN" w:bidi="ar"/>
              </w:rPr>
              <w:t>.</w:t>
            </w:r>
            <w:r>
              <w:rPr>
                <w:rFonts w:hint="eastAsia" w:ascii="仿宋" w:hAnsi="仿宋" w:eastAsia="仿宋" w:cs="仿宋"/>
                <w:color w:val="auto"/>
                <w:sz w:val="24"/>
                <w:szCs w:val="24"/>
                <w:lang w:val="en-US" w:eastAsia="zh-CN"/>
              </w:rPr>
              <w:t>遮光率：≥90%；</w:t>
            </w:r>
          </w:p>
          <w:p w14:paraId="09BFC48B">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iCs w:val="0"/>
                <w:color w:val="auto"/>
                <w:kern w:val="2"/>
                <w:sz w:val="24"/>
                <w:szCs w:val="24"/>
                <w:u w:val="none"/>
                <w:lang w:val="en-US" w:eastAsia="zh-CN" w:bidi="ar-SA"/>
              </w:rPr>
              <w:t>3.燃烧性能等级:B1级及以上（依据GB8624-2012《建筑材料及制品燃烧性能分级》）；</w:t>
            </w:r>
          </w:p>
          <w:p w14:paraId="55472B8E">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lang w:val="en-US" w:eastAsia="zh-CN"/>
              </w:rPr>
              <w:t>4.耐光色牢度（级）：≥4级；</w:t>
            </w:r>
            <w:r>
              <w:rPr>
                <w:rFonts w:hint="eastAsia" w:ascii="仿宋" w:hAnsi="仿宋" w:eastAsia="仿宋" w:cs="仿宋"/>
                <w:b w:val="0"/>
                <w:bCs w:val="0"/>
                <w:color w:val="auto"/>
                <w:sz w:val="24"/>
                <w:szCs w:val="24"/>
                <w:vertAlign w:val="baseline"/>
                <w:lang w:val="en-US" w:eastAsia="zh-CN"/>
              </w:rPr>
              <w:t>（依据GB/T 8427-2019《纺织品 色牢度试验 耐人造光色牢度：氙弧》标准）</w:t>
            </w:r>
          </w:p>
          <w:p w14:paraId="3F1DC8EF">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lang w:val="en-US" w:eastAsia="zh-CN"/>
              </w:rPr>
              <w:t>5.断裂强力：经向：≥2500N；纬向：≥250N（依据GB/T 3923.1-2013《纺织品织物拉伸性能第1部分:断裂强力和断裂伸长率的测定(条样法)》标准测定）；</w:t>
            </w:r>
          </w:p>
          <w:p w14:paraId="40307297">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6.甲醛含量：未检出（依据GB/T2912.1-2009《纺织品 甲醛的测定 第1部分：游离和水解的甲醛（水萃取法）》标准测定）；</w:t>
            </w:r>
          </w:p>
          <w:p w14:paraId="6AE00D4F">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2"/>
                <w:sz w:val="24"/>
                <w:szCs w:val="24"/>
                <w:u w:val="none"/>
                <w:lang w:val="en-US" w:eastAsia="zh-CN" w:bidi="ar-SA"/>
              </w:rPr>
              <w:t>7.PH值：4.0-9.0（依据GB/T 7573-2009《纺织品 水萃取液 pH 值的测定》标准测定）；</w:t>
            </w:r>
          </w:p>
          <w:p w14:paraId="50A0F91E">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b w:val="0"/>
                <w:bCs w:val="0"/>
                <w:i w:val="0"/>
                <w:iCs w:val="0"/>
                <w:color w:val="auto"/>
                <w:kern w:val="2"/>
                <w:sz w:val="24"/>
                <w:szCs w:val="24"/>
                <w:u w:val="none"/>
                <w:lang w:val="en-US" w:eastAsia="zh-CN" w:bidi="ar-SA"/>
              </w:rPr>
              <w:t>可分解致癌芳香胺：禁用（依据GB/T17592-2024《纺织品 禁用偶氮染料的测定》标准测定）；</w:t>
            </w:r>
          </w:p>
          <w:p w14:paraId="5832C3E2">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9.致敏染料：未检出（依据GB/T 20383-2006《纺织品 致敏性分散染料的测定》标准测定）；</w:t>
            </w:r>
          </w:p>
          <w:p w14:paraId="0ABC2EFA">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10.异味：无（依据 GB 18401-2010《国家纺织产品基本安全技术规范》标准测定）；</w:t>
            </w:r>
          </w:p>
          <w:p w14:paraId="61704A51">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highlight w:val="none"/>
                <w:lang w:val="en-US" w:eastAsia="zh-CN"/>
              </w:rPr>
              <w:t>11.紫外线防护系数UPF＞40，平均透射比：＜5（依据 GB/T 18830-2009《纺织品 防紫外线性能的评定》标准测定）。</w:t>
            </w:r>
          </w:p>
        </w:tc>
      </w:tr>
      <w:tr w14:paraId="6168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47AB1A0C">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香格里拉帘</w:t>
            </w:r>
            <w:r>
              <w:rPr>
                <w:rFonts w:hint="eastAsia" w:ascii="仿宋" w:hAnsi="仿宋" w:eastAsia="仿宋" w:cs="仿宋"/>
                <w:b/>
                <w:bCs/>
                <w:color w:val="auto"/>
                <w:sz w:val="24"/>
                <w:szCs w:val="24"/>
                <w:vertAlign w:val="baseline"/>
                <w:lang w:val="en-US" w:eastAsia="zh-CN"/>
              </w:rPr>
              <w:t>配件</w:t>
            </w:r>
          </w:p>
        </w:tc>
        <w:tc>
          <w:tcPr>
            <w:tcW w:w="6842" w:type="dxa"/>
          </w:tcPr>
          <w:p w14:paraId="5CFAE8FB">
            <w:pPr>
              <w:keepNext w:val="0"/>
              <w:keepLines w:val="0"/>
              <w:pageBreakBefore w:val="0"/>
              <w:widowControl w:val="0"/>
              <w:numPr>
                <w:ilvl w:val="0"/>
                <w:numId w:val="14"/>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罩壳</w:t>
            </w:r>
          </w:p>
          <w:p w14:paraId="337A191B">
            <w:pPr>
              <w:keepNext w:val="0"/>
              <w:keepLines w:val="0"/>
              <w:pageBreakBefore w:val="0"/>
              <w:suppressLineNumbers w:val="0"/>
              <w:kinsoku/>
              <w:overflowPunct/>
              <w:topLinePunct w:val="0"/>
              <w:autoSpaceDN/>
              <w:bidi w:val="0"/>
              <w:adjustRightInd/>
              <w:spacing w:before="0" w:beforeAutospacing="0" w:after="0" w:afterAutospacing="0" w:line="240" w:lineRule="auto"/>
              <w:ind w:left="0" w:right="0"/>
              <w:textAlignment w:val="auto"/>
              <w:rPr>
                <w:rFonts w:hint="default"/>
                <w:color w:val="auto"/>
                <w:sz w:val="24"/>
                <w:szCs w:val="24"/>
              </w:rPr>
            </w:pPr>
            <w:r>
              <w:rPr>
                <w:rFonts w:hint="eastAsia" w:ascii="仿宋" w:hAnsi="仿宋" w:eastAsia="仿宋" w:cs="仿宋"/>
                <w:color w:val="auto"/>
                <w:sz w:val="24"/>
                <w:szCs w:val="24"/>
                <w:vertAlign w:val="baseline"/>
                <w:lang w:val="en-US" w:eastAsia="zh-CN"/>
              </w:rPr>
              <w:t>采用高强度6063-T5铝合金材质</w:t>
            </w:r>
            <w:r>
              <w:rPr>
                <w:rFonts w:hint="eastAsia" w:ascii="仿宋" w:hAnsi="仿宋" w:eastAsia="仿宋" w:cs="仿宋"/>
                <w:color w:val="auto"/>
                <w:sz w:val="24"/>
                <w:szCs w:val="24"/>
                <w:highlight w:val="none"/>
                <w:lang w:val="en-US" w:eastAsia="zh-CN"/>
              </w:rPr>
              <w:t>，</w:t>
            </w:r>
          </w:p>
          <w:p w14:paraId="0697C8A9">
            <w:pPr>
              <w:keepNext w:val="0"/>
              <w:keepLines w:val="0"/>
              <w:pageBreakBefore w:val="0"/>
              <w:widowControl/>
              <w:numPr>
                <w:ilvl w:val="-1"/>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正面方形平面设计，外形尺寸≥70mm×80mm，壁厚≥1.0mm，整体成型无接缝，表面亮银粉磨砂质感，内嵌式凹槽，与面料同色，保证窗帘的协调，提升视觉效果。</w:t>
            </w:r>
          </w:p>
          <w:p w14:paraId="1B9B4C61">
            <w:pPr>
              <w:keepNext w:val="0"/>
              <w:keepLines w:val="0"/>
              <w:pageBreakBefore w:val="0"/>
              <w:widowControl w:val="0"/>
              <w:numPr>
                <w:ilvl w:val="0"/>
                <w:numId w:val="14"/>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卷管</w:t>
            </w:r>
          </w:p>
          <w:p w14:paraId="7204366B">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vertAlign w:val="baseline"/>
                <w:lang w:val="en-US" w:eastAsia="zh-CN"/>
              </w:rPr>
              <w:t>采用高强度6063-T5铝合金材质</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圆形双槽铝合金挤压管材，表面喷涂处理，</w:t>
            </w:r>
            <w:r>
              <w:rPr>
                <w:rFonts w:hint="eastAsia" w:ascii="仿宋" w:hAnsi="仿宋" w:eastAsia="仿宋" w:cs="仿宋"/>
                <w:color w:val="auto"/>
                <w:sz w:val="24"/>
                <w:szCs w:val="24"/>
                <w:vertAlign w:val="baseline"/>
                <w:lang w:val="en-US" w:eastAsia="zh-CN"/>
              </w:rPr>
              <w:t>直径：</w:t>
            </w:r>
            <w:r>
              <w:rPr>
                <w:rFonts w:hint="eastAsia" w:ascii="仿宋" w:hAnsi="仿宋" w:eastAsia="仿宋" w:cs="仿宋"/>
                <w:color w:val="auto"/>
                <w:sz w:val="24"/>
                <w:szCs w:val="24"/>
                <w:highlight w:val="none"/>
                <w:lang w:val="en-US" w:eastAsia="zh-CN"/>
              </w:rPr>
              <w:t>≥38mm，壁厚≥1.2mm，抗弯能力强，不产生弯曲变形。</w:t>
            </w:r>
          </w:p>
          <w:p w14:paraId="4C0EB9F3">
            <w:pPr>
              <w:keepNext w:val="0"/>
              <w:keepLines w:val="0"/>
              <w:pageBreakBefore w:val="0"/>
              <w:widowControl w:val="0"/>
              <w:numPr>
                <w:ilvl w:val="0"/>
                <w:numId w:val="14"/>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底杆</w:t>
            </w:r>
          </w:p>
          <w:p w14:paraId="1CE22474">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vertAlign w:val="baseline"/>
                <w:lang w:val="en-US" w:eastAsia="zh-CN" w:bidi="ar-SA"/>
              </w:rPr>
              <w:t>采用高强度6063-T5铝合金材质</w:t>
            </w:r>
            <w:r>
              <w:rPr>
                <w:rFonts w:hint="eastAsia" w:ascii="仿宋" w:hAnsi="仿宋" w:eastAsia="仿宋" w:cs="仿宋"/>
                <w:color w:val="auto"/>
                <w:kern w:val="2"/>
                <w:sz w:val="24"/>
                <w:szCs w:val="24"/>
                <w:lang w:val="en-US" w:eastAsia="zh-CN" w:bidi="ar-SA"/>
              </w:rPr>
              <w:t>，月牙形设计，表面亮银粉磨砂质感，壁厚≥1.2mm。</w:t>
            </w:r>
            <w:r>
              <w:rPr>
                <w:rFonts w:hint="eastAsia" w:ascii="仿宋" w:hAnsi="仿宋" w:eastAsia="仿宋" w:cs="仿宋"/>
                <w:color w:val="auto"/>
                <w:sz w:val="24"/>
                <w:szCs w:val="24"/>
                <w:highlight w:val="none"/>
              </w:rPr>
              <w:t>带静音防撞胶条，边盖需螺丝固定</w:t>
            </w:r>
            <w:r>
              <w:rPr>
                <w:rFonts w:hint="eastAsia" w:ascii="仿宋" w:hAnsi="仿宋" w:eastAsia="仿宋" w:cs="仿宋"/>
                <w:color w:val="auto"/>
                <w:sz w:val="24"/>
                <w:szCs w:val="24"/>
                <w:highlight w:val="none"/>
                <w:lang w:eastAsia="zh-CN"/>
              </w:rPr>
              <w:t>。</w:t>
            </w:r>
          </w:p>
          <w:p w14:paraId="7C07EC0B">
            <w:pPr>
              <w:keepNext w:val="0"/>
              <w:keepLines w:val="0"/>
              <w:pageBreakBefore w:val="0"/>
              <w:widowControl w:val="0"/>
              <w:numPr>
                <w:ilvl w:val="0"/>
                <w:numId w:val="14"/>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vertAlign w:val="baseline"/>
                <w:lang w:val="en-US" w:eastAsia="zh-CN"/>
              </w:rPr>
              <w:t>转动系统</w:t>
            </w:r>
          </w:p>
          <w:p w14:paraId="26574D12">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strike/>
                <w:dstrike w:val="0"/>
                <w:color w:val="auto"/>
                <w:sz w:val="24"/>
                <w:szCs w:val="24"/>
                <w:vertAlign w:val="baseline"/>
                <w:lang w:val="en-US" w:eastAsia="zh-CN"/>
              </w:rPr>
            </w:pPr>
            <w:r>
              <w:rPr>
                <w:rFonts w:hint="default" w:ascii="宋体" w:hAnsi="宋体" w:eastAsia="宋体" w:cs="宋体"/>
                <w:strike w:val="0"/>
                <w:dstrike w:val="0"/>
                <w:color w:val="auto"/>
                <w:kern w:val="0"/>
                <w:sz w:val="24"/>
                <w:szCs w:val="24"/>
                <w:vertAlign w:val="baseline"/>
                <w:lang w:val="en-US" w:eastAsia="zh-CN" w:bidi="ar"/>
              </w:rPr>
              <w:t>1.</w:t>
            </w:r>
            <w:r>
              <w:rPr>
                <w:rFonts w:hint="eastAsia" w:ascii="仿宋" w:hAnsi="仿宋" w:eastAsia="仿宋" w:cs="仿宋"/>
                <w:color w:val="auto"/>
                <w:sz w:val="24"/>
                <w:szCs w:val="24"/>
                <w:vertAlign w:val="baseline"/>
                <w:lang w:val="en-US" w:eastAsia="zh-CN"/>
              </w:rPr>
              <w:t>采用静音省力制头，可顶装、侧装，制尾带有上下限位系统，方便调整</w:t>
            </w:r>
            <w:r>
              <w:rPr>
                <w:rFonts w:hint="eastAsia" w:ascii="仿宋" w:hAnsi="仿宋" w:eastAsia="仿宋" w:cs="仿宋"/>
                <w:strike w:val="0"/>
                <w:dstrike w:val="0"/>
                <w:color w:val="auto"/>
                <w:sz w:val="24"/>
                <w:szCs w:val="24"/>
                <w:vertAlign w:val="baseline"/>
                <w:lang w:val="en-US" w:eastAsia="zh-CN"/>
              </w:rPr>
              <w:t>；</w:t>
            </w:r>
          </w:p>
          <w:p w14:paraId="67D11B3E">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firstLine="0" w:firstLineChars="0"/>
              <w:textAlignment w:val="auto"/>
              <w:rPr>
                <w:rFonts w:hint="eastAsia" w:ascii="仿宋" w:hAnsi="仿宋" w:eastAsia="仿宋" w:cs="仿宋"/>
                <w:color w:val="auto"/>
                <w:sz w:val="24"/>
                <w:szCs w:val="24"/>
                <w:lang w:val="en-US" w:eastAsia="zh-CN"/>
              </w:rPr>
            </w:pPr>
            <w:r>
              <w:rPr>
                <w:rFonts w:hint="default" w:ascii="宋体" w:hAnsi="宋体" w:eastAsia="宋体" w:cs="宋体"/>
                <w:color w:val="auto"/>
                <w:kern w:val="0"/>
                <w:sz w:val="24"/>
                <w:szCs w:val="24"/>
                <w:lang w:val="en-US" w:eastAsia="zh-CN" w:bidi="ar"/>
              </w:rPr>
              <w:t>2.</w:t>
            </w:r>
            <w:r>
              <w:rPr>
                <w:rFonts w:hint="eastAsia" w:ascii="仿宋" w:hAnsi="仿宋" w:eastAsia="仿宋" w:cs="仿宋"/>
                <w:color w:val="auto"/>
                <w:sz w:val="24"/>
                <w:szCs w:val="24"/>
                <w:vertAlign w:val="baseline"/>
                <w:lang w:val="en-US" w:eastAsia="zh-CN"/>
              </w:rPr>
              <w:t>循环拉珠，采用PA66+33%玻纤增强工程塑料，环保、不易变色。</w:t>
            </w:r>
          </w:p>
        </w:tc>
      </w:tr>
      <w:tr w14:paraId="22BF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shd w:val="clear" w:color="auto" w:fill="auto"/>
            <w:vAlign w:val="center"/>
          </w:tcPr>
          <w:p w14:paraId="6D0AAB93">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leftChars="0" w:right="0" w:rightChars="0"/>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vertAlign w:val="baseline"/>
                <w:lang w:val="en-US" w:eastAsia="zh-CN"/>
              </w:rPr>
              <w:t>手动防风卷帘配件</w:t>
            </w:r>
          </w:p>
        </w:tc>
        <w:tc>
          <w:tcPr>
            <w:tcW w:w="6842" w:type="dxa"/>
            <w:shd w:val="clear" w:color="auto" w:fill="auto"/>
            <w:vAlign w:val="top"/>
          </w:tcPr>
          <w:p w14:paraId="1A1F8827">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（一）端板</w:t>
            </w:r>
          </w:p>
          <w:p w14:paraId="2EE95671">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采用整块铝板切割工艺，使其抗弯强度大幅提高；高强度铝合金，表面处理工艺；静电户外粉末喷涂；</w:t>
            </w:r>
          </w:p>
          <w:p w14:paraId="2D14F882">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sz w:val="24"/>
                <w:szCs w:val="24"/>
                <w:lang w:val="en-US" w:eastAsia="zh-CN"/>
              </w:rPr>
              <w:t>外观质量：型材装饰面上的膜层应平滑、均匀，不准许有皱纹、流痕、鼓泡、裂纹等影响使用的缺陷；</w:t>
            </w:r>
          </w:p>
          <w:p w14:paraId="0AA5BC0F">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strike/>
                <w:dstrike w:val="0"/>
                <w:color w:val="auto"/>
                <w:sz w:val="24"/>
                <w:szCs w:val="24"/>
                <w:lang w:val="en-US" w:eastAsia="zh-CN"/>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sz w:val="24"/>
                <w:szCs w:val="24"/>
                <w:lang w:val="en-US" w:eastAsia="zh-CN"/>
              </w:rPr>
              <w:t>端板宽度：≥98mm×98mm ；壁厚：≥3mm ；实心铝板插销厚度：≥8mm；</w:t>
            </w:r>
          </w:p>
          <w:p w14:paraId="642622E8">
            <w:pPr>
              <w:keepNext w:val="0"/>
              <w:keepLines w:val="0"/>
              <w:pageBreakBefore w:val="0"/>
              <w:widowControl/>
              <w:suppressLineNumbers w:val="0"/>
              <w:kinsoku/>
              <w:overflowPunct/>
              <w:topLinePunct w:val="0"/>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3.拉伸强度：抗拉强度：≥130N；断后伸长率：≥8%。（依据GB/T 228.1-2021《金属材料 拉伸试验 第1部分：室温试验方法》标准测定）</w:t>
            </w:r>
          </w:p>
          <w:p w14:paraId="481B4378">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（二）辊筒</w:t>
            </w:r>
          </w:p>
          <w:p w14:paraId="6169596A">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采用高强度铝合金辊筒；</w:t>
            </w:r>
          </w:p>
          <w:p w14:paraId="510F2739">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1.外观质量：型材装饰面上的膜层应平滑、均匀，不准许有皱纹、流痕、鼓泡、裂纹等影响使用的缺陷；</w:t>
            </w:r>
          </w:p>
          <w:p w14:paraId="387D3CB3">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2.直径：≥38mm；</w:t>
            </w:r>
          </w:p>
          <w:p w14:paraId="448062C4">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val="0"/>
                <w:bCs w:val="0"/>
                <w:strike/>
                <w:dstrike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3.壁厚：≥1.2mm；</w:t>
            </w:r>
          </w:p>
          <w:p w14:paraId="54F21C30">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4.拉伸强度：规定塑性延伸强度≥130N；抗拉强度≥175N；断后伸长率≥6%；</w:t>
            </w:r>
            <w:r>
              <w:rPr>
                <w:rFonts w:hint="eastAsia" w:ascii="仿宋" w:hAnsi="仿宋" w:eastAsia="仿宋" w:cs="仿宋"/>
                <w:color w:val="auto"/>
                <w:sz w:val="24"/>
                <w:szCs w:val="24"/>
                <w:lang w:val="en-US" w:eastAsia="zh-CN"/>
              </w:rPr>
              <w:t>（依据GB/T 228.1-2021《金属材料 拉伸试验 第1部分:室温试验方法》标准测定）​</w:t>
            </w:r>
          </w:p>
          <w:p w14:paraId="38F1CB25">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5.韦氏硬度：≥12。（</w:t>
            </w:r>
            <w:r>
              <w:rPr>
                <w:rFonts w:hint="eastAsia" w:ascii="仿宋" w:hAnsi="仿宋" w:eastAsia="仿宋" w:cs="仿宋"/>
                <w:color w:val="auto"/>
                <w:sz w:val="24"/>
                <w:szCs w:val="24"/>
                <w:lang w:val="en-US" w:eastAsia="zh-CN"/>
              </w:rPr>
              <w:t>依据GB/T 32660《金属材料 韦氏硬度试验》标准测定）</w:t>
            </w:r>
          </w:p>
          <w:p w14:paraId="0373743D">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（三）罩壳</w:t>
            </w:r>
          </w:p>
          <w:p w14:paraId="39A7039D">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strike/>
                <w:dstrike w:val="0"/>
                <w:color w:val="auto"/>
                <w:kern w:val="0"/>
                <w:sz w:val="24"/>
                <w:szCs w:val="24"/>
                <w:u w:val="none"/>
                <w:lang w:val="en-US" w:eastAsia="zh-CN" w:bidi="ar"/>
              </w:rPr>
            </w:pPr>
            <w:r>
              <w:rPr>
                <w:rFonts w:hint="eastAsia" w:ascii="仿宋" w:hAnsi="仿宋" w:eastAsia="仿宋" w:cs="仿宋"/>
                <w:color w:val="auto"/>
                <w:kern w:val="0"/>
                <w:sz w:val="24"/>
                <w:szCs w:val="24"/>
                <w:lang w:val="en-US" w:eastAsia="zh-CN" w:bidi="ar"/>
              </w:rPr>
              <w:t>采用高强度铝合金材料，表面处理工艺，静电户外粉末喷涂。</w:t>
            </w:r>
          </w:p>
          <w:p w14:paraId="00FD0D5A">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strike/>
                <w:dstrike w:val="0"/>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1.外观质量：型材装饰面上的膜层应平滑、均匀，不准许有皱纹、流痕、鼓泡、裂纹等影响使用的缺陷；</w:t>
            </w:r>
          </w:p>
          <w:p w14:paraId="0ABF9EE4">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2.尺寸：≥98mm*98mm；</w:t>
            </w:r>
          </w:p>
          <w:p w14:paraId="650BB3F4">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3.壁厚：≥1.2mm；</w:t>
            </w:r>
          </w:p>
          <w:p w14:paraId="4F78969E">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4.拉伸强度：规定塑性延伸强度≥130N；抗拉强度≥175N；断后伸长率≥6%；</w:t>
            </w:r>
            <w:r>
              <w:rPr>
                <w:rFonts w:hint="eastAsia" w:ascii="仿宋" w:hAnsi="仿宋" w:eastAsia="仿宋" w:cs="仿宋"/>
                <w:color w:val="auto"/>
                <w:sz w:val="24"/>
                <w:szCs w:val="24"/>
                <w:lang w:val="en-US" w:eastAsia="zh-CN"/>
              </w:rPr>
              <w:t>（依据GB/T 228.1-2021《金属材料 拉伸试验 第1部分:室温试验方法》标准测定）​</w:t>
            </w:r>
          </w:p>
          <w:p w14:paraId="5AD88E5D">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（四）侧轨</w:t>
            </w:r>
          </w:p>
          <w:p w14:paraId="0F8A79E6">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采用高强度铝合金材料，表面处理工艺，静电户外粉末喷涂。</w:t>
            </w:r>
          </w:p>
          <w:p w14:paraId="2E38A7A3">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strike/>
                <w:dstrike w:val="0"/>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1.外观质量：型材装饰面上的膜层应平滑、均匀，不准许有皱纹、流痕、鼓泡、裂纹等影响使用的缺陷；</w:t>
            </w:r>
          </w:p>
          <w:p w14:paraId="267088C6">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strike/>
                <w:dstrike w:val="0"/>
                <w:color w:val="auto"/>
                <w:kern w:val="0"/>
                <w:sz w:val="24"/>
                <w:szCs w:val="24"/>
                <w:lang w:val="en-US" w:eastAsia="zh-CN" w:bidi="ar"/>
              </w:rPr>
            </w:pPr>
            <w:r>
              <w:rPr>
                <w:rFonts w:hint="eastAsia" w:ascii="仿宋" w:hAnsi="仿宋" w:eastAsia="仿宋" w:cs="仿宋"/>
                <w:color w:val="auto"/>
                <w:kern w:val="0"/>
                <w:sz w:val="24"/>
                <w:szCs w:val="24"/>
                <w:lang w:val="en-US" w:eastAsia="zh-CN" w:bidi="ar"/>
              </w:rPr>
              <w:t>2.尺寸：≥37mm*28mm；</w:t>
            </w:r>
          </w:p>
          <w:p w14:paraId="5EB49F24">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3.壁厚：≥1.2mm；</w:t>
            </w:r>
            <w:r>
              <w:rPr>
                <w:rFonts w:hint="eastAsia" w:ascii="仿宋" w:hAnsi="仿宋" w:eastAsia="仿宋" w:cs="仿宋"/>
                <w:color w:val="auto"/>
                <w:sz w:val="24"/>
                <w:szCs w:val="24"/>
                <w:lang w:val="en-US" w:eastAsia="zh-CN"/>
              </w:rPr>
              <w:t>​</w:t>
            </w:r>
          </w:p>
          <w:p w14:paraId="3427BB11">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strike/>
                <w:dstrike w:val="0"/>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4.平均膜厚：60-120μm；</w:t>
            </w:r>
          </w:p>
          <w:p w14:paraId="30012260">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5.拉伸强度：抗拉强度≥160N；规定非比例延伸强度≥110N；断后伸长率≥8%。</w:t>
            </w:r>
            <w:r>
              <w:rPr>
                <w:rFonts w:hint="eastAsia" w:ascii="仿宋" w:hAnsi="仿宋" w:eastAsia="仿宋" w:cs="仿宋"/>
                <w:color w:val="auto"/>
                <w:sz w:val="24"/>
                <w:szCs w:val="24"/>
                <w:lang w:val="en-US" w:eastAsia="zh-CN"/>
              </w:rPr>
              <w:t>（依据GB/T 228.1-2021《金属材料 拉伸试验 第1部分:室温试验方法》标准测定）​</w:t>
            </w:r>
          </w:p>
          <w:p w14:paraId="65E38177">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（五）底轨</w:t>
            </w:r>
          </w:p>
          <w:p w14:paraId="319E8EC6">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底轨采用防风卷帘技术，无需使用底梁配重，</w:t>
            </w:r>
          </w:p>
          <w:p w14:paraId="0585D0ED">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1.采用高强度铝合金材料，表面处理工艺，静电户外粉末喷涂；</w:t>
            </w:r>
          </w:p>
          <w:p w14:paraId="27C197FB">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2.外观质量：型材装饰面上的膜层应平滑、均匀，不准许有皱纹、流痕、鼓泡、裂纹等影响使用的缺陷；</w:t>
            </w:r>
          </w:p>
          <w:p w14:paraId="75A9F110">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strike/>
                <w:dstrike w:val="0"/>
                <w:color w:val="auto"/>
                <w:sz w:val="24"/>
                <w:szCs w:val="24"/>
                <w:lang w:val="en-US" w:eastAsia="zh-CN"/>
              </w:rPr>
            </w:pPr>
            <w:r>
              <w:rPr>
                <w:rFonts w:hint="eastAsia" w:ascii="仿宋" w:hAnsi="仿宋" w:eastAsia="仿宋" w:cs="仿宋"/>
                <w:color w:val="auto"/>
                <w:sz w:val="24"/>
                <w:szCs w:val="24"/>
                <w:lang w:val="en-US" w:eastAsia="zh-CN"/>
              </w:rPr>
              <w:t>3.尺寸：≥37mm*28mm；</w:t>
            </w:r>
          </w:p>
          <w:p w14:paraId="6FBE008D">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4.壁厚：≥1.2mm；</w:t>
            </w:r>
          </w:p>
          <w:p w14:paraId="2D8DC3CF">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strike/>
                <w:dstrike w:val="0"/>
                <w:color w:val="auto"/>
                <w:sz w:val="24"/>
                <w:szCs w:val="24"/>
                <w:lang w:val="en-US" w:eastAsia="zh-CN"/>
              </w:rPr>
            </w:pPr>
            <w:r>
              <w:rPr>
                <w:rFonts w:hint="eastAsia" w:ascii="仿宋" w:hAnsi="仿宋" w:eastAsia="仿宋" w:cs="仿宋"/>
                <w:color w:val="auto"/>
                <w:sz w:val="24"/>
                <w:szCs w:val="24"/>
                <w:lang w:val="en-US" w:eastAsia="zh-CN"/>
              </w:rPr>
              <w:t>5.平均膜厚：60-120μm；</w:t>
            </w:r>
          </w:p>
          <w:p w14:paraId="0BCAE167">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6.拉伸强度：抗拉强度≥160N；规定非比例延伸强度≥110N；断后伸长率≥8%。（依据GB/T 228.1-2021《金属材料 拉伸试验 第1部分:室温试验方法》标准测定）​</w:t>
            </w:r>
          </w:p>
          <w:p w14:paraId="3E791EAC">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lang w:val="en-US" w:eastAsia="zh-CN"/>
              </w:rPr>
              <w:t>六</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内轨道</w:t>
            </w:r>
          </w:p>
          <w:p w14:paraId="05A91376">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1.采用高强度铝合金材料，表面处理工艺，静电户外粉末喷涂；</w:t>
            </w:r>
            <w:r>
              <w:rPr>
                <w:rFonts w:hint="eastAsia" w:ascii="仿宋" w:hAnsi="仿宋" w:eastAsia="仿宋" w:cs="仿宋"/>
                <w:color w:val="auto"/>
                <w:kern w:val="0"/>
                <w:sz w:val="24"/>
                <w:szCs w:val="24"/>
                <w:lang w:val="en-US" w:eastAsia="zh-CN" w:bidi="ar-SA"/>
              </w:rPr>
              <w:t>2.</w:t>
            </w:r>
            <w:r>
              <w:rPr>
                <w:rFonts w:hint="eastAsia" w:ascii="仿宋" w:hAnsi="仿宋" w:eastAsia="仿宋" w:cs="仿宋"/>
                <w:color w:val="auto"/>
                <w:kern w:val="0"/>
                <w:sz w:val="24"/>
                <w:szCs w:val="24"/>
              </w:rPr>
              <w:t>拉伸屈服力:≥50Mpa</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断裂标称应变：≥6%</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sz w:val="24"/>
                <w:szCs w:val="24"/>
                <w:lang w:val="en-US" w:eastAsia="zh-CN"/>
              </w:rPr>
              <w:t>（依据GB/T 228.1-2021《金属材料 拉伸试验 第1部分:室温试验方法》标准测定）</w:t>
            </w:r>
          </w:p>
          <w:p w14:paraId="637E673C">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3.弯曲强度：≥100Mpa</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sz w:val="24"/>
                <w:szCs w:val="24"/>
                <w:lang w:val="en-US" w:eastAsia="zh-CN"/>
              </w:rPr>
              <w:t>（依据GB/T 232-2010《金属材料弯曲试验》标准测定）</w:t>
            </w:r>
          </w:p>
          <w:p w14:paraId="60679CF2">
            <w:pPr>
              <w:keepNext w:val="0"/>
              <w:keepLines w:val="0"/>
              <w:pageBreakBefore w:val="0"/>
              <w:widowControl/>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lang w:val="en-US" w:eastAsia="zh-CN"/>
              </w:rPr>
              <w:t>七</w:t>
            </w:r>
            <w:r>
              <w:rPr>
                <w:rFonts w:hint="eastAsia" w:ascii="仿宋" w:hAnsi="仿宋" w:eastAsia="仿宋" w:cs="仿宋"/>
                <w:b/>
                <w:color w:val="auto"/>
                <w:kern w:val="0"/>
                <w:sz w:val="24"/>
                <w:szCs w:val="24"/>
                <w:lang w:eastAsia="zh-CN"/>
              </w:rPr>
              <w:t>）</w:t>
            </w:r>
            <w:r>
              <w:rPr>
                <w:rFonts w:hint="eastAsia" w:ascii="仿宋" w:hAnsi="仿宋" w:eastAsia="仿宋" w:cs="仿宋"/>
                <w:b/>
                <w:color w:val="auto"/>
                <w:kern w:val="0"/>
                <w:sz w:val="24"/>
                <w:szCs w:val="24"/>
              </w:rPr>
              <w:t>防风卷帘整体机构</w:t>
            </w:r>
          </w:p>
          <w:p w14:paraId="00B486DC">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textAlignment w:val="auto"/>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rPr>
              <w:t>1</w:t>
            </w:r>
            <w:r>
              <w:rPr>
                <w:rFonts w:hint="eastAsia" w:ascii="仿宋" w:hAnsi="仿宋" w:eastAsia="仿宋" w:cs="仿宋"/>
                <w:b w:val="0"/>
                <w:bCs/>
                <w:color w:val="auto"/>
                <w:kern w:val="0"/>
                <w:sz w:val="24"/>
                <w:szCs w:val="24"/>
                <w:lang w:val="en-US" w:eastAsia="zh-CN"/>
              </w:rPr>
              <w:t>.</w:t>
            </w:r>
            <w:r>
              <w:rPr>
                <w:rFonts w:hint="eastAsia" w:ascii="仿宋" w:hAnsi="仿宋" w:eastAsia="仿宋" w:cs="仿宋"/>
                <w:b w:val="0"/>
                <w:bCs/>
                <w:color w:val="auto"/>
                <w:kern w:val="0"/>
                <w:sz w:val="24"/>
                <w:szCs w:val="24"/>
              </w:rPr>
              <w:t>手动产品整体机构，抗风性能</w:t>
            </w:r>
            <w:r>
              <w:rPr>
                <w:rFonts w:hint="eastAsia" w:ascii="仿宋" w:hAnsi="仿宋" w:eastAsia="仿宋" w:cs="仿宋"/>
                <w:b w:val="0"/>
                <w:bCs/>
                <w:color w:val="auto"/>
                <w:kern w:val="0"/>
                <w:sz w:val="24"/>
                <w:szCs w:val="24"/>
                <w:lang w:val="en-US" w:eastAsia="zh-CN"/>
              </w:rPr>
              <w:t>优</w:t>
            </w:r>
            <w:r>
              <w:rPr>
                <w:rFonts w:hint="eastAsia" w:ascii="仿宋" w:hAnsi="仿宋" w:eastAsia="仿宋" w:cs="仿宋"/>
                <w:b w:val="0"/>
                <w:bCs/>
                <w:color w:val="auto"/>
                <w:kern w:val="0"/>
                <w:sz w:val="24"/>
                <w:szCs w:val="24"/>
                <w:lang w:eastAsia="zh-CN"/>
              </w:rPr>
              <w:t>；</w:t>
            </w:r>
            <w:r>
              <w:rPr>
                <w:rFonts w:hint="eastAsia" w:ascii="仿宋" w:hAnsi="仿宋" w:eastAsia="仿宋" w:cs="仿宋"/>
                <w:i w:val="0"/>
                <w:iCs w:val="0"/>
                <w:caps w:val="0"/>
                <w:color w:val="auto"/>
                <w:spacing w:val="0"/>
                <w:sz w:val="24"/>
                <w:szCs w:val="24"/>
                <w:shd w:val="clear" w:fill="FCFCFC"/>
              </w:rPr>
              <w:t>​</w:t>
            </w:r>
          </w:p>
          <w:p w14:paraId="37A30C09">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kern w:val="0"/>
                <w:sz w:val="24"/>
                <w:szCs w:val="24"/>
              </w:rPr>
              <w:t>2</w:t>
            </w:r>
            <w:r>
              <w:rPr>
                <w:rFonts w:hint="eastAsia" w:ascii="仿宋" w:hAnsi="仿宋" w:eastAsia="仿宋" w:cs="仿宋"/>
                <w:b w:val="0"/>
                <w:bCs/>
                <w:color w:val="auto"/>
                <w:kern w:val="0"/>
                <w:sz w:val="24"/>
                <w:szCs w:val="24"/>
                <w:lang w:val="en-US" w:eastAsia="zh-CN"/>
              </w:rPr>
              <w:t>.</w:t>
            </w:r>
            <w:r>
              <w:rPr>
                <w:rFonts w:hint="eastAsia" w:ascii="仿宋" w:hAnsi="仿宋" w:eastAsia="仿宋" w:cs="仿宋"/>
                <w:b w:val="0"/>
                <w:bCs/>
                <w:color w:val="auto"/>
                <w:kern w:val="0"/>
                <w:sz w:val="24"/>
                <w:szCs w:val="24"/>
              </w:rPr>
              <w:t>机械耐久性能：试样经过伸展和收回</w:t>
            </w:r>
            <w:r>
              <w:rPr>
                <w:rFonts w:hint="eastAsia" w:ascii="仿宋" w:hAnsi="仿宋" w:eastAsia="仿宋" w:cs="仿宋"/>
                <w:b w:val="0"/>
                <w:bCs/>
                <w:color w:val="auto"/>
                <w:kern w:val="0"/>
                <w:sz w:val="24"/>
                <w:szCs w:val="24"/>
                <w:lang w:val="en-US" w:eastAsia="zh-CN"/>
              </w:rPr>
              <w:t>1</w:t>
            </w:r>
            <w:r>
              <w:rPr>
                <w:rFonts w:hint="eastAsia" w:ascii="仿宋" w:hAnsi="仿宋" w:eastAsia="仿宋" w:cs="仿宋"/>
                <w:b w:val="0"/>
                <w:bCs/>
                <w:color w:val="auto"/>
                <w:kern w:val="0"/>
                <w:sz w:val="24"/>
                <w:szCs w:val="24"/>
              </w:rPr>
              <w:t>0000次后，样品帘布无破损，机构装置无松动，能实现正常运行。</w:t>
            </w:r>
            <w:r>
              <w:rPr>
                <w:rFonts w:hint="eastAsia" w:ascii="仿宋" w:hAnsi="仿宋" w:eastAsia="仿宋" w:cs="仿宋"/>
                <w:color w:val="auto"/>
                <w:sz w:val="24"/>
                <w:szCs w:val="24"/>
                <w:lang w:val="en-US" w:eastAsia="zh-CN"/>
              </w:rPr>
              <w:t>（依据</w:t>
            </w:r>
            <w:r>
              <w:rPr>
                <w:rFonts w:hint="eastAsia" w:ascii="仿宋" w:hAnsi="仿宋" w:eastAsia="仿宋" w:cs="仿宋"/>
                <w:color w:val="auto"/>
                <w:sz w:val="24"/>
                <w:szCs w:val="24"/>
              </w:rPr>
              <w:t xml:space="preserve">JG T 254-2015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建筑用遮阳软卷帘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标准测定）</w:t>
            </w:r>
          </w:p>
        </w:tc>
      </w:tr>
      <w:tr w14:paraId="6856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shd w:val="clear" w:color="auto" w:fill="auto"/>
            <w:vAlign w:val="center"/>
          </w:tcPr>
          <w:p w14:paraId="1A1FB9CD">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床边隔帘</w:t>
            </w:r>
          </w:p>
          <w:p w14:paraId="530DEEFD">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b/>
                <w:bCs/>
                <w:color w:val="auto"/>
                <w:kern w:val="2"/>
                <w:sz w:val="24"/>
                <w:szCs w:val="24"/>
                <w:lang w:val="en-US" w:eastAsia="zh-CN" w:bidi="ar-SA"/>
              </w:rPr>
            </w:pPr>
          </w:p>
        </w:tc>
        <w:tc>
          <w:tcPr>
            <w:tcW w:w="6842" w:type="dxa"/>
            <w:shd w:val="clear" w:color="auto" w:fill="auto"/>
            <w:vAlign w:val="top"/>
          </w:tcPr>
          <w:p w14:paraId="1C9BDA49">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☆1.面料纤维含量：100%聚酯纤维；克重：≥280g/m²；</w:t>
            </w:r>
          </w:p>
          <w:p w14:paraId="4D2CA2A8">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耐热压色牢度：潮压变色不低于4-5级（依据GB/T6152-1997《纺织品 色牢度试验 耐热压色牢度》标准</w:t>
            </w:r>
            <w:r>
              <w:rPr>
                <w:rFonts w:hint="eastAsia" w:ascii="仿宋" w:hAnsi="仿宋" w:eastAsia="仿宋" w:cs="仿宋"/>
                <w:color w:val="auto"/>
                <w:sz w:val="24"/>
                <w:szCs w:val="24"/>
                <w:lang w:val="en-US" w:eastAsia="zh-CN"/>
              </w:rPr>
              <w:t>测定</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p w14:paraId="20CED5BF">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b w:val="0"/>
                <w:bCs w:val="0"/>
                <w:color w:val="auto"/>
                <w:kern w:val="2"/>
                <w:sz w:val="24"/>
                <w:szCs w:val="24"/>
                <w:highlight w:val="none"/>
                <w:vertAlign w:val="baseline"/>
                <w:lang w:val="en-US" w:eastAsia="zh-CN" w:bidi="ar-SA"/>
              </w:rPr>
              <w:t>燃烧</w:t>
            </w:r>
            <w:r>
              <w:rPr>
                <w:rFonts w:hint="default" w:ascii="仿宋" w:hAnsi="仿宋" w:eastAsia="仿宋" w:cs="仿宋"/>
                <w:b w:val="0"/>
                <w:bCs w:val="0"/>
                <w:color w:val="auto"/>
                <w:kern w:val="2"/>
                <w:sz w:val="24"/>
                <w:szCs w:val="24"/>
                <w:highlight w:val="none"/>
                <w:vertAlign w:val="baseline"/>
                <w:lang w:val="en-US" w:eastAsia="zh-CN" w:bidi="ar-SA"/>
              </w:rPr>
              <w:t>性能</w:t>
            </w:r>
            <w:r>
              <w:rPr>
                <w:rFonts w:hint="eastAsia" w:ascii="仿宋" w:hAnsi="仿宋" w:eastAsia="仿宋" w:cs="仿宋"/>
                <w:b w:val="0"/>
                <w:bCs w:val="0"/>
                <w:color w:val="auto"/>
                <w:kern w:val="2"/>
                <w:sz w:val="24"/>
                <w:szCs w:val="24"/>
                <w:highlight w:val="none"/>
                <w:vertAlign w:val="baseline"/>
                <w:lang w:val="en-US" w:eastAsia="zh-CN" w:bidi="ar-SA"/>
              </w:rPr>
              <w:t>等级</w:t>
            </w:r>
            <w:r>
              <w:rPr>
                <w:rFonts w:hint="eastAsia" w:ascii="仿宋" w:hAnsi="仿宋" w:eastAsia="仿宋" w:cs="仿宋"/>
                <w:color w:val="auto"/>
                <w:sz w:val="24"/>
                <w:szCs w:val="24"/>
                <w:lang w:val="en-US" w:eastAsia="zh-CN"/>
              </w:rPr>
              <w:t>:B1级及以上（依据GB8624-2012《建筑材料及制品燃烧性能分级》）；</w:t>
            </w:r>
          </w:p>
          <w:p w14:paraId="593999DB">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4.断裂强力：经向≥1200N、纬向≥1200N（依据GB/T 3923.1-2013《纺织品织物拉伸性能第1部分:断裂强力和断裂伸长率的测定(条样法)》标准测定）；</w:t>
            </w:r>
          </w:p>
          <w:p w14:paraId="79870AB4">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right="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☆5.甲醛含量：未检出（依据GB/T2912.1-2009《纺织品 甲醛的测定 第1部分：游离和水解的甲醛（水萃取法）》标准测定）；</w:t>
            </w:r>
          </w:p>
          <w:p w14:paraId="0F5DBC54">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6.耐酸碱汗渍色牢度：≥3级；（依据GB/T 3922-2013《纺织品 色牢度试验 耐汗渍色牢度》标准测定）</w:t>
            </w:r>
          </w:p>
          <w:p w14:paraId="3E64F1C3">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7.PH值：4.0-9.0（依据 GB/T 7573-2009《纺织品 水萃取液pH值的测定》标准测定）；</w:t>
            </w:r>
          </w:p>
          <w:p w14:paraId="48285880">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8.可分解致癌芳香胺：禁用（依据GB/T17592-2024《纺织品 禁用偶氮染料的测定》标准测定）；</w:t>
            </w:r>
          </w:p>
          <w:p w14:paraId="0A6D8AB6">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9.致敏染料：未检出（依据GB/T 20383-2006《纺织品 致敏性分散染料的测定》标准测定）；</w:t>
            </w:r>
          </w:p>
          <w:p w14:paraId="4065E4E3">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10.异味：无（依据 GB 18401-2010《国家纺织产品基本安全技术规范》标准测定）；</w:t>
            </w:r>
          </w:p>
          <w:p w14:paraId="433CD2E9">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jc w:val="both"/>
              <w:textAlignment w:val="auto"/>
              <w:rPr>
                <w:rFonts w:hint="default" w:ascii="仿宋" w:hAnsi="仿宋" w:eastAsia="仿宋" w:cs="仿宋"/>
                <w:strike w:val="0"/>
                <w:dstrike w:val="0"/>
                <w:color w:val="auto"/>
                <w:sz w:val="24"/>
                <w:szCs w:val="24"/>
                <w:lang w:val="en-US" w:eastAsia="zh-CN"/>
              </w:rPr>
            </w:pPr>
            <w:r>
              <w:rPr>
                <w:rFonts w:hint="eastAsia" w:ascii="仿宋" w:hAnsi="仿宋" w:eastAsia="仿宋" w:cs="仿宋"/>
                <w:strike w:val="0"/>
                <w:dstrike w:val="0"/>
                <w:color w:val="auto"/>
                <w:sz w:val="24"/>
                <w:szCs w:val="24"/>
                <w:lang w:val="en-US" w:eastAsia="zh-CN"/>
              </w:rPr>
              <w:t>11.紫外线防护系数UPF</w:t>
            </w:r>
            <w:r>
              <w:rPr>
                <w:rFonts w:hint="default" w:ascii="Arial" w:hAnsi="Arial" w:eastAsia="仿宋" w:cs="Arial"/>
                <w:strike w:val="0"/>
                <w:dstrike w:val="0"/>
                <w:color w:val="auto"/>
                <w:sz w:val="24"/>
                <w:szCs w:val="24"/>
                <w:lang w:val="en-US" w:eastAsia="zh-CN"/>
              </w:rPr>
              <w:t>≥</w:t>
            </w:r>
            <w:r>
              <w:rPr>
                <w:rFonts w:hint="eastAsia" w:ascii="仿宋" w:hAnsi="仿宋" w:eastAsia="仿宋" w:cs="仿宋"/>
                <w:strike w:val="0"/>
                <w:dstrike w:val="0"/>
                <w:color w:val="auto"/>
                <w:sz w:val="24"/>
                <w:szCs w:val="24"/>
                <w:lang w:val="en-US" w:eastAsia="zh-CN"/>
              </w:rPr>
              <w:t>40，平均透射比：＜5（依据 GB/T 18830-2009《纺织品 防紫外线性能的评定》标准测定）；</w:t>
            </w:r>
          </w:p>
          <w:p w14:paraId="6B20D8BB">
            <w:pPr>
              <w:keepNext w:val="0"/>
              <w:keepLines w:val="0"/>
              <w:pageBreakBefore w:val="0"/>
              <w:widowControl w:val="0"/>
              <w:numPr>
                <w:ilvl w:val="0"/>
                <w:numId w:val="0"/>
              </w:numPr>
              <w:suppressLineNumbers w:val="0"/>
              <w:kinsoku/>
              <w:overflowPunct/>
              <w:topLinePunct w:val="0"/>
              <w:autoSpaceDN/>
              <w:bidi w:val="0"/>
              <w:adjustRightInd/>
              <w:spacing w:before="0" w:beforeAutospacing="0" w:after="0" w:afterAutospacing="0" w:line="240" w:lineRule="auto"/>
              <w:ind w:left="0" w:right="0" w:rightChars="0"/>
              <w:textAlignment w:val="auto"/>
              <w:rPr>
                <w:rFonts w:hint="default" w:ascii="仿宋" w:hAnsi="仿宋" w:eastAsia="仿宋" w:cs="仿宋"/>
                <w:color w:val="auto"/>
                <w:sz w:val="24"/>
                <w:szCs w:val="24"/>
                <w:highlight w:val="none"/>
                <w:lang w:val="zh-CN" w:bidi="zh-CN"/>
              </w:rPr>
            </w:pPr>
            <w:r>
              <w:rPr>
                <w:rFonts w:hint="eastAsia" w:ascii="仿宋" w:hAnsi="仿宋" w:eastAsia="仿宋" w:cs="仿宋"/>
                <w:color w:val="auto"/>
                <w:sz w:val="24"/>
                <w:szCs w:val="24"/>
                <w:lang w:val="en-US" w:eastAsia="zh-CN"/>
              </w:rPr>
              <w:t xml:space="preserve">☆12.抗菌性能：金黄色葡萄球菌抑菌率≥95%，大肠杆菌抑菌率≥95%，白色念珠菌抑菌率≥95%（依据GB/T 20944-2007《纺织品 </w:t>
            </w:r>
            <w:r>
              <w:rPr>
                <w:rFonts w:hint="eastAsia" w:ascii="仿宋" w:hAnsi="仿宋" w:eastAsia="仿宋" w:cs="仿宋"/>
                <w:color w:val="auto"/>
                <w:sz w:val="24"/>
                <w:szCs w:val="24"/>
                <w:highlight w:val="none"/>
                <w:lang w:val="en-US" w:eastAsia="zh-CN"/>
              </w:rPr>
              <w:t>抗菌性能的评价》标准测定）。</w:t>
            </w:r>
          </w:p>
          <w:p w14:paraId="39BC8F76">
            <w:pPr>
              <w:keepNext w:val="0"/>
              <w:keepLines w:val="0"/>
              <w:pageBreakBefore w:val="0"/>
              <w:widowControl w:val="0"/>
              <w:numPr>
                <w:ilvl w:val="0"/>
                <w:numId w:val="0"/>
              </w:numPr>
              <w:suppressLineNumbers w:val="0"/>
              <w:kinsoku/>
              <w:overflowPunct/>
              <w:topLinePunct w:val="0"/>
              <w:autoSpaceDN/>
              <w:bidi w:val="0"/>
              <w:adjustRightInd/>
              <w:spacing w:before="0" w:beforeAutospacing="0" w:after="0" w:afterAutospacing="0" w:line="240" w:lineRule="auto"/>
              <w:ind w:left="0" w:right="0" w:rightChars="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val="zh-CN" w:eastAsia="zh-CN"/>
              </w:rPr>
              <w:t>面料采用经编高精密工艺，网格与帘布一体式编织，网格高度</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lang w:val="zh-CN" w:eastAsia="zh-CN"/>
              </w:rPr>
              <w:t>为55cm。</w:t>
            </w:r>
          </w:p>
        </w:tc>
      </w:tr>
      <w:tr w14:paraId="0FAA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44FBA14F">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bCs/>
                <w:color w:val="auto"/>
                <w:sz w:val="24"/>
                <w:szCs w:val="24"/>
                <w:vertAlign w:val="baseline"/>
              </w:rPr>
              <w:t>手动开合帘</w:t>
            </w:r>
            <w:r>
              <w:rPr>
                <w:rFonts w:hint="eastAsia" w:ascii="仿宋" w:hAnsi="仿宋" w:eastAsia="仿宋" w:cs="仿宋"/>
                <w:b/>
                <w:bCs/>
                <w:color w:val="auto"/>
                <w:sz w:val="24"/>
                <w:szCs w:val="24"/>
                <w:vertAlign w:val="baseline"/>
                <w:lang w:eastAsia="zh-CN"/>
              </w:rPr>
              <w:t>、</w:t>
            </w:r>
            <w:r>
              <w:rPr>
                <w:rFonts w:hint="eastAsia" w:ascii="仿宋" w:hAnsi="仿宋" w:eastAsia="仿宋" w:cs="仿宋"/>
                <w:b/>
                <w:bCs/>
                <w:color w:val="auto"/>
                <w:sz w:val="24"/>
                <w:szCs w:val="24"/>
                <w:vertAlign w:val="baseline"/>
                <w:lang w:val="en-US" w:eastAsia="zh-CN"/>
              </w:rPr>
              <w:t>隔帘轨道</w:t>
            </w:r>
          </w:p>
        </w:tc>
        <w:tc>
          <w:tcPr>
            <w:tcW w:w="6842" w:type="dxa"/>
            <w:vAlign w:val="center"/>
          </w:tcPr>
          <w:p w14:paraId="3B1DEA42">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采用高强度6063-T5铝合金材质</w:t>
            </w:r>
            <w:r>
              <w:rPr>
                <w:rFonts w:hint="eastAsia" w:ascii="仿宋" w:hAnsi="仿宋" w:eastAsia="仿宋" w:cs="仿宋"/>
                <w:b w:val="0"/>
                <w:bCs w:val="0"/>
                <w:strike w:val="0"/>
                <w:dstrike w:val="0"/>
                <w:color w:val="auto"/>
                <w:sz w:val="24"/>
                <w:szCs w:val="24"/>
                <w:vertAlign w:val="baseline"/>
                <w:lang w:val="en-US" w:eastAsia="zh-CN"/>
              </w:rPr>
              <w:t>；</w:t>
            </w:r>
          </w:p>
          <w:p w14:paraId="7DEFC79A">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strike/>
                <w:dstrike w:val="0"/>
                <w:color w:val="auto"/>
                <w:sz w:val="24"/>
                <w:szCs w:val="24"/>
                <w:vertAlign w:val="baseline"/>
                <w:lang w:val="en-US" w:eastAsia="zh-CN"/>
              </w:rPr>
            </w:pPr>
            <w:r>
              <w:rPr>
                <w:rFonts w:hint="default" w:ascii="仿宋" w:hAnsi="仿宋" w:eastAsia="仿宋" w:cs="仿宋"/>
                <w:b w:val="0"/>
                <w:bCs w:val="0"/>
                <w:strike w:val="0"/>
                <w:dstrike w:val="0"/>
                <w:color w:val="auto"/>
                <w:kern w:val="0"/>
                <w:sz w:val="24"/>
                <w:szCs w:val="24"/>
                <w:vertAlign w:val="baseline"/>
                <w:lang w:val="en-US" w:eastAsia="zh-CN" w:bidi="ar"/>
              </w:rPr>
              <w:t>1.</w:t>
            </w:r>
            <w:r>
              <w:rPr>
                <w:rFonts w:hint="eastAsia" w:ascii="仿宋" w:hAnsi="仿宋" w:eastAsia="仿宋" w:cs="仿宋"/>
                <w:b w:val="0"/>
                <w:bCs w:val="0"/>
                <w:color w:val="auto"/>
                <w:sz w:val="24"/>
                <w:szCs w:val="24"/>
                <w:vertAlign w:val="baseline"/>
                <w:lang w:val="en-US" w:eastAsia="zh-CN"/>
              </w:rPr>
              <w:t>轨道外观质量：型材表面清洁，涂层均匀，无皱纹、流痕、发黏、凹陷、暗斑、针孔、划伤、裂纹、鼓泡等可视缺陷；</w:t>
            </w:r>
          </w:p>
          <w:p w14:paraId="4057B2D0">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color w:val="auto"/>
                <w:sz w:val="24"/>
                <w:szCs w:val="24"/>
                <w:vertAlign w:val="baseline"/>
                <w:lang w:val="en-US" w:eastAsia="zh-CN"/>
              </w:rPr>
            </w:pPr>
            <w:r>
              <w:rPr>
                <w:rFonts w:hint="default" w:ascii="仿宋" w:hAnsi="仿宋" w:eastAsia="仿宋" w:cs="仿宋"/>
                <w:b w:val="0"/>
                <w:bCs w:val="0"/>
                <w:strike w:val="0"/>
                <w:dstrike w:val="0"/>
                <w:color w:val="auto"/>
                <w:kern w:val="0"/>
                <w:sz w:val="24"/>
                <w:szCs w:val="24"/>
                <w:vertAlign w:val="baseline"/>
                <w:lang w:val="en-US" w:eastAsia="zh-CN" w:bidi="ar"/>
              </w:rPr>
              <w:t>2.</w:t>
            </w:r>
            <w:r>
              <w:rPr>
                <w:rFonts w:hint="eastAsia" w:ascii="仿宋" w:hAnsi="仿宋" w:eastAsia="仿宋" w:cs="仿宋"/>
                <w:b w:val="0"/>
                <w:bCs w:val="0"/>
                <w:color w:val="auto"/>
                <w:sz w:val="24"/>
                <w:szCs w:val="24"/>
                <w:vertAlign w:val="baseline"/>
                <w:lang w:val="en-US" w:eastAsia="zh-CN"/>
              </w:rPr>
              <w:t>壁厚≥1.2mm；宽度≥25mm；高度≥20mm；</w:t>
            </w:r>
          </w:p>
          <w:p w14:paraId="7047C043">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color w:val="auto"/>
                <w:sz w:val="24"/>
                <w:szCs w:val="24"/>
              </w:rPr>
            </w:pPr>
            <w:r>
              <w:rPr>
                <w:rFonts w:hint="eastAsia" w:ascii="仿宋" w:hAnsi="仿宋" w:eastAsia="仿宋" w:cs="仿宋"/>
                <w:b w:val="0"/>
                <w:bCs w:val="0"/>
                <w:color w:val="auto"/>
                <w:kern w:val="0"/>
                <w:sz w:val="24"/>
                <w:szCs w:val="24"/>
                <w:vertAlign w:val="baseline"/>
                <w:lang w:val="en-US" w:eastAsia="zh-CN" w:bidi="ar"/>
              </w:rPr>
              <w:t>3</w:t>
            </w:r>
            <w:r>
              <w:rPr>
                <w:rFonts w:hint="default" w:ascii="仿宋" w:hAnsi="仿宋" w:eastAsia="仿宋" w:cs="仿宋"/>
                <w:b w:val="0"/>
                <w:bCs w:val="0"/>
                <w:color w:val="auto"/>
                <w:kern w:val="0"/>
                <w:sz w:val="24"/>
                <w:szCs w:val="24"/>
                <w:vertAlign w:val="baseline"/>
                <w:lang w:val="en-US" w:eastAsia="zh-CN" w:bidi="ar"/>
              </w:rPr>
              <w:t>.拉伸强度：</w:t>
            </w:r>
            <w:r>
              <w:rPr>
                <w:rFonts w:hint="eastAsia" w:ascii="仿宋" w:hAnsi="仿宋" w:eastAsia="仿宋" w:cs="仿宋"/>
                <w:b w:val="0"/>
                <w:bCs w:val="0"/>
                <w:color w:val="auto"/>
                <w:sz w:val="24"/>
                <w:szCs w:val="24"/>
                <w:vertAlign w:val="baseline"/>
                <w:lang w:val="en-US" w:eastAsia="zh-CN"/>
              </w:rPr>
              <w:t>抗拉强度：≥175MPa；规定非比例延伸强度：≥130MPa；断后伸长率：≥6%；（依据GB/T 228.1-2021《金属材料 拉伸试验 第1部分:室温试验方法》标准测定）</w:t>
            </w:r>
          </w:p>
          <w:p w14:paraId="4288FFCD">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kern w:val="0"/>
                <w:sz w:val="24"/>
                <w:szCs w:val="24"/>
                <w:vertAlign w:val="baseline"/>
                <w:lang w:val="en-US" w:eastAsia="zh-CN" w:bidi="ar"/>
              </w:rPr>
              <w:t>4</w:t>
            </w:r>
            <w:r>
              <w:rPr>
                <w:rFonts w:hint="default" w:ascii="仿宋" w:hAnsi="仿宋" w:eastAsia="仿宋" w:cs="仿宋"/>
                <w:b w:val="0"/>
                <w:bCs w:val="0"/>
                <w:color w:val="auto"/>
                <w:kern w:val="0"/>
                <w:sz w:val="24"/>
                <w:szCs w:val="24"/>
                <w:vertAlign w:val="baseline"/>
                <w:lang w:val="en-US" w:eastAsia="zh-CN" w:bidi="ar"/>
              </w:rPr>
              <w:t>.</w:t>
            </w:r>
            <w:r>
              <w:rPr>
                <w:rFonts w:hint="eastAsia" w:ascii="仿宋" w:hAnsi="仿宋" w:eastAsia="仿宋" w:cs="仿宋"/>
                <w:b w:val="0"/>
                <w:bCs w:val="0"/>
                <w:color w:val="auto"/>
                <w:sz w:val="24"/>
                <w:szCs w:val="24"/>
                <w:vertAlign w:val="baseline"/>
                <w:lang w:val="en-US" w:eastAsia="zh-CN"/>
              </w:rPr>
              <w:t>轨道承重：≥50Kg；</w:t>
            </w:r>
          </w:p>
          <w:p w14:paraId="33A2E0AB">
            <w:pPr>
              <w:keepNext w:val="0"/>
              <w:keepLines w:val="0"/>
              <w:pageBreakBefore w:val="0"/>
              <w:widowControl w:val="0"/>
              <w:numPr>
                <w:ilvl w:val="0"/>
                <w:numId w:val="0"/>
              </w:numPr>
              <w:suppressLineNumbers w:val="0"/>
              <w:kinsoku/>
              <w:overflowPunct/>
              <w:topLinePunct w:val="0"/>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4"/>
                <w:szCs w:val="24"/>
                <w:vertAlign w:val="baseline"/>
              </w:rPr>
            </w:pPr>
            <w:r>
              <w:rPr>
                <w:rFonts w:hint="eastAsia" w:ascii="仿宋" w:hAnsi="仿宋" w:eastAsia="仿宋" w:cs="仿宋"/>
                <w:color w:val="auto"/>
                <w:kern w:val="0"/>
                <w:sz w:val="24"/>
                <w:szCs w:val="24"/>
                <w:vertAlign w:val="baseline"/>
                <w:lang w:val="en-US" w:eastAsia="zh-CN" w:bidi="ar"/>
              </w:rPr>
              <w:t>5</w:t>
            </w:r>
            <w:r>
              <w:rPr>
                <w:rFonts w:hint="default" w:ascii="仿宋" w:hAnsi="仿宋" w:eastAsia="仿宋" w:cs="仿宋"/>
                <w:color w:val="auto"/>
                <w:kern w:val="0"/>
                <w:sz w:val="24"/>
                <w:szCs w:val="24"/>
                <w:vertAlign w:val="baseline"/>
                <w:lang w:val="en-US" w:eastAsia="zh-CN" w:bidi="ar"/>
              </w:rPr>
              <w:t>.</w:t>
            </w:r>
            <w:r>
              <w:rPr>
                <w:rFonts w:hint="eastAsia" w:ascii="仿宋" w:hAnsi="仿宋" w:eastAsia="仿宋" w:cs="仿宋"/>
                <w:b w:val="0"/>
                <w:bCs w:val="0"/>
                <w:color w:val="auto"/>
                <w:sz w:val="24"/>
                <w:szCs w:val="24"/>
                <w:vertAlign w:val="baseline"/>
                <w:lang w:val="en-US" w:eastAsia="zh-CN"/>
              </w:rPr>
              <w:t>滑轮承重：≥20Kg。</w:t>
            </w:r>
          </w:p>
        </w:tc>
      </w:tr>
      <w:tr w14:paraId="1FEE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30766E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纱窗</w:t>
            </w:r>
          </w:p>
        </w:tc>
        <w:tc>
          <w:tcPr>
            <w:tcW w:w="6842" w:type="dxa"/>
            <w:vAlign w:val="center"/>
          </w:tcPr>
          <w:p w14:paraId="67AD5EC1">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两趟推拉式金刚网纱窗</w:t>
            </w:r>
          </w:p>
          <w:p w14:paraId="16A4A8B0">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1.纱网：黑色纱网，304不锈钢材质，金钢纱网密度要求11.0±1目，静电粉末喷涂，有效防蚊虫，隐形通透，无阻隔感，无遮挡感，无压抑感；网眼平整均匀，通透通风，柔韧性强，抗拉性好；</w:t>
            </w:r>
          </w:p>
          <w:p w14:paraId="31F66BC1">
            <w:pPr>
              <w:keepNext w:val="0"/>
              <w:keepLines w:val="0"/>
              <w:pageBreakBefore w:val="0"/>
              <w:suppressLineNumbers w:val="0"/>
              <w:kinsoku/>
              <w:overflowPunct/>
              <w:topLinePunct w:val="0"/>
              <w:autoSpaceDN/>
              <w:bidi w:val="0"/>
              <w:adjustRightIn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vertAlign w:val="baseline"/>
                <w:lang w:val="en-US" w:eastAsia="zh-CN"/>
              </w:rPr>
              <w:t>2.型材：6063-T5铝合金，壁厚≥1.0mm，型材结实耐用，与窗口型材连接牢固；推拉顺畅。</w:t>
            </w:r>
          </w:p>
        </w:tc>
      </w:tr>
      <w:tr w14:paraId="093B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vAlign w:val="center"/>
          </w:tcPr>
          <w:p w14:paraId="772C8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磨砂膜</w:t>
            </w:r>
          </w:p>
        </w:tc>
        <w:tc>
          <w:tcPr>
            <w:tcW w:w="6842" w:type="dxa"/>
            <w:vAlign w:val="center"/>
          </w:tcPr>
          <w:p w14:paraId="72AF3B37">
            <w:pPr>
              <w:keepNext w:val="0"/>
              <w:keepLines w:val="0"/>
              <w:pageBreakBefore w:val="0"/>
              <w:widowControl w:val="0"/>
              <w:suppressLineNumbers w:val="0"/>
              <w:kinsoku/>
              <w:overflowPunct/>
              <w:topLinePunct w:val="0"/>
              <w:autoSpaceDN/>
              <w:bidi w:val="0"/>
              <w:adjustRightInd/>
              <w:snapToGrid w:val="0"/>
              <w:spacing w:before="0" w:beforeAutospacing="0" w:after="0" w:afterAutospacing="0" w:line="240" w:lineRule="auto"/>
              <w:ind w:left="0" w:right="0"/>
              <w:jc w:val="both"/>
              <w:textAlignment w:val="auto"/>
              <w:rPr>
                <w:rFonts w:hint="default" w:ascii="仿宋" w:hAnsi="仿宋" w:eastAsia="仿宋" w:cs="仿宋"/>
                <w:color w:val="auto"/>
                <w:sz w:val="24"/>
                <w:szCs w:val="24"/>
                <w:lang w:val="zh-CN" w:bidi="zh-CN"/>
              </w:rPr>
            </w:pPr>
            <w:r>
              <w:rPr>
                <w:rFonts w:hint="eastAsia" w:ascii="仿宋" w:hAnsi="仿宋" w:eastAsia="仿宋" w:cs="仿宋"/>
                <w:color w:val="auto"/>
                <w:sz w:val="24"/>
                <w:szCs w:val="24"/>
                <w:lang w:val="en-US" w:bidi="zh-CN"/>
              </w:rPr>
              <w:t>要</w:t>
            </w:r>
            <w:r>
              <w:rPr>
                <w:rFonts w:hint="eastAsia" w:ascii="仿宋" w:hAnsi="仿宋" w:eastAsia="仿宋" w:cs="仿宋"/>
                <w:color w:val="auto"/>
                <w:sz w:val="24"/>
                <w:szCs w:val="24"/>
                <w:lang w:val="zh-CN" w:bidi="zh-CN"/>
              </w:rPr>
              <w:t>求阻隔紫外线,能减少家具织物的褪色，延长其使用寿命；胶黏剂需具有可再次剥离性能，经过长时间也能很好地剥下，要求铺贴没有气泡和杂质，平整度高。</w:t>
            </w:r>
          </w:p>
          <w:p w14:paraId="2777D44C">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textAlignment w:val="auto"/>
              <w:rPr>
                <w:rFonts w:hint="default" w:ascii="仿宋" w:hAnsi="仿宋" w:eastAsia="仿宋" w:cs="仿宋"/>
                <w:color w:val="auto"/>
                <w:sz w:val="24"/>
                <w:szCs w:val="24"/>
                <w:lang w:val="zh-CN" w:bidi="zh-CN"/>
              </w:rPr>
            </w:pPr>
            <w:r>
              <w:rPr>
                <w:rFonts w:hint="eastAsia" w:ascii="仿宋" w:hAnsi="仿宋" w:eastAsia="仿宋" w:cs="仿宋"/>
                <w:color w:val="auto"/>
                <w:sz w:val="24"/>
                <w:szCs w:val="24"/>
                <w:lang w:val="zh-CN" w:bidi="zh-CN"/>
              </w:rPr>
              <w:t>1.见光透射比差值的绝对值应≤4%；</w:t>
            </w:r>
          </w:p>
          <w:p w14:paraId="6C761C5D">
            <w:pPr>
              <w:keepNext w:val="0"/>
              <w:keepLines w:val="0"/>
              <w:pageBreakBefore w:val="0"/>
              <w:widowControl w:val="0"/>
              <w:suppressLineNumbers w:val="0"/>
              <w:kinsoku/>
              <w:overflowPunct/>
              <w:topLinePunct w:val="0"/>
              <w:autoSpaceDN/>
              <w:bidi w:val="0"/>
              <w:adjustRightInd/>
              <w:spacing w:before="0" w:beforeAutospacing="0" w:after="0" w:afterAutospacing="0" w:line="240" w:lineRule="auto"/>
              <w:ind w:left="0" w:right="0"/>
              <w:textAlignment w:val="auto"/>
              <w:rPr>
                <w:rFonts w:hint="default" w:ascii="仿宋" w:hAnsi="仿宋" w:eastAsia="仿宋" w:cs="仿宋"/>
                <w:color w:val="auto"/>
                <w:sz w:val="24"/>
                <w:szCs w:val="24"/>
                <w:lang w:val="zh-CN" w:bidi="zh-CN"/>
              </w:rPr>
            </w:pPr>
            <w:r>
              <w:rPr>
                <w:rFonts w:hint="eastAsia" w:ascii="仿宋" w:hAnsi="仿宋" w:eastAsia="仿宋" w:cs="仿宋"/>
                <w:color w:val="auto"/>
                <w:sz w:val="24"/>
                <w:szCs w:val="24"/>
                <w:lang w:val="zh-CN" w:bidi="zh-CN"/>
              </w:rPr>
              <w:t>2.可见光透射比差值的绝对值应≤4%；</w:t>
            </w:r>
          </w:p>
          <w:p w14:paraId="03FF33A5">
            <w:pPr>
              <w:keepNext w:val="0"/>
              <w:keepLines w:val="0"/>
              <w:pageBreakBefore w:val="0"/>
              <w:widowControl w:val="0"/>
              <w:numPr>
                <w:ilvl w:val="0"/>
                <w:numId w:val="0"/>
              </w:numPr>
              <w:suppressLineNumbers w:val="0"/>
              <w:kinsoku/>
              <w:wordWrap w:val="0"/>
              <w:overflowPunct/>
              <w:topLinePunct w:val="0"/>
              <w:autoSpaceDE/>
              <w:autoSpaceDN/>
              <w:bidi w:val="0"/>
              <w:adjustRightInd/>
              <w:snapToGrid w:val="0"/>
              <w:spacing w:before="0" w:beforeAutospacing="0" w:after="0" w:afterAutospacing="0" w:line="240" w:lineRule="auto"/>
              <w:ind w:left="0" w:leftChars="0" w:right="0" w:rightChars="0"/>
              <w:jc w:val="both"/>
              <w:textAlignment w:val="auto"/>
              <w:rPr>
                <w:rFonts w:hint="eastAsia"/>
                <w:color w:val="auto"/>
                <w:sz w:val="24"/>
                <w:szCs w:val="24"/>
                <w:lang w:val="en-US" w:eastAsia="zh-CN"/>
              </w:rPr>
            </w:pPr>
            <w:r>
              <w:rPr>
                <w:rFonts w:hint="eastAsia" w:ascii="仿宋" w:hAnsi="仿宋" w:eastAsia="仿宋" w:cs="仿宋"/>
                <w:color w:val="auto"/>
                <w:sz w:val="24"/>
                <w:szCs w:val="24"/>
                <w:lang w:val="zh-CN" w:bidi="zh-CN"/>
              </w:rPr>
              <w:t>3.断裂最大拉力≥160N，断裂延伸率≥59%。</w:t>
            </w:r>
          </w:p>
        </w:tc>
      </w:tr>
    </w:tbl>
    <w:p w14:paraId="77753B95">
      <w:pPr>
        <w:rPr>
          <w:rFonts w:hint="eastAsia" w:ascii="仿宋" w:hAnsi="仿宋" w:eastAsia="仿宋" w:cs="仿宋"/>
        </w:rPr>
      </w:pPr>
    </w:p>
    <w:p w14:paraId="2A2AA66F">
      <w:pPr>
        <w:widowControl w:val="0"/>
        <w:adjustRightInd w:val="0"/>
        <w:spacing w:line="360" w:lineRule="auto"/>
        <w:ind w:firstLine="480" w:firstLineChars="20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w:t>
      </w:r>
      <w:r>
        <w:rPr>
          <w:rFonts w:hint="eastAsia" w:ascii="仿宋" w:hAnsi="仿宋" w:eastAsia="仿宋" w:cs="仿宋"/>
          <w:b/>
          <w:bCs/>
          <w:color w:val="auto"/>
          <w:kern w:val="2"/>
          <w:sz w:val="24"/>
          <w:szCs w:val="24"/>
          <w:highlight w:val="none"/>
          <w:lang w:val="en-US" w:eastAsia="zh-CN" w:bidi="ar-SA"/>
        </w:rPr>
        <w:t>1.以上打“▲”、“☆”的技术参数要求在投标文件中提供国家认可或批准检测资质的第三方检测机构出具的检验检测报告复制件。</w:t>
      </w:r>
    </w:p>
    <w:p w14:paraId="52234916">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u w:val="none"/>
          <w:lang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u w:val="none"/>
          <w:lang w:eastAsia="zh-CN" w:bidi="ar-SA"/>
        </w:rPr>
        <w:t>《</w:t>
      </w:r>
      <w:r>
        <w:rPr>
          <w:rFonts w:hint="eastAsia" w:ascii="仿宋" w:hAnsi="仿宋" w:eastAsia="仿宋" w:cs="仿宋"/>
          <w:color w:val="auto"/>
          <w:kern w:val="2"/>
          <w:sz w:val="24"/>
          <w:szCs w:val="24"/>
          <w:highlight w:val="none"/>
          <w:u w:val="none"/>
          <w:lang w:val="en-US" w:eastAsia="zh-CN" w:bidi="ar-SA"/>
        </w:rPr>
        <w:t>项目采购清单和参数要求</w:t>
      </w:r>
      <w:r>
        <w:rPr>
          <w:rFonts w:hint="eastAsia" w:ascii="仿宋" w:hAnsi="仿宋" w:eastAsia="仿宋" w:cs="仿宋"/>
          <w:color w:val="auto"/>
          <w:kern w:val="2"/>
          <w:sz w:val="24"/>
          <w:szCs w:val="24"/>
          <w:highlight w:val="none"/>
          <w:u w:val="none"/>
          <w:lang w:eastAsia="zh-CN" w:bidi="ar-SA"/>
        </w:rPr>
        <w:t>》</w:t>
      </w:r>
      <w:r>
        <w:rPr>
          <w:rFonts w:hint="eastAsia" w:ascii="仿宋" w:hAnsi="仿宋" w:eastAsia="仿宋" w:cs="仿宋"/>
          <w:color w:val="auto"/>
          <w:kern w:val="2"/>
          <w:sz w:val="24"/>
          <w:szCs w:val="24"/>
          <w:highlight w:val="none"/>
          <w:u w:val="none"/>
          <w:lang w:bidi="ar-SA"/>
        </w:rPr>
        <w:t>中所列的产品尺寸规格是由</w:t>
      </w:r>
      <w:r>
        <w:rPr>
          <w:rFonts w:hint="eastAsia" w:ascii="仿宋" w:hAnsi="仿宋" w:eastAsia="仿宋" w:cs="仿宋"/>
          <w:color w:val="auto"/>
          <w:kern w:val="2"/>
          <w:sz w:val="24"/>
          <w:szCs w:val="24"/>
          <w:highlight w:val="none"/>
          <w:u w:val="none"/>
          <w:lang w:eastAsia="zh-CN" w:bidi="ar-SA"/>
        </w:rPr>
        <w:t>招标人</w:t>
      </w:r>
      <w:r>
        <w:rPr>
          <w:rFonts w:hint="eastAsia" w:ascii="仿宋" w:hAnsi="仿宋" w:eastAsia="仿宋" w:cs="仿宋"/>
          <w:color w:val="auto"/>
          <w:kern w:val="2"/>
          <w:sz w:val="24"/>
          <w:szCs w:val="24"/>
          <w:highlight w:val="none"/>
          <w:u w:val="none"/>
          <w:lang w:bidi="ar-SA"/>
        </w:rPr>
        <w:t>根据自身场地条件测算，</w:t>
      </w:r>
      <w:r>
        <w:rPr>
          <w:rFonts w:hint="eastAsia" w:ascii="仿宋" w:hAnsi="仿宋" w:eastAsia="仿宋" w:cs="仿宋"/>
          <w:color w:val="auto"/>
          <w:kern w:val="2"/>
          <w:sz w:val="24"/>
          <w:szCs w:val="24"/>
          <w:highlight w:val="none"/>
          <w:u w:val="none"/>
          <w:lang w:val="en-US" w:eastAsia="zh-CN" w:bidi="ar-SA"/>
        </w:rPr>
        <w:t>供应商</w:t>
      </w:r>
      <w:r>
        <w:rPr>
          <w:rFonts w:hint="eastAsia" w:ascii="仿宋" w:hAnsi="仿宋" w:eastAsia="仿宋" w:cs="仿宋"/>
          <w:color w:val="auto"/>
          <w:kern w:val="2"/>
          <w:sz w:val="24"/>
          <w:szCs w:val="24"/>
          <w:highlight w:val="none"/>
          <w:u w:val="none"/>
          <w:lang w:bidi="ar-SA"/>
        </w:rPr>
        <w:t>应尽可能的选择符合需求</w:t>
      </w:r>
      <w:r>
        <w:rPr>
          <w:rFonts w:hint="eastAsia" w:ascii="仿宋" w:hAnsi="仿宋" w:eastAsia="仿宋" w:cs="仿宋"/>
          <w:color w:val="auto"/>
          <w:kern w:val="2"/>
          <w:sz w:val="24"/>
          <w:szCs w:val="24"/>
          <w:highlight w:val="none"/>
          <w:u w:val="none"/>
          <w:lang w:eastAsia="zh-CN" w:bidi="ar-SA"/>
        </w:rPr>
        <w:t>招标人</w:t>
      </w:r>
      <w:r>
        <w:rPr>
          <w:rFonts w:hint="eastAsia" w:ascii="仿宋" w:hAnsi="仿宋" w:eastAsia="仿宋" w:cs="仿宋"/>
          <w:color w:val="auto"/>
          <w:kern w:val="2"/>
          <w:sz w:val="24"/>
          <w:szCs w:val="24"/>
          <w:highlight w:val="none"/>
          <w:u w:val="none"/>
          <w:lang w:bidi="ar-SA"/>
        </w:rPr>
        <w:t>要求的尺寸的产品参加投标，在不影响安装、整体美观度以及实际使用功能的前提下，允许存在合理的尺寸偏差。同时，供应商应无条件接受，</w:t>
      </w:r>
      <w:r>
        <w:rPr>
          <w:rFonts w:hint="eastAsia" w:ascii="仿宋" w:hAnsi="仿宋" w:eastAsia="仿宋" w:cs="仿宋"/>
          <w:color w:val="auto"/>
          <w:kern w:val="2"/>
          <w:sz w:val="24"/>
          <w:szCs w:val="24"/>
          <w:highlight w:val="none"/>
          <w:u w:val="none"/>
          <w:lang w:eastAsia="zh-CN" w:bidi="ar-SA"/>
        </w:rPr>
        <w:t>招标人</w:t>
      </w:r>
      <w:r>
        <w:rPr>
          <w:rFonts w:hint="eastAsia" w:ascii="仿宋" w:hAnsi="仿宋" w:eastAsia="仿宋" w:cs="仿宋"/>
          <w:color w:val="auto"/>
          <w:kern w:val="2"/>
          <w:sz w:val="24"/>
          <w:szCs w:val="24"/>
          <w:highlight w:val="none"/>
          <w:u w:val="none"/>
          <w:lang w:bidi="ar-SA"/>
        </w:rPr>
        <w:t>提出的因场地原因造成的部分产品尺寸的细微调整，产生的费用计入</w:t>
      </w:r>
      <w:r>
        <w:rPr>
          <w:rFonts w:hint="eastAsia" w:ascii="仿宋" w:hAnsi="仿宋" w:eastAsia="仿宋" w:cs="仿宋"/>
          <w:color w:val="auto"/>
          <w:kern w:val="2"/>
          <w:sz w:val="24"/>
          <w:szCs w:val="24"/>
          <w:highlight w:val="none"/>
          <w:u w:val="none"/>
          <w:lang w:val="en-US" w:eastAsia="zh-CN" w:bidi="ar-SA"/>
        </w:rPr>
        <w:t>本次</w:t>
      </w:r>
      <w:r>
        <w:rPr>
          <w:rFonts w:hint="eastAsia" w:ascii="仿宋" w:hAnsi="仿宋" w:eastAsia="仿宋" w:cs="仿宋"/>
          <w:color w:val="auto"/>
          <w:kern w:val="2"/>
          <w:sz w:val="24"/>
          <w:szCs w:val="24"/>
          <w:highlight w:val="none"/>
          <w:u w:val="none"/>
          <w:lang w:bidi="ar-SA"/>
        </w:rPr>
        <w:t>投标</w:t>
      </w:r>
      <w:r>
        <w:rPr>
          <w:rFonts w:hint="eastAsia" w:ascii="仿宋" w:hAnsi="仿宋" w:eastAsia="仿宋" w:cs="仿宋"/>
          <w:color w:val="auto"/>
          <w:kern w:val="2"/>
          <w:sz w:val="24"/>
          <w:szCs w:val="24"/>
          <w:highlight w:val="none"/>
          <w:u w:val="none"/>
          <w:lang w:val="en-US" w:eastAsia="zh-CN" w:bidi="ar-SA"/>
        </w:rPr>
        <w:t>报</w:t>
      </w:r>
      <w:r>
        <w:rPr>
          <w:rFonts w:hint="eastAsia" w:ascii="仿宋" w:hAnsi="仿宋" w:eastAsia="仿宋" w:cs="仿宋"/>
          <w:color w:val="auto"/>
          <w:kern w:val="2"/>
          <w:sz w:val="24"/>
          <w:szCs w:val="24"/>
          <w:highlight w:val="none"/>
          <w:u w:val="none"/>
          <w:lang w:bidi="ar-SA"/>
        </w:rPr>
        <w:t>价。</w:t>
      </w:r>
    </w:p>
    <w:p w14:paraId="4BCC8FAA">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u w:val="none"/>
          <w:lang w:bidi="ar-SA"/>
        </w:rPr>
      </w:pPr>
      <w:r>
        <w:rPr>
          <w:rFonts w:hint="eastAsia" w:ascii="仿宋" w:hAnsi="仿宋" w:eastAsia="仿宋" w:cs="仿宋"/>
          <w:color w:val="auto"/>
          <w:kern w:val="2"/>
          <w:sz w:val="24"/>
          <w:szCs w:val="24"/>
          <w:highlight w:val="none"/>
          <w:u w:val="none"/>
          <w:lang w:val="en-US" w:eastAsia="zh-CN" w:bidi="ar-SA"/>
        </w:rPr>
        <w:t>3.</w:t>
      </w:r>
      <w:r>
        <w:rPr>
          <w:rFonts w:hint="eastAsia" w:ascii="仿宋" w:hAnsi="仿宋" w:eastAsia="仿宋" w:cs="仿宋"/>
          <w:color w:val="auto"/>
          <w:kern w:val="2"/>
          <w:sz w:val="24"/>
          <w:szCs w:val="24"/>
          <w:highlight w:val="none"/>
          <w:u w:val="none"/>
          <w:lang w:bidi="ar-SA"/>
        </w:rPr>
        <w:t>本</w:t>
      </w:r>
      <w:r>
        <w:rPr>
          <w:rFonts w:hint="eastAsia" w:ascii="仿宋" w:hAnsi="仿宋" w:eastAsia="仿宋" w:cs="仿宋"/>
          <w:color w:val="auto"/>
          <w:kern w:val="2"/>
          <w:sz w:val="24"/>
          <w:szCs w:val="24"/>
          <w:highlight w:val="none"/>
          <w:u w:val="none"/>
          <w:lang w:eastAsia="zh-CN" w:bidi="ar-SA"/>
        </w:rPr>
        <w:t>《</w:t>
      </w:r>
      <w:r>
        <w:rPr>
          <w:rFonts w:hint="eastAsia" w:ascii="仿宋" w:hAnsi="仿宋" w:eastAsia="仿宋" w:cs="仿宋"/>
          <w:color w:val="auto"/>
          <w:kern w:val="2"/>
          <w:sz w:val="24"/>
          <w:szCs w:val="24"/>
          <w:highlight w:val="none"/>
          <w:u w:val="none"/>
          <w:lang w:val="en-US" w:eastAsia="zh-CN" w:bidi="ar-SA"/>
        </w:rPr>
        <w:t>项目采购清单和参数要求</w:t>
      </w:r>
      <w:r>
        <w:rPr>
          <w:rFonts w:hint="eastAsia" w:ascii="仿宋" w:hAnsi="仿宋" w:eastAsia="仿宋" w:cs="仿宋"/>
          <w:color w:val="auto"/>
          <w:kern w:val="2"/>
          <w:sz w:val="24"/>
          <w:szCs w:val="24"/>
          <w:highlight w:val="none"/>
          <w:u w:val="none"/>
          <w:lang w:eastAsia="zh-CN" w:bidi="ar-SA"/>
        </w:rPr>
        <w:t>》</w:t>
      </w:r>
      <w:r>
        <w:rPr>
          <w:rFonts w:hint="eastAsia" w:ascii="仿宋" w:hAnsi="仿宋" w:eastAsia="仿宋" w:cs="仿宋"/>
          <w:color w:val="auto"/>
          <w:kern w:val="2"/>
          <w:sz w:val="24"/>
          <w:szCs w:val="24"/>
          <w:highlight w:val="none"/>
          <w:u w:val="none"/>
          <w:lang w:bidi="ar-SA"/>
        </w:rPr>
        <w:t>提出的是基本技术要求，供应商应提供符合本技术要求和国家标准、行业标准的原厂商生产或授权生产的原装正品</w:t>
      </w:r>
      <w:r>
        <w:rPr>
          <w:rFonts w:hint="eastAsia" w:ascii="仿宋" w:hAnsi="仿宋" w:eastAsia="仿宋" w:cs="仿宋"/>
          <w:color w:val="auto"/>
          <w:kern w:val="2"/>
          <w:sz w:val="24"/>
          <w:szCs w:val="24"/>
          <w:highlight w:val="none"/>
          <w:u w:val="none"/>
          <w:lang w:eastAsia="zh-CN" w:bidi="ar-SA"/>
        </w:rPr>
        <w:t>。</w:t>
      </w:r>
      <w:r>
        <w:rPr>
          <w:rFonts w:hint="eastAsia" w:ascii="仿宋" w:hAnsi="仿宋" w:eastAsia="仿宋" w:cs="仿宋"/>
          <w:color w:val="auto"/>
          <w:kern w:val="2"/>
          <w:sz w:val="24"/>
          <w:szCs w:val="24"/>
          <w:highlight w:val="none"/>
          <w:u w:val="none"/>
          <w:lang w:bidi="ar-SA"/>
        </w:rPr>
        <w:t>所投产品若按国家规定必须具有3C认证的，厂家必须进行3C认证，供货时提供，否则视为不合格产品，招标人可以无条件退货，所造成的损失由中标单位承担。</w:t>
      </w:r>
    </w:p>
    <w:p w14:paraId="1FA9C674">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u w:val="none"/>
          <w:lang w:bidi="ar-SA"/>
        </w:rPr>
      </w:pPr>
      <w:r>
        <w:rPr>
          <w:rFonts w:hint="eastAsia" w:ascii="仿宋" w:hAnsi="仿宋" w:eastAsia="仿宋" w:cs="仿宋"/>
          <w:color w:val="auto"/>
          <w:kern w:val="2"/>
          <w:sz w:val="24"/>
          <w:szCs w:val="24"/>
          <w:highlight w:val="none"/>
          <w:u w:val="none"/>
          <w:lang w:val="en-US" w:eastAsia="zh-CN" w:bidi="ar-SA"/>
        </w:rPr>
        <w:t>4.</w:t>
      </w:r>
      <w:r>
        <w:rPr>
          <w:rFonts w:hint="eastAsia" w:ascii="仿宋" w:hAnsi="仿宋" w:eastAsia="仿宋" w:cs="仿宋"/>
          <w:b w:val="0"/>
          <w:bCs/>
          <w:color w:val="auto"/>
          <w:kern w:val="0"/>
          <w:sz w:val="24"/>
          <w:szCs w:val="24"/>
          <w:highlight w:val="none"/>
          <w:em w:val="dot"/>
          <w:lang w:val="zh-CN" w:bidi="ar-SA"/>
        </w:rPr>
        <w:t>供应商须逐条逐项做出响应，明确所投产品的品牌，并提供</w:t>
      </w:r>
      <w:r>
        <w:rPr>
          <w:rFonts w:hint="eastAsia" w:ascii="仿宋" w:hAnsi="仿宋" w:eastAsia="仿宋" w:cs="仿宋"/>
          <w:b w:val="0"/>
          <w:bCs/>
          <w:color w:val="auto"/>
          <w:kern w:val="0"/>
          <w:sz w:val="24"/>
          <w:szCs w:val="24"/>
          <w:highlight w:val="none"/>
          <w:em w:val="dot"/>
          <w:lang w:bidi="ar-SA"/>
        </w:rPr>
        <w:t>技术</w:t>
      </w:r>
      <w:r>
        <w:rPr>
          <w:rFonts w:hint="eastAsia" w:ascii="仿宋" w:hAnsi="仿宋" w:eastAsia="仿宋" w:cs="仿宋"/>
          <w:b w:val="0"/>
          <w:bCs/>
          <w:color w:val="auto"/>
          <w:kern w:val="0"/>
          <w:sz w:val="24"/>
          <w:szCs w:val="24"/>
          <w:highlight w:val="none"/>
          <w:em w:val="dot"/>
          <w:lang w:val="zh-CN" w:bidi="ar-SA"/>
        </w:rPr>
        <w:t>偏离表</w:t>
      </w:r>
      <w:r>
        <w:rPr>
          <w:rFonts w:hint="eastAsia" w:ascii="仿宋" w:hAnsi="仿宋" w:eastAsia="仿宋" w:cs="仿宋"/>
          <w:b w:val="0"/>
          <w:bCs/>
          <w:color w:val="auto"/>
          <w:kern w:val="0"/>
          <w:sz w:val="24"/>
          <w:szCs w:val="24"/>
          <w:highlight w:val="none"/>
          <w:lang w:val="zh-CN" w:bidi="ar-SA"/>
        </w:rPr>
        <w:t>。</w:t>
      </w:r>
      <w:r>
        <w:rPr>
          <w:rFonts w:hint="eastAsia" w:ascii="仿宋" w:hAnsi="仿宋" w:eastAsia="仿宋" w:cs="仿宋"/>
          <w:color w:val="auto"/>
          <w:kern w:val="2"/>
          <w:sz w:val="24"/>
          <w:szCs w:val="24"/>
          <w:highlight w:val="none"/>
          <w:u w:val="none"/>
          <w:lang w:bidi="ar-SA"/>
        </w:rPr>
        <w:t>供应商</w:t>
      </w:r>
      <w:r>
        <w:rPr>
          <w:rFonts w:hint="eastAsia" w:ascii="仿宋" w:hAnsi="仿宋" w:eastAsia="仿宋" w:cs="仿宋"/>
          <w:color w:val="auto"/>
          <w:kern w:val="2"/>
          <w:sz w:val="24"/>
          <w:szCs w:val="24"/>
          <w:highlight w:val="none"/>
          <w:u w:val="none"/>
          <w:lang w:eastAsia="zh-CN" w:bidi="ar-SA"/>
        </w:rPr>
        <w:t>投标</w:t>
      </w:r>
      <w:r>
        <w:rPr>
          <w:rFonts w:hint="eastAsia" w:ascii="仿宋" w:hAnsi="仿宋" w:eastAsia="仿宋" w:cs="仿宋"/>
          <w:color w:val="auto"/>
          <w:kern w:val="2"/>
          <w:sz w:val="24"/>
          <w:szCs w:val="24"/>
          <w:highlight w:val="none"/>
          <w:u w:val="none"/>
          <w:lang w:bidi="ar-SA"/>
        </w:rPr>
        <w:t>产品与</w:t>
      </w:r>
      <w:r>
        <w:rPr>
          <w:rFonts w:hint="eastAsia" w:ascii="仿宋" w:hAnsi="仿宋" w:eastAsia="仿宋" w:cs="仿宋"/>
          <w:color w:val="auto"/>
          <w:kern w:val="2"/>
          <w:sz w:val="24"/>
          <w:szCs w:val="24"/>
          <w:highlight w:val="none"/>
          <w:u w:val="none"/>
          <w:lang w:eastAsia="zh-CN" w:bidi="ar-SA"/>
        </w:rPr>
        <w:t>《</w:t>
      </w:r>
      <w:r>
        <w:rPr>
          <w:rFonts w:hint="eastAsia" w:ascii="仿宋" w:hAnsi="仿宋" w:eastAsia="仿宋" w:cs="仿宋"/>
          <w:color w:val="auto"/>
          <w:kern w:val="2"/>
          <w:sz w:val="24"/>
          <w:szCs w:val="24"/>
          <w:highlight w:val="none"/>
          <w:u w:val="none"/>
          <w:lang w:val="en-US" w:eastAsia="zh-CN" w:bidi="ar-SA"/>
        </w:rPr>
        <w:t>项目采购清单和参数要求</w:t>
      </w:r>
      <w:r>
        <w:rPr>
          <w:rFonts w:hint="eastAsia" w:ascii="仿宋" w:hAnsi="仿宋" w:eastAsia="仿宋" w:cs="仿宋"/>
          <w:color w:val="auto"/>
          <w:kern w:val="2"/>
          <w:sz w:val="24"/>
          <w:szCs w:val="24"/>
          <w:highlight w:val="none"/>
          <w:u w:val="none"/>
          <w:lang w:eastAsia="zh-CN" w:bidi="ar-SA"/>
        </w:rPr>
        <w:t>》</w:t>
      </w:r>
      <w:r>
        <w:rPr>
          <w:rFonts w:hint="eastAsia" w:ascii="仿宋" w:hAnsi="仿宋" w:eastAsia="仿宋" w:cs="仿宋"/>
          <w:color w:val="auto"/>
          <w:kern w:val="2"/>
          <w:sz w:val="24"/>
          <w:szCs w:val="24"/>
          <w:highlight w:val="none"/>
          <w:u w:val="none"/>
          <w:lang w:bidi="ar-SA"/>
        </w:rPr>
        <w:t>不一致时，供应商应在投标文件中予以说明。如供应商没有在投标文件中提出</w:t>
      </w:r>
      <w:r>
        <w:rPr>
          <w:rFonts w:hint="eastAsia" w:ascii="仿宋" w:hAnsi="仿宋" w:eastAsia="仿宋" w:cs="仿宋"/>
          <w:color w:val="auto"/>
          <w:kern w:val="2"/>
          <w:sz w:val="24"/>
          <w:szCs w:val="24"/>
          <w:highlight w:val="none"/>
          <w:u w:val="none"/>
          <w:lang w:eastAsia="zh-CN" w:bidi="ar-SA"/>
        </w:rPr>
        <w:t>负偏离</w:t>
      </w:r>
      <w:r>
        <w:rPr>
          <w:rFonts w:hint="eastAsia" w:ascii="仿宋" w:hAnsi="仿宋" w:eastAsia="仿宋" w:cs="仿宋"/>
          <w:color w:val="auto"/>
          <w:kern w:val="2"/>
          <w:sz w:val="24"/>
          <w:szCs w:val="24"/>
          <w:highlight w:val="none"/>
          <w:u w:val="none"/>
          <w:lang w:bidi="ar-SA"/>
        </w:rPr>
        <w:t>，则视为供应商提供的产品完全按照本招标文件要求。</w:t>
      </w:r>
    </w:p>
    <w:p w14:paraId="00EEF89D">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bidi="ar-SA"/>
        </w:rPr>
      </w:pPr>
      <w:r>
        <w:rPr>
          <w:rFonts w:hint="eastAsia" w:ascii="仿宋" w:hAnsi="仿宋" w:eastAsia="仿宋" w:cs="仿宋"/>
          <w:color w:val="auto"/>
          <w:kern w:val="2"/>
          <w:sz w:val="24"/>
          <w:szCs w:val="24"/>
          <w:highlight w:val="none"/>
          <w:u w:val="none"/>
          <w:lang w:val="en-US" w:eastAsia="zh-CN" w:bidi="ar-SA"/>
        </w:rPr>
        <w:t>5.</w:t>
      </w:r>
      <w:r>
        <w:rPr>
          <w:rFonts w:hint="eastAsia" w:ascii="仿宋" w:hAnsi="仿宋" w:eastAsia="仿宋" w:cs="仿宋"/>
          <w:color w:val="auto"/>
          <w:kern w:val="2"/>
          <w:sz w:val="24"/>
          <w:szCs w:val="24"/>
          <w:highlight w:val="none"/>
          <w:u w:val="none"/>
          <w:lang w:bidi="ar-SA"/>
        </w:rPr>
        <w:t>供应商须对招标文件中涉及到的专利负责，并保证不伤害招标人的利益。在法律范围内，所有文字、商标和技术侵权造成的相关费用，招标人概不负责。</w:t>
      </w:r>
    </w:p>
    <w:p w14:paraId="3A427B1B">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6.供应商投标产品与</w:t>
      </w:r>
      <w:r>
        <w:rPr>
          <w:rFonts w:hint="eastAsia" w:ascii="仿宋" w:hAnsi="仿宋" w:eastAsia="仿宋" w:cs="仿宋"/>
          <w:color w:val="auto"/>
          <w:kern w:val="2"/>
          <w:sz w:val="24"/>
          <w:szCs w:val="24"/>
          <w:highlight w:val="none"/>
          <w:lang w:eastAsia="zh-CN" w:bidi="ar-SA"/>
        </w:rPr>
        <w:t>《</w:t>
      </w:r>
      <w:r>
        <w:rPr>
          <w:rFonts w:hint="eastAsia" w:ascii="仿宋" w:hAnsi="仿宋" w:eastAsia="仿宋" w:cs="仿宋"/>
          <w:color w:val="auto"/>
          <w:kern w:val="2"/>
          <w:sz w:val="24"/>
          <w:szCs w:val="24"/>
          <w:highlight w:val="none"/>
          <w:lang w:val="en-US" w:eastAsia="zh-CN" w:bidi="ar-SA"/>
        </w:rPr>
        <w:t>项目采购清单和参数要求</w:t>
      </w:r>
      <w:r>
        <w:rPr>
          <w:rFonts w:hint="eastAsia" w:ascii="仿宋" w:hAnsi="仿宋" w:eastAsia="仿宋" w:cs="仿宋"/>
          <w:color w:val="auto"/>
          <w:kern w:val="2"/>
          <w:sz w:val="24"/>
          <w:szCs w:val="24"/>
          <w:highlight w:val="none"/>
          <w:lang w:eastAsia="zh-CN" w:bidi="ar-SA"/>
        </w:rPr>
        <w:t>》</w:t>
      </w:r>
      <w:r>
        <w:rPr>
          <w:rFonts w:hint="eastAsia" w:ascii="仿宋" w:hAnsi="仿宋" w:eastAsia="仿宋" w:cs="仿宋"/>
          <w:color w:val="auto"/>
          <w:kern w:val="2"/>
          <w:sz w:val="24"/>
          <w:szCs w:val="24"/>
          <w:highlight w:val="none"/>
          <w:lang w:val="en-US" w:eastAsia="zh-CN" w:bidi="ar-SA"/>
        </w:rPr>
        <w:t>不一致时，供应商应在投标文件中予以说明。如供应商没有在投标文件中提出负偏离，则视为供应商提供的产品完全按照本招标文件要求。《项目采购清单和参数要求》中未要求提供证明材料的以技术偏离表为准。若证明材料有矛盾或者前后不一致，优先按照产品检测（测试）报告、产品使用说明书、用户手册、技术指标彩页、制造商（厂家）官网截图或程序界面（或实样展示）截图或用户使用证明先后顺序为准。</w:t>
      </w:r>
    </w:p>
    <w:p w14:paraId="31676679">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7.所投产品需为原厂全新产品，未曾使用，所投产品及主要部件均须非停产产品。</w:t>
      </w:r>
    </w:p>
    <w:p w14:paraId="6AABCF7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val="en-US" w:eastAsia="zh-CN" w:bidi="ar-SA"/>
        </w:rPr>
        <w:t>四、</w:t>
      </w:r>
      <w:r>
        <w:rPr>
          <w:rFonts w:hint="eastAsia" w:ascii="仿宋" w:hAnsi="仿宋" w:eastAsia="仿宋" w:cs="仿宋"/>
          <w:b/>
          <w:bCs/>
          <w:color w:val="auto"/>
          <w:kern w:val="2"/>
          <w:sz w:val="24"/>
          <w:szCs w:val="24"/>
          <w:highlight w:val="none"/>
          <w:lang w:eastAsia="zh-CN" w:bidi="ar-SA"/>
        </w:rPr>
        <w:t>制作工艺要求</w:t>
      </w:r>
    </w:p>
    <w:p w14:paraId="795015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w:t>
      </w:r>
      <w:r>
        <w:rPr>
          <w:rFonts w:hint="eastAsia" w:ascii="仿宋" w:hAnsi="仿宋" w:eastAsia="仿宋" w:cs="仿宋"/>
          <w:b w:val="0"/>
          <w:bCs w:val="0"/>
          <w:color w:val="auto"/>
          <w:kern w:val="2"/>
          <w:sz w:val="24"/>
          <w:szCs w:val="24"/>
          <w:highlight w:val="none"/>
          <w:lang w:val="en-US" w:eastAsia="zh-CN" w:bidi="ar-SA"/>
        </w:rPr>
        <w:t>一</w:t>
      </w:r>
      <w:r>
        <w:rPr>
          <w:rFonts w:hint="eastAsia" w:ascii="仿宋" w:hAnsi="仿宋" w:eastAsia="仿宋" w:cs="仿宋"/>
          <w:b w:val="0"/>
          <w:bCs w:val="0"/>
          <w:color w:val="auto"/>
          <w:kern w:val="2"/>
          <w:sz w:val="24"/>
          <w:szCs w:val="24"/>
          <w:highlight w:val="none"/>
          <w:lang w:eastAsia="zh-CN" w:bidi="ar-SA"/>
        </w:rPr>
        <w:t>）布帘、床边隔帘辅料及制作工艺要求</w:t>
      </w:r>
    </w:p>
    <w:p w14:paraId="086F4F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1.布帘制作比例1：2打摺，床边隔帘制作比例1：1.5打摺，面料门幅根据建筑层高而定，不能上下拼接。</w:t>
      </w:r>
    </w:p>
    <w:p w14:paraId="6604AA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2.需高温记忆定型制作工艺，水洗后不变型。制作好的窗帘布拼缝平直，无扭曲，无漏针，成品无线头无污迹。</w:t>
      </w:r>
    </w:p>
    <w:p w14:paraId="1F2B2E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3.采用固定褶工艺，并配套使用高强度塑料调节钩；钩子套好后必须平整牢固，钩距布置均匀合理。每整幅窗帘左右两侧底角需加无毒无害的配重金属块，单边金属块重量不小于30g以增加垂感。</w:t>
      </w:r>
    </w:p>
    <w:p w14:paraId="7866DE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4.布帘轨道采用隐藏式滑轮，每间隔≤50cm配置一个安装脚，安装时必须用长度不小于3.5</w:t>
      </w:r>
      <w:r>
        <w:rPr>
          <w:rFonts w:hint="eastAsia" w:ascii="仿宋" w:hAnsi="仿宋" w:eastAsia="仿宋" w:cs="仿宋"/>
          <w:b w:val="0"/>
          <w:bCs w:val="0"/>
          <w:color w:val="auto"/>
          <w:kern w:val="2"/>
          <w:sz w:val="24"/>
          <w:szCs w:val="24"/>
          <w:highlight w:val="none"/>
          <w:lang w:val="en-US" w:eastAsia="zh-CN" w:bidi="ar-SA"/>
        </w:rPr>
        <w:t>厘米</w:t>
      </w:r>
      <w:r>
        <w:rPr>
          <w:rFonts w:hint="eastAsia" w:ascii="仿宋" w:hAnsi="仿宋" w:eastAsia="仿宋" w:cs="仿宋"/>
          <w:b w:val="0"/>
          <w:bCs w:val="0"/>
          <w:color w:val="auto"/>
          <w:kern w:val="2"/>
          <w:sz w:val="24"/>
          <w:szCs w:val="24"/>
          <w:highlight w:val="none"/>
          <w:lang w:eastAsia="zh-CN" w:bidi="ar-SA"/>
        </w:rPr>
        <w:t>的螺丝固定拧紧。轨道安装科学、合理、畅滑、不脱落。轨道滑轮每米不少于9个，除满足正常挂钩需求外，再额外配不少于10%的量</w:t>
      </w:r>
      <w:r>
        <w:rPr>
          <w:rFonts w:hint="eastAsia" w:ascii="仿宋" w:hAnsi="仿宋" w:eastAsia="仿宋" w:cs="仿宋"/>
          <w:b w:val="0"/>
          <w:bCs w:val="0"/>
          <w:color w:val="auto"/>
          <w:kern w:val="2"/>
          <w:sz w:val="24"/>
          <w:szCs w:val="24"/>
          <w:highlight w:val="none"/>
          <w:lang w:val="en-US" w:eastAsia="zh-CN" w:bidi="ar-SA"/>
        </w:rPr>
        <w:t>以备后续调整及更换</w:t>
      </w:r>
      <w:r>
        <w:rPr>
          <w:rFonts w:hint="eastAsia" w:ascii="仿宋" w:hAnsi="仿宋" w:eastAsia="仿宋" w:cs="仿宋"/>
          <w:b w:val="0"/>
          <w:bCs w:val="0"/>
          <w:color w:val="auto"/>
          <w:kern w:val="2"/>
          <w:sz w:val="24"/>
          <w:szCs w:val="24"/>
          <w:highlight w:val="none"/>
          <w:lang w:eastAsia="zh-CN" w:bidi="ar-SA"/>
        </w:rPr>
        <w:t>。</w:t>
      </w:r>
    </w:p>
    <w:p w14:paraId="2BE481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5.布帘从布料顶端边缘转内车制80mm压边，并加上有纺布带,单勾(固定褶)制作工艺，底端边缘放边为80mm宽边，两边各为40mm饰边,做 T 字形褶皱。同一扇窗，面料裁剪误差不得大于1cm，同一平面窗帘，面料裁剪误差不得大于1cm。成品帘布下边离地3cm。</w:t>
      </w:r>
    </w:p>
    <w:p w14:paraId="7633C3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6.布帘挂钩说明：不锈钢挂钩(如部分窗户用到调节钩：</w:t>
      </w:r>
      <w:r>
        <w:rPr>
          <w:rFonts w:hint="eastAsia" w:ascii="仿宋" w:hAnsi="仿宋" w:eastAsia="仿宋" w:cs="仿宋"/>
          <w:b w:val="0"/>
          <w:bCs w:val="0"/>
          <w:color w:val="auto"/>
          <w:kern w:val="2"/>
          <w:sz w:val="24"/>
          <w:szCs w:val="24"/>
          <w:highlight w:val="none"/>
          <w:lang w:val="en-US" w:eastAsia="zh-CN" w:bidi="ar-SA"/>
        </w:rPr>
        <w:t>采用</w:t>
      </w:r>
      <w:r>
        <w:rPr>
          <w:rFonts w:hint="eastAsia" w:ascii="仿宋" w:hAnsi="仿宋" w:eastAsia="仿宋" w:cs="仿宋"/>
          <w:b w:val="0"/>
          <w:bCs w:val="0"/>
          <w:color w:val="auto"/>
          <w:kern w:val="2"/>
          <w:sz w:val="24"/>
          <w:szCs w:val="24"/>
          <w:highlight w:val="none"/>
          <w:lang w:eastAsia="zh-CN" w:bidi="ar-SA"/>
        </w:rPr>
        <w:t>高强度全新优质 POM 材质调节钩，结实可靠。适合各种材质窗帘纱帘。上下调节挂钩，可起到升降窗帘的作用，可调控窗帘高度 0-3厘米；多级可调，齿槽调节清晰有力）。</w:t>
      </w:r>
    </w:p>
    <w:p w14:paraId="0C8359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7.布帘布带说明：高档无纺阻燃布带（</w:t>
      </w:r>
      <w:r>
        <w:rPr>
          <w:rFonts w:hint="eastAsia" w:ascii="仿宋" w:hAnsi="仿宋" w:eastAsia="仿宋" w:cs="仿宋"/>
          <w:b w:val="0"/>
          <w:bCs w:val="0"/>
          <w:color w:val="auto"/>
          <w:kern w:val="2"/>
          <w:sz w:val="24"/>
          <w:szCs w:val="24"/>
          <w:highlight w:val="none"/>
          <w:lang w:val="en-US" w:eastAsia="zh-CN" w:bidi="ar-SA"/>
        </w:rPr>
        <w:t>材质、颜色同布帘</w:t>
      </w:r>
      <w:r>
        <w:rPr>
          <w:rFonts w:hint="eastAsia" w:ascii="仿宋" w:hAnsi="仿宋" w:eastAsia="仿宋" w:cs="仿宋"/>
          <w:b w:val="0"/>
          <w:bCs w:val="0"/>
          <w:color w:val="auto"/>
          <w:kern w:val="2"/>
          <w:sz w:val="24"/>
          <w:szCs w:val="24"/>
          <w:highlight w:val="none"/>
          <w:lang w:eastAsia="zh-CN" w:bidi="ar-SA"/>
        </w:rPr>
        <w:t>），绑带应固定于窗帘左右两侧。</w:t>
      </w:r>
    </w:p>
    <w:p w14:paraId="4F2C88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w:t>
      </w:r>
      <w:r>
        <w:rPr>
          <w:rFonts w:hint="eastAsia" w:ascii="仿宋" w:hAnsi="仿宋" w:eastAsia="仿宋" w:cs="仿宋"/>
          <w:b w:val="0"/>
          <w:bCs w:val="0"/>
          <w:color w:val="auto"/>
          <w:kern w:val="2"/>
          <w:sz w:val="24"/>
          <w:szCs w:val="24"/>
          <w:highlight w:val="none"/>
          <w:lang w:val="en-US" w:eastAsia="zh-CN" w:bidi="ar-SA"/>
        </w:rPr>
        <w:t>二</w:t>
      </w:r>
      <w:r>
        <w:rPr>
          <w:rFonts w:hint="eastAsia" w:ascii="仿宋" w:hAnsi="仿宋" w:eastAsia="仿宋" w:cs="仿宋"/>
          <w:b w:val="0"/>
          <w:bCs w:val="0"/>
          <w:color w:val="auto"/>
          <w:kern w:val="2"/>
          <w:sz w:val="24"/>
          <w:szCs w:val="24"/>
          <w:highlight w:val="none"/>
          <w:lang w:eastAsia="zh-CN" w:bidi="ar-SA"/>
        </w:rPr>
        <w:t>）卷帘</w:t>
      </w:r>
      <w:r>
        <w:rPr>
          <w:rFonts w:hint="eastAsia" w:ascii="仿宋" w:hAnsi="仿宋" w:eastAsia="仿宋" w:cs="仿宋"/>
          <w:b w:val="0"/>
          <w:bCs w:val="0"/>
          <w:color w:val="auto"/>
          <w:kern w:val="2"/>
          <w:sz w:val="24"/>
          <w:szCs w:val="24"/>
          <w:highlight w:val="none"/>
          <w:lang w:val="en-US" w:eastAsia="zh-CN" w:bidi="ar-SA"/>
        </w:rPr>
        <w:t>制作</w:t>
      </w:r>
      <w:r>
        <w:rPr>
          <w:rFonts w:hint="eastAsia" w:ascii="仿宋" w:hAnsi="仿宋" w:eastAsia="仿宋" w:cs="仿宋"/>
          <w:b w:val="0"/>
          <w:bCs w:val="0"/>
          <w:color w:val="auto"/>
          <w:kern w:val="2"/>
          <w:sz w:val="24"/>
          <w:szCs w:val="24"/>
          <w:highlight w:val="none"/>
          <w:lang w:eastAsia="zh-CN" w:bidi="ar-SA"/>
        </w:rPr>
        <w:t>工艺要求</w:t>
      </w:r>
    </w:p>
    <w:p w14:paraId="5E2D83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1.制作要求：</w:t>
      </w:r>
    </w:p>
    <w:p w14:paraId="0B3271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1）卷帘上下两头不能采用双面胶粘贴，连接处必须保持牢固平整。需采用高频焊接或缝边工艺。面料通过工程粘合带固定在卷管上。当卷帘放到最底端时，卷管上仍然会有两圈的帘布包裹，保证卷管不外露。包裹部分计入卷帘长度。</w:t>
      </w:r>
    </w:p>
    <w:p w14:paraId="31BA2A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（2）卷帘上下管尺寸必须与卷帘面料宽度相当，尺寸差距最多不超过10mm，且上下管保持一致，以保持整体美观。</w:t>
      </w:r>
    </w:p>
    <w:p w14:paraId="2D56F3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2.安装要求：</w:t>
      </w:r>
    </w:p>
    <w:p w14:paraId="3FBC6A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（1）卷帘制头安装时必须用特制螺丝钉加以可靠固定，且必须保持正直。</w:t>
      </w:r>
    </w:p>
    <w:p w14:paraId="0734B6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（2）卷帘拉珠配在制头上，必须松紧有度，拉动自如。</w:t>
      </w:r>
    </w:p>
    <w:p w14:paraId="4D9C00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（3）将成品卷帘上管两头放入制头卡孔时，须进行适当调试卡牢度；而且包装袋需在安装就位后方可撤除。</w:t>
      </w:r>
    </w:p>
    <w:p w14:paraId="462D8B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（4）安装好的卷帘必须进行整体调试；对于同一窗户内的两幅卷帘，间隙不得超过3cm，以免漏光。</w:t>
      </w:r>
    </w:p>
    <w:p w14:paraId="45D379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（5）最后对安装好的卷帘进行整体调试，必须达到整体美观舒适，使用自如。</w:t>
      </w:r>
    </w:p>
    <w:p w14:paraId="459F1F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3.整体效果：</w:t>
      </w:r>
    </w:p>
    <w:p w14:paraId="51AAA1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（1）制作好的卷帘布必须达到表面平整洁净。</w:t>
      </w:r>
    </w:p>
    <w:p w14:paraId="772906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（2）卷帘四周方正规矩且无毛刺。</w:t>
      </w:r>
    </w:p>
    <w:p w14:paraId="19660E63">
      <w:pPr>
        <w:widowControl w:val="0"/>
        <w:adjustRightInd w:val="0"/>
        <w:spacing w:line="360" w:lineRule="auto"/>
        <w:ind w:firstLine="482" w:firstLineChars="200"/>
        <w:jc w:val="both"/>
        <w:outlineLvl w:val="1"/>
        <w:rPr>
          <w:rFonts w:hint="eastAsia" w:ascii="仿宋" w:hAnsi="仿宋" w:eastAsia="仿宋" w:cs="仿宋"/>
          <w:b/>
          <w:bCs/>
          <w:color w:val="auto"/>
          <w:kern w:val="2"/>
          <w:sz w:val="24"/>
          <w:szCs w:val="24"/>
          <w:highlight w:val="none"/>
          <w:lang w:eastAsia="zh-CN" w:bidi="ar-SA"/>
        </w:rPr>
      </w:pPr>
      <w:r>
        <w:rPr>
          <w:rFonts w:hint="eastAsia" w:ascii="仿宋" w:hAnsi="仿宋" w:eastAsia="仿宋" w:cs="仿宋"/>
          <w:b/>
          <w:bCs/>
          <w:color w:val="auto"/>
          <w:kern w:val="2"/>
          <w:sz w:val="24"/>
          <w:szCs w:val="24"/>
          <w:highlight w:val="none"/>
          <w:lang w:val="en-US" w:eastAsia="zh-CN" w:bidi="ar-SA"/>
        </w:rPr>
        <w:t>五</w:t>
      </w:r>
      <w:r>
        <w:rPr>
          <w:rFonts w:hint="eastAsia" w:ascii="仿宋" w:hAnsi="仿宋" w:eastAsia="仿宋" w:cs="仿宋"/>
          <w:b/>
          <w:bCs/>
          <w:color w:val="auto"/>
          <w:kern w:val="2"/>
          <w:sz w:val="24"/>
          <w:szCs w:val="24"/>
          <w:highlight w:val="none"/>
          <w:lang w:bidi="ar-SA"/>
        </w:rPr>
        <w:t>、</w:t>
      </w:r>
      <w:r>
        <w:rPr>
          <w:rFonts w:hint="eastAsia" w:ascii="仿宋" w:hAnsi="仿宋" w:eastAsia="仿宋" w:cs="仿宋"/>
          <w:b/>
          <w:bCs/>
          <w:color w:val="auto"/>
          <w:kern w:val="2"/>
          <w:sz w:val="24"/>
          <w:szCs w:val="24"/>
          <w:highlight w:val="none"/>
          <w:lang w:eastAsia="zh-CN" w:bidi="ar-SA"/>
        </w:rPr>
        <w:t>其他要求</w:t>
      </w:r>
    </w:p>
    <w:p w14:paraId="5BCB3908">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eastAsia="zh-CN" w:bidi="ar"/>
        </w:rPr>
      </w:pPr>
      <w:r>
        <w:rPr>
          <w:rFonts w:hint="eastAsia" w:ascii="仿宋" w:hAnsi="仿宋" w:eastAsia="仿宋" w:cs="仿宋"/>
          <w:color w:val="auto"/>
          <w:kern w:val="2"/>
          <w:sz w:val="24"/>
          <w:szCs w:val="24"/>
          <w:highlight w:val="none"/>
          <w:lang w:bidi="ar-SA"/>
        </w:rPr>
        <w:t>▲</w:t>
      </w:r>
      <w:r>
        <w:rPr>
          <w:rFonts w:hint="eastAsia" w:ascii="仿宋" w:hAnsi="仿宋" w:eastAsia="仿宋" w:cs="仿宋"/>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eastAsia="zh-CN" w:bidi="ar"/>
        </w:rPr>
        <w:t>交货要求</w:t>
      </w:r>
    </w:p>
    <w:p w14:paraId="40FDC250">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bidi="ar-SA"/>
        </w:rPr>
      </w:pPr>
      <w:r>
        <w:rPr>
          <w:rFonts w:hint="eastAsia" w:ascii="仿宋" w:hAnsi="仿宋" w:eastAsia="仿宋" w:cs="仿宋"/>
          <w:color w:val="auto"/>
          <w:kern w:val="2"/>
          <w:sz w:val="24"/>
          <w:szCs w:val="24"/>
          <w:highlight w:val="none"/>
          <w:lang w:bidi="ar-SA"/>
        </w:rPr>
        <w:t>（1）交货时间：</w:t>
      </w:r>
      <w:r>
        <w:rPr>
          <w:rFonts w:hint="eastAsia" w:ascii="仿宋" w:hAnsi="仿宋" w:eastAsia="仿宋" w:cs="仿宋"/>
          <w:color w:val="auto"/>
          <w:sz w:val="24"/>
          <w:szCs w:val="24"/>
          <w:highlight w:val="none"/>
          <w:lang w:val="en-US" w:eastAsia="zh-CN"/>
        </w:rPr>
        <w:t>接到招标人通知之日</w:t>
      </w:r>
      <w:r>
        <w:rPr>
          <w:rFonts w:hint="eastAsia" w:ascii="仿宋" w:hAnsi="仿宋" w:eastAsia="仿宋" w:cs="仿宋"/>
          <w:color w:val="auto"/>
          <w:kern w:val="2"/>
          <w:sz w:val="24"/>
          <w:szCs w:val="24"/>
          <w:highlight w:val="none"/>
          <w:lang w:bidi="ar-SA"/>
        </w:rPr>
        <w:t>起</w:t>
      </w:r>
      <w:r>
        <w:rPr>
          <w:rFonts w:hint="eastAsia" w:ascii="仿宋" w:hAnsi="仿宋" w:eastAsia="仿宋" w:cs="仿宋"/>
          <w:color w:val="auto"/>
          <w:kern w:val="2"/>
          <w:sz w:val="24"/>
          <w:szCs w:val="24"/>
          <w:highlight w:val="none"/>
          <w:u w:val="single"/>
          <w:lang w:val="en-US" w:eastAsia="zh-CN" w:bidi="ar-SA"/>
        </w:rPr>
        <w:t xml:space="preserve"> 45 </w:t>
      </w:r>
      <w:r>
        <w:rPr>
          <w:rFonts w:hint="eastAsia" w:ascii="仿宋" w:hAnsi="仿宋" w:eastAsia="仿宋" w:cs="仿宋"/>
          <w:color w:val="auto"/>
          <w:kern w:val="2"/>
          <w:sz w:val="24"/>
          <w:szCs w:val="24"/>
          <w:highlight w:val="none"/>
          <w:lang w:bidi="ar-SA"/>
        </w:rPr>
        <w:t>个日历日内完成生产、供货</w:t>
      </w:r>
      <w:r>
        <w:rPr>
          <w:rFonts w:hint="eastAsia" w:ascii="仿宋" w:hAnsi="仿宋" w:eastAsia="仿宋" w:cs="仿宋"/>
          <w:color w:val="auto"/>
          <w:kern w:val="2"/>
          <w:sz w:val="24"/>
          <w:szCs w:val="24"/>
          <w:highlight w:val="none"/>
          <w:lang w:eastAsia="zh-CN" w:bidi="ar-SA"/>
        </w:rPr>
        <w:t>、</w:t>
      </w:r>
      <w:r>
        <w:rPr>
          <w:rFonts w:hint="eastAsia" w:ascii="仿宋" w:hAnsi="仿宋" w:eastAsia="仿宋" w:cs="仿宋"/>
          <w:color w:val="auto"/>
          <w:kern w:val="2"/>
          <w:sz w:val="24"/>
          <w:szCs w:val="24"/>
          <w:highlight w:val="none"/>
          <w:lang w:bidi="ar-SA"/>
        </w:rPr>
        <w:t>安装</w:t>
      </w:r>
      <w:r>
        <w:rPr>
          <w:rFonts w:hint="eastAsia" w:ascii="仿宋" w:hAnsi="仿宋" w:eastAsia="仿宋" w:cs="仿宋"/>
          <w:color w:val="auto"/>
          <w:kern w:val="2"/>
          <w:sz w:val="24"/>
          <w:szCs w:val="24"/>
          <w:highlight w:val="none"/>
          <w:lang w:val="en-US" w:eastAsia="zh-CN" w:bidi="ar-SA"/>
        </w:rPr>
        <w:t>及调试</w:t>
      </w:r>
      <w:r>
        <w:rPr>
          <w:rFonts w:hint="eastAsia" w:ascii="仿宋" w:hAnsi="仿宋" w:eastAsia="仿宋" w:cs="仿宋"/>
          <w:color w:val="auto"/>
          <w:kern w:val="2"/>
          <w:sz w:val="24"/>
          <w:szCs w:val="24"/>
          <w:highlight w:val="none"/>
          <w:lang w:bidi="ar-SA"/>
        </w:rPr>
        <w:t>，具体安装根据</w:t>
      </w:r>
      <w:r>
        <w:rPr>
          <w:rFonts w:hint="eastAsia" w:ascii="仿宋" w:hAnsi="仿宋" w:eastAsia="仿宋" w:cs="仿宋"/>
          <w:color w:val="auto"/>
          <w:kern w:val="2"/>
          <w:sz w:val="24"/>
          <w:szCs w:val="24"/>
          <w:highlight w:val="none"/>
          <w:lang w:val="en-US" w:eastAsia="zh-CN" w:bidi="ar-SA"/>
        </w:rPr>
        <w:t>项目</w:t>
      </w:r>
      <w:r>
        <w:rPr>
          <w:rFonts w:hint="eastAsia" w:ascii="仿宋" w:hAnsi="仿宋" w:eastAsia="仿宋" w:cs="仿宋"/>
          <w:color w:val="auto"/>
          <w:kern w:val="2"/>
          <w:sz w:val="24"/>
          <w:szCs w:val="24"/>
          <w:highlight w:val="none"/>
          <w:lang w:bidi="ar-SA"/>
        </w:rPr>
        <w:t>建设进度</w:t>
      </w:r>
      <w:r>
        <w:rPr>
          <w:rFonts w:hint="eastAsia" w:ascii="仿宋" w:hAnsi="仿宋" w:eastAsia="仿宋" w:cs="仿宋"/>
          <w:color w:val="auto"/>
          <w:kern w:val="2"/>
          <w:sz w:val="24"/>
          <w:szCs w:val="24"/>
          <w:highlight w:val="none"/>
          <w:lang w:val="en-US" w:eastAsia="zh-CN" w:bidi="ar-SA"/>
        </w:rPr>
        <w:t>确定</w:t>
      </w:r>
      <w:r>
        <w:rPr>
          <w:rFonts w:hint="eastAsia" w:ascii="仿宋" w:hAnsi="仿宋" w:eastAsia="仿宋" w:cs="仿宋"/>
          <w:color w:val="auto"/>
          <w:kern w:val="2"/>
          <w:sz w:val="24"/>
          <w:szCs w:val="24"/>
          <w:highlight w:val="none"/>
          <w:lang w:bidi="ar-SA"/>
        </w:rPr>
        <w:t>。</w:t>
      </w:r>
      <w:r>
        <w:rPr>
          <w:rFonts w:hint="eastAsia" w:ascii="仿宋" w:hAnsi="仿宋" w:eastAsia="仿宋" w:cs="仿宋"/>
          <w:color w:val="auto"/>
          <w:sz w:val="24"/>
          <w:szCs w:val="24"/>
          <w:highlight w:val="none"/>
        </w:rPr>
        <w:t>其中，合同签订</w:t>
      </w:r>
      <w:r>
        <w:rPr>
          <w:rFonts w:hint="eastAsia" w:ascii="仿宋" w:hAnsi="仿宋" w:eastAsia="仿宋" w:cs="仿宋"/>
          <w:color w:val="auto"/>
          <w:sz w:val="24"/>
          <w:szCs w:val="24"/>
          <w:highlight w:val="none"/>
          <w:lang w:val="en-US" w:eastAsia="zh-CN"/>
        </w:rPr>
        <w:t>次</w:t>
      </w:r>
      <w:r>
        <w:rPr>
          <w:rFonts w:hint="eastAsia" w:ascii="仿宋" w:hAnsi="仿宋" w:eastAsia="仿宋" w:cs="仿宋"/>
          <w:color w:val="auto"/>
          <w:sz w:val="24"/>
          <w:szCs w:val="24"/>
          <w:highlight w:val="none"/>
        </w:rPr>
        <w:t>日起5天内提供所有产品的式样图由招标人</w:t>
      </w:r>
      <w:r>
        <w:rPr>
          <w:rFonts w:hint="eastAsia" w:ascii="仿宋" w:hAnsi="仿宋" w:eastAsia="仿宋" w:cs="仿宋"/>
          <w:color w:val="auto"/>
          <w:sz w:val="24"/>
          <w:szCs w:val="24"/>
          <w:highlight w:val="none"/>
          <w:lang w:val="en-US" w:eastAsia="zh-CN"/>
        </w:rPr>
        <w:t>和使用单位</w:t>
      </w:r>
      <w:r>
        <w:rPr>
          <w:rFonts w:hint="eastAsia" w:ascii="仿宋" w:hAnsi="仿宋" w:eastAsia="仿宋" w:cs="仿宋"/>
          <w:color w:val="auto"/>
          <w:sz w:val="24"/>
          <w:szCs w:val="24"/>
          <w:highlight w:val="none"/>
        </w:rPr>
        <w:t>确认。</w:t>
      </w:r>
    </w:p>
    <w:p w14:paraId="098639EE">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bidi="ar-SA"/>
        </w:rPr>
      </w:pPr>
      <w:r>
        <w:rPr>
          <w:rFonts w:hint="eastAsia" w:ascii="仿宋" w:hAnsi="仿宋" w:eastAsia="仿宋" w:cs="仿宋"/>
          <w:color w:val="auto"/>
          <w:kern w:val="2"/>
          <w:sz w:val="24"/>
          <w:szCs w:val="24"/>
          <w:highlight w:val="none"/>
          <w:lang w:bidi="ar-SA"/>
        </w:rPr>
        <w:t>（2）交货地点：</w:t>
      </w:r>
      <w:r>
        <w:rPr>
          <w:rFonts w:hint="eastAsia" w:ascii="仿宋" w:hAnsi="仿宋" w:eastAsia="仿宋" w:cs="仿宋"/>
          <w:color w:val="auto"/>
          <w:kern w:val="2"/>
          <w:sz w:val="24"/>
          <w:szCs w:val="24"/>
          <w:highlight w:val="none"/>
          <w:lang w:eastAsia="zh-CN" w:bidi="ar-SA"/>
        </w:rPr>
        <w:t>招标人</w:t>
      </w:r>
      <w:r>
        <w:rPr>
          <w:rFonts w:hint="eastAsia" w:ascii="仿宋" w:hAnsi="仿宋" w:eastAsia="仿宋" w:cs="仿宋"/>
          <w:color w:val="auto"/>
          <w:kern w:val="2"/>
          <w:sz w:val="24"/>
          <w:szCs w:val="24"/>
          <w:highlight w:val="none"/>
          <w:lang w:bidi="ar-SA"/>
        </w:rPr>
        <w:t>指定地址。</w:t>
      </w:r>
    </w:p>
    <w:p w14:paraId="5B54D7FF">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2.技术资料</w:t>
      </w:r>
    </w:p>
    <w:p w14:paraId="085901AB">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bidi="ar-SA"/>
        </w:rPr>
      </w:pPr>
      <w:r>
        <w:rPr>
          <w:rFonts w:hint="eastAsia" w:ascii="仿宋" w:hAnsi="仿宋" w:eastAsia="仿宋" w:cs="仿宋"/>
          <w:color w:val="auto"/>
          <w:kern w:val="2"/>
          <w:sz w:val="24"/>
          <w:szCs w:val="24"/>
          <w:highlight w:val="none"/>
          <w:lang w:val="en-US" w:eastAsia="zh-CN" w:bidi="ar-SA"/>
        </w:rPr>
        <w:t>2.1供应商</w:t>
      </w:r>
      <w:r>
        <w:rPr>
          <w:rFonts w:hint="eastAsia" w:ascii="仿宋" w:hAnsi="仿宋" w:eastAsia="仿宋" w:cs="仿宋"/>
          <w:color w:val="auto"/>
          <w:kern w:val="2"/>
          <w:sz w:val="24"/>
          <w:szCs w:val="24"/>
          <w:highlight w:val="none"/>
          <w:lang w:bidi="ar-SA"/>
        </w:rPr>
        <w:t>将所供货物的产品保修卡、合格证、</w:t>
      </w:r>
      <w:r>
        <w:rPr>
          <w:rFonts w:hint="eastAsia" w:ascii="仿宋" w:hAnsi="仿宋" w:eastAsia="仿宋" w:cs="仿宋"/>
          <w:color w:val="auto"/>
          <w:kern w:val="2"/>
          <w:sz w:val="24"/>
          <w:szCs w:val="24"/>
          <w:highlight w:val="none"/>
          <w:lang w:val="en-US" w:eastAsia="zh-CN" w:bidi="ar-SA"/>
        </w:rPr>
        <w:t>检测</w:t>
      </w:r>
      <w:r>
        <w:rPr>
          <w:rFonts w:hint="eastAsia" w:ascii="仿宋" w:hAnsi="仿宋" w:eastAsia="仿宋" w:cs="仿宋"/>
          <w:color w:val="auto"/>
          <w:kern w:val="2"/>
          <w:sz w:val="24"/>
          <w:szCs w:val="24"/>
          <w:highlight w:val="none"/>
          <w:lang w:bidi="ar-SA"/>
        </w:rPr>
        <w:t>报告等信息逐一进行登记，经</w:t>
      </w:r>
      <w:r>
        <w:rPr>
          <w:rFonts w:hint="eastAsia" w:ascii="仿宋" w:hAnsi="仿宋" w:eastAsia="仿宋" w:cs="仿宋"/>
          <w:color w:val="auto"/>
          <w:kern w:val="2"/>
          <w:sz w:val="24"/>
          <w:szCs w:val="24"/>
          <w:highlight w:val="none"/>
          <w:lang w:eastAsia="zh-CN" w:bidi="ar-SA"/>
        </w:rPr>
        <w:t>招标</w:t>
      </w:r>
      <w:r>
        <w:rPr>
          <w:rFonts w:hint="eastAsia" w:ascii="仿宋" w:hAnsi="仿宋" w:eastAsia="仿宋" w:cs="仿宋"/>
          <w:color w:val="auto"/>
          <w:kern w:val="2"/>
          <w:sz w:val="24"/>
          <w:szCs w:val="24"/>
          <w:highlight w:val="none"/>
          <w:lang w:bidi="ar-SA"/>
        </w:rPr>
        <w:t>人核对无误后加盖</w:t>
      </w:r>
      <w:r>
        <w:rPr>
          <w:rFonts w:hint="eastAsia" w:ascii="仿宋" w:hAnsi="仿宋" w:eastAsia="仿宋" w:cs="仿宋"/>
          <w:color w:val="auto"/>
          <w:kern w:val="2"/>
          <w:sz w:val="24"/>
          <w:szCs w:val="24"/>
          <w:highlight w:val="none"/>
          <w:lang w:val="en-US" w:eastAsia="zh-CN" w:bidi="ar-SA"/>
        </w:rPr>
        <w:t>供应商单位公</w:t>
      </w:r>
      <w:r>
        <w:rPr>
          <w:rFonts w:hint="eastAsia" w:ascii="仿宋" w:hAnsi="仿宋" w:eastAsia="仿宋" w:cs="仿宋"/>
          <w:color w:val="auto"/>
          <w:kern w:val="2"/>
          <w:sz w:val="24"/>
          <w:szCs w:val="24"/>
          <w:highlight w:val="none"/>
          <w:lang w:bidi="ar-SA"/>
        </w:rPr>
        <w:t>章，交</w:t>
      </w:r>
      <w:r>
        <w:rPr>
          <w:rFonts w:hint="eastAsia" w:ascii="仿宋" w:hAnsi="仿宋" w:eastAsia="仿宋" w:cs="仿宋"/>
          <w:color w:val="auto"/>
          <w:kern w:val="2"/>
          <w:sz w:val="24"/>
          <w:szCs w:val="24"/>
          <w:highlight w:val="none"/>
          <w:lang w:eastAsia="zh-CN" w:bidi="ar-SA"/>
        </w:rPr>
        <w:t>招标</w:t>
      </w:r>
      <w:r>
        <w:rPr>
          <w:rFonts w:hint="eastAsia" w:ascii="仿宋" w:hAnsi="仿宋" w:eastAsia="仿宋" w:cs="仿宋"/>
          <w:color w:val="auto"/>
          <w:kern w:val="2"/>
          <w:sz w:val="24"/>
          <w:szCs w:val="24"/>
          <w:highlight w:val="none"/>
          <w:lang w:bidi="ar-SA"/>
        </w:rPr>
        <w:t>人保管备查。</w:t>
      </w:r>
    </w:p>
    <w:p w14:paraId="6DADFB0F">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bidi="ar-SA"/>
        </w:rPr>
      </w:pPr>
      <w:r>
        <w:rPr>
          <w:rFonts w:hint="eastAsia" w:ascii="仿宋" w:hAnsi="仿宋" w:eastAsia="仿宋" w:cs="仿宋"/>
          <w:color w:val="auto"/>
          <w:kern w:val="2"/>
          <w:sz w:val="24"/>
          <w:szCs w:val="24"/>
          <w:highlight w:val="none"/>
          <w:lang w:val="en-US" w:eastAsia="zh-CN" w:bidi="ar-SA"/>
        </w:rPr>
        <w:t>2.2供应商</w:t>
      </w:r>
      <w:r>
        <w:rPr>
          <w:rFonts w:hint="eastAsia" w:ascii="仿宋" w:hAnsi="仿宋" w:eastAsia="仿宋" w:cs="仿宋"/>
          <w:color w:val="auto"/>
          <w:kern w:val="2"/>
          <w:sz w:val="24"/>
          <w:szCs w:val="24"/>
          <w:highlight w:val="none"/>
          <w:lang w:bidi="ar-SA"/>
        </w:rPr>
        <w:t>提供的技术文件应是能满足所需的安装调试、操作使用及维护管理等所有</w:t>
      </w:r>
      <w:r>
        <w:rPr>
          <w:rFonts w:hint="eastAsia" w:ascii="仿宋" w:hAnsi="仿宋" w:eastAsia="仿宋" w:cs="仿宋"/>
          <w:color w:val="auto"/>
          <w:kern w:val="2"/>
          <w:sz w:val="24"/>
          <w:szCs w:val="24"/>
          <w:highlight w:val="none"/>
          <w:lang w:val="en-US" w:eastAsia="zh-CN" w:bidi="ar-SA"/>
        </w:rPr>
        <w:t>货物</w:t>
      </w:r>
      <w:r>
        <w:rPr>
          <w:rFonts w:hint="eastAsia" w:ascii="仿宋" w:hAnsi="仿宋" w:eastAsia="仿宋" w:cs="仿宋"/>
          <w:color w:val="auto"/>
          <w:kern w:val="2"/>
          <w:sz w:val="24"/>
          <w:szCs w:val="24"/>
          <w:highlight w:val="none"/>
          <w:lang w:bidi="ar-SA"/>
        </w:rPr>
        <w:t>的详细技术资料。</w:t>
      </w:r>
    </w:p>
    <w:p w14:paraId="45BC2988">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bidi="ar-SA"/>
        </w:rPr>
      </w:pPr>
      <w:r>
        <w:rPr>
          <w:rFonts w:hint="eastAsia" w:ascii="仿宋" w:hAnsi="仿宋" w:eastAsia="仿宋" w:cs="仿宋"/>
          <w:color w:val="auto"/>
          <w:kern w:val="2"/>
          <w:sz w:val="24"/>
          <w:szCs w:val="24"/>
          <w:highlight w:val="none"/>
          <w:lang w:val="en-US" w:eastAsia="zh-CN" w:bidi="ar-SA"/>
        </w:rPr>
        <w:t>2.3</w:t>
      </w:r>
      <w:r>
        <w:rPr>
          <w:rFonts w:hint="eastAsia" w:ascii="仿宋" w:hAnsi="仿宋" w:eastAsia="仿宋" w:cs="仿宋"/>
          <w:color w:val="auto"/>
          <w:kern w:val="2"/>
          <w:sz w:val="24"/>
          <w:szCs w:val="24"/>
          <w:highlight w:val="none"/>
          <w:lang w:bidi="ar-SA"/>
        </w:rPr>
        <w:t>投标人提供的技术文件应该真实、全面、完整、详细，应以中文书写。</w:t>
      </w:r>
    </w:p>
    <w:p w14:paraId="47FA0574">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eastAsia="zh-CN" w:bidi="ar"/>
        </w:rPr>
      </w:pPr>
      <w:r>
        <w:rPr>
          <w:rFonts w:hint="eastAsia" w:ascii="仿宋" w:hAnsi="仿宋" w:eastAsia="仿宋" w:cs="仿宋"/>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bidi="ar"/>
        </w:rPr>
        <w:t>安装、调试</w:t>
      </w:r>
      <w:r>
        <w:rPr>
          <w:rFonts w:hint="eastAsia" w:ascii="仿宋" w:hAnsi="仿宋" w:eastAsia="仿宋" w:cs="仿宋"/>
          <w:color w:val="auto"/>
          <w:kern w:val="2"/>
          <w:sz w:val="24"/>
          <w:szCs w:val="24"/>
          <w:highlight w:val="none"/>
          <w:lang w:eastAsia="zh-CN" w:bidi="ar"/>
        </w:rPr>
        <w:t>、验收要求</w:t>
      </w:r>
    </w:p>
    <w:p w14:paraId="27B42385">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val="en-US" w:eastAsia="zh-CN" w:bidi="ar"/>
        </w:rPr>
        <w:t>3.1</w:t>
      </w:r>
      <w:r>
        <w:rPr>
          <w:rFonts w:hint="eastAsia" w:ascii="仿宋" w:hAnsi="仿宋" w:eastAsia="仿宋" w:cs="仿宋"/>
          <w:color w:val="auto"/>
          <w:sz w:val="24"/>
          <w:szCs w:val="24"/>
          <w:highlight w:val="none"/>
          <w:lang w:val="en-US" w:eastAsia="zh-CN" w:bidi="ar"/>
        </w:rPr>
        <w:t>布帘要求清洗后安装。</w:t>
      </w:r>
      <w:r>
        <w:rPr>
          <w:rFonts w:hint="eastAsia" w:ascii="仿宋" w:hAnsi="仿宋" w:eastAsia="仿宋" w:cs="仿宋"/>
          <w:color w:val="auto"/>
          <w:kern w:val="2"/>
          <w:sz w:val="24"/>
          <w:szCs w:val="24"/>
          <w:highlight w:val="none"/>
          <w:lang w:val="en-US" w:eastAsia="zh-CN" w:bidi="ar"/>
        </w:rPr>
        <w:t>供应商</w:t>
      </w:r>
      <w:r>
        <w:rPr>
          <w:rFonts w:hint="eastAsia" w:ascii="仿宋" w:hAnsi="仿宋" w:eastAsia="仿宋" w:cs="仿宋"/>
          <w:color w:val="auto"/>
          <w:kern w:val="2"/>
          <w:sz w:val="24"/>
          <w:szCs w:val="24"/>
          <w:highlight w:val="none"/>
          <w:lang w:bidi="ar"/>
        </w:rPr>
        <w:t>负责所提供的</w:t>
      </w:r>
      <w:r>
        <w:rPr>
          <w:rFonts w:hint="eastAsia" w:ascii="仿宋" w:hAnsi="仿宋" w:eastAsia="仿宋" w:cs="仿宋"/>
          <w:color w:val="auto"/>
          <w:kern w:val="2"/>
          <w:sz w:val="24"/>
          <w:szCs w:val="24"/>
          <w:highlight w:val="none"/>
          <w:lang w:eastAsia="zh-CN" w:bidi="ar"/>
        </w:rPr>
        <w:t>货物</w:t>
      </w:r>
      <w:r>
        <w:rPr>
          <w:rFonts w:hint="eastAsia" w:ascii="仿宋" w:hAnsi="仿宋" w:eastAsia="仿宋" w:cs="仿宋"/>
          <w:color w:val="auto"/>
          <w:kern w:val="2"/>
          <w:sz w:val="24"/>
          <w:szCs w:val="24"/>
          <w:highlight w:val="none"/>
          <w:lang w:bidi="ar"/>
        </w:rPr>
        <w:t>的安装、调试，</w:t>
      </w:r>
      <w:r>
        <w:rPr>
          <w:rFonts w:hint="eastAsia" w:ascii="仿宋" w:hAnsi="仿宋" w:eastAsia="仿宋" w:cs="仿宋"/>
          <w:color w:val="auto"/>
          <w:kern w:val="2"/>
          <w:sz w:val="24"/>
          <w:szCs w:val="24"/>
          <w:highlight w:val="none"/>
          <w:lang w:eastAsia="zh-CN" w:bidi="ar"/>
        </w:rPr>
        <w:t>货物</w:t>
      </w:r>
      <w:r>
        <w:rPr>
          <w:rFonts w:hint="eastAsia" w:ascii="仿宋" w:hAnsi="仿宋" w:eastAsia="仿宋" w:cs="仿宋"/>
          <w:color w:val="auto"/>
          <w:kern w:val="2"/>
          <w:sz w:val="24"/>
          <w:szCs w:val="24"/>
          <w:highlight w:val="none"/>
          <w:lang w:bidi="ar"/>
        </w:rPr>
        <w:t>安装、调试所需的工具、仪表及安装材料等应由</w:t>
      </w: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lang w:bidi="ar"/>
        </w:rPr>
        <w:t>自行解决。</w:t>
      </w:r>
    </w:p>
    <w:p w14:paraId="146EE485">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val="en-US" w:eastAsia="zh-CN" w:bidi="ar"/>
        </w:rPr>
        <w:t>3.2</w:t>
      </w:r>
      <w:r>
        <w:rPr>
          <w:rFonts w:hint="eastAsia" w:ascii="仿宋" w:hAnsi="仿宋" w:eastAsia="仿宋" w:cs="仿宋"/>
          <w:color w:val="auto"/>
          <w:kern w:val="2"/>
          <w:sz w:val="24"/>
          <w:szCs w:val="24"/>
          <w:highlight w:val="none"/>
          <w:lang w:eastAsia="zh-CN" w:bidi="ar"/>
        </w:rPr>
        <w:t>安装</w:t>
      </w:r>
      <w:r>
        <w:rPr>
          <w:rFonts w:hint="eastAsia" w:ascii="仿宋" w:hAnsi="仿宋" w:eastAsia="仿宋" w:cs="仿宋"/>
          <w:color w:val="auto"/>
          <w:kern w:val="2"/>
          <w:sz w:val="24"/>
          <w:szCs w:val="24"/>
          <w:highlight w:val="none"/>
          <w:lang w:bidi="ar"/>
        </w:rPr>
        <w:t>过程中应科学、合理地掌握与其他工程界面的协调、交叉。为保证项目安全顺利完工，</w:t>
      </w:r>
      <w:r>
        <w:rPr>
          <w:rFonts w:hint="eastAsia" w:ascii="仿宋" w:hAnsi="仿宋" w:eastAsia="仿宋" w:cs="仿宋"/>
          <w:color w:val="auto"/>
          <w:kern w:val="2"/>
          <w:sz w:val="24"/>
          <w:szCs w:val="24"/>
          <w:highlight w:val="none"/>
          <w:lang w:eastAsia="zh-CN" w:bidi="ar"/>
        </w:rPr>
        <w:t>招标人有权</w:t>
      </w:r>
      <w:r>
        <w:rPr>
          <w:rFonts w:hint="eastAsia" w:ascii="仿宋" w:hAnsi="仿宋" w:eastAsia="仿宋" w:cs="仿宋"/>
          <w:color w:val="auto"/>
          <w:kern w:val="2"/>
          <w:sz w:val="24"/>
          <w:szCs w:val="24"/>
          <w:highlight w:val="none"/>
          <w:lang w:bidi="ar"/>
        </w:rPr>
        <w:t>将对所有投标</w:t>
      </w:r>
      <w:r>
        <w:rPr>
          <w:rFonts w:hint="eastAsia" w:ascii="仿宋" w:hAnsi="仿宋" w:eastAsia="仿宋" w:cs="仿宋"/>
          <w:color w:val="auto"/>
          <w:kern w:val="2"/>
          <w:sz w:val="24"/>
          <w:szCs w:val="24"/>
          <w:highlight w:val="none"/>
          <w:lang w:eastAsia="zh-CN" w:bidi="ar"/>
        </w:rPr>
        <w:t>货物</w:t>
      </w:r>
      <w:r>
        <w:rPr>
          <w:rFonts w:hint="eastAsia" w:ascii="仿宋" w:hAnsi="仿宋" w:eastAsia="仿宋" w:cs="仿宋"/>
          <w:color w:val="auto"/>
          <w:kern w:val="2"/>
          <w:sz w:val="24"/>
          <w:szCs w:val="24"/>
          <w:highlight w:val="none"/>
          <w:lang w:bidi="ar"/>
        </w:rPr>
        <w:t>及材料的材质、规格、安装等方面进行严格的监督审查，并加强现场管理，严格把好安全关、质量关、进度关，并且要求</w:t>
      </w: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lang w:bidi="ar"/>
        </w:rPr>
        <w:t>必须派驻经验丰富的技术人员进行全面保障和全程管理，确保项目的顺利实施。</w:t>
      </w:r>
    </w:p>
    <w:p w14:paraId="479899EB">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3.3供应商负责所有产品的整个安装过程，安装过程中所需的所有材料、安装工具均由供应商自行负责。供应商应派专业工程技术人员在现场完成对产品的正确安装及连接，负责产生的废料等现场清理和成品保护。如对现场环境造成损坏全部由供应商负责。</w:t>
      </w:r>
    </w:p>
    <w:p w14:paraId="742112AA">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3.4</w:t>
      </w:r>
      <w:r>
        <w:rPr>
          <w:rFonts w:hint="eastAsia" w:ascii="仿宋" w:hAnsi="仿宋" w:eastAsia="仿宋" w:cs="仿宋"/>
          <w:color w:val="auto"/>
          <w:kern w:val="2"/>
          <w:sz w:val="24"/>
          <w:szCs w:val="24"/>
          <w:highlight w:val="none"/>
          <w:u w:val="none"/>
          <w:lang w:bidi="ar-SA"/>
        </w:rPr>
        <w:t>项目施工保证安全文明，施工中一切安全责任均由</w:t>
      </w: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none"/>
          <w:lang w:bidi="ar-SA"/>
        </w:rPr>
        <w:t>负责。</w:t>
      </w:r>
      <w:r>
        <w:rPr>
          <w:rFonts w:hint="eastAsia" w:ascii="仿宋" w:hAnsi="仿宋" w:eastAsia="仿宋" w:cs="仿宋"/>
          <w:color w:val="auto"/>
          <w:kern w:val="2"/>
          <w:sz w:val="24"/>
          <w:szCs w:val="24"/>
          <w:highlight w:val="none"/>
          <w:u w:val="none"/>
          <w:lang w:eastAsia="zh-CN" w:bidi="ar-SA"/>
        </w:rPr>
        <w:t>货物</w:t>
      </w:r>
      <w:r>
        <w:rPr>
          <w:rFonts w:hint="eastAsia" w:ascii="仿宋" w:hAnsi="仿宋" w:eastAsia="仿宋" w:cs="仿宋"/>
          <w:color w:val="auto"/>
          <w:kern w:val="2"/>
          <w:sz w:val="24"/>
          <w:szCs w:val="24"/>
          <w:highlight w:val="none"/>
          <w:u w:val="none"/>
          <w:lang w:bidi="ar-SA"/>
        </w:rPr>
        <w:t>验收过程中，由于质量不合格或运输等原因所造成的一切费用均由</w:t>
      </w: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none"/>
          <w:lang w:bidi="ar-SA"/>
        </w:rPr>
        <w:t>负责。</w:t>
      </w:r>
    </w:p>
    <w:p w14:paraId="1E5962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仿宋" w:hAnsi="仿宋" w:eastAsia="仿宋" w:cs="仿宋"/>
          <w:color w:val="auto"/>
          <w:kern w:val="2"/>
          <w:sz w:val="24"/>
          <w:szCs w:val="24"/>
          <w:highlight w:val="none"/>
          <w:lang w:eastAsia="zh-CN" w:bidi="ar"/>
        </w:rPr>
      </w:pPr>
      <w:r>
        <w:rPr>
          <w:rFonts w:hint="eastAsia" w:ascii="仿宋" w:hAnsi="仿宋" w:eastAsia="仿宋" w:cs="仿宋"/>
          <w:color w:val="auto"/>
          <w:kern w:val="2"/>
          <w:sz w:val="24"/>
          <w:szCs w:val="24"/>
          <w:highlight w:val="none"/>
          <w:lang w:val="en-US" w:eastAsia="zh-CN" w:bidi="ar"/>
        </w:rPr>
        <w:t>4.</w:t>
      </w:r>
      <w:r>
        <w:rPr>
          <w:rFonts w:hint="eastAsia" w:ascii="仿宋" w:hAnsi="仿宋" w:eastAsia="仿宋" w:cs="仿宋"/>
          <w:color w:val="auto"/>
          <w:kern w:val="2"/>
          <w:sz w:val="24"/>
          <w:szCs w:val="24"/>
          <w:highlight w:val="none"/>
          <w:lang w:eastAsia="zh-CN" w:bidi="ar"/>
        </w:rPr>
        <w:t>项目组</w:t>
      </w:r>
      <w:r>
        <w:rPr>
          <w:rFonts w:hint="eastAsia" w:ascii="仿宋" w:hAnsi="仿宋" w:eastAsia="仿宋" w:cs="仿宋"/>
          <w:color w:val="auto"/>
          <w:kern w:val="2"/>
          <w:sz w:val="24"/>
          <w:szCs w:val="24"/>
          <w:highlight w:val="none"/>
          <w:lang w:bidi="ar"/>
        </w:rPr>
        <w:t>人员要求</w:t>
      </w:r>
    </w:p>
    <w:p w14:paraId="583BDC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jc w:val="both"/>
        <w:textAlignment w:val="auto"/>
        <w:rPr>
          <w:rFonts w:hint="eastAsia" w:ascii="仿宋" w:hAnsi="仿宋" w:eastAsia="仿宋" w:cs="仿宋"/>
          <w:color w:val="auto"/>
          <w:kern w:val="2"/>
          <w:sz w:val="24"/>
          <w:szCs w:val="24"/>
          <w:highlight w:val="none"/>
          <w:lang w:bidi="ar"/>
        </w:rPr>
      </w:pPr>
      <w:r>
        <w:rPr>
          <w:rFonts w:hint="eastAsia" w:ascii="仿宋" w:hAnsi="仿宋" w:eastAsia="仿宋" w:cs="仿宋"/>
          <w:color w:val="auto"/>
          <w:kern w:val="2"/>
          <w:sz w:val="24"/>
          <w:szCs w:val="24"/>
          <w:highlight w:val="none"/>
          <w:lang w:bidi="ar"/>
        </w:rPr>
        <w:t>项目组人员</w:t>
      </w:r>
      <w:r>
        <w:rPr>
          <w:rFonts w:hint="eastAsia" w:ascii="仿宋" w:hAnsi="仿宋" w:eastAsia="仿宋" w:cs="仿宋"/>
          <w:color w:val="auto"/>
          <w:kern w:val="2"/>
          <w:sz w:val="24"/>
          <w:szCs w:val="24"/>
          <w:highlight w:val="none"/>
          <w:lang w:val="en-US" w:eastAsia="zh-CN" w:bidi="ar"/>
        </w:rPr>
        <w:t>要求</w:t>
      </w:r>
      <w:r>
        <w:rPr>
          <w:rFonts w:hint="eastAsia" w:ascii="仿宋" w:hAnsi="仿宋" w:eastAsia="仿宋" w:cs="仿宋"/>
          <w:color w:val="auto"/>
          <w:kern w:val="2"/>
          <w:sz w:val="24"/>
          <w:szCs w:val="24"/>
          <w:highlight w:val="none"/>
          <w:lang w:bidi="ar"/>
        </w:rPr>
        <w:t>配置合理、专业素质高、数量充足；项目</w:t>
      </w:r>
      <w:r>
        <w:rPr>
          <w:rFonts w:hint="eastAsia" w:ascii="仿宋" w:hAnsi="仿宋" w:eastAsia="仿宋" w:cs="仿宋"/>
          <w:color w:val="auto"/>
          <w:kern w:val="2"/>
          <w:sz w:val="24"/>
          <w:szCs w:val="24"/>
          <w:highlight w:val="none"/>
          <w:lang w:val="en-US" w:eastAsia="zh-CN" w:bidi="ar"/>
        </w:rPr>
        <w:t>负责人</w:t>
      </w:r>
      <w:r>
        <w:rPr>
          <w:rFonts w:hint="eastAsia" w:ascii="仿宋" w:hAnsi="仿宋" w:eastAsia="仿宋" w:cs="仿宋"/>
          <w:color w:val="auto"/>
          <w:kern w:val="2"/>
          <w:sz w:val="24"/>
          <w:szCs w:val="24"/>
          <w:highlight w:val="none"/>
          <w:lang w:bidi="ar"/>
        </w:rPr>
        <w:t>应拥有较强的项目管理能力和同类项目建设经验，项目成员也应具备一定的</w:t>
      </w:r>
      <w:r>
        <w:rPr>
          <w:rFonts w:hint="eastAsia" w:ascii="仿宋" w:hAnsi="仿宋" w:eastAsia="仿宋" w:cs="仿宋"/>
          <w:color w:val="auto"/>
          <w:kern w:val="2"/>
          <w:sz w:val="24"/>
          <w:szCs w:val="24"/>
          <w:highlight w:val="none"/>
          <w:lang w:val="en-US" w:eastAsia="zh-CN" w:bidi="ar"/>
        </w:rPr>
        <w:t>经验</w:t>
      </w:r>
      <w:r>
        <w:rPr>
          <w:rFonts w:hint="eastAsia" w:ascii="仿宋" w:hAnsi="仿宋" w:eastAsia="仿宋" w:cs="仿宋"/>
          <w:color w:val="auto"/>
          <w:kern w:val="2"/>
          <w:sz w:val="24"/>
          <w:szCs w:val="24"/>
          <w:highlight w:val="none"/>
          <w:lang w:bidi="ar"/>
        </w:rPr>
        <w:t>和能力，能够</w:t>
      </w:r>
      <w:r>
        <w:rPr>
          <w:rFonts w:hint="eastAsia" w:ascii="仿宋" w:hAnsi="仿宋" w:eastAsia="仿宋" w:cs="仿宋"/>
          <w:color w:val="auto"/>
          <w:kern w:val="2"/>
          <w:sz w:val="24"/>
          <w:szCs w:val="24"/>
          <w:highlight w:val="none"/>
          <w:lang w:val="en-US" w:eastAsia="zh-CN" w:bidi="ar"/>
        </w:rPr>
        <w:t>保证</w:t>
      </w:r>
      <w:r>
        <w:rPr>
          <w:rFonts w:hint="eastAsia" w:ascii="仿宋" w:hAnsi="仿宋" w:eastAsia="仿宋" w:cs="仿宋"/>
          <w:color w:val="auto"/>
          <w:kern w:val="2"/>
          <w:sz w:val="24"/>
          <w:szCs w:val="24"/>
          <w:highlight w:val="none"/>
          <w:lang w:bidi="ar"/>
        </w:rPr>
        <w:t>项目实施到位。</w:t>
      </w:r>
    </w:p>
    <w:p w14:paraId="3F3E8E3B">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bidi="ar"/>
        </w:rPr>
        <w:t>5.</w:t>
      </w:r>
      <w:r>
        <w:rPr>
          <w:rFonts w:hint="eastAsia" w:ascii="仿宋" w:hAnsi="仿宋" w:eastAsia="仿宋" w:cs="仿宋"/>
          <w:color w:val="auto"/>
          <w:kern w:val="2"/>
          <w:sz w:val="24"/>
          <w:szCs w:val="24"/>
          <w:highlight w:val="none"/>
          <w:lang w:eastAsia="zh-CN" w:bidi="ar"/>
        </w:rPr>
        <w:t>招标人</w:t>
      </w:r>
      <w:r>
        <w:rPr>
          <w:rFonts w:hint="eastAsia" w:ascii="仿宋" w:hAnsi="仿宋" w:eastAsia="仿宋" w:cs="仿宋"/>
          <w:color w:val="auto"/>
          <w:kern w:val="2"/>
          <w:sz w:val="24"/>
          <w:szCs w:val="24"/>
          <w:highlight w:val="none"/>
          <w:lang w:bidi="ar"/>
        </w:rPr>
        <w:t>可依据招标文件、采购合同要求及投标文件的承诺对</w:t>
      </w:r>
      <w:r>
        <w:rPr>
          <w:rFonts w:hint="eastAsia" w:ascii="仿宋" w:hAnsi="仿宋" w:eastAsia="仿宋" w:cs="仿宋"/>
          <w:color w:val="auto"/>
          <w:kern w:val="2"/>
          <w:sz w:val="24"/>
          <w:szCs w:val="24"/>
          <w:highlight w:val="none"/>
          <w:lang w:val="en-US" w:eastAsia="zh-CN" w:bidi="ar"/>
        </w:rPr>
        <w:t>货物</w:t>
      </w:r>
      <w:r>
        <w:rPr>
          <w:rFonts w:hint="eastAsia" w:ascii="仿宋" w:hAnsi="仿宋" w:eastAsia="仿宋" w:cs="仿宋"/>
          <w:color w:val="auto"/>
          <w:kern w:val="2"/>
          <w:sz w:val="24"/>
          <w:szCs w:val="24"/>
          <w:highlight w:val="none"/>
          <w:lang w:bidi="ar"/>
        </w:rPr>
        <w:t>进行随机抽样</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委托具有国家认可或批准检测资质的第三方检测机构进行</w:t>
      </w:r>
      <w:r>
        <w:rPr>
          <w:rFonts w:hint="eastAsia" w:ascii="仿宋" w:hAnsi="仿宋" w:eastAsia="仿宋" w:cs="仿宋"/>
          <w:color w:val="auto"/>
          <w:kern w:val="2"/>
          <w:sz w:val="24"/>
          <w:szCs w:val="24"/>
          <w:highlight w:val="none"/>
          <w:lang w:bidi="ar"/>
        </w:rPr>
        <w:t>检测，</w:t>
      </w:r>
      <w:r>
        <w:rPr>
          <w:rFonts w:hint="eastAsia" w:ascii="仿宋" w:hAnsi="仿宋" w:eastAsia="仿宋" w:cs="仿宋"/>
          <w:color w:val="auto"/>
          <w:kern w:val="2"/>
          <w:sz w:val="24"/>
          <w:szCs w:val="24"/>
          <w:highlight w:val="none"/>
          <w:lang w:val="en-US" w:eastAsia="zh-CN" w:bidi="ar"/>
        </w:rPr>
        <w:t>抽样检测的产品损耗和</w:t>
      </w:r>
      <w:r>
        <w:rPr>
          <w:rFonts w:hint="eastAsia" w:ascii="仿宋" w:hAnsi="仿宋" w:eastAsia="仿宋" w:cs="仿宋"/>
          <w:color w:val="auto"/>
          <w:kern w:val="2"/>
          <w:sz w:val="24"/>
          <w:szCs w:val="24"/>
          <w:highlight w:val="none"/>
          <w:lang w:bidi="ar"/>
        </w:rPr>
        <w:t>检测费用</w:t>
      </w:r>
      <w:r>
        <w:rPr>
          <w:rFonts w:hint="eastAsia" w:ascii="仿宋" w:hAnsi="仿宋" w:eastAsia="仿宋" w:cs="仿宋"/>
          <w:color w:val="auto"/>
          <w:kern w:val="2"/>
          <w:sz w:val="24"/>
          <w:szCs w:val="24"/>
          <w:highlight w:val="none"/>
          <w:lang w:val="en-US" w:eastAsia="zh-CN" w:bidi="ar"/>
        </w:rPr>
        <w:t>由供应商承担</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bidi="ar"/>
        </w:rPr>
        <w:t>检验合格后方可安装。</w:t>
      </w:r>
      <w:r>
        <w:rPr>
          <w:rFonts w:hint="eastAsia" w:ascii="仿宋" w:hAnsi="仿宋" w:eastAsia="仿宋" w:cs="仿宋"/>
          <w:color w:val="auto"/>
          <w:kern w:val="2"/>
          <w:sz w:val="24"/>
          <w:szCs w:val="24"/>
          <w:highlight w:val="none"/>
          <w:lang w:val="en-US" w:eastAsia="zh-CN" w:bidi="ar"/>
        </w:rPr>
        <w:t>检测不合格的由</w:t>
      </w: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lang w:val="en-US" w:eastAsia="zh-CN" w:bidi="ar"/>
        </w:rPr>
        <w:t>负责更换，</w:t>
      </w:r>
      <w:r>
        <w:rPr>
          <w:rFonts w:hint="eastAsia" w:ascii="仿宋" w:hAnsi="仿宋" w:eastAsia="仿宋" w:cs="仿宋"/>
          <w:color w:val="auto"/>
          <w:kern w:val="2"/>
          <w:sz w:val="24"/>
          <w:szCs w:val="24"/>
          <w:highlight w:val="none"/>
          <w:lang w:bidi="ar"/>
        </w:rPr>
        <w:t>并承担</w:t>
      </w:r>
      <w:r>
        <w:rPr>
          <w:rFonts w:hint="eastAsia" w:ascii="仿宋" w:hAnsi="仿宋" w:eastAsia="仿宋" w:cs="仿宋"/>
          <w:color w:val="auto"/>
          <w:kern w:val="2"/>
          <w:sz w:val="24"/>
          <w:szCs w:val="24"/>
          <w:highlight w:val="none"/>
          <w:lang w:val="en-US" w:eastAsia="zh-CN" w:bidi="ar"/>
        </w:rPr>
        <w:t>再次的检测费用及</w:t>
      </w:r>
      <w:r>
        <w:rPr>
          <w:rFonts w:hint="eastAsia" w:ascii="仿宋" w:hAnsi="仿宋" w:eastAsia="仿宋" w:cs="仿宋"/>
          <w:color w:val="auto"/>
          <w:kern w:val="2"/>
          <w:sz w:val="24"/>
          <w:szCs w:val="24"/>
          <w:highlight w:val="none"/>
          <w:lang w:bidi="ar"/>
        </w:rPr>
        <w:t>相关费用</w:t>
      </w:r>
      <w:r>
        <w:rPr>
          <w:rFonts w:hint="eastAsia" w:ascii="仿宋" w:hAnsi="仿宋" w:eastAsia="仿宋" w:cs="仿宋"/>
          <w:color w:val="auto"/>
          <w:kern w:val="2"/>
          <w:sz w:val="24"/>
          <w:szCs w:val="24"/>
          <w:highlight w:val="none"/>
          <w:lang w:val="en-US" w:eastAsia="zh-CN" w:bidi="ar"/>
        </w:rPr>
        <w:t>。</w:t>
      </w:r>
    </w:p>
    <w:p w14:paraId="21C77EFB">
      <w:pPr>
        <w:widowControl w:val="0"/>
        <w:adjustRightInd w:val="0"/>
        <w:spacing w:line="360" w:lineRule="auto"/>
        <w:ind w:firstLine="480" w:firstLineChars="200"/>
        <w:jc w:val="both"/>
        <w:rPr>
          <w:rFonts w:hint="eastAsia" w:ascii="仿宋" w:hAnsi="仿宋" w:eastAsia="仿宋" w:cs="仿宋"/>
          <w:color w:val="auto"/>
          <w:kern w:val="2"/>
          <w:sz w:val="24"/>
          <w:szCs w:val="24"/>
          <w:highlight w:val="none"/>
          <w:lang w:bidi="ar-SA"/>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lang w:eastAsia="zh-CN" w:bidi="ar-SA"/>
        </w:rPr>
        <w:t>质保及</w:t>
      </w:r>
      <w:r>
        <w:rPr>
          <w:rFonts w:hint="eastAsia" w:ascii="仿宋" w:hAnsi="仿宋" w:eastAsia="仿宋" w:cs="仿宋"/>
          <w:color w:val="auto"/>
          <w:kern w:val="2"/>
          <w:sz w:val="24"/>
          <w:szCs w:val="24"/>
          <w:highlight w:val="none"/>
          <w:lang w:bidi="ar-SA"/>
        </w:rPr>
        <w:t>售后服务要求</w:t>
      </w:r>
    </w:p>
    <w:p w14:paraId="7F351B26">
      <w:pPr>
        <w:adjustRightIn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（1）质保期：本项目所有产品质保期从终验收合格之日起≥5年。在质保期内的工作应包括对所有货物常规检查、调整等，质保期内的维修费用 (包括配件) 全部由供应商负责，维修点需提供足够的备品备件以适应维修需求。投标文件中提供项目售后服务方案：包括对用户故障的响应处理、质保期外费用计取等。</w:t>
      </w:r>
    </w:p>
    <w:p w14:paraId="33A08941">
      <w:pPr>
        <w:adjustRightIn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（2）超过质保期的，保证零配件、备品备件供应≥10年，须承诺维修时只收部件成本费，免收服务费。</w:t>
      </w:r>
    </w:p>
    <w:p w14:paraId="683D57E9">
      <w:pPr>
        <w:widowControl w:val="0"/>
        <w:adjustRightInd w:val="0"/>
        <w:spacing w:beforeLines="0" w:line="360" w:lineRule="auto"/>
        <w:ind w:firstLine="480" w:firstLineChars="200"/>
        <w:jc w:val="both"/>
        <w:rPr>
          <w:rFonts w:hint="eastAsia" w:ascii="仿宋" w:hAnsi="仿宋" w:eastAsia="仿宋" w:cs="仿宋"/>
          <w:color w:val="auto"/>
          <w:kern w:val="2"/>
          <w:sz w:val="24"/>
          <w:szCs w:val="24"/>
          <w:highlight w:val="none"/>
          <w:lang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bidi="ar-SA"/>
        </w:rPr>
        <w:t>质保期内出现问题，2小时</w:t>
      </w:r>
      <w:r>
        <w:rPr>
          <w:rFonts w:hint="eastAsia" w:ascii="仿宋" w:hAnsi="仿宋" w:eastAsia="仿宋" w:cs="仿宋"/>
          <w:color w:val="auto"/>
          <w:kern w:val="2"/>
          <w:sz w:val="24"/>
          <w:szCs w:val="24"/>
          <w:highlight w:val="none"/>
          <w:lang w:eastAsia="zh-CN" w:bidi="ar-SA"/>
        </w:rPr>
        <w:t>内</w:t>
      </w:r>
      <w:r>
        <w:rPr>
          <w:rFonts w:hint="eastAsia" w:ascii="仿宋" w:hAnsi="仿宋" w:eastAsia="仿宋" w:cs="仿宋"/>
          <w:color w:val="auto"/>
          <w:kern w:val="2"/>
          <w:sz w:val="24"/>
          <w:szCs w:val="24"/>
          <w:highlight w:val="none"/>
          <w:lang w:bidi="ar-SA"/>
        </w:rPr>
        <w:t>电话服务响应，4小时</w:t>
      </w:r>
      <w:r>
        <w:rPr>
          <w:rFonts w:hint="eastAsia" w:ascii="仿宋" w:hAnsi="仿宋" w:eastAsia="仿宋" w:cs="仿宋"/>
          <w:color w:val="auto"/>
          <w:kern w:val="2"/>
          <w:sz w:val="24"/>
          <w:szCs w:val="24"/>
          <w:highlight w:val="none"/>
          <w:lang w:eastAsia="zh-CN" w:bidi="ar-SA"/>
        </w:rPr>
        <w:t>内</w:t>
      </w:r>
      <w:r>
        <w:rPr>
          <w:rFonts w:hint="eastAsia" w:ascii="仿宋" w:hAnsi="仿宋" w:eastAsia="仿宋" w:cs="仿宋"/>
          <w:color w:val="auto"/>
          <w:kern w:val="2"/>
          <w:sz w:val="24"/>
          <w:szCs w:val="24"/>
          <w:highlight w:val="none"/>
          <w:lang w:bidi="ar-SA"/>
        </w:rPr>
        <w:t>上门</w:t>
      </w:r>
      <w:r>
        <w:rPr>
          <w:rFonts w:hint="eastAsia" w:ascii="仿宋" w:hAnsi="仿宋" w:eastAsia="仿宋" w:cs="仿宋"/>
          <w:color w:val="auto"/>
          <w:kern w:val="2"/>
          <w:sz w:val="24"/>
          <w:szCs w:val="24"/>
          <w:highlight w:val="none"/>
          <w:lang w:eastAsia="zh-CN" w:bidi="ar-SA"/>
        </w:rPr>
        <w:t>提供</w:t>
      </w:r>
      <w:r>
        <w:rPr>
          <w:rFonts w:hint="eastAsia" w:ascii="仿宋" w:hAnsi="仿宋" w:eastAsia="仿宋" w:cs="仿宋"/>
          <w:color w:val="auto"/>
          <w:kern w:val="2"/>
          <w:sz w:val="24"/>
          <w:szCs w:val="24"/>
          <w:highlight w:val="none"/>
          <w:lang w:bidi="ar-SA"/>
        </w:rPr>
        <w:t>技术服务，</w:t>
      </w:r>
      <w:r>
        <w:rPr>
          <w:rFonts w:hint="eastAsia" w:ascii="仿宋" w:hAnsi="仿宋" w:eastAsia="仿宋" w:cs="仿宋"/>
          <w:color w:val="auto"/>
          <w:kern w:val="2"/>
          <w:sz w:val="24"/>
          <w:szCs w:val="24"/>
          <w:highlight w:val="none"/>
          <w:lang w:val="en-US" w:eastAsia="zh-CN" w:bidi="ar-SA"/>
        </w:rPr>
        <w:t>24</w:t>
      </w:r>
      <w:r>
        <w:rPr>
          <w:rFonts w:hint="eastAsia" w:ascii="仿宋" w:hAnsi="仿宋" w:eastAsia="仿宋" w:cs="仿宋"/>
          <w:color w:val="auto"/>
          <w:kern w:val="2"/>
          <w:sz w:val="24"/>
          <w:szCs w:val="24"/>
          <w:highlight w:val="none"/>
          <w:lang w:bidi="ar-SA"/>
        </w:rPr>
        <w:t>小时内恢复正常使用。若不能按期完成维修，需提供备品备件，确保</w:t>
      </w:r>
      <w:r>
        <w:rPr>
          <w:rFonts w:hint="eastAsia" w:ascii="仿宋" w:hAnsi="仿宋" w:eastAsia="仿宋" w:cs="仿宋"/>
          <w:color w:val="auto"/>
          <w:kern w:val="2"/>
          <w:sz w:val="24"/>
          <w:szCs w:val="24"/>
          <w:highlight w:val="none"/>
          <w:lang w:eastAsia="zh-CN" w:bidi="ar-SA"/>
        </w:rPr>
        <w:t>货物</w:t>
      </w:r>
      <w:r>
        <w:rPr>
          <w:rFonts w:hint="eastAsia" w:ascii="仿宋" w:hAnsi="仿宋" w:eastAsia="仿宋" w:cs="仿宋"/>
          <w:color w:val="auto"/>
          <w:kern w:val="2"/>
          <w:sz w:val="24"/>
          <w:szCs w:val="24"/>
          <w:highlight w:val="none"/>
          <w:lang w:bidi="ar-SA"/>
        </w:rPr>
        <w:t>正</w:t>
      </w:r>
      <w:r>
        <w:rPr>
          <w:rFonts w:hint="eastAsia" w:ascii="仿宋" w:hAnsi="仿宋" w:eastAsia="仿宋" w:cs="仿宋"/>
          <w:color w:val="auto"/>
          <w:kern w:val="2"/>
          <w:sz w:val="24"/>
          <w:szCs w:val="24"/>
          <w:highlight w:val="none"/>
          <w:u w:val="none"/>
          <w:lang w:bidi="ar-SA"/>
        </w:rPr>
        <w:t>常使用</w:t>
      </w:r>
      <w:r>
        <w:rPr>
          <w:rFonts w:hint="eastAsia" w:ascii="仿宋" w:hAnsi="仿宋" w:eastAsia="仿宋" w:cs="仿宋"/>
          <w:color w:val="auto"/>
          <w:kern w:val="2"/>
          <w:sz w:val="24"/>
          <w:szCs w:val="24"/>
          <w:highlight w:val="none"/>
          <w:u w:val="none"/>
          <w:lang w:eastAsia="zh-CN" w:bidi="ar-SA"/>
        </w:rPr>
        <w:t>，</w:t>
      </w:r>
      <w:r>
        <w:rPr>
          <w:rFonts w:hint="eastAsia" w:ascii="仿宋" w:hAnsi="仿宋" w:eastAsia="仿宋" w:cs="仿宋"/>
          <w:color w:val="auto"/>
          <w:kern w:val="2"/>
          <w:sz w:val="24"/>
          <w:szCs w:val="24"/>
          <w:highlight w:val="none"/>
          <w:u w:val="none"/>
          <w:lang w:bidi="ar-SA"/>
        </w:rPr>
        <w:t>相关费用由供应商承担。</w:t>
      </w:r>
      <w:r>
        <w:rPr>
          <w:rFonts w:hint="eastAsia" w:ascii="仿宋" w:hAnsi="仿宋" w:eastAsia="仿宋" w:cs="仿宋"/>
          <w:color w:val="auto"/>
          <w:kern w:val="2"/>
          <w:sz w:val="24"/>
          <w:szCs w:val="24"/>
          <w:highlight w:val="none"/>
          <w:u w:val="none"/>
          <w:lang w:val="en-US" w:eastAsia="zh-CN" w:bidi="ar-SA"/>
        </w:rPr>
        <w:t>供应商应提供7*24小时电话技术支持。</w:t>
      </w:r>
    </w:p>
    <w:p w14:paraId="4C49B8D5">
      <w:pPr>
        <w:widowControl w:val="0"/>
        <w:adjustRightInd w:val="0"/>
        <w:spacing w:beforeLines="0" w:line="360" w:lineRule="auto"/>
        <w:ind w:firstLine="480" w:firstLineChars="200"/>
        <w:jc w:val="both"/>
        <w:rPr>
          <w:rFonts w:hint="eastAsia" w:ascii="仿宋" w:hAnsi="仿宋" w:eastAsia="仿宋" w:cs="仿宋"/>
          <w:b/>
          <w:bCs/>
          <w:color w:val="auto"/>
          <w:kern w:val="2"/>
          <w:sz w:val="24"/>
          <w:szCs w:val="24"/>
          <w:highlight w:val="none"/>
          <w:lang w:eastAsia="zh-CN" w:bidi="ar-SA"/>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bidi="ar-SA"/>
        </w:rPr>
        <w:t>为保证售后</w:t>
      </w:r>
      <w:r>
        <w:rPr>
          <w:rFonts w:hint="eastAsia" w:ascii="仿宋" w:hAnsi="仿宋" w:eastAsia="仿宋" w:cs="仿宋"/>
          <w:color w:val="auto"/>
          <w:kern w:val="2"/>
          <w:sz w:val="24"/>
          <w:szCs w:val="24"/>
          <w:highlight w:val="none"/>
          <w:lang w:val="en-US" w:eastAsia="zh-CN" w:bidi="ar-SA"/>
        </w:rPr>
        <w:t>服务</w:t>
      </w:r>
      <w:r>
        <w:rPr>
          <w:rFonts w:hint="eastAsia" w:ascii="仿宋" w:hAnsi="仿宋" w:eastAsia="仿宋" w:cs="仿宋"/>
          <w:color w:val="auto"/>
          <w:kern w:val="2"/>
          <w:sz w:val="24"/>
          <w:szCs w:val="24"/>
          <w:highlight w:val="none"/>
          <w:lang w:bidi="ar-SA"/>
        </w:rPr>
        <w:t>质量，</w:t>
      </w:r>
      <w:r>
        <w:rPr>
          <w:rFonts w:hint="eastAsia" w:ascii="仿宋" w:hAnsi="仿宋" w:eastAsia="仿宋" w:cs="仿宋"/>
          <w:color w:val="auto"/>
          <w:kern w:val="2"/>
          <w:sz w:val="24"/>
          <w:szCs w:val="24"/>
          <w:highlight w:val="none"/>
          <w:lang w:val="en-US" w:eastAsia="zh-CN" w:bidi="ar-SA"/>
        </w:rPr>
        <w:t>供应商交货时需</w:t>
      </w:r>
      <w:r>
        <w:rPr>
          <w:rFonts w:hint="eastAsia" w:ascii="仿宋" w:hAnsi="仿宋" w:eastAsia="仿宋" w:cs="仿宋"/>
          <w:color w:val="auto"/>
          <w:kern w:val="2"/>
          <w:sz w:val="24"/>
          <w:szCs w:val="24"/>
          <w:highlight w:val="none"/>
          <w:lang w:bidi="ar-SA"/>
        </w:rPr>
        <w:t>提供原厂质保和售后服务保证承诺书。</w:t>
      </w:r>
    </w:p>
    <w:p w14:paraId="4251F821">
      <w:pPr>
        <w:widowControl w:val="0"/>
        <w:adjustRightInd w:val="0"/>
        <w:spacing w:beforeLines="0" w:line="360" w:lineRule="auto"/>
        <w:ind w:firstLine="482" w:firstLineChars="200"/>
        <w:jc w:val="both"/>
        <w:rPr>
          <w:rFonts w:hint="eastAsia" w:ascii="仿宋" w:hAnsi="仿宋" w:eastAsia="仿宋" w:cs="仿宋"/>
          <w:b/>
          <w:bCs/>
          <w:color w:val="auto"/>
          <w:kern w:val="2"/>
          <w:sz w:val="24"/>
          <w:szCs w:val="24"/>
          <w:highlight w:val="none"/>
          <w:lang w:bidi="ar-SA"/>
        </w:rPr>
      </w:pPr>
      <w:r>
        <w:rPr>
          <w:rFonts w:hint="eastAsia" w:ascii="仿宋" w:hAnsi="仿宋" w:eastAsia="仿宋" w:cs="仿宋"/>
          <w:b/>
          <w:bCs/>
          <w:color w:val="auto"/>
          <w:kern w:val="2"/>
          <w:sz w:val="24"/>
          <w:szCs w:val="24"/>
          <w:highlight w:val="none"/>
          <w:lang w:val="en-US" w:eastAsia="zh-CN" w:bidi="ar-SA"/>
        </w:rPr>
        <w:t>六</w:t>
      </w:r>
      <w:r>
        <w:rPr>
          <w:rFonts w:hint="eastAsia" w:ascii="仿宋" w:hAnsi="仿宋" w:eastAsia="仿宋" w:cs="仿宋"/>
          <w:b/>
          <w:bCs/>
          <w:color w:val="auto"/>
          <w:kern w:val="2"/>
          <w:sz w:val="24"/>
          <w:szCs w:val="24"/>
          <w:highlight w:val="none"/>
          <w:lang w:eastAsia="zh-CN" w:bidi="ar-SA"/>
        </w:rPr>
        <w:t>、</w:t>
      </w:r>
      <w:r>
        <w:rPr>
          <w:rFonts w:hint="eastAsia" w:ascii="仿宋" w:hAnsi="仿宋" w:eastAsia="仿宋" w:cs="仿宋"/>
          <w:b/>
          <w:bCs/>
          <w:color w:val="auto"/>
          <w:kern w:val="2"/>
          <w:sz w:val="24"/>
          <w:szCs w:val="24"/>
          <w:highlight w:val="none"/>
          <w:lang w:bidi="ar-SA"/>
        </w:rPr>
        <w:t>商务</w:t>
      </w:r>
      <w:r>
        <w:rPr>
          <w:rFonts w:hint="eastAsia" w:ascii="仿宋" w:hAnsi="仿宋" w:eastAsia="仿宋" w:cs="仿宋"/>
          <w:b/>
          <w:bCs/>
          <w:color w:val="auto"/>
          <w:kern w:val="2"/>
          <w:sz w:val="24"/>
          <w:szCs w:val="24"/>
          <w:highlight w:val="none"/>
          <w:lang w:val="en-US" w:eastAsia="zh-CN" w:bidi="ar-SA"/>
        </w:rPr>
        <w:t>要求</w:t>
      </w:r>
    </w:p>
    <w:p w14:paraId="311B9B16">
      <w:pPr>
        <w:widowControl w:val="0"/>
        <w:adjustRightInd w:val="0"/>
        <w:spacing w:line="360" w:lineRule="auto"/>
        <w:ind w:firstLine="419" w:firstLineChars="174"/>
        <w:jc w:val="both"/>
        <w:rPr>
          <w:rFonts w:hint="eastAsia" w:ascii="仿宋" w:hAnsi="仿宋" w:eastAsia="仿宋" w:cs="仿宋"/>
          <w:b/>
          <w:bCs/>
          <w:color w:val="auto"/>
          <w:kern w:val="2"/>
          <w:sz w:val="24"/>
          <w:szCs w:val="24"/>
          <w:highlight w:val="none"/>
          <w:lang w:bidi="ar-SA"/>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b/>
          <w:bCs/>
          <w:color w:val="auto"/>
          <w:kern w:val="2"/>
          <w:sz w:val="24"/>
          <w:szCs w:val="24"/>
          <w:highlight w:val="none"/>
          <w:lang w:bidi="ar-SA"/>
        </w:rPr>
        <w:t>投标报价说明</w:t>
      </w:r>
    </w:p>
    <w:p w14:paraId="631C7E80">
      <w:pPr>
        <w:widowControl w:val="0"/>
        <w:spacing w:line="360" w:lineRule="auto"/>
        <w:ind w:firstLine="480" w:firstLineChars="200"/>
        <w:jc w:val="both"/>
        <w:rPr>
          <w:rFonts w:hint="eastAsia" w:ascii="仿宋" w:hAnsi="仿宋" w:eastAsia="仿宋" w:cs="仿宋"/>
          <w:color w:val="auto"/>
          <w:kern w:val="2"/>
          <w:sz w:val="24"/>
          <w:szCs w:val="22"/>
          <w:highlight w:val="none"/>
          <w:lang w:val="zh-CN" w:eastAsia="zh-CN" w:bidi="ar-SA"/>
        </w:rPr>
      </w:pPr>
      <w:r>
        <w:rPr>
          <w:rFonts w:hint="eastAsia" w:ascii="仿宋" w:hAnsi="仿宋" w:eastAsia="仿宋" w:cs="仿宋"/>
          <w:color w:val="auto"/>
          <w:kern w:val="2"/>
          <w:sz w:val="24"/>
          <w:szCs w:val="22"/>
          <w:highlight w:val="none"/>
          <w:lang w:val="en-US" w:eastAsia="zh-CN" w:bidi="ar-SA"/>
        </w:rPr>
        <w:t>（1）</w:t>
      </w:r>
      <w:r>
        <w:rPr>
          <w:rFonts w:hint="eastAsia" w:ascii="仿宋" w:hAnsi="仿宋" w:eastAsia="仿宋" w:cs="仿宋"/>
          <w:color w:val="auto"/>
          <w:kern w:val="2"/>
          <w:sz w:val="24"/>
          <w:szCs w:val="22"/>
          <w:highlight w:val="none"/>
          <w:lang w:val="zh-CN" w:eastAsia="zh-CN" w:bidi="ar-SA"/>
        </w:rPr>
        <w:t>本项目投标总价包含</w:t>
      </w:r>
      <w:r>
        <w:rPr>
          <w:rFonts w:hint="eastAsia" w:ascii="仿宋" w:hAnsi="仿宋" w:eastAsia="仿宋" w:cs="仿宋"/>
          <w:color w:val="auto"/>
          <w:kern w:val="2"/>
          <w:sz w:val="24"/>
          <w:szCs w:val="22"/>
          <w:highlight w:val="none"/>
          <w:lang w:val="en-US" w:eastAsia="zh-CN" w:bidi="ar-SA"/>
        </w:rPr>
        <w:t>现场</w:t>
      </w:r>
      <w:r>
        <w:rPr>
          <w:rFonts w:hint="eastAsia" w:ascii="仿宋" w:hAnsi="仿宋" w:eastAsia="仿宋" w:cs="仿宋"/>
          <w:color w:val="auto"/>
          <w:kern w:val="2"/>
          <w:sz w:val="24"/>
          <w:szCs w:val="22"/>
          <w:highlight w:val="none"/>
          <w:lang w:val="zh-CN" w:eastAsia="zh-CN" w:bidi="ar-SA"/>
        </w:rPr>
        <w:t>踏勘费、</w:t>
      </w:r>
      <w:r>
        <w:rPr>
          <w:rFonts w:hint="eastAsia" w:ascii="仿宋" w:hAnsi="仿宋" w:eastAsia="仿宋" w:cs="仿宋"/>
          <w:b w:val="0"/>
          <w:bCs w:val="0"/>
          <w:color w:val="auto"/>
          <w:kern w:val="0"/>
          <w:sz w:val="24"/>
          <w:szCs w:val="22"/>
          <w:highlight w:val="none"/>
          <w:lang w:val="en-US" w:eastAsia="zh-CN" w:bidi="ar-SA"/>
        </w:rPr>
        <w:t>货物出厂价</w:t>
      </w:r>
      <w:r>
        <w:rPr>
          <w:rFonts w:hint="eastAsia" w:ascii="仿宋" w:hAnsi="仿宋" w:eastAsia="仿宋" w:cs="仿宋"/>
          <w:b w:val="0"/>
          <w:bCs w:val="0"/>
          <w:color w:val="auto"/>
          <w:kern w:val="0"/>
          <w:sz w:val="24"/>
          <w:szCs w:val="22"/>
          <w:highlight w:val="none"/>
          <w:lang w:val="zh-CN" w:eastAsia="zh-CN" w:bidi="ar-SA"/>
        </w:rPr>
        <w:t>、</w:t>
      </w:r>
      <w:r>
        <w:rPr>
          <w:rFonts w:hint="eastAsia" w:ascii="仿宋" w:hAnsi="仿宋" w:eastAsia="仿宋" w:cs="仿宋"/>
          <w:b w:val="0"/>
          <w:bCs w:val="0"/>
          <w:color w:val="auto"/>
          <w:kern w:val="0"/>
          <w:sz w:val="24"/>
          <w:szCs w:val="22"/>
          <w:highlight w:val="none"/>
          <w:lang w:val="en-US" w:eastAsia="zh-CN" w:bidi="ar-SA"/>
        </w:rPr>
        <w:t>运杂</w:t>
      </w:r>
      <w:r>
        <w:rPr>
          <w:rFonts w:hint="eastAsia" w:ascii="仿宋" w:hAnsi="仿宋" w:eastAsia="仿宋" w:cs="仿宋"/>
          <w:b w:val="0"/>
          <w:bCs w:val="0"/>
          <w:color w:val="auto"/>
          <w:kern w:val="0"/>
          <w:sz w:val="24"/>
          <w:szCs w:val="22"/>
          <w:highlight w:val="none"/>
          <w:lang w:val="zh-CN" w:eastAsia="zh-CN" w:bidi="ar-SA"/>
        </w:rPr>
        <w:t>费、</w:t>
      </w:r>
      <w:r>
        <w:rPr>
          <w:rFonts w:hint="eastAsia" w:ascii="仿宋" w:hAnsi="仿宋" w:eastAsia="仿宋" w:cs="仿宋"/>
          <w:b w:val="0"/>
          <w:bCs w:val="0"/>
          <w:color w:val="auto"/>
          <w:kern w:val="0"/>
          <w:sz w:val="24"/>
          <w:szCs w:val="22"/>
          <w:highlight w:val="none"/>
          <w:lang w:val="en-US" w:eastAsia="zh-CN" w:bidi="ar-SA"/>
        </w:rPr>
        <w:t>复尺费、</w:t>
      </w:r>
      <w:r>
        <w:rPr>
          <w:rFonts w:hint="eastAsia" w:ascii="仿宋" w:hAnsi="仿宋" w:eastAsia="仿宋" w:cs="仿宋"/>
          <w:b w:val="0"/>
          <w:bCs w:val="0"/>
          <w:color w:val="auto"/>
          <w:kern w:val="0"/>
          <w:sz w:val="24"/>
          <w:szCs w:val="22"/>
          <w:highlight w:val="none"/>
          <w:lang w:val="zh-CN" w:eastAsia="zh-CN" w:bidi="ar-SA"/>
        </w:rPr>
        <w:t>安装</w:t>
      </w:r>
      <w:r>
        <w:rPr>
          <w:rFonts w:hint="eastAsia" w:ascii="仿宋" w:hAnsi="仿宋" w:eastAsia="仿宋" w:cs="仿宋"/>
          <w:b w:val="0"/>
          <w:bCs w:val="0"/>
          <w:color w:val="auto"/>
          <w:kern w:val="0"/>
          <w:sz w:val="24"/>
          <w:szCs w:val="22"/>
          <w:highlight w:val="none"/>
          <w:lang w:val="en-US" w:eastAsia="zh-CN" w:bidi="ar-SA"/>
        </w:rPr>
        <w:t>费</w:t>
      </w:r>
      <w:r>
        <w:rPr>
          <w:rFonts w:hint="eastAsia" w:ascii="仿宋" w:hAnsi="仿宋" w:eastAsia="仿宋" w:cs="仿宋"/>
          <w:b w:val="0"/>
          <w:bCs w:val="0"/>
          <w:color w:val="auto"/>
          <w:kern w:val="0"/>
          <w:sz w:val="24"/>
          <w:szCs w:val="22"/>
          <w:highlight w:val="none"/>
          <w:lang w:val="zh-CN" w:eastAsia="zh-CN" w:bidi="ar-SA"/>
        </w:rPr>
        <w:t>、调试费、</w:t>
      </w:r>
      <w:r>
        <w:rPr>
          <w:rFonts w:hint="eastAsia" w:ascii="仿宋" w:hAnsi="仿宋" w:eastAsia="仿宋" w:cs="仿宋"/>
          <w:b w:val="0"/>
          <w:bCs w:val="0"/>
          <w:color w:val="auto"/>
          <w:kern w:val="0"/>
          <w:sz w:val="24"/>
          <w:szCs w:val="22"/>
          <w:highlight w:val="none"/>
          <w:lang w:val="en-US" w:eastAsia="zh-CN" w:bidi="ar-SA"/>
        </w:rPr>
        <w:t>检测费、验收</w:t>
      </w:r>
      <w:r>
        <w:rPr>
          <w:rFonts w:hint="eastAsia" w:ascii="仿宋" w:hAnsi="仿宋" w:eastAsia="仿宋" w:cs="仿宋"/>
          <w:b w:val="0"/>
          <w:bCs w:val="0"/>
          <w:color w:val="auto"/>
          <w:kern w:val="0"/>
          <w:sz w:val="24"/>
          <w:szCs w:val="22"/>
          <w:highlight w:val="none"/>
          <w:lang w:val="zh-CN" w:eastAsia="zh-CN" w:bidi="ar-SA"/>
        </w:rPr>
        <w:t>费、</w:t>
      </w:r>
      <w:r>
        <w:rPr>
          <w:rFonts w:hint="eastAsia" w:ascii="仿宋" w:hAnsi="仿宋" w:eastAsia="仿宋" w:cs="仿宋"/>
          <w:color w:val="auto"/>
          <w:kern w:val="2"/>
          <w:sz w:val="24"/>
          <w:szCs w:val="22"/>
          <w:highlight w:val="none"/>
          <w:lang w:val="zh-CN" w:eastAsia="zh-CN" w:bidi="ar-SA"/>
        </w:rPr>
        <w:t>售后及质保服务费、垃圾清理费、</w:t>
      </w:r>
      <w:r>
        <w:rPr>
          <w:rFonts w:hint="eastAsia" w:ascii="仿宋" w:hAnsi="仿宋" w:eastAsia="仿宋" w:cs="仿宋"/>
          <w:color w:val="auto"/>
          <w:kern w:val="2"/>
          <w:sz w:val="24"/>
          <w:szCs w:val="22"/>
          <w:highlight w:val="none"/>
          <w:lang w:val="en-US" w:eastAsia="zh-CN" w:bidi="ar-SA"/>
        </w:rPr>
        <w:t>企业</w:t>
      </w:r>
      <w:r>
        <w:rPr>
          <w:rFonts w:hint="eastAsia" w:ascii="仿宋" w:hAnsi="仿宋" w:eastAsia="仿宋" w:cs="仿宋"/>
          <w:color w:val="auto"/>
          <w:kern w:val="2"/>
          <w:sz w:val="24"/>
          <w:szCs w:val="22"/>
          <w:highlight w:val="none"/>
          <w:lang w:val="zh-CN" w:eastAsia="zh-CN" w:bidi="ar-SA"/>
        </w:rPr>
        <w:t>管理费、利润、税金等一切费用。本项目还应包括场地及原有设备的保护措施费、现场安装施工组织（含安全文明施工）措施费等。除产品外若未明确相应报价的，视为已综合考虑在产品综合单价内，中标后不做调整与补偿。</w:t>
      </w:r>
    </w:p>
    <w:p w14:paraId="65A064AA">
      <w:pPr>
        <w:widowControl w:val="0"/>
        <w:spacing w:line="360" w:lineRule="auto"/>
        <w:ind w:firstLine="482" w:firstLineChars="200"/>
        <w:jc w:val="both"/>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val="0"/>
          <w:color w:val="auto"/>
          <w:kern w:val="2"/>
          <w:sz w:val="24"/>
          <w:szCs w:val="24"/>
          <w:highlight w:val="none"/>
          <w:lang w:val="en-US" w:eastAsia="zh-CN" w:bidi="ar-SA"/>
        </w:rPr>
        <w:t>（2）</w:t>
      </w:r>
      <w:r>
        <w:rPr>
          <w:rFonts w:hint="eastAsia" w:ascii="仿宋" w:hAnsi="仿宋" w:eastAsia="仿宋" w:cs="仿宋"/>
          <w:b/>
          <w:bCs/>
          <w:color w:val="auto"/>
          <w:kern w:val="2"/>
          <w:sz w:val="24"/>
          <w:szCs w:val="24"/>
          <w:highlight w:val="none"/>
          <w:lang w:val="zh-CN" w:eastAsia="zh-CN" w:bidi="ar-SA"/>
        </w:rPr>
        <w:t>供应商在投标报价时，应充分考虑辅材等安装材料的实际需求量，同时充分考虑安装过程中产生的原样修补费、打洞费、安全措施等所发生的费用，费用全部计入投标报价中。在合同执行过程中，合同价不予调整。</w:t>
      </w:r>
    </w:p>
    <w:p w14:paraId="1CE03F1D">
      <w:pPr>
        <w:widowControl w:val="0"/>
        <w:adjustRightInd w:val="0"/>
        <w:spacing w:line="360" w:lineRule="auto"/>
        <w:ind w:firstLine="419" w:firstLineChars="174"/>
        <w:jc w:val="both"/>
        <w:rPr>
          <w:rFonts w:hint="eastAsia" w:ascii="仿宋" w:hAnsi="仿宋" w:eastAsia="仿宋" w:cs="仿宋"/>
          <w:b/>
          <w:bCs/>
          <w:color w:val="auto"/>
          <w:kern w:val="2"/>
          <w:sz w:val="24"/>
          <w:szCs w:val="24"/>
          <w:highlight w:val="none"/>
          <w:lang w:bidi="ar-SA"/>
        </w:rPr>
      </w:pPr>
      <w:r>
        <w:rPr>
          <w:rFonts w:hint="eastAsia" w:ascii="仿宋" w:hAnsi="仿宋" w:eastAsia="仿宋" w:cs="仿宋"/>
          <w:b/>
          <w:bCs/>
          <w:color w:val="auto"/>
          <w:kern w:val="2"/>
          <w:sz w:val="24"/>
          <w:szCs w:val="24"/>
          <w:highlight w:val="none"/>
          <w:lang w:val="en-US" w:eastAsia="zh-CN" w:bidi="ar-SA"/>
        </w:rPr>
        <w:t>2.合同价及</w:t>
      </w:r>
      <w:r>
        <w:rPr>
          <w:rFonts w:hint="eastAsia" w:ascii="仿宋" w:hAnsi="仿宋" w:eastAsia="仿宋" w:cs="仿宋"/>
          <w:b/>
          <w:bCs/>
          <w:color w:val="auto"/>
          <w:kern w:val="2"/>
          <w:sz w:val="24"/>
          <w:szCs w:val="24"/>
          <w:highlight w:val="none"/>
          <w:lang w:bidi="ar-SA"/>
        </w:rPr>
        <w:t>支付方式</w:t>
      </w:r>
    </w:p>
    <w:p w14:paraId="1FB88B96">
      <w:pPr>
        <w:widowControl w:val="0"/>
        <w:adjustRightInd/>
        <w:spacing w:after="0" w:line="360" w:lineRule="auto"/>
        <w:ind w:left="0" w:leftChars="0" w:firstLine="480" w:firstLineChars="20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2.1本项目为固定单价合同，按实结算。结算价=实际采购数量</w:t>
      </w:r>
      <w:r>
        <w:rPr>
          <w:rFonts w:hint="eastAsia" w:ascii="微软雅黑" w:hAnsi="微软雅黑" w:eastAsia="微软雅黑" w:cs="微软雅黑"/>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t>中标单价。</w:t>
      </w:r>
    </w:p>
    <w:p w14:paraId="243260C0">
      <w:pPr>
        <w:widowControl w:val="0"/>
        <w:adjustRightInd/>
        <w:spacing w:after="0" w:line="360" w:lineRule="auto"/>
        <w:ind w:left="0" w:leftChars="0" w:firstLine="480" w:firstLineChars="20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2.2支付方式</w:t>
      </w:r>
    </w:p>
    <w:p w14:paraId="1E6AF996">
      <w:pPr>
        <w:widowControl w:val="0"/>
        <w:adjustRightInd/>
        <w:spacing w:after="0" w:line="360" w:lineRule="auto"/>
        <w:ind w:left="0" w:leftChars="0" w:firstLine="480" w:firstLineChars="20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第一期付款：合同签订且提交履约保证金后30日历天内，甲方支付合同价的【20%】作为预付款；甲方向乙方支付预付款的同时，乙方提交银行、保险公司出具的同等金额的预付款保函（若未按要求提交预付款保函，则视为乙方无需预付款。保函的格式和内容须经甲方确认）。</w:t>
      </w:r>
    </w:p>
    <w:p w14:paraId="1D29518B">
      <w:pPr>
        <w:widowControl w:val="0"/>
        <w:adjustRightInd/>
        <w:spacing w:after="0" w:line="360" w:lineRule="auto"/>
        <w:ind w:left="0" w:leftChars="0" w:firstLine="480" w:firstLineChars="200"/>
        <w:jc w:val="both"/>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（2）第二期付款：全部产品供货完成后，并经甲方及使用单位履约验收合格后，甲方支付至合同价的【85%】；</w:t>
      </w:r>
    </w:p>
    <w:p w14:paraId="75ED4813">
      <w:pPr>
        <w:widowControl w:val="0"/>
        <w:adjustRightInd/>
        <w:spacing w:after="0" w:line="360" w:lineRule="auto"/>
        <w:ind w:left="0" w:leftChars="0" w:firstLine="480" w:firstLineChars="20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（3）第三期付款：项目结算审计完成并提交质保金后，甲方在30日历天内支付剩余款项。</w:t>
      </w:r>
    </w:p>
    <w:p w14:paraId="1F90D877">
      <w:pPr>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both"/>
        <w:textAlignment w:val="auto"/>
        <w:rPr>
          <w:rFonts w:hint="eastAsia" w:ascii="仿宋" w:hAnsi="仿宋" w:eastAsia="仿宋" w:cs="仿宋"/>
          <w:b/>
          <w:bCs/>
          <w:color w:val="auto"/>
          <w:kern w:val="2"/>
          <w:sz w:val="24"/>
          <w:szCs w:val="24"/>
          <w:highlight w:val="none"/>
          <w:lang w:val="zh-CN" w:bidi="ar-SA"/>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b/>
          <w:bCs/>
          <w:color w:val="auto"/>
          <w:kern w:val="2"/>
          <w:sz w:val="24"/>
          <w:szCs w:val="24"/>
          <w:highlight w:val="none"/>
          <w:lang w:val="zh-CN" w:bidi="ar-SA"/>
        </w:rPr>
        <w:t>履约保证金</w:t>
      </w:r>
    </w:p>
    <w:p w14:paraId="4BF73BB4">
      <w:pPr>
        <w:widowControl w:val="0"/>
        <w:wordWrap w:val="0"/>
        <w:autoSpaceDE w:val="0"/>
        <w:autoSpaceDN w:val="0"/>
        <w:adjustRightInd w:val="0"/>
        <w:snapToGrid w:val="0"/>
        <w:spacing w:line="360" w:lineRule="auto"/>
        <w:ind w:firstLine="480" w:firstLineChars="200"/>
        <w:jc w:val="both"/>
        <w:rPr>
          <w:rFonts w:hint="eastAsia"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eastAsia="zh-CN" w:bidi="ar-SA"/>
        </w:rPr>
        <w:t>履约保证金按合同签约价的1%提交，详见本招标文件《第四部分合同条款》。</w:t>
      </w:r>
    </w:p>
    <w:p w14:paraId="36564EBC">
      <w:pPr>
        <w:widowControl w:val="0"/>
        <w:wordWrap w:val="0"/>
        <w:autoSpaceDE w:val="0"/>
        <w:autoSpaceDN w:val="0"/>
        <w:adjustRightInd w:val="0"/>
        <w:snapToGrid w:val="0"/>
        <w:spacing w:line="360" w:lineRule="auto"/>
        <w:ind w:firstLine="482" w:firstLineChars="200"/>
        <w:jc w:val="both"/>
        <w:rPr>
          <w:rFonts w:hint="eastAsia" w:ascii="仿宋" w:hAnsi="仿宋" w:eastAsia="仿宋" w:cs="仿宋"/>
          <w:b/>
          <w:bCs/>
          <w:color w:val="auto"/>
          <w:kern w:val="0"/>
          <w:sz w:val="24"/>
          <w:szCs w:val="24"/>
          <w:highlight w:val="none"/>
          <w:lang w:eastAsia="zh-CN" w:bidi="ar-SA"/>
        </w:rPr>
      </w:pPr>
      <w:r>
        <w:rPr>
          <w:rFonts w:hint="eastAsia" w:ascii="仿宋" w:hAnsi="仿宋" w:eastAsia="仿宋" w:cs="仿宋"/>
          <w:b/>
          <w:bCs/>
          <w:color w:val="auto"/>
          <w:kern w:val="0"/>
          <w:sz w:val="24"/>
          <w:szCs w:val="24"/>
          <w:highlight w:val="none"/>
          <w:lang w:eastAsia="zh-CN" w:bidi="ar-SA"/>
        </w:rPr>
        <w:t>4.质保金</w:t>
      </w:r>
    </w:p>
    <w:p w14:paraId="24E03299">
      <w:pPr>
        <w:widowControl w:val="0"/>
        <w:wordWrap w:val="0"/>
        <w:autoSpaceDE w:val="0"/>
        <w:autoSpaceDN w:val="0"/>
        <w:adjustRightInd w:val="0"/>
        <w:snapToGrid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eastAsia="zh-CN" w:bidi="ar-SA"/>
        </w:rPr>
        <w:t>质保金按合同</w:t>
      </w:r>
      <w:r>
        <w:rPr>
          <w:rFonts w:hint="eastAsia" w:ascii="仿宋" w:hAnsi="仿宋" w:eastAsia="仿宋" w:cs="仿宋"/>
          <w:color w:val="auto"/>
          <w:kern w:val="0"/>
          <w:sz w:val="24"/>
          <w:szCs w:val="24"/>
          <w:highlight w:val="none"/>
          <w:lang w:val="en-US" w:eastAsia="zh-CN" w:bidi="ar-SA"/>
        </w:rPr>
        <w:t>结算</w:t>
      </w:r>
      <w:r>
        <w:rPr>
          <w:rFonts w:hint="eastAsia" w:ascii="仿宋" w:hAnsi="仿宋" w:eastAsia="仿宋" w:cs="仿宋"/>
          <w:color w:val="auto"/>
          <w:kern w:val="0"/>
          <w:sz w:val="24"/>
          <w:szCs w:val="24"/>
          <w:highlight w:val="none"/>
          <w:lang w:eastAsia="zh-CN" w:bidi="ar-SA"/>
        </w:rPr>
        <w:t>价的1</w:t>
      </w:r>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eastAsia="zh-CN" w:bidi="ar-SA"/>
        </w:rPr>
        <w:t>%提交，详见本招标文件《第四部分合同条款》。</w:t>
      </w:r>
    </w:p>
    <w:p w14:paraId="54174E53">
      <w:pPr>
        <w:widowControl w:val="0"/>
        <w:autoSpaceDE w:val="0"/>
        <w:autoSpaceDN w:val="0"/>
        <w:adjustRightInd w:val="0"/>
        <w:spacing w:after="0" w:line="360" w:lineRule="auto"/>
        <w:ind w:firstLine="442" w:firstLineChars="200"/>
        <w:jc w:val="both"/>
        <w:rPr>
          <w:rFonts w:hint="eastAsia" w:ascii="仿宋" w:hAnsi="仿宋" w:eastAsia="仿宋" w:cs="仿宋"/>
          <w:b/>
          <w:snapToGrid w:val="0"/>
          <w:color w:val="auto"/>
          <w:kern w:val="2"/>
          <w:sz w:val="22"/>
          <w:szCs w:val="21"/>
          <w:highlight w:val="none"/>
          <w:lang w:val="zh-CN" w:eastAsia="zh-CN" w:bidi="ar-SA"/>
        </w:rPr>
      </w:pPr>
      <w:r>
        <w:rPr>
          <w:rFonts w:hint="eastAsia" w:ascii="仿宋" w:hAnsi="仿宋" w:eastAsia="仿宋" w:cs="仿宋"/>
          <w:b/>
          <w:snapToGrid w:val="0"/>
          <w:color w:val="auto"/>
          <w:kern w:val="2"/>
          <w:sz w:val="22"/>
          <w:szCs w:val="21"/>
          <w:highlight w:val="none"/>
          <w:lang w:val="en-US" w:eastAsia="zh-CN" w:bidi="ar-SA"/>
        </w:rPr>
        <w:t>七</w:t>
      </w:r>
      <w:r>
        <w:rPr>
          <w:rFonts w:hint="eastAsia" w:ascii="仿宋" w:hAnsi="仿宋" w:eastAsia="仿宋" w:cs="仿宋"/>
          <w:b/>
          <w:snapToGrid w:val="0"/>
          <w:color w:val="auto"/>
          <w:kern w:val="2"/>
          <w:sz w:val="22"/>
          <w:szCs w:val="21"/>
          <w:highlight w:val="none"/>
          <w:lang w:val="zh-CN" w:eastAsia="zh-CN" w:bidi="ar-SA"/>
        </w:rPr>
        <w:t>、样品递交</w:t>
      </w:r>
    </w:p>
    <w:p w14:paraId="7DC92923">
      <w:pPr>
        <w:widowControl/>
        <w:adjustRightInd w:val="0"/>
        <w:spacing w:line="360" w:lineRule="auto"/>
        <w:ind w:firstLine="480" w:firstLineChars="200"/>
        <w:jc w:val="both"/>
        <w:rPr>
          <w:rFonts w:hint="eastAsia" w:ascii="仿宋" w:hAnsi="仿宋" w:eastAsia="仿宋" w:cs="仿宋"/>
          <w:color w:val="auto"/>
          <w:kern w:val="2"/>
          <w:sz w:val="24"/>
          <w:szCs w:val="24"/>
          <w:highlight w:val="none"/>
          <w:lang w:bidi="ar-SA"/>
        </w:rPr>
      </w:pPr>
      <w:r>
        <w:rPr>
          <w:rFonts w:hint="eastAsia" w:ascii="仿宋" w:hAnsi="仿宋" w:eastAsia="仿宋" w:cs="仿宋"/>
          <w:color w:val="auto"/>
          <w:kern w:val="2"/>
          <w:sz w:val="24"/>
          <w:szCs w:val="24"/>
          <w:highlight w:val="none"/>
          <w:lang w:bidi="ar-SA"/>
        </w:rPr>
        <w:t>1.样品递交清单：</w:t>
      </w:r>
    </w:p>
    <w:tbl>
      <w:tblPr>
        <w:tblStyle w:val="4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781"/>
        <w:gridCol w:w="3660"/>
        <w:gridCol w:w="1825"/>
      </w:tblGrid>
      <w:tr w14:paraId="5F44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5D727B81">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序号</w:t>
            </w:r>
          </w:p>
        </w:tc>
        <w:tc>
          <w:tcPr>
            <w:tcW w:w="2781" w:type="dxa"/>
            <w:vAlign w:val="center"/>
          </w:tcPr>
          <w:p w14:paraId="766B2E44">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产品名称</w:t>
            </w:r>
          </w:p>
        </w:tc>
        <w:tc>
          <w:tcPr>
            <w:tcW w:w="3660" w:type="dxa"/>
            <w:vAlign w:val="center"/>
          </w:tcPr>
          <w:p w14:paraId="193944C1">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样品规格要求</w:t>
            </w:r>
          </w:p>
        </w:tc>
        <w:tc>
          <w:tcPr>
            <w:tcW w:w="1825" w:type="dxa"/>
            <w:vAlign w:val="center"/>
          </w:tcPr>
          <w:p w14:paraId="75B206F8">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数量</w:t>
            </w:r>
          </w:p>
        </w:tc>
      </w:tr>
      <w:tr w14:paraId="2319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7B182BD8">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1</w:t>
            </w:r>
          </w:p>
        </w:tc>
        <w:tc>
          <w:tcPr>
            <w:tcW w:w="2781" w:type="dxa"/>
            <w:vAlign w:val="center"/>
          </w:tcPr>
          <w:p w14:paraId="54895B57">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color w:val="0000FF"/>
                <w:kern w:val="2"/>
                <w:sz w:val="22"/>
                <w:szCs w:val="24"/>
                <w:highlight w:val="none"/>
                <w:lang w:bidi="ar-SA"/>
              </w:rPr>
            </w:pPr>
            <w:r>
              <w:rPr>
                <w:rFonts w:hint="eastAsia" w:ascii="仿宋" w:hAnsi="仿宋" w:eastAsia="仿宋" w:cs="仿宋"/>
                <w:color w:val="0000FF"/>
                <w:kern w:val="0"/>
                <w:sz w:val="24"/>
                <w:szCs w:val="24"/>
                <w:highlight w:val="none"/>
                <w:lang w:val="en-US" w:eastAsia="zh-CN" w:bidi="ar-SA"/>
              </w:rPr>
              <w:t>手动</w:t>
            </w:r>
            <w:r>
              <w:rPr>
                <w:rFonts w:hint="eastAsia" w:ascii="仿宋" w:hAnsi="仿宋" w:eastAsia="仿宋" w:cs="仿宋"/>
                <w:color w:val="0000FF"/>
                <w:kern w:val="0"/>
                <w:sz w:val="24"/>
                <w:szCs w:val="24"/>
                <w:highlight w:val="none"/>
                <w:lang w:bidi="ar-SA"/>
              </w:rPr>
              <w:t>布帘1</w:t>
            </w:r>
          </w:p>
        </w:tc>
        <w:tc>
          <w:tcPr>
            <w:tcW w:w="3660" w:type="dxa"/>
            <w:vAlign w:val="center"/>
          </w:tcPr>
          <w:p w14:paraId="2AAF57C1">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不小于</w:t>
            </w:r>
            <w:r>
              <w:rPr>
                <w:rFonts w:hint="eastAsia" w:ascii="仿宋" w:hAnsi="仿宋" w:eastAsia="仿宋" w:cs="仿宋"/>
                <w:color w:val="auto"/>
                <w:kern w:val="2"/>
                <w:sz w:val="22"/>
                <w:szCs w:val="24"/>
                <w:highlight w:val="none"/>
                <w:lang w:val="en-US" w:eastAsia="zh-CN" w:bidi="ar-SA"/>
              </w:rPr>
              <w:t>10</w:t>
            </w:r>
            <w:r>
              <w:rPr>
                <w:rFonts w:hint="eastAsia" w:ascii="仿宋" w:hAnsi="仿宋" w:eastAsia="仿宋" w:cs="仿宋"/>
                <w:color w:val="auto"/>
                <w:kern w:val="2"/>
                <w:sz w:val="22"/>
                <w:szCs w:val="24"/>
                <w:highlight w:val="none"/>
                <w:lang w:bidi="ar-SA"/>
              </w:rPr>
              <w:t>0cm*100cm</w:t>
            </w:r>
          </w:p>
        </w:tc>
        <w:tc>
          <w:tcPr>
            <w:tcW w:w="1825" w:type="dxa"/>
            <w:vAlign w:val="center"/>
          </w:tcPr>
          <w:p w14:paraId="18E89EAB">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成品1套</w:t>
            </w:r>
          </w:p>
        </w:tc>
      </w:tr>
      <w:tr w14:paraId="5734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31D10343">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2</w:t>
            </w:r>
          </w:p>
        </w:tc>
        <w:tc>
          <w:tcPr>
            <w:tcW w:w="2781" w:type="dxa"/>
            <w:vAlign w:val="center"/>
          </w:tcPr>
          <w:p w14:paraId="5C1112E1">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color w:val="0000FF"/>
                <w:kern w:val="2"/>
                <w:sz w:val="22"/>
                <w:szCs w:val="24"/>
                <w:highlight w:val="none"/>
                <w:lang w:bidi="ar-SA"/>
              </w:rPr>
            </w:pPr>
            <w:r>
              <w:rPr>
                <w:rFonts w:hint="eastAsia" w:ascii="仿宋" w:hAnsi="仿宋" w:eastAsia="仿宋" w:cs="仿宋"/>
                <w:color w:val="0000FF"/>
                <w:kern w:val="0"/>
                <w:sz w:val="24"/>
                <w:szCs w:val="24"/>
                <w:highlight w:val="none"/>
                <w:lang w:val="en-US" w:eastAsia="zh-CN" w:bidi="ar-SA"/>
              </w:rPr>
              <w:t>手动</w:t>
            </w:r>
            <w:r>
              <w:rPr>
                <w:rFonts w:hint="eastAsia" w:ascii="仿宋" w:hAnsi="仿宋" w:eastAsia="仿宋" w:cs="仿宋"/>
                <w:color w:val="0000FF"/>
                <w:kern w:val="0"/>
                <w:sz w:val="24"/>
                <w:szCs w:val="24"/>
                <w:highlight w:val="none"/>
                <w:lang w:bidi="ar-SA"/>
              </w:rPr>
              <w:t>布帘2</w:t>
            </w:r>
          </w:p>
        </w:tc>
        <w:tc>
          <w:tcPr>
            <w:tcW w:w="3660" w:type="dxa"/>
            <w:vAlign w:val="center"/>
          </w:tcPr>
          <w:p w14:paraId="13E69A26">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不小于100cm*100cm</w:t>
            </w:r>
          </w:p>
        </w:tc>
        <w:tc>
          <w:tcPr>
            <w:tcW w:w="1825" w:type="dxa"/>
            <w:vAlign w:val="center"/>
          </w:tcPr>
          <w:p w14:paraId="73E373C1">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成品1套</w:t>
            </w:r>
          </w:p>
        </w:tc>
      </w:tr>
      <w:tr w14:paraId="272C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2C856149">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color w:val="auto"/>
                <w:kern w:val="0"/>
                <w:sz w:val="22"/>
                <w:szCs w:val="24"/>
                <w:highlight w:val="none"/>
                <w:lang w:bidi="ar"/>
              </w:rPr>
              <w:t>3</w:t>
            </w:r>
          </w:p>
        </w:tc>
        <w:tc>
          <w:tcPr>
            <w:tcW w:w="2781" w:type="dxa"/>
            <w:vAlign w:val="center"/>
          </w:tcPr>
          <w:p w14:paraId="7321DE22">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color w:val="0000FF"/>
                <w:kern w:val="2"/>
                <w:sz w:val="22"/>
                <w:szCs w:val="24"/>
                <w:highlight w:val="none"/>
                <w:lang w:bidi="ar-SA"/>
              </w:rPr>
            </w:pPr>
            <w:r>
              <w:rPr>
                <w:rFonts w:hint="eastAsia" w:ascii="仿宋" w:hAnsi="仿宋" w:eastAsia="仿宋" w:cs="仿宋"/>
                <w:color w:val="0000FF"/>
                <w:kern w:val="0"/>
                <w:sz w:val="24"/>
                <w:szCs w:val="24"/>
                <w:highlight w:val="none"/>
                <w:lang w:bidi="ar-SA"/>
              </w:rPr>
              <w:t>手动3%透景卷帘</w:t>
            </w:r>
          </w:p>
        </w:tc>
        <w:tc>
          <w:tcPr>
            <w:tcW w:w="3660" w:type="dxa"/>
            <w:vAlign w:val="center"/>
          </w:tcPr>
          <w:p w14:paraId="6A700A05">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不小于100cm*100cm</w:t>
            </w:r>
          </w:p>
        </w:tc>
        <w:tc>
          <w:tcPr>
            <w:tcW w:w="1825" w:type="dxa"/>
            <w:vAlign w:val="center"/>
          </w:tcPr>
          <w:p w14:paraId="0C4EEFBE">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成品1套</w:t>
            </w:r>
          </w:p>
        </w:tc>
      </w:tr>
      <w:tr w14:paraId="4B61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6137B587">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color w:val="auto"/>
                <w:kern w:val="2"/>
                <w:sz w:val="22"/>
                <w:szCs w:val="24"/>
                <w:highlight w:val="none"/>
                <w:lang w:bidi="ar-SA"/>
              </w:rPr>
              <w:t>4</w:t>
            </w:r>
          </w:p>
        </w:tc>
        <w:tc>
          <w:tcPr>
            <w:tcW w:w="2781" w:type="dxa"/>
            <w:vAlign w:val="center"/>
          </w:tcPr>
          <w:p w14:paraId="7CF49C4B">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color w:val="0000FF"/>
                <w:kern w:val="0"/>
                <w:sz w:val="22"/>
                <w:szCs w:val="24"/>
                <w:highlight w:val="none"/>
                <w:lang w:bidi="ar"/>
              </w:rPr>
            </w:pPr>
            <w:r>
              <w:rPr>
                <w:rFonts w:hint="eastAsia" w:ascii="仿宋" w:hAnsi="仿宋" w:eastAsia="仿宋" w:cs="仿宋"/>
                <w:color w:val="0000FF"/>
                <w:kern w:val="0"/>
                <w:sz w:val="24"/>
                <w:szCs w:val="24"/>
                <w:highlight w:val="none"/>
                <w:lang w:val="en-US" w:eastAsia="zh-CN" w:bidi="ar-SA"/>
              </w:rPr>
              <w:t>手动开合帘轨道</w:t>
            </w:r>
          </w:p>
        </w:tc>
        <w:tc>
          <w:tcPr>
            <w:tcW w:w="3660" w:type="dxa"/>
            <w:vAlign w:val="center"/>
          </w:tcPr>
          <w:p w14:paraId="09E5F102">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color w:val="auto"/>
                <w:kern w:val="2"/>
                <w:sz w:val="22"/>
                <w:szCs w:val="24"/>
                <w:highlight w:val="none"/>
                <w:lang w:bidi="ar-SA"/>
              </w:rPr>
              <w:t>不小于</w:t>
            </w:r>
            <w:r>
              <w:rPr>
                <w:rFonts w:hint="eastAsia" w:ascii="仿宋" w:hAnsi="仿宋" w:eastAsia="仿宋" w:cs="仿宋"/>
                <w:color w:val="auto"/>
                <w:kern w:val="2"/>
                <w:sz w:val="22"/>
                <w:szCs w:val="24"/>
                <w:highlight w:val="none"/>
                <w:lang w:val="en-US" w:eastAsia="zh-CN" w:bidi="ar-SA"/>
              </w:rPr>
              <w:t>50cm</w:t>
            </w:r>
          </w:p>
        </w:tc>
        <w:tc>
          <w:tcPr>
            <w:tcW w:w="1825" w:type="dxa"/>
            <w:vAlign w:val="center"/>
          </w:tcPr>
          <w:p w14:paraId="26495DCE">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eastAsia="zh-CN" w:bidi="ar-SA"/>
              </w:rPr>
            </w:pPr>
            <w:r>
              <w:rPr>
                <w:rFonts w:hint="eastAsia" w:ascii="仿宋" w:hAnsi="仿宋" w:eastAsia="仿宋" w:cs="仿宋"/>
                <w:color w:val="auto"/>
                <w:kern w:val="2"/>
                <w:sz w:val="22"/>
                <w:szCs w:val="24"/>
                <w:highlight w:val="none"/>
                <w:lang w:bidi="ar-SA"/>
              </w:rPr>
              <w:t>1</w:t>
            </w:r>
            <w:r>
              <w:rPr>
                <w:rFonts w:hint="eastAsia" w:ascii="仿宋" w:hAnsi="仿宋" w:eastAsia="仿宋" w:cs="仿宋"/>
                <w:color w:val="auto"/>
                <w:kern w:val="2"/>
                <w:sz w:val="22"/>
                <w:szCs w:val="24"/>
                <w:highlight w:val="none"/>
                <w:lang w:val="en-US" w:eastAsia="zh-CN" w:bidi="ar-SA"/>
              </w:rPr>
              <w:t>根</w:t>
            </w:r>
          </w:p>
        </w:tc>
      </w:tr>
      <w:tr w14:paraId="10E5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3C2F7C99">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color w:val="auto"/>
                <w:kern w:val="2"/>
                <w:sz w:val="22"/>
                <w:szCs w:val="24"/>
                <w:highlight w:val="none"/>
                <w:lang w:bidi="ar-SA"/>
              </w:rPr>
              <w:t>5</w:t>
            </w:r>
          </w:p>
        </w:tc>
        <w:tc>
          <w:tcPr>
            <w:tcW w:w="2781" w:type="dxa"/>
            <w:vAlign w:val="center"/>
          </w:tcPr>
          <w:p w14:paraId="78240A18">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color w:val="0000FF"/>
                <w:kern w:val="0"/>
                <w:sz w:val="22"/>
                <w:szCs w:val="24"/>
                <w:highlight w:val="none"/>
                <w:lang w:bidi="ar"/>
              </w:rPr>
            </w:pPr>
            <w:r>
              <w:rPr>
                <w:rFonts w:hint="eastAsia" w:ascii="仿宋" w:hAnsi="仿宋" w:eastAsia="仿宋" w:cs="仿宋"/>
                <w:color w:val="0000FF"/>
                <w:kern w:val="0"/>
                <w:sz w:val="24"/>
                <w:szCs w:val="24"/>
                <w:highlight w:val="none"/>
                <w:lang w:bidi="ar-SA"/>
              </w:rPr>
              <w:t>手动香格里拉帘</w:t>
            </w:r>
          </w:p>
        </w:tc>
        <w:tc>
          <w:tcPr>
            <w:tcW w:w="3660" w:type="dxa"/>
            <w:vAlign w:val="center"/>
          </w:tcPr>
          <w:p w14:paraId="1EEBEFB7">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不小于100cm*100cm</w:t>
            </w:r>
          </w:p>
        </w:tc>
        <w:tc>
          <w:tcPr>
            <w:tcW w:w="1825" w:type="dxa"/>
            <w:vAlign w:val="center"/>
          </w:tcPr>
          <w:p w14:paraId="2B518E5B">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bidi="ar-SA"/>
              </w:rPr>
            </w:pPr>
            <w:r>
              <w:rPr>
                <w:rFonts w:hint="eastAsia" w:ascii="仿宋" w:hAnsi="仿宋" w:eastAsia="仿宋" w:cs="仿宋"/>
                <w:color w:val="auto"/>
                <w:kern w:val="2"/>
                <w:sz w:val="22"/>
                <w:szCs w:val="24"/>
                <w:highlight w:val="none"/>
                <w:lang w:bidi="ar-SA"/>
              </w:rPr>
              <w:t>成品1套</w:t>
            </w:r>
          </w:p>
        </w:tc>
      </w:tr>
      <w:tr w14:paraId="1012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6A255E67">
            <w:pPr>
              <w:keepNext w:val="0"/>
              <w:keepLines w:val="0"/>
              <w:widowControl w:val="0"/>
              <w:suppressLineNumbers w:val="0"/>
              <w:adjustRightInd w:val="0"/>
              <w:spacing w:before="0" w:beforeAutospacing="0" w:after="0" w:afterAutospacing="0" w:line="360" w:lineRule="exact"/>
              <w:ind w:left="0" w:right="0"/>
              <w:jc w:val="center"/>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color w:val="auto"/>
                <w:kern w:val="2"/>
                <w:sz w:val="22"/>
                <w:szCs w:val="24"/>
                <w:highlight w:val="none"/>
                <w:lang w:val="en-US" w:eastAsia="zh-CN" w:bidi="ar-SA"/>
              </w:rPr>
              <w:t>6</w:t>
            </w:r>
          </w:p>
        </w:tc>
        <w:tc>
          <w:tcPr>
            <w:tcW w:w="2781" w:type="dxa"/>
            <w:vAlign w:val="center"/>
          </w:tcPr>
          <w:p w14:paraId="3D3BA42E">
            <w:pPr>
              <w:keepNext w:val="0"/>
              <w:keepLines w:val="0"/>
              <w:widowControl/>
              <w:suppressLineNumbers w:val="0"/>
              <w:adjustRightInd w:val="0"/>
              <w:spacing w:before="0" w:beforeAutospacing="0" w:after="0" w:afterAutospacing="0"/>
              <w:ind w:left="0" w:right="0"/>
              <w:jc w:val="center"/>
              <w:rPr>
                <w:rFonts w:hint="eastAsia" w:ascii="仿宋" w:hAnsi="仿宋" w:eastAsia="仿宋" w:cs="仿宋"/>
                <w:color w:val="0000FF"/>
                <w:kern w:val="0"/>
                <w:sz w:val="24"/>
                <w:szCs w:val="24"/>
                <w:highlight w:val="none"/>
                <w:lang w:eastAsia="zh-CN" w:bidi="ar-SA"/>
              </w:rPr>
            </w:pPr>
            <w:r>
              <w:rPr>
                <w:rFonts w:hint="eastAsia" w:ascii="仿宋" w:hAnsi="仿宋" w:eastAsia="仿宋" w:cs="仿宋"/>
                <w:color w:val="0000FF"/>
                <w:kern w:val="0"/>
                <w:sz w:val="24"/>
                <w:szCs w:val="24"/>
                <w:highlight w:val="none"/>
                <w:lang w:eastAsia="zh-CN" w:bidi="ar-SA"/>
              </w:rPr>
              <w:t>床边隔帘</w:t>
            </w:r>
          </w:p>
        </w:tc>
        <w:tc>
          <w:tcPr>
            <w:tcW w:w="3660" w:type="dxa"/>
            <w:vAlign w:val="center"/>
          </w:tcPr>
          <w:p w14:paraId="3A4DA28C">
            <w:pPr>
              <w:keepNext w:val="0"/>
              <w:keepLines w:val="0"/>
              <w:widowControl w:val="0"/>
              <w:suppressLineNumbers w:val="0"/>
              <w:adjustRightInd w:val="0"/>
              <w:spacing w:before="0" w:beforeAutospacing="0" w:after="0" w:afterAutospacing="0" w:line="360" w:lineRule="exact"/>
              <w:ind w:left="0" w:leftChars="0" w:right="0" w:rightChars="0"/>
              <w:jc w:val="center"/>
              <w:rPr>
                <w:rFonts w:hint="eastAsia" w:ascii="仿宋" w:hAnsi="仿宋" w:eastAsia="仿宋" w:cs="仿宋"/>
                <w:color w:val="auto"/>
                <w:kern w:val="2"/>
                <w:sz w:val="22"/>
                <w:szCs w:val="24"/>
                <w:highlight w:val="none"/>
                <w:lang w:bidi="ar-SA"/>
              </w:rPr>
            </w:pPr>
            <w:r>
              <w:rPr>
                <w:rFonts w:hint="eastAsia" w:ascii="仿宋" w:hAnsi="仿宋" w:eastAsia="仿宋" w:cs="仿宋"/>
                <w:kern w:val="2"/>
                <w:sz w:val="22"/>
                <w:szCs w:val="22"/>
                <w:lang w:val="en-US" w:eastAsia="zh-CN" w:bidi="ar"/>
              </w:rPr>
              <w:t>不小于100cm*100cm</w:t>
            </w:r>
          </w:p>
        </w:tc>
        <w:tc>
          <w:tcPr>
            <w:tcW w:w="1825" w:type="dxa"/>
            <w:vAlign w:val="center"/>
          </w:tcPr>
          <w:p w14:paraId="426149D1">
            <w:pPr>
              <w:keepNext w:val="0"/>
              <w:keepLines w:val="0"/>
              <w:widowControl w:val="0"/>
              <w:suppressLineNumbers w:val="0"/>
              <w:adjustRightInd w:val="0"/>
              <w:spacing w:before="0" w:beforeAutospacing="0" w:after="0" w:afterAutospacing="0" w:line="360" w:lineRule="exact"/>
              <w:ind w:left="0" w:leftChars="0" w:right="0" w:rightChars="0"/>
              <w:jc w:val="center"/>
              <w:rPr>
                <w:rFonts w:hint="eastAsia" w:ascii="仿宋" w:hAnsi="仿宋" w:eastAsia="仿宋" w:cs="仿宋"/>
                <w:color w:val="auto"/>
                <w:kern w:val="2"/>
                <w:sz w:val="22"/>
                <w:szCs w:val="24"/>
                <w:highlight w:val="none"/>
                <w:lang w:bidi="ar-SA"/>
              </w:rPr>
            </w:pPr>
            <w:r>
              <w:rPr>
                <w:rFonts w:hint="eastAsia" w:ascii="仿宋" w:hAnsi="仿宋" w:eastAsia="仿宋" w:cs="仿宋"/>
                <w:kern w:val="2"/>
                <w:sz w:val="22"/>
                <w:szCs w:val="22"/>
                <w:lang w:val="en-US" w:eastAsia="zh-CN" w:bidi="ar"/>
              </w:rPr>
              <w:t>成品1套</w:t>
            </w:r>
          </w:p>
        </w:tc>
      </w:tr>
    </w:tbl>
    <w:p w14:paraId="00C37CEE">
      <w:pPr>
        <w:widowControl w:val="0"/>
        <w:spacing w:line="360" w:lineRule="auto"/>
        <w:ind w:firstLine="480" w:firstLineChars="200"/>
        <w:jc w:val="both"/>
        <w:rPr>
          <w:rFonts w:hint="eastAsia" w:ascii="仿宋" w:hAnsi="仿宋" w:eastAsia="仿宋" w:cs="仿宋"/>
          <w:color w:val="auto"/>
          <w:kern w:val="0"/>
          <w:sz w:val="24"/>
          <w:szCs w:val="22"/>
          <w:highlight w:val="none"/>
          <w:u w:val="none"/>
          <w:lang w:val="en-US" w:eastAsia="zh-CN" w:bidi="ar-SA"/>
        </w:rPr>
      </w:pPr>
    </w:p>
    <w:p w14:paraId="6B9CDED0">
      <w:pPr>
        <w:rPr>
          <w:rFonts w:hint="eastAsia" w:ascii="仿宋" w:hAnsi="仿宋" w:eastAsia="仿宋" w:cs="仿宋"/>
        </w:rPr>
      </w:pPr>
    </w:p>
    <w:p w14:paraId="0E632309">
      <w:pPr>
        <w:rPr>
          <w:rFonts w:hint="eastAsia"/>
        </w:rPr>
      </w:pPr>
    </w:p>
    <w:p w14:paraId="71E2299F">
      <w:pPr>
        <w:spacing w:line="360" w:lineRule="auto"/>
        <w:ind w:firstLine="480" w:firstLineChars="200"/>
        <w:rPr>
          <w:rFonts w:hint="eastAsia" w:ascii="仿宋" w:hAnsi="仿宋" w:eastAsia="仿宋" w:cs="仿宋"/>
          <w:color w:val="auto"/>
          <w:kern w:val="0"/>
          <w:sz w:val="24"/>
          <w:szCs w:val="22"/>
          <w:highlight w:val="none"/>
          <w:u w:val="none"/>
          <w:lang w:val="en-US" w:eastAsia="zh-CN" w:bidi="ar-SA"/>
        </w:rPr>
      </w:pPr>
    </w:p>
    <w:p w14:paraId="5FBE72B7">
      <w:pPr>
        <w:pStyle w:val="56"/>
        <w:keepNext w:val="0"/>
        <w:keepLines w:val="0"/>
        <w:pageBreakBefore w:val="0"/>
        <w:kinsoku/>
        <w:wordWrap/>
        <w:overflowPunct/>
        <w:topLinePunct w:val="0"/>
        <w:bidi w:val="0"/>
        <w:adjustRightInd w:val="0"/>
        <w:spacing w:line="360" w:lineRule="auto"/>
        <w:jc w:val="both"/>
        <w:textAlignment w:val="auto"/>
        <w:rPr>
          <w:rFonts w:hint="eastAsia" w:ascii="仿宋" w:hAnsi="仿宋" w:eastAsia="仿宋" w:cs="仿宋"/>
          <w:color w:val="auto"/>
          <w:kern w:val="0"/>
          <w:sz w:val="24"/>
          <w:szCs w:val="22"/>
          <w:highlight w:val="none"/>
          <w:u w:val="none"/>
          <w:lang w:val="en-US" w:eastAsia="zh-CN" w:bidi="ar-SA"/>
        </w:rPr>
        <w:sectPr>
          <w:footerReference r:id="rId7" w:type="default"/>
          <w:pgSz w:w="11905" w:h="16838"/>
          <w:pgMar w:top="652" w:right="1417" w:bottom="680" w:left="1417" w:header="539" w:footer="482" w:gutter="0"/>
          <w:pgNumType w:fmt="decimal" w:start="22"/>
          <w:cols w:space="0" w:num="1"/>
          <w:rtlGutter w:val="0"/>
          <w:docGrid w:linePitch="0" w:charSpace="0"/>
        </w:sectPr>
      </w:pPr>
    </w:p>
    <w:bookmarkEnd w:id="48"/>
    <w:bookmarkEnd w:id="49"/>
    <w:bookmarkEnd w:id="50"/>
    <w:bookmarkEnd w:id="51"/>
    <w:bookmarkEnd w:id="52"/>
    <w:bookmarkEnd w:id="53"/>
    <w:p w14:paraId="33778C59">
      <w:pPr>
        <w:pStyle w:val="181"/>
        <w:keepNext w:val="0"/>
        <w:keepLines w:val="0"/>
        <w:wordWrap w:val="0"/>
        <w:topLinePunct/>
        <w:rPr>
          <w:rFonts w:hint="eastAsia" w:ascii="仿宋" w:hAnsi="仿宋" w:eastAsia="仿宋" w:cs="仿宋"/>
          <w:color w:val="auto"/>
          <w:highlight w:val="none"/>
        </w:rPr>
      </w:pPr>
      <w:bookmarkStart w:id="57" w:name="_Toc19529"/>
      <w:bookmarkStart w:id="58" w:name="_Toc23152"/>
      <w:bookmarkStart w:id="59" w:name="_Toc20465"/>
      <w:bookmarkStart w:id="60" w:name="_Toc27653"/>
      <w:bookmarkStart w:id="61" w:name="_Toc16833"/>
      <w:bookmarkStart w:id="62" w:name="_Toc15462"/>
      <w:bookmarkStart w:id="63" w:name="_Toc22380"/>
      <w:bookmarkStart w:id="64" w:name="_Toc30859"/>
      <w:bookmarkStart w:id="65" w:name="_Toc3529"/>
      <w:bookmarkStart w:id="66" w:name="_Toc14083"/>
      <w:bookmarkStart w:id="67" w:name="_Toc79135039"/>
      <w:bookmarkStart w:id="68" w:name="_Toc32345"/>
      <w:bookmarkStart w:id="69" w:name="_Toc20448"/>
      <w:bookmarkStart w:id="70" w:name="_Toc4429"/>
      <w:bookmarkStart w:id="71" w:name="_Toc3334"/>
      <w:r>
        <w:rPr>
          <w:rFonts w:hint="eastAsia" w:ascii="仿宋" w:hAnsi="仿宋" w:eastAsia="仿宋" w:cs="仿宋"/>
          <w:color w:val="auto"/>
          <w:highlight w:val="none"/>
        </w:rPr>
        <w:t>第四部分</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合同条款</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55A0201">
      <w:pPr>
        <w:pStyle w:val="187"/>
        <w:ind w:firstLine="0" w:firstLineChars="0"/>
        <w:jc w:val="center"/>
        <w:rPr>
          <w:rFonts w:hint="eastAsia" w:ascii="仿宋" w:hAnsi="仿宋" w:eastAsia="仿宋" w:cs="仿宋"/>
          <w:sz w:val="21"/>
          <w:szCs w:val="21"/>
          <w:highlight w:val="none"/>
        </w:rPr>
      </w:pPr>
      <w:bookmarkStart w:id="72" w:name="_Toc20297"/>
      <w:bookmarkStart w:id="73" w:name="_Toc22968"/>
      <w:bookmarkStart w:id="74" w:name="_Toc24789"/>
      <w:bookmarkStart w:id="75" w:name="_Toc1326"/>
      <w:bookmarkStart w:id="76" w:name="_Toc8585"/>
      <w:bookmarkStart w:id="77" w:name="_Toc14803"/>
      <w:bookmarkStart w:id="78" w:name="_Toc79135040"/>
      <w:bookmarkStart w:id="79" w:name="_Toc8636"/>
      <w:bookmarkStart w:id="80" w:name="_Toc18658"/>
      <w:bookmarkStart w:id="81" w:name="_Toc8519"/>
      <w:r>
        <w:rPr>
          <w:rFonts w:hint="eastAsia" w:ascii="仿宋" w:hAnsi="仿宋" w:eastAsia="仿宋" w:cs="仿宋"/>
          <w:sz w:val="21"/>
          <w:szCs w:val="21"/>
          <w:highlight w:val="none"/>
        </w:rPr>
        <w:t>（最终合同以双方签订为准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实质性条款不得变更</w:t>
      </w:r>
      <w:r>
        <w:rPr>
          <w:rFonts w:hint="eastAsia" w:ascii="仿宋" w:hAnsi="仿宋" w:eastAsia="仿宋" w:cs="仿宋"/>
          <w:sz w:val="21"/>
          <w:szCs w:val="21"/>
          <w:highlight w:val="none"/>
        </w:rPr>
        <w:t>）</w:t>
      </w:r>
    </w:p>
    <w:p w14:paraId="663CB56C">
      <w:pPr>
        <w:pStyle w:val="20"/>
        <w:rPr>
          <w:rFonts w:hint="eastAsia"/>
        </w:rPr>
      </w:pPr>
    </w:p>
    <w:p w14:paraId="7EBD944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i w:val="0"/>
          <w:iCs w:val="0"/>
          <w:color w:val="auto"/>
          <w:sz w:val="24"/>
          <w:szCs w:val="24"/>
          <w:highlight w:val="none"/>
          <w:u w:val="single"/>
          <w:lang w:val="en-US" w:eastAsia="zh-CN"/>
        </w:rPr>
        <w:t>新昌县城市建设投资集团有限公司</w:t>
      </w:r>
      <w:r>
        <w:rPr>
          <w:rFonts w:hint="eastAsia" w:ascii="仿宋" w:hAnsi="仿宋" w:eastAsia="仿宋" w:cs="仿宋"/>
          <w:color w:val="auto"/>
          <w:sz w:val="24"/>
          <w:highlight w:val="none"/>
          <w:lang w:val="en-US" w:eastAsia="zh-CN"/>
        </w:rPr>
        <w:t>按照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方式对</w:t>
      </w:r>
      <w:r>
        <w:rPr>
          <w:rFonts w:hint="eastAsia" w:ascii="仿宋" w:hAnsi="仿宋" w:eastAsia="仿宋" w:cs="仿宋"/>
          <w:b w:val="0"/>
          <w:bCs w:val="0"/>
          <w:color w:val="auto"/>
          <w:sz w:val="24"/>
          <w:szCs w:val="24"/>
          <w:highlight w:val="none"/>
          <w:u w:val="single"/>
          <w:lang w:val="en-US" w:eastAsia="zh-CN"/>
        </w:rPr>
        <w:t>新昌县人民医院迁建工程-窗帘采购项目</w:t>
      </w:r>
      <w:r>
        <w:rPr>
          <w:rFonts w:hint="eastAsia" w:ascii="仿宋" w:hAnsi="仿宋" w:eastAsia="仿宋" w:cs="仿宋"/>
          <w:color w:val="auto"/>
          <w:sz w:val="24"/>
          <w:highlight w:val="none"/>
        </w:rPr>
        <w:t>进行了采购。</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lang w:val="en-US" w:eastAsia="zh-CN"/>
        </w:rPr>
        <w:t xml:space="preserve"> 新昌县城市建设投资集团有限公司</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为本项目的中标供应商。</w:t>
      </w:r>
    </w:p>
    <w:p w14:paraId="799E16B5">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根据《中华人民共和国民法典》等相关法律法规之规定，按照平等、自愿、公平、诚实信用和绿色的原则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lang w:eastAsia="zh-CN"/>
        </w:rPr>
        <w:t>新昌县城市建设投资集团有限公司</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14:paraId="23DC4EC3">
      <w:pPr>
        <w:spacing w:line="360"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7BB982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00244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65888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386C93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32CD35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4C6E33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37A97CBE">
      <w:pPr>
        <w:spacing w:line="360" w:lineRule="auto"/>
        <w:ind w:firstLine="482" w:firstLineChars="200"/>
        <w:outlineLvl w:val="2"/>
        <w:rPr>
          <w:rFonts w:hint="eastAsia" w:ascii="仿宋" w:hAnsi="仿宋" w:eastAsia="仿宋" w:cs="仿宋"/>
          <w:b/>
          <w:color w:val="auto"/>
          <w:sz w:val="24"/>
          <w:highlight w:val="none"/>
          <w:lang w:eastAsia="zh-CN"/>
        </w:rPr>
      </w:pPr>
      <w:bookmarkStart w:id="82" w:name="_Toc27126"/>
      <w:bookmarkStart w:id="83" w:name="_Toc21295"/>
      <w:bookmarkStart w:id="84" w:name="_Toc24300"/>
      <w:r>
        <w:rPr>
          <w:rFonts w:hint="eastAsia" w:ascii="仿宋" w:hAnsi="仿宋" w:eastAsia="仿宋" w:cs="仿宋"/>
          <w:b/>
          <w:color w:val="auto"/>
          <w:sz w:val="24"/>
          <w:highlight w:val="none"/>
        </w:rPr>
        <w:t xml:space="preserve">1.2 </w:t>
      </w:r>
      <w:bookmarkEnd w:id="82"/>
      <w:bookmarkEnd w:id="83"/>
      <w:bookmarkEnd w:id="84"/>
      <w:r>
        <w:rPr>
          <w:rFonts w:hint="eastAsia" w:ascii="仿宋" w:hAnsi="仿宋" w:eastAsia="仿宋" w:cs="仿宋"/>
          <w:b/>
          <w:color w:val="auto"/>
          <w:sz w:val="24"/>
          <w:highlight w:val="none"/>
          <w:lang w:eastAsia="zh-CN"/>
        </w:rPr>
        <w:t>货物</w:t>
      </w:r>
    </w:p>
    <w:p w14:paraId="6CF1F810">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货物清单一栏表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详见附件投标报价明细表）</w:t>
      </w:r>
    </w:p>
    <w:p w14:paraId="78DB84BB">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556011D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元人民币）。分项价格表详见附件。</w:t>
      </w:r>
    </w:p>
    <w:p w14:paraId="72978419">
      <w:pPr>
        <w:spacing w:before="0" w:beforeAutospacing="0" w:after="0" w:afterAutospacing="0" w:line="440" w:lineRule="exact"/>
        <w:ind w:firstLine="482" w:firstLineChars="200"/>
        <w:rPr>
          <w:rFonts w:hint="eastAsia" w:ascii="仿宋" w:hAnsi="仿宋" w:eastAsia="仿宋" w:cs="仿宋"/>
          <w:b/>
          <w:color w:val="auto"/>
          <w:sz w:val="24"/>
          <w:highlight w:val="none"/>
        </w:rPr>
      </w:pPr>
      <w:bookmarkStart w:id="85" w:name="_Toc1814"/>
      <w:bookmarkStart w:id="86" w:name="_Toc10340"/>
      <w:bookmarkStart w:id="87" w:name="_Toc22618"/>
      <w:bookmarkStart w:id="88" w:name="_Toc30158"/>
      <w:bookmarkStart w:id="89" w:name="_Toc14993"/>
      <w:bookmarkStart w:id="90" w:name="_Toc30506"/>
      <w:bookmarkStart w:id="91" w:name="_Toc3654"/>
      <w:bookmarkStart w:id="92" w:name="_Toc26916"/>
      <w:r>
        <w:rPr>
          <w:rFonts w:hint="eastAsia" w:ascii="仿宋" w:hAnsi="仿宋" w:eastAsia="仿宋" w:cs="仿宋"/>
          <w:b/>
          <w:color w:val="auto"/>
          <w:sz w:val="24"/>
          <w:highlight w:val="none"/>
        </w:rPr>
        <w:t>1.4履约保证金</w:t>
      </w:r>
    </w:p>
    <w:p w14:paraId="13379004">
      <w:pPr>
        <w:widowControl/>
        <w:adjustRightInd/>
        <w:spacing w:before="0" w:beforeAutospacing="0" w:after="0" w:afterAutospacing="0" w:line="440" w:lineRule="exact"/>
        <w:ind w:firstLine="480" w:firstLineChars="200"/>
        <w:jc w:val="left"/>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乙方</w:t>
      </w:r>
      <w:r>
        <w:rPr>
          <w:rFonts w:hint="eastAsia" w:ascii="仿宋" w:hAnsi="仿宋" w:eastAsia="仿宋" w:cs="仿宋"/>
          <w:color w:val="auto"/>
          <w:kern w:val="0"/>
          <w:sz w:val="24"/>
          <w:szCs w:val="22"/>
          <w:highlight w:val="none"/>
          <w:u w:val="single"/>
          <w:lang w:val="en-US" w:eastAsia="zh-CN" w:bidi="ar-SA"/>
        </w:rPr>
        <w:t xml:space="preserve">   是  </w:t>
      </w:r>
      <w:r>
        <w:rPr>
          <w:rFonts w:hint="eastAsia" w:ascii="仿宋" w:hAnsi="仿宋" w:eastAsia="仿宋" w:cs="仿宋"/>
          <w:color w:val="auto"/>
          <w:kern w:val="0"/>
          <w:sz w:val="24"/>
          <w:szCs w:val="22"/>
          <w:highlight w:val="none"/>
          <w:lang w:val="en-US" w:eastAsia="zh-CN" w:bidi="ar-SA"/>
        </w:rPr>
        <w:t>（是/否）需要支付履约保证金。若需要支付履约保证金的，则：</w:t>
      </w:r>
    </w:p>
    <w:p w14:paraId="24C4EDF3">
      <w:pPr>
        <w:spacing w:line="440" w:lineRule="exact"/>
        <w:ind w:firstLine="480" w:firstLineChars="200"/>
        <w:outlineLvl w:val="1"/>
        <w:rPr>
          <w:rFonts w:hint="eastAsia" w:ascii="仿宋" w:hAnsi="仿宋" w:eastAsia="仿宋" w:cs="仿宋"/>
          <w:color w:val="auto"/>
          <w:kern w:val="0"/>
          <w:sz w:val="24"/>
          <w:highlight w:val="none"/>
        </w:rPr>
      </w:pPr>
      <w:bookmarkStart w:id="93" w:name="_Toc10150"/>
      <w:bookmarkStart w:id="94" w:name="_Toc23432"/>
      <w:bookmarkStart w:id="95" w:name="_Toc10654"/>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1 </w:t>
      </w:r>
      <w:r>
        <w:rPr>
          <w:rFonts w:hint="eastAsia" w:ascii="仿宋" w:hAnsi="仿宋" w:eastAsia="仿宋" w:cs="仿宋"/>
          <w:color w:val="auto"/>
          <w:kern w:val="0"/>
          <w:sz w:val="24"/>
          <w:highlight w:val="none"/>
        </w:rPr>
        <w:t>%；</w:t>
      </w:r>
      <w:bookmarkEnd w:id="93"/>
      <w:bookmarkEnd w:id="94"/>
      <w:bookmarkEnd w:id="95"/>
    </w:p>
    <w:p w14:paraId="7B548BEF">
      <w:pPr>
        <w:spacing w:line="440" w:lineRule="exact"/>
        <w:ind w:firstLine="480" w:firstLineChars="200"/>
        <w:outlineLvl w:val="1"/>
        <w:rPr>
          <w:rFonts w:hint="eastAsia" w:ascii="仿宋" w:hAnsi="仿宋" w:eastAsia="仿宋" w:cs="仿宋"/>
          <w:color w:val="auto"/>
          <w:kern w:val="0"/>
          <w:sz w:val="24"/>
          <w:highlight w:val="none"/>
        </w:rPr>
      </w:pPr>
      <w:bookmarkStart w:id="96" w:name="_Toc29534"/>
      <w:bookmarkStart w:id="97" w:name="_Toc8714"/>
      <w:bookmarkStart w:id="98" w:name="_Toc6717"/>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96"/>
      <w:bookmarkEnd w:id="97"/>
      <w:bookmarkEnd w:id="98"/>
    </w:p>
    <w:p w14:paraId="1C986D56">
      <w:pPr>
        <w:keepNext/>
        <w:keepLines/>
        <w:widowControl w:val="0"/>
        <w:numPr>
          <w:ilvl w:val="-1"/>
          <w:numId w:val="0"/>
        </w:numPr>
        <w:tabs>
          <w:tab w:val="left" w:pos="900"/>
        </w:tabs>
        <w:spacing w:before="0" w:after="0" w:line="440" w:lineRule="exact"/>
        <w:ind w:left="0" w:leftChars="0" w:firstLine="480" w:firstLineChars="200"/>
        <w:jc w:val="both"/>
        <w:outlineLvl w:val="2"/>
        <w:rPr>
          <w:rFonts w:hint="eastAsia" w:ascii="仿宋" w:hAnsi="仿宋" w:eastAsia="仿宋" w:cs="仿宋"/>
          <w:b/>
          <w:bCs/>
          <w:color w:val="auto"/>
          <w:kern w:val="0"/>
          <w:sz w:val="28"/>
          <w:szCs w:val="32"/>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1.4.3 如果乙方不履行合同，履约保证金不予退还；如乙方违约造成甲方损失的，甲方有权在保证金中将相关金额扣除。甲方扣除保证金后，应通知乙方补足保证金，乙方应在收到通知后的7日内补足。保证金不足以弥补甲方损失的，甲方可以继续要求乙方承担赔偿损失的责任。履约保证金被扣除后未及时补齐的，甲方有权提前解除本合同。</w:t>
      </w:r>
    </w:p>
    <w:p w14:paraId="6B03AA43">
      <w:pPr>
        <w:spacing w:line="440" w:lineRule="exact"/>
        <w:ind w:left="0" w:leftChars="0" w:firstLine="480" w:firstLineChars="200"/>
        <w:outlineLvl w:val="1"/>
        <w:rPr>
          <w:rFonts w:hint="eastAsia" w:ascii="仿宋" w:hAnsi="仿宋" w:eastAsia="仿宋" w:cs="仿宋"/>
          <w:color w:val="auto"/>
          <w:kern w:val="0"/>
          <w:sz w:val="24"/>
          <w:highlight w:val="none"/>
        </w:rPr>
      </w:pPr>
      <w:bookmarkStart w:id="99" w:name="_Toc22822"/>
      <w:bookmarkStart w:id="100" w:name="_Toc9602"/>
      <w:bookmarkStart w:id="101" w:name="_Toc6865"/>
      <w:r>
        <w:rPr>
          <w:rFonts w:hint="eastAsia" w:ascii="仿宋" w:hAnsi="仿宋" w:eastAsia="仿宋" w:cs="仿宋"/>
          <w:color w:val="auto"/>
          <w:kern w:val="0"/>
          <w:sz w:val="24"/>
          <w:highlight w:val="none"/>
        </w:rPr>
        <w:t>1.4.4</w:t>
      </w:r>
      <w:r>
        <w:rPr>
          <w:rFonts w:hint="eastAsia" w:ascii="仿宋" w:hAnsi="仿宋" w:eastAsia="仿宋" w:cs="仿宋"/>
          <w:sz w:val="24"/>
          <w:szCs w:val="21"/>
          <w:highlight w:val="none"/>
        </w:rPr>
        <w:t>履约保证金在项目履约验收合格后无息退还。逾期退还的，乙方可要求甲方支付违约金，违约金按每迟延退还一日的应退还而未退还金额的  0.05  %计算，最高限额为本合同履约保证金的  20   %。</w:t>
      </w:r>
      <w:bookmarkEnd w:id="99"/>
      <w:bookmarkEnd w:id="100"/>
      <w:bookmarkEnd w:id="101"/>
    </w:p>
    <w:p w14:paraId="381005F5">
      <w:pPr>
        <w:spacing w:line="440" w:lineRule="exact"/>
        <w:ind w:firstLine="482" w:firstLineChars="200"/>
        <w:outlineLvl w:val="1"/>
        <w:rPr>
          <w:rFonts w:hint="eastAsia" w:ascii="仿宋" w:hAnsi="仿宋" w:eastAsia="仿宋" w:cs="仿宋"/>
          <w:b/>
          <w:color w:val="auto"/>
          <w:sz w:val="24"/>
          <w:highlight w:val="none"/>
        </w:rPr>
      </w:pPr>
      <w:bookmarkStart w:id="102" w:name="_Toc8649"/>
      <w:bookmarkStart w:id="103" w:name="_Toc30339"/>
      <w:bookmarkStart w:id="104" w:name="_Toc13676"/>
      <w:r>
        <w:rPr>
          <w:rFonts w:hint="eastAsia" w:ascii="仿宋" w:hAnsi="仿宋" w:eastAsia="仿宋" w:cs="仿宋"/>
          <w:b/>
          <w:color w:val="auto"/>
          <w:sz w:val="24"/>
          <w:highlight w:val="none"/>
        </w:rPr>
        <w:t>1.5</w:t>
      </w:r>
      <w:bookmarkEnd w:id="85"/>
      <w:bookmarkEnd w:id="86"/>
      <w:bookmarkEnd w:id="87"/>
      <w:r>
        <w:rPr>
          <w:rFonts w:hint="eastAsia" w:ascii="仿宋" w:hAnsi="仿宋" w:eastAsia="仿宋" w:cs="仿宋"/>
          <w:b/>
          <w:color w:val="auto"/>
          <w:sz w:val="24"/>
          <w:highlight w:val="none"/>
        </w:rPr>
        <w:t>预付款</w:t>
      </w:r>
      <w:bookmarkEnd w:id="102"/>
      <w:bookmarkEnd w:id="103"/>
      <w:bookmarkEnd w:id="104"/>
    </w:p>
    <w:p w14:paraId="0A318925">
      <w:pPr>
        <w:widowControl/>
        <w:adjustRightInd/>
        <w:spacing w:before="0" w:beforeAutospacing="0" w:after="0" w:afterAutospacing="0" w:line="440" w:lineRule="exact"/>
        <w:ind w:firstLine="480" w:firstLineChars="200"/>
        <w:jc w:val="left"/>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甲方</w:t>
      </w:r>
      <w:r>
        <w:rPr>
          <w:rFonts w:hint="eastAsia" w:ascii="仿宋" w:hAnsi="仿宋" w:eastAsia="仿宋" w:cs="仿宋"/>
          <w:color w:val="auto"/>
          <w:kern w:val="0"/>
          <w:sz w:val="24"/>
          <w:szCs w:val="22"/>
          <w:highlight w:val="none"/>
          <w:u w:val="single"/>
          <w:lang w:val="en-US" w:eastAsia="zh-CN" w:bidi="ar-SA"/>
        </w:rPr>
        <w:t xml:space="preserve">  是   </w:t>
      </w:r>
      <w:r>
        <w:rPr>
          <w:rFonts w:hint="eastAsia" w:ascii="仿宋" w:hAnsi="仿宋" w:eastAsia="仿宋" w:cs="仿宋"/>
          <w:color w:val="auto"/>
          <w:kern w:val="0"/>
          <w:sz w:val="24"/>
          <w:szCs w:val="22"/>
          <w:highlight w:val="none"/>
          <w:lang w:val="en-US" w:eastAsia="zh-CN" w:bidi="ar-SA"/>
        </w:rPr>
        <w:t>（是/否）需要支付预付款。若需要支付预付款的，则：</w:t>
      </w:r>
    </w:p>
    <w:p w14:paraId="7B78656D">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33FFA48">
      <w:pPr>
        <w:widowControl/>
        <w:adjustRightInd/>
        <w:spacing w:before="0" w:beforeAutospacing="0" w:after="0" w:afterAutospacing="0" w:line="440" w:lineRule="exact"/>
        <w:ind w:firstLine="480" w:firstLineChars="200"/>
        <w:jc w:val="left"/>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1.5.2预付款的扣回方式详见</w:t>
      </w:r>
      <w:r>
        <w:rPr>
          <w:rFonts w:hint="eastAsia" w:ascii="仿宋" w:hAnsi="仿宋" w:eastAsia="仿宋" w:cs="仿宋"/>
          <w:color w:val="auto"/>
          <w:kern w:val="0"/>
          <w:sz w:val="24"/>
          <w:szCs w:val="22"/>
          <w:highlight w:val="none"/>
          <w:u w:val="single"/>
          <w:lang w:val="en-US" w:eastAsia="zh-CN" w:bidi="ar-SA"/>
        </w:rPr>
        <w:t xml:space="preserve">    </w:t>
      </w:r>
      <w:r>
        <w:rPr>
          <w:rFonts w:hint="eastAsia" w:ascii="仿宋" w:hAnsi="仿宋" w:eastAsia="仿宋" w:cs="仿宋"/>
          <w:b/>
          <w:i/>
          <w:color w:val="auto"/>
          <w:kern w:val="0"/>
          <w:sz w:val="24"/>
          <w:szCs w:val="22"/>
          <w:highlight w:val="none"/>
          <w:u w:val="single"/>
          <w:lang w:val="en-US" w:eastAsia="zh-CN" w:bidi="ar-SA"/>
        </w:rPr>
        <w:t>合同专用条款</w:t>
      </w:r>
      <w:r>
        <w:rPr>
          <w:rFonts w:hint="eastAsia" w:ascii="仿宋" w:hAnsi="仿宋" w:eastAsia="仿宋" w:cs="仿宋"/>
          <w:color w:val="auto"/>
          <w:kern w:val="0"/>
          <w:sz w:val="24"/>
          <w:szCs w:val="22"/>
          <w:highlight w:val="none"/>
          <w:u w:val="single"/>
          <w:lang w:val="en-US" w:eastAsia="zh-CN" w:bidi="ar-SA"/>
        </w:rPr>
        <w:t xml:space="preserve">           </w:t>
      </w:r>
      <w:r>
        <w:rPr>
          <w:rFonts w:hint="eastAsia" w:ascii="仿宋" w:hAnsi="仿宋" w:eastAsia="仿宋" w:cs="仿宋"/>
          <w:color w:val="auto"/>
          <w:kern w:val="0"/>
          <w:sz w:val="24"/>
          <w:szCs w:val="22"/>
          <w:highlight w:val="none"/>
          <w:lang w:val="en-US" w:eastAsia="zh-CN" w:bidi="ar-SA"/>
        </w:rPr>
        <w:t>；</w:t>
      </w:r>
    </w:p>
    <w:p w14:paraId="3FBD9007">
      <w:pPr>
        <w:widowControl/>
        <w:adjustRightInd/>
        <w:spacing w:before="0" w:beforeAutospacing="0" w:after="0" w:afterAutospacing="0" w:line="440" w:lineRule="exact"/>
        <w:ind w:firstLine="480" w:firstLineChars="200"/>
        <w:jc w:val="left"/>
        <w:rPr>
          <w:rFonts w:hint="eastAsia" w:ascii="仿宋" w:hAnsi="仿宋" w:eastAsia="仿宋" w:cs="仿宋"/>
          <w:color w:val="auto"/>
          <w:kern w:val="0"/>
          <w:sz w:val="24"/>
          <w:szCs w:val="22"/>
          <w:highlight w:val="none"/>
          <w:u w:val="single"/>
          <w:lang w:val="en-US" w:eastAsia="zh-CN" w:bidi="ar-SA"/>
        </w:rPr>
      </w:pPr>
      <w:r>
        <w:rPr>
          <w:rFonts w:hint="eastAsia" w:ascii="仿宋" w:hAnsi="仿宋" w:eastAsia="仿宋" w:cs="仿宋"/>
          <w:color w:val="auto"/>
          <w:kern w:val="0"/>
          <w:sz w:val="24"/>
          <w:szCs w:val="22"/>
          <w:highlight w:val="none"/>
          <w:lang w:val="en-US" w:eastAsia="zh-CN" w:bidi="ar-SA"/>
        </w:rPr>
        <w:t>1.5.3预付款的担保措施详见</w:t>
      </w:r>
      <w:r>
        <w:rPr>
          <w:rFonts w:hint="eastAsia" w:ascii="仿宋" w:hAnsi="仿宋" w:eastAsia="仿宋" w:cs="仿宋"/>
          <w:color w:val="auto"/>
          <w:kern w:val="0"/>
          <w:sz w:val="24"/>
          <w:szCs w:val="22"/>
          <w:highlight w:val="none"/>
          <w:u w:val="single"/>
          <w:lang w:val="en-US" w:eastAsia="zh-CN" w:bidi="ar-SA"/>
        </w:rPr>
        <w:t xml:space="preserve">    </w:t>
      </w:r>
      <w:r>
        <w:rPr>
          <w:rFonts w:hint="eastAsia" w:ascii="仿宋" w:hAnsi="仿宋" w:eastAsia="仿宋" w:cs="仿宋"/>
          <w:b/>
          <w:i/>
          <w:color w:val="auto"/>
          <w:kern w:val="0"/>
          <w:sz w:val="24"/>
          <w:szCs w:val="22"/>
          <w:highlight w:val="none"/>
          <w:u w:val="single"/>
          <w:lang w:val="en-US" w:eastAsia="zh-CN" w:bidi="ar-SA"/>
        </w:rPr>
        <w:t>合同专用条款</w:t>
      </w:r>
      <w:r>
        <w:rPr>
          <w:rFonts w:hint="eastAsia" w:ascii="仿宋" w:hAnsi="仿宋" w:eastAsia="仿宋" w:cs="仿宋"/>
          <w:color w:val="auto"/>
          <w:kern w:val="0"/>
          <w:sz w:val="24"/>
          <w:szCs w:val="22"/>
          <w:highlight w:val="none"/>
          <w:u w:val="single"/>
          <w:lang w:val="en-US" w:eastAsia="zh-CN" w:bidi="ar-SA"/>
        </w:rPr>
        <w:t xml:space="preserve">          </w:t>
      </w:r>
      <w:r>
        <w:rPr>
          <w:rFonts w:hint="eastAsia" w:ascii="仿宋" w:hAnsi="仿宋" w:eastAsia="仿宋" w:cs="仿宋"/>
          <w:color w:val="auto"/>
          <w:kern w:val="0"/>
          <w:sz w:val="24"/>
          <w:szCs w:val="22"/>
          <w:highlight w:val="none"/>
          <w:lang w:val="en-US" w:eastAsia="zh-CN" w:bidi="ar-SA"/>
        </w:rPr>
        <w:t>。</w:t>
      </w:r>
    </w:p>
    <w:p w14:paraId="71EE145C">
      <w:pPr>
        <w:widowControl/>
        <w:adjustRightInd/>
        <w:spacing w:before="0" w:beforeAutospacing="0" w:after="0" w:afterAutospacing="0" w:line="440" w:lineRule="exact"/>
        <w:ind w:firstLine="482" w:firstLineChars="200"/>
        <w:jc w:val="left"/>
        <w:rPr>
          <w:rFonts w:hint="eastAsia" w:ascii="仿宋" w:hAnsi="仿宋" w:eastAsia="仿宋" w:cs="仿宋"/>
          <w:b/>
          <w:bCs/>
          <w:color w:val="auto"/>
          <w:kern w:val="0"/>
          <w:sz w:val="24"/>
          <w:szCs w:val="22"/>
          <w:highlight w:val="none"/>
          <w:lang w:val="en-US" w:eastAsia="zh-CN" w:bidi="ar-SA"/>
        </w:rPr>
      </w:pPr>
      <w:r>
        <w:rPr>
          <w:rFonts w:hint="eastAsia" w:ascii="仿宋" w:hAnsi="仿宋" w:eastAsia="仿宋" w:cs="仿宋"/>
          <w:b/>
          <w:bCs/>
          <w:color w:val="auto"/>
          <w:kern w:val="0"/>
          <w:sz w:val="24"/>
          <w:szCs w:val="22"/>
          <w:highlight w:val="none"/>
          <w:lang w:val="en-US" w:eastAsia="zh-CN" w:bidi="ar-SA"/>
        </w:rPr>
        <w:t>1.6资金支付</w:t>
      </w:r>
    </w:p>
    <w:p w14:paraId="3F7AC738">
      <w:pPr>
        <w:widowControl/>
        <w:adjustRightInd/>
        <w:spacing w:before="0" w:beforeAutospacing="0" w:after="0" w:afterAutospacing="0" w:line="440" w:lineRule="exact"/>
        <w:ind w:firstLine="480" w:firstLineChars="200"/>
        <w:jc w:val="left"/>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1.6.1甲甲方应严格履行合同，及时组织验收，验收合格后及时将合同款支付完毕。对于满足合同约定支付条件的，甲方自收到发票后30个日历天内将资金支付到合同约定的乙方账户。</w:t>
      </w:r>
    </w:p>
    <w:p w14:paraId="1610EDAE">
      <w:pPr>
        <w:spacing w:line="440" w:lineRule="exact"/>
        <w:ind w:firstLine="480" w:firstLineChars="200"/>
        <w:outlineLvl w:val="1"/>
        <w:rPr>
          <w:rFonts w:hint="eastAsia" w:ascii="仿宋" w:hAnsi="仿宋" w:eastAsia="仿宋" w:cs="仿宋"/>
          <w:color w:val="auto"/>
          <w:sz w:val="24"/>
          <w:highlight w:val="none"/>
        </w:rPr>
      </w:pPr>
      <w:bookmarkStart w:id="105" w:name="_Toc13230"/>
      <w:bookmarkStart w:id="106" w:name="_Toc20620"/>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105"/>
      <w:bookmarkEnd w:id="106"/>
    </w:p>
    <w:p w14:paraId="25FBAE1E">
      <w:pPr>
        <w:spacing w:line="440" w:lineRule="exact"/>
        <w:ind w:firstLine="482" w:firstLineChars="200"/>
        <w:outlineLvl w:val="1"/>
        <w:rPr>
          <w:rFonts w:hint="eastAsia" w:ascii="仿宋" w:hAnsi="仿宋" w:eastAsia="仿宋" w:cs="仿宋"/>
          <w:b/>
          <w:color w:val="auto"/>
          <w:sz w:val="24"/>
          <w:highlight w:val="none"/>
        </w:rPr>
      </w:pPr>
      <w:bookmarkStart w:id="107" w:name="_Toc3031"/>
      <w:bookmarkStart w:id="108" w:name="_Toc15195"/>
      <w:bookmarkStart w:id="109" w:name="_Toc32135"/>
      <w:r>
        <w:rPr>
          <w:rFonts w:hint="eastAsia" w:ascii="仿宋" w:hAnsi="仿宋" w:eastAsia="仿宋" w:cs="仿宋"/>
          <w:b/>
          <w:color w:val="auto"/>
          <w:sz w:val="24"/>
          <w:highlight w:val="none"/>
        </w:rPr>
        <w:t xml:space="preserve">1.7 </w:t>
      </w:r>
      <w:r>
        <w:rPr>
          <w:rFonts w:hint="eastAsia" w:ascii="仿宋" w:hAnsi="仿宋" w:eastAsia="仿宋" w:cs="仿宋"/>
          <w:b/>
          <w:color w:val="auto"/>
          <w:sz w:val="24"/>
          <w:highlight w:val="none"/>
          <w:lang w:eastAsia="zh-CN"/>
        </w:rPr>
        <w:t>货物交付</w:t>
      </w:r>
      <w:r>
        <w:rPr>
          <w:rFonts w:hint="eastAsia" w:ascii="仿宋" w:hAnsi="仿宋" w:eastAsia="仿宋" w:cs="仿宋"/>
          <w:b/>
          <w:color w:val="auto"/>
          <w:sz w:val="24"/>
          <w:highlight w:val="none"/>
        </w:rPr>
        <w:t>期限、地点和方式</w:t>
      </w:r>
      <w:bookmarkEnd w:id="107"/>
      <w:bookmarkEnd w:id="108"/>
      <w:bookmarkEnd w:id="109"/>
    </w:p>
    <w:p w14:paraId="7A1F594D">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304AD0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05AB78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71C3DCA">
      <w:pPr>
        <w:spacing w:line="440" w:lineRule="exact"/>
        <w:ind w:firstLine="482" w:firstLineChars="200"/>
        <w:outlineLvl w:val="1"/>
        <w:rPr>
          <w:rFonts w:hint="eastAsia" w:ascii="仿宋" w:hAnsi="仿宋" w:eastAsia="仿宋" w:cs="仿宋"/>
          <w:color w:val="auto"/>
          <w:sz w:val="24"/>
          <w:highlight w:val="none"/>
          <w:u w:val="single"/>
        </w:rPr>
      </w:pPr>
      <w:bookmarkStart w:id="110" w:name="_Toc13446"/>
      <w:bookmarkStart w:id="111" w:name="_Toc31802"/>
      <w:bookmarkStart w:id="112" w:name="_Toc23902"/>
      <w:r>
        <w:rPr>
          <w:rFonts w:hint="eastAsia" w:ascii="仿宋" w:hAnsi="仿宋" w:eastAsia="仿宋" w:cs="仿宋"/>
          <w:b/>
          <w:color w:val="auto"/>
          <w:sz w:val="24"/>
          <w:highlight w:val="none"/>
        </w:rPr>
        <w:t>1.8违约责任</w:t>
      </w:r>
      <w:bookmarkEnd w:id="110"/>
      <w:bookmarkEnd w:id="111"/>
      <w:bookmarkEnd w:id="112"/>
    </w:p>
    <w:p w14:paraId="64E61DA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000E01F2">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1.8.2 除不可抗力外，如果甲方没有按照本合同约定的付款方式付款，那么乙方可要求甲方支付违约金。以甲方支付当日计，每逾期支付一天，按银行同期活期存款利率（不计复利）支付利息。</w:t>
      </w:r>
    </w:p>
    <w:p w14:paraId="440D4F3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50C42E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BEF845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如果出现采购监督管理部门在处理投诉事项期间，书面通知甲方暂停采购活动的情形，或者询问或质疑事项可能影响中标或者成交结果的，导致甲方中止履行合同的情形，均不视为甲方违约。</w:t>
      </w:r>
    </w:p>
    <w:p w14:paraId="16E2B101">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4DED8E1C">
      <w:pPr>
        <w:spacing w:line="440" w:lineRule="exact"/>
        <w:ind w:firstLine="482" w:firstLineChars="200"/>
        <w:outlineLvl w:val="1"/>
        <w:rPr>
          <w:rFonts w:hint="eastAsia" w:ascii="仿宋" w:hAnsi="仿宋" w:eastAsia="仿宋" w:cs="仿宋"/>
          <w:b/>
          <w:color w:val="auto"/>
          <w:sz w:val="24"/>
          <w:highlight w:val="none"/>
        </w:rPr>
      </w:pPr>
      <w:bookmarkStart w:id="113" w:name="_Toc28375"/>
      <w:bookmarkStart w:id="114" w:name="_Toc7349"/>
      <w:bookmarkStart w:id="115" w:name="_Toc198"/>
      <w:bookmarkStart w:id="116" w:name="_Toc4927"/>
      <w:bookmarkStart w:id="117" w:name="_Toc15583"/>
      <w:bookmarkStart w:id="118" w:name="_Toc16021"/>
      <w:r>
        <w:rPr>
          <w:rFonts w:hint="eastAsia" w:ascii="仿宋" w:hAnsi="仿宋" w:eastAsia="仿宋" w:cs="仿宋"/>
          <w:b/>
          <w:color w:val="auto"/>
          <w:sz w:val="24"/>
          <w:highlight w:val="none"/>
        </w:rPr>
        <w:t>1.9合同争议的解决</w:t>
      </w:r>
      <w:bookmarkEnd w:id="113"/>
      <w:bookmarkEnd w:id="114"/>
      <w:bookmarkEnd w:id="115"/>
      <w:bookmarkEnd w:id="116"/>
      <w:bookmarkEnd w:id="117"/>
      <w:bookmarkEnd w:id="118"/>
    </w:p>
    <w:p w14:paraId="48E71E9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本合同履行过程中发生的任何争议，双方当事人均可通过和解或者调解解决；不愿和解、调解或者和解、调解不成的，任何一方均可向新昌县人民法院起诉。</w:t>
      </w:r>
    </w:p>
    <w:p w14:paraId="25650714">
      <w:pPr>
        <w:spacing w:line="440" w:lineRule="exact"/>
        <w:ind w:firstLine="482" w:firstLineChars="200"/>
        <w:outlineLvl w:val="2"/>
        <w:rPr>
          <w:rFonts w:hint="eastAsia" w:ascii="仿宋" w:hAnsi="仿宋" w:eastAsia="仿宋" w:cs="仿宋"/>
          <w:b/>
          <w:color w:val="auto"/>
          <w:sz w:val="24"/>
          <w:highlight w:val="none"/>
        </w:rPr>
      </w:pPr>
      <w:bookmarkStart w:id="119" w:name="_Toc15322"/>
      <w:bookmarkStart w:id="120" w:name="_Toc7245"/>
      <w:bookmarkStart w:id="121" w:name="_Toc11173"/>
      <w:bookmarkStart w:id="122" w:name="_Toc2411"/>
      <w:bookmarkStart w:id="123" w:name="_Toc14116"/>
      <w:r>
        <w:rPr>
          <w:rFonts w:hint="eastAsia" w:ascii="仿宋" w:hAnsi="仿宋" w:eastAsia="仿宋" w:cs="仿宋"/>
          <w:b/>
          <w:color w:val="auto"/>
          <w:sz w:val="24"/>
          <w:highlight w:val="none"/>
        </w:rPr>
        <w:t>2.0 合同生效</w:t>
      </w:r>
      <w:bookmarkEnd w:id="119"/>
      <w:bookmarkEnd w:id="120"/>
      <w:bookmarkEnd w:id="121"/>
      <w:bookmarkEnd w:id="122"/>
      <w:bookmarkEnd w:id="123"/>
    </w:p>
    <w:p w14:paraId="6C275529">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D846A51">
      <w:pPr>
        <w:autoSpaceDE w:val="0"/>
        <w:autoSpaceDN w:val="0"/>
        <w:spacing w:line="560" w:lineRule="exact"/>
        <w:ind w:firstLine="482" w:firstLineChars="20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2ADD4BA">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829E6B0">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713992A">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法定代表人（负责人）或                             法定代表人（负责人）或</w:t>
      </w:r>
    </w:p>
    <w:p w14:paraId="4BF661B5">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5621D1E">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C29A43F">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C0786A6">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394F521">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67E2057">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9059697">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70DA776">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87FE51E">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117DB7B">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C16E8BA">
      <w:pPr>
        <w:widowControl/>
        <w:adjustRightInd/>
        <w:spacing w:line="560" w:lineRule="exact"/>
        <w:ind w:firstLine="422" w:firstLineChars="200"/>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4AD1EBCE">
      <w:pPr>
        <w:widowControl w:val="0"/>
        <w:autoSpaceDE/>
        <w:autoSpaceDN/>
        <w:snapToGrid w:val="0"/>
        <w:spacing w:after="0" w:line="420" w:lineRule="exact"/>
        <w:ind w:left="0" w:leftChars="0" w:firstLine="482" w:firstLineChars="20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第二部分 合同一般条款</w:t>
      </w:r>
    </w:p>
    <w:p w14:paraId="0161B17A">
      <w:pPr>
        <w:spacing w:line="420" w:lineRule="exact"/>
        <w:ind w:firstLine="482" w:firstLineChars="200"/>
        <w:rPr>
          <w:rFonts w:hint="eastAsia" w:ascii="仿宋" w:hAnsi="仿宋" w:eastAsia="仿宋" w:cs="仿宋"/>
          <w:b/>
          <w:color w:val="auto"/>
          <w:sz w:val="24"/>
          <w:highlight w:val="none"/>
        </w:rPr>
      </w:pPr>
      <w:bookmarkStart w:id="124" w:name="_Toc29070"/>
      <w:bookmarkStart w:id="125" w:name="_Toc9265"/>
      <w:r>
        <w:rPr>
          <w:rFonts w:hint="eastAsia" w:ascii="仿宋" w:hAnsi="仿宋" w:eastAsia="仿宋" w:cs="仿宋"/>
          <w:b/>
          <w:color w:val="auto"/>
          <w:sz w:val="24"/>
          <w:highlight w:val="none"/>
        </w:rPr>
        <w:t>2.1 定义</w:t>
      </w:r>
      <w:bookmarkEnd w:id="124"/>
      <w:bookmarkEnd w:id="125"/>
    </w:p>
    <w:p w14:paraId="4041553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942F24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32C979EE">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2E1F382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9138910">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FC6A01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交付货物的中标或成交供应商；两个以上的自然人、法人或者其他组织组成一个联合体，以一个供应商的身份共同参加采购的，联合体各方均应为乙方或者与乙方相同地位的合同当事人，并就合同约定的事项对甲方承担连带责任。</w:t>
      </w:r>
    </w:p>
    <w:p w14:paraId="424F28A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“现场”系指合同约定货物将要运至或者安装的地点。</w:t>
      </w:r>
    </w:p>
    <w:p w14:paraId="34D20AF7">
      <w:pPr>
        <w:spacing w:line="420" w:lineRule="exact"/>
        <w:ind w:firstLine="482" w:firstLineChars="200"/>
        <w:rPr>
          <w:rFonts w:hint="eastAsia" w:ascii="仿宋" w:hAnsi="仿宋" w:eastAsia="仿宋" w:cs="仿宋"/>
          <w:b/>
          <w:color w:val="auto"/>
          <w:sz w:val="24"/>
          <w:highlight w:val="none"/>
        </w:rPr>
      </w:pPr>
      <w:bookmarkStart w:id="126" w:name="_Toc18441"/>
      <w:bookmarkStart w:id="127" w:name="_Toc25348"/>
      <w:r>
        <w:rPr>
          <w:rFonts w:hint="eastAsia" w:ascii="仿宋" w:hAnsi="仿宋" w:eastAsia="仿宋" w:cs="仿宋"/>
          <w:b/>
          <w:color w:val="auto"/>
          <w:sz w:val="24"/>
          <w:highlight w:val="none"/>
        </w:rPr>
        <w:t>2.2 技术规范</w:t>
      </w:r>
      <w:bookmarkEnd w:id="126"/>
      <w:bookmarkEnd w:id="127"/>
    </w:p>
    <w:p w14:paraId="2C83ABF3">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bookmarkStart w:id="128" w:name="_Toc31737"/>
      <w:bookmarkStart w:id="129" w:name="_Toc13042"/>
    </w:p>
    <w:p w14:paraId="36A274B7">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bookmarkEnd w:id="128"/>
      <w:bookmarkEnd w:id="129"/>
    </w:p>
    <w:p w14:paraId="0F222B62">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F6DB452">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869479">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包装和装运</w:t>
      </w:r>
    </w:p>
    <w:p w14:paraId="3DBC536C">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DEC81A3">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2.4.2乙方提供产品及相关快递服务的具体包装要求应符合</w:t>
      </w:r>
      <w:r>
        <w:rPr>
          <w:rFonts w:hint="eastAsia" w:ascii="仿宋" w:hAnsi="仿宋" w:eastAsia="仿宋" w:cs="仿宋"/>
          <w:b w:val="0"/>
          <w:bCs/>
          <w:color w:val="auto"/>
          <w:sz w:val="24"/>
          <w:highlight w:val="none"/>
          <w:lang w:eastAsia="zh-CN"/>
        </w:rPr>
        <w:t>采购需求要求</w:t>
      </w:r>
      <w:r>
        <w:rPr>
          <w:rFonts w:hint="eastAsia" w:ascii="仿宋" w:hAnsi="仿宋" w:eastAsia="仿宋" w:cs="仿宋"/>
          <w:b w:val="0"/>
          <w:bCs/>
          <w:color w:val="auto"/>
          <w:sz w:val="24"/>
          <w:highlight w:val="none"/>
        </w:rPr>
        <w:t xml:space="preserve">，并作为履约验收的内容，必要时甲方可以要求乙方在履约验收环节出具检测报告。 </w:t>
      </w:r>
    </w:p>
    <w:p w14:paraId="39DA4FE2">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w:t>
      </w:r>
    </w:p>
    <w:p w14:paraId="7B2BE4AA">
      <w:pPr>
        <w:spacing w:line="420" w:lineRule="exact"/>
        <w:ind w:firstLine="482" w:firstLineChars="200"/>
        <w:rPr>
          <w:rFonts w:hint="eastAsia" w:ascii="仿宋" w:hAnsi="仿宋" w:eastAsia="仿宋" w:cs="仿宋"/>
          <w:b/>
          <w:color w:val="auto"/>
          <w:sz w:val="24"/>
          <w:highlight w:val="none"/>
        </w:rPr>
      </w:pPr>
      <w:bookmarkStart w:id="130" w:name="_Toc12391"/>
      <w:bookmarkStart w:id="131" w:name="_Toc8304"/>
      <w:r>
        <w:rPr>
          <w:rFonts w:hint="eastAsia" w:ascii="仿宋" w:hAnsi="仿宋" w:eastAsia="仿宋" w:cs="仿宋"/>
          <w:b/>
          <w:color w:val="auto"/>
          <w:sz w:val="24"/>
          <w:highlight w:val="none"/>
        </w:rPr>
        <w:t>2.5 履约检查和问题反馈</w:t>
      </w:r>
    </w:p>
    <w:p w14:paraId="14C3D3BF">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5F524DC6">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2.5.2 合同履行期间，甲方有权将履行过程中出现的问题反馈给乙方，双方当事人应以书面形式约定需要完善和改进的内容。</w:t>
      </w:r>
      <w:bookmarkEnd w:id="130"/>
      <w:bookmarkEnd w:id="131"/>
      <w:bookmarkStart w:id="132" w:name="_Toc22052"/>
      <w:bookmarkStart w:id="133" w:name="_Toc8639"/>
    </w:p>
    <w:p w14:paraId="1DB1F662">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bookmarkEnd w:id="132"/>
      <w:bookmarkEnd w:id="133"/>
    </w:p>
    <w:p w14:paraId="2CA36D05">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C3E966F">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321CD1B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FD972E7">
      <w:pPr>
        <w:spacing w:line="420" w:lineRule="exact"/>
        <w:ind w:firstLine="482" w:firstLineChars="200"/>
        <w:rPr>
          <w:rFonts w:hint="eastAsia" w:ascii="仿宋" w:hAnsi="仿宋" w:eastAsia="仿宋" w:cs="仿宋"/>
          <w:b/>
          <w:color w:val="auto"/>
          <w:sz w:val="24"/>
          <w:highlight w:val="none"/>
        </w:rPr>
      </w:pPr>
      <w:bookmarkStart w:id="134" w:name="_Toc24562"/>
      <w:bookmarkStart w:id="135" w:name="_Toc15424"/>
      <w:r>
        <w:rPr>
          <w:rFonts w:hint="eastAsia" w:ascii="仿宋" w:hAnsi="仿宋" w:eastAsia="仿宋" w:cs="仿宋"/>
          <w:b/>
          <w:color w:val="auto"/>
          <w:sz w:val="24"/>
          <w:highlight w:val="none"/>
        </w:rPr>
        <w:t>2.7 质量保证</w:t>
      </w:r>
      <w:bookmarkEnd w:id="134"/>
      <w:bookmarkEnd w:id="135"/>
    </w:p>
    <w:p w14:paraId="6B12E70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10A8DA3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5C37ED2">
      <w:pPr>
        <w:spacing w:line="420" w:lineRule="exact"/>
        <w:ind w:firstLine="482" w:firstLineChars="200"/>
        <w:rPr>
          <w:rFonts w:hint="eastAsia" w:ascii="仿宋" w:hAnsi="仿宋" w:eastAsia="仿宋" w:cs="仿宋"/>
          <w:b/>
          <w:color w:val="auto"/>
          <w:sz w:val="24"/>
          <w:highlight w:val="none"/>
        </w:rPr>
      </w:pPr>
      <w:bookmarkStart w:id="136" w:name="_Toc24080"/>
      <w:bookmarkStart w:id="137" w:name="_Toc17722"/>
      <w:r>
        <w:rPr>
          <w:rFonts w:hint="eastAsia" w:ascii="仿宋" w:hAnsi="仿宋" w:eastAsia="仿宋" w:cs="仿宋"/>
          <w:b/>
          <w:color w:val="auto"/>
          <w:sz w:val="24"/>
          <w:highlight w:val="none"/>
        </w:rPr>
        <w:t>2.8 货物的风险负担</w:t>
      </w:r>
      <w:bookmarkEnd w:id="136"/>
      <w:bookmarkEnd w:id="137"/>
    </w:p>
    <w:p w14:paraId="49AC8BA0">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22FA14E">
      <w:pPr>
        <w:spacing w:line="420" w:lineRule="exact"/>
        <w:ind w:firstLine="482" w:firstLineChars="200"/>
        <w:rPr>
          <w:rFonts w:hint="eastAsia" w:ascii="仿宋" w:hAnsi="仿宋" w:eastAsia="仿宋" w:cs="仿宋"/>
          <w:b/>
          <w:color w:val="auto"/>
          <w:sz w:val="24"/>
          <w:highlight w:val="none"/>
        </w:rPr>
      </w:pPr>
      <w:bookmarkStart w:id="138" w:name="_Toc11742"/>
      <w:bookmarkStart w:id="139" w:name="_Toc17148"/>
      <w:r>
        <w:rPr>
          <w:rFonts w:hint="eastAsia" w:ascii="仿宋" w:hAnsi="仿宋" w:eastAsia="仿宋" w:cs="仿宋"/>
          <w:b/>
          <w:color w:val="auto"/>
          <w:sz w:val="24"/>
          <w:highlight w:val="none"/>
        </w:rPr>
        <w:t>2.9 延迟交货</w:t>
      </w:r>
    </w:p>
    <w:p w14:paraId="64EE3F24">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081A2AF">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xml:space="preserve"> 合同变更</w:t>
      </w:r>
      <w:bookmarkEnd w:id="138"/>
      <w:bookmarkEnd w:id="139"/>
    </w:p>
    <w:p w14:paraId="4A88376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597C35A">
      <w:pPr>
        <w:spacing w:line="420" w:lineRule="exact"/>
        <w:ind w:firstLine="482" w:firstLineChars="200"/>
        <w:rPr>
          <w:rFonts w:hint="eastAsia" w:ascii="仿宋" w:hAnsi="仿宋" w:eastAsia="仿宋" w:cs="仿宋"/>
          <w:b/>
          <w:color w:val="auto"/>
          <w:sz w:val="24"/>
          <w:highlight w:val="none"/>
        </w:rPr>
      </w:pPr>
      <w:bookmarkStart w:id="140" w:name="_Toc24533"/>
      <w:bookmarkStart w:id="141" w:name="_Toc171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合同转让和分包</w:t>
      </w:r>
      <w:bookmarkEnd w:id="140"/>
      <w:bookmarkEnd w:id="141"/>
    </w:p>
    <w:p w14:paraId="4F1D7F22">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本项目不允许合同转让和分包。</w:t>
      </w:r>
      <w:bookmarkStart w:id="142" w:name="_Toc18393"/>
      <w:bookmarkStart w:id="143" w:name="_Toc10781"/>
    </w:p>
    <w:p w14:paraId="4E853A0E">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不可抗力</w:t>
      </w:r>
      <w:bookmarkEnd w:id="142"/>
      <w:bookmarkEnd w:id="143"/>
    </w:p>
    <w:p w14:paraId="04366100">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.1如果任何一方遭遇法律规定的不可抗力，致使合同履行受阻时，履行合同的期限应予延长，延长的期限应相当于不可抗力所影响的时间；</w:t>
      </w:r>
    </w:p>
    <w:p w14:paraId="4D30839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 因不可抗力致使不能实现合同目的的，当事人可以解除合同；</w:t>
      </w:r>
    </w:p>
    <w:p w14:paraId="235BAEC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EFFDA80">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2B3E2CD">
      <w:pPr>
        <w:spacing w:line="420" w:lineRule="exact"/>
        <w:ind w:firstLine="482" w:firstLineChars="200"/>
        <w:rPr>
          <w:rFonts w:hint="eastAsia" w:ascii="仿宋" w:hAnsi="仿宋" w:eastAsia="仿宋" w:cs="仿宋"/>
          <w:b/>
          <w:color w:val="auto"/>
          <w:sz w:val="24"/>
          <w:highlight w:val="none"/>
        </w:rPr>
      </w:pPr>
      <w:bookmarkStart w:id="144" w:name="_Toc13317"/>
      <w:bookmarkStart w:id="145" w:name="_Toc3257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xml:space="preserve"> 税费</w:t>
      </w:r>
      <w:bookmarkEnd w:id="144"/>
      <w:bookmarkEnd w:id="145"/>
    </w:p>
    <w:p w14:paraId="233A69A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A6FD517">
      <w:pPr>
        <w:spacing w:line="420" w:lineRule="exact"/>
        <w:ind w:firstLine="482" w:firstLineChars="200"/>
        <w:rPr>
          <w:rFonts w:hint="eastAsia" w:ascii="仿宋" w:hAnsi="仿宋" w:eastAsia="仿宋" w:cs="仿宋"/>
          <w:b/>
          <w:color w:val="auto"/>
          <w:sz w:val="24"/>
          <w:highlight w:val="none"/>
        </w:rPr>
      </w:pPr>
      <w:bookmarkStart w:id="146" w:name="_Toc26875"/>
      <w:bookmarkStart w:id="147" w:name="_Toc2474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 乙方破产</w:t>
      </w:r>
      <w:bookmarkEnd w:id="146"/>
      <w:bookmarkEnd w:id="147"/>
    </w:p>
    <w:p w14:paraId="38685BA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EE2991">
      <w:pPr>
        <w:spacing w:line="420" w:lineRule="exact"/>
        <w:ind w:firstLine="482" w:firstLineChars="200"/>
        <w:rPr>
          <w:rFonts w:hint="eastAsia" w:ascii="仿宋" w:hAnsi="仿宋" w:eastAsia="仿宋" w:cs="仿宋"/>
          <w:b/>
          <w:color w:val="auto"/>
          <w:sz w:val="24"/>
          <w:highlight w:val="none"/>
        </w:rPr>
      </w:pPr>
      <w:bookmarkStart w:id="148" w:name="_Toc25595"/>
      <w:bookmarkStart w:id="149" w:name="_Toc25881"/>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合同中止、终止</w:t>
      </w:r>
      <w:bookmarkEnd w:id="148"/>
      <w:bookmarkEnd w:id="149"/>
    </w:p>
    <w:p w14:paraId="01742D6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双方当事人不得擅自中止或者终止合同；</w:t>
      </w:r>
    </w:p>
    <w:p w14:paraId="3EE5302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0EB1087C">
      <w:pPr>
        <w:spacing w:line="420" w:lineRule="exact"/>
        <w:ind w:firstLine="482" w:firstLineChars="200"/>
        <w:rPr>
          <w:rFonts w:hint="eastAsia" w:ascii="仿宋" w:hAnsi="仿宋" w:eastAsia="仿宋" w:cs="仿宋"/>
          <w:b/>
          <w:color w:val="auto"/>
          <w:sz w:val="24"/>
          <w:highlight w:val="none"/>
        </w:rPr>
      </w:pPr>
      <w:bookmarkStart w:id="150" w:name="_Toc17783"/>
      <w:bookmarkStart w:id="151" w:name="_Toc18802"/>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检验和验收</w:t>
      </w:r>
      <w:bookmarkEnd w:id="150"/>
      <w:bookmarkEnd w:id="151"/>
    </w:p>
    <w:p w14:paraId="0E05A030">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403A3FBD">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49D7BFC">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D45C728">
      <w:pPr>
        <w:spacing w:line="420" w:lineRule="exact"/>
        <w:ind w:firstLine="482" w:firstLineChars="200"/>
        <w:rPr>
          <w:rFonts w:hint="eastAsia" w:ascii="仿宋" w:hAnsi="仿宋" w:eastAsia="仿宋" w:cs="仿宋"/>
          <w:b/>
          <w:color w:val="auto"/>
          <w:sz w:val="24"/>
          <w:highlight w:val="none"/>
        </w:rPr>
      </w:pPr>
      <w:bookmarkStart w:id="152" w:name="_Toc30732"/>
      <w:bookmarkStart w:id="153" w:name="_Toc21819"/>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 xml:space="preserve"> 质保期和质保金</w:t>
      </w:r>
    </w:p>
    <w:p w14:paraId="066956AF">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2.17.1质保期：</w:t>
      </w: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w:t>
      </w:r>
    </w:p>
    <w:p w14:paraId="24D73996">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2.17.2乙方</w:t>
      </w:r>
      <w:r>
        <w:rPr>
          <w:rFonts w:hint="eastAsia" w:ascii="仿宋" w:hAnsi="仿宋" w:eastAsia="仿宋" w:cs="仿宋"/>
          <w:b/>
          <w:bCs w:val="0"/>
          <w:i/>
          <w:color w:val="auto"/>
          <w:sz w:val="24"/>
          <w:highlight w:val="none"/>
          <w:u w:val="single"/>
          <w:lang w:val="en-US" w:eastAsia="zh-CN"/>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（是/否）需要支付质保金。若需要支付质保金的，</w:t>
      </w: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w:t>
      </w:r>
    </w:p>
    <w:p w14:paraId="5D3673E4">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2.18</w:t>
      </w:r>
      <w:r>
        <w:rPr>
          <w:rFonts w:hint="eastAsia" w:ascii="仿宋" w:hAnsi="仿宋" w:eastAsia="仿宋" w:cs="仿宋"/>
          <w:b/>
          <w:color w:val="auto"/>
          <w:sz w:val="24"/>
          <w:highlight w:val="none"/>
        </w:rPr>
        <w:t>通知和送达</w:t>
      </w:r>
      <w:bookmarkEnd w:id="152"/>
      <w:bookmarkEnd w:id="153"/>
    </w:p>
    <w:p w14:paraId="49601F8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8215DD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p>
    <w:p w14:paraId="7B0F31E1">
      <w:pPr>
        <w:spacing w:line="420" w:lineRule="exact"/>
        <w:ind w:firstLine="482" w:firstLineChars="200"/>
        <w:rPr>
          <w:rFonts w:hint="eastAsia" w:ascii="仿宋" w:hAnsi="仿宋" w:eastAsia="仿宋" w:cs="仿宋"/>
          <w:b/>
          <w:color w:val="auto"/>
          <w:sz w:val="24"/>
          <w:highlight w:val="none"/>
        </w:rPr>
      </w:pPr>
      <w:bookmarkStart w:id="154" w:name="_Toc32405"/>
      <w:bookmarkStart w:id="155" w:name="_Toc201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 xml:space="preserve"> 合同使用的文字和适用的法律</w:t>
      </w:r>
      <w:bookmarkEnd w:id="154"/>
      <w:bookmarkEnd w:id="155"/>
    </w:p>
    <w:p w14:paraId="51204745">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 合同使用汉语书就、变更和解释；</w:t>
      </w:r>
    </w:p>
    <w:p w14:paraId="1DAD46B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 合同适用中华人民共和国法律。</w:t>
      </w:r>
    </w:p>
    <w:p w14:paraId="53F3A6E5">
      <w:pPr>
        <w:spacing w:line="420" w:lineRule="exact"/>
        <w:ind w:firstLine="482" w:firstLineChars="200"/>
        <w:rPr>
          <w:rFonts w:hint="eastAsia" w:ascii="仿宋" w:hAnsi="仿宋" w:eastAsia="仿宋" w:cs="仿宋"/>
          <w:b/>
          <w:color w:val="auto"/>
          <w:sz w:val="24"/>
          <w:highlight w:val="none"/>
        </w:rPr>
      </w:pPr>
      <w:bookmarkStart w:id="156" w:name="_Toc25493"/>
      <w:bookmarkStart w:id="157" w:name="_Toc18540"/>
      <w:bookmarkStart w:id="158" w:name="_Toc30426"/>
      <w:bookmarkStart w:id="159" w:name="_Toc30599"/>
      <w:bookmarkStart w:id="160" w:name="_Toc4355"/>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 xml:space="preserve"> 计量单位</w:t>
      </w:r>
      <w:bookmarkEnd w:id="156"/>
      <w:bookmarkEnd w:id="157"/>
      <w:bookmarkEnd w:id="158"/>
      <w:bookmarkEnd w:id="159"/>
      <w:bookmarkEnd w:id="160"/>
    </w:p>
    <w:p w14:paraId="7736F0A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015A73F5">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21</w:t>
      </w:r>
      <w:r>
        <w:rPr>
          <w:rFonts w:hint="eastAsia" w:ascii="仿宋" w:hAnsi="仿宋" w:eastAsia="仿宋" w:cs="仿宋"/>
          <w:b/>
          <w:color w:val="auto"/>
          <w:sz w:val="24"/>
          <w:highlight w:val="none"/>
        </w:rPr>
        <w:t>合同份数</w:t>
      </w:r>
    </w:p>
    <w:p w14:paraId="6B2F044F">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88"/>
    <w:bookmarkEnd w:id="89"/>
    <w:bookmarkEnd w:id="90"/>
    <w:bookmarkEnd w:id="91"/>
    <w:bookmarkEnd w:id="92"/>
    <w:p w14:paraId="6CE75A9E">
      <w:pPr>
        <w:spacing w:line="560" w:lineRule="exact"/>
        <w:ind w:firstLine="480" w:firstLineChars="200"/>
        <w:rPr>
          <w:rFonts w:hint="eastAsia" w:ascii="仿宋" w:hAnsi="仿宋" w:eastAsia="仿宋" w:cs="仿宋"/>
          <w:color w:val="auto"/>
          <w:sz w:val="24"/>
          <w:highlight w:val="none"/>
        </w:rPr>
      </w:pPr>
    </w:p>
    <w:p w14:paraId="14AB91FF">
      <w:pPr>
        <w:widowControl w:val="0"/>
        <w:autoSpaceDE w:val="0"/>
        <w:autoSpaceDN w:val="0"/>
        <w:snapToGrid w:val="0"/>
        <w:spacing w:after="120" w:line="560" w:lineRule="exact"/>
        <w:ind w:left="420" w:leftChars="200" w:firstLine="480" w:firstLineChars="200"/>
        <w:jc w:val="center"/>
        <w:outlineLvl w:val="1"/>
        <w:rPr>
          <w:rFonts w:hint="eastAsia" w:ascii="仿宋" w:hAnsi="仿宋" w:eastAsia="仿宋" w:cs="仿宋"/>
          <w:b/>
          <w:color w:val="auto"/>
          <w:kern w:val="2"/>
          <w:sz w:val="36"/>
          <w:szCs w:val="36"/>
          <w:highlight w:val="none"/>
          <w:lang w:val="en-US" w:eastAsia="zh-CN" w:bidi="ar-SA"/>
        </w:rPr>
      </w:pPr>
      <w:r>
        <w:rPr>
          <w:rFonts w:hint="eastAsia" w:ascii="仿宋" w:hAnsi="仿宋" w:eastAsia="仿宋" w:cs="仿宋"/>
          <w:color w:val="auto"/>
          <w:kern w:val="0"/>
          <w:sz w:val="24"/>
          <w:szCs w:val="24"/>
          <w:highlight w:val="none"/>
          <w:lang w:val="en-US" w:eastAsia="zh-CN" w:bidi="ar-SA"/>
        </w:rPr>
        <w:br w:type="page"/>
      </w:r>
      <w:bookmarkStart w:id="161" w:name="_Toc2409"/>
      <w:bookmarkStart w:id="162" w:name="_Toc24383"/>
      <w:bookmarkStart w:id="163" w:name="_Toc15098"/>
      <w:bookmarkStart w:id="164" w:name="_Toc25021"/>
      <w:bookmarkStart w:id="165" w:name="_Toc27408"/>
      <w:bookmarkStart w:id="166" w:name="_Toc25969"/>
      <w:r>
        <w:rPr>
          <w:rFonts w:hint="eastAsia" w:ascii="仿宋" w:hAnsi="仿宋" w:eastAsia="仿宋" w:cs="仿宋"/>
          <w:b/>
          <w:color w:val="auto"/>
          <w:kern w:val="2"/>
          <w:sz w:val="32"/>
          <w:szCs w:val="32"/>
          <w:highlight w:val="none"/>
          <w:lang w:val="en-US" w:eastAsia="zh-CN" w:bidi="ar-SA"/>
        </w:rPr>
        <w:t>第三部分合同专用条款</w:t>
      </w:r>
      <w:bookmarkEnd w:id="161"/>
      <w:bookmarkEnd w:id="162"/>
      <w:bookmarkEnd w:id="163"/>
      <w:bookmarkEnd w:id="164"/>
      <w:bookmarkEnd w:id="165"/>
      <w:bookmarkEnd w:id="166"/>
    </w:p>
    <w:p w14:paraId="41C45CB3">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6"/>
        <w:tblW w:w="90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9"/>
      </w:tblGrid>
      <w:tr w14:paraId="6088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28179CF0">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089" w:type="dxa"/>
            <w:vAlign w:val="center"/>
          </w:tcPr>
          <w:p w14:paraId="34D15AD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67CA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CAF1B2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8089" w:type="dxa"/>
            <w:vAlign w:val="center"/>
          </w:tcPr>
          <w:p w14:paraId="540C588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乙方在中标通知书发出后10日历天内、签订合同前向甲方提交履约保证金。履约保证金形式：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（①乙方基本账户的银行转账或支票、银行汇票；②银行或保险公司保函）</w:t>
            </w:r>
          </w:p>
        </w:tc>
      </w:tr>
      <w:tr w14:paraId="07654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69" w:type="dxa"/>
            <w:tcBorders>
              <w:left w:val="single" w:color="auto" w:sz="4" w:space="0"/>
            </w:tcBorders>
            <w:vAlign w:val="center"/>
          </w:tcPr>
          <w:p w14:paraId="37EB530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8089" w:type="dxa"/>
            <w:vAlign w:val="center"/>
          </w:tcPr>
          <w:p w14:paraId="320FACA9">
            <w:pPr>
              <w:keepNext w:val="0"/>
              <w:keepLines w:val="0"/>
              <w:suppressLineNumbers w:val="0"/>
              <w:wordWrap w:val="0"/>
              <w:spacing w:before="0" w:beforeAutospacing="0" w:after="0" w:afterAutospacing="0" w:line="360" w:lineRule="auto"/>
              <w:ind w:left="0" w:right="0"/>
              <w:outlineLvl w:val="2"/>
              <w:rPr>
                <w:rFonts w:hint="eastAsia" w:ascii="Times New Roman" w:hAnsi="Times New Roman" w:eastAsia="宋体" w:cs="Times New Roman"/>
                <w:sz w:val="24"/>
                <w:szCs w:val="24"/>
                <w:highlight w:val="none"/>
                <w:lang w:eastAsia="zh-CN"/>
              </w:rPr>
            </w:pPr>
            <w:r>
              <w:rPr>
                <w:rFonts w:hint="eastAsia" w:ascii="仿宋" w:hAnsi="仿宋" w:eastAsia="仿宋" w:cs="仿宋"/>
                <w:b w:val="0"/>
                <w:bCs w:val="0"/>
                <w:color w:val="auto"/>
                <w:sz w:val="24"/>
                <w:szCs w:val="24"/>
                <w:highlight w:val="none"/>
              </w:rPr>
              <w:t>合同签订且提交履约保证金后30日历天内，甲方支付合同价的【20%】（合同签订时根据投标响应填写）作为预付款。</w:t>
            </w:r>
          </w:p>
        </w:tc>
      </w:tr>
      <w:tr w14:paraId="08BAE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788865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089" w:type="dxa"/>
            <w:vAlign w:val="center"/>
          </w:tcPr>
          <w:p w14:paraId="410227D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预付款不扣回。</w:t>
            </w:r>
          </w:p>
        </w:tc>
      </w:tr>
      <w:tr w14:paraId="34230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3A2AA9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8089" w:type="dxa"/>
            <w:vAlign w:val="center"/>
          </w:tcPr>
          <w:p w14:paraId="2A5430D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甲方向乙方支付预付款的同时，乙方提交银行、保险公司出具的</w:t>
            </w:r>
            <w:r>
              <w:rPr>
                <w:rFonts w:hint="eastAsia" w:ascii="仿宋" w:hAnsi="仿宋" w:eastAsia="仿宋" w:cs="仿宋"/>
                <w:color w:val="auto"/>
                <w:sz w:val="24"/>
                <w:szCs w:val="24"/>
                <w:highlight w:val="none"/>
                <w:lang w:val="en-US" w:eastAsia="zh-CN"/>
              </w:rPr>
              <w:t>同等金额的</w:t>
            </w:r>
            <w:r>
              <w:rPr>
                <w:rFonts w:hint="eastAsia" w:ascii="仿宋" w:hAnsi="仿宋" w:eastAsia="仿宋" w:cs="仿宋"/>
                <w:color w:val="auto"/>
                <w:sz w:val="24"/>
                <w:szCs w:val="24"/>
                <w:highlight w:val="none"/>
              </w:rPr>
              <w:t>预付款保函（若未按要求提交预付款保函，则视为乙方无需预付款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保函的格式和内容须经</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确认）。</w:t>
            </w:r>
          </w:p>
        </w:tc>
      </w:tr>
      <w:tr w14:paraId="30FCC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54D7E2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8089" w:type="dxa"/>
            <w:vAlign w:val="center"/>
          </w:tcPr>
          <w:p w14:paraId="6C9748B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资金支付的方式、时间和条件：</w:t>
            </w:r>
          </w:p>
          <w:p w14:paraId="79074EB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（1）预付款见1.5.1条规定；</w:t>
            </w:r>
          </w:p>
          <w:p w14:paraId="184C810F">
            <w:pPr>
              <w:keepNext w:val="0"/>
              <w:keepLines w:val="0"/>
              <w:suppressLineNumbers w:val="0"/>
              <w:spacing w:before="0" w:beforeAutospacing="0" w:after="0" w:afterAutospacing="0" w:line="360" w:lineRule="auto"/>
              <w:ind w:left="0" w:right="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val="0"/>
                <w:bCs w:val="0"/>
                <w:color w:val="auto"/>
                <w:sz w:val="24"/>
                <w:szCs w:val="24"/>
                <w:highlight w:val="none"/>
              </w:rPr>
              <w:t>第二期付款：全部产品供货完成后，并经甲方及使用单位履约验收合格后，甲方支付至合同价的【85%】（合同签订时根据投标响应填写）；</w:t>
            </w:r>
          </w:p>
          <w:p w14:paraId="6CCED7A5">
            <w:pPr>
              <w:keepNext w:val="0"/>
              <w:keepLines w:val="0"/>
              <w:suppressLineNumbers w:val="0"/>
              <w:spacing w:before="0" w:beforeAutospacing="0" w:after="0" w:afterAutospacing="0" w:line="360" w:lineRule="auto"/>
              <w:ind w:left="0" w:right="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（3）第三期付款：项目结算审计完成并提交质保金后，甲方在30日历天内支付剩余款项。</w:t>
            </w:r>
          </w:p>
          <w:p w14:paraId="7AC18C02">
            <w:pPr>
              <w:keepNext w:val="0"/>
              <w:keepLines w:val="0"/>
              <w:suppressLineNumbers w:val="0"/>
              <w:spacing w:before="0" w:beforeAutospacing="0" w:after="0" w:afterAutospacing="0" w:line="360" w:lineRule="auto"/>
              <w:ind w:left="0" w:right="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每笔款项支付前，乙方必须提供收款单位与本合同签订单位一致的正规、等额、合法、有效的增值税专用发票及办理相关支付手续的报审资料；支付款项经监理单位、使用单位、甲方代表签字及盖章，并审核同意后30天内支付。若乙方延期提供的，甲方有权顺延付款。</w:t>
            </w:r>
          </w:p>
          <w:p w14:paraId="69D0362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4）在项目结算审计时，项目经审计部门(包括委托中介机构)审计后，审计追加费用按省物价局《关于进一步完善工程造价咨询服务收费的通知》(浙价服[2009]84号)核定的标准，参照(绍市建设【2020】109号)关于进一步落实《在房屋建筑和市政基础设施工程中推行施工过程结算的实施意见》的通知由乙方承担。本条款收费标准如有变动的，按最新标准执行。审计追加费由乙方预缴至甲方，再由甲方代为支付审计追加费。</w:t>
            </w:r>
          </w:p>
        </w:tc>
      </w:tr>
      <w:tr w14:paraId="415E7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A43602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089" w:type="dxa"/>
            <w:vAlign w:val="center"/>
          </w:tcPr>
          <w:p w14:paraId="1695F3DA">
            <w:pPr>
              <w:keepNext w:val="0"/>
              <w:keepLines w:val="0"/>
              <w:suppressLineNumbers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交货时间：接到</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 xml:space="preserve">通知之日起 </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个日历日内完成生产、供货、安装及调试，具体安装根据项目建设进度确定。其中，合同签订次日起</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天内提供所有产品的式样图由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和使用单位确认。</w:t>
            </w:r>
          </w:p>
        </w:tc>
      </w:tr>
      <w:tr w14:paraId="51D95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F98BA8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089" w:type="dxa"/>
            <w:vAlign w:val="center"/>
          </w:tcPr>
          <w:p w14:paraId="6268804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w:t>
            </w:r>
            <w:r>
              <w:rPr>
                <w:rFonts w:hint="eastAsia" w:ascii="仿宋" w:hAnsi="仿宋" w:eastAsia="仿宋" w:cs="仿宋"/>
                <w:color w:val="auto"/>
                <w:sz w:val="24"/>
                <w:szCs w:val="24"/>
                <w:highlight w:val="none"/>
                <w:lang w:eastAsia="zh-CN"/>
              </w:rPr>
              <w:t>付</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新昌县人民医院（新院区，新昌县孝行路66号）。</w:t>
            </w:r>
          </w:p>
        </w:tc>
      </w:tr>
      <w:tr w14:paraId="7F0F4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600E30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8089" w:type="dxa"/>
            <w:vAlign w:val="center"/>
          </w:tcPr>
          <w:p w14:paraId="16F008D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交付方式：安装现场交付。</w:t>
            </w:r>
          </w:p>
        </w:tc>
      </w:tr>
      <w:tr w14:paraId="390AF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557166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en-US" w:eastAsia="zh-CN"/>
              </w:rPr>
              <w:t>6</w:t>
            </w:r>
          </w:p>
        </w:tc>
        <w:tc>
          <w:tcPr>
            <w:tcW w:w="8089" w:type="dxa"/>
            <w:vAlign w:val="center"/>
          </w:tcPr>
          <w:p w14:paraId="735CDEC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p w14:paraId="405CDCB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1.乙方所交产品品种、型号、规格、质量或项目完成质量不符合合同规定的，由乙方在</w:t>
            </w:r>
            <w:r>
              <w:rPr>
                <w:rFonts w:hint="eastAsia" w:ascii="仿宋" w:hAnsi="仿宋" w:eastAsia="仿宋" w:cs="仿宋"/>
                <w:color w:val="auto"/>
                <w:sz w:val="24"/>
                <w:szCs w:val="24"/>
                <w:highlight w:val="none"/>
                <w:u w:val="single"/>
                <w:lang w:val="en-US" w:eastAsia="zh-CN"/>
              </w:rPr>
              <w:t xml:space="preserve"> 3  </w:t>
            </w:r>
            <w:r>
              <w:rPr>
                <w:rFonts w:hint="eastAsia" w:ascii="仿宋" w:hAnsi="仿宋" w:eastAsia="仿宋" w:cs="仿宋"/>
                <w:color w:val="auto"/>
                <w:sz w:val="24"/>
                <w:szCs w:val="24"/>
                <w:highlight w:val="none"/>
              </w:rPr>
              <w:t>日内负责包换或返工，并承担调换、退货或返工而支付的实际费用。乙方不能调换或不予返工的，按不能完成采购项目处理。</w:t>
            </w:r>
          </w:p>
          <w:p w14:paraId="6484616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14:paraId="5A62FF6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3.未按本专用合同约定提供质保及售后服务的，乙方应向甲方偿付采购项目总价款的5％的违约金。甲方无故退货的，应向乙方偿付退货部分货款5％的违约金。</w:t>
            </w:r>
          </w:p>
        </w:tc>
      </w:tr>
      <w:tr w14:paraId="0D06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957282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089" w:type="dxa"/>
            <w:vAlign w:val="center"/>
          </w:tcPr>
          <w:p w14:paraId="2B7F2287">
            <w:pPr>
              <w:keepNext w:val="0"/>
              <w:keepLines w:val="0"/>
              <w:suppressLineNumbers w:val="0"/>
              <w:spacing w:before="0" w:beforeAutospacing="0" w:after="0" w:afterAutospacing="0" w:line="360" w:lineRule="auto"/>
              <w:ind w:left="0" w:right="-420" w:righ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具有知识产权的计算机软件等货物的知识产权归属制造商。</w:t>
            </w:r>
          </w:p>
        </w:tc>
      </w:tr>
      <w:tr w14:paraId="0B6DD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EBC2C9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2.4.1</w:t>
            </w:r>
          </w:p>
        </w:tc>
        <w:tc>
          <w:tcPr>
            <w:tcW w:w="8089" w:type="dxa"/>
            <w:vAlign w:val="center"/>
          </w:tcPr>
          <w:p w14:paraId="78F6C248">
            <w:pPr>
              <w:keepNext w:val="0"/>
              <w:keepLines w:val="0"/>
              <w:suppressLineNumbers w:val="0"/>
              <w:spacing w:before="0" w:beforeAutospacing="0" w:after="0" w:afterAutospacing="0" w:line="360" w:lineRule="auto"/>
              <w:ind w:left="0" w:right="0" w:right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其他约定：产品保修卡、合格证、检测报告、随配附件和工具以及清单一并附于货物内。</w:t>
            </w:r>
          </w:p>
        </w:tc>
      </w:tr>
      <w:tr w14:paraId="6B3D5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F17AB3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2.4.3</w:t>
            </w:r>
          </w:p>
        </w:tc>
        <w:tc>
          <w:tcPr>
            <w:tcW w:w="8089" w:type="dxa"/>
            <w:vAlign w:val="center"/>
          </w:tcPr>
          <w:p w14:paraId="6833D330">
            <w:pPr>
              <w:keepNext w:val="0"/>
              <w:keepLines w:val="0"/>
              <w:suppressLineNumbers w:val="0"/>
              <w:spacing w:before="0" w:beforeAutospacing="0" w:after="0" w:afterAutospacing="0" w:line="360" w:lineRule="auto"/>
              <w:ind w:left="0" w:right="0" w:right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装运货物的要求和通知：乙方在货物发运手续办理完毕后24小时内或货到甲方48小时前通知甲方，以准备接货。</w:t>
            </w:r>
          </w:p>
        </w:tc>
      </w:tr>
      <w:tr w14:paraId="174C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F8FA08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8089" w:type="dxa"/>
            <w:vAlign w:val="center"/>
          </w:tcPr>
          <w:p w14:paraId="7CFACC5D">
            <w:pPr>
              <w:keepNext w:val="0"/>
              <w:keepLines w:val="0"/>
              <w:suppressLineNumbers w:val="0"/>
              <w:spacing w:before="0" w:beforeAutospacing="0" w:after="0" w:afterAutospacing="0" w:line="360" w:lineRule="auto"/>
              <w:ind w:left="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货物或者在途货物或者交付给第一承运人后的货物毁损、灭失的风险负担由乙方承担。</w:t>
            </w:r>
          </w:p>
        </w:tc>
      </w:tr>
      <w:tr w14:paraId="1F5BA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644828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w:t>
            </w:r>
          </w:p>
        </w:tc>
        <w:tc>
          <w:tcPr>
            <w:tcW w:w="8089" w:type="dxa"/>
            <w:vAlign w:val="center"/>
          </w:tcPr>
          <w:p w14:paraId="1073CE9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因不可抗力致使合同有变更必要的，双方当事人应在发生后</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小时内以书面形式变更合同；</w:t>
            </w:r>
          </w:p>
        </w:tc>
      </w:tr>
      <w:tr w14:paraId="4218A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361F37CC">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.4 </w:t>
            </w:r>
          </w:p>
        </w:tc>
        <w:tc>
          <w:tcPr>
            <w:tcW w:w="8089" w:type="dxa"/>
            <w:vAlign w:val="center"/>
          </w:tcPr>
          <w:p w14:paraId="132D9E5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受不可抗力影响的一方在不可抗力发生后，应在发生后</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小时内以书面形式通知对方当事人，并在事故发生后14天内，将有关部门出具的证明文件送达对方当事人。如果不可抗力影响时间延续</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天以上的，双方应通过友好协商在合理的时间内达成进一步履行合同的协议。</w:t>
            </w:r>
          </w:p>
        </w:tc>
      </w:tr>
      <w:tr w14:paraId="12F21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8BA1AF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w:t>
            </w:r>
          </w:p>
        </w:tc>
        <w:tc>
          <w:tcPr>
            <w:tcW w:w="8089" w:type="dxa"/>
            <w:vAlign w:val="center"/>
          </w:tcPr>
          <w:p w14:paraId="49676EE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安装完毕后</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个日历天</w:t>
            </w:r>
            <w:r>
              <w:rPr>
                <w:rFonts w:hint="eastAsia" w:ascii="仿宋" w:hAnsi="仿宋" w:eastAsia="仿宋" w:cs="仿宋"/>
                <w:sz w:val="24"/>
                <w:szCs w:val="24"/>
                <w:highlight w:val="none"/>
                <w:lang w:eastAsia="zh-CN"/>
              </w:rPr>
              <w:t>内</w:t>
            </w:r>
            <w:r>
              <w:rPr>
                <w:rFonts w:hint="eastAsia" w:ascii="仿宋" w:hAnsi="仿宋" w:eastAsia="仿宋" w:cs="仿宋"/>
                <w:sz w:val="24"/>
                <w:szCs w:val="24"/>
                <w:highlight w:val="none"/>
              </w:rPr>
              <w:t>甲方组织验收。验收不合格的，甲方责令乙方采取补救措施，向乙方发出整改通知书，并依法及时处理。整改结束后，由乙方通知甲方重新验收。若整改后验收仍不合格的，则扣除合同价5%作为违约金，同时甲方有权终止合同，乙方承担所有甲方损失。首次验收过程中产生的，由甲方承担；属于首次验收不合格，重新验收过程中产生的的费用由乙方承担。</w:t>
            </w:r>
          </w:p>
        </w:tc>
      </w:tr>
      <w:tr w14:paraId="25292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094905C">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w:t>
            </w:r>
          </w:p>
        </w:tc>
        <w:tc>
          <w:tcPr>
            <w:tcW w:w="8089" w:type="dxa"/>
            <w:vAlign w:val="center"/>
          </w:tcPr>
          <w:p w14:paraId="2D41987C">
            <w:pPr>
              <w:keepNext w:val="0"/>
              <w:keepLines w:val="0"/>
              <w:suppressLineNumbers w:val="0"/>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（1）检验和验收标准：①满足采购需求及技术文件的要求，达到国家及行业现行规范的合格标准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②资金支付及争议处理、验收费用支付、采购人及供应商各自权利义务等内容按国家，省，市现行规定和合同约定的内容。</w:t>
            </w:r>
          </w:p>
          <w:p w14:paraId="11816D29">
            <w:pPr>
              <w:keepNext w:val="0"/>
              <w:keepLines w:val="0"/>
              <w:suppressLineNumbers w:val="0"/>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（2）验收程序：</w:t>
            </w:r>
            <w:r>
              <w:rPr>
                <w:rFonts w:hint="eastAsia" w:ascii="仿宋" w:hAnsi="仿宋" w:eastAsia="仿宋" w:cs="仿宋"/>
                <w:sz w:val="24"/>
                <w:szCs w:val="24"/>
                <w:highlight w:val="none"/>
                <w:lang w:val="en-US" w:eastAsia="zh-CN"/>
              </w:rPr>
              <w:t>一次性验收。</w:t>
            </w:r>
          </w:p>
          <w:p w14:paraId="4AD66D2E">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（3）以上内容以及验收书具有同等法律效力，以上内容有冲突时以较严格的要求为准。</w:t>
            </w:r>
          </w:p>
        </w:tc>
      </w:tr>
      <w:tr w14:paraId="42156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1AEC78C">
            <w:pPr>
              <w:keepNext w:val="0"/>
              <w:keepLines w:val="0"/>
              <w:suppressLineNumbers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w:t>
            </w:r>
          </w:p>
        </w:tc>
        <w:tc>
          <w:tcPr>
            <w:tcW w:w="8089" w:type="dxa"/>
            <w:vAlign w:val="center"/>
          </w:tcPr>
          <w:p w14:paraId="6899612E">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质保期：本项目所有产品质保期从终验收合格之日起（   ）年。在质保期内的工作应包括对所有货物常规检查、调整等，质保期内的维修费用 (包括配件) 全部由乙方负责，维修点需提供足够的备品备件以适应维修需求。</w:t>
            </w:r>
          </w:p>
        </w:tc>
      </w:tr>
      <w:tr w14:paraId="7F0FD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0DB0292">
            <w:pPr>
              <w:keepNext w:val="0"/>
              <w:keepLines w:val="0"/>
              <w:suppressLineNumbers w:val="0"/>
              <w:spacing w:before="0" w:beforeAutospacing="0" w:after="0" w:afterAutospacing="0" w:line="360" w:lineRule="auto"/>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2.17.</w:t>
            </w:r>
            <w:r>
              <w:rPr>
                <w:rFonts w:hint="eastAsia" w:ascii="仿宋" w:hAnsi="仿宋" w:eastAsia="仿宋" w:cs="仿宋"/>
                <w:color w:val="auto"/>
                <w:sz w:val="24"/>
                <w:szCs w:val="24"/>
                <w:highlight w:val="none"/>
                <w:lang w:val="en-US" w:eastAsia="zh-CN"/>
              </w:rPr>
              <w:t>2</w:t>
            </w:r>
          </w:p>
        </w:tc>
        <w:tc>
          <w:tcPr>
            <w:tcW w:w="8089" w:type="dxa"/>
            <w:vAlign w:val="center"/>
          </w:tcPr>
          <w:p w14:paraId="3F9EA162">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是</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需要支付质保金。</w:t>
            </w:r>
          </w:p>
          <w:p w14:paraId="0818F8D9">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（1）质保金额：合同结算价的</w:t>
            </w:r>
            <w:r>
              <w:rPr>
                <w:rFonts w:hint="eastAsia" w:ascii="仿宋" w:hAnsi="仿宋" w:eastAsia="仿宋" w:cs="仿宋"/>
                <w:sz w:val="24"/>
                <w:szCs w:val="24"/>
                <w:highlight w:val="none"/>
                <w:u w:val="single"/>
                <w:lang w:val="en-US" w:eastAsia="zh-CN"/>
              </w:rPr>
              <w:t xml:space="preserve"> 1.5 </w:t>
            </w:r>
            <w:r>
              <w:rPr>
                <w:rFonts w:hint="eastAsia" w:ascii="仿宋" w:hAnsi="仿宋" w:eastAsia="仿宋" w:cs="仿宋"/>
                <w:sz w:val="24"/>
                <w:szCs w:val="24"/>
                <w:highlight w:val="none"/>
                <w:lang w:val="en-US" w:eastAsia="zh-CN"/>
              </w:rPr>
              <w:t>%。</w:t>
            </w:r>
          </w:p>
          <w:p w14:paraId="464F3426">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（2）提交形式：</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（①乙方基本账户的银行转账或支票、银行汇票；②银行或保险公司保函）。</w:t>
            </w:r>
          </w:p>
          <w:p w14:paraId="192E59DB">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（3）提交时间：接到甲方通知后15日历天内提交质保金。若乙方拒交质保金的，甲方有权直接在合同款项中扣留。</w:t>
            </w:r>
          </w:p>
          <w:p w14:paraId="5EB532DB">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（4）退还时间：质保期结束后经甲方确认后无息退还。</w:t>
            </w:r>
          </w:p>
        </w:tc>
      </w:tr>
      <w:tr w14:paraId="3CF7C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1AF97E3F">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21</w:t>
            </w:r>
          </w:p>
        </w:tc>
        <w:tc>
          <w:tcPr>
            <w:tcW w:w="8089" w:type="dxa"/>
          </w:tcPr>
          <w:p w14:paraId="38E0A86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本合同一式六份，甲方三份，乙方三份。</w:t>
            </w:r>
          </w:p>
        </w:tc>
      </w:tr>
    </w:tbl>
    <w:p w14:paraId="244338A4">
      <w:pPr>
        <w:rPr>
          <w:rFonts w:hint="eastAsia" w:ascii="仿宋" w:hAnsi="仿宋" w:eastAsia="仿宋" w:cs="仿宋"/>
          <w:b/>
          <w:bCs/>
          <w:color w:val="auto"/>
          <w:sz w:val="24"/>
          <w:szCs w:val="24"/>
          <w:highlight w:val="none"/>
          <w:lang w:val="en-US" w:eastAsia="zh-CN"/>
        </w:rPr>
      </w:pPr>
    </w:p>
    <w:p w14:paraId="26F98FE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5D320758">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w:t>
      </w:r>
    </w:p>
    <w:p w14:paraId="73A33487">
      <w:pPr>
        <w:pStyle w:val="299"/>
        <w:widowControl/>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rPr>
        <w:t>廉政</w:t>
      </w:r>
      <w:r>
        <w:rPr>
          <w:rFonts w:hint="eastAsia" w:ascii="仿宋" w:hAnsi="仿宋" w:eastAsia="仿宋" w:cs="仿宋"/>
          <w:b/>
          <w:bCs/>
          <w:sz w:val="24"/>
          <w:szCs w:val="24"/>
          <w:highlight w:val="none"/>
          <w:lang w:val="en-US" w:eastAsia="zh-CN"/>
        </w:rPr>
        <w:t>协议</w:t>
      </w:r>
    </w:p>
    <w:p w14:paraId="7739C161">
      <w:pPr>
        <w:pStyle w:val="299"/>
        <w:widowControl/>
        <w:spacing w:line="440" w:lineRule="exact"/>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 xml:space="preserve"> </w:t>
      </w:r>
    </w:p>
    <w:p w14:paraId="53E8477F">
      <w:pPr>
        <w:pStyle w:val="300"/>
        <w:ind w:firstLine="480"/>
        <w:rPr>
          <w:highlight w:val="none"/>
        </w:rPr>
      </w:pPr>
      <w:r>
        <w:rPr>
          <w:highlight w:val="none"/>
        </w:rPr>
        <w:t>为进一步贯彻落实廉政责任制，促进廉政建设，预防在外包（或工程）项目、物资采购等业务往来过程中违纪违规违法事件的发生，共同维护市场经济秩序，保证双方业务的正常健康进行。根据廉政建设的有关规定，经协商一致，签订本廉政协议，并由双方纪检部门作为监督方，望双方共同恪守。</w:t>
      </w:r>
    </w:p>
    <w:p w14:paraId="73C75B1A">
      <w:pPr>
        <w:pStyle w:val="300"/>
        <w:ind w:firstLine="480"/>
        <w:rPr>
          <w:highlight w:val="none"/>
        </w:rPr>
      </w:pPr>
      <w:r>
        <w:rPr>
          <w:highlight w:val="none"/>
        </w:rPr>
        <w:t>一、甲方有关部门、人员在授予乙方合同和合同执行过程等业务往来中不得有下列行为：</w:t>
      </w:r>
    </w:p>
    <w:p w14:paraId="5DF87658">
      <w:pPr>
        <w:pStyle w:val="300"/>
        <w:ind w:firstLine="480"/>
        <w:rPr>
          <w:rFonts w:ascii="仿宋" w:hAnsi="仿宋"/>
          <w:highlight w:val="none"/>
        </w:rPr>
      </w:pPr>
      <w:r>
        <w:rPr>
          <w:rFonts w:ascii="仿宋" w:hAnsi="仿宋"/>
          <w:highlight w:val="none"/>
        </w:rPr>
        <w:t>(1)不得在业务往来中向乙方索要或收受各种礼品、礼券或现金；</w:t>
      </w:r>
    </w:p>
    <w:p w14:paraId="4247E943">
      <w:pPr>
        <w:pStyle w:val="300"/>
        <w:ind w:firstLine="480"/>
        <w:rPr>
          <w:rFonts w:ascii="仿宋" w:hAnsi="仿宋"/>
          <w:highlight w:val="none"/>
        </w:rPr>
      </w:pPr>
      <w:r>
        <w:rPr>
          <w:rFonts w:ascii="仿宋" w:hAnsi="仿宋"/>
          <w:highlight w:val="none"/>
        </w:rPr>
        <w:t>(2)不得参加乙方组织的外出旅游、到营业性娱乐场所娱乐；</w:t>
      </w:r>
    </w:p>
    <w:p w14:paraId="40B42A3B">
      <w:pPr>
        <w:pStyle w:val="300"/>
        <w:ind w:firstLine="480"/>
        <w:rPr>
          <w:rFonts w:ascii="仿宋" w:hAnsi="仿宋"/>
          <w:highlight w:val="none"/>
        </w:rPr>
      </w:pPr>
      <w:r>
        <w:rPr>
          <w:rFonts w:ascii="仿宋" w:hAnsi="仿宋"/>
          <w:highlight w:val="none"/>
        </w:rPr>
        <w:t>(3)不得参加有可能影响公正执行公务的宴请；</w:t>
      </w:r>
    </w:p>
    <w:p w14:paraId="6B4C17FF">
      <w:pPr>
        <w:pStyle w:val="300"/>
        <w:ind w:firstLine="480"/>
        <w:rPr>
          <w:rFonts w:ascii="仿宋" w:hAnsi="仿宋"/>
          <w:highlight w:val="none"/>
        </w:rPr>
      </w:pPr>
      <w:r>
        <w:rPr>
          <w:rFonts w:ascii="仿宋" w:hAnsi="仿宋"/>
          <w:highlight w:val="none"/>
        </w:rPr>
        <w:t>(4)不得应乙方要求或为谋取个人私利虚假签证或夸大的工作量；</w:t>
      </w:r>
    </w:p>
    <w:p w14:paraId="5FE58877">
      <w:pPr>
        <w:pStyle w:val="300"/>
        <w:ind w:firstLine="480"/>
        <w:rPr>
          <w:rFonts w:ascii="仿宋" w:hAnsi="仿宋"/>
          <w:highlight w:val="none"/>
        </w:rPr>
      </w:pPr>
      <w:r>
        <w:rPr>
          <w:rFonts w:ascii="仿宋" w:hAnsi="仿宋"/>
          <w:highlight w:val="none"/>
        </w:rPr>
        <w:t>(5)不得私自要求乙方将外包项目返包给本部门或本人；</w:t>
      </w:r>
    </w:p>
    <w:p w14:paraId="21DEFF15">
      <w:pPr>
        <w:pStyle w:val="300"/>
        <w:ind w:firstLine="480"/>
        <w:rPr>
          <w:rFonts w:ascii="仿宋" w:hAnsi="仿宋"/>
          <w:highlight w:val="none"/>
        </w:rPr>
      </w:pPr>
      <w:r>
        <w:rPr>
          <w:rFonts w:ascii="仿宋" w:hAnsi="仿宋"/>
          <w:highlight w:val="none"/>
        </w:rPr>
        <w:t>(6)不得要求乙方人员到其指定的单位或人员处采购物资；</w:t>
      </w:r>
    </w:p>
    <w:p w14:paraId="4A9C97D4">
      <w:pPr>
        <w:pStyle w:val="300"/>
        <w:ind w:firstLine="480"/>
        <w:rPr>
          <w:rFonts w:ascii="仿宋" w:hAnsi="仿宋"/>
          <w:highlight w:val="none"/>
        </w:rPr>
      </w:pPr>
      <w:r>
        <w:rPr>
          <w:rFonts w:ascii="仿宋" w:hAnsi="仿宋"/>
          <w:highlight w:val="none"/>
        </w:rPr>
        <w:t>(7)非甲方组织行为要求乙方安排人员进乙方单位工作或者分包工程项目；</w:t>
      </w:r>
    </w:p>
    <w:p w14:paraId="31C28AE1">
      <w:pPr>
        <w:pStyle w:val="300"/>
        <w:ind w:firstLine="480"/>
        <w:rPr>
          <w:rFonts w:ascii="仿宋" w:hAnsi="仿宋"/>
          <w:highlight w:val="none"/>
        </w:rPr>
      </w:pPr>
      <w:r>
        <w:rPr>
          <w:rFonts w:ascii="仿宋" w:hAnsi="仿宋"/>
          <w:highlight w:val="none"/>
        </w:rPr>
        <w:t>(8)不得为谋取私利而故意刁难乙方，徇私枉法，阻挠正常的业务往来。</w:t>
      </w:r>
    </w:p>
    <w:p w14:paraId="5E23FCCB">
      <w:pPr>
        <w:pStyle w:val="300"/>
        <w:ind w:firstLine="480"/>
        <w:rPr>
          <w:rFonts w:ascii="仿宋" w:hAnsi="仿宋"/>
          <w:highlight w:val="none"/>
        </w:rPr>
      </w:pPr>
      <w:r>
        <w:rPr>
          <w:rFonts w:ascii="仿宋" w:hAnsi="仿宋"/>
          <w:highlight w:val="none"/>
        </w:rPr>
        <w:t>二、乙方人员在与甲方有关部门业务往来中，要应严格遵守以下规定：</w:t>
      </w:r>
    </w:p>
    <w:p w14:paraId="7C08657F">
      <w:pPr>
        <w:pStyle w:val="300"/>
        <w:ind w:firstLine="480"/>
        <w:rPr>
          <w:rFonts w:ascii="仿宋" w:hAnsi="仿宋"/>
          <w:highlight w:val="none"/>
        </w:rPr>
      </w:pPr>
      <w:r>
        <w:rPr>
          <w:rFonts w:ascii="仿宋" w:hAnsi="仿宋"/>
          <w:highlight w:val="none"/>
        </w:rPr>
        <w:t>(1)不得在业务往来中以任何形式或名义向甲方有关部门、人员赠送各种礼品、礼券或现金；</w:t>
      </w:r>
    </w:p>
    <w:p w14:paraId="4AFF1880">
      <w:pPr>
        <w:pStyle w:val="300"/>
        <w:ind w:firstLine="480"/>
        <w:rPr>
          <w:rFonts w:ascii="仿宋" w:hAnsi="仿宋"/>
          <w:highlight w:val="none"/>
        </w:rPr>
      </w:pPr>
      <w:r>
        <w:rPr>
          <w:rFonts w:ascii="仿宋" w:hAnsi="仿宋"/>
          <w:highlight w:val="none"/>
        </w:rPr>
        <w:t>(2)不得邀请甲方有关人员吃喝、去营业性娱乐场所娱乐或外出旅游，以谋取不正当利益；</w:t>
      </w:r>
    </w:p>
    <w:p w14:paraId="34DF08F4">
      <w:pPr>
        <w:pStyle w:val="300"/>
        <w:ind w:firstLine="480"/>
        <w:rPr>
          <w:rFonts w:ascii="仿宋" w:hAnsi="仿宋"/>
          <w:highlight w:val="none"/>
        </w:rPr>
      </w:pPr>
      <w:r>
        <w:rPr>
          <w:rFonts w:ascii="仿宋" w:hAnsi="仿宋"/>
          <w:highlight w:val="none"/>
        </w:rPr>
        <w:t>(3)不得将承包项目私下转包给甲方有关部门或人员；</w:t>
      </w:r>
    </w:p>
    <w:p w14:paraId="361F638F">
      <w:pPr>
        <w:pStyle w:val="300"/>
        <w:ind w:firstLine="480"/>
        <w:rPr>
          <w:rFonts w:ascii="仿宋" w:hAnsi="仿宋"/>
          <w:highlight w:val="none"/>
        </w:rPr>
      </w:pPr>
      <w:r>
        <w:rPr>
          <w:rFonts w:ascii="仿宋" w:hAnsi="仿宋"/>
          <w:highlight w:val="none"/>
        </w:rPr>
        <w:t>(4)不得以任何形式和名义为甲方有关人员购物或报销应由个人支付的各种费用。</w:t>
      </w:r>
    </w:p>
    <w:p w14:paraId="381718B9">
      <w:pPr>
        <w:pStyle w:val="300"/>
        <w:ind w:firstLine="480"/>
        <w:rPr>
          <w:highlight w:val="none"/>
        </w:rPr>
      </w:pPr>
      <w:r>
        <w:rPr>
          <w:highlight w:val="none"/>
        </w:rPr>
        <w:t>三、甲、乙双方应对各自单位的有关业务人员加强教育、监督和管理，防止上述事项的发生。</w:t>
      </w:r>
    </w:p>
    <w:p w14:paraId="27F3A507">
      <w:pPr>
        <w:pStyle w:val="300"/>
        <w:ind w:firstLine="480"/>
        <w:rPr>
          <w:highlight w:val="none"/>
        </w:rPr>
      </w:pPr>
      <w:r>
        <w:rPr>
          <w:highlight w:val="none"/>
        </w:rPr>
        <w:t>四、甲方有关部门、人员如有上述不正当行为，乙方有责任向甲方纪检、监察部门检举，如查证属实，视情节轻重，对相关人员给予相应的处分，如触犯刑法的，由司法机关依法追究刑事责任。</w:t>
      </w:r>
    </w:p>
    <w:p w14:paraId="41F72A32">
      <w:pPr>
        <w:pStyle w:val="300"/>
        <w:ind w:firstLine="480"/>
        <w:rPr>
          <w:highlight w:val="none"/>
        </w:rPr>
      </w:pPr>
      <w:r>
        <w:rPr>
          <w:highlight w:val="none"/>
        </w:rPr>
        <w:t>五、甲方人员若发现乙方人员有上述第二条款之情节者，应予以严正拒绝，并及时向所在部门领导及公司纪检、监察部门报告。</w:t>
      </w:r>
    </w:p>
    <w:p w14:paraId="76A911A4">
      <w:pPr>
        <w:pStyle w:val="300"/>
        <w:ind w:firstLine="480"/>
        <w:rPr>
          <w:highlight w:val="none"/>
        </w:rPr>
      </w:pPr>
      <w:r>
        <w:rPr>
          <w:highlight w:val="none"/>
        </w:rPr>
        <w:t>六、乙方如果违反本协议，甲方将视情节轻重和造成的后果，向乙方追究相应合同价款5%的违约金和/或者解除合同，乙方应赔偿甲方因此造成的损失，甲方有权取消乙方今后或今后一定期限参与甲方业务的资格。</w:t>
      </w:r>
    </w:p>
    <w:p w14:paraId="6A3E905D">
      <w:pPr>
        <w:pStyle w:val="300"/>
        <w:ind w:firstLine="480"/>
        <w:rPr>
          <w:highlight w:val="none"/>
        </w:rPr>
      </w:pPr>
      <w:r>
        <w:rPr>
          <w:highlight w:val="none"/>
        </w:rPr>
        <w:t>七、本廉政协议作为</w:t>
      </w:r>
      <w:r>
        <w:rPr>
          <w:rFonts w:hint="eastAsia"/>
          <w:b/>
          <w:bCs/>
          <w:highlight w:val="none"/>
        </w:rPr>
        <w:t>新昌县人民医院迁建工程-</w:t>
      </w:r>
      <w:r>
        <w:rPr>
          <w:rFonts w:hint="eastAsia"/>
          <w:b/>
          <w:bCs/>
          <w:highlight w:val="none"/>
          <w:lang w:eastAsia="zh-CN"/>
        </w:rPr>
        <w:t>窗帘采购项目</w:t>
      </w:r>
      <w:r>
        <w:rPr>
          <w:highlight w:val="none"/>
        </w:rPr>
        <w:t>合同的附件，与合同具有同等法律效力。</w:t>
      </w:r>
    </w:p>
    <w:p w14:paraId="3B32433A">
      <w:pPr>
        <w:pStyle w:val="300"/>
        <w:ind w:firstLine="480"/>
        <w:rPr>
          <w:highlight w:val="none"/>
        </w:rPr>
      </w:pPr>
      <w:r>
        <w:rPr>
          <w:highlight w:val="none"/>
        </w:rPr>
        <w:t>本协议自双方</w:t>
      </w:r>
      <w:r>
        <w:rPr>
          <w:rFonts w:hint="eastAsia"/>
          <w:highlight w:val="none"/>
          <w:lang w:eastAsia="zh-CN"/>
        </w:rPr>
        <w:t>法定代表人（负责人）</w:t>
      </w:r>
      <w:r>
        <w:rPr>
          <w:rFonts w:hint="eastAsia"/>
          <w:highlight w:val="none"/>
        </w:rPr>
        <w:t>或授权代表</w:t>
      </w:r>
      <w:r>
        <w:rPr>
          <w:highlight w:val="none"/>
        </w:rPr>
        <w:t>签字</w:t>
      </w:r>
      <w:r>
        <w:rPr>
          <w:rFonts w:hint="eastAsia"/>
          <w:highlight w:val="none"/>
        </w:rPr>
        <w:t>并</w:t>
      </w:r>
      <w:r>
        <w:rPr>
          <w:highlight w:val="none"/>
        </w:rPr>
        <w:t>盖章之日起生效，协议时间为合同授予、执行的全过程。</w:t>
      </w:r>
    </w:p>
    <w:p w14:paraId="1CDE86BC">
      <w:pPr>
        <w:pStyle w:val="300"/>
        <w:ind w:firstLine="0" w:firstLineChars="0"/>
        <w:rPr>
          <w:b/>
          <w:highlight w:val="none"/>
        </w:rPr>
      </w:pPr>
    </w:p>
    <w:p w14:paraId="399E0FF6">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甲方（盖章）：                             乙方（盖章）：</w:t>
      </w:r>
    </w:p>
    <w:p w14:paraId="1F2607D8">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委托代理</w:t>
      </w:r>
      <w:r>
        <w:rPr>
          <w:rFonts w:hint="eastAsia" w:ascii="仿宋" w:hAnsi="仿宋" w:eastAsia="仿宋" w:cs="仿宋"/>
          <w:sz w:val="24"/>
          <w:szCs w:val="24"/>
          <w:highlight w:val="none"/>
        </w:rPr>
        <w:t xml:space="preserve">人：                              </w:t>
      </w:r>
      <w:r>
        <w:rPr>
          <w:rFonts w:hint="eastAsia" w:ascii="仿宋" w:hAnsi="仿宋" w:eastAsia="仿宋" w:cs="仿宋"/>
          <w:sz w:val="24"/>
          <w:szCs w:val="24"/>
          <w:highlight w:val="none"/>
          <w:lang w:eastAsia="zh-CN"/>
        </w:rPr>
        <w:t>委托代理</w:t>
      </w:r>
      <w:r>
        <w:rPr>
          <w:rFonts w:hint="eastAsia" w:ascii="仿宋" w:hAnsi="仿宋" w:eastAsia="仿宋" w:cs="仿宋"/>
          <w:sz w:val="24"/>
          <w:szCs w:val="24"/>
          <w:highlight w:val="none"/>
        </w:rPr>
        <w:t>人：</w:t>
      </w:r>
    </w:p>
    <w:p w14:paraId="45AD3CC1">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电话：                                    电话：</w:t>
      </w:r>
    </w:p>
    <w:p w14:paraId="19A83FAA">
      <w:pPr>
        <w:pStyle w:val="301"/>
        <w:numPr>
          <w:ilvl w:val="0"/>
          <w:numId w:val="0"/>
        </w:numPr>
        <w:ind w:firstLine="480" w:firstLineChars="200"/>
        <w:jc w:val="both"/>
        <w:rPr>
          <w:rFonts w:hint="eastAsia" w:ascii="仿宋" w:hAnsi="仿宋" w:cs="仿宋"/>
          <w:b w:val="0"/>
          <w:bCs w:val="0"/>
          <w:kern w:val="2"/>
          <w:sz w:val="24"/>
          <w:szCs w:val="24"/>
          <w:highlight w:val="none"/>
          <w:lang w:eastAsia="zh-CN"/>
        </w:rPr>
        <w:sectPr>
          <w:pgSz w:w="11905" w:h="16838"/>
          <w:pgMar w:top="567" w:right="1247" w:bottom="567" w:left="1247" w:header="454" w:footer="454" w:gutter="0"/>
          <w:pgNumType w:fmt="decimal"/>
          <w:cols w:space="720" w:num="1"/>
        </w:sectPr>
      </w:pPr>
      <w:r>
        <w:rPr>
          <w:rFonts w:hint="eastAsia" w:ascii="仿宋" w:hAnsi="仿宋" w:cs="仿宋"/>
          <w:b w:val="0"/>
          <w:bCs w:val="0"/>
          <w:kern w:val="2"/>
          <w:sz w:val="24"/>
          <w:szCs w:val="24"/>
          <w:highlight w:val="none"/>
          <w:lang w:eastAsia="zh-CN"/>
        </w:rPr>
        <w:t>日期：</w:t>
      </w:r>
      <w:r>
        <w:rPr>
          <w:rFonts w:hint="eastAsia" w:ascii="仿宋" w:hAnsi="仿宋" w:cs="仿宋"/>
          <w:b w:val="0"/>
          <w:bCs w:val="0"/>
          <w:kern w:val="2"/>
          <w:sz w:val="24"/>
          <w:szCs w:val="24"/>
          <w:highlight w:val="none"/>
          <w:lang w:val="en-US" w:eastAsia="zh-CN"/>
        </w:rPr>
        <w:t xml:space="preserve">                                    </w:t>
      </w:r>
      <w:r>
        <w:rPr>
          <w:rFonts w:hint="eastAsia" w:ascii="仿宋" w:hAnsi="仿宋" w:cs="仿宋"/>
          <w:b w:val="0"/>
          <w:bCs w:val="0"/>
          <w:kern w:val="2"/>
          <w:sz w:val="24"/>
          <w:szCs w:val="24"/>
          <w:highlight w:val="none"/>
          <w:lang w:eastAsia="zh-CN"/>
        </w:rPr>
        <w:t>日期：</w:t>
      </w:r>
    </w:p>
    <w:p w14:paraId="7F758C74">
      <w:p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安全生产合同</w:t>
      </w:r>
    </w:p>
    <w:p w14:paraId="6C2B4527">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为在</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1C1A23"/>
          <w:sz w:val="24"/>
          <w:szCs w:val="24"/>
          <w:highlight w:val="none"/>
          <w:u w:val="single"/>
          <w:lang w:val="en-US" w:eastAsia="zh-CN"/>
        </w:rPr>
        <w:t>新昌县人民医院迁建工程-窗帘采购项目</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合同的实施过程中创造安全、高效的环境，切实搞好本项目的安全管理工作，</w:t>
      </w:r>
      <w:r>
        <w:rPr>
          <w:rFonts w:hint="eastAsia" w:ascii="仿宋" w:hAnsi="仿宋" w:eastAsia="仿宋" w:cs="仿宋"/>
          <w:color w:val="000000"/>
          <w:spacing w:val="-11"/>
          <w:kern w:val="0"/>
          <w:sz w:val="24"/>
          <w:szCs w:val="24"/>
          <w:highlight w:val="none"/>
          <w:u w:val="single"/>
          <w:lang w:val="en-US" w:eastAsia="zh-CN" w:bidi="ar"/>
        </w:rPr>
        <w:t>新昌县城市建设投资集团有限公司</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（以下简称“甲方”）与</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spacing w:val="-11"/>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（以下简称“乙方”）特此签订安全生产合同如下：</w:t>
      </w:r>
    </w:p>
    <w:p w14:paraId="2C522275">
      <w:pPr>
        <w:keepNext w:val="0"/>
        <w:keepLines w:val="0"/>
        <w:widowControl w:val="0"/>
        <w:suppressLineNumbers w:val="0"/>
        <w:spacing w:before="0" w:beforeAutospacing="0" w:after="0" w:afterAutospacing="0" w:line="440" w:lineRule="exact"/>
        <w:ind w:left="0" w:right="0" w:firstLine="480" w:firstLineChars="200"/>
        <w:jc w:val="both"/>
        <w:outlineLvl w:val="9"/>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一、甲方职责</w:t>
      </w:r>
    </w:p>
    <w:p w14:paraId="0A1029E4">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1.严格遵守国家有关安全生产的法律法规等有关安全生产的规定，认真执行合同中的有关安全要求。</w:t>
      </w:r>
    </w:p>
    <w:p w14:paraId="2123929C">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2.定期召开安全生产调度会，及时传达中央及地方有关安全生产的精神。</w:t>
      </w:r>
    </w:p>
    <w:p w14:paraId="70D46F06">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3.对乙方现场操作安全生产检查，监督乙方及时处理发现的各项安全隐患。</w:t>
      </w:r>
    </w:p>
    <w:p w14:paraId="60642703">
      <w:pPr>
        <w:keepNext w:val="0"/>
        <w:keepLines w:val="0"/>
        <w:widowControl w:val="0"/>
        <w:suppressLineNumbers w:val="0"/>
        <w:spacing w:before="0" w:beforeAutospacing="0" w:after="0" w:afterAutospacing="0" w:line="440" w:lineRule="exact"/>
        <w:ind w:left="0" w:right="0" w:firstLine="480" w:firstLineChars="200"/>
        <w:jc w:val="both"/>
        <w:outlineLvl w:val="9"/>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二、乙方职责</w:t>
      </w:r>
    </w:p>
    <w:p w14:paraId="0074C801">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1.严格遵守国家有关安全生产的法律法规等有关安全生产的规定，认真执行工程承包合同中的有关安全要求。</w:t>
      </w:r>
    </w:p>
    <w:p w14:paraId="52D57EF8">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坚持“安全第一，预防为主”，加强安全生产宣传教育，增强全员安全生产意识，指定兼职安全检查人员。工作人员必须熟悉和遵守本条款的各项规定，做到生产与安全工作同时计划、布置、检查、总结和评比。</w:t>
      </w:r>
    </w:p>
    <w:p w14:paraId="7A5886D4">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3.建立安全责任制。从项目负责人到其他人员（包括临时雇请的民工）的安全生产管理系统必须做到纵向到底，一环不漏；人员的安全生产责任制做到横向到边，人人有责。 控制项目负责人是安全生产的第一责任人，负责所有员工的安全和治安保卫工作及预防事故的发生，有权按有关规定发布指令，并采取保护性措施防止事故发生。</w:t>
      </w:r>
    </w:p>
    <w:p w14:paraId="75E1E9FE">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4.乙方在任何时候都应采取各种合理的预防措施，防止工作人员发生任何违法、违纪、暴力或妨碍治安的行为。</w:t>
      </w:r>
    </w:p>
    <w:p w14:paraId="6C691DA0">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5.乙方参加项目实施的人员，必须接受安全技术教育，熟知和遵守生产过程中的安全技术操作规程。生产、施工现场出现违反安全的操作，项目负责人必须承担管理责任。</w:t>
      </w:r>
    </w:p>
    <w:p w14:paraId="6A239C21">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6.所有仪器设备和高空作业的设备均应定期检查，并有安全员的签字记录，保证其经常处于完好状态；不合格的仪器设备和劳动保护用品严禁使用。高空作业时应严格遵守高空作业的安全守则。</w:t>
      </w:r>
    </w:p>
    <w:p w14:paraId="45222746">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7.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1EF80B00">
      <w:pPr>
        <w:keepNext w:val="0"/>
        <w:keepLines w:val="0"/>
        <w:widowControl w:val="0"/>
        <w:suppressLineNumbers w:val="0"/>
        <w:spacing w:before="0" w:beforeAutospacing="0" w:after="0" w:afterAutospacing="0" w:line="440" w:lineRule="exact"/>
        <w:ind w:left="0" w:right="0" w:firstLine="480" w:firstLineChars="200"/>
        <w:jc w:val="both"/>
        <w:outlineLvl w:val="9"/>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8.乙方的所有安全事故、损失均由乙方自行负责。</w:t>
      </w:r>
    </w:p>
    <w:p w14:paraId="0B0CB5D6">
      <w:pPr>
        <w:keepNext w:val="0"/>
        <w:keepLines w:val="0"/>
        <w:widowControl w:val="0"/>
        <w:suppressLineNumbers w:val="0"/>
        <w:spacing w:before="0" w:beforeAutospacing="0" w:after="0" w:afterAutospacing="0" w:line="440" w:lineRule="exact"/>
        <w:ind w:left="0" w:right="0" w:firstLine="480" w:firstLineChars="200"/>
        <w:jc w:val="both"/>
        <w:outlineLvl w:val="9"/>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三、违约责任：</w:t>
      </w:r>
    </w:p>
    <w:p w14:paraId="0A85020D">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如因甲方或乙方违约造成安全事故，将依法追究责任。</w:t>
      </w:r>
    </w:p>
    <w:p w14:paraId="115E5A0F">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四、由双方法定代表人（负责人）或其委托代理人签署并加盖单位章后生效，至合同费用结清为止失效。</w:t>
      </w:r>
    </w:p>
    <w:p w14:paraId="58DAB6E7">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w:t>
      </w:r>
    </w:p>
    <w:p w14:paraId="690A59FC">
      <w:pPr>
        <w:keepNext w:val="0"/>
        <w:keepLines w:val="0"/>
        <w:widowControl w:val="0"/>
        <w:suppressLineNumbers w:val="0"/>
        <w:spacing w:before="0" w:beforeAutospacing="0" w:after="0" w:afterAutospacing="0" w:line="440" w:lineRule="exact"/>
        <w:ind w:left="-1" w:leftChars="-95" w:right="0" w:hanging="198" w:hangingChars="91"/>
        <w:jc w:val="both"/>
        <w:rPr>
          <w:rFonts w:hint="eastAsia" w:ascii="仿宋" w:hAnsi="仿宋" w:eastAsia="仿宋" w:cs="仿宋"/>
          <w:spacing w:val="-11"/>
          <w:sz w:val="24"/>
          <w:szCs w:val="24"/>
          <w:highlight w:val="none"/>
        </w:rPr>
      </w:pPr>
      <w:r>
        <w:rPr>
          <w:rFonts w:hint="eastAsia" w:ascii="仿宋" w:hAnsi="仿宋" w:eastAsia="仿宋" w:cs="仿宋"/>
          <w:color w:val="000000"/>
          <w:spacing w:val="-11"/>
          <w:kern w:val="0"/>
          <w:sz w:val="24"/>
          <w:szCs w:val="24"/>
          <w:highlight w:val="none"/>
          <w:lang w:val="en-US" w:eastAsia="zh-CN" w:bidi="ar"/>
        </w:rPr>
        <w:t>甲方：</w:t>
      </w:r>
      <w:r>
        <w:rPr>
          <w:rFonts w:hint="eastAsia" w:ascii="仿宋" w:hAnsi="仿宋" w:eastAsia="仿宋" w:cs="仿宋"/>
          <w:color w:val="000000"/>
          <w:spacing w:val="-11"/>
          <w:kern w:val="0"/>
          <w:sz w:val="24"/>
          <w:szCs w:val="24"/>
          <w:highlight w:val="none"/>
          <w:u w:val="single"/>
          <w:lang w:val="en-US" w:eastAsia="zh-CN" w:bidi="ar"/>
        </w:rPr>
        <w:t xml:space="preserve">                （盖单位章）</w:t>
      </w:r>
      <w:r>
        <w:rPr>
          <w:rFonts w:hint="eastAsia" w:ascii="仿宋" w:hAnsi="仿宋" w:eastAsia="仿宋" w:cs="仿宋"/>
          <w:color w:val="000000"/>
          <w:spacing w:val="-11"/>
          <w:kern w:val="0"/>
          <w:sz w:val="24"/>
          <w:szCs w:val="24"/>
          <w:highlight w:val="none"/>
          <w:u w:val="none"/>
          <w:lang w:val="en-US" w:eastAsia="zh-CN" w:bidi="ar"/>
        </w:rPr>
        <w:t xml:space="preserve">                 </w:t>
      </w:r>
      <w:r>
        <w:rPr>
          <w:rFonts w:hint="eastAsia" w:ascii="仿宋" w:hAnsi="仿宋" w:eastAsia="仿宋" w:cs="仿宋"/>
          <w:color w:val="000000"/>
          <w:spacing w:val="-11"/>
          <w:kern w:val="0"/>
          <w:sz w:val="24"/>
          <w:szCs w:val="24"/>
          <w:highlight w:val="none"/>
          <w:lang w:val="en-US" w:eastAsia="zh-CN" w:bidi="ar"/>
        </w:rPr>
        <w:t>乙方：</w:t>
      </w:r>
      <w:r>
        <w:rPr>
          <w:rFonts w:hint="eastAsia" w:ascii="仿宋" w:hAnsi="仿宋" w:eastAsia="仿宋" w:cs="仿宋"/>
          <w:color w:val="000000"/>
          <w:spacing w:val="-11"/>
          <w:kern w:val="0"/>
          <w:sz w:val="24"/>
          <w:szCs w:val="24"/>
          <w:highlight w:val="none"/>
          <w:u w:val="single"/>
          <w:lang w:val="en-US" w:eastAsia="zh-CN" w:bidi="ar"/>
        </w:rPr>
        <w:t xml:space="preserve">           （盖单位章）</w:t>
      </w:r>
    </w:p>
    <w:p w14:paraId="44A11A35">
      <w:pPr>
        <w:keepNext w:val="0"/>
        <w:keepLines w:val="0"/>
        <w:widowControl w:val="0"/>
        <w:suppressLineNumbers w:val="0"/>
        <w:spacing w:before="0" w:beforeAutospacing="0" w:after="0" w:afterAutospacing="0" w:line="440" w:lineRule="exact"/>
        <w:ind w:left="0" w:right="0" w:firstLine="480" w:firstLineChars="20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w:t>
      </w:r>
    </w:p>
    <w:p w14:paraId="2C507AAE">
      <w:pPr>
        <w:keepNext w:val="0"/>
        <w:keepLines w:val="0"/>
        <w:widowControl w:val="0"/>
        <w:suppressLineNumbers w:val="0"/>
        <w:spacing w:before="0" w:beforeAutospacing="0" w:after="0" w:afterAutospacing="0" w:line="440" w:lineRule="exact"/>
        <w:ind w:left="0" w:right="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法定代表人（负责人）或                              法定代表人（负责人）或</w:t>
      </w:r>
    </w:p>
    <w:p w14:paraId="5A27E24D">
      <w:pPr>
        <w:keepNext w:val="0"/>
        <w:keepLines w:val="0"/>
        <w:widowControl w:val="0"/>
        <w:suppressLineNumbers w:val="0"/>
        <w:spacing w:before="0" w:beforeAutospacing="0" w:after="0" w:afterAutospacing="0" w:line="440" w:lineRule="exact"/>
        <w:ind w:left="0" w:right="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其委托代理人：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（签字）               其委托代理人：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（签字）</w:t>
      </w:r>
    </w:p>
    <w:p w14:paraId="219EA385">
      <w:pPr>
        <w:keepNext w:val="0"/>
        <w:keepLines w:val="0"/>
        <w:widowControl w:val="0"/>
        <w:suppressLineNumbers w:val="0"/>
        <w:spacing w:before="0" w:beforeAutospacing="0" w:after="0" w:afterAutospacing="0" w:line="440" w:lineRule="exact"/>
        <w:ind w:left="0" w:right="0"/>
        <w:jc w:val="both"/>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     年   月   日                   日期：   年   月    日</w:t>
      </w:r>
    </w:p>
    <w:p w14:paraId="4A3B3791">
      <w:pPr>
        <w:rPr>
          <w:rFonts w:hint="eastAsia" w:ascii="仿宋" w:hAnsi="仿宋" w:eastAsia="仿宋" w:cs="仿宋"/>
          <w:b/>
          <w:bCs/>
          <w:color w:val="auto"/>
          <w:sz w:val="24"/>
          <w:szCs w:val="24"/>
          <w:highlight w:val="none"/>
          <w:lang w:val="en-US" w:eastAsia="zh-CN"/>
        </w:rPr>
      </w:pPr>
    </w:p>
    <w:p w14:paraId="3841B9D3">
      <w:pPr>
        <w:rPr>
          <w:rFonts w:hint="eastAsia" w:ascii="仿宋" w:hAnsi="仿宋" w:eastAsia="仿宋" w:cs="仿宋"/>
          <w:b/>
          <w:bCs/>
          <w:color w:val="auto"/>
          <w:sz w:val="24"/>
          <w:szCs w:val="24"/>
          <w:highlight w:val="none"/>
          <w:lang w:val="en-US" w:eastAsia="zh-CN"/>
        </w:rPr>
        <w:sectPr>
          <w:pgSz w:w="11906" w:h="16838"/>
          <w:pgMar w:top="1474" w:right="1474" w:bottom="1417" w:left="1588" w:header="851" w:footer="850"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1FD95E6">
      <w:pPr>
        <w:pStyle w:val="181"/>
        <w:keepNext w:val="0"/>
        <w:keepLines w:val="0"/>
        <w:wordWrap w:val="0"/>
        <w:topLinePunct/>
        <w:rPr>
          <w:rFonts w:hint="eastAsia" w:ascii="仿宋" w:hAnsi="仿宋" w:eastAsia="仿宋" w:cs="仿宋"/>
          <w:color w:val="auto"/>
          <w:sz w:val="30"/>
          <w:szCs w:val="30"/>
          <w:highlight w:val="none"/>
        </w:rPr>
      </w:pPr>
      <w:bookmarkStart w:id="167" w:name="_Toc28920"/>
      <w:bookmarkStart w:id="168" w:name="_Toc23174"/>
      <w:bookmarkStart w:id="169" w:name="_Toc23736"/>
      <w:bookmarkStart w:id="170" w:name="_Toc28029"/>
      <w:bookmarkStart w:id="171" w:name="_Toc24631"/>
      <w:r>
        <w:rPr>
          <w:rFonts w:hint="eastAsia" w:ascii="仿宋" w:hAnsi="仿宋" w:eastAsia="仿宋" w:cs="仿宋"/>
          <w:color w:val="auto"/>
          <w:highlight w:val="none"/>
        </w:rPr>
        <w:t>第五部分</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投标文件格式</w:t>
      </w:r>
      <w:bookmarkEnd w:id="72"/>
      <w:bookmarkEnd w:id="73"/>
      <w:bookmarkEnd w:id="74"/>
      <w:bookmarkEnd w:id="75"/>
      <w:bookmarkEnd w:id="76"/>
      <w:bookmarkEnd w:id="77"/>
      <w:bookmarkEnd w:id="78"/>
      <w:bookmarkEnd w:id="79"/>
      <w:bookmarkEnd w:id="80"/>
      <w:bookmarkEnd w:id="81"/>
      <w:bookmarkEnd w:id="167"/>
      <w:bookmarkEnd w:id="168"/>
      <w:bookmarkEnd w:id="169"/>
      <w:bookmarkEnd w:id="170"/>
      <w:bookmarkEnd w:id="171"/>
    </w:p>
    <w:p w14:paraId="497D3C10">
      <w:pPr>
        <w:keepNext w:val="0"/>
        <w:keepLines w:val="0"/>
        <w:wordWrap w:val="0"/>
        <w:topLinePunct/>
        <w:spacing w:line="360" w:lineRule="auto"/>
        <w:rPr>
          <w:rFonts w:hint="eastAsia" w:ascii="仿宋" w:hAnsi="仿宋" w:eastAsia="仿宋" w:cs="仿宋"/>
          <w:sz w:val="32"/>
          <w:highlight w:val="none"/>
        </w:rPr>
      </w:pPr>
    </w:p>
    <w:p w14:paraId="37DBE601">
      <w:pPr>
        <w:pStyle w:val="25"/>
        <w:keepNext w:val="0"/>
        <w:keepLines w:val="0"/>
        <w:tabs>
          <w:tab w:val="left" w:pos="450"/>
        </w:tabs>
        <w:wordWrap w:val="0"/>
        <w:topLinePunct/>
        <w:spacing w:line="360" w:lineRule="auto"/>
        <w:rPr>
          <w:rFonts w:hint="eastAsia" w:ascii="仿宋" w:hAnsi="仿宋" w:eastAsia="仿宋" w:cs="仿宋"/>
          <w:sz w:val="30"/>
          <w:highlight w:val="none"/>
        </w:rPr>
      </w:pPr>
      <w:r>
        <w:rPr>
          <w:rFonts w:hint="eastAsia" w:ascii="仿宋" w:hAnsi="仿宋" w:eastAsia="仿宋" w:cs="仿宋"/>
          <w:sz w:val="30"/>
          <w:highlight w:val="none"/>
        </w:rPr>
        <w:t>附件一</w:t>
      </w:r>
    </w:p>
    <w:p w14:paraId="10E53112">
      <w:pPr>
        <w:pStyle w:val="25"/>
        <w:keepNext w:val="0"/>
        <w:keepLines w:val="0"/>
        <w:tabs>
          <w:tab w:val="left" w:pos="450"/>
        </w:tabs>
        <w:wordWrap w:val="0"/>
        <w:topLinePunct/>
        <w:spacing w:line="360" w:lineRule="auto"/>
        <w:jc w:val="center"/>
        <w:outlineLvl w:val="1"/>
        <w:rPr>
          <w:rFonts w:hint="eastAsia" w:ascii="仿宋" w:hAnsi="仿宋" w:eastAsia="仿宋" w:cs="仿宋"/>
          <w:b/>
          <w:sz w:val="30"/>
          <w:highlight w:val="none"/>
        </w:rPr>
      </w:pPr>
      <w:r>
        <w:rPr>
          <w:rFonts w:hint="eastAsia" w:ascii="仿宋" w:hAnsi="仿宋" w:eastAsia="仿宋" w:cs="仿宋"/>
          <w:b/>
          <w:sz w:val="30"/>
          <w:highlight w:val="none"/>
        </w:rPr>
        <w:t>投标函</w:t>
      </w:r>
    </w:p>
    <w:p w14:paraId="11683EE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none"/>
          <w:lang w:eastAsia="zh-CN"/>
        </w:rPr>
        <w:t>新昌县城市建设投资集团有限公司</w:t>
      </w:r>
      <w:r>
        <w:rPr>
          <w:rFonts w:hint="eastAsia" w:ascii="仿宋" w:hAnsi="仿宋" w:eastAsia="仿宋" w:cs="仿宋"/>
          <w:sz w:val="24"/>
          <w:szCs w:val="24"/>
          <w:highlight w:val="none"/>
        </w:rPr>
        <w:t>：</w:t>
      </w:r>
    </w:p>
    <w:p w14:paraId="46DD6073">
      <w:pPr>
        <w:tabs>
          <w:tab w:val="left" w:pos="3360"/>
        </w:tabs>
        <w:spacing w:line="360" w:lineRule="auto"/>
        <w:ind w:firstLine="540"/>
        <w:jc w:val="lef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我方已仔细研究了</w:t>
      </w:r>
      <w:r>
        <w:rPr>
          <w:rFonts w:hint="eastAsia" w:ascii="仿宋" w:hAnsi="仿宋" w:eastAsia="仿宋" w:cs="仿宋"/>
          <w:sz w:val="24"/>
          <w:szCs w:val="24"/>
          <w:highlight w:val="none"/>
          <w:u w:val="single"/>
          <w:lang w:eastAsia="zh-CN"/>
        </w:rPr>
        <w:t>新昌县人民医院迁建工程-窗帘采购项目</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项目编号</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GJXC-2025-24</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none"/>
        </w:rPr>
        <w:t>采购文件和招标补充文件（若有），并已充分理解并掌握了本项目招标的全部有关情况。</w:t>
      </w:r>
    </w:p>
    <w:p w14:paraId="5802AE38">
      <w:pPr>
        <w:tabs>
          <w:tab w:val="left" w:pos="3360"/>
        </w:tabs>
        <w:spacing w:line="360" w:lineRule="auto"/>
        <w:ind w:firstLine="540"/>
        <w:jc w:val="lef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我方同意接受采购文件的全部内容和条件，并在招标要求规定的时间内完成，且不影响贵方的工作和秩序，将以最优的服务响应本次投标，愿意以本投标文件全部内容进行投标：</w:t>
      </w:r>
    </w:p>
    <w:p w14:paraId="65978F4E">
      <w:pPr>
        <w:tabs>
          <w:tab w:val="left" w:pos="3360"/>
        </w:tabs>
        <w:spacing w:line="360" w:lineRule="auto"/>
        <w:ind w:firstLine="540"/>
        <w:jc w:val="lef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我方将严格按照有关招标投标法律法规及采购文件的规定参加投标，并理解贵方不一定接受最低标价的投标，对决标结果也没有解释义务。如我方中标，在接到贵方发出的中标通知书起30日内，按中标通知书、采购文件和本投标文件的约定和承诺与贵方签订本服务项目的承包合同，履行规定的一切责任和义务。</w:t>
      </w:r>
    </w:p>
    <w:p w14:paraId="4793A03F">
      <w:pPr>
        <w:tabs>
          <w:tab w:val="left" w:pos="3360"/>
        </w:tabs>
        <w:spacing w:line="360" w:lineRule="auto"/>
        <w:ind w:firstLine="540"/>
        <w:jc w:val="left"/>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本投标文件自投标截止时间起90日历天内有效，在此有效期内，全部条款内容对我方具有约束力。</w:t>
      </w:r>
    </w:p>
    <w:p w14:paraId="6FE754FA">
      <w:pPr>
        <w:pStyle w:val="45"/>
        <w:ind w:left="0" w:leftChars="0" w:firstLine="0" w:firstLineChars="0"/>
        <w:rPr>
          <w:rFonts w:hint="eastAsia" w:ascii="仿宋" w:hAnsi="仿宋" w:eastAsia="仿宋" w:cs="仿宋"/>
          <w:highlight w:val="none"/>
          <w:lang w:val="zh-CN"/>
        </w:rPr>
      </w:pPr>
    </w:p>
    <w:p w14:paraId="73CDB816">
      <w:pPr>
        <w:autoSpaceDE w:val="0"/>
        <w:autoSpaceDN w:val="0"/>
        <w:adjustRightInd w:val="0"/>
        <w:spacing w:line="360" w:lineRule="auto"/>
        <w:rPr>
          <w:rFonts w:hint="eastAsia" w:ascii="仿宋" w:hAnsi="仿宋" w:eastAsia="仿宋" w:cs="仿宋"/>
          <w:kern w:val="0"/>
          <w:sz w:val="24"/>
          <w:szCs w:val="24"/>
          <w:highlight w:val="none"/>
          <w:u w:val="single"/>
          <w:lang w:val="zh-CN"/>
        </w:rPr>
      </w:pPr>
      <w:r>
        <w:rPr>
          <w:rFonts w:hint="eastAsia" w:ascii="仿宋" w:hAnsi="仿宋" w:eastAsia="仿宋" w:cs="仿宋"/>
          <w:kern w:val="0"/>
          <w:sz w:val="24"/>
          <w:szCs w:val="24"/>
          <w:highlight w:val="none"/>
          <w:lang w:val="zh-CN"/>
        </w:rPr>
        <w:t>投标人（电子签名）:</w:t>
      </w:r>
    </w:p>
    <w:p w14:paraId="0EB5F79C">
      <w:pPr>
        <w:autoSpaceDE w:val="0"/>
        <w:autoSpaceDN w:val="0"/>
        <w:adjustRightIn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联系人：</w:t>
      </w:r>
    </w:p>
    <w:p w14:paraId="61F683F5">
      <w:pPr>
        <w:autoSpaceDE w:val="0"/>
        <w:autoSpaceDN w:val="0"/>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联系电话:</w:t>
      </w:r>
    </w:p>
    <w:p w14:paraId="3F4F39A0">
      <w:pPr>
        <w:autoSpaceDE w:val="0"/>
        <w:autoSpaceDN w:val="0"/>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联系地址：</w:t>
      </w:r>
    </w:p>
    <w:p w14:paraId="02D01FDF">
      <w:pPr>
        <w:autoSpaceDE w:val="0"/>
        <w:autoSpaceDN w:val="0"/>
        <w:adjustRightIn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邮政编码：</w:t>
      </w:r>
    </w:p>
    <w:p w14:paraId="0A1AC959">
      <w:pPr>
        <w:autoSpaceDE w:val="0"/>
        <w:autoSpaceDN w:val="0"/>
        <w:adjustRightInd w:val="0"/>
        <w:spacing w:line="360" w:lineRule="auto"/>
        <w:rPr>
          <w:rFonts w:hint="eastAsia" w:ascii="仿宋" w:hAnsi="仿宋" w:eastAsia="仿宋" w:cs="仿宋"/>
          <w:kern w:val="0"/>
          <w:sz w:val="24"/>
          <w:szCs w:val="24"/>
          <w:highlight w:val="none"/>
          <w:u w:val="single"/>
          <w:lang w:val="zh-CN"/>
        </w:rPr>
      </w:pPr>
      <w:r>
        <w:rPr>
          <w:rFonts w:hint="eastAsia" w:ascii="仿宋" w:hAnsi="仿宋" w:eastAsia="仿宋" w:cs="仿宋"/>
          <w:kern w:val="0"/>
          <w:sz w:val="24"/>
          <w:szCs w:val="24"/>
          <w:highlight w:val="none"/>
          <w:lang w:val="zh-CN"/>
        </w:rPr>
        <w:t>传真号码：</w:t>
      </w:r>
    </w:p>
    <w:p w14:paraId="5BF3A180">
      <w:pPr>
        <w:autoSpaceDE w:val="0"/>
        <w:autoSpaceDN w:val="0"/>
        <w:adjustRightIn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投标人开户银行：</w:t>
      </w:r>
    </w:p>
    <w:p w14:paraId="76962CF6">
      <w:pPr>
        <w:autoSpaceDE w:val="0"/>
        <w:autoSpaceDN w:val="0"/>
        <w:adjustRightInd w:val="0"/>
        <w:spacing w:line="360" w:lineRule="auto"/>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lang w:val="zh-CN"/>
        </w:rPr>
        <w:t>帐号：</w:t>
      </w:r>
    </w:p>
    <w:p w14:paraId="01ED0CB0">
      <w:pPr>
        <w:spacing w:line="360" w:lineRule="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lang w:val="zh-CN"/>
        </w:rPr>
        <w:t>年</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lang w:val="zh-CN"/>
        </w:rPr>
        <w:t>月</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lang w:val="zh-CN"/>
        </w:rPr>
        <w:t>日</w:t>
      </w:r>
    </w:p>
    <w:p w14:paraId="3C88C8A4">
      <w:pPr>
        <w:pStyle w:val="25"/>
        <w:keepNext w:val="0"/>
        <w:keepLines w:val="0"/>
        <w:tabs>
          <w:tab w:val="left" w:pos="450"/>
        </w:tabs>
        <w:wordWrap w:val="0"/>
        <w:topLinePunct/>
        <w:spacing w:line="360" w:lineRule="auto"/>
        <w:rPr>
          <w:rFonts w:hint="eastAsia" w:ascii="仿宋" w:hAnsi="仿宋" w:eastAsia="仿宋" w:cs="仿宋"/>
          <w:b/>
          <w:bCs/>
          <w:sz w:val="24"/>
          <w:szCs w:val="24"/>
          <w:highlight w:val="none"/>
        </w:rPr>
        <w:sectPr>
          <w:headerReference r:id="rId8" w:type="default"/>
          <w:footerReference r:id="rId9" w:type="default"/>
          <w:pgSz w:w="11850" w:h="16783"/>
          <w:pgMar w:top="907" w:right="1247" w:bottom="907" w:left="1247" w:header="510" w:footer="510" w:gutter="0"/>
          <w:pgNumType w:fmt="decimal"/>
          <w:cols w:space="720" w:num="1"/>
        </w:sectPr>
      </w:pPr>
      <w:r>
        <w:rPr>
          <w:rFonts w:hint="eastAsia" w:ascii="仿宋" w:hAnsi="仿宋" w:eastAsia="仿宋" w:cs="仿宋"/>
          <w:b/>
          <w:bCs/>
          <w:sz w:val="24"/>
          <w:szCs w:val="24"/>
          <w:highlight w:val="none"/>
        </w:rPr>
        <w:t>注：未按照本投标承诺函要求填报的将被视为非实质性响应投标，从而可能导致该投标被拒绝。</w:t>
      </w:r>
    </w:p>
    <w:p w14:paraId="3EA0BF5C">
      <w:pPr>
        <w:keepNext w:val="0"/>
        <w:keepLines w:val="0"/>
        <w:wordWrap w:val="0"/>
        <w:topLinePunct/>
        <w:spacing w:line="360" w:lineRule="auto"/>
        <w:rPr>
          <w:rFonts w:hint="eastAsia" w:ascii="仿宋" w:hAnsi="仿宋" w:eastAsia="仿宋" w:cs="仿宋"/>
          <w:kern w:val="0"/>
          <w:sz w:val="30"/>
          <w:highlight w:val="none"/>
        </w:rPr>
      </w:pPr>
    </w:p>
    <w:p w14:paraId="4C163AD1">
      <w:pPr>
        <w:keepNext w:val="0"/>
        <w:keepLines w:val="0"/>
        <w:wordWrap w:val="0"/>
        <w:topLinePunct/>
        <w:spacing w:line="360" w:lineRule="auto"/>
        <w:rPr>
          <w:rFonts w:hint="eastAsia" w:ascii="仿宋" w:hAnsi="仿宋" w:eastAsia="仿宋" w:cs="仿宋"/>
          <w:kern w:val="0"/>
          <w:sz w:val="30"/>
          <w:highlight w:val="none"/>
          <w:lang w:val="en-US" w:eastAsia="zh-CN"/>
        </w:rPr>
      </w:pPr>
      <w:r>
        <w:rPr>
          <w:rFonts w:hint="eastAsia" w:ascii="仿宋" w:hAnsi="仿宋" w:eastAsia="仿宋" w:cs="仿宋"/>
          <w:kern w:val="0"/>
          <w:sz w:val="30"/>
          <w:highlight w:val="none"/>
        </w:rPr>
        <w:t>附件二</w:t>
      </w:r>
      <w:r>
        <w:rPr>
          <w:rFonts w:hint="eastAsia" w:ascii="仿宋" w:hAnsi="仿宋" w:eastAsia="仿宋" w:cs="仿宋"/>
          <w:kern w:val="0"/>
          <w:sz w:val="30"/>
          <w:highlight w:val="none"/>
          <w:lang w:val="en-US" w:eastAsia="zh-CN"/>
        </w:rPr>
        <w:t xml:space="preserve">         </w:t>
      </w:r>
    </w:p>
    <w:p w14:paraId="1FFF97A3">
      <w:pPr>
        <w:keepNext w:val="0"/>
        <w:keepLines w:val="0"/>
        <w:wordWrap w:val="0"/>
        <w:topLinePunct/>
        <w:spacing w:line="360" w:lineRule="auto"/>
        <w:jc w:val="center"/>
        <w:outlineLvl w:val="2"/>
        <w:rPr>
          <w:rFonts w:hint="eastAsia" w:ascii="仿宋" w:hAnsi="仿宋" w:eastAsia="仿宋" w:cs="仿宋"/>
          <w:kern w:val="0"/>
          <w:sz w:val="30"/>
          <w:highlight w:val="none"/>
        </w:rPr>
      </w:pPr>
      <w:r>
        <w:rPr>
          <w:rFonts w:hint="eastAsia" w:ascii="仿宋" w:hAnsi="仿宋" w:eastAsia="仿宋" w:cs="仿宋"/>
          <w:kern w:val="0"/>
          <w:sz w:val="30"/>
          <w:highlight w:val="none"/>
          <w:lang w:eastAsia="zh-CN"/>
        </w:rPr>
        <w:t>一、</w:t>
      </w:r>
      <w:r>
        <w:rPr>
          <w:rFonts w:hint="eastAsia" w:ascii="仿宋" w:hAnsi="仿宋" w:eastAsia="仿宋" w:cs="仿宋"/>
          <w:kern w:val="0"/>
          <w:sz w:val="30"/>
          <w:highlight w:val="none"/>
        </w:rPr>
        <w:t>开标一览表（报价表）</w:t>
      </w:r>
    </w:p>
    <w:p w14:paraId="298D4C39">
      <w:pPr>
        <w:snapToGrid w:val="0"/>
        <w:spacing w:line="360" w:lineRule="auto"/>
        <w:rPr>
          <w:rFonts w:hint="eastAsia" w:ascii="仿宋" w:hAnsi="仿宋" w:eastAsia="仿宋" w:cs="仿宋"/>
          <w:kern w:val="0"/>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新昌县城市建设投资集团有限公司</w:t>
      </w:r>
      <w:r>
        <w:rPr>
          <w:rFonts w:hint="eastAsia" w:ascii="仿宋" w:hAnsi="仿宋" w:eastAsia="仿宋" w:cs="仿宋"/>
          <w:kern w:val="0"/>
          <w:sz w:val="24"/>
          <w:highlight w:val="none"/>
          <w:lang w:val="zh-CN"/>
        </w:rPr>
        <w:t>：</w:t>
      </w:r>
    </w:p>
    <w:p w14:paraId="3A116883">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w:t>
      </w:r>
    </w:p>
    <w:p w14:paraId="722060E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如你方接受本投标，我方承诺按照如下开标一览表（报价表）的价格完成</w:t>
      </w:r>
      <w:r>
        <w:rPr>
          <w:rFonts w:hint="eastAsia" w:ascii="仿宋" w:hAnsi="仿宋" w:eastAsia="仿宋" w:cs="仿宋"/>
          <w:color w:val="auto"/>
          <w:sz w:val="24"/>
          <w:highlight w:val="none"/>
          <w:u w:val="single"/>
          <w:lang w:eastAsia="zh-CN"/>
        </w:rPr>
        <w:t>新昌县人民医院迁建工程-窗帘采购项目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GJXC-2025-24</w:t>
      </w:r>
      <w:r>
        <w:rPr>
          <w:rFonts w:hint="eastAsia" w:ascii="仿宋" w:hAnsi="仿宋" w:eastAsia="仿宋" w:cs="仿宋"/>
          <w:color w:val="auto"/>
          <w:sz w:val="24"/>
          <w:highlight w:val="none"/>
          <w:u w:val="single"/>
        </w:rPr>
        <w:t>】</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实施</w:t>
      </w:r>
      <w:r>
        <w:rPr>
          <w:rFonts w:hint="eastAsia" w:ascii="仿宋" w:hAnsi="仿宋" w:eastAsia="仿宋" w:cs="仿宋"/>
          <w:kern w:val="0"/>
          <w:sz w:val="24"/>
          <w:highlight w:val="none"/>
          <w:lang w:val="zh-CN"/>
        </w:rPr>
        <w:t>。</w:t>
      </w:r>
    </w:p>
    <w:p w14:paraId="69D73B08">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w:t>
      </w:r>
      <w:r>
        <w:rPr>
          <w:rFonts w:hint="eastAsia" w:ascii="仿宋" w:hAnsi="仿宋" w:eastAsia="仿宋" w:cs="仿宋"/>
          <w:b/>
          <w:kern w:val="0"/>
          <w:sz w:val="24"/>
          <w:highlight w:val="none"/>
        </w:rPr>
        <w:t xml:space="preserve">      </w:t>
      </w:r>
      <w:r>
        <w:rPr>
          <w:rFonts w:hint="eastAsia" w:ascii="仿宋" w:hAnsi="仿宋" w:eastAsia="仿宋" w:cs="仿宋"/>
          <w:b/>
          <w:kern w:val="0"/>
          <w:sz w:val="24"/>
          <w:highlight w:val="none"/>
          <w:lang w:val="zh-CN"/>
        </w:rPr>
        <w:t>(单位均为人民币元)</w:t>
      </w:r>
    </w:p>
    <w:tbl>
      <w:tblPr>
        <w:tblStyle w:val="46"/>
        <w:tblW w:w="945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14"/>
        <w:gridCol w:w="586"/>
        <w:gridCol w:w="1218"/>
        <w:gridCol w:w="978"/>
        <w:gridCol w:w="993"/>
        <w:gridCol w:w="2077"/>
        <w:gridCol w:w="1175"/>
      </w:tblGrid>
      <w:tr w14:paraId="5DF6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15" w:type="dxa"/>
            <w:vAlign w:val="center"/>
          </w:tcPr>
          <w:p w14:paraId="2315E9AE">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14" w:type="dxa"/>
            <w:vAlign w:val="center"/>
          </w:tcPr>
          <w:p w14:paraId="53841602">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586" w:type="dxa"/>
            <w:vAlign w:val="center"/>
          </w:tcPr>
          <w:p w14:paraId="5172AC5B">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tc>
        <w:tc>
          <w:tcPr>
            <w:tcW w:w="1218" w:type="dxa"/>
            <w:vAlign w:val="center"/>
          </w:tcPr>
          <w:p w14:paraId="577D296F">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78" w:type="dxa"/>
            <w:vAlign w:val="center"/>
          </w:tcPr>
          <w:p w14:paraId="050A0D44">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93" w:type="dxa"/>
            <w:vAlign w:val="center"/>
          </w:tcPr>
          <w:p w14:paraId="191937BD">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2077" w:type="dxa"/>
            <w:vAlign w:val="center"/>
          </w:tcPr>
          <w:p w14:paraId="7D41AF19">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tc>
        <w:tc>
          <w:tcPr>
            <w:tcW w:w="1175" w:type="dxa"/>
            <w:vAlign w:val="center"/>
          </w:tcPr>
          <w:p w14:paraId="70E7C0C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p>
          <w:p w14:paraId="1DC89D8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备注（如有）</w:t>
            </w:r>
          </w:p>
        </w:tc>
      </w:tr>
      <w:tr w14:paraId="77E9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5" w:type="dxa"/>
            <w:vAlign w:val="center"/>
          </w:tcPr>
          <w:p w14:paraId="1698F50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14" w:type="dxa"/>
            <w:vAlign w:val="center"/>
          </w:tcPr>
          <w:p w14:paraId="1B20A36F">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eastAsia="zh-CN"/>
              </w:rPr>
              <w:t>新昌县人民医院迁建工程-窗帘采购项目</w:t>
            </w:r>
          </w:p>
        </w:tc>
        <w:tc>
          <w:tcPr>
            <w:tcW w:w="3775" w:type="dxa"/>
            <w:gridSpan w:val="4"/>
            <w:vAlign w:val="center"/>
          </w:tcPr>
          <w:p w14:paraId="519B5AD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分项报价详见附表</w:t>
            </w:r>
            <w:r>
              <w:rPr>
                <w:rFonts w:hint="eastAsia" w:ascii="仿宋" w:hAnsi="仿宋" w:eastAsia="仿宋" w:cs="仿宋"/>
                <w:color w:val="auto"/>
                <w:sz w:val="24"/>
                <w:highlight w:val="none"/>
                <w:lang w:val="en-US" w:eastAsia="zh-CN"/>
              </w:rPr>
              <w:t>-</w:t>
            </w:r>
          </w:p>
          <w:p w14:paraId="63369BA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投标报价明细表</w:t>
            </w:r>
          </w:p>
        </w:tc>
        <w:tc>
          <w:tcPr>
            <w:tcW w:w="2077" w:type="dxa"/>
            <w:vAlign w:val="center"/>
          </w:tcPr>
          <w:p w14:paraId="6BF14183">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小写</w:t>
            </w:r>
            <w:r>
              <w:rPr>
                <w:rFonts w:hint="eastAsia" w:ascii="仿宋" w:hAnsi="仿宋" w:eastAsia="仿宋" w:cs="仿宋"/>
                <w:b/>
                <w:color w:val="auto"/>
                <w:sz w:val="24"/>
                <w:highlight w:val="none"/>
                <w:lang w:eastAsia="zh-CN"/>
              </w:rPr>
              <w:t>：</w:t>
            </w:r>
          </w:p>
          <w:p w14:paraId="7D0FE91D">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大写</w:t>
            </w:r>
            <w:r>
              <w:rPr>
                <w:rFonts w:hint="eastAsia" w:ascii="仿宋" w:hAnsi="仿宋" w:eastAsia="仿宋" w:cs="仿宋"/>
                <w:b/>
                <w:color w:val="auto"/>
                <w:sz w:val="24"/>
                <w:highlight w:val="none"/>
                <w:lang w:eastAsia="zh-CN"/>
              </w:rPr>
              <w:t>：</w:t>
            </w:r>
          </w:p>
        </w:tc>
        <w:tc>
          <w:tcPr>
            <w:tcW w:w="1175" w:type="dxa"/>
            <w:vAlign w:val="center"/>
          </w:tcPr>
          <w:p w14:paraId="629BD9A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highlight w:val="none"/>
              </w:rPr>
            </w:pPr>
          </w:p>
        </w:tc>
      </w:tr>
      <w:tr w14:paraId="324F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56" w:type="dxa"/>
            <w:gridSpan w:val="8"/>
            <w:vAlign w:val="center"/>
          </w:tcPr>
          <w:p w14:paraId="4BC7A32E">
            <w:pPr>
              <w:keepNext w:val="0"/>
              <w:keepLines w:val="0"/>
              <w:suppressLineNumbers w:val="0"/>
              <w:spacing w:before="0" w:beforeAutospacing="0" w:after="0" w:afterAutospacing="0" w:line="360" w:lineRule="auto"/>
              <w:ind w:left="0" w:right="0"/>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交货时间：接到招标人通知之日起</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lang w:val="en-US" w:eastAsia="zh-CN"/>
              </w:rPr>
              <w:t>个日历日内完成生产、供货、安装及调试，具体安装根据项目建设进度确定。其中，合同签订次日起</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lang w:val="en-US" w:eastAsia="zh-CN"/>
              </w:rPr>
              <w:t>天内提供所有产品的式样图由招标人和使用单位确认。</w:t>
            </w:r>
          </w:p>
        </w:tc>
      </w:tr>
      <w:tr w14:paraId="0F62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56" w:type="dxa"/>
            <w:gridSpan w:val="8"/>
            <w:vAlign w:val="center"/>
          </w:tcPr>
          <w:p w14:paraId="7C2E09C1">
            <w:pPr>
              <w:keepNext w:val="0"/>
              <w:keepLines w:val="0"/>
              <w:suppressLineNumbers w:val="0"/>
              <w:spacing w:before="0" w:beforeAutospacing="0" w:after="0" w:afterAutospacing="0" w:line="360" w:lineRule="auto"/>
              <w:ind w:left="0" w:right="0"/>
              <w:jc w:val="both"/>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（核心产品）手动布帘1品牌：</w:t>
            </w:r>
          </w:p>
        </w:tc>
      </w:tr>
    </w:tbl>
    <w:p w14:paraId="1E70B6F9">
      <w:pPr>
        <w:snapToGrid w:val="0"/>
        <w:spacing w:line="360" w:lineRule="auto"/>
        <w:ind w:left="480" w:firstLine="0" w:firstLineChars="0"/>
        <w:jc w:val="left"/>
        <w:rPr>
          <w:rFonts w:hint="eastAsia" w:ascii="仿宋" w:hAnsi="仿宋" w:eastAsia="仿宋" w:cs="仿宋"/>
          <w:b/>
          <w:kern w:val="0"/>
          <w:sz w:val="24"/>
          <w:highlight w:val="none"/>
          <w:lang w:val="zh-CN"/>
        </w:rPr>
      </w:pPr>
    </w:p>
    <w:p w14:paraId="1CF1BB06">
      <w:pPr>
        <w:snapToGrid w:val="0"/>
        <w:spacing w:line="360" w:lineRule="auto"/>
        <w:ind w:left="480" w:firstLine="0" w:firstLineChars="0"/>
        <w:jc w:val="left"/>
        <w:rPr>
          <w:rFonts w:hint="default" w:ascii="仿宋" w:hAnsi="仿宋" w:eastAsia="仿宋" w:cs="仿宋"/>
          <w:kern w:val="0"/>
          <w:sz w:val="21"/>
          <w:szCs w:val="21"/>
          <w:highlight w:val="none"/>
          <w:lang w:val="en-US" w:eastAsia="zh-CN"/>
        </w:rPr>
      </w:pPr>
      <w:r>
        <w:rPr>
          <w:rFonts w:hint="eastAsia" w:ascii="仿宋" w:hAnsi="仿宋" w:eastAsia="仿宋" w:cs="仿宋"/>
          <w:b/>
          <w:kern w:val="0"/>
          <w:sz w:val="24"/>
          <w:highlight w:val="none"/>
          <w:lang w:val="zh-CN"/>
        </w:rPr>
        <w:t>注：</w:t>
      </w:r>
      <w:r>
        <w:rPr>
          <w:rFonts w:hint="eastAsia" w:ascii="仿宋" w:hAnsi="仿宋" w:eastAsia="仿宋" w:cs="仿宋"/>
          <w:kern w:val="0"/>
          <w:sz w:val="21"/>
          <w:szCs w:val="21"/>
          <w:highlight w:val="none"/>
          <w:lang w:val="zh-CN"/>
        </w:rPr>
        <w:t>1</w:t>
      </w:r>
      <w:r>
        <w:rPr>
          <w:rFonts w:hint="eastAsia" w:ascii="仿宋" w:hAnsi="仿宋" w:eastAsia="仿宋" w:cs="仿宋"/>
          <w:kern w:val="0"/>
          <w:sz w:val="21"/>
          <w:szCs w:val="21"/>
          <w:highlight w:val="none"/>
          <w:lang w:val="en-US" w:eastAsia="zh-CN"/>
        </w:rPr>
        <w:t>.</w:t>
      </w:r>
      <w:r>
        <w:rPr>
          <w:rFonts w:hint="eastAsia" w:ascii="仿宋" w:hAnsi="仿宋" w:eastAsia="仿宋" w:cs="仿宋"/>
          <w:kern w:val="0"/>
          <w:sz w:val="21"/>
          <w:szCs w:val="21"/>
          <w:highlight w:val="none"/>
          <w:lang w:val="zh-CN"/>
        </w:rPr>
        <w:t>投标人需按本表格式填写，格式、已列内容不得自行更改。2</w:t>
      </w:r>
      <w:r>
        <w:rPr>
          <w:rFonts w:hint="eastAsia" w:ascii="仿宋" w:hAnsi="仿宋" w:eastAsia="仿宋" w:cs="仿宋"/>
          <w:kern w:val="0"/>
          <w:sz w:val="21"/>
          <w:szCs w:val="21"/>
          <w:highlight w:val="none"/>
          <w:lang w:val="en-US" w:eastAsia="zh-CN"/>
        </w:rPr>
        <w:t>.</w:t>
      </w:r>
      <w:r>
        <w:rPr>
          <w:rFonts w:hint="eastAsia" w:ascii="仿宋" w:hAnsi="仿宋" w:eastAsia="仿宋" w:cs="仿宋"/>
          <w:kern w:val="0"/>
          <w:sz w:val="21"/>
          <w:szCs w:val="21"/>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3B3B322F">
      <w:pPr>
        <w:pStyle w:val="285"/>
        <w:ind w:left="480" w:hanging="480" w:hangingChars="200"/>
        <w:jc w:val="both"/>
        <w:rPr>
          <w:rFonts w:hint="eastAsia" w:ascii="仿宋" w:hAnsi="仿宋" w:eastAsia="仿宋" w:cs="仿宋"/>
          <w:highlight w:val="none"/>
        </w:rPr>
      </w:pPr>
    </w:p>
    <w:p w14:paraId="1832990C">
      <w:pPr>
        <w:keepNext w:val="0"/>
        <w:keepLines w:val="0"/>
        <w:wordWrap w:val="0"/>
        <w:topLinePunct/>
        <w:adjustRightInd w:val="0"/>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投标人（电子签名)：</w:t>
      </w:r>
    </w:p>
    <w:p w14:paraId="26B87BEB">
      <w:pPr>
        <w:keepNext w:val="0"/>
        <w:keepLines w:val="0"/>
        <w:wordWrap w:val="0"/>
        <w:topLinePunct/>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zh-CN"/>
        </w:rPr>
        <w:t>月日</w:t>
      </w:r>
    </w:p>
    <w:p w14:paraId="12A807B0">
      <w:pPr>
        <w:pStyle w:val="168"/>
        <w:tabs>
          <w:tab w:val="clear" w:pos="720"/>
        </w:tabs>
        <w:snapToGrid w:val="0"/>
        <w:spacing w:before="120" w:after="120"/>
        <w:ind w:firstLine="643"/>
        <w:outlineLvl w:val="9"/>
        <w:rPr>
          <w:rFonts w:hint="eastAsia" w:ascii="仿宋" w:hAnsi="仿宋" w:eastAsia="仿宋" w:cs="仿宋"/>
          <w:kern w:val="2"/>
          <w:sz w:val="32"/>
          <w:szCs w:val="32"/>
          <w:highlight w:val="none"/>
        </w:rPr>
        <w:sectPr>
          <w:footerReference r:id="rId11" w:type="first"/>
          <w:footerReference r:id="rId10" w:type="default"/>
          <w:pgSz w:w="11905" w:h="16838"/>
          <w:pgMar w:top="652" w:right="1417" w:bottom="680" w:left="1417" w:header="539" w:footer="482" w:gutter="0"/>
          <w:pgNumType w:fmt="decimal"/>
          <w:cols w:space="720" w:num="1"/>
          <w:titlePg/>
          <w:docGrid w:linePitch="312" w:charSpace="0"/>
        </w:sectPr>
      </w:pPr>
    </w:p>
    <w:p w14:paraId="3D3BD8EE">
      <w:pPr>
        <w:wordWrap w:val="0"/>
        <w:topLinePunct/>
        <w:spacing w:line="360" w:lineRule="auto"/>
        <w:ind w:firstLine="0" w:firstLineChars="0"/>
        <w:jc w:val="center"/>
        <w:outlineLvl w:val="2"/>
        <w:rPr>
          <w:rFonts w:hint="eastAsia" w:ascii="仿宋" w:hAnsi="仿宋" w:eastAsia="仿宋" w:cs="仿宋"/>
          <w:highlight w:val="none"/>
        </w:rPr>
      </w:pPr>
      <w:r>
        <w:rPr>
          <w:rFonts w:hint="eastAsia" w:ascii="仿宋" w:hAnsi="仿宋" w:eastAsia="仿宋" w:cs="仿宋"/>
          <w:kern w:val="0"/>
          <w:sz w:val="30"/>
          <w:highlight w:val="none"/>
          <w:lang w:eastAsia="zh-CN"/>
        </w:rPr>
        <w:t>二、</w:t>
      </w:r>
      <w:r>
        <w:rPr>
          <w:rFonts w:hint="eastAsia" w:ascii="仿宋" w:hAnsi="仿宋" w:eastAsia="仿宋" w:cs="仿宋"/>
          <w:kern w:val="0"/>
          <w:sz w:val="30"/>
          <w:highlight w:val="none"/>
        </w:rPr>
        <w:t>投标报价</w:t>
      </w:r>
      <w:r>
        <w:rPr>
          <w:rFonts w:hint="eastAsia" w:ascii="仿宋" w:hAnsi="仿宋" w:eastAsia="仿宋" w:cs="仿宋"/>
          <w:kern w:val="0"/>
          <w:sz w:val="30"/>
          <w:highlight w:val="none"/>
          <w:lang w:val="en-US" w:eastAsia="zh-CN"/>
        </w:rPr>
        <w:t>明细表</w:t>
      </w:r>
    </w:p>
    <w:p w14:paraId="67F44B6B">
      <w:pPr>
        <w:wordWrap w:val="0"/>
        <w:topLinePunct/>
        <w:spacing w:line="360" w:lineRule="auto"/>
        <w:ind w:firstLine="0" w:firstLineChars="0"/>
        <w:jc w:val="right"/>
        <w:rPr>
          <w:rFonts w:hint="eastAsia" w:ascii="仿宋" w:hAnsi="仿宋" w:eastAsia="仿宋" w:cs="仿宋"/>
          <w:highlight w:val="none"/>
        </w:rPr>
      </w:pPr>
      <w:bookmarkStart w:id="172" w:name="OLE_LINK1"/>
    </w:p>
    <w:bookmarkEnd w:id="172"/>
    <w:p w14:paraId="052557EE">
      <w:pPr>
        <w:pStyle w:val="60"/>
        <w:jc w:val="right"/>
        <w:rPr>
          <w:rFonts w:hint="eastAsia" w:ascii="仿宋" w:hAnsi="仿宋" w:eastAsia="仿宋" w:cs="仿宋"/>
          <w:highlight w:val="none"/>
        </w:rPr>
      </w:pPr>
      <w:r>
        <w:rPr>
          <w:rFonts w:hint="eastAsia" w:ascii="仿宋" w:hAnsi="仿宋" w:eastAsia="仿宋" w:cs="仿宋"/>
          <w:highlight w:val="none"/>
        </w:rPr>
        <w:t>价格单位：（人民币）</w:t>
      </w:r>
      <w:r>
        <w:rPr>
          <w:rFonts w:hint="eastAsia" w:ascii="仿宋" w:hAnsi="仿宋" w:eastAsia="仿宋" w:cs="仿宋"/>
          <w:highlight w:val="none"/>
          <w:lang w:val="en-US" w:eastAsia="zh-CN"/>
        </w:rPr>
        <w:t>万</w:t>
      </w:r>
      <w:r>
        <w:rPr>
          <w:rFonts w:hint="eastAsia" w:ascii="仿宋" w:hAnsi="仿宋" w:eastAsia="仿宋" w:cs="仿宋"/>
          <w:highlight w:val="none"/>
        </w:rPr>
        <w:t>元</w:t>
      </w:r>
    </w:p>
    <w:tbl>
      <w:tblPr>
        <w:tblStyle w:val="46"/>
        <w:tblW w:w="55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6"/>
        <w:gridCol w:w="1864"/>
        <w:gridCol w:w="799"/>
        <w:gridCol w:w="900"/>
        <w:gridCol w:w="991"/>
        <w:gridCol w:w="1221"/>
        <w:gridCol w:w="684"/>
        <w:gridCol w:w="1154"/>
        <w:gridCol w:w="1157"/>
      </w:tblGrid>
      <w:tr w14:paraId="0428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jc w:val="center"/>
        </w:trPr>
        <w:tc>
          <w:tcPr>
            <w:tcW w:w="333" w:type="pct"/>
            <w:shd w:val="clear" w:color="auto" w:fill="auto"/>
            <w:vAlign w:val="center"/>
          </w:tcPr>
          <w:p w14:paraId="664145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序号</w:t>
            </w:r>
          </w:p>
        </w:tc>
        <w:tc>
          <w:tcPr>
            <w:tcW w:w="991" w:type="pct"/>
            <w:shd w:val="clear" w:color="auto" w:fill="auto"/>
            <w:vAlign w:val="center"/>
          </w:tcPr>
          <w:p w14:paraId="2ECB35F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名称</w:t>
            </w:r>
          </w:p>
        </w:tc>
        <w:tc>
          <w:tcPr>
            <w:tcW w:w="425" w:type="pct"/>
            <w:shd w:val="clear" w:color="auto" w:fill="auto"/>
            <w:vAlign w:val="center"/>
          </w:tcPr>
          <w:p w14:paraId="687149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品牌</w:t>
            </w:r>
          </w:p>
        </w:tc>
        <w:tc>
          <w:tcPr>
            <w:tcW w:w="478" w:type="pct"/>
            <w:shd w:val="clear" w:color="auto" w:fill="auto"/>
            <w:vAlign w:val="center"/>
          </w:tcPr>
          <w:p w14:paraId="2900FC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生产</w:t>
            </w:r>
          </w:p>
          <w:p w14:paraId="4C6500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厂家</w:t>
            </w:r>
          </w:p>
        </w:tc>
        <w:tc>
          <w:tcPr>
            <w:tcW w:w="527" w:type="pct"/>
            <w:shd w:val="clear" w:color="auto" w:fill="auto"/>
            <w:vAlign w:val="center"/>
          </w:tcPr>
          <w:p w14:paraId="318AAF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数量</w:t>
            </w:r>
          </w:p>
        </w:tc>
        <w:tc>
          <w:tcPr>
            <w:tcW w:w="649" w:type="pct"/>
            <w:shd w:val="clear" w:color="auto" w:fill="auto"/>
            <w:vAlign w:val="center"/>
          </w:tcPr>
          <w:p w14:paraId="596C01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单位</w:t>
            </w:r>
          </w:p>
        </w:tc>
        <w:tc>
          <w:tcPr>
            <w:tcW w:w="363" w:type="pct"/>
            <w:shd w:val="clear" w:color="auto" w:fill="auto"/>
            <w:vAlign w:val="center"/>
          </w:tcPr>
          <w:p w14:paraId="5A3622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单价</w:t>
            </w:r>
          </w:p>
        </w:tc>
        <w:tc>
          <w:tcPr>
            <w:tcW w:w="614" w:type="pct"/>
            <w:shd w:val="clear" w:color="auto" w:fill="auto"/>
            <w:vAlign w:val="center"/>
          </w:tcPr>
          <w:p w14:paraId="296F83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合价=单价*数量</w:t>
            </w:r>
          </w:p>
        </w:tc>
        <w:tc>
          <w:tcPr>
            <w:tcW w:w="615" w:type="pct"/>
            <w:shd w:val="clear" w:color="auto" w:fill="auto"/>
            <w:vAlign w:val="center"/>
          </w:tcPr>
          <w:p w14:paraId="322A2D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备注</w:t>
            </w:r>
          </w:p>
        </w:tc>
      </w:tr>
      <w:tr w14:paraId="3E77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313B801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1</w:t>
            </w:r>
          </w:p>
        </w:tc>
        <w:tc>
          <w:tcPr>
            <w:tcW w:w="991" w:type="pct"/>
            <w:shd w:val="clear" w:color="auto" w:fill="auto"/>
            <w:vAlign w:val="center"/>
          </w:tcPr>
          <w:p w14:paraId="75597EA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手动布帘1</w:t>
            </w:r>
          </w:p>
        </w:tc>
        <w:tc>
          <w:tcPr>
            <w:tcW w:w="425" w:type="pct"/>
            <w:shd w:val="clear" w:color="auto" w:fill="auto"/>
            <w:vAlign w:val="center"/>
          </w:tcPr>
          <w:p w14:paraId="63DED5B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eastAsia="zh-CN"/>
              </w:rPr>
            </w:pPr>
          </w:p>
        </w:tc>
        <w:tc>
          <w:tcPr>
            <w:tcW w:w="478" w:type="pct"/>
            <w:shd w:val="clear" w:color="auto" w:fill="auto"/>
            <w:vAlign w:val="center"/>
          </w:tcPr>
          <w:p w14:paraId="21C567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eastAsia="zh-CN"/>
              </w:rPr>
            </w:pPr>
          </w:p>
        </w:tc>
        <w:tc>
          <w:tcPr>
            <w:tcW w:w="527" w:type="pct"/>
            <w:shd w:val="clear" w:color="auto" w:fill="auto"/>
            <w:vAlign w:val="center"/>
          </w:tcPr>
          <w:p w14:paraId="24AEA3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14278.22</w:t>
            </w:r>
          </w:p>
        </w:tc>
        <w:tc>
          <w:tcPr>
            <w:tcW w:w="649" w:type="pct"/>
            <w:shd w:val="clear" w:color="auto" w:fill="auto"/>
            <w:vAlign w:val="center"/>
          </w:tcPr>
          <w:p w14:paraId="2690F4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平方米</w:t>
            </w:r>
          </w:p>
        </w:tc>
        <w:tc>
          <w:tcPr>
            <w:tcW w:w="363" w:type="pct"/>
            <w:shd w:val="clear" w:color="auto" w:fill="auto"/>
            <w:vAlign w:val="center"/>
          </w:tcPr>
          <w:p w14:paraId="4F91E7A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5B61BC0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25C99B2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核心</w:t>
            </w:r>
          </w:p>
          <w:p w14:paraId="090B31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产品</w:t>
            </w:r>
          </w:p>
        </w:tc>
      </w:tr>
      <w:tr w14:paraId="733C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4C24BD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2</w:t>
            </w:r>
          </w:p>
        </w:tc>
        <w:tc>
          <w:tcPr>
            <w:tcW w:w="991" w:type="pct"/>
            <w:shd w:val="clear" w:color="auto" w:fill="auto"/>
            <w:vAlign w:val="center"/>
          </w:tcPr>
          <w:p w14:paraId="1CEA213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手动布帘2</w:t>
            </w:r>
          </w:p>
        </w:tc>
        <w:tc>
          <w:tcPr>
            <w:tcW w:w="425" w:type="pct"/>
            <w:shd w:val="clear" w:color="auto" w:fill="auto"/>
            <w:vAlign w:val="center"/>
          </w:tcPr>
          <w:p w14:paraId="11F2D9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64CB96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2226B5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4189.12</w:t>
            </w:r>
          </w:p>
        </w:tc>
        <w:tc>
          <w:tcPr>
            <w:tcW w:w="649" w:type="pct"/>
            <w:shd w:val="clear" w:color="auto" w:fill="auto"/>
            <w:vAlign w:val="center"/>
          </w:tcPr>
          <w:p w14:paraId="0B1066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平方米</w:t>
            </w:r>
          </w:p>
        </w:tc>
        <w:tc>
          <w:tcPr>
            <w:tcW w:w="363" w:type="pct"/>
            <w:shd w:val="clear" w:color="auto" w:fill="auto"/>
            <w:vAlign w:val="center"/>
          </w:tcPr>
          <w:p w14:paraId="3C323D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7F37314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4DB2861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51B6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5FCD04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3</w:t>
            </w:r>
          </w:p>
        </w:tc>
        <w:tc>
          <w:tcPr>
            <w:tcW w:w="991" w:type="pct"/>
            <w:shd w:val="clear" w:color="auto" w:fill="auto"/>
            <w:vAlign w:val="center"/>
          </w:tcPr>
          <w:p w14:paraId="2AFBD3C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电动布帘2</w:t>
            </w:r>
          </w:p>
        </w:tc>
        <w:tc>
          <w:tcPr>
            <w:tcW w:w="425" w:type="pct"/>
            <w:shd w:val="clear" w:color="auto" w:fill="auto"/>
            <w:vAlign w:val="center"/>
          </w:tcPr>
          <w:p w14:paraId="488E500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5DC573F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78CB57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60.95</w:t>
            </w:r>
          </w:p>
        </w:tc>
        <w:tc>
          <w:tcPr>
            <w:tcW w:w="649" w:type="pct"/>
            <w:shd w:val="clear" w:color="auto" w:fill="auto"/>
            <w:vAlign w:val="center"/>
          </w:tcPr>
          <w:p w14:paraId="7DFE62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平方米</w:t>
            </w:r>
          </w:p>
        </w:tc>
        <w:tc>
          <w:tcPr>
            <w:tcW w:w="363" w:type="pct"/>
            <w:shd w:val="clear" w:color="auto" w:fill="auto"/>
            <w:vAlign w:val="center"/>
          </w:tcPr>
          <w:p w14:paraId="5CABBE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54F661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45D1056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16B9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04B10A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4</w:t>
            </w:r>
          </w:p>
        </w:tc>
        <w:tc>
          <w:tcPr>
            <w:tcW w:w="991" w:type="pct"/>
            <w:shd w:val="clear" w:color="auto" w:fill="auto"/>
            <w:vAlign w:val="center"/>
          </w:tcPr>
          <w:p w14:paraId="669DDA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手动开合帘轨道</w:t>
            </w:r>
          </w:p>
        </w:tc>
        <w:tc>
          <w:tcPr>
            <w:tcW w:w="425" w:type="pct"/>
            <w:shd w:val="clear" w:color="auto" w:fill="auto"/>
            <w:vAlign w:val="center"/>
          </w:tcPr>
          <w:p w14:paraId="404D37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55BBD8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406DC0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2945.43</w:t>
            </w:r>
          </w:p>
        </w:tc>
        <w:tc>
          <w:tcPr>
            <w:tcW w:w="649" w:type="pct"/>
            <w:shd w:val="clear" w:color="auto" w:fill="auto"/>
            <w:vAlign w:val="center"/>
          </w:tcPr>
          <w:p w14:paraId="49472F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米</w:t>
            </w:r>
          </w:p>
        </w:tc>
        <w:tc>
          <w:tcPr>
            <w:tcW w:w="363" w:type="pct"/>
            <w:shd w:val="clear" w:color="auto" w:fill="auto"/>
            <w:vAlign w:val="center"/>
          </w:tcPr>
          <w:p w14:paraId="6C2A5F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244A12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678BE1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37DA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3F72F8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5</w:t>
            </w:r>
          </w:p>
        </w:tc>
        <w:tc>
          <w:tcPr>
            <w:tcW w:w="991" w:type="pct"/>
            <w:shd w:val="clear" w:color="auto" w:fill="auto"/>
            <w:vAlign w:val="center"/>
          </w:tcPr>
          <w:p w14:paraId="79AD38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电动开合轨</w:t>
            </w:r>
          </w:p>
        </w:tc>
        <w:tc>
          <w:tcPr>
            <w:tcW w:w="425" w:type="pct"/>
            <w:shd w:val="clear" w:color="auto" w:fill="auto"/>
            <w:vAlign w:val="center"/>
          </w:tcPr>
          <w:p w14:paraId="3E6E01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333AC4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014B633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2.00</w:t>
            </w:r>
          </w:p>
        </w:tc>
        <w:tc>
          <w:tcPr>
            <w:tcW w:w="649" w:type="pct"/>
            <w:shd w:val="clear" w:color="auto" w:fill="auto"/>
            <w:vAlign w:val="center"/>
          </w:tcPr>
          <w:p w14:paraId="74BBE7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套</w:t>
            </w:r>
          </w:p>
        </w:tc>
        <w:tc>
          <w:tcPr>
            <w:tcW w:w="363" w:type="pct"/>
            <w:shd w:val="clear" w:color="auto" w:fill="auto"/>
            <w:vAlign w:val="center"/>
          </w:tcPr>
          <w:p w14:paraId="51F68C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5EA78C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3D2907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41DE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250EB8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6</w:t>
            </w:r>
          </w:p>
        </w:tc>
        <w:tc>
          <w:tcPr>
            <w:tcW w:w="991" w:type="pct"/>
            <w:shd w:val="clear" w:color="auto" w:fill="auto"/>
            <w:vAlign w:val="center"/>
          </w:tcPr>
          <w:p w14:paraId="7EEE64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手动1%透景卷帘</w:t>
            </w:r>
          </w:p>
        </w:tc>
        <w:tc>
          <w:tcPr>
            <w:tcW w:w="425" w:type="pct"/>
            <w:shd w:val="clear" w:color="auto" w:fill="auto"/>
            <w:vAlign w:val="center"/>
          </w:tcPr>
          <w:p w14:paraId="3E9C5C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1521748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722794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3366.16</w:t>
            </w:r>
          </w:p>
        </w:tc>
        <w:tc>
          <w:tcPr>
            <w:tcW w:w="649" w:type="pct"/>
            <w:shd w:val="clear" w:color="auto" w:fill="auto"/>
            <w:vAlign w:val="center"/>
          </w:tcPr>
          <w:p w14:paraId="04343E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平方米</w:t>
            </w:r>
          </w:p>
        </w:tc>
        <w:tc>
          <w:tcPr>
            <w:tcW w:w="363" w:type="pct"/>
            <w:shd w:val="clear" w:color="auto" w:fill="auto"/>
            <w:vAlign w:val="center"/>
          </w:tcPr>
          <w:p w14:paraId="51D6101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5309A8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044B339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78AF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015B36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7</w:t>
            </w:r>
          </w:p>
        </w:tc>
        <w:tc>
          <w:tcPr>
            <w:tcW w:w="991" w:type="pct"/>
            <w:shd w:val="clear" w:color="auto" w:fill="auto"/>
            <w:vAlign w:val="center"/>
          </w:tcPr>
          <w:p w14:paraId="041E5B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手动3%透景卷帘</w:t>
            </w:r>
          </w:p>
        </w:tc>
        <w:tc>
          <w:tcPr>
            <w:tcW w:w="425" w:type="pct"/>
            <w:shd w:val="clear" w:color="auto" w:fill="auto"/>
            <w:vAlign w:val="center"/>
          </w:tcPr>
          <w:p w14:paraId="0EC481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1B40AC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282CD6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3226.90</w:t>
            </w:r>
          </w:p>
        </w:tc>
        <w:tc>
          <w:tcPr>
            <w:tcW w:w="649" w:type="pct"/>
            <w:shd w:val="clear" w:color="auto" w:fill="auto"/>
            <w:vAlign w:val="center"/>
          </w:tcPr>
          <w:p w14:paraId="4742A50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平方米</w:t>
            </w:r>
          </w:p>
        </w:tc>
        <w:tc>
          <w:tcPr>
            <w:tcW w:w="363" w:type="pct"/>
            <w:shd w:val="clear" w:color="auto" w:fill="auto"/>
            <w:vAlign w:val="center"/>
          </w:tcPr>
          <w:p w14:paraId="092472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36D001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077C47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492C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6CE6CD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8</w:t>
            </w:r>
          </w:p>
        </w:tc>
        <w:tc>
          <w:tcPr>
            <w:tcW w:w="991" w:type="pct"/>
            <w:shd w:val="clear" w:color="auto" w:fill="auto"/>
            <w:vAlign w:val="center"/>
          </w:tcPr>
          <w:p w14:paraId="5E4D962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手动全遮光卷帘</w:t>
            </w:r>
          </w:p>
        </w:tc>
        <w:tc>
          <w:tcPr>
            <w:tcW w:w="425" w:type="pct"/>
            <w:shd w:val="clear" w:color="auto" w:fill="auto"/>
            <w:vAlign w:val="center"/>
          </w:tcPr>
          <w:p w14:paraId="5F55BF3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30B20A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423D09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929.20</w:t>
            </w:r>
          </w:p>
        </w:tc>
        <w:tc>
          <w:tcPr>
            <w:tcW w:w="649" w:type="pct"/>
            <w:shd w:val="clear" w:color="auto" w:fill="auto"/>
            <w:vAlign w:val="center"/>
          </w:tcPr>
          <w:p w14:paraId="39462CC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平方米</w:t>
            </w:r>
          </w:p>
        </w:tc>
        <w:tc>
          <w:tcPr>
            <w:tcW w:w="363" w:type="pct"/>
            <w:shd w:val="clear" w:color="auto" w:fill="auto"/>
            <w:vAlign w:val="center"/>
          </w:tcPr>
          <w:p w14:paraId="4274BC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3408B7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5C07FC4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57FB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5A2B7B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9</w:t>
            </w:r>
          </w:p>
        </w:tc>
        <w:tc>
          <w:tcPr>
            <w:tcW w:w="991" w:type="pct"/>
            <w:shd w:val="clear" w:color="auto" w:fill="auto"/>
            <w:vAlign w:val="center"/>
          </w:tcPr>
          <w:p w14:paraId="7F48C2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手动香格里拉帘</w:t>
            </w:r>
          </w:p>
        </w:tc>
        <w:tc>
          <w:tcPr>
            <w:tcW w:w="425" w:type="pct"/>
            <w:shd w:val="clear" w:color="auto" w:fill="auto"/>
            <w:vAlign w:val="center"/>
          </w:tcPr>
          <w:p w14:paraId="5B56FE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1BA386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67B77E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948.90</w:t>
            </w:r>
          </w:p>
        </w:tc>
        <w:tc>
          <w:tcPr>
            <w:tcW w:w="649" w:type="pct"/>
            <w:shd w:val="clear" w:color="auto" w:fill="auto"/>
            <w:vAlign w:val="center"/>
          </w:tcPr>
          <w:p w14:paraId="11795A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平方米</w:t>
            </w:r>
          </w:p>
        </w:tc>
        <w:tc>
          <w:tcPr>
            <w:tcW w:w="363" w:type="pct"/>
            <w:shd w:val="clear" w:color="auto" w:fill="auto"/>
            <w:vAlign w:val="center"/>
          </w:tcPr>
          <w:p w14:paraId="1C4D596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24F51F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46B719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6DC8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58734F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10</w:t>
            </w:r>
          </w:p>
        </w:tc>
        <w:tc>
          <w:tcPr>
            <w:tcW w:w="991" w:type="pct"/>
            <w:shd w:val="clear" w:color="auto" w:fill="auto"/>
            <w:vAlign w:val="center"/>
          </w:tcPr>
          <w:p w14:paraId="348311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手动防风卷帘</w:t>
            </w:r>
          </w:p>
        </w:tc>
        <w:tc>
          <w:tcPr>
            <w:tcW w:w="425" w:type="pct"/>
            <w:shd w:val="clear" w:color="auto" w:fill="auto"/>
            <w:vAlign w:val="center"/>
          </w:tcPr>
          <w:p w14:paraId="725F578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3EC77E2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3BC37F8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187.39</w:t>
            </w:r>
          </w:p>
        </w:tc>
        <w:tc>
          <w:tcPr>
            <w:tcW w:w="649" w:type="pct"/>
            <w:shd w:val="clear" w:color="auto" w:fill="auto"/>
            <w:vAlign w:val="center"/>
          </w:tcPr>
          <w:p w14:paraId="2C9B092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平方米</w:t>
            </w:r>
          </w:p>
        </w:tc>
        <w:tc>
          <w:tcPr>
            <w:tcW w:w="363" w:type="pct"/>
            <w:shd w:val="clear" w:color="auto" w:fill="auto"/>
            <w:vAlign w:val="center"/>
          </w:tcPr>
          <w:p w14:paraId="0C9030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761776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7C18CE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3659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48ED859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11</w:t>
            </w:r>
          </w:p>
        </w:tc>
        <w:tc>
          <w:tcPr>
            <w:tcW w:w="991" w:type="pct"/>
            <w:shd w:val="clear" w:color="auto" w:fill="auto"/>
            <w:vAlign w:val="center"/>
          </w:tcPr>
          <w:p w14:paraId="715227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床边隔帘</w:t>
            </w:r>
          </w:p>
        </w:tc>
        <w:tc>
          <w:tcPr>
            <w:tcW w:w="425" w:type="pct"/>
            <w:shd w:val="clear" w:color="auto" w:fill="auto"/>
            <w:vAlign w:val="center"/>
          </w:tcPr>
          <w:p w14:paraId="2B2ED7E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054F7F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4607D6C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1521</w:t>
            </w:r>
          </w:p>
        </w:tc>
        <w:tc>
          <w:tcPr>
            <w:tcW w:w="649" w:type="pct"/>
            <w:shd w:val="clear" w:color="auto" w:fill="auto"/>
            <w:vAlign w:val="center"/>
          </w:tcPr>
          <w:p w14:paraId="07EB91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平方米</w:t>
            </w:r>
          </w:p>
        </w:tc>
        <w:tc>
          <w:tcPr>
            <w:tcW w:w="363" w:type="pct"/>
            <w:shd w:val="clear" w:color="auto" w:fill="auto"/>
            <w:vAlign w:val="center"/>
          </w:tcPr>
          <w:p w14:paraId="4935843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4EDFB8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7AA9DF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6EE4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1689C5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sz w:val="24"/>
                <w:szCs w:val="24"/>
                <w:u w:val="none"/>
                <w:lang w:val="en-US" w:eastAsia="zh-CN"/>
              </w:rPr>
              <w:t>12</w:t>
            </w:r>
          </w:p>
        </w:tc>
        <w:tc>
          <w:tcPr>
            <w:tcW w:w="991" w:type="pct"/>
            <w:shd w:val="clear" w:color="auto" w:fill="auto"/>
            <w:vAlign w:val="center"/>
          </w:tcPr>
          <w:p w14:paraId="4A40E2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隔帘轨道</w:t>
            </w:r>
          </w:p>
        </w:tc>
        <w:tc>
          <w:tcPr>
            <w:tcW w:w="425" w:type="pct"/>
            <w:shd w:val="clear" w:color="auto" w:fill="auto"/>
            <w:vAlign w:val="center"/>
          </w:tcPr>
          <w:p w14:paraId="6856377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534602B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7167FD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390</w:t>
            </w:r>
          </w:p>
        </w:tc>
        <w:tc>
          <w:tcPr>
            <w:tcW w:w="649" w:type="pct"/>
            <w:shd w:val="clear" w:color="auto" w:fill="auto"/>
            <w:vAlign w:val="center"/>
          </w:tcPr>
          <w:p w14:paraId="1C21DB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米</w:t>
            </w:r>
          </w:p>
        </w:tc>
        <w:tc>
          <w:tcPr>
            <w:tcW w:w="363" w:type="pct"/>
            <w:shd w:val="clear" w:color="auto" w:fill="auto"/>
            <w:vAlign w:val="center"/>
          </w:tcPr>
          <w:p w14:paraId="6468F2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64932D4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6ED268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7B6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50DCF21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13</w:t>
            </w:r>
          </w:p>
        </w:tc>
        <w:tc>
          <w:tcPr>
            <w:tcW w:w="991" w:type="pct"/>
            <w:shd w:val="clear" w:color="auto" w:fill="auto"/>
            <w:vAlign w:val="center"/>
          </w:tcPr>
          <w:p w14:paraId="35BFAF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纱窗</w:t>
            </w:r>
          </w:p>
        </w:tc>
        <w:tc>
          <w:tcPr>
            <w:tcW w:w="425" w:type="pct"/>
            <w:shd w:val="clear" w:color="auto" w:fill="auto"/>
            <w:vAlign w:val="center"/>
          </w:tcPr>
          <w:p w14:paraId="145599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52F19A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65E3CB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1000</w:t>
            </w:r>
          </w:p>
        </w:tc>
        <w:tc>
          <w:tcPr>
            <w:tcW w:w="649" w:type="pct"/>
            <w:shd w:val="clear" w:color="auto" w:fill="auto"/>
            <w:vAlign w:val="center"/>
          </w:tcPr>
          <w:p w14:paraId="0A20C21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平方米</w:t>
            </w:r>
          </w:p>
        </w:tc>
        <w:tc>
          <w:tcPr>
            <w:tcW w:w="363" w:type="pct"/>
            <w:shd w:val="clear" w:color="auto" w:fill="auto"/>
            <w:vAlign w:val="center"/>
          </w:tcPr>
          <w:p w14:paraId="4611B0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0401EE3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70C49E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2F86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33" w:type="pct"/>
            <w:shd w:val="clear" w:color="auto" w:fill="auto"/>
            <w:vAlign w:val="center"/>
          </w:tcPr>
          <w:p w14:paraId="1E20DCB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14</w:t>
            </w:r>
          </w:p>
        </w:tc>
        <w:tc>
          <w:tcPr>
            <w:tcW w:w="991" w:type="pct"/>
            <w:shd w:val="clear" w:color="auto" w:fill="auto"/>
            <w:vAlign w:val="center"/>
          </w:tcPr>
          <w:p w14:paraId="7A04CA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磨砂膜</w:t>
            </w:r>
          </w:p>
        </w:tc>
        <w:tc>
          <w:tcPr>
            <w:tcW w:w="425" w:type="pct"/>
            <w:shd w:val="clear" w:color="auto" w:fill="auto"/>
            <w:vAlign w:val="center"/>
          </w:tcPr>
          <w:p w14:paraId="7DB6B7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478" w:type="pct"/>
            <w:shd w:val="clear" w:color="auto" w:fill="auto"/>
            <w:vAlign w:val="center"/>
          </w:tcPr>
          <w:p w14:paraId="1DAC927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27" w:type="pct"/>
            <w:shd w:val="clear" w:color="auto" w:fill="auto"/>
            <w:vAlign w:val="center"/>
          </w:tcPr>
          <w:p w14:paraId="075442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438.10</w:t>
            </w:r>
          </w:p>
        </w:tc>
        <w:tc>
          <w:tcPr>
            <w:tcW w:w="649" w:type="pct"/>
            <w:shd w:val="clear" w:color="auto" w:fill="auto"/>
            <w:vAlign w:val="center"/>
          </w:tcPr>
          <w:p w14:paraId="26520D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平方米</w:t>
            </w:r>
          </w:p>
        </w:tc>
        <w:tc>
          <w:tcPr>
            <w:tcW w:w="363" w:type="pct"/>
            <w:shd w:val="clear" w:color="auto" w:fill="auto"/>
            <w:vAlign w:val="center"/>
          </w:tcPr>
          <w:p w14:paraId="12AA15C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4" w:type="pct"/>
            <w:shd w:val="clear" w:color="auto" w:fill="auto"/>
            <w:vAlign w:val="center"/>
          </w:tcPr>
          <w:p w14:paraId="5A8BD90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0CF683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r w14:paraId="53BA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3770" w:type="pct"/>
            <w:gridSpan w:val="7"/>
            <w:shd w:val="clear" w:color="auto" w:fill="auto"/>
            <w:vAlign w:val="center"/>
          </w:tcPr>
          <w:p w14:paraId="46EF17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合计</w:t>
            </w:r>
          </w:p>
        </w:tc>
        <w:tc>
          <w:tcPr>
            <w:tcW w:w="614" w:type="pct"/>
            <w:shd w:val="clear" w:color="auto" w:fill="auto"/>
            <w:vAlign w:val="center"/>
          </w:tcPr>
          <w:p w14:paraId="5ACD109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c>
          <w:tcPr>
            <w:tcW w:w="615" w:type="pct"/>
            <w:shd w:val="clear" w:color="auto" w:fill="auto"/>
            <w:vAlign w:val="center"/>
          </w:tcPr>
          <w:p w14:paraId="7A5825D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jc w:val="center"/>
              <w:textAlignment w:val="center"/>
              <w:rPr>
                <w:rFonts w:hint="eastAsia" w:ascii="仿宋" w:hAnsi="仿宋" w:eastAsia="仿宋" w:cs="仿宋"/>
                <w:b w:val="0"/>
                <w:bCs w:val="0"/>
                <w:i w:val="0"/>
                <w:iCs w:val="0"/>
                <w:color w:val="000000"/>
                <w:sz w:val="24"/>
                <w:szCs w:val="24"/>
                <w:u w:val="none"/>
                <w:lang w:val="en-US" w:eastAsia="zh-CN"/>
              </w:rPr>
            </w:pPr>
          </w:p>
        </w:tc>
      </w:tr>
    </w:tbl>
    <w:p w14:paraId="00FE7308">
      <w:pPr>
        <w:keepNext w:val="0"/>
        <w:keepLines w:val="0"/>
        <w:wordWrap w:val="0"/>
        <w:topLinePunct/>
        <w:adjustRightInd w:val="0"/>
        <w:snapToGrid w:val="0"/>
        <w:spacing w:line="360" w:lineRule="auto"/>
        <w:rPr>
          <w:rFonts w:hint="eastAsia" w:ascii="仿宋" w:hAnsi="仿宋" w:eastAsia="仿宋" w:cs="仿宋"/>
          <w:kern w:val="0"/>
          <w:sz w:val="24"/>
          <w:szCs w:val="24"/>
          <w:highlight w:val="none"/>
          <w:lang w:val="zh-CN" w:eastAsia="zh-CN"/>
        </w:rPr>
      </w:pPr>
      <w:r>
        <w:rPr>
          <w:rFonts w:hint="eastAsia" w:ascii="仿宋" w:hAnsi="仿宋" w:eastAsia="仿宋" w:cs="仿宋"/>
          <w:kern w:val="0"/>
          <w:sz w:val="24"/>
          <w:szCs w:val="24"/>
          <w:highlight w:val="none"/>
          <w:lang w:val="zh-CN" w:eastAsia="zh-CN"/>
        </w:rPr>
        <w:t>注：</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val="zh-CN" w:eastAsia="zh-CN"/>
        </w:rPr>
        <w:t>所有辅料配件、现场安装及产生的垃圾清理费均包含在报价中。</w:t>
      </w:r>
    </w:p>
    <w:p w14:paraId="46A3452B">
      <w:pPr>
        <w:keepNext w:val="0"/>
        <w:keepLines w:val="0"/>
        <w:wordWrap w:val="0"/>
        <w:topLinePunct/>
        <w:adjustRightInd w:val="0"/>
        <w:snapToGrid w:val="0"/>
        <w:spacing w:line="360" w:lineRule="auto"/>
        <w:ind w:firstLine="480" w:firstLineChars="200"/>
        <w:rPr>
          <w:rFonts w:hint="eastAsia" w:ascii="仿宋" w:hAnsi="仿宋" w:eastAsia="仿宋" w:cs="仿宋"/>
          <w:kern w:val="0"/>
          <w:sz w:val="24"/>
          <w:szCs w:val="24"/>
          <w:highlight w:val="none"/>
          <w:lang w:val="zh-CN"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val="zh-CN" w:eastAsia="zh-CN"/>
        </w:rPr>
        <w:t>本项目投标总价包含现场踏勘费、</w:t>
      </w:r>
      <w:r>
        <w:rPr>
          <w:rFonts w:hint="eastAsia" w:ascii="仿宋" w:hAnsi="仿宋" w:eastAsia="仿宋" w:cs="仿宋"/>
          <w:kern w:val="0"/>
          <w:sz w:val="24"/>
          <w:szCs w:val="24"/>
          <w:highlight w:val="none"/>
          <w:lang w:val="en-US" w:eastAsia="zh-CN"/>
        </w:rPr>
        <w:t>货物出厂</w:t>
      </w:r>
      <w:r>
        <w:rPr>
          <w:rFonts w:hint="eastAsia" w:ascii="仿宋" w:hAnsi="仿宋" w:eastAsia="仿宋" w:cs="仿宋"/>
          <w:kern w:val="0"/>
          <w:sz w:val="24"/>
          <w:szCs w:val="24"/>
          <w:highlight w:val="none"/>
          <w:lang w:val="zh-CN" w:eastAsia="zh-CN"/>
        </w:rPr>
        <w:t>费、运杂费、复尺费、安装费、调试费、检测费、验收费、售后及质保服务费、垃圾清理费、</w:t>
      </w:r>
      <w:r>
        <w:rPr>
          <w:rFonts w:hint="eastAsia" w:ascii="仿宋" w:hAnsi="仿宋" w:eastAsia="仿宋" w:cs="仿宋"/>
          <w:kern w:val="0"/>
          <w:sz w:val="24"/>
          <w:szCs w:val="24"/>
          <w:highlight w:val="none"/>
          <w:lang w:val="en-US" w:eastAsia="zh-CN"/>
        </w:rPr>
        <w:t>企业</w:t>
      </w:r>
      <w:r>
        <w:rPr>
          <w:rFonts w:hint="eastAsia" w:ascii="仿宋" w:hAnsi="仿宋" w:eastAsia="仿宋" w:cs="仿宋"/>
          <w:kern w:val="0"/>
          <w:sz w:val="24"/>
          <w:szCs w:val="24"/>
          <w:highlight w:val="none"/>
          <w:lang w:val="zh-CN" w:eastAsia="zh-CN"/>
        </w:rPr>
        <w:t>管理费、利润、税金等一切费用。本项目还应包括场地及原有设备的保护措施费、现场安装施工组织（含安全文明施工）措施费等。除产品外若未明确相应报价的，视为已综合考虑在产品综合单价内，中标后不做调整与补偿。</w:t>
      </w:r>
    </w:p>
    <w:p w14:paraId="5FB87B8D">
      <w:pPr>
        <w:keepNext w:val="0"/>
        <w:keepLines w:val="0"/>
        <w:wordWrap w:val="0"/>
        <w:topLinePunct/>
        <w:adjustRightInd w:val="0"/>
        <w:snapToGrid w:val="0"/>
        <w:spacing w:line="360" w:lineRule="auto"/>
        <w:rPr>
          <w:rFonts w:hint="eastAsia" w:ascii="仿宋" w:hAnsi="仿宋" w:eastAsia="仿宋" w:cs="仿宋"/>
          <w:kern w:val="0"/>
          <w:sz w:val="24"/>
          <w:szCs w:val="24"/>
          <w:highlight w:val="none"/>
          <w:lang w:val="zh-CN" w:eastAsia="zh-CN"/>
        </w:rPr>
      </w:pPr>
    </w:p>
    <w:p w14:paraId="2C42D131">
      <w:pPr>
        <w:keepNext w:val="0"/>
        <w:keepLines w:val="0"/>
        <w:wordWrap w:val="0"/>
        <w:topLinePunct/>
        <w:adjustRightInd w:val="0"/>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投标人（电子签名)：</w:t>
      </w:r>
    </w:p>
    <w:p w14:paraId="73BC4157">
      <w:pPr>
        <w:keepNext w:val="0"/>
        <w:keepLines w:val="0"/>
        <w:wordWrap w:val="0"/>
        <w:topLinePunct/>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zh-CN"/>
        </w:rPr>
        <w:t>月日</w:t>
      </w:r>
    </w:p>
    <w:p w14:paraId="51345B2C">
      <w:pPr>
        <w:wordWrap w:val="0"/>
        <w:topLinePunct/>
        <w:spacing w:line="360" w:lineRule="auto"/>
        <w:ind w:firstLine="0" w:firstLineChars="0"/>
        <w:jc w:val="center"/>
        <w:rPr>
          <w:rFonts w:hint="eastAsia" w:ascii="仿宋" w:hAnsi="仿宋" w:eastAsia="仿宋" w:cs="仿宋"/>
          <w:kern w:val="0"/>
          <w:sz w:val="30"/>
          <w:highlight w:val="none"/>
          <w:lang w:val="en-US" w:eastAsia="zh-CN"/>
        </w:rPr>
      </w:pPr>
    </w:p>
    <w:p w14:paraId="54BA7DBF">
      <w:pPr>
        <w:wordWrap w:val="0"/>
        <w:topLinePunct/>
        <w:spacing w:line="360" w:lineRule="auto"/>
        <w:ind w:firstLine="0" w:firstLineChars="0"/>
        <w:jc w:val="center"/>
        <w:rPr>
          <w:rFonts w:hint="eastAsia" w:ascii="仿宋" w:hAnsi="仿宋" w:eastAsia="仿宋" w:cs="仿宋"/>
          <w:kern w:val="0"/>
          <w:sz w:val="30"/>
          <w:highlight w:val="none"/>
          <w:lang w:val="en-US" w:eastAsia="zh-CN"/>
        </w:rPr>
        <w:sectPr>
          <w:footerReference r:id="rId12" w:type="default"/>
          <w:pgSz w:w="11906" w:h="16838"/>
          <w:pgMar w:top="1440" w:right="1800" w:bottom="1440" w:left="1800" w:header="851" w:footer="992" w:gutter="0"/>
          <w:pgNumType w:fmt="decimal"/>
          <w:cols w:space="425" w:num="1"/>
          <w:docGrid w:type="lines" w:linePitch="312" w:charSpace="0"/>
        </w:sectPr>
      </w:pPr>
    </w:p>
    <w:p w14:paraId="4713D795">
      <w:pPr>
        <w:pStyle w:val="25"/>
        <w:keepNext w:val="0"/>
        <w:keepLines w:val="0"/>
        <w:tabs>
          <w:tab w:val="left" w:pos="450"/>
        </w:tabs>
        <w:wordWrap w:val="0"/>
        <w:topLinePunct/>
        <w:spacing w:line="360" w:lineRule="auto"/>
        <w:rPr>
          <w:rFonts w:hint="eastAsia" w:ascii="仿宋" w:hAnsi="仿宋" w:eastAsia="仿宋" w:cs="仿宋"/>
          <w:sz w:val="30"/>
          <w:highlight w:val="none"/>
        </w:rPr>
      </w:pPr>
      <w:r>
        <w:rPr>
          <w:rFonts w:hint="eastAsia" w:ascii="仿宋" w:hAnsi="仿宋" w:eastAsia="仿宋" w:cs="仿宋"/>
          <w:sz w:val="30"/>
          <w:highlight w:val="none"/>
        </w:rPr>
        <w:t>附件三</w:t>
      </w:r>
    </w:p>
    <w:p w14:paraId="30E87E7A">
      <w:pPr>
        <w:pStyle w:val="25"/>
        <w:keepNext w:val="0"/>
        <w:keepLines w:val="0"/>
        <w:tabs>
          <w:tab w:val="left" w:pos="450"/>
        </w:tabs>
        <w:wordWrap w:val="0"/>
        <w:topLinePunct/>
        <w:spacing w:line="360" w:lineRule="auto"/>
        <w:ind w:left="263" w:leftChars="125"/>
        <w:rPr>
          <w:rFonts w:hint="eastAsia" w:ascii="仿宋" w:hAnsi="仿宋" w:eastAsia="仿宋" w:cs="仿宋"/>
          <w:sz w:val="32"/>
          <w:szCs w:val="32"/>
          <w:highlight w:val="none"/>
        </w:rPr>
      </w:pPr>
    </w:p>
    <w:p w14:paraId="44404728">
      <w:pPr>
        <w:keepNext w:val="0"/>
        <w:keepLines w:val="0"/>
        <w:wordWrap w:val="0"/>
        <w:topLinePunct/>
        <w:spacing w:line="360" w:lineRule="auto"/>
        <w:jc w:val="center"/>
        <w:outlineLvl w:val="1"/>
        <w:rPr>
          <w:rFonts w:hint="eastAsia" w:ascii="仿宋" w:hAnsi="仿宋" w:eastAsia="仿宋" w:cs="仿宋"/>
          <w:b/>
          <w:sz w:val="32"/>
          <w:highlight w:val="none"/>
        </w:rPr>
      </w:pPr>
      <w:r>
        <w:rPr>
          <w:rFonts w:hint="eastAsia" w:ascii="仿宋" w:hAnsi="仿宋" w:eastAsia="仿宋" w:cs="仿宋"/>
          <w:b/>
          <w:sz w:val="32"/>
          <w:highlight w:val="none"/>
        </w:rPr>
        <w:t>投标声明书</w:t>
      </w:r>
    </w:p>
    <w:p w14:paraId="6C712B5B">
      <w:pPr>
        <w:pStyle w:val="25"/>
        <w:keepNext w:val="0"/>
        <w:keepLines w:val="0"/>
        <w:wordWrap w:val="0"/>
        <w:topLinePunct/>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eastAsia="zh-CN"/>
        </w:rPr>
        <w:t>新昌县城市建设投资集团有限公司</w:t>
      </w:r>
      <w:r>
        <w:rPr>
          <w:rFonts w:hint="eastAsia" w:ascii="仿宋" w:hAnsi="仿宋" w:eastAsia="仿宋" w:cs="仿宋"/>
          <w:sz w:val="24"/>
          <w:szCs w:val="24"/>
          <w:highlight w:val="none"/>
        </w:rPr>
        <w:t>：</w:t>
      </w:r>
    </w:p>
    <w:p w14:paraId="6B88B651">
      <w:pPr>
        <w:snapToGrid w:val="0"/>
        <w:spacing w:line="39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本单位自愿参加</w:t>
      </w:r>
      <w:r>
        <w:rPr>
          <w:rFonts w:hint="eastAsia" w:ascii="仿宋" w:hAnsi="仿宋" w:eastAsia="仿宋" w:cs="仿宋"/>
          <w:sz w:val="24"/>
          <w:szCs w:val="24"/>
          <w:highlight w:val="none"/>
          <w:u w:val="single"/>
          <w:lang w:eastAsia="zh-CN"/>
        </w:rPr>
        <w:t>新昌县人民医院迁建工程-窗帘采购项目（</w:t>
      </w:r>
      <w:r>
        <w:rPr>
          <w:rFonts w:hint="eastAsia" w:ascii="仿宋" w:hAnsi="仿宋" w:eastAsia="仿宋" w:cs="仿宋"/>
          <w:sz w:val="24"/>
          <w:szCs w:val="24"/>
          <w:highlight w:val="none"/>
          <w:u w:val="single"/>
          <w:lang w:val="en-US" w:eastAsia="zh-CN"/>
        </w:rPr>
        <w:t>项目编号：</w:t>
      </w:r>
      <w:r>
        <w:rPr>
          <w:rFonts w:hint="eastAsia" w:ascii="仿宋" w:hAnsi="仿宋" w:eastAsia="仿宋" w:cs="仿宋"/>
          <w:sz w:val="24"/>
          <w:szCs w:val="24"/>
          <w:highlight w:val="none"/>
          <w:u w:val="single"/>
          <w:lang w:eastAsia="zh-CN"/>
        </w:rPr>
        <w:t>GJXC-2025-24</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rPr>
        <w:t>的投标，并保证投标文件中所列举的投标报价文件及相关资料和公司基本情况资料是真实的、合法的。为此，我方就本次投标有关事项郑重声明如下：</w:t>
      </w:r>
    </w:p>
    <w:p w14:paraId="5C04B7C3">
      <w:pPr>
        <w:numPr>
          <w:ilvl w:val="0"/>
          <w:numId w:val="15"/>
        </w:numPr>
        <w:snapToGrid w:val="0"/>
        <w:spacing w:line="39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我单位具有独立承担民事责任的能力、具有良好的商业信誉和健全的财务会计制度、具有履行合同所必需的设备和专业技术能力、</w:t>
      </w:r>
      <w:r>
        <w:rPr>
          <w:rFonts w:hint="eastAsia" w:ascii="仿宋" w:hAnsi="仿宋" w:eastAsia="仿宋" w:cs="仿宋"/>
          <w:sz w:val="24"/>
          <w:szCs w:val="24"/>
          <w:highlight w:val="none"/>
          <w:lang w:val="en-US" w:eastAsia="zh-CN"/>
        </w:rPr>
        <w:t>具</w:t>
      </w:r>
      <w:r>
        <w:rPr>
          <w:rFonts w:hint="eastAsia" w:ascii="仿宋" w:hAnsi="仿宋" w:eastAsia="仿宋" w:cs="仿宋"/>
          <w:sz w:val="24"/>
          <w:szCs w:val="24"/>
          <w:highlight w:val="none"/>
        </w:rPr>
        <w:t>有依法缴纳税收和社会保障资金的良好记录。</w:t>
      </w:r>
    </w:p>
    <w:p w14:paraId="21AD6267">
      <w:pPr>
        <w:numPr>
          <w:ilvl w:val="0"/>
          <w:numId w:val="15"/>
        </w:numPr>
        <w:snapToGrid w:val="0"/>
        <w:spacing w:line="39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参加采购活动前三年内，在经营活动中没有重大违法记录（</w:t>
      </w:r>
      <w:r>
        <w:rPr>
          <w:rFonts w:hint="eastAsia" w:ascii="仿宋" w:hAnsi="仿宋" w:eastAsia="仿宋" w:cs="仿宋"/>
          <w:sz w:val="24"/>
          <w:highlight w:val="none"/>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严重失信行为和行贿记录。</w:t>
      </w:r>
    </w:p>
    <w:p w14:paraId="16B28FB9">
      <w:pPr>
        <w:numPr>
          <w:ilvl w:val="0"/>
          <w:numId w:val="15"/>
        </w:numPr>
        <w:snapToGrid w:val="0"/>
        <w:spacing w:line="39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不存在以下情况：</w:t>
      </w:r>
    </w:p>
    <w:p w14:paraId="0B89DB0E">
      <w:pPr>
        <w:numPr>
          <w:ilvl w:val="-1"/>
          <w:numId w:val="0"/>
        </w:numPr>
        <w:snapToGrid w:val="0"/>
        <w:spacing w:line="39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单位负责人为同一人或者存在直接控股、管理关系的不同供应商，不得参加同一合同项下的采购活动</w:t>
      </w:r>
      <w:r>
        <w:rPr>
          <w:rFonts w:hint="eastAsia" w:ascii="仿宋" w:hAnsi="仿宋" w:eastAsia="仿宋" w:cs="仿宋"/>
          <w:sz w:val="24"/>
          <w:szCs w:val="24"/>
          <w:highlight w:val="none"/>
          <w:lang w:eastAsia="zh-CN"/>
        </w:rPr>
        <w:t>；</w:t>
      </w:r>
    </w:p>
    <w:p w14:paraId="5510D1DE">
      <w:pPr>
        <w:numPr>
          <w:ilvl w:val="-1"/>
          <w:numId w:val="0"/>
        </w:numPr>
        <w:snapToGrid w:val="0"/>
        <w:spacing w:line="39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2.为采购项目提供整体设计、规范编制或者项目管理、监理、检测等服务后再参加该采购项目的其他采购活动的。</w:t>
      </w:r>
    </w:p>
    <w:p w14:paraId="1E38ABC8">
      <w:pPr>
        <w:snapToGrid w:val="0"/>
        <w:spacing w:line="39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如有虚假或隐瞒，我方愿意承担一切后果，并不再寻求任何旨在减轻或免除法律责任的辩解。</w:t>
      </w:r>
    </w:p>
    <w:p w14:paraId="260B45BA">
      <w:pPr>
        <w:snapToGrid w:val="0"/>
        <w:spacing w:line="390" w:lineRule="exact"/>
        <w:ind w:firstLine="480" w:firstLineChars="200"/>
        <w:rPr>
          <w:rFonts w:hint="eastAsia" w:ascii="仿宋" w:hAnsi="仿宋" w:eastAsia="仿宋" w:cs="仿宋"/>
          <w:sz w:val="24"/>
          <w:szCs w:val="24"/>
          <w:highlight w:val="none"/>
        </w:rPr>
      </w:pPr>
    </w:p>
    <w:p w14:paraId="3CA79BBD">
      <w:pPr>
        <w:snapToGrid w:val="0"/>
        <w:spacing w:line="39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lang w:val="en-US" w:eastAsia="zh-CN"/>
        </w:rPr>
        <w:t>电子签名</w:t>
      </w:r>
      <w:r>
        <w:rPr>
          <w:rFonts w:hint="eastAsia" w:ascii="仿宋" w:hAnsi="仿宋" w:eastAsia="仿宋" w:cs="仿宋"/>
          <w:sz w:val="24"/>
          <w:szCs w:val="24"/>
          <w:highlight w:val="none"/>
        </w:rPr>
        <w:t>）：</w:t>
      </w:r>
    </w:p>
    <w:p w14:paraId="624E9A4B">
      <w:pPr>
        <w:ind w:right="1021" w:firstLine="480" w:firstLineChars="200"/>
        <w:jc w:val="left"/>
        <w:rPr>
          <w:rFonts w:hint="eastAsia" w:ascii="仿宋" w:hAnsi="仿宋" w:eastAsia="仿宋" w:cs="仿宋"/>
          <w:sz w:val="48"/>
          <w:szCs w:val="48"/>
          <w:highlight w:val="none"/>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4"/>
          <w:szCs w:val="24"/>
          <w:highlight w:val="none"/>
          <w:lang w:val="zh-CN"/>
        </w:rPr>
        <w:t>日期：  年  月   日</w:t>
      </w:r>
    </w:p>
    <w:p w14:paraId="7418DA69">
      <w:pPr>
        <w:pStyle w:val="25"/>
        <w:keepNext w:val="0"/>
        <w:keepLines w:val="0"/>
        <w:tabs>
          <w:tab w:val="left" w:pos="450"/>
        </w:tabs>
        <w:wordWrap w:val="0"/>
        <w:topLinePunct/>
        <w:rPr>
          <w:rFonts w:hint="eastAsia" w:ascii="仿宋" w:hAnsi="仿宋" w:eastAsia="仿宋" w:cs="仿宋"/>
          <w:sz w:val="30"/>
          <w:highlight w:val="none"/>
        </w:rPr>
      </w:pPr>
      <w:r>
        <w:rPr>
          <w:rFonts w:hint="eastAsia" w:ascii="仿宋" w:hAnsi="仿宋" w:eastAsia="仿宋" w:cs="仿宋"/>
          <w:sz w:val="30"/>
          <w:highlight w:val="none"/>
        </w:rPr>
        <w:t>附件四</w:t>
      </w:r>
    </w:p>
    <w:p w14:paraId="451980CC">
      <w:pPr>
        <w:keepNext w:val="0"/>
        <w:keepLines w:val="0"/>
        <w:wordWrap w:val="0"/>
        <w:topLinePunct/>
        <w:spacing w:line="360" w:lineRule="auto"/>
        <w:jc w:val="center"/>
        <w:outlineLvl w:val="1"/>
        <w:rPr>
          <w:rFonts w:hint="eastAsia" w:ascii="仿宋" w:hAnsi="仿宋" w:eastAsia="仿宋" w:cs="仿宋"/>
          <w:b/>
          <w:sz w:val="32"/>
          <w:highlight w:val="none"/>
        </w:rPr>
      </w:pPr>
      <w:r>
        <w:rPr>
          <w:rFonts w:hint="eastAsia" w:ascii="仿宋" w:hAnsi="仿宋" w:eastAsia="仿宋" w:cs="仿宋"/>
          <w:b/>
          <w:sz w:val="32"/>
          <w:highlight w:val="none"/>
        </w:rPr>
        <w:t>投标内容对应表</w:t>
      </w:r>
    </w:p>
    <w:tbl>
      <w:tblPr>
        <w:tblStyle w:val="4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0"/>
        <w:gridCol w:w="4500"/>
        <w:gridCol w:w="1080"/>
      </w:tblGrid>
      <w:tr w14:paraId="0507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00" w:type="dxa"/>
            <w:vAlign w:val="center"/>
          </w:tcPr>
          <w:p w14:paraId="2DDA4ABF">
            <w:pPr>
              <w:keepNext w:val="0"/>
              <w:keepLines w:val="0"/>
              <w:suppressLineNumbers w:val="0"/>
              <w:wordWrap w:val="0"/>
              <w:topLinePunct/>
              <w:spacing w:before="0" w:beforeAutospacing="0" w:after="0" w:afterAutospacing="0"/>
              <w:ind w:left="0" w:right="0"/>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2880" w:type="dxa"/>
            <w:vAlign w:val="center"/>
          </w:tcPr>
          <w:p w14:paraId="22140C5B">
            <w:pPr>
              <w:keepNext w:val="0"/>
              <w:keepLines w:val="0"/>
              <w:suppressLineNumbers w:val="0"/>
              <w:wordWrap w:val="0"/>
              <w:topLinePunct/>
              <w:spacing w:before="0" w:beforeAutospacing="0" w:after="0" w:afterAutospacing="0"/>
              <w:ind w:left="0" w:right="0"/>
              <w:jc w:val="center"/>
              <w:rPr>
                <w:rFonts w:hint="eastAsia" w:ascii="仿宋" w:hAnsi="仿宋" w:eastAsia="仿宋" w:cs="仿宋"/>
                <w:b/>
                <w:bCs/>
                <w:szCs w:val="21"/>
                <w:highlight w:val="none"/>
              </w:rPr>
            </w:pPr>
            <w:r>
              <w:rPr>
                <w:rFonts w:hint="eastAsia" w:ascii="仿宋" w:hAnsi="仿宋" w:eastAsia="仿宋" w:cs="仿宋"/>
                <w:b/>
                <w:bCs/>
                <w:szCs w:val="21"/>
                <w:highlight w:val="none"/>
              </w:rPr>
              <w:t>评审内容</w:t>
            </w:r>
          </w:p>
        </w:tc>
        <w:tc>
          <w:tcPr>
            <w:tcW w:w="4500" w:type="dxa"/>
            <w:vAlign w:val="center"/>
          </w:tcPr>
          <w:p w14:paraId="0F21F901">
            <w:pPr>
              <w:keepNext w:val="0"/>
              <w:keepLines w:val="0"/>
              <w:suppressLineNumbers w:val="0"/>
              <w:wordWrap w:val="0"/>
              <w:topLinePunct/>
              <w:spacing w:before="0" w:beforeAutospacing="0" w:after="0" w:afterAutospacing="0"/>
              <w:ind w:left="0" w:right="0"/>
              <w:jc w:val="center"/>
              <w:rPr>
                <w:rFonts w:hint="eastAsia" w:ascii="仿宋" w:hAnsi="仿宋" w:eastAsia="仿宋" w:cs="仿宋"/>
                <w:b/>
                <w:bCs/>
                <w:szCs w:val="21"/>
                <w:highlight w:val="none"/>
              </w:rPr>
            </w:pPr>
            <w:r>
              <w:rPr>
                <w:rFonts w:hint="eastAsia" w:ascii="仿宋" w:hAnsi="仿宋" w:eastAsia="仿宋" w:cs="仿宋"/>
                <w:b/>
                <w:bCs/>
                <w:szCs w:val="21"/>
                <w:highlight w:val="none"/>
              </w:rPr>
              <w:t>投标文件对应内容位置</w:t>
            </w:r>
          </w:p>
        </w:tc>
        <w:tc>
          <w:tcPr>
            <w:tcW w:w="1080" w:type="dxa"/>
            <w:vAlign w:val="center"/>
          </w:tcPr>
          <w:p w14:paraId="7234736C">
            <w:pPr>
              <w:keepNext w:val="0"/>
              <w:keepLines w:val="0"/>
              <w:suppressLineNumbers w:val="0"/>
              <w:wordWrap w:val="0"/>
              <w:topLinePunct/>
              <w:spacing w:before="0" w:beforeAutospacing="0" w:after="0" w:afterAutospacing="0"/>
              <w:ind w:left="0" w:right="0"/>
              <w:jc w:val="center"/>
              <w:rPr>
                <w:rFonts w:hint="eastAsia" w:ascii="仿宋" w:hAnsi="仿宋" w:eastAsia="仿宋" w:cs="仿宋"/>
                <w:b/>
                <w:bCs/>
                <w:szCs w:val="21"/>
                <w:highlight w:val="none"/>
              </w:rPr>
            </w:pPr>
            <w:r>
              <w:rPr>
                <w:rFonts w:hint="eastAsia" w:ascii="仿宋" w:hAnsi="仿宋" w:eastAsia="仿宋" w:cs="仿宋"/>
                <w:b/>
                <w:bCs/>
                <w:szCs w:val="21"/>
                <w:highlight w:val="none"/>
              </w:rPr>
              <w:t>备注</w:t>
            </w:r>
          </w:p>
        </w:tc>
      </w:tr>
      <w:tr w14:paraId="1F66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1015D224">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880" w:type="dxa"/>
            <w:vAlign w:val="center"/>
          </w:tcPr>
          <w:p w14:paraId="392A3990">
            <w:pPr>
              <w:keepNext w:val="0"/>
              <w:keepLines w:val="0"/>
              <w:suppressLineNumbers w:val="0"/>
              <w:wordWrap w:val="0"/>
              <w:topLinePunct/>
              <w:adjustRightInd w:val="0"/>
              <w:snapToGrid w:val="0"/>
              <w:spacing w:before="0" w:beforeAutospacing="0" w:after="0" w:afterAutospacing="0"/>
              <w:ind w:left="0" w:right="0"/>
              <w:rPr>
                <w:rFonts w:hint="eastAsia" w:ascii="仿宋" w:hAnsi="仿宋" w:eastAsia="仿宋" w:cs="仿宋"/>
                <w:szCs w:val="21"/>
                <w:highlight w:val="none"/>
              </w:rPr>
            </w:pPr>
          </w:p>
        </w:tc>
        <w:tc>
          <w:tcPr>
            <w:tcW w:w="4500" w:type="dxa"/>
            <w:vAlign w:val="center"/>
          </w:tcPr>
          <w:p w14:paraId="2A039E0A">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u w:val="single"/>
              </w:rPr>
            </w:pPr>
            <w:r>
              <w:rPr>
                <w:rFonts w:hint="eastAsia" w:ascii="仿宋" w:hAnsi="仿宋" w:eastAsia="仿宋" w:cs="仿宋"/>
                <w:szCs w:val="21"/>
                <w:highlight w:val="none"/>
              </w:rPr>
              <w:t>在第页提供</w:t>
            </w:r>
          </w:p>
        </w:tc>
        <w:tc>
          <w:tcPr>
            <w:tcW w:w="1080" w:type="dxa"/>
            <w:vAlign w:val="center"/>
          </w:tcPr>
          <w:p w14:paraId="037B294B">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p>
        </w:tc>
      </w:tr>
      <w:tr w14:paraId="2467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7BADB44E">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880" w:type="dxa"/>
            <w:vAlign w:val="center"/>
          </w:tcPr>
          <w:p w14:paraId="50227E07">
            <w:pPr>
              <w:keepNext w:val="0"/>
              <w:keepLines w:val="0"/>
              <w:suppressLineNumbers w:val="0"/>
              <w:wordWrap w:val="0"/>
              <w:topLinePunct/>
              <w:adjustRightInd w:val="0"/>
              <w:snapToGrid w:val="0"/>
              <w:spacing w:before="0" w:beforeAutospacing="0" w:after="0" w:afterAutospacing="0"/>
              <w:ind w:left="0" w:right="0"/>
              <w:rPr>
                <w:rFonts w:hint="eastAsia" w:ascii="仿宋" w:hAnsi="仿宋" w:eastAsia="仿宋" w:cs="仿宋"/>
                <w:szCs w:val="21"/>
                <w:highlight w:val="none"/>
              </w:rPr>
            </w:pPr>
          </w:p>
        </w:tc>
        <w:tc>
          <w:tcPr>
            <w:tcW w:w="4500" w:type="dxa"/>
            <w:vAlign w:val="center"/>
          </w:tcPr>
          <w:p w14:paraId="29EE1073">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在第页提供</w:t>
            </w:r>
          </w:p>
        </w:tc>
        <w:tc>
          <w:tcPr>
            <w:tcW w:w="1080" w:type="dxa"/>
            <w:vAlign w:val="center"/>
          </w:tcPr>
          <w:p w14:paraId="15CC1721">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p>
        </w:tc>
      </w:tr>
      <w:tr w14:paraId="1F77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1EFC5E9C">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880" w:type="dxa"/>
            <w:vAlign w:val="center"/>
          </w:tcPr>
          <w:p w14:paraId="4F39878E">
            <w:pPr>
              <w:keepNext w:val="0"/>
              <w:keepLines w:val="0"/>
              <w:suppressLineNumbers w:val="0"/>
              <w:wordWrap w:val="0"/>
              <w:topLinePunct/>
              <w:adjustRightInd w:val="0"/>
              <w:snapToGrid w:val="0"/>
              <w:spacing w:before="0" w:beforeAutospacing="0" w:after="0" w:afterAutospacing="0"/>
              <w:ind w:left="0" w:right="0"/>
              <w:rPr>
                <w:rFonts w:hint="eastAsia" w:ascii="仿宋" w:hAnsi="仿宋" w:eastAsia="仿宋" w:cs="仿宋"/>
                <w:szCs w:val="21"/>
                <w:highlight w:val="none"/>
              </w:rPr>
            </w:pPr>
          </w:p>
        </w:tc>
        <w:tc>
          <w:tcPr>
            <w:tcW w:w="4500" w:type="dxa"/>
            <w:vAlign w:val="center"/>
          </w:tcPr>
          <w:p w14:paraId="6DDF4D15">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在第页提供</w:t>
            </w:r>
          </w:p>
        </w:tc>
        <w:tc>
          <w:tcPr>
            <w:tcW w:w="1080" w:type="dxa"/>
            <w:vAlign w:val="center"/>
          </w:tcPr>
          <w:p w14:paraId="3D2DEE9C">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p>
        </w:tc>
      </w:tr>
      <w:tr w14:paraId="4A48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319B2D33">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880" w:type="dxa"/>
            <w:vAlign w:val="center"/>
          </w:tcPr>
          <w:p w14:paraId="1FD88860">
            <w:pPr>
              <w:keepNext w:val="0"/>
              <w:keepLines w:val="0"/>
              <w:suppressLineNumbers w:val="0"/>
              <w:wordWrap w:val="0"/>
              <w:topLinePunct/>
              <w:adjustRightInd w:val="0"/>
              <w:snapToGrid w:val="0"/>
              <w:spacing w:before="0" w:beforeAutospacing="0" w:after="0" w:afterAutospacing="0"/>
              <w:ind w:left="0" w:right="0"/>
              <w:rPr>
                <w:rFonts w:hint="eastAsia" w:ascii="仿宋" w:hAnsi="仿宋" w:eastAsia="仿宋" w:cs="仿宋"/>
                <w:szCs w:val="21"/>
                <w:highlight w:val="none"/>
              </w:rPr>
            </w:pPr>
          </w:p>
        </w:tc>
        <w:tc>
          <w:tcPr>
            <w:tcW w:w="4500" w:type="dxa"/>
            <w:vAlign w:val="center"/>
          </w:tcPr>
          <w:p w14:paraId="327F523F">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在第页提供</w:t>
            </w:r>
          </w:p>
        </w:tc>
        <w:tc>
          <w:tcPr>
            <w:tcW w:w="1080" w:type="dxa"/>
            <w:vAlign w:val="center"/>
          </w:tcPr>
          <w:p w14:paraId="7AC6D692">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p>
        </w:tc>
      </w:tr>
      <w:tr w14:paraId="72C9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6D089E4F">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880" w:type="dxa"/>
            <w:vAlign w:val="center"/>
          </w:tcPr>
          <w:p w14:paraId="51C2A5BF">
            <w:pPr>
              <w:keepNext w:val="0"/>
              <w:keepLines w:val="0"/>
              <w:suppressLineNumbers w:val="0"/>
              <w:wordWrap w:val="0"/>
              <w:topLinePunct/>
              <w:adjustRightInd w:val="0"/>
              <w:snapToGrid w:val="0"/>
              <w:spacing w:before="0" w:beforeAutospacing="0" w:after="0" w:afterAutospacing="0"/>
              <w:ind w:left="0" w:right="0"/>
              <w:rPr>
                <w:rFonts w:hint="eastAsia" w:ascii="仿宋" w:hAnsi="仿宋" w:eastAsia="仿宋" w:cs="仿宋"/>
                <w:szCs w:val="21"/>
                <w:highlight w:val="none"/>
              </w:rPr>
            </w:pPr>
          </w:p>
        </w:tc>
        <w:tc>
          <w:tcPr>
            <w:tcW w:w="4500" w:type="dxa"/>
            <w:vAlign w:val="center"/>
          </w:tcPr>
          <w:p w14:paraId="0AA1F35E">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u w:val="single"/>
              </w:rPr>
            </w:pPr>
            <w:r>
              <w:rPr>
                <w:rFonts w:hint="eastAsia" w:ascii="仿宋" w:hAnsi="仿宋" w:eastAsia="仿宋" w:cs="仿宋"/>
                <w:szCs w:val="21"/>
                <w:highlight w:val="none"/>
              </w:rPr>
              <w:t>在第页提供</w:t>
            </w:r>
          </w:p>
        </w:tc>
        <w:tc>
          <w:tcPr>
            <w:tcW w:w="1080" w:type="dxa"/>
            <w:vAlign w:val="center"/>
          </w:tcPr>
          <w:p w14:paraId="0B67D14E">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p>
        </w:tc>
      </w:tr>
      <w:tr w14:paraId="7F24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1E1F8A3B">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880" w:type="dxa"/>
            <w:vAlign w:val="center"/>
          </w:tcPr>
          <w:p w14:paraId="3E16A075">
            <w:pPr>
              <w:keepNext w:val="0"/>
              <w:keepLines w:val="0"/>
              <w:suppressLineNumbers w:val="0"/>
              <w:wordWrap w:val="0"/>
              <w:topLinePunct/>
              <w:adjustRightInd w:val="0"/>
              <w:snapToGrid w:val="0"/>
              <w:spacing w:before="0" w:beforeAutospacing="0" w:after="0" w:afterAutospacing="0"/>
              <w:ind w:left="0" w:right="0"/>
              <w:rPr>
                <w:rFonts w:hint="eastAsia" w:ascii="仿宋" w:hAnsi="仿宋" w:eastAsia="仿宋" w:cs="仿宋"/>
                <w:szCs w:val="21"/>
                <w:highlight w:val="none"/>
              </w:rPr>
            </w:pPr>
          </w:p>
        </w:tc>
        <w:tc>
          <w:tcPr>
            <w:tcW w:w="4500" w:type="dxa"/>
            <w:vAlign w:val="center"/>
          </w:tcPr>
          <w:p w14:paraId="5623F966">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在第页提供</w:t>
            </w:r>
          </w:p>
        </w:tc>
        <w:tc>
          <w:tcPr>
            <w:tcW w:w="1080" w:type="dxa"/>
            <w:vAlign w:val="center"/>
          </w:tcPr>
          <w:p w14:paraId="31EE54E2">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p>
        </w:tc>
      </w:tr>
      <w:tr w14:paraId="31A0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4713E656">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880" w:type="dxa"/>
          </w:tcPr>
          <w:p w14:paraId="10B0EA48">
            <w:pPr>
              <w:keepNext w:val="0"/>
              <w:keepLines w:val="0"/>
              <w:suppressLineNumbers w:val="0"/>
              <w:wordWrap w:val="0"/>
              <w:topLinePunct/>
              <w:adjustRightInd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4500" w:type="dxa"/>
            <w:vAlign w:val="center"/>
          </w:tcPr>
          <w:p w14:paraId="274700EC">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在第页提供</w:t>
            </w:r>
          </w:p>
        </w:tc>
        <w:tc>
          <w:tcPr>
            <w:tcW w:w="1080" w:type="dxa"/>
            <w:vAlign w:val="center"/>
          </w:tcPr>
          <w:p w14:paraId="63F75188">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p>
        </w:tc>
      </w:tr>
      <w:tr w14:paraId="7D97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3E3E8C45">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2880" w:type="dxa"/>
          </w:tcPr>
          <w:p w14:paraId="4DBDD4B5">
            <w:pPr>
              <w:keepNext w:val="0"/>
              <w:keepLines w:val="0"/>
              <w:suppressLineNumbers w:val="0"/>
              <w:wordWrap w:val="0"/>
              <w:topLinePunct/>
              <w:adjustRightInd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4500" w:type="dxa"/>
            <w:vAlign w:val="center"/>
          </w:tcPr>
          <w:p w14:paraId="2F216853">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在第页提供</w:t>
            </w:r>
          </w:p>
        </w:tc>
        <w:tc>
          <w:tcPr>
            <w:tcW w:w="1080" w:type="dxa"/>
            <w:vAlign w:val="center"/>
          </w:tcPr>
          <w:p w14:paraId="67B7B6C4">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p>
        </w:tc>
      </w:tr>
      <w:tr w14:paraId="1823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2E21C016">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2880" w:type="dxa"/>
            <w:vAlign w:val="center"/>
          </w:tcPr>
          <w:p w14:paraId="6C2375A0">
            <w:pPr>
              <w:keepNext w:val="0"/>
              <w:keepLines w:val="0"/>
              <w:suppressLineNumbers w:val="0"/>
              <w:wordWrap w:val="0"/>
              <w:topLinePunct/>
              <w:adjustRightInd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4500" w:type="dxa"/>
            <w:vAlign w:val="center"/>
          </w:tcPr>
          <w:p w14:paraId="63CB2C38">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在第页提供</w:t>
            </w:r>
          </w:p>
        </w:tc>
        <w:tc>
          <w:tcPr>
            <w:tcW w:w="1080" w:type="dxa"/>
            <w:vAlign w:val="center"/>
          </w:tcPr>
          <w:p w14:paraId="6FE793E0">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p>
        </w:tc>
      </w:tr>
      <w:tr w14:paraId="45FA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2B34ECC9">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2880" w:type="dxa"/>
            <w:vAlign w:val="center"/>
          </w:tcPr>
          <w:p w14:paraId="02EF2489">
            <w:pPr>
              <w:keepNext w:val="0"/>
              <w:keepLines w:val="0"/>
              <w:suppressLineNumbers w:val="0"/>
              <w:wordWrap w:val="0"/>
              <w:topLinePunct/>
              <w:adjustRightInd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4500" w:type="dxa"/>
            <w:vAlign w:val="center"/>
          </w:tcPr>
          <w:p w14:paraId="1C083109">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在第页提供</w:t>
            </w:r>
          </w:p>
        </w:tc>
        <w:tc>
          <w:tcPr>
            <w:tcW w:w="1080" w:type="dxa"/>
            <w:vAlign w:val="center"/>
          </w:tcPr>
          <w:p w14:paraId="43A229F7">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p>
        </w:tc>
      </w:tr>
      <w:tr w14:paraId="28E2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Align w:val="center"/>
          </w:tcPr>
          <w:p w14:paraId="27D5E560">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11</w:t>
            </w:r>
          </w:p>
        </w:tc>
        <w:tc>
          <w:tcPr>
            <w:tcW w:w="2880" w:type="dxa"/>
            <w:vAlign w:val="center"/>
          </w:tcPr>
          <w:p w14:paraId="6198FEDF">
            <w:pPr>
              <w:keepNext w:val="0"/>
              <w:keepLines w:val="0"/>
              <w:suppressLineNumbers w:val="0"/>
              <w:wordWrap w:val="0"/>
              <w:topLinePunct/>
              <w:adjustRightInd w:val="0"/>
              <w:snapToGrid w:val="0"/>
              <w:spacing w:before="0" w:beforeAutospacing="0" w:after="0" w:afterAutospacing="0" w:line="400" w:lineRule="exact"/>
              <w:ind w:left="0" w:right="0"/>
              <w:rPr>
                <w:rFonts w:hint="eastAsia" w:ascii="仿宋" w:hAnsi="仿宋" w:eastAsia="仿宋" w:cs="仿宋"/>
                <w:szCs w:val="21"/>
                <w:highlight w:val="none"/>
              </w:rPr>
            </w:pPr>
          </w:p>
        </w:tc>
        <w:tc>
          <w:tcPr>
            <w:tcW w:w="4500" w:type="dxa"/>
            <w:vAlign w:val="center"/>
          </w:tcPr>
          <w:p w14:paraId="1F0A60F8">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在第页提供</w:t>
            </w:r>
          </w:p>
        </w:tc>
        <w:tc>
          <w:tcPr>
            <w:tcW w:w="1080" w:type="dxa"/>
            <w:vAlign w:val="center"/>
          </w:tcPr>
          <w:p w14:paraId="1864FF94">
            <w:pPr>
              <w:keepNext w:val="0"/>
              <w:keepLines w:val="0"/>
              <w:suppressLineNumbers w:val="0"/>
              <w:wordWrap w:val="0"/>
              <w:topLinePunct/>
              <w:spacing w:before="0" w:beforeAutospacing="0" w:after="0" w:afterAutospacing="0"/>
              <w:ind w:left="0" w:right="0"/>
              <w:jc w:val="center"/>
              <w:rPr>
                <w:rFonts w:hint="eastAsia" w:ascii="仿宋" w:hAnsi="仿宋" w:eastAsia="仿宋" w:cs="仿宋"/>
                <w:szCs w:val="21"/>
                <w:highlight w:val="none"/>
              </w:rPr>
            </w:pPr>
          </w:p>
        </w:tc>
      </w:tr>
    </w:tbl>
    <w:p w14:paraId="100DD046">
      <w:pPr>
        <w:keepNext w:val="0"/>
        <w:keepLines w:val="0"/>
        <w:wordWrap w:val="0"/>
        <w:topLinePunct/>
        <w:rPr>
          <w:rFonts w:hint="eastAsia" w:ascii="仿宋" w:hAnsi="仿宋" w:eastAsia="仿宋" w:cs="仿宋"/>
          <w:sz w:val="24"/>
          <w:highlight w:val="none"/>
        </w:rPr>
      </w:pPr>
      <w:r>
        <w:rPr>
          <w:rFonts w:hint="eastAsia" w:ascii="仿宋" w:hAnsi="仿宋" w:eastAsia="仿宋" w:cs="仿宋"/>
          <w:sz w:val="24"/>
          <w:highlight w:val="none"/>
        </w:rPr>
        <w:t>注：本表可扩展。</w:t>
      </w:r>
    </w:p>
    <w:p w14:paraId="03070708">
      <w:pPr>
        <w:keepNext w:val="0"/>
        <w:keepLines w:val="0"/>
        <w:wordWrap w:val="0"/>
        <w:topLinePunct/>
        <w:spacing w:line="360" w:lineRule="auto"/>
        <w:rPr>
          <w:rFonts w:hint="eastAsia" w:ascii="仿宋" w:hAnsi="仿宋" w:eastAsia="仿宋" w:cs="仿宋"/>
          <w:sz w:val="24"/>
          <w:highlight w:val="none"/>
        </w:rPr>
      </w:pPr>
    </w:p>
    <w:p w14:paraId="4E8899AE">
      <w:pPr>
        <w:pStyle w:val="25"/>
        <w:keepNext w:val="0"/>
        <w:keepLines w:val="0"/>
        <w:tabs>
          <w:tab w:val="left" w:pos="450"/>
        </w:tabs>
        <w:wordWrap w:val="0"/>
        <w:topLinePunct/>
        <w:spacing w:line="360" w:lineRule="auto"/>
        <w:rPr>
          <w:rFonts w:hint="eastAsia" w:ascii="仿宋" w:hAnsi="仿宋" w:eastAsia="仿宋" w:cs="仿宋"/>
          <w:sz w:val="30"/>
          <w:highlight w:val="none"/>
        </w:rPr>
        <w:sectPr>
          <w:headerReference r:id="rId13" w:type="default"/>
          <w:footerReference r:id="rId14" w:type="default"/>
          <w:pgSz w:w="11905" w:h="16838"/>
          <w:pgMar w:top="907" w:right="1247" w:bottom="907" w:left="1247" w:header="510" w:footer="510" w:gutter="0"/>
          <w:pgNumType w:fmt="decimal"/>
          <w:cols w:space="720" w:num="1"/>
        </w:sectPr>
      </w:pPr>
    </w:p>
    <w:p w14:paraId="64309D23">
      <w:pPr>
        <w:pStyle w:val="25"/>
        <w:keepNext w:val="0"/>
        <w:keepLines w:val="0"/>
        <w:tabs>
          <w:tab w:val="left" w:pos="450"/>
        </w:tabs>
        <w:wordWrap w:val="0"/>
        <w:topLinePunct/>
        <w:spacing w:line="360" w:lineRule="auto"/>
        <w:rPr>
          <w:rFonts w:hint="eastAsia" w:ascii="仿宋" w:hAnsi="仿宋" w:eastAsia="仿宋" w:cs="仿宋"/>
          <w:sz w:val="30"/>
          <w:highlight w:val="none"/>
        </w:rPr>
      </w:pPr>
      <w:r>
        <w:rPr>
          <w:rFonts w:hint="eastAsia" w:ascii="仿宋" w:hAnsi="仿宋" w:eastAsia="仿宋" w:cs="仿宋"/>
          <w:sz w:val="30"/>
          <w:highlight w:val="none"/>
        </w:rPr>
        <w:t>附件五</w:t>
      </w:r>
    </w:p>
    <w:p w14:paraId="72CC62EE">
      <w:pPr>
        <w:pStyle w:val="28"/>
        <w:keepNext w:val="0"/>
        <w:keepLines w:val="0"/>
        <w:wordWrap w:val="0"/>
        <w:topLinePunct/>
        <w:ind w:left="5250"/>
        <w:rPr>
          <w:rFonts w:hint="eastAsia" w:ascii="仿宋" w:hAnsi="仿宋" w:eastAsia="仿宋" w:cs="仿宋"/>
          <w:highlight w:val="none"/>
        </w:rPr>
      </w:pPr>
    </w:p>
    <w:p w14:paraId="0670FD85">
      <w:pPr>
        <w:keepNext w:val="0"/>
        <w:keepLines w:val="0"/>
        <w:wordWrap w:val="0"/>
        <w:topLinePunct/>
        <w:spacing w:line="360" w:lineRule="auto"/>
        <w:jc w:val="center"/>
        <w:outlineLvl w:val="1"/>
        <w:rPr>
          <w:rFonts w:hint="eastAsia" w:ascii="仿宋" w:hAnsi="仿宋" w:eastAsia="仿宋" w:cs="仿宋"/>
          <w:b/>
          <w:sz w:val="30"/>
          <w:highlight w:val="none"/>
        </w:rPr>
      </w:pPr>
      <w:r>
        <w:rPr>
          <w:rFonts w:hint="eastAsia" w:ascii="仿宋" w:hAnsi="仿宋" w:eastAsia="仿宋" w:cs="仿宋"/>
          <w:b/>
          <w:sz w:val="30"/>
          <w:highlight w:val="none"/>
          <w:lang w:eastAsia="zh-CN"/>
        </w:rPr>
        <w:t>法定代表人（负责人）</w:t>
      </w:r>
      <w:r>
        <w:rPr>
          <w:rFonts w:hint="eastAsia" w:ascii="仿宋" w:hAnsi="仿宋" w:eastAsia="仿宋" w:cs="仿宋"/>
          <w:b/>
          <w:sz w:val="30"/>
          <w:highlight w:val="none"/>
        </w:rPr>
        <w:t>授权委托书</w:t>
      </w:r>
    </w:p>
    <w:p w14:paraId="3B2CA87F">
      <w:pPr>
        <w:pStyle w:val="25"/>
        <w:keepNext w:val="0"/>
        <w:keepLines w:val="0"/>
        <w:wordWrap w:val="0"/>
        <w:topLinePunct/>
        <w:spacing w:line="360" w:lineRule="auto"/>
        <w:rPr>
          <w:rFonts w:hint="eastAsia" w:ascii="仿宋" w:hAnsi="仿宋" w:eastAsia="仿宋" w:cs="仿宋"/>
          <w:b/>
          <w:sz w:val="30"/>
          <w:szCs w:val="30"/>
          <w:highlight w:val="none"/>
        </w:rPr>
      </w:pPr>
    </w:p>
    <w:p w14:paraId="2A9FC3AD">
      <w:pPr>
        <w:pStyle w:val="25"/>
        <w:keepNext w:val="0"/>
        <w:keepLines w:val="0"/>
        <w:wordWrap w:val="0"/>
        <w:topLinePunct/>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eastAsia="zh-CN"/>
        </w:rPr>
        <w:t>新昌县城市建设投资集团有限公司</w:t>
      </w:r>
      <w:r>
        <w:rPr>
          <w:rFonts w:hint="eastAsia" w:ascii="仿宋" w:hAnsi="仿宋" w:eastAsia="仿宋" w:cs="仿宋"/>
          <w:sz w:val="24"/>
          <w:szCs w:val="24"/>
          <w:highlight w:val="none"/>
        </w:rPr>
        <w:t>：</w:t>
      </w:r>
    </w:p>
    <w:p w14:paraId="33264623">
      <w:pPr>
        <w:pStyle w:val="25"/>
        <w:keepNext w:val="0"/>
        <w:keepLines w:val="0"/>
        <w:wordWrap w:val="0"/>
        <w:topLinePunct/>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填写</w:t>
      </w:r>
      <w:r>
        <w:rPr>
          <w:rFonts w:hint="eastAsia" w:ascii="仿宋" w:hAnsi="仿宋" w:eastAsia="仿宋" w:cs="仿宋"/>
          <w:sz w:val="24"/>
          <w:szCs w:val="24"/>
          <w:highlight w:val="none"/>
          <w:u w:val="single"/>
        </w:rPr>
        <w:t>投标人全称）</w:t>
      </w:r>
      <w:r>
        <w:rPr>
          <w:rFonts w:hint="eastAsia" w:ascii="仿宋" w:hAnsi="仿宋" w:eastAsia="仿宋" w:cs="仿宋"/>
          <w:sz w:val="24"/>
          <w:szCs w:val="24"/>
          <w:highlight w:val="none"/>
          <w:lang w:eastAsia="zh-CN"/>
        </w:rPr>
        <w:t>法定代表人（负责人）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填写法定代表人（负责人）</w:t>
      </w:r>
      <w:r>
        <w:rPr>
          <w:rFonts w:hint="eastAsia" w:ascii="仿宋" w:hAnsi="仿宋" w:eastAsia="仿宋" w:cs="仿宋"/>
          <w:sz w:val="24"/>
          <w:szCs w:val="24"/>
          <w:highlight w:val="none"/>
          <w:u w:val="single"/>
        </w:rPr>
        <w:t>姓名</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身份证号）</w:t>
      </w:r>
      <w:r>
        <w:rPr>
          <w:rFonts w:hint="eastAsia" w:ascii="仿宋" w:hAnsi="仿宋" w:eastAsia="仿宋" w:cs="仿宋"/>
          <w:sz w:val="24"/>
          <w:szCs w:val="24"/>
          <w:highlight w:val="none"/>
        </w:rPr>
        <w:t>授权</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填写</w:t>
      </w:r>
      <w:r>
        <w:rPr>
          <w:rFonts w:hint="eastAsia" w:ascii="仿宋" w:hAnsi="仿宋" w:eastAsia="仿宋" w:cs="仿宋"/>
          <w:sz w:val="24"/>
          <w:szCs w:val="24"/>
          <w:highlight w:val="none"/>
          <w:u w:val="single"/>
        </w:rPr>
        <w:t>委托代理人姓名</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份证号）</w:t>
      </w:r>
      <w:r>
        <w:rPr>
          <w:rFonts w:hint="eastAsia" w:ascii="仿宋" w:hAnsi="仿宋" w:eastAsia="仿宋" w:cs="仿宋"/>
          <w:sz w:val="24"/>
          <w:szCs w:val="24"/>
          <w:highlight w:val="none"/>
        </w:rPr>
        <w:t>为委托代理人，参加贵单位组织的</w:t>
      </w:r>
      <w:r>
        <w:rPr>
          <w:rFonts w:hint="eastAsia" w:ascii="仿宋" w:hAnsi="仿宋" w:eastAsia="仿宋" w:cs="仿宋"/>
          <w:sz w:val="24"/>
          <w:szCs w:val="24"/>
          <w:highlight w:val="none"/>
          <w:u w:val="single"/>
          <w:lang w:eastAsia="zh-CN"/>
        </w:rPr>
        <w:t>新昌县人民医院迁建工程-窗帘采购项目（</w:t>
      </w:r>
      <w:r>
        <w:rPr>
          <w:rFonts w:hint="eastAsia" w:ascii="仿宋" w:hAnsi="仿宋" w:eastAsia="仿宋" w:cs="仿宋"/>
          <w:sz w:val="24"/>
          <w:szCs w:val="24"/>
          <w:highlight w:val="none"/>
          <w:u w:val="single"/>
          <w:lang w:val="en-US" w:eastAsia="zh-CN"/>
        </w:rPr>
        <w:t>项目编号：</w:t>
      </w:r>
      <w:r>
        <w:rPr>
          <w:rFonts w:hint="eastAsia" w:ascii="仿宋" w:hAnsi="仿宋" w:eastAsia="仿宋" w:cs="仿宋"/>
          <w:sz w:val="24"/>
          <w:szCs w:val="24"/>
          <w:highlight w:val="none"/>
          <w:u w:val="single"/>
          <w:lang w:eastAsia="zh-CN"/>
        </w:rPr>
        <w:t>GJXC-2025-24）</w:t>
      </w:r>
      <w:r>
        <w:rPr>
          <w:rFonts w:hint="eastAsia" w:ascii="仿宋" w:hAnsi="仿宋" w:eastAsia="仿宋" w:cs="仿宋"/>
          <w:sz w:val="24"/>
          <w:szCs w:val="24"/>
          <w:highlight w:val="none"/>
        </w:rPr>
        <w:t>的招投标活动，并全权处理招投标活动中的一切事宜。</w:t>
      </w:r>
    </w:p>
    <w:p w14:paraId="5766DB1E">
      <w:pPr>
        <w:pStyle w:val="25"/>
        <w:keepNext w:val="0"/>
        <w:keepLines w:val="0"/>
        <w:wordWrap w:val="0"/>
        <w:topLinePunct/>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被授权人无转委托权，特此委托</w:t>
      </w:r>
      <w:r>
        <w:rPr>
          <w:rFonts w:hint="eastAsia" w:ascii="仿宋" w:hAnsi="仿宋" w:eastAsia="仿宋" w:cs="仿宋"/>
          <w:color w:val="auto"/>
          <w:sz w:val="24"/>
          <w:highlight w:val="none"/>
          <w:lang w:eastAsia="zh-CN"/>
        </w:rPr>
        <w:t>。</w:t>
      </w:r>
    </w:p>
    <w:p w14:paraId="32B04062">
      <w:pPr>
        <w:pStyle w:val="28"/>
        <w:rPr>
          <w:rFonts w:hint="eastAsia"/>
          <w:highlight w:val="none"/>
          <w:lang w:eastAsia="zh-CN"/>
        </w:rPr>
      </w:pPr>
    </w:p>
    <w:p w14:paraId="20BB2A27">
      <w:pPr>
        <w:rPr>
          <w:rFonts w:hint="eastAsia"/>
          <w:highlight w:val="none"/>
          <w:lang w:eastAsia="zh-CN"/>
        </w:rPr>
      </w:pPr>
    </w:p>
    <w:p w14:paraId="36B426C8">
      <w:pPr>
        <w:rPr>
          <w:rFonts w:hint="eastAsia"/>
          <w:highlight w:val="none"/>
          <w:lang w:eastAsia="zh-CN"/>
        </w:rPr>
      </w:pPr>
    </w:p>
    <w:p w14:paraId="110AC097">
      <w:pPr>
        <w:snapToGrid w:val="0"/>
        <w:spacing w:line="360" w:lineRule="auto"/>
        <w:rPr>
          <w:rFonts w:hint="eastAsia" w:ascii="仿宋" w:hAnsi="仿宋" w:eastAsia="仿宋" w:cs="仿宋"/>
          <w:b/>
          <w:bCs/>
          <w:color w:val="auto"/>
          <w:sz w:val="24"/>
          <w:szCs w:val="20"/>
          <w:highlight w:val="none"/>
          <w:u w:val="single"/>
        </w:rPr>
      </w:pPr>
      <w:r>
        <w:rPr>
          <w:rFonts w:hint="eastAsia" w:ascii="仿宋" w:hAnsi="仿宋" w:eastAsia="仿宋" w:cs="仿宋"/>
          <w:b/>
          <w:bCs/>
          <w:color w:val="auto"/>
          <w:sz w:val="24"/>
          <w:highlight w:val="none"/>
        </w:rPr>
        <w:t>被授权人签字或盖章：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eastAsia="zh-CN"/>
        </w:rPr>
        <w:t>法定代表人（负责人）</w:t>
      </w:r>
      <w:r>
        <w:rPr>
          <w:rFonts w:hint="eastAsia" w:ascii="仿宋" w:hAnsi="仿宋" w:eastAsia="仿宋" w:cs="仿宋"/>
          <w:b/>
          <w:bCs/>
          <w:color w:val="auto"/>
          <w:sz w:val="24"/>
          <w:highlight w:val="none"/>
        </w:rPr>
        <w:t>签字或盖章：</w:t>
      </w:r>
      <w:r>
        <w:rPr>
          <w:rFonts w:hint="eastAsia" w:ascii="仿宋" w:hAnsi="仿宋" w:eastAsia="仿宋" w:cs="仿宋"/>
          <w:b/>
          <w:bCs/>
          <w:color w:val="auto"/>
          <w:sz w:val="24"/>
          <w:highlight w:val="none"/>
          <w:u w:val="single"/>
        </w:rPr>
        <w:t xml:space="preserve">          </w:t>
      </w:r>
    </w:p>
    <w:p w14:paraId="04C6BD70">
      <w:pPr>
        <w:snapToGrid w:val="0"/>
        <w:spacing w:line="360" w:lineRule="auto"/>
        <w:ind w:firstLine="960" w:firstLineChars="4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rPr>
        <w:t xml:space="preserve">           </w:t>
      </w:r>
    </w:p>
    <w:p w14:paraId="2F3A0F6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8CB5D4D">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w:t>
      </w:r>
      <w:r>
        <w:rPr>
          <w:rFonts w:hint="eastAsia" w:ascii="仿宋" w:hAnsi="仿宋" w:eastAsia="仿宋" w:cs="仿宋"/>
          <w:b/>
          <w:bCs/>
          <w:color w:val="auto"/>
          <w:sz w:val="24"/>
          <w:highlight w:val="none"/>
          <w:lang w:eastAsia="zh-CN"/>
        </w:rPr>
        <w:t>法定代表人（负责人）、</w:t>
      </w:r>
      <w:r>
        <w:rPr>
          <w:rFonts w:hint="eastAsia" w:ascii="仿宋" w:hAnsi="仿宋" w:eastAsia="仿宋" w:cs="仿宋"/>
          <w:b/>
          <w:bCs/>
          <w:color w:val="auto"/>
          <w:sz w:val="24"/>
          <w:highlight w:val="none"/>
        </w:rPr>
        <w:t>被授权人身份证正反双面复印件</w:t>
      </w:r>
      <w:r>
        <w:rPr>
          <w:rFonts w:hint="eastAsia" w:ascii="仿宋" w:hAnsi="仿宋" w:eastAsia="仿宋" w:cs="仿宋"/>
          <w:b/>
          <w:bCs/>
          <w:sz w:val="24"/>
          <w:szCs w:val="24"/>
          <w:highlight w:val="none"/>
        </w:rPr>
        <w:t>和被授权人在投标单位社保缴纳证明复印件</w:t>
      </w:r>
      <w:r>
        <w:rPr>
          <w:rFonts w:hint="eastAsia" w:ascii="仿宋" w:hAnsi="仿宋" w:eastAsia="仿宋" w:cs="仿宋"/>
          <w:b/>
          <w:bCs/>
          <w:color w:val="auto"/>
          <w:sz w:val="24"/>
          <w:highlight w:val="none"/>
        </w:rPr>
        <w:t>）</w:t>
      </w:r>
    </w:p>
    <w:p w14:paraId="3A5E7A4A">
      <w:pPr>
        <w:snapToGrid w:val="0"/>
        <w:spacing w:line="360" w:lineRule="auto"/>
        <w:jc w:val="right"/>
        <w:rPr>
          <w:rFonts w:hint="eastAsia" w:ascii="仿宋" w:hAnsi="仿宋" w:eastAsia="仿宋" w:cs="仿宋"/>
          <w:b/>
          <w:bCs/>
          <w:color w:val="auto"/>
          <w:sz w:val="24"/>
          <w:highlight w:val="none"/>
        </w:rPr>
      </w:pPr>
    </w:p>
    <w:p w14:paraId="48631EFB">
      <w:pPr>
        <w:snapToGrid w:val="0"/>
        <w:spacing w:line="360" w:lineRule="auto"/>
        <w:jc w:val="right"/>
        <w:rPr>
          <w:rFonts w:hint="eastAsia" w:ascii="仿宋" w:hAnsi="仿宋" w:eastAsia="仿宋" w:cs="仿宋"/>
          <w:b/>
          <w:bCs/>
          <w:color w:val="auto"/>
          <w:sz w:val="24"/>
          <w:highlight w:val="none"/>
        </w:rPr>
      </w:pPr>
    </w:p>
    <w:p w14:paraId="3C9EE291">
      <w:pPr>
        <w:snapToGrid w:val="0"/>
        <w:spacing w:line="360" w:lineRule="auto"/>
        <w:jc w:val="right"/>
        <w:rPr>
          <w:rFonts w:hint="eastAsia" w:ascii="仿宋" w:hAnsi="仿宋" w:eastAsia="仿宋" w:cs="仿宋"/>
          <w:b w:val="0"/>
          <w:bCs w:val="0"/>
          <w:color w:val="auto"/>
          <w:sz w:val="24"/>
          <w:szCs w:val="20"/>
          <w:highlight w:val="none"/>
        </w:rPr>
      </w:pPr>
      <w:r>
        <w:rPr>
          <w:rFonts w:hint="eastAsia" w:ascii="仿宋" w:hAnsi="仿宋" w:eastAsia="仿宋" w:cs="仿宋"/>
          <w:b w:val="0"/>
          <w:bCs w:val="0"/>
          <w:color w:val="auto"/>
          <w:sz w:val="24"/>
          <w:highlight w:val="none"/>
          <w:lang w:val="en-US" w:eastAsia="zh-CN"/>
        </w:rPr>
        <w:t>投标人</w:t>
      </w:r>
      <w:r>
        <w:rPr>
          <w:rFonts w:hint="eastAsia" w:ascii="仿宋" w:hAnsi="仿宋" w:eastAsia="仿宋" w:cs="仿宋"/>
          <w:b w:val="0"/>
          <w:bCs w:val="0"/>
          <w:color w:val="auto"/>
          <w:sz w:val="24"/>
          <w:highlight w:val="none"/>
        </w:rPr>
        <w:t>（电子签名）：</w:t>
      </w:r>
    </w:p>
    <w:p w14:paraId="47510069">
      <w:pPr>
        <w:snapToGrid w:val="0"/>
        <w:spacing w:line="360" w:lineRule="auto"/>
        <w:jc w:val="right"/>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rPr>
        <w:t>年月日</w:t>
      </w:r>
    </w:p>
    <w:p w14:paraId="07E48168">
      <w:pPr>
        <w:snapToGrid w:val="0"/>
        <w:spacing w:line="360" w:lineRule="auto"/>
        <w:rPr>
          <w:rFonts w:hint="eastAsia" w:ascii="仿宋" w:hAnsi="仿宋" w:eastAsia="仿宋" w:cs="仿宋"/>
          <w:b/>
          <w:bCs/>
          <w:color w:val="auto"/>
          <w:sz w:val="24"/>
          <w:szCs w:val="20"/>
          <w:highlight w:val="none"/>
        </w:rPr>
      </w:pPr>
    </w:p>
    <w:p w14:paraId="031C1D78">
      <w:pPr>
        <w:keepNext w:val="0"/>
        <w:keepLines w:val="0"/>
        <w:wordWrap w:val="0"/>
        <w:topLinePunct/>
        <w:adjustRightInd w:val="0"/>
        <w:snapToGrid w:val="0"/>
        <w:spacing w:line="360" w:lineRule="auto"/>
        <w:rPr>
          <w:rFonts w:hint="eastAsia" w:ascii="仿宋" w:hAnsi="仿宋" w:eastAsia="仿宋" w:cs="仿宋"/>
          <w:sz w:val="30"/>
          <w:highlight w:val="none"/>
        </w:rPr>
        <w:sectPr>
          <w:type w:val="nextColumn"/>
          <w:pgSz w:w="11905" w:h="16838"/>
          <w:pgMar w:top="907" w:right="1247" w:bottom="907" w:left="1247" w:header="510" w:footer="510" w:gutter="0"/>
          <w:pgNumType w:fmt="decimal"/>
          <w:cols w:space="720" w:num="1"/>
        </w:sectPr>
      </w:pPr>
    </w:p>
    <w:p w14:paraId="315E98A2">
      <w:pPr>
        <w:keepNext w:val="0"/>
        <w:keepLines w:val="0"/>
        <w:wordWrap w:val="0"/>
        <w:topLinePunct/>
        <w:adjustRightInd w:val="0"/>
        <w:snapToGrid w:val="0"/>
        <w:spacing w:line="360" w:lineRule="auto"/>
        <w:rPr>
          <w:rFonts w:hint="eastAsia" w:ascii="仿宋" w:hAnsi="仿宋" w:eastAsia="仿宋" w:cs="仿宋"/>
          <w:sz w:val="30"/>
          <w:highlight w:val="none"/>
        </w:rPr>
      </w:pPr>
      <w:r>
        <w:rPr>
          <w:rFonts w:hint="eastAsia" w:ascii="仿宋" w:hAnsi="仿宋" w:eastAsia="仿宋" w:cs="仿宋"/>
          <w:sz w:val="30"/>
          <w:highlight w:val="none"/>
        </w:rPr>
        <w:t>附件六</w:t>
      </w:r>
    </w:p>
    <w:p w14:paraId="1F4C69BC">
      <w:pPr>
        <w:keepNext w:val="0"/>
        <w:keepLines w:val="0"/>
        <w:wordWrap w:val="0"/>
        <w:topLinePunct/>
        <w:spacing w:line="360" w:lineRule="auto"/>
        <w:jc w:val="center"/>
        <w:rPr>
          <w:rFonts w:hint="eastAsia" w:ascii="仿宋" w:hAnsi="仿宋" w:eastAsia="仿宋" w:cs="仿宋"/>
          <w:b/>
          <w:sz w:val="30"/>
          <w:highlight w:val="none"/>
        </w:rPr>
      </w:pPr>
    </w:p>
    <w:p w14:paraId="08EF5A39">
      <w:pPr>
        <w:keepNext w:val="0"/>
        <w:keepLines w:val="0"/>
        <w:wordWrap w:val="0"/>
        <w:topLinePunct/>
        <w:spacing w:line="360" w:lineRule="auto"/>
        <w:jc w:val="center"/>
        <w:outlineLvl w:val="1"/>
        <w:rPr>
          <w:rFonts w:hint="eastAsia" w:ascii="仿宋" w:hAnsi="仿宋" w:eastAsia="仿宋" w:cs="仿宋"/>
          <w:b/>
          <w:sz w:val="30"/>
          <w:highlight w:val="none"/>
        </w:rPr>
      </w:pPr>
      <w:r>
        <w:rPr>
          <w:rFonts w:hint="eastAsia" w:ascii="仿宋" w:hAnsi="仿宋" w:eastAsia="仿宋" w:cs="仿宋"/>
          <w:b/>
          <w:sz w:val="30"/>
          <w:highlight w:val="none"/>
        </w:rPr>
        <w:t>供应商廉洁自律承诺书</w:t>
      </w:r>
    </w:p>
    <w:p w14:paraId="30FCE46C">
      <w:pPr>
        <w:keepNext w:val="0"/>
        <w:keepLines w:val="0"/>
        <w:wordWrap w:val="0"/>
        <w:topLinePunct/>
        <w:spacing w:line="360" w:lineRule="auto"/>
        <w:rPr>
          <w:rFonts w:hint="eastAsia" w:ascii="仿宋" w:hAnsi="仿宋" w:eastAsia="仿宋" w:cs="仿宋"/>
          <w:b/>
          <w:sz w:val="30"/>
          <w:highlight w:val="none"/>
        </w:rPr>
      </w:pPr>
    </w:p>
    <w:p w14:paraId="0DECFFCC">
      <w:pPr>
        <w:pStyle w:val="25"/>
        <w:keepNext w:val="0"/>
        <w:keepLines w:val="0"/>
        <w:wordWrap w:val="0"/>
        <w:topLinePunct/>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eastAsia="zh-CN"/>
        </w:rPr>
        <w:t>新昌县城市建设投资集团有限公司</w:t>
      </w:r>
      <w:r>
        <w:rPr>
          <w:rFonts w:hint="eastAsia" w:ascii="仿宋" w:hAnsi="仿宋" w:eastAsia="仿宋" w:cs="仿宋"/>
          <w:sz w:val="24"/>
          <w:szCs w:val="24"/>
          <w:highlight w:val="none"/>
        </w:rPr>
        <w:t>：</w:t>
      </w:r>
    </w:p>
    <w:p w14:paraId="1AFB38FF">
      <w:pPr>
        <w:keepNext w:val="0"/>
        <w:keepLines w:val="0"/>
        <w:wordWrap w:val="0"/>
        <w:topLinePunct/>
        <w:autoSpaceDE w:val="0"/>
        <w:autoSpaceDN w:val="0"/>
        <w:spacing w:line="440" w:lineRule="exact"/>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我单位响应你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u w:val="single"/>
          <w:lang w:val="zh-CN"/>
        </w:rPr>
        <w:t>新昌县人民医院迁建工程-窗帘采购项目（项目编号：</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val="zh-CN"/>
        </w:rPr>
        <w:t>GJXC-2025-24）</w:t>
      </w:r>
      <w:r>
        <w:rPr>
          <w:rFonts w:hint="eastAsia" w:ascii="仿宋" w:hAnsi="仿宋" w:eastAsia="仿宋" w:cs="仿宋"/>
          <w:kern w:val="0"/>
          <w:sz w:val="24"/>
          <w:szCs w:val="24"/>
          <w:highlight w:val="none"/>
          <w:lang w:val="zh-CN"/>
        </w:rPr>
        <w:t>招标要求参加投标。在这次投标过程中和中标后，我们将严格遵守国家法律法规要求，并郑重承诺：</w:t>
      </w:r>
    </w:p>
    <w:p w14:paraId="301F77A6">
      <w:pPr>
        <w:keepNext w:val="0"/>
        <w:keepLines w:val="0"/>
        <w:wordWrap w:val="0"/>
        <w:topLinePunct/>
        <w:autoSpaceDE w:val="0"/>
        <w:autoSpaceDN w:val="0"/>
        <w:spacing w:line="440" w:lineRule="exact"/>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一、不向项目有关人员及部门赠送礼金礼物、有价证券、回扣以及中介费、介绍费、咨询费等好处费；</w:t>
      </w:r>
    </w:p>
    <w:p w14:paraId="34B1709D">
      <w:pPr>
        <w:keepNext w:val="0"/>
        <w:keepLines w:val="0"/>
        <w:wordWrap w:val="0"/>
        <w:topLinePunct/>
        <w:autoSpaceDE w:val="0"/>
        <w:autoSpaceDN w:val="0"/>
        <w:spacing w:line="440" w:lineRule="exact"/>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二、不为项目有关人员及部门报销应由你方单位或个人支付的费用；</w:t>
      </w:r>
    </w:p>
    <w:p w14:paraId="7B174F41">
      <w:pPr>
        <w:keepNext w:val="0"/>
        <w:keepLines w:val="0"/>
        <w:wordWrap w:val="0"/>
        <w:topLinePunct/>
        <w:autoSpaceDE w:val="0"/>
        <w:autoSpaceDN w:val="0"/>
        <w:spacing w:line="440" w:lineRule="exact"/>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三、不向项目有关人员及部门提供有可能影响公正的宴请和健身娱乐等活动；</w:t>
      </w:r>
    </w:p>
    <w:p w14:paraId="532A2C08">
      <w:pPr>
        <w:keepNext w:val="0"/>
        <w:keepLines w:val="0"/>
        <w:wordWrap w:val="0"/>
        <w:topLinePunct/>
        <w:autoSpaceDE w:val="0"/>
        <w:autoSpaceDN w:val="0"/>
        <w:spacing w:line="440" w:lineRule="exact"/>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四、不为项目有关人员及部门出国（境）、旅游等提供方便；</w:t>
      </w:r>
    </w:p>
    <w:p w14:paraId="45844DE3">
      <w:pPr>
        <w:keepNext w:val="0"/>
        <w:keepLines w:val="0"/>
        <w:wordWrap w:val="0"/>
        <w:topLinePunct/>
        <w:autoSpaceDE w:val="0"/>
        <w:autoSpaceDN w:val="0"/>
        <w:spacing w:line="440" w:lineRule="exact"/>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五、不为项目有关人员个人装修住房、婚丧嫁娶、配偶子女工作安排等提供好处；</w:t>
      </w:r>
    </w:p>
    <w:p w14:paraId="292E17E3">
      <w:pPr>
        <w:keepNext w:val="0"/>
        <w:keepLines w:val="0"/>
        <w:wordWrap w:val="0"/>
        <w:topLinePunct/>
        <w:autoSpaceDE w:val="0"/>
        <w:autoSpaceDN w:val="0"/>
        <w:spacing w:line="440" w:lineRule="exact"/>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六、诚实守信，合法经营，坚决抵制各种违法违纪行为。</w:t>
      </w:r>
    </w:p>
    <w:p w14:paraId="43559A97">
      <w:pPr>
        <w:keepNext w:val="0"/>
        <w:keepLines w:val="0"/>
        <w:wordWrap w:val="0"/>
        <w:topLinePunct/>
        <w:autoSpaceDE w:val="0"/>
        <w:autoSpaceDN w:val="0"/>
        <w:spacing w:line="440" w:lineRule="exact"/>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如违反上述承诺，你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有权立即取消我单位投标、中标或在</w:t>
      </w:r>
      <w:r>
        <w:rPr>
          <w:rFonts w:hint="eastAsia" w:ascii="仿宋" w:hAnsi="仿宋" w:eastAsia="仿宋" w:cs="仿宋"/>
          <w:kern w:val="0"/>
          <w:sz w:val="24"/>
          <w:szCs w:val="24"/>
          <w:highlight w:val="none"/>
        </w:rPr>
        <w:t>履约项目的履约</w:t>
      </w:r>
      <w:r>
        <w:rPr>
          <w:rFonts w:hint="eastAsia" w:ascii="仿宋" w:hAnsi="仿宋" w:eastAsia="仿宋" w:cs="仿宋"/>
          <w:kern w:val="0"/>
          <w:sz w:val="24"/>
          <w:szCs w:val="24"/>
          <w:highlight w:val="none"/>
          <w:lang w:val="zh-CN"/>
        </w:rPr>
        <w:t>资格，有权拒绝我单位在一定时期内进入你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进行项目建设或其他经营活动，并通</w:t>
      </w:r>
      <w:r>
        <w:rPr>
          <w:rFonts w:hint="eastAsia" w:ascii="仿宋" w:hAnsi="仿宋" w:eastAsia="仿宋" w:cs="仿宋"/>
          <w:kern w:val="0"/>
          <w:sz w:val="24"/>
          <w:szCs w:val="24"/>
          <w:highlight w:val="none"/>
        </w:rPr>
        <w:t>报相关单位</w:t>
      </w:r>
      <w:r>
        <w:rPr>
          <w:rFonts w:hint="eastAsia" w:ascii="仿宋" w:hAnsi="仿宋" w:eastAsia="仿宋" w:cs="仿宋"/>
          <w:kern w:val="0"/>
          <w:sz w:val="24"/>
          <w:szCs w:val="24"/>
          <w:highlight w:val="none"/>
          <w:lang w:val="zh-CN"/>
        </w:rPr>
        <w:t>。由此引起的相应损失均由我单位承担。</w:t>
      </w:r>
    </w:p>
    <w:p w14:paraId="1A74C134">
      <w:pPr>
        <w:keepNext w:val="0"/>
        <w:keepLines w:val="0"/>
        <w:wordWrap w:val="0"/>
        <w:topLinePunct/>
        <w:autoSpaceDE w:val="0"/>
        <w:autoSpaceDN w:val="0"/>
        <w:spacing w:line="440" w:lineRule="exact"/>
        <w:jc w:val="left"/>
        <w:rPr>
          <w:rFonts w:hint="eastAsia" w:ascii="仿宋" w:hAnsi="仿宋" w:eastAsia="仿宋" w:cs="仿宋"/>
          <w:kern w:val="0"/>
          <w:sz w:val="24"/>
          <w:szCs w:val="24"/>
          <w:highlight w:val="none"/>
          <w:lang w:val="zh-CN"/>
        </w:rPr>
      </w:pPr>
    </w:p>
    <w:p w14:paraId="4E78B785">
      <w:pPr>
        <w:keepNext w:val="0"/>
        <w:keepLines w:val="0"/>
        <w:wordWrap w:val="0"/>
        <w:topLinePunct/>
        <w:autoSpaceDE w:val="0"/>
        <w:autoSpaceDN w:val="0"/>
        <w:spacing w:line="440" w:lineRule="exact"/>
        <w:jc w:val="left"/>
        <w:rPr>
          <w:rFonts w:hint="eastAsia" w:ascii="仿宋" w:hAnsi="仿宋" w:eastAsia="仿宋" w:cs="仿宋"/>
          <w:kern w:val="0"/>
          <w:sz w:val="24"/>
          <w:szCs w:val="24"/>
          <w:highlight w:val="none"/>
          <w:lang w:val="zh-CN"/>
        </w:rPr>
      </w:pPr>
    </w:p>
    <w:p w14:paraId="53A3CFB5">
      <w:pPr>
        <w:keepNext w:val="0"/>
        <w:keepLines w:val="0"/>
        <w:wordWrap w:val="0"/>
        <w:topLinePunct/>
        <w:spacing w:line="360" w:lineRule="auto"/>
        <w:rPr>
          <w:rFonts w:hint="eastAsia" w:ascii="仿宋" w:hAnsi="仿宋" w:eastAsia="仿宋" w:cs="仿宋"/>
          <w:b/>
          <w:sz w:val="24"/>
          <w:szCs w:val="24"/>
          <w:highlight w:val="none"/>
        </w:rPr>
      </w:pPr>
    </w:p>
    <w:p w14:paraId="164D6DCD">
      <w:pPr>
        <w:keepNext w:val="0"/>
        <w:keepLines w:val="0"/>
        <w:wordWrap w:val="0"/>
        <w:topLinePunct/>
        <w:spacing w:line="360" w:lineRule="auto"/>
        <w:rPr>
          <w:rFonts w:hint="eastAsia" w:ascii="仿宋" w:hAnsi="仿宋" w:eastAsia="仿宋" w:cs="仿宋"/>
          <w:b/>
          <w:sz w:val="24"/>
          <w:szCs w:val="24"/>
          <w:highlight w:val="none"/>
        </w:rPr>
      </w:pPr>
    </w:p>
    <w:p w14:paraId="56F27C8A">
      <w:pPr>
        <w:keepNext w:val="0"/>
        <w:keepLines w:val="0"/>
        <w:wordWrap w:val="0"/>
        <w:topLinePunct/>
        <w:adjustRightInd w:val="0"/>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投标人（电子签名)：</w:t>
      </w:r>
    </w:p>
    <w:p w14:paraId="32CE0E9E">
      <w:pPr>
        <w:keepNext w:val="0"/>
        <w:keepLines w:val="0"/>
        <w:wordWrap w:val="0"/>
        <w:topLinePunct/>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zh-CN"/>
        </w:rPr>
        <w:t>月日</w:t>
      </w:r>
    </w:p>
    <w:p w14:paraId="32A63B4D">
      <w:pPr>
        <w:keepNext w:val="0"/>
        <w:keepLines w:val="0"/>
        <w:tabs>
          <w:tab w:val="left" w:pos="7560"/>
        </w:tabs>
        <w:wordWrap w:val="0"/>
        <w:topLinePunct/>
        <w:spacing w:line="360" w:lineRule="auto"/>
        <w:ind w:firstLine="5280" w:firstLineChars="2200"/>
        <w:rPr>
          <w:rFonts w:hint="eastAsia" w:ascii="仿宋" w:hAnsi="仿宋" w:eastAsia="仿宋" w:cs="仿宋"/>
          <w:sz w:val="24"/>
          <w:highlight w:val="none"/>
        </w:rPr>
      </w:pPr>
    </w:p>
    <w:p w14:paraId="0A211041">
      <w:pPr>
        <w:keepNext w:val="0"/>
        <w:keepLines w:val="0"/>
        <w:tabs>
          <w:tab w:val="left" w:pos="7560"/>
        </w:tabs>
        <w:wordWrap w:val="0"/>
        <w:topLinePunct/>
        <w:spacing w:line="360" w:lineRule="auto"/>
        <w:ind w:firstLine="5280" w:firstLineChars="2200"/>
        <w:rPr>
          <w:rFonts w:hint="eastAsia" w:ascii="仿宋" w:hAnsi="仿宋" w:eastAsia="仿宋" w:cs="仿宋"/>
          <w:sz w:val="24"/>
          <w:highlight w:val="none"/>
        </w:rPr>
      </w:pPr>
    </w:p>
    <w:p w14:paraId="5BBA0501">
      <w:pPr>
        <w:keepNext w:val="0"/>
        <w:keepLines w:val="0"/>
        <w:tabs>
          <w:tab w:val="left" w:pos="7560"/>
        </w:tabs>
        <w:wordWrap w:val="0"/>
        <w:topLinePunct/>
        <w:spacing w:line="360" w:lineRule="auto"/>
        <w:ind w:firstLine="5280" w:firstLineChars="2200"/>
        <w:rPr>
          <w:rFonts w:hint="eastAsia" w:ascii="仿宋" w:hAnsi="仿宋" w:eastAsia="仿宋" w:cs="仿宋"/>
          <w:sz w:val="24"/>
          <w:highlight w:val="none"/>
        </w:rPr>
      </w:pPr>
    </w:p>
    <w:p w14:paraId="5E221D9D">
      <w:pPr>
        <w:keepNext w:val="0"/>
        <w:keepLines w:val="0"/>
        <w:tabs>
          <w:tab w:val="left" w:pos="7560"/>
        </w:tabs>
        <w:wordWrap w:val="0"/>
        <w:topLinePunct/>
        <w:spacing w:line="360" w:lineRule="auto"/>
        <w:ind w:firstLine="5280" w:firstLineChars="2200"/>
        <w:rPr>
          <w:rFonts w:hint="eastAsia" w:ascii="仿宋" w:hAnsi="仿宋" w:eastAsia="仿宋" w:cs="仿宋"/>
          <w:sz w:val="24"/>
          <w:highlight w:val="none"/>
        </w:rPr>
      </w:pPr>
    </w:p>
    <w:p w14:paraId="75E60481">
      <w:pPr>
        <w:keepNext w:val="0"/>
        <w:keepLines w:val="0"/>
        <w:tabs>
          <w:tab w:val="left" w:pos="7560"/>
        </w:tabs>
        <w:wordWrap w:val="0"/>
        <w:topLinePunct/>
        <w:spacing w:line="360" w:lineRule="auto"/>
        <w:ind w:firstLine="5280" w:firstLineChars="2200"/>
        <w:rPr>
          <w:rFonts w:hint="eastAsia" w:ascii="仿宋" w:hAnsi="仿宋" w:eastAsia="仿宋" w:cs="仿宋"/>
          <w:sz w:val="24"/>
          <w:highlight w:val="none"/>
        </w:rPr>
      </w:pPr>
    </w:p>
    <w:p w14:paraId="51907543">
      <w:pPr>
        <w:pStyle w:val="25"/>
        <w:keepNext w:val="0"/>
        <w:keepLines w:val="0"/>
        <w:wordWrap w:val="0"/>
        <w:topLinePunct/>
        <w:spacing w:line="360" w:lineRule="auto"/>
        <w:rPr>
          <w:rFonts w:hint="eastAsia" w:ascii="仿宋" w:hAnsi="仿宋" w:eastAsia="仿宋" w:cs="仿宋"/>
          <w:sz w:val="36"/>
          <w:highlight w:val="none"/>
        </w:rPr>
      </w:pPr>
    </w:p>
    <w:p w14:paraId="7E0387DC">
      <w:pPr>
        <w:pStyle w:val="25"/>
        <w:keepNext w:val="0"/>
        <w:keepLines w:val="0"/>
        <w:wordWrap w:val="0"/>
        <w:topLinePunct/>
        <w:spacing w:line="360" w:lineRule="auto"/>
        <w:rPr>
          <w:rFonts w:hint="eastAsia" w:ascii="仿宋" w:hAnsi="仿宋" w:eastAsia="仿宋" w:cs="仿宋"/>
          <w:sz w:val="32"/>
          <w:highlight w:val="none"/>
        </w:rPr>
      </w:pPr>
    </w:p>
    <w:p w14:paraId="18F09E02">
      <w:pPr>
        <w:keepNext w:val="0"/>
        <w:keepLines w:val="0"/>
        <w:wordWrap w:val="0"/>
        <w:topLinePunct/>
        <w:spacing w:line="360" w:lineRule="auto"/>
        <w:rPr>
          <w:rStyle w:val="61"/>
          <w:rFonts w:hint="eastAsia" w:ascii="仿宋" w:hAnsi="仿宋" w:eastAsia="仿宋" w:cs="仿宋"/>
          <w:highlight w:val="none"/>
        </w:rPr>
      </w:pPr>
      <w:r>
        <w:rPr>
          <w:rFonts w:hint="eastAsia" w:ascii="仿宋" w:hAnsi="仿宋" w:eastAsia="仿宋" w:cs="仿宋"/>
          <w:sz w:val="32"/>
          <w:szCs w:val="32"/>
          <w:highlight w:val="none"/>
        </w:rPr>
        <w:t>附件七诚信投标承诺书</w:t>
      </w:r>
    </w:p>
    <w:p w14:paraId="7AA5FFF0">
      <w:pPr>
        <w:keepNext w:val="0"/>
        <w:keepLines w:val="0"/>
        <w:wordWrap w:val="0"/>
        <w:topLinePunct/>
        <w:spacing w:line="360" w:lineRule="auto"/>
        <w:jc w:val="center"/>
        <w:outlineLvl w:val="1"/>
        <w:rPr>
          <w:rFonts w:hint="eastAsia" w:ascii="仿宋" w:hAnsi="仿宋" w:eastAsia="仿宋" w:cs="仿宋"/>
          <w:b/>
          <w:sz w:val="30"/>
          <w:highlight w:val="none"/>
          <w:lang w:val="zh-CN"/>
        </w:rPr>
      </w:pPr>
      <w:r>
        <w:rPr>
          <w:rFonts w:hint="eastAsia" w:ascii="仿宋" w:hAnsi="仿宋" w:eastAsia="仿宋" w:cs="仿宋"/>
          <w:b/>
          <w:sz w:val="30"/>
          <w:highlight w:val="none"/>
          <w:lang w:val="zh-CN"/>
        </w:rPr>
        <w:t>诚信投标承诺书</w:t>
      </w:r>
    </w:p>
    <w:p w14:paraId="190E2D3D">
      <w:pPr>
        <w:keepNext w:val="0"/>
        <w:keepLines w:val="0"/>
        <w:wordWrap w:val="0"/>
        <w:topLinePunct/>
        <w:autoSpaceDE w:val="0"/>
        <w:autoSpaceDN w:val="0"/>
        <w:spacing w:line="360" w:lineRule="auto"/>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新昌县城市建设投资集团有限公司：</w:t>
      </w:r>
    </w:p>
    <w:p w14:paraId="06492851">
      <w:pPr>
        <w:keepNext w:val="0"/>
        <w:keepLines w:val="0"/>
        <w:wordWrap w:val="0"/>
        <w:topLinePunct/>
        <w:autoSpaceDE w:val="0"/>
        <w:autoSpaceDN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通过对</w:t>
      </w:r>
      <w:r>
        <w:rPr>
          <w:rFonts w:hint="eastAsia" w:ascii="仿宋" w:hAnsi="仿宋" w:eastAsia="仿宋" w:cs="仿宋"/>
          <w:sz w:val="24"/>
          <w:szCs w:val="24"/>
          <w:highlight w:val="none"/>
          <w:u w:val="single"/>
          <w:lang w:eastAsia="zh-CN"/>
        </w:rPr>
        <w:t>新昌县人民医院迁建工程-窗帘采购项目（</w:t>
      </w:r>
      <w:r>
        <w:rPr>
          <w:rFonts w:hint="eastAsia" w:ascii="仿宋" w:hAnsi="仿宋" w:eastAsia="仿宋" w:cs="仿宋"/>
          <w:sz w:val="24"/>
          <w:szCs w:val="24"/>
          <w:highlight w:val="none"/>
          <w:u w:val="single"/>
          <w:lang w:val="en-US" w:eastAsia="zh-CN"/>
        </w:rPr>
        <w:t>项目编号：</w:t>
      </w:r>
      <w:r>
        <w:rPr>
          <w:rFonts w:hint="eastAsia" w:ascii="仿宋" w:hAnsi="仿宋" w:eastAsia="仿宋" w:cs="仿宋"/>
          <w:sz w:val="24"/>
          <w:szCs w:val="24"/>
          <w:highlight w:val="none"/>
          <w:u w:val="single"/>
          <w:lang w:eastAsia="zh-CN"/>
        </w:rPr>
        <w:t>GJXC-2025-24）</w:t>
      </w:r>
      <w:r>
        <w:rPr>
          <w:rFonts w:hint="eastAsia" w:ascii="仿宋" w:hAnsi="仿宋" w:eastAsia="仿宋" w:cs="仿宋"/>
          <w:kern w:val="0"/>
          <w:sz w:val="24"/>
          <w:szCs w:val="24"/>
          <w:highlight w:val="none"/>
          <w:lang w:val="zh-CN"/>
        </w:rPr>
        <w:t>招标文件及相关文件的仔细研究，结合我们公司的实际情况，一旦我们公司中标，我们郑重向新昌县城市建设投资集团有限公司做出如下服务承诺：</w:t>
      </w:r>
    </w:p>
    <w:p w14:paraId="32C6108F">
      <w:pPr>
        <w:keepNext w:val="0"/>
        <w:keepLines w:val="0"/>
        <w:wordWrap w:val="0"/>
        <w:topLinePunct/>
        <w:autoSpaceDE w:val="0"/>
        <w:autoSpaceDN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1.承认并接受《招标文件》的要求和合同条件的约束，对中标的合同项目不向第三方转让；</w:t>
      </w:r>
    </w:p>
    <w:p w14:paraId="10FE6B7C">
      <w:pPr>
        <w:keepNext w:val="0"/>
        <w:keepLines w:val="0"/>
        <w:wordWrap w:val="0"/>
        <w:topLinePunct/>
        <w:autoSpaceDE w:val="0"/>
        <w:autoSpaceDN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2.我方投标文件中所提供的资信业绩材料均为真实有效，可随时提供材料原件，接受采购监督管理机构的核查，如有弄虚作假，愿按有关法律法规接受处罚；</w:t>
      </w:r>
    </w:p>
    <w:p w14:paraId="3CC5BC58">
      <w:pPr>
        <w:keepNext w:val="0"/>
        <w:keepLines w:val="0"/>
        <w:wordWrap w:val="0"/>
        <w:topLinePunct/>
        <w:autoSpaceDE w:val="0"/>
        <w:autoSpaceDN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3.我方严格遵守投标文件各项条款的承诺，按照投标文件所述要求履行合同。</w:t>
      </w:r>
    </w:p>
    <w:p w14:paraId="6E5442D6">
      <w:pPr>
        <w:keepNext w:val="0"/>
        <w:keepLines w:val="0"/>
        <w:wordWrap w:val="0"/>
        <w:topLinePunct/>
        <w:autoSpaceDE w:val="0"/>
        <w:autoSpaceDN w:val="0"/>
        <w:spacing w:line="360" w:lineRule="auto"/>
        <w:ind w:firstLine="480" w:firstLineChars="200"/>
        <w:jc w:val="left"/>
        <w:rPr>
          <w:rFonts w:hint="eastAsia" w:ascii="仿宋" w:hAnsi="仿宋" w:eastAsia="仿宋" w:cs="仿宋"/>
          <w:kern w:val="0"/>
          <w:sz w:val="24"/>
          <w:szCs w:val="24"/>
          <w:highlight w:val="none"/>
          <w:lang w:val="zh-CN"/>
        </w:rPr>
      </w:pPr>
    </w:p>
    <w:p w14:paraId="5FB2FBC3">
      <w:pPr>
        <w:keepNext w:val="0"/>
        <w:keepLines w:val="0"/>
        <w:wordWrap w:val="0"/>
        <w:topLinePunct/>
        <w:adjustRightInd w:val="0"/>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投标人（电子签名)：</w:t>
      </w:r>
    </w:p>
    <w:p w14:paraId="46B10A5E">
      <w:pPr>
        <w:keepNext w:val="0"/>
        <w:keepLines w:val="0"/>
        <w:wordWrap w:val="0"/>
        <w:topLinePunct/>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zh-CN"/>
        </w:rPr>
        <w:t>月日</w:t>
      </w:r>
    </w:p>
    <w:p w14:paraId="06B91727">
      <w:pPr>
        <w:keepNext w:val="0"/>
        <w:keepLines w:val="0"/>
        <w:wordWrap w:val="0"/>
        <w:topLinePunct/>
        <w:autoSpaceDE w:val="0"/>
        <w:autoSpaceDN w:val="0"/>
        <w:spacing w:line="440" w:lineRule="exact"/>
        <w:ind w:firstLine="480" w:firstLineChars="200"/>
        <w:jc w:val="left"/>
        <w:rPr>
          <w:rFonts w:hint="eastAsia" w:ascii="仿宋" w:hAnsi="仿宋" w:eastAsia="仿宋" w:cs="仿宋"/>
          <w:kern w:val="0"/>
          <w:sz w:val="24"/>
          <w:szCs w:val="24"/>
          <w:highlight w:val="none"/>
          <w:lang w:val="zh-CN"/>
        </w:rPr>
        <w:sectPr>
          <w:pgSz w:w="11905" w:h="16838"/>
          <w:pgMar w:top="907" w:right="1247" w:bottom="907" w:left="1247" w:header="510" w:footer="510" w:gutter="0"/>
          <w:pgNumType w:fmt="decimal"/>
          <w:cols w:space="720" w:num="1"/>
        </w:sectPr>
      </w:pPr>
    </w:p>
    <w:p w14:paraId="0ADA0A7C">
      <w:pPr>
        <w:keepNext w:val="0"/>
        <w:keepLines w:val="0"/>
        <w:wordWrap w:val="0"/>
        <w:topLinePunct/>
        <w:spacing w:line="360" w:lineRule="auto"/>
        <w:rPr>
          <w:rStyle w:val="61"/>
          <w:rFonts w:hint="eastAsia" w:ascii="仿宋" w:hAnsi="仿宋" w:eastAsia="仿宋" w:cs="仿宋"/>
          <w:highlight w:val="none"/>
        </w:rPr>
      </w:pPr>
      <w:r>
        <w:rPr>
          <w:rFonts w:hint="eastAsia" w:ascii="仿宋" w:hAnsi="仿宋" w:eastAsia="仿宋" w:cs="仿宋"/>
          <w:sz w:val="32"/>
          <w:szCs w:val="32"/>
          <w:highlight w:val="none"/>
        </w:rPr>
        <w:t>附件八</w:t>
      </w:r>
    </w:p>
    <w:p w14:paraId="601C760F">
      <w:pPr>
        <w:pStyle w:val="28"/>
        <w:keepNext w:val="0"/>
        <w:keepLines w:val="0"/>
        <w:wordWrap w:val="0"/>
        <w:topLinePunct/>
        <w:ind w:left="5250"/>
        <w:rPr>
          <w:rFonts w:hint="eastAsia" w:ascii="仿宋" w:hAnsi="仿宋" w:eastAsia="仿宋" w:cs="仿宋"/>
          <w:highlight w:val="none"/>
        </w:rPr>
      </w:pPr>
    </w:p>
    <w:p w14:paraId="4525C96E">
      <w:pPr>
        <w:keepNext w:val="0"/>
        <w:keepLines w:val="0"/>
        <w:wordWrap w:val="0"/>
        <w:topLinePunct/>
        <w:spacing w:line="360" w:lineRule="auto"/>
        <w:ind w:right="-21" w:rightChars="-10"/>
        <w:jc w:val="center"/>
        <w:outlineLvl w:val="1"/>
        <w:rPr>
          <w:rFonts w:hint="eastAsia" w:ascii="仿宋" w:hAnsi="仿宋" w:eastAsia="仿宋" w:cs="仿宋"/>
          <w:b/>
          <w:sz w:val="32"/>
          <w:highlight w:val="none"/>
        </w:rPr>
      </w:pPr>
      <w:r>
        <w:rPr>
          <w:rFonts w:hint="eastAsia" w:ascii="仿宋" w:hAnsi="仿宋" w:eastAsia="仿宋" w:cs="仿宋"/>
          <w:b/>
          <w:sz w:val="32"/>
          <w:highlight w:val="none"/>
        </w:rPr>
        <w:t>投标单位情况表</w:t>
      </w:r>
    </w:p>
    <w:tbl>
      <w:tblPr>
        <w:tblStyle w:val="46"/>
        <w:tblW w:w="93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9"/>
        <w:gridCol w:w="1933"/>
        <w:gridCol w:w="1741"/>
        <w:gridCol w:w="1493"/>
        <w:gridCol w:w="1115"/>
      </w:tblGrid>
      <w:tr w14:paraId="5021D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019" w:type="dxa"/>
            <w:tcBorders>
              <w:top w:val="single" w:color="auto" w:sz="12" w:space="0"/>
            </w:tcBorders>
            <w:vAlign w:val="center"/>
          </w:tcPr>
          <w:p w14:paraId="22A2B463">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法定代表人（负责人）</w:t>
            </w:r>
          </w:p>
        </w:tc>
        <w:tc>
          <w:tcPr>
            <w:tcW w:w="1933" w:type="dxa"/>
            <w:tcBorders>
              <w:top w:val="single" w:color="auto" w:sz="12" w:space="0"/>
            </w:tcBorders>
            <w:vAlign w:val="center"/>
          </w:tcPr>
          <w:p w14:paraId="59B63BE8">
            <w:pPr>
              <w:pStyle w:val="14"/>
              <w:keepNext w:val="0"/>
              <w:keepLines w:val="0"/>
              <w:pageBreakBefore/>
              <w:suppressLineNumbers w:val="0"/>
              <w:wordWrap w:val="0"/>
              <w:topLinePunct/>
              <w:spacing w:before="0" w:beforeAutospacing="0" w:after="0" w:afterAutospacing="0" w:line="360" w:lineRule="auto"/>
              <w:ind w:left="420" w:leftChars="200" w:right="-21" w:rightChars="-10" w:firstLine="0" w:firstLineChars="0"/>
              <w:outlineLvl w:val="0"/>
              <w:rPr>
                <w:rFonts w:hint="eastAsia" w:ascii="仿宋" w:hAnsi="仿宋" w:eastAsia="仿宋" w:cs="仿宋"/>
                <w:b/>
                <w:bCs/>
                <w:sz w:val="21"/>
                <w:szCs w:val="21"/>
                <w:highlight w:val="none"/>
              </w:rPr>
            </w:pPr>
          </w:p>
        </w:tc>
        <w:tc>
          <w:tcPr>
            <w:tcW w:w="1741" w:type="dxa"/>
            <w:tcBorders>
              <w:top w:val="single" w:color="auto" w:sz="12" w:space="0"/>
            </w:tcBorders>
            <w:vAlign w:val="center"/>
          </w:tcPr>
          <w:p w14:paraId="48281C74">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成立日期</w:t>
            </w:r>
          </w:p>
        </w:tc>
        <w:tc>
          <w:tcPr>
            <w:tcW w:w="2608" w:type="dxa"/>
            <w:gridSpan w:val="2"/>
            <w:tcBorders>
              <w:top w:val="single" w:color="auto" w:sz="12" w:space="0"/>
            </w:tcBorders>
            <w:vAlign w:val="center"/>
          </w:tcPr>
          <w:p w14:paraId="620F446D">
            <w:pPr>
              <w:pStyle w:val="14"/>
              <w:keepNext w:val="0"/>
              <w:keepLines w:val="0"/>
              <w:pageBreakBefore/>
              <w:suppressLineNumbers w:val="0"/>
              <w:wordWrap w:val="0"/>
              <w:topLinePunct/>
              <w:spacing w:before="0" w:beforeAutospacing="0" w:after="0" w:afterAutospacing="0" w:line="360" w:lineRule="auto"/>
              <w:ind w:left="420" w:leftChars="200" w:right="-21" w:rightChars="-10" w:firstLine="0" w:firstLineChars="0"/>
              <w:outlineLvl w:val="0"/>
              <w:rPr>
                <w:rFonts w:hint="eastAsia" w:ascii="仿宋" w:hAnsi="仿宋" w:eastAsia="仿宋" w:cs="仿宋"/>
                <w:b/>
                <w:bCs/>
                <w:sz w:val="21"/>
                <w:szCs w:val="21"/>
                <w:highlight w:val="none"/>
              </w:rPr>
            </w:pPr>
          </w:p>
        </w:tc>
      </w:tr>
      <w:tr w14:paraId="40868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3019" w:type="dxa"/>
            <w:vAlign w:val="center"/>
          </w:tcPr>
          <w:p w14:paraId="27C1526B">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企业地址</w:t>
            </w:r>
          </w:p>
        </w:tc>
        <w:tc>
          <w:tcPr>
            <w:tcW w:w="1933" w:type="dxa"/>
            <w:vAlign w:val="center"/>
          </w:tcPr>
          <w:p w14:paraId="792AFECD">
            <w:pPr>
              <w:pStyle w:val="14"/>
              <w:keepNext w:val="0"/>
              <w:keepLines w:val="0"/>
              <w:pageBreakBefore/>
              <w:suppressLineNumbers w:val="0"/>
              <w:wordWrap w:val="0"/>
              <w:topLinePunct/>
              <w:spacing w:before="0" w:beforeAutospacing="0" w:after="0" w:afterAutospacing="0" w:line="360" w:lineRule="auto"/>
              <w:ind w:left="420" w:leftChars="200" w:right="-21" w:rightChars="-10" w:firstLine="0" w:firstLineChars="0"/>
              <w:outlineLvl w:val="0"/>
              <w:rPr>
                <w:rFonts w:hint="eastAsia" w:ascii="仿宋" w:hAnsi="仿宋" w:eastAsia="仿宋" w:cs="仿宋"/>
                <w:b/>
                <w:bCs/>
                <w:sz w:val="21"/>
                <w:szCs w:val="21"/>
                <w:highlight w:val="none"/>
              </w:rPr>
            </w:pPr>
          </w:p>
        </w:tc>
        <w:tc>
          <w:tcPr>
            <w:tcW w:w="1741" w:type="dxa"/>
            <w:vAlign w:val="center"/>
          </w:tcPr>
          <w:p w14:paraId="1064BDC7">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注册资金</w:t>
            </w:r>
          </w:p>
        </w:tc>
        <w:tc>
          <w:tcPr>
            <w:tcW w:w="2608" w:type="dxa"/>
            <w:gridSpan w:val="2"/>
            <w:vAlign w:val="center"/>
          </w:tcPr>
          <w:p w14:paraId="7F00758F">
            <w:pPr>
              <w:pStyle w:val="14"/>
              <w:keepNext w:val="0"/>
              <w:keepLines w:val="0"/>
              <w:suppressLineNumbers w:val="0"/>
              <w:wordWrap w:val="0"/>
              <w:topLinePunct/>
              <w:spacing w:before="0" w:beforeAutospacing="0" w:after="0" w:afterAutospacing="0" w:line="360" w:lineRule="auto"/>
              <w:ind w:left="0" w:right="-21" w:rightChars="-10" w:firstLine="630" w:firstLineChars="300"/>
              <w:rPr>
                <w:rFonts w:hint="eastAsia" w:ascii="仿宋" w:hAnsi="仿宋" w:eastAsia="仿宋" w:cs="仿宋"/>
                <w:sz w:val="21"/>
                <w:szCs w:val="21"/>
                <w:highlight w:val="none"/>
              </w:rPr>
            </w:pPr>
            <w:r>
              <w:rPr>
                <w:rFonts w:hint="eastAsia" w:ascii="仿宋" w:hAnsi="仿宋" w:eastAsia="仿宋" w:cs="仿宋"/>
                <w:sz w:val="21"/>
                <w:szCs w:val="21"/>
                <w:highlight w:val="none"/>
              </w:rPr>
              <w:t>万元</w:t>
            </w:r>
          </w:p>
        </w:tc>
      </w:tr>
      <w:tr w14:paraId="62B76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3019" w:type="dxa"/>
            <w:vAlign w:val="center"/>
          </w:tcPr>
          <w:p w14:paraId="0917FDA1">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经营范围</w:t>
            </w:r>
          </w:p>
        </w:tc>
        <w:tc>
          <w:tcPr>
            <w:tcW w:w="6282" w:type="dxa"/>
            <w:gridSpan w:val="4"/>
            <w:vAlign w:val="center"/>
          </w:tcPr>
          <w:p w14:paraId="563627F4">
            <w:pPr>
              <w:pStyle w:val="14"/>
              <w:keepNext w:val="0"/>
              <w:keepLines w:val="0"/>
              <w:pageBreakBefore/>
              <w:suppressLineNumbers w:val="0"/>
              <w:wordWrap w:val="0"/>
              <w:topLinePunct/>
              <w:spacing w:before="0" w:beforeAutospacing="0" w:after="0" w:afterAutospacing="0" w:line="360" w:lineRule="auto"/>
              <w:ind w:left="420" w:leftChars="200" w:right="-21" w:rightChars="-10" w:firstLine="0" w:firstLineChars="0"/>
              <w:outlineLvl w:val="0"/>
              <w:rPr>
                <w:rFonts w:hint="eastAsia" w:ascii="仿宋" w:hAnsi="仿宋" w:eastAsia="仿宋" w:cs="仿宋"/>
                <w:b/>
                <w:bCs/>
                <w:sz w:val="21"/>
                <w:szCs w:val="21"/>
                <w:highlight w:val="none"/>
              </w:rPr>
            </w:pPr>
          </w:p>
        </w:tc>
      </w:tr>
      <w:tr w14:paraId="29EAB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019" w:type="dxa"/>
            <w:vAlign w:val="center"/>
          </w:tcPr>
          <w:p w14:paraId="1E46D570">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职工人数</w:t>
            </w:r>
          </w:p>
        </w:tc>
        <w:tc>
          <w:tcPr>
            <w:tcW w:w="1933" w:type="dxa"/>
            <w:vAlign w:val="center"/>
          </w:tcPr>
          <w:p w14:paraId="5AC1A310">
            <w:pPr>
              <w:pStyle w:val="14"/>
              <w:keepNext w:val="0"/>
              <w:keepLines w:val="0"/>
              <w:pageBreakBefore/>
              <w:suppressLineNumbers w:val="0"/>
              <w:wordWrap w:val="0"/>
              <w:topLinePunct/>
              <w:spacing w:before="0" w:beforeAutospacing="0" w:after="0" w:afterAutospacing="0" w:line="360" w:lineRule="auto"/>
              <w:ind w:left="420" w:leftChars="200" w:right="-21" w:rightChars="-10" w:firstLine="0" w:firstLineChars="0"/>
              <w:outlineLvl w:val="0"/>
              <w:rPr>
                <w:rFonts w:hint="eastAsia" w:ascii="仿宋" w:hAnsi="仿宋" w:eastAsia="仿宋" w:cs="仿宋"/>
                <w:b/>
                <w:bCs/>
                <w:sz w:val="21"/>
                <w:szCs w:val="21"/>
                <w:highlight w:val="none"/>
              </w:rPr>
            </w:pPr>
          </w:p>
        </w:tc>
        <w:tc>
          <w:tcPr>
            <w:tcW w:w="3234" w:type="dxa"/>
            <w:gridSpan w:val="2"/>
            <w:vAlign w:val="center"/>
          </w:tcPr>
          <w:p w14:paraId="42E6E715">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专业技术的人数</w:t>
            </w:r>
          </w:p>
        </w:tc>
        <w:tc>
          <w:tcPr>
            <w:tcW w:w="1115" w:type="dxa"/>
            <w:vAlign w:val="center"/>
          </w:tcPr>
          <w:p w14:paraId="092858A8">
            <w:pPr>
              <w:pStyle w:val="14"/>
              <w:keepNext w:val="0"/>
              <w:keepLines w:val="0"/>
              <w:pageBreakBefore/>
              <w:numPr>
                <w:ilvl w:val="-1"/>
                <w:numId w:val="0"/>
              </w:numPr>
              <w:suppressLineNumbers w:val="0"/>
              <w:wordWrap w:val="0"/>
              <w:topLinePunct/>
              <w:spacing w:before="0" w:beforeAutospacing="0" w:after="0" w:afterAutospacing="0" w:line="360" w:lineRule="auto"/>
              <w:ind w:left="630" w:right="-21" w:rightChars="-10" w:firstLine="0" w:firstLineChars="0"/>
              <w:outlineLvl w:val="0"/>
              <w:rPr>
                <w:rFonts w:hint="eastAsia" w:ascii="仿宋" w:hAnsi="仿宋" w:eastAsia="仿宋" w:cs="仿宋"/>
                <w:b/>
                <w:bCs/>
                <w:sz w:val="21"/>
                <w:szCs w:val="21"/>
                <w:highlight w:val="none"/>
              </w:rPr>
            </w:pPr>
          </w:p>
        </w:tc>
      </w:tr>
      <w:tr w14:paraId="2FA2D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019" w:type="dxa"/>
            <w:vAlign w:val="center"/>
          </w:tcPr>
          <w:p w14:paraId="0387E859">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资产总额</w:t>
            </w:r>
          </w:p>
        </w:tc>
        <w:tc>
          <w:tcPr>
            <w:tcW w:w="1933" w:type="dxa"/>
            <w:vAlign w:val="center"/>
          </w:tcPr>
          <w:p w14:paraId="2A98FB9A">
            <w:pPr>
              <w:pStyle w:val="14"/>
              <w:keepNext w:val="0"/>
              <w:keepLines w:val="0"/>
              <w:suppressLineNumbers w:val="0"/>
              <w:wordWrap w:val="0"/>
              <w:topLinePunct/>
              <w:spacing w:before="0" w:beforeAutospacing="0" w:after="0" w:afterAutospacing="0" w:line="360" w:lineRule="auto"/>
              <w:ind w:left="1033" w:leftChars="342" w:right="-21" w:rightChars="-10" w:hanging="315" w:hangingChars="150"/>
              <w:rPr>
                <w:rFonts w:hint="eastAsia" w:ascii="仿宋" w:hAnsi="仿宋" w:eastAsia="仿宋" w:cs="仿宋"/>
                <w:sz w:val="21"/>
                <w:szCs w:val="21"/>
                <w:highlight w:val="none"/>
              </w:rPr>
            </w:pPr>
            <w:r>
              <w:rPr>
                <w:rFonts w:hint="eastAsia" w:ascii="仿宋" w:hAnsi="仿宋" w:eastAsia="仿宋" w:cs="仿宋"/>
                <w:sz w:val="21"/>
                <w:szCs w:val="21"/>
                <w:highlight w:val="none"/>
              </w:rPr>
              <w:t>万元</w:t>
            </w:r>
          </w:p>
        </w:tc>
        <w:tc>
          <w:tcPr>
            <w:tcW w:w="1741" w:type="dxa"/>
            <w:vAlign w:val="center"/>
          </w:tcPr>
          <w:p w14:paraId="05BF964B">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净资产</w:t>
            </w:r>
          </w:p>
        </w:tc>
        <w:tc>
          <w:tcPr>
            <w:tcW w:w="2608" w:type="dxa"/>
            <w:gridSpan w:val="2"/>
            <w:vAlign w:val="center"/>
          </w:tcPr>
          <w:p w14:paraId="624856CC">
            <w:pPr>
              <w:pStyle w:val="14"/>
              <w:keepNext w:val="0"/>
              <w:keepLines w:val="0"/>
              <w:suppressLineNumbers w:val="0"/>
              <w:wordWrap w:val="0"/>
              <w:topLinePunct/>
              <w:spacing w:before="0" w:beforeAutospacing="0" w:after="0" w:afterAutospacing="0" w:line="360" w:lineRule="auto"/>
              <w:ind w:left="0" w:right="-21" w:rightChars="-10"/>
              <w:rPr>
                <w:rFonts w:hint="eastAsia" w:ascii="仿宋" w:hAnsi="仿宋" w:eastAsia="仿宋" w:cs="仿宋"/>
                <w:sz w:val="21"/>
                <w:szCs w:val="21"/>
                <w:highlight w:val="none"/>
              </w:rPr>
            </w:pPr>
            <w:r>
              <w:rPr>
                <w:rFonts w:hint="eastAsia" w:ascii="仿宋" w:hAnsi="仿宋" w:eastAsia="仿宋" w:cs="仿宋"/>
                <w:sz w:val="21"/>
                <w:szCs w:val="21"/>
                <w:highlight w:val="none"/>
              </w:rPr>
              <w:t>万元</w:t>
            </w:r>
          </w:p>
        </w:tc>
      </w:tr>
      <w:tr w14:paraId="771E5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3019" w:type="dxa"/>
            <w:vAlign w:val="center"/>
          </w:tcPr>
          <w:p w14:paraId="3742BEDF">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营业面积</w:t>
            </w:r>
          </w:p>
        </w:tc>
        <w:tc>
          <w:tcPr>
            <w:tcW w:w="1933" w:type="dxa"/>
            <w:vAlign w:val="center"/>
          </w:tcPr>
          <w:p w14:paraId="054BD75D">
            <w:pPr>
              <w:pStyle w:val="14"/>
              <w:keepNext w:val="0"/>
              <w:keepLines w:val="0"/>
              <w:suppressLineNumbers w:val="0"/>
              <w:wordWrap w:val="0"/>
              <w:topLinePunct/>
              <w:spacing w:before="0" w:beforeAutospacing="0" w:after="0" w:afterAutospacing="0" w:line="360" w:lineRule="auto"/>
              <w:ind w:left="0" w:right="-21" w:rightChars="-10"/>
              <w:rPr>
                <w:rFonts w:hint="eastAsia" w:ascii="仿宋" w:hAnsi="仿宋" w:eastAsia="仿宋" w:cs="仿宋"/>
                <w:sz w:val="21"/>
                <w:szCs w:val="21"/>
                <w:highlight w:val="none"/>
              </w:rPr>
            </w:pPr>
            <w:r>
              <w:rPr>
                <w:rFonts w:hint="eastAsia" w:ascii="仿宋" w:hAnsi="仿宋" w:eastAsia="仿宋" w:cs="仿宋"/>
                <w:sz w:val="21"/>
                <w:szCs w:val="21"/>
                <w:highlight w:val="none"/>
              </w:rPr>
              <w:t>平方米</w:t>
            </w:r>
          </w:p>
        </w:tc>
        <w:tc>
          <w:tcPr>
            <w:tcW w:w="1741" w:type="dxa"/>
            <w:vAlign w:val="center"/>
          </w:tcPr>
          <w:p w14:paraId="68FBC1DA">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其中：</w:t>
            </w:r>
          </w:p>
        </w:tc>
        <w:tc>
          <w:tcPr>
            <w:tcW w:w="2608" w:type="dxa"/>
            <w:gridSpan w:val="2"/>
            <w:vAlign w:val="center"/>
          </w:tcPr>
          <w:p w14:paraId="15EDA94B">
            <w:pPr>
              <w:pStyle w:val="14"/>
              <w:keepNext w:val="0"/>
              <w:keepLines w:val="0"/>
              <w:suppressLineNumbers w:val="0"/>
              <w:wordWrap w:val="0"/>
              <w:topLinePunct/>
              <w:spacing w:before="0" w:beforeAutospacing="0" w:after="0" w:afterAutospacing="0" w:line="360" w:lineRule="auto"/>
              <w:ind w:left="0" w:right="-21" w:rightChars="-10"/>
              <w:rPr>
                <w:rFonts w:hint="eastAsia" w:ascii="仿宋" w:hAnsi="仿宋" w:eastAsia="仿宋" w:cs="仿宋"/>
                <w:sz w:val="21"/>
                <w:szCs w:val="21"/>
                <w:highlight w:val="none"/>
              </w:rPr>
            </w:pPr>
            <w:r>
              <w:rPr>
                <w:rFonts w:hint="eastAsia" w:ascii="仿宋" w:hAnsi="仿宋" w:eastAsia="仿宋" w:cs="仿宋"/>
                <w:sz w:val="21"/>
                <w:szCs w:val="21"/>
                <w:highlight w:val="none"/>
              </w:rPr>
              <w:t>自有面积平方米</w:t>
            </w:r>
          </w:p>
          <w:p w14:paraId="0CD9C9DE">
            <w:pPr>
              <w:pStyle w:val="14"/>
              <w:keepNext w:val="0"/>
              <w:keepLines w:val="0"/>
              <w:suppressLineNumbers w:val="0"/>
              <w:wordWrap w:val="0"/>
              <w:topLinePunct/>
              <w:spacing w:before="0" w:beforeAutospacing="0" w:after="0" w:afterAutospacing="0" w:line="360" w:lineRule="auto"/>
              <w:ind w:left="0" w:right="-21" w:rightChars="-10"/>
              <w:rPr>
                <w:rFonts w:hint="eastAsia" w:ascii="仿宋" w:hAnsi="仿宋" w:eastAsia="仿宋" w:cs="仿宋"/>
                <w:sz w:val="21"/>
                <w:szCs w:val="21"/>
                <w:highlight w:val="none"/>
              </w:rPr>
            </w:pPr>
            <w:r>
              <w:rPr>
                <w:rFonts w:hint="eastAsia" w:ascii="仿宋" w:hAnsi="仿宋" w:eastAsia="仿宋" w:cs="仿宋"/>
                <w:sz w:val="21"/>
                <w:szCs w:val="21"/>
                <w:highlight w:val="none"/>
              </w:rPr>
              <w:t>承租面积平方米</w:t>
            </w:r>
          </w:p>
        </w:tc>
      </w:tr>
      <w:tr w14:paraId="4759A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3019" w:type="dxa"/>
            <w:vAlign w:val="center"/>
          </w:tcPr>
          <w:p w14:paraId="4537235F">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单位简历及内设机构</w:t>
            </w:r>
          </w:p>
          <w:p w14:paraId="63F8AADD">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情况</w:t>
            </w:r>
          </w:p>
        </w:tc>
        <w:tc>
          <w:tcPr>
            <w:tcW w:w="6282" w:type="dxa"/>
            <w:gridSpan w:val="4"/>
            <w:vAlign w:val="center"/>
          </w:tcPr>
          <w:p w14:paraId="05EDC377">
            <w:pPr>
              <w:pStyle w:val="14"/>
              <w:keepNext w:val="0"/>
              <w:keepLines w:val="0"/>
              <w:pageBreakBefore/>
              <w:suppressLineNumbers w:val="0"/>
              <w:wordWrap w:val="0"/>
              <w:topLinePunct/>
              <w:spacing w:before="340" w:beforeAutospacing="0" w:after="330" w:afterAutospacing="0" w:line="360" w:lineRule="auto"/>
              <w:ind w:left="420" w:leftChars="200" w:right="-21" w:rightChars="-10" w:firstLine="0" w:firstLineChars="0"/>
              <w:outlineLvl w:val="0"/>
              <w:rPr>
                <w:rFonts w:hint="eastAsia" w:ascii="仿宋" w:hAnsi="仿宋" w:eastAsia="仿宋" w:cs="仿宋"/>
                <w:b/>
                <w:bCs/>
                <w:sz w:val="21"/>
                <w:szCs w:val="21"/>
                <w:highlight w:val="none"/>
              </w:rPr>
            </w:pPr>
          </w:p>
        </w:tc>
      </w:tr>
      <w:tr w14:paraId="0D3C6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3019" w:type="dxa"/>
            <w:vAlign w:val="center"/>
          </w:tcPr>
          <w:p w14:paraId="3B126FC7">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单位优势及特长</w:t>
            </w:r>
          </w:p>
        </w:tc>
        <w:tc>
          <w:tcPr>
            <w:tcW w:w="6282" w:type="dxa"/>
            <w:gridSpan w:val="4"/>
            <w:vAlign w:val="center"/>
          </w:tcPr>
          <w:p w14:paraId="54E82063">
            <w:pPr>
              <w:pStyle w:val="14"/>
              <w:keepNext w:val="0"/>
              <w:keepLines w:val="0"/>
              <w:pageBreakBefore/>
              <w:suppressLineNumbers w:val="0"/>
              <w:wordWrap w:val="0"/>
              <w:topLinePunct/>
              <w:spacing w:before="340" w:beforeAutospacing="0" w:after="330" w:afterAutospacing="0" w:line="360" w:lineRule="auto"/>
              <w:ind w:left="420" w:leftChars="200" w:right="-21" w:rightChars="-10" w:firstLine="0" w:firstLineChars="0"/>
              <w:outlineLvl w:val="0"/>
              <w:rPr>
                <w:rFonts w:hint="eastAsia" w:ascii="仿宋" w:hAnsi="仿宋" w:eastAsia="仿宋" w:cs="仿宋"/>
                <w:b/>
                <w:bCs/>
                <w:sz w:val="21"/>
                <w:szCs w:val="21"/>
                <w:highlight w:val="none"/>
              </w:rPr>
            </w:pPr>
          </w:p>
        </w:tc>
      </w:tr>
      <w:tr w14:paraId="5A169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3019" w:type="dxa"/>
            <w:vAlign w:val="center"/>
          </w:tcPr>
          <w:p w14:paraId="6D00030A">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近三年来完成或正在履行的重大合同情况</w:t>
            </w:r>
          </w:p>
        </w:tc>
        <w:tc>
          <w:tcPr>
            <w:tcW w:w="6282" w:type="dxa"/>
            <w:gridSpan w:val="4"/>
            <w:vAlign w:val="center"/>
          </w:tcPr>
          <w:p w14:paraId="0A2D7E30">
            <w:pPr>
              <w:pStyle w:val="14"/>
              <w:keepNext w:val="0"/>
              <w:keepLines w:val="0"/>
              <w:pageBreakBefore/>
              <w:suppressLineNumbers w:val="0"/>
              <w:wordWrap w:val="0"/>
              <w:topLinePunct/>
              <w:spacing w:before="340" w:beforeAutospacing="0" w:after="330" w:afterAutospacing="0" w:line="360" w:lineRule="auto"/>
              <w:ind w:left="420" w:leftChars="200" w:right="-21" w:rightChars="-10" w:firstLine="0" w:firstLineChars="0"/>
              <w:outlineLvl w:val="0"/>
              <w:rPr>
                <w:rFonts w:hint="eastAsia" w:ascii="仿宋" w:hAnsi="仿宋" w:eastAsia="仿宋" w:cs="仿宋"/>
                <w:b/>
                <w:bCs/>
                <w:sz w:val="21"/>
                <w:szCs w:val="21"/>
                <w:highlight w:val="none"/>
              </w:rPr>
            </w:pPr>
          </w:p>
        </w:tc>
      </w:tr>
      <w:tr w14:paraId="28717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3019" w:type="dxa"/>
            <w:vAlign w:val="center"/>
          </w:tcPr>
          <w:p w14:paraId="6C68F065">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最近2年内在经营过程中受到何种奖励或处分</w:t>
            </w:r>
          </w:p>
        </w:tc>
        <w:tc>
          <w:tcPr>
            <w:tcW w:w="6282" w:type="dxa"/>
            <w:gridSpan w:val="4"/>
            <w:vAlign w:val="center"/>
          </w:tcPr>
          <w:p w14:paraId="2C87FD59">
            <w:pPr>
              <w:pStyle w:val="14"/>
              <w:keepNext w:val="0"/>
              <w:keepLines w:val="0"/>
              <w:suppressLineNumbers w:val="0"/>
              <w:wordWrap w:val="0"/>
              <w:topLinePunct/>
              <w:spacing w:before="0" w:beforeAutospacing="0" w:after="0" w:afterAutospacing="0" w:line="360" w:lineRule="auto"/>
              <w:ind w:left="0" w:right="-21" w:rightChars="-1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（包括财政、工商、税务、物价、技监部门稽查情况和结果）</w:t>
            </w:r>
          </w:p>
        </w:tc>
      </w:tr>
      <w:tr w14:paraId="5D889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jc w:val="center"/>
        </w:trPr>
        <w:tc>
          <w:tcPr>
            <w:tcW w:w="3019" w:type="dxa"/>
            <w:vAlign w:val="center"/>
          </w:tcPr>
          <w:p w14:paraId="379591A2">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最近3年内有无因服务或是其他原因被消费者投诉或起诉的情况及说明</w:t>
            </w:r>
          </w:p>
        </w:tc>
        <w:tc>
          <w:tcPr>
            <w:tcW w:w="6282" w:type="dxa"/>
            <w:gridSpan w:val="4"/>
            <w:vAlign w:val="center"/>
          </w:tcPr>
          <w:p w14:paraId="1ED6AA8D">
            <w:pPr>
              <w:pStyle w:val="14"/>
              <w:keepNext w:val="0"/>
              <w:keepLines w:val="0"/>
              <w:suppressLineNumbers w:val="0"/>
              <w:wordWrap w:val="0"/>
              <w:topLinePunct/>
              <w:spacing w:before="0" w:beforeAutospacing="0" w:after="0" w:afterAutospacing="0" w:line="360" w:lineRule="auto"/>
              <w:ind w:left="0" w:right="-21" w:rightChars="-10"/>
              <w:rPr>
                <w:rFonts w:hint="eastAsia" w:ascii="仿宋" w:hAnsi="仿宋" w:eastAsia="仿宋" w:cs="仿宋"/>
                <w:sz w:val="21"/>
                <w:szCs w:val="21"/>
                <w:highlight w:val="none"/>
              </w:rPr>
            </w:pPr>
            <w:r>
              <w:rPr>
                <w:rFonts w:hint="eastAsia" w:ascii="仿宋" w:hAnsi="仿宋" w:eastAsia="仿宋" w:cs="仿宋"/>
                <w:sz w:val="21"/>
                <w:szCs w:val="21"/>
                <w:highlight w:val="none"/>
              </w:rPr>
              <w:t>（包括解决方式和结果）</w:t>
            </w:r>
          </w:p>
        </w:tc>
      </w:tr>
      <w:tr w14:paraId="41A3E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7" w:hRule="atLeast"/>
          <w:jc w:val="center"/>
        </w:trPr>
        <w:tc>
          <w:tcPr>
            <w:tcW w:w="3019" w:type="dxa"/>
            <w:tcBorders>
              <w:bottom w:val="single" w:color="auto" w:sz="12" w:space="0"/>
            </w:tcBorders>
            <w:vAlign w:val="center"/>
          </w:tcPr>
          <w:p w14:paraId="34017B97">
            <w:pPr>
              <w:pStyle w:val="14"/>
              <w:keepNext w:val="0"/>
              <w:keepLines w:val="0"/>
              <w:suppressLineNumbers w:val="0"/>
              <w:wordWrap w:val="0"/>
              <w:topLinePunct/>
              <w:spacing w:before="0" w:beforeAutospacing="0" w:after="0" w:afterAutospacing="0" w:line="360" w:lineRule="auto"/>
              <w:ind w:left="0" w:right="-21" w:rightChars="-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最近3年内主要负责人有无因经济犯罪被司法机关追究的情况及说明</w:t>
            </w:r>
          </w:p>
        </w:tc>
        <w:tc>
          <w:tcPr>
            <w:tcW w:w="6282" w:type="dxa"/>
            <w:gridSpan w:val="4"/>
            <w:tcBorders>
              <w:bottom w:val="single" w:color="auto" w:sz="12" w:space="0"/>
            </w:tcBorders>
            <w:vAlign w:val="center"/>
          </w:tcPr>
          <w:p w14:paraId="302735A1">
            <w:pPr>
              <w:pStyle w:val="14"/>
              <w:keepNext w:val="0"/>
              <w:keepLines w:val="0"/>
              <w:pageBreakBefore/>
              <w:suppressLineNumbers w:val="0"/>
              <w:wordWrap w:val="0"/>
              <w:topLinePunct/>
              <w:spacing w:before="340" w:beforeAutospacing="0" w:after="330" w:afterAutospacing="0" w:line="360" w:lineRule="auto"/>
              <w:ind w:left="420" w:leftChars="200" w:right="-21" w:rightChars="-10" w:firstLine="0" w:firstLineChars="0"/>
              <w:outlineLvl w:val="0"/>
              <w:rPr>
                <w:rFonts w:hint="eastAsia" w:ascii="仿宋" w:hAnsi="仿宋" w:eastAsia="仿宋" w:cs="仿宋"/>
                <w:b/>
                <w:bCs/>
                <w:sz w:val="21"/>
                <w:szCs w:val="21"/>
                <w:highlight w:val="none"/>
              </w:rPr>
            </w:pPr>
          </w:p>
        </w:tc>
      </w:tr>
    </w:tbl>
    <w:p w14:paraId="2EE8550B">
      <w:pPr>
        <w:keepNext w:val="0"/>
        <w:keepLines w:val="0"/>
        <w:wordWrap w:val="0"/>
        <w:topLinePunct/>
        <w:spacing w:line="360" w:lineRule="auto"/>
        <w:jc w:val="center"/>
        <w:rPr>
          <w:rFonts w:hint="eastAsia" w:ascii="仿宋" w:hAnsi="仿宋" w:eastAsia="仿宋" w:cs="仿宋"/>
          <w:sz w:val="24"/>
          <w:highlight w:val="none"/>
        </w:rPr>
      </w:pPr>
    </w:p>
    <w:p w14:paraId="08C4A1F7">
      <w:pPr>
        <w:keepNext w:val="0"/>
        <w:keepLines w:val="0"/>
        <w:wordWrap w:val="0"/>
        <w:topLinePunct/>
        <w:adjustRightInd w:val="0"/>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投标人（电子签名)：</w:t>
      </w:r>
    </w:p>
    <w:p w14:paraId="5F3840D4">
      <w:pPr>
        <w:keepNext w:val="0"/>
        <w:keepLines w:val="0"/>
        <w:wordWrap w:val="0"/>
        <w:topLinePunct/>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zh-CN"/>
        </w:rPr>
        <w:t>月日</w:t>
      </w:r>
    </w:p>
    <w:p w14:paraId="23D7A1F7">
      <w:pPr>
        <w:keepNext w:val="0"/>
        <w:keepLines w:val="0"/>
        <w:wordWrap w:val="0"/>
        <w:topLinePunct/>
        <w:spacing w:line="360" w:lineRule="auto"/>
        <w:ind w:firstLine="320" w:firstLineChars="100"/>
        <w:rPr>
          <w:rFonts w:hint="eastAsia" w:ascii="仿宋" w:hAnsi="仿宋" w:eastAsia="仿宋" w:cs="仿宋"/>
          <w:sz w:val="32"/>
          <w:szCs w:val="32"/>
          <w:highlight w:val="none"/>
        </w:rPr>
        <w:sectPr>
          <w:pgSz w:w="11905" w:h="16838"/>
          <w:pgMar w:top="907" w:right="1247" w:bottom="907" w:left="1247" w:header="510" w:footer="510" w:gutter="0"/>
          <w:pgNumType w:fmt="decimal"/>
          <w:cols w:space="720" w:num="1"/>
        </w:sectPr>
      </w:pPr>
    </w:p>
    <w:p w14:paraId="16383576">
      <w:pPr>
        <w:pStyle w:val="25"/>
        <w:keepNext w:val="0"/>
        <w:keepLines w:val="0"/>
        <w:wordWrap w:val="0"/>
        <w:topLinePunct/>
        <w:spacing w:line="360" w:lineRule="auto"/>
        <w:outlineLvl w:val="2"/>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附件九</w:t>
      </w:r>
      <w:r>
        <w:rPr>
          <w:rFonts w:hint="eastAsia" w:ascii="仿宋" w:hAnsi="仿宋" w:eastAsia="仿宋" w:cs="仿宋"/>
          <w:sz w:val="32"/>
          <w:szCs w:val="32"/>
          <w:highlight w:val="none"/>
          <w:lang w:val="en-US" w:eastAsia="zh-CN"/>
        </w:rPr>
        <w:t xml:space="preserve"> 类似项目业绩表</w:t>
      </w:r>
    </w:p>
    <w:p w14:paraId="21A53A1C">
      <w:pPr>
        <w:keepNext w:val="0"/>
        <w:keepLines w:val="0"/>
        <w:wordWrap w:val="0"/>
        <w:topLinePunct/>
        <w:spacing w:line="360" w:lineRule="auto"/>
        <w:jc w:val="center"/>
        <w:outlineLvl w:val="9"/>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类似项目业绩</w:t>
      </w:r>
      <w:r>
        <w:rPr>
          <w:rFonts w:hint="eastAsia" w:ascii="仿宋" w:hAnsi="仿宋" w:eastAsia="仿宋" w:cs="仿宋"/>
          <w:b/>
          <w:sz w:val="32"/>
          <w:szCs w:val="32"/>
          <w:highlight w:val="none"/>
          <w:lang w:val="en-US" w:eastAsia="zh-CN"/>
        </w:rPr>
        <w:t>表</w:t>
      </w:r>
    </w:p>
    <w:p w14:paraId="30851BC6">
      <w:pPr>
        <w:keepNext w:val="0"/>
        <w:keepLines w:val="0"/>
        <w:wordWrap w:val="0"/>
        <w:topLinePunct/>
        <w:spacing w:line="360" w:lineRule="auto"/>
        <w:ind w:firstLine="315" w:firstLineChars="150"/>
        <w:rPr>
          <w:rFonts w:hint="eastAsia" w:ascii="仿宋" w:hAnsi="仿宋" w:eastAsia="仿宋" w:cs="仿宋"/>
          <w:szCs w:val="21"/>
          <w:highlight w:val="none"/>
          <w:u w:val="single"/>
        </w:rPr>
      </w:pPr>
    </w:p>
    <w:p w14:paraId="4A0E4513">
      <w:pPr>
        <w:keepNext w:val="0"/>
        <w:keepLines w:val="0"/>
        <w:wordWrap w:val="0"/>
        <w:topLinePunct/>
        <w:spacing w:line="360" w:lineRule="auto"/>
        <w:ind w:firstLine="360" w:firstLineChars="15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8"/>
          <w:highlight w:val="none"/>
          <w:u w:val="none"/>
          <w:lang w:eastAsia="zh-CN"/>
        </w:rPr>
        <w:t>新昌县人民医院迁建工程-窗帘采购项目</w:t>
      </w:r>
    </w:p>
    <w:p w14:paraId="143414A3">
      <w:pPr>
        <w:keepNext w:val="0"/>
        <w:keepLines w:val="0"/>
        <w:wordWrap w:val="0"/>
        <w:topLinePunct/>
        <w:spacing w:after="120" w:afterLines="50" w:line="360" w:lineRule="auto"/>
        <w:ind w:firstLine="360" w:firstLineChars="15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u w:val="none"/>
          <w:lang w:eastAsia="zh-CN"/>
        </w:rPr>
        <w:t>GJXC-2025-24</w:t>
      </w:r>
    </w:p>
    <w:tbl>
      <w:tblPr>
        <w:tblStyle w:val="47"/>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4"/>
        <w:gridCol w:w="1604"/>
        <w:gridCol w:w="1605"/>
        <w:gridCol w:w="1717"/>
        <w:gridCol w:w="1493"/>
      </w:tblGrid>
      <w:tr w14:paraId="32A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4BB7CC87">
            <w:pPr>
              <w:keepNext w:val="0"/>
              <w:keepLines w:val="0"/>
              <w:suppressLineNumbers w:val="0"/>
              <w:wordWrap w:val="0"/>
              <w:topLinePunct/>
              <w:snapToGrid w:val="0"/>
              <w:spacing w:before="0" w:beforeAutospacing="0" w:after="0" w:afterAutospacing="0" w:line="312" w:lineRule="exact"/>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604" w:type="dxa"/>
            <w:vAlign w:val="center"/>
          </w:tcPr>
          <w:p w14:paraId="19C83C7D">
            <w:pPr>
              <w:keepNext w:val="0"/>
              <w:keepLines w:val="0"/>
              <w:suppressLineNumbers w:val="0"/>
              <w:wordWrap w:val="0"/>
              <w:topLinePunct/>
              <w:snapToGrid w:val="0"/>
              <w:spacing w:before="0" w:beforeAutospacing="0" w:after="0" w:afterAutospacing="0" w:line="312" w:lineRule="exact"/>
              <w:ind w:left="0" w:right="0" w:firstLine="50" w:firstLineChars="21"/>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项目名称</w:t>
            </w:r>
          </w:p>
        </w:tc>
        <w:tc>
          <w:tcPr>
            <w:tcW w:w="1604" w:type="dxa"/>
            <w:vAlign w:val="center"/>
          </w:tcPr>
          <w:p w14:paraId="66E9C3A5">
            <w:pPr>
              <w:keepNext w:val="0"/>
              <w:keepLines w:val="0"/>
              <w:suppressLineNumbers w:val="0"/>
              <w:wordWrap w:val="0"/>
              <w:topLinePunct/>
              <w:snapToGrid w:val="0"/>
              <w:spacing w:before="0" w:beforeAutospacing="0" w:after="0" w:afterAutospacing="0" w:line="312" w:lineRule="exact"/>
              <w:ind w:left="0" w:right="0" w:firstLine="52" w:firstLineChars="22"/>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合同内容</w:t>
            </w:r>
          </w:p>
        </w:tc>
        <w:tc>
          <w:tcPr>
            <w:tcW w:w="1605" w:type="dxa"/>
            <w:vAlign w:val="center"/>
          </w:tcPr>
          <w:p w14:paraId="7852087C">
            <w:pPr>
              <w:keepNext w:val="0"/>
              <w:keepLines w:val="0"/>
              <w:suppressLineNumbers w:val="0"/>
              <w:wordWrap w:val="0"/>
              <w:topLinePunct/>
              <w:snapToGrid w:val="0"/>
              <w:spacing w:before="0" w:beforeAutospacing="0" w:after="0" w:afterAutospacing="0" w:line="312" w:lineRule="exact"/>
              <w:ind w:left="0" w:right="0" w:firstLine="50" w:firstLineChars="21"/>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合同金额</w:t>
            </w:r>
          </w:p>
        </w:tc>
        <w:tc>
          <w:tcPr>
            <w:tcW w:w="1717" w:type="dxa"/>
            <w:vAlign w:val="center"/>
          </w:tcPr>
          <w:p w14:paraId="02E98A3C">
            <w:pPr>
              <w:keepNext w:val="0"/>
              <w:keepLines w:val="0"/>
              <w:suppressLineNumbers w:val="0"/>
              <w:wordWrap w:val="0"/>
              <w:topLinePunct/>
              <w:snapToGrid w:val="0"/>
              <w:spacing w:before="0" w:beforeAutospacing="0" w:after="0" w:afterAutospacing="0" w:line="312" w:lineRule="exact"/>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联系人及电话</w:t>
            </w:r>
          </w:p>
        </w:tc>
        <w:tc>
          <w:tcPr>
            <w:tcW w:w="1493" w:type="dxa"/>
            <w:vAlign w:val="center"/>
          </w:tcPr>
          <w:p w14:paraId="5B2FC4C0">
            <w:pPr>
              <w:keepNext w:val="0"/>
              <w:keepLines w:val="0"/>
              <w:suppressLineNumbers w:val="0"/>
              <w:wordWrap w:val="0"/>
              <w:topLinePunct/>
              <w:snapToGrid w:val="0"/>
              <w:spacing w:before="0" w:beforeAutospacing="0" w:after="0" w:afterAutospacing="0" w:line="312" w:lineRule="exact"/>
              <w:ind w:left="0" w:right="0" w:firstLine="122" w:firstLineChars="51"/>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14:paraId="3C96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0A01E8E1">
            <w:pPr>
              <w:keepNext w:val="0"/>
              <w:keepLines w:val="0"/>
              <w:suppressLineNumbers w:val="0"/>
              <w:wordWrap w:val="0"/>
              <w:topLinePunct/>
              <w:snapToGrid w:val="0"/>
              <w:spacing w:before="0" w:beforeAutospacing="0" w:after="0" w:afterAutospacing="0" w:line="312" w:lineRule="exact"/>
              <w:ind w:left="0" w:right="0"/>
              <w:jc w:val="center"/>
              <w:rPr>
                <w:rFonts w:hint="eastAsia" w:ascii="仿宋" w:hAnsi="仿宋" w:eastAsia="仿宋" w:cs="仿宋"/>
                <w:kern w:val="0"/>
                <w:sz w:val="24"/>
                <w:szCs w:val="24"/>
                <w:highlight w:val="none"/>
              </w:rPr>
            </w:pPr>
          </w:p>
        </w:tc>
        <w:tc>
          <w:tcPr>
            <w:tcW w:w="1604" w:type="dxa"/>
            <w:vAlign w:val="center"/>
          </w:tcPr>
          <w:p w14:paraId="48DD6D25">
            <w:pPr>
              <w:keepNext w:val="0"/>
              <w:keepLines w:val="0"/>
              <w:suppressLineNumbers w:val="0"/>
              <w:wordWrap w:val="0"/>
              <w:topLinePunct/>
              <w:snapToGrid w:val="0"/>
              <w:spacing w:before="0" w:beforeAutospacing="0" w:after="0" w:afterAutospacing="0" w:line="312" w:lineRule="exact"/>
              <w:ind w:left="0" w:right="0" w:firstLine="50" w:firstLineChars="21"/>
              <w:jc w:val="center"/>
              <w:rPr>
                <w:rFonts w:hint="eastAsia" w:ascii="仿宋" w:hAnsi="仿宋" w:eastAsia="仿宋" w:cs="仿宋"/>
                <w:kern w:val="0"/>
                <w:sz w:val="24"/>
                <w:szCs w:val="24"/>
                <w:highlight w:val="none"/>
              </w:rPr>
            </w:pPr>
          </w:p>
        </w:tc>
        <w:tc>
          <w:tcPr>
            <w:tcW w:w="1604" w:type="dxa"/>
            <w:vAlign w:val="center"/>
          </w:tcPr>
          <w:p w14:paraId="6BD8D020">
            <w:pPr>
              <w:keepNext w:val="0"/>
              <w:keepLines w:val="0"/>
              <w:suppressLineNumbers w:val="0"/>
              <w:wordWrap w:val="0"/>
              <w:topLinePunct/>
              <w:snapToGrid w:val="0"/>
              <w:spacing w:before="0" w:beforeAutospacing="0" w:after="0" w:afterAutospacing="0" w:line="312" w:lineRule="exact"/>
              <w:ind w:left="0" w:right="0" w:firstLine="52" w:firstLineChars="22"/>
              <w:jc w:val="center"/>
              <w:rPr>
                <w:rFonts w:hint="eastAsia" w:ascii="仿宋" w:hAnsi="仿宋" w:eastAsia="仿宋" w:cs="仿宋"/>
                <w:kern w:val="0"/>
                <w:sz w:val="24"/>
                <w:szCs w:val="24"/>
                <w:highlight w:val="none"/>
              </w:rPr>
            </w:pPr>
          </w:p>
        </w:tc>
        <w:tc>
          <w:tcPr>
            <w:tcW w:w="1605" w:type="dxa"/>
            <w:vAlign w:val="center"/>
          </w:tcPr>
          <w:p w14:paraId="18BAE1AF">
            <w:pPr>
              <w:keepNext w:val="0"/>
              <w:keepLines w:val="0"/>
              <w:suppressLineNumbers w:val="0"/>
              <w:wordWrap w:val="0"/>
              <w:topLinePunct/>
              <w:snapToGrid w:val="0"/>
              <w:spacing w:before="0" w:beforeAutospacing="0" w:after="0" w:afterAutospacing="0" w:line="312" w:lineRule="exact"/>
              <w:ind w:left="0" w:right="0" w:firstLine="50" w:firstLineChars="21"/>
              <w:jc w:val="center"/>
              <w:rPr>
                <w:rFonts w:hint="eastAsia" w:ascii="仿宋" w:hAnsi="仿宋" w:eastAsia="仿宋" w:cs="仿宋"/>
                <w:kern w:val="0"/>
                <w:sz w:val="24"/>
                <w:szCs w:val="24"/>
                <w:highlight w:val="none"/>
              </w:rPr>
            </w:pPr>
          </w:p>
        </w:tc>
        <w:tc>
          <w:tcPr>
            <w:tcW w:w="1717" w:type="dxa"/>
            <w:vAlign w:val="center"/>
          </w:tcPr>
          <w:p w14:paraId="5EE2144D">
            <w:pPr>
              <w:keepNext w:val="0"/>
              <w:keepLines w:val="0"/>
              <w:suppressLineNumbers w:val="0"/>
              <w:wordWrap w:val="0"/>
              <w:topLinePunct/>
              <w:snapToGrid w:val="0"/>
              <w:spacing w:before="0" w:beforeAutospacing="0" w:after="0" w:afterAutospacing="0" w:line="312" w:lineRule="exact"/>
              <w:ind w:left="0" w:right="0"/>
              <w:jc w:val="center"/>
              <w:rPr>
                <w:rFonts w:hint="eastAsia" w:ascii="仿宋" w:hAnsi="仿宋" w:eastAsia="仿宋" w:cs="仿宋"/>
                <w:kern w:val="0"/>
                <w:sz w:val="24"/>
                <w:szCs w:val="24"/>
                <w:highlight w:val="none"/>
              </w:rPr>
            </w:pPr>
          </w:p>
        </w:tc>
        <w:tc>
          <w:tcPr>
            <w:tcW w:w="1493" w:type="dxa"/>
            <w:vAlign w:val="center"/>
          </w:tcPr>
          <w:p w14:paraId="2249CE69">
            <w:pPr>
              <w:keepNext w:val="0"/>
              <w:keepLines w:val="0"/>
              <w:suppressLineNumbers w:val="0"/>
              <w:wordWrap w:val="0"/>
              <w:topLinePunct/>
              <w:snapToGrid w:val="0"/>
              <w:spacing w:before="0" w:beforeAutospacing="0" w:after="0" w:afterAutospacing="0" w:line="312" w:lineRule="exact"/>
              <w:ind w:left="0" w:right="0" w:firstLine="122" w:firstLineChars="51"/>
              <w:jc w:val="center"/>
              <w:rPr>
                <w:rFonts w:hint="eastAsia" w:ascii="仿宋" w:hAnsi="仿宋" w:eastAsia="仿宋" w:cs="仿宋"/>
                <w:kern w:val="0"/>
                <w:sz w:val="24"/>
                <w:szCs w:val="24"/>
                <w:highlight w:val="none"/>
              </w:rPr>
            </w:pPr>
          </w:p>
        </w:tc>
      </w:tr>
      <w:tr w14:paraId="2BAD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34690535">
            <w:pPr>
              <w:keepNext w:val="0"/>
              <w:keepLines w:val="0"/>
              <w:suppressLineNumbers w:val="0"/>
              <w:wordWrap w:val="0"/>
              <w:topLinePunct/>
              <w:snapToGrid w:val="0"/>
              <w:spacing w:before="0" w:beforeAutospacing="0" w:after="0" w:afterAutospacing="0" w:line="312" w:lineRule="exact"/>
              <w:ind w:left="0" w:right="0"/>
              <w:jc w:val="center"/>
              <w:rPr>
                <w:rFonts w:hint="eastAsia" w:ascii="仿宋" w:hAnsi="仿宋" w:eastAsia="仿宋" w:cs="仿宋"/>
                <w:kern w:val="0"/>
                <w:sz w:val="24"/>
                <w:szCs w:val="24"/>
                <w:highlight w:val="none"/>
              </w:rPr>
            </w:pPr>
          </w:p>
        </w:tc>
        <w:tc>
          <w:tcPr>
            <w:tcW w:w="1604" w:type="dxa"/>
            <w:vAlign w:val="center"/>
          </w:tcPr>
          <w:p w14:paraId="3A358175">
            <w:pPr>
              <w:keepNext w:val="0"/>
              <w:keepLines w:val="0"/>
              <w:suppressLineNumbers w:val="0"/>
              <w:wordWrap w:val="0"/>
              <w:topLinePunct/>
              <w:snapToGrid w:val="0"/>
              <w:spacing w:before="0" w:beforeAutospacing="0" w:after="0" w:afterAutospacing="0" w:line="312" w:lineRule="exact"/>
              <w:ind w:left="0" w:right="0" w:firstLine="50" w:firstLineChars="21"/>
              <w:jc w:val="center"/>
              <w:rPr>
                <w:rFonts w:hint="eastAsia" w:ascii="仿宋" w:hAnsi="仿宋" w:eastAsia="仿宋" w:cs="仿宋"/>
                <w:kern w:val="0"/>
                <w:sz w:val="24"/>
                <w:szCs w:val="24"/>
                <w:highlight w:val="none"/>
              </w:rPr>
            </w:pPr>
          </w:p>
        </w:tc>
        <w:tc>
          <w:tcPr>
            <w:tcW w:w="1604" w:type="dxa"/>
            <w:vAlign w:val="center"/>
          </w:tcPr>
          <w:p w14:paraId="79EEFC64">
            <w:pPr>
              <w:keepNext w:val="0"/>
              <w:keepLines w:val="0"/>
              <w:suppressLineNumbers w:val="0"/>
              <w:wordWrap w:val="0"/>
              <w:topLinePunct/>
              <w:snapToGrid w:val="0"/>
              <w:spacing w:before="0" w:beforeAutospacing="0" w:after="0" w:afterAutospacing="0" w:line="312" w:lineRule="exact"/>
              <w:ind w:left="0" w:right="0" w:firstLine="52" w:firstLineChars="22"/>
              <w:jc w:val="center"/>
              <w:rPr>
                <w:rFonts w:hint="eastAsia" w:ascii="仿宋" w:hAnsi="仿宋" w:eastAsia="仿宋" w:cs="仿宋"/>
                <w:kern w:val="0"/>
                <w:sz w:val="24"/>
                <w:szCs w:val="24"/>
                <w:highlight w:val="none"/>
              </w:rPr>
            </w:pPr>
          </w:p>
        </w:tc>
        <w:tc>
          <w:tcPr>
            <w:tcW w:w="1605" w:type="dxa"/>
            <w:vAlign w:val="center"/>
          </w:tcPr>
          <w:p w14:paraId="76F469C1">
            <w:pPr>
              <w:keepNext w:val="0"/>
              <w:keepLines w:val="0"/>
              <w:suppressLineNumbers w:val="0"/>
              <w:wordWrap w:val="0"/>
              <w:topLinePunct/>
              <w:snapToGrid w:val="0"/>
              <w:spacing w:before="0" w:beforeAutospacing="0" w:after="0" w:afterAutospacing="0" w:line="312" w:lineRule="exact"/>
              <w:ind w:left="0" w:right="0" w:firstLine="50" w:firstLineChars="21"/>
              <w:jc w:val="center"/>
              <w:rPr>
                <w:rFonts w:hint="eastAsia" w:ascii="仿宋" w:hAnsi="仿宋" w:eastAsia="仿宋" w:cs="仿宋"/>
                <w:kern w:val="0"/>
                <w:sz w:val="24"/>
                <w:szCs w:val="24"/>
                <w:highlight w:val="none"/>
              </w:rPr>
            </w:pPr>
          </w:p>
        </w:tc>
        <w:tc>
          <w:tcPr>
            <w:tcW w:w="1717" w:type="dxa"/>
            <w:vAlign w:val="center"/>
          </w:tcPr>
          <w:p w14:paraId="3E1898B6">
            <w:pPr>
              <w:keepNext w:val="0"/>
              <w:keepLines w:val="0"/>
              <w:suppressLineNumbers w:val="0"/>
              <w:wordWrap w:val="0"/>
              <w:topLinePunct/>
              <w:snapToGrid w:val="0"/>
              <w:spacing w:before="0" w:beforeAutospacing="0" w:after="0" w:afterAutospacing="0" w:line="312" w:lineRule="exact"/>
              <w:ind w:left="0" w:right="0"/>
              <w:jc w:val="center"/>
              <w:rPr>
                <w:rFonts w:hint="eastAsia" w:ascii="仿宋" w:hAnsi="仿宋" w:eastAsia="仿宋" w:cs="仿宋"/>
                <w:kern w:val="0"/>
                <w:sz w:val="24"/>
                <w:szCs w:val="24"/>
                <w:highlight w:val="none"/>
              </w:rPr>
            </w:pPr>
          </w:p>
        </w:tc>
        <w:tc>
          <w:tcPr>
            <w:tcW w:w="1493" w:type="dxa"/>
            <w:vAlign w:val="center"/>
          </w:tcPr>
          <w:p w14:paraId="161B4DE9">
            <w:pPr>
              <w:keepNext w:val="0"/>
              <w:keepLines w:val="0"/>
              <w:suppressLineNumbers w:val="0"/>
              <w:wordWrap w:val="0"/>
              <w:topLinePunct/>
              <w:snapToGrid w:val="0"/>
              <w:spacing w:before="0" w:beforeAutospacing="0" w:after="0" w:afterAutospacing="0" w:line="312" w:lineRule="exact"/>
              <w:ind w:left="0" w:right="0" w:firstLine="122" w:firstLineChars="51"/>
              <w:jc w:val="center"/>
              <w:rPr>
                <w:rFonts w:hint="eastAsia" w:ascii="仿宋" w:hAnsi="仿宋" w:eastAsia="仿宋" w:cs="仿宋"/>
                <w:kern w:val="0"/>
                <w:sz w:val="24"/>
                <w:szCs w:val="24"/>
                <w:highlight w:val="none"/>
              </w:rPr>
            </w:pPr>
          </w:p>
        </w:tc>
      </w:tr>
    </w:tbl>
    <w:p w14:paraId="1A068E7C">
      <w:pPr>
        <w:keepNext w:val="0"/>
        <w:keepLines w:val="0"/>
        <w:wordWrap w:val="0"/>
        <w:topLinePunct/>
        <w:spacing w:after="120" w:afterLines="50" w:line="360" w:lineRule="auto"/>
        <w:ind w:firstLine="360" w:firstLineChars="150"/>
        <w:rPr>
          <w:rFonts w:hint="eastAsia" w:ascii="仿宋" w:hAnsi="仿宋" w:eastAsia="仿宋" w:cs="仿宋"/>
          <w:sz w:val="24"/>
          <w:szCs w:val="24"/>
          <w:highlight w:val="none"/>
        </w:rPr>
      </w:pPr>
    </w:p>
    <w:p w14:paraId="666DB920">
      <w:pPr>
        <w:keepNext w:val="0"/>
        <w:keepLines w:val="0"/>
        <w:wordWrap w:val="0"/>
        <w:topLinePunct/>
        <w:autoSpaceDE w:val="0"/>
        <w:autoSpaceDN w:val="0"/>
        <w:adjustRightInd w:val="0"/>
        <w:spacing w:before="120" w:beforeLines="50"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注：</w:t>
      </w:r>
      <w:r>
        <w:rPr>
          <w:rFonts w:hint="eastAsia" w:ascii="仿宋" w:hAnsi="仿宋" w:eastAsia="仿宋" w:cs="仿宋"/>
          <w:b/>
          <w:sz w:val="24"/>
          <w:highlight w:val="none"/>
        </w:rPr>
        <w:t>投标人可按上述的格式自行编制，须随表提交相应的证明材料（证明材料以资格要求和评审因素业绩要求为准）并注明所在页码</w:t>
      </w:r>
      <w:r>
        <w:rPr>
          <w:rFonts w:hint="eastAsia" w:ascii="仿宋" w:hAnsi="仿宋" w:eastAsia="仿宋" w:cs="仿宋"/>
          <w:sz w:val="24"/>
          <w:szCs w:val="24"/>
          <w:highlight w:val="none"/>
        </w:rPr>
        <w:t>。</w:t>
      </w:r>
    </w:p>
    <w:p w14:paraId="5B8EC91E">
      <w:pPr>
        <w:keepNext w:val="0"/>
        <w:keepLines w:val="0"/>
        <w:wordWrap w:val="0"/>
        <w:topLinePunct/>
        <w:autoSpaceDE w:val="0"/>
        <w:autoSpaceDN w:val="0"/>
        <w:adjustRightInd w:val="0"/>
        <w:spacing w:line="360" w:lineRule="auto"/>
        <w:rPr>
          <w:rFonts w:hint="eastAsia" w:ascii="仿宋" w:hAnsi="仿宋" w:eastAsia="仿宋" w:cs="仿宋"/>
          <w:szCs w:val="21"/>
          <w:highlight w:val="none"/>
        </w:rPr>
      </w:pPr>
    </w:p>
    <w:p w14:paraId="35FFBF73">
      <w:pPr>
        <w:pStyle w:val="25"/>
        <w:keepNext w:val="0"/>
        <w:keepLines w:val="0"/>
        <w:wordWrap w:val="0"/>
        <w:topLinePunct/>
        <w:spacing w:line="360" w:lineRule="auto"/>
        <w:rPr>
          <w:rFonts w:hint="eastAsia" w:ascii="仿宋" w:hAnsi="仿宋" w:eastAsia="仿宋" w:cs="仿宋"/>
          <w:szCs w:val="21"/>
          <w:highlight w:val="none"/>
        </w:rPr>
      </w:pPr>
    </w:p>
    <w:p w14:paraId="5D346656">
      <w:pPr>
        <w:keepNext w:val="0"/>
        <w:keepLines w:val="0"/>
        <w:wordWrap w:val="0"/>
        <w:topLinePunct/>
        <w:adjustRightInd w:val="0"/>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投标人（电子签名)：</w:t>
      </w:r>
    </w:p>
    <w:p w14:paraId="35197AF5">
      <w:pPr>
        <w:keepNext w:val="0"/>
        <w:keepLines w:val="0"/>
        <w:wordWrap w:val="0"/>
        <w:topLinePunct/>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zh-CN"/>
        </w:rPr>
        <w:t>月日</w:t>
      </w:r>
    </w:p>
    <w:p w14:paraId="7F03F30A">
      <w:pPr>
        <w:pStyle w:val="25"/>
        <w:keepNext w:val="0"/>
        <w:keepLines w:val="0"/>
        <w:wordWrap w:val="0"/>
        <w:topLinePunct/>
        <w:spacing w:line="360" w:lineRule="auto"/>
        <w:rPr>
          <w:rFonts w:hint="eastAsia" w:ascii="仿宋" w:hAnsi="仿宋" w:eastAsia="仿宋" w:cs="仿宋"/>
          <w:sz w:val="32"/>
          <w:szCs w:val="32"/>
          <w:highlight w:val="none"/>
        </w:rPr>
      </w:pPr>
    </w:p>
    <w:p w14:paraId="60F520EB">
      <w:pPr>
        <w:pStyle w:val="25"/>
        <w:keepNext w:val="0"/>
        <w:keepLines w:val="0"/>
        <w:tabs>
          <w:tab w:val="left" w:pos="450"/>
        </w:tabs>
        <w:wordWrap w:val="0"/>
        <w:topLinePunct/>
        <w:spacing w:line="360" w:lineRule="auto"/>
        <w:rPr>
          <w:rFonts w:hint="eastAsia" w:ascii="仿宋" w:hAnsi="仿宋" w:eastAsia="仿宋" w:cs="仿宋"/>
          <w:sz w:val="30"/>
          <w:highlight w:val="none"/>
        </w:rPr>
        <w:sectPr>
          <w:footerReference r:id="rId15" w:type="default"/>
          <w:type w:val="nextColumn"/>
          <w:pgSz w:w="11905" w:h="16838"/>
          <w:pgMar w:top="907" w:right="1247" w:bottom="907" w:left="1247" w:header="510" w:footer="510" w:gutter="0"/>
          <w:pgNumType w:fmt="decimal"/>
          <w:cols w:space="720" w:num="1"/>
        </w:sectPr>
      </w:pPr>
    </w:p>
    <w:p w14:paraId="417BDDA0">
      <w:pPr>
        <w:wordWrap w:val="0"/>
        <w:jc w:val="left"/>
        <w:outlineLvl w:val="2"/>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附件十</w:t>
      </w:r>
      <w:r>
        <w:rPr>
          <w:rFonts w:hint="eastAsia" w:ascii="仿宋" w:hAnsi="仿宋" w:eastAsia="仿宋" w:cs="仿宋"/>
          <w:sz w:val="32"/>
          <w:szCs w:val="32"/>
          <w:highlight w:val="none"/>
          <w:lang w:val="en-US" w:eastAsia="zh-CN"/>
        </w:rPr>
        <w:t xml:space="preserve"> 供货清单情况一览表</w:t>
      </w:r>
    </w:p>
    <w:p w14:paraId="080D3D33">
      <w:pPr>
        <w:pStyle w:val="60"/>
        <w:wordWrap w:val="0"/>
        <w:jc w:val="center"/>
        <w:rPr>
          <w:rFonts w:ascii="仿宋" w:hAnsi="仿宋" w:eastAsia="仿宋" w:cs="仿宋"/>
          <w:b/>
          <w:color w:val="auto"/>
          <w:sz w:val="32"/>
          <w:szCs w:val="32"/>
          <w:highlight w:val="none"/>
        </w:rPr>
      </w:pPr>
    </w:p>
    <w:p w14:paraId="6F2A352B">
      <w:pPr>
        <w:rPr>
          <w:rFonts w:hint="eastAsia" w:ascii="仿宋" w:hAnsi="仿宋" w:eastAsia="仿宋" w:cs="仿宋"/>
          <w:b/>
          <w:bCs w:val="0"/>
          <w:kern w:val="2"/>
          <w:sz w:val="32"/>
          <w:szCs w:val="32"/>
          <w:highlight w:val="none"/>
          <w:lang w:val="en-US" w:eastAsia="zh-CN"/>
        </w:rPr>
      </w:pPr>
    </w:p>
    <w:p w14:paraId="471316B8">
      <w:pPr>
        <w:pStyle w:val="60"/>
        <w:wordWrap w:val="0"/>
        <w:jc w:val="center"/>
        <w:rPr>
          <w:rFonts w:hint="eastAsia" w:ascii="仿宋" w:hAnsi="仿宋" w:eastAsia="仿宋" w:cs="仿宋"/>
          <w:b/>
          <w:bCs w:val="0"/>
          <w:kern w:val="2"/>
          <w:sz w:val="32"/>
          <w:szCs w:val="32"/>
          <w:highlight w:val="none"/>
          <w:lang w:val="en-US" w:eastAsia="zh-CN"/>
        </w:rPr>
      </w:pPr>
      <w:r>
        <w:rPr>
          <w:rFonts w:hint="eastAsia" w:ascii="仿宋" w:hAnsi="仿宋" w:eastAsia="仿宋" w:cs="仿宋"/>
          <w:b/>
          <w:bCs w:val="0"/>
          <w:kern w:val="2"/>
          <w:sz w:val="32"/>
          <w:szCs w:val="32"/>
          <w:highlight w:val="none"/>
          <w:lang w:val="en-US" w:eastAsia="zh-CN"/>
        </w:rPr>
        <w:t>供货产品详细配置清单一览表</w:t>
      </w:r>
    </w:p>
    <w:p w14:paraId="0B6D53D5">
      <w:pPr>
        <w:pStyle w:val="60"/>
        <w:wordWrap w:val="0"/>
        <w:jc w:val="center"/>
        <w:rPr>
          <w:rFonts w:hint="eastAsia" w:ascii="仿宋" w:hAnsi="仿宋" w:eastAsia="仿宋" w:cs="仿宋"/>
          <w:b/>
          <w:bCs w:val="0"/>
          <w:kern w:val="2"/>
          <w:sz w:val="32"/>
          <w:szCs w:val="32"/>
          <w:highlight w:val="none"/>
          <w:lang w:val="en-US" w:eastAsia="zh-CN"/>
        </w:rPr>
      </w:pPr>
    </w:p>
    <w:p w14:paraId="4AB89547">
      <w:pPr>
        <w:keepNext w:val="0"/>
        <w:keepLines w:val="0"/>
        <w:wordWrap w:val="0"/>
        <w:topLinePunct/>
        <w:spacing w:line="360" w:lineRule="auto"/>
        <w:ind w:firstLine="360" w:firstLineChars="15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8"/>
          <w:highlight w:val="none"/>
          <w:u w:val="none"/>
          <w:lang w:eastAsia="zh-CN"/>
        </w:rPr>
        <w:t>新昌县人民医院迁建工程-窗帘采购项目</w:t>
      </w:r>
    </w:p>
    <w:p w14:paraId="1C5EF96C">
      <w:pPr>
        <w:keepNext w:val="0"/>
        <w:keepLines w:val="0"/>
        <w:wordWrap w:val="0"/>
        <w:topLinePunct/>
        <w:spacing w:after="120" w:afterLines="50" w:line="360" w:lineRule="auto"/>
        <w:ind w:firstLine="360" w:firstLineChars="15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u w:val="none"/>
          <w:lang w:eastAsia="zh-CN"/>
        </w:rPr>
        <w:t>GJXC-2025-24</w:t>
      </w:r>
    </w:p>
    <w:p w14:paraId="683AE793">
      <w:pPr>
        <w:pStyle w:val="60"/>
        <w:wordWrap w:val="0"/>
        <w:spacing w:line="360" w:lineRule="auto"/>
        <w:rPr>
          <w:rFonts w:ascii="仿宋" w:hAnsi="仿宋" w:eastAsia="仿宋" w:cs="仿宋"/>
          <w:color w:val="auto"/>
          <w:kern w:val="2"/>
          <w:szCs w:val="24"/>
          <w:highlight w:val="none"/>
          <w:lang w:val="en-US"/>
        </w:rPr>
      </w:pPr>
      <w:r>
        <w:rPr>
          <w:rFonts w:hint="eastAsia" w:ascii="仿宋" w:hAnsi="仿宋" w:eastAsia="仿宋" w:cs="仿宋"/>
          <w:color w:val="auto"/>
          <w:kern w:val="2"/>
          <w:szCs w:val="24"/>
          <w:highlight w:val="none"/>
          <w:lang w:val="en-US"/>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970"/>
        <w:gridCol w:w="757"/>
        <w:gridCol w:w="1078"/>
        <w:gridCol w:w="1288"/>
        <w:gridCol w:w="1288"/>
        <w:gridCol w:w="1183"/>
        <w:gridCol w:w="1183"/>
      </w:tblGrid>
      <w:tr w14:paraId="6FAF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14:paraId="5AF9C35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970" w:type="dxa"/>
            <w:noWrap w:val="0"/>
            <w:vAlign w:val="center"/>
          </w:tcPr>
          <w:p w14:paraId="72BCEEE2">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产品名称</w:t>
            </w:r>
          </w:p>
        </w:tc>
        <w:tc>
          <w:tcPr>
            <w:tcW w:w="757" w:type="dxa"/>
            <w:noWrap w:val="0"/>
            <w:vAlign w:val="center"/>
          </w:tcPr>
          <w:p w14:paraId="6A0CC611">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规格</w:t>
            </w:r>
          </w:p>
        </w:tc>
        <w:tc>
          <w:tcPr>
            <w:tcW w:w="1078" w:type="dxa"/>
            <w:noWrap w:val="0"/>
            <w:vAlign w:val="center"/>
          </w:tcPr>
          <w:p w14:paraId="64A77E49">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品牌</w:t>
            </w:r>
          </w:p>
        </w:tc>
        <w:tc>
          <w:tcPr>
            <w:tcW w:w="1288" w:type="dxa"/>
            <w:noWrap w:val="0"/>
            <w:vAlign w:val="center"/>
          </w:tcPr>
          <w:p w14:paraId="536F8A7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生产厂家</w:t>
            </w:r>
          </w:p>
        </w:tc>
        <w:tc>
          <w:tcPr>
            <w:tcW w:w="1288" w:type="dxa"/>
            <w:noWrap w:val="0"/>
            <w:vAlign w:val="center"/>
          </w:tcPr>
          <w:p w14:paraId="5B06F892">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质量标准</w:t>
            </w:r>
          </w:p>
        </w:tc>
        <w:tc>
          <w:tcPr>
            <w:tcW w:w="1183" w:type="dxa"/>
            <w:noWrap w:val="0"/>
            <w:vAlign w:val="center"/>
          </w:tcPr>
          <w:p w14:paraId="266F7A0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数量</w:t>
            </w:r>
          </w:p>
        </w:tc>
        <w:tc>
          <w:tcPr>
            <w:tcW w:w="1183" w:type="dxa"/>
            <w:noWrap w:val="0"/>
            <w:vAlign w:val="top"/>
          </w:tcPr>
          <w:p w14:paraId="6272F8C9">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lang w:val="en-US"/>
              </w:rPr>
            </w:pPr>
            <w:r>
              <w:rPr>
                <w:rFonts w:hint="eastAsia" w:ascii="仿宋" w:hAnsi="仿宋" w:eastAsia="仿宋" w:cs="仿宋"/>
                <w:b/>
                <w:color w:val="auto"/>
                <w:kern w:val="0"/>
                <w:sz w:val="24"/>
                <w:szCs w:val="24"/>
                <w:highlight w:val="none"/>
                <w:lang w:val="en-US" w:eastAsia="zh-CN"/>
              </w:rPr>
              <w:t xml:space="preserve">备注 </w:t>
            </w:r>
          </w:p>
        </w:tc>
      </w:tr>
      <w:tr w14:paraId="10C5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174B06D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w:t>
            </w:r>
          </w:p>
        </w:tc>
        <w:tc>
          <w:tcPr>
            <w:tcW w:w="1970" w:type="dxa"/>
            <w:noWrap w:val="0"/>
            <w:vAlign w:val="top"/>
          </w:tcPr>
          <w:p w14:paraId="1F7C0052">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r>
              <w:rPr>
                <w:rFonts w:hint="eastAsia" w:ascii="仿宋" w:hAnsi="仿宋" w:eastAsia="仿宋" w:cs="仿宋"/>
                <w:b/>
                <w:bCs/>
                <w:sz w:val="24"/>
                <w:szCs w:val="24"/>
                <w:vertAlign w:val="baseline"/>
                <w:lang w:val="en-US" w:eastAsia="zh-CN"/>
              </w:rPr>
              <w:t>手动布帘1</w:t>
            </w:r>
          </w:p>
        </w:tc>
        <w:tc>
          <w:tcPr>
            <w:tcW w:w="757" w:type="dxa"/>
            <w:noWrap w:val="0"/>
            <w:vAlign w:val="top"/>
          </w:tcPr>
          <w:p w14:paraId="3BA262A1">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078" w:type="dxa"/>
            <w:noWrap w:val="0"/>
            <w:vAlign w:val="top"/>
          </w:tcPr>
          <w:p w14:paraId="3EFF465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5F3A5171">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3759FF0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0CC2FB74">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03A666CC">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r>
      <w:tr w14:paraId="677C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30701D7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w:t>
            </w:r>
          </w:p>
        </w:tc>
        <w:tc>
          <w:tcPr>
            <w:tcW w:w="1970" w:type="dxa"/>
            <w:noWrap w:val="0"/>
            <w:vAlign w:val="top"/>
          </w:tcPr>
          <w:p w14:paraId="4C37A0D4">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lang w:val="en-US" w:eastAsia="zh-CN"/>
              </w:rPr>
            </w:pPr>
            <w:r>
              <w:rPr>
                <w:rFonts w:hint="eastAsia" w:ascii="仿宋" w:hAnsi="仿宋" w:eastAsia="仿宋" w:cs="仿宋"/>
                <w:b/>
                <w:bCs/>
                <w:sz w:val="24"/>
                <w:szCs w:val="24"/>
                <w:vertAlign w:val="baseline"/>
                <w:lang w:val="en-US" w:eastAsia="zh-CN"/>
              </w:rPr>
              <w:t>手动布帘</w:t>
            </w:r>
            <w:r>
              <w:rPr>
                <w:rFonts w:hint="eastAsia" w:ascii="仿宋" w:hAnsi="仿宋" w:eastAsia="仿宋" w:cs="仿宋"/>
                <w:b/>
                <w:color w:val="auto"/>
                <w:kern w:val="0"/>
                <w:sz w:val="24"/>
                <w:szCs w:val="24"/>
                <w:highlight w:val="none"/>
                <w:lang w:val="en-US" w:eastAsia="zh-CN"/>
              </w:rPr>
              <w:t>2</w:t>
            </w:r>
          </w:p>
        </w:tc>
        <w:tc>
          <w:tcPr>
            <w:tcW w:w="757" w:type="dxa"/>
            <w:noWrap w:val="0"/>
            <w:vAlign w:val="top"/>
          </w:tcPr>
          <w:p w14:paraId="6DBD3676">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078" w:type="dxa"/>
            <w:noWrap w:val="0"/>
            <w:vAlign w:val="top"/>
          </w:tcPr>
          <w:p w14:paraId="1A548651">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41187ADE">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692E88F9">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137F42AD">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6C5FEE69">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r>
      <w:tr w14:paraId="3D02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37E8BC65">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p>
        </w:tc>
        <w:tc>
          <w:tcPr>
            <w:tcW w:w="1970" w:type="dxa"/>
            <w:noWrap w:val="0"/>
            <w:vAlign w:val="top"/>
          </w:tcPr>
          <w:p w14:paraId="7FA1B47A">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r>
              <w:rPr>
                <w:rFonts w:hint="eastAsia" w:ascii="仿宋" w:hAnsi="仿宋" w:eastAsia="仿宋" w:cs="仿宋"/>
                <w:b/>
                <w:bCs/>
                <w:sz w:val="24"/>
                <w:szCs w:val="24"/>
                <w:vertAlign w:val="baseline"/>
              </w:rPr>
              <w:t>手动开合帘轨道</w:t>
            </w:r>
          </w:p>
        </w:tc>
        <w:tc>
          <w:tcPr>
            <w:tcW w:w="757" w:type="dxa"/>
            <w:noWrap w:val="0"/>
            <w:vAlign w:val="top"/>
          </w:tcPr>
          <w:p w14:paraId="0C978EDB">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078" w:type="dxa"/>
            <w:noWrap w:val="0"/>
            <w:vAlign w:val="top"/>
          </w:tcPr>
          <w:p w14:paraId="3DCBFAF1">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65A8D06C">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66C05AA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5A6A089D">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5543799D">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r>
      <w:tr w14:paraId="72C9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7820B73">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3.1</w:t>
            </w:r>
          </w:p>
        </w:tc>
        <w:tc>
          <w:tcPr>
            <w:tcW w:w="1970" w:type="dxa"/>
            <w:noWrap w:val="0"/>
            <w:vAlign w:val="top"/>
          </w:tcPr>
          <w:p w14:paraId="088E029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r>
              <w:rPr>
                <w:rFonts w:hint="eastAsia" w:ascii="仿宋" w:hAnsi="仿宋" w:eastAsia="仿宋" w:cs="仿宋"/>
                <w:b/>
                <w:bCs/>
                <w:sz w:val="24"/>
                <w:szCs w:val="24"/>
                <w:vertAlign w:val="baseline"/>
              </w:rPr>
              <w:t>轨道</w:t>
            </w:r>
          </w:p>
        </w:tc>
        <w:tc>
          <w:tcPr>
            <w:tcW w:w="757" w:type="dxa"/>
            <w:noWrap w:val="0"/>
            <w:vAlign w:val="top"/>
          </w:tcPr>
          <w:p w14:paraId="439A6FA6">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078" w:type="dxa"/>
            <w:noWrap w:val="0"/>
            <w:vAlign w:val="top"/>
          </w:tcPr>
          <w:p w14:paraId="2586CBDD">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1967F718">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1472011D">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32226D19">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408E9D2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r>
      <w:tr w14:paraId="39F0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001BDB34">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3.2</w:t>
            </w:r>
          </w:p>
        </w:tc>
        <w:tc>
          <w:tcPr>
            <w:tcW w:w="1970" w:type="dxa"/>
            <w:noWrap w:val="0"/>
            <w:vAlign w:val="top"/>
          </w:tcPr>
          <w:p w14:paraId="2C4CB9B3">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滑轮</w:t>
            </w:r>
          </w:p>
        </w:tc>
        <w:tc>
          <w:tcPr>
            <w:tcW w:w="757" w:type="dxa"/>
            <w:noWrap w:val="0"/>
            <w:vAlign w:val="top"/>
          </w:tcPr>
          <w:p w14:paraId="1F41CD8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078" w:type="dxa"/>
            <w:noWrap w:val="0"/>
            <w:vAlign w:val="top"/>
          </w:tcPr>
          <w:p w14:paraId="750FF21B">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22F49FE1">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362B7A0B">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5A477F3E">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7A92CBB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r>
      <w:tr w14:paraId="5F02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3D18C15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970" w:type="dxa"/>
            <w:noWrap w:val="0"/>
            <w:vAlign w:val="top"/>
          </w:tcPr>
          <w:p w14:paraId="6D1C3226">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w:t>
            </w:r>
          </w:p>
        </w:tc>
        <w:tc>
          <w:tcPr>
            <w:tcW w:w="757" w:type="dxa"/>
            <w:noWrap w:val="0"/>
            <w:vAlign w:val="top"/>
          </w:tcPr>
          <w:p w14:paraId="1110333E">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078" w:type="dxa"/>
            <w:noWrap w:val="0"/>
            <w:vAlign w:val="top"/>
          </w:tcPr>
          <w:p w14:paraId="06E60CC6">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51B5C769">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60AB6F4D">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47D0D5B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6F300014">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r>
      <w:tr w14:paraId="744B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4FF3168F">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4</w:t>
            </w:r>
          </w:p>
        </w:tc>
        <w:tc>
          <w:tcPr>
            <w:tcW w:w="1970" w:type="dxa"/>
            <w:noWrap w:val="0"/>
            <w:vAlign w:val="top"/>
          </w:tcPr>
          <w:p w14:paraId="6CCE60A9">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r>
              <w:rPr>
                <w:rFonts w:hint="eastAsia" w:ascii="仿宋" w:hAnsi="仿宋" w:eastAsia="仿宋" w:cs="仿宋"/>
                <w:b/>
                <w:bCs/>
                <w:sz w:val="24"/>
                <w:szCs w:val="24"/>
                <w:vertAlign w:val="baseline"/>
                <w:lang w:val="en-US" w:eastAsia="zh-CN"/>
              </w:rPr>
              <w:t>电动开合轨</w:t>
            </w:r>
          </w:p>
        </w:tc>
        <w:tc>
          <w:tcPr>
            <w:tcW w:w="757" w:type="dxa"/>
            <w:noWrap w:val="0"/>
            <w:vAlign w:val="top"/>
          </w:tcPr>
          <w:p w14:paraId="2C6DC9BA">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078" w:type="dxa"/>
            <w:noWrap w:val="0"/>
            <w:vAlign w:val="top"/>
          </w:tcPr>
          <w:p w14:paraId="2D125E9A">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476CE77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288" w:type="dxa"/>
            <w:noWrap w:val="0"/>
            <w:vAlign w:val="top"/>
          </w:tcPr>
          <w:p w14:paraId="054FE3C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31905F1B">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c>
          <w:tcPr>
            <w:tcW w:w="1183" w:type="dxa"/>
            <w:noWrap w:val="0"/>
            <w:vAlign w:val="top"/>
          </w:tcPr>
          <w:p w14:paraId="416352B9">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rPr>
            </w:pPr>
          </w:p>
        </w:tc>
      </w:tr>
      <w:tr w14:paraId="6E4D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0F81BA2">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4.1</w:t>
            </w:r>
          </w:p>
        </w:tc>
        <w:tc>
          <w:tcPr>
            <w:tcW w:w="1970" w:type="dxa"/>
            <w:noWrap w:val="0"/>
            <w:vAlign w:val="top"/>
          </w:tcPr>
          <w:p w14:paraId="7BACC46C">
            <w:pPr>
              <w:keepNext w:val="0"/>
              <w:keepLines w:val="0"/>
              <w:suppressLineNumbers w:val="0"/>
              <w:wordWrap w:val="0"/>
              <w:spacing w:before="0" w:beforeAutospacing="0" w:after="0" w:afterAutospacing="0"/>
              <w:ind w:left="0" w:leftChars="0" w:right="0" w:rightChars="0"/>
              <w:jc w:val="center"/>
              <w:outlineLvl w:val="2"/>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rPr>
              <w:t>轨道</w:t>
            </w:r>
          </w:p>
        </w:tc>
        <w:tc>
          <w:tcPr>
            <w:tcW w:w="757" w:type="dxa"/>
            <w:noWrap w:val="0"/>
            <w:vAlign w:val="top"/>
          </w:tcPr>
          <w:p w14:paraId="0DFA1F79">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078" w:type="dxa"/>
            <w:noWrap w:val="0"/>
            <w:vAlign w:val="top"/>
          </w:tcPr>
          <w:p w14:paraId="0E05CB84">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45368872">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305C8652">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4FB44F6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301F0A34">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r>
      <w:tr w14:paraId="0E80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00F78956">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4.2</w:t>
            </w:r>
          </w:p>
        </w:tc>
        <w:tc>
          <w:tcPr>
            <w:tcW w:w="1970" w:type="dxa"/>
            <w:noWrap w:val="0"/>
            <w:vAlign w:val="top"/>
          </w:tcPr>
          <w:p w14:paraId="55E0CF57">
            <w:pPr>
              <w:keepNext w:val="0"/>
              <w:keepLines w:val="0"/>
              <w:suppressLineNumbers w:val="0"/>
              <w:wordWrap w:val="0"/>
              <w:spacing w:before="0" w:beforeAutospacing="0" w:after="0" w:afterAutospacing="0"/>
              <w:ind w:left="0" w:leftChars="0" w:right="0" w:rightChars="0"/>
              <w:jc w:val="center"/>
              <w:outlineLvl w:val="2"/>
              <w:rPr>
                <w:rFonts w:hint="eastAsia" w:ascii="仿宋" w:hAnsi="仿宋" w:eastAsia="仿宋" w:cs="仿宋"/>
                <w:b/>
                <w:bCs/>
                <w:sz w:val="24"/>
                <w:szCs w:val="24"/>
                <w:vertAlign w:val="baseline"/>
                <w:lang w:val="en-US" w:eastAsia="zh-CN"/>
              </w:rPr>
            </w:pPr>
            <w:r>
              <w:rPr>
                <w:rFonts w:hint="eastAsia" w:ascii="仿宋" w:hAnsi="仿宋" w:eastAsia="仿宋" w:cs="仿宋"/>
                <w:b/>
                <w:color w:val="auto"/>
                <w:kern w:val="0"/>
                <w:sz w:val="24"/>
                <w:szCs w:val="24"/>
                <w:highlight w:val="none"/>
                <w:lang w:val="en-US" w:eastAsia="zh-CN"/>
              </w:rPr>
              <w:t>滑轮</w:t>
            </w:r>
          </w:p>
        </w:tc>
        <w:tc>
          <w:tcPr>
            <w:tcW w:w="757" w:type="dxa"/>
            <w:noWrap w:val="0"/>
            <w:vAlign w:val="top"/>
          </w:tcPr>
          <w:p w14:paraId="67545A7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078" w:type="dxa"/>
            <w:noWrap w:val="0"/>
            <w:vAlign w:val="top"/>
          </w:tcPr>
          <w:p w14:paraId="2051F6E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346E6AF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73B47C1F">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6A5589B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28C0A05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r>
      <w:tr w14:paraId="6070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43DB54A2">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4.3</w:t>
            </w:r>
          </w:p>
        </w:tc>
        <w:tc>
          <w:tcPr>
            <w:tcW w:w="1970" w:type="dxa"/>
            <w:noWrap w:val="0"/>
            <w:vAlign w:val="top"/>
          </w:tcPr>
          <w:p w14:paraId="6A1D4DBC">
            <w:pPr>
              <w:keepNext w:val="0"/>
              <w:keepLines w:val="0"/>
              <w:suppressLineNumbers w:val="0"/>
              <w:wordWrap w:val="0"/>
              <w:spacing w:before="0" w:beforeAutospacing="0" w:after="0" w:afterAutospacing="0"/>
              <w:ind w:left="0" w:leftChars="0" w:right="0" w:rightChars="0"/>
              <w:jc w:val="center"/>
              <w:outlineLvl w:val="2"/>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电机</w:t>
            </w:r>
          </w:p>
        </w:tc>
        <w:tc>
          <w:tcPr>
            <w:tcW w:w="757" w:type="dxa"/>
            <w:noWrap w:val="0"/>
            <w:vAlign w:val="top"/>
          </w:tcPr>
          <w:p w14:paraId="7B5D9283">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078" w:type="dxa"/>
            <w:noWrap w:val="0"/>
            <w:vAlign w:val="top"/>
          </w:tcPr>
          <w:p w14:paraId="525EEB54">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26106CFE">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753670EE">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50EDC0F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5D17D23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r>
      <w:tr w14:paraId="5B43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7C37BB3D">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lang w:val="en-US" w:eastAsia="zh-CN"/>
              </w:rPr>
            </w:pPr>
          </w:p>
        </w:tc>
        <w:tc>
          <w:tcPr>
            <w:tcW w:w="1970" w:type="dxa"/>
            <w:noWrap w:val="0"/>
            <w:vAlign w:val="top"/>
          </w:tcPr>
          <w:p w14:paraId="54DEE2C1">
            <w:pPr>
              <w:keepNext w:val="0"/>
              <w:keepLines w:val="0"/>
              <w:suppressLineNumbers w:val="0"/>
              <w:wordWrap w:val="0"/>
              <w:spacing w:before="0" w:beforeAutospacing="0" w:after="0" w:afterAutospacing="0"/>
              <w:ind w:left="0" w:leftChars="0" w:right="0" w:rightChars="0"/>
              <w:jc w:val="center"/>
              <w:outlineLvl w:val="2"/>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w:t>
            </w:r>
          </w:p>
        </w:tc>
        <w:tc>
          <w:tcPr>
            <w:tcW w:w="757" w:type="dxa"/>
            <w:noWrap w:val="0"/>
            <w:vAlign w:val="top"/>
          </w:tcPr>
          <w:p w14:paraId="36817EED">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078" w:type="dxa"/>
            <w:noWrap w:val="0"/>
            <w:vAlign w:val="top"/>
          </w:tcPr>
          <w:p w14:paraId="03DFFBCA">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73BD525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3244596C">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1148EC63">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050A997E">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r>
      <w:tr w14:paraId="7BE2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00BC5927">
            <w:pPr>
              <w:keepNext w:val="0"/>
              <w:keepLines w:val="0"/>
              <w:suppressLineNumbers w:val="0"/>
              <w:wordWrap w:val="0"/>
              <w:spacing w:before="0" w:beforeAutospacing="0" w:after="0" w:afterAutospacing="0"/>
              <w:ind w:left="0" w:right="0"/>
              <w:jc w:val="center"/>
              <w:outlineLvl w:val="2"/>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5</w:t>
            </w:r>
          </w:p>
        </w:tc>
        <w:tc>
          <w:tcPr>
            <w:tcW w:w="1970" w:type="dxa"/>
            <w:noWrap w:val="0"/>
            <w:vAlign w:val="top"/>
          </w:tcPr>
          <w:p w14:paraId="059BC913">
            <w:pPr>
              <w:keepNext w:val="0"/>
              <w:keepLines w:val="0"/>
              <w:suppressLineNumbers w:val="0"/>
              <w:wordWrap w:val="0"/>
              <w:spacing w:before="0" w:beforeAutospacing="0" w:after="0" w:afterAutospacing="0"/>
              <w:ind w:left="0" w:leftChars="0" w:right="0" w:rightChars="0"/>
              <w:jc w:val="center"/>
              <w:outlineLvl w:val="2"/>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w:t>
            </w:r>
          </w:p>
        </w:tc>
        <w:tc>
          <w:tcPr>
            <w:tcW w:w="757" w:type="dxa"/>
            <w:noWrap w:val="0"/>
            <w:vAlign w:val="top"/>
          </w:tcPr>
          <w:p w14:paraId="7AF980C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078" w:type="dxa"/>
            <w:noWrap w:val="0"/>
            <w:vAlign w:val="top"/>
          </w:tcPr>
          <w:p w14:paraId="5A4843FF">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03F8F444">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1EC638E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7BE5BBD4">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4BD99292">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r>
      <w:tr w14:paraId="2D28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top"/>
          </w:tcPr>
          <w:p w14:paraId="1A8948FB">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lang w:val="en-US" w:eastAsia="zh-CN"/>
              </w:rPr>
            </w:pPr>
          </w:p>
        </w:tc>
        <w:tc>
          <w:tcPr>
            <w:tcW w:w="1970" w:type="dxa"/>
            <w:noWrap w:val="0"/>
            <w:vAlign w:val="top"/>
          </w:tcPr>
          <w:p w14:paraId="6532414D">
            <w:pPr>
              <w:keepNext w:val="0"/>
              <w:keepLines w:val="0"/>
              <w:suppressLineNumbers w:val="0"/>
              <w:wordWrap w:val="0"/>
              <w:spacing w:before="0" w:beforeAutospacing="0" w:after="0" w:afterAutospacing="0"/>
              <w:ind w:left="0" w:leftChars="0" w:right="0" w:rightChars="0"/>
              <w:jc w:val="center"/>
              <w:outlineLvl w:val="2"/>
              <w:rPr>
                <w:rFonts w:hint="eastAsia" w:ascii="仿宋" w:hAnsi="仿宋" w:eastAsia="仿宋" w:cs="仿宋"/>
                <w:b/>
                <w:color w:val="auto"/>
                <w:kern w:val="0"/>
                <w:sz w:val="24"/>
                <w:szCs w:val="24"/>
                <w:highlight w:val="none"/>
                <w:lang w:val="en-US" w:eastAsia="zh-CN"/>
              </w:rPr>
            </w:pPr>
          </w:p>
        </w:tc>
        <w:tc>
          <w:tcPr>
            <w:tcW w:w="757" w:type="dxa"/>
            <w:noWrap w:val="0"/>
            <w:vAlign w:val="top"/>
          </w:tcPr>
          <w:p w14:paraId="7C3B7FA2">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078" w:type="dxa"/>
            <w:noWrap w:val="0"/>
            <w:vAlign w:val="top"/>
          </w:tcPr>
          <w:p w14:paraId="38B680F8">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3F5BFC33">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288" w:type="dxa"/>
            <w:noWrap w:val="0"/>
            <w:vAlign w:val="top"/>
          </w:tcPr>
          <w:p w14:paraId="39AC0647">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3F26FB7D">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c>
          <w:tcPr>
            <w:tcW w:w="1183" w:type="dxa"/>
            <w:noWrap w:val="0"/>
            <w:vAlign w:val="top"/>
          </w:tcPr>
          <w:p w14:paraId="6C3EB2B2">
            <w:pPr>
              <w:keepNext w:val="0"/>
              <w:keepLines w:val="0"/>
              <w:suppressLineNumbers w:val="0"/>
              <w:wordWrap w:val="0"/>
              <w:spacing w:before="0" w:beforeAutospacing="0" w:after="0" w:afterAutospacing="0"/>
              <w:ind w:left="0" w:right="0"/>
              <w:jc w:val="center"/>
              <w:outlineLvl w:val="2"/>
              <w:rPr>
                <w:rFonts w:hint="eastAsia" w:ascii="仿宋" w:hAnsi="仿宋" w:eastAsia="仿宋" w:cs="仿宋"/>
                <w:b/>
                <w:color w:val="auto"/>
                <w:kern w:val="0"/>
                <w:sz w:val="24"/>
                <w:szCs w:val="24"/>
                <w:highlight w:val="none"/>
              </w:rPr>
            </w:pPr>
          </w:p>
        </w:tc>
      </w:tr>
    </w:tbl>
    <w:p w14:paraId="6849E918">
      <w:pPr>
        <w:keepNext w:val="0"/>
        <w:keepLines w:val="0"/>
        <w:wordWrap w:val="0"/>
        <w:topLinePunct/>
        <w:autoSpaceDE w:val="0"/>
        <w:autoSpaceDN w:val="0"/>
        <w:adjustRightInd w:val="0"/>
        <w:spacing w:before="120" w:beforeLines="50" w:line="360" w:lineRule="auto"/>
        <w:ind w:firstLine="240" w:firstLineChars="1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注：</w:t>
      </w:r>
      <w:r>
        <w:rPr>
          <w:rFonts w:hint="eastAsia" w:ascii="仿宋" w:hAnsi="仿宋" w:eastAsia="仿宋" w:cs="仿宋"/>
          <w:sz w:val="24"/>
          <w:szCs w:val="24"/>
          <w:highlight w:val="none"/>
          <w:lang w:val="en-US" w:eastAsia="zh-CN"/>
        </w:rPr>
        <w:t>投标人应根据招标文件“</w:t>
      </w:r>
      <w:r>
        <w:rPr>
          <w:rFonts w:hint="eastAsia" w:ascii="仿宋" w:hAnsi="仿宋" w:eastAsia="仿宋" w:cs="仿宋"/>
          <w:sz w:val="24"/>
          <w:szCs w:val="24"/>
          <w:highlight w:val="none"/>
        </w:rPr>
        <w:t>第三部分  采购需求和技术要求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的采购清单和参数要求，对每样货物提供详细配置清单（主机、标准附件、备品备件）</w:t>
      </w:r>
      <w:r>
        <w:rPr>
          <w:rFonts w:hint="eastAsia" w:ascii="仿宋" w:hAnsi="仿宋" w:eastAsia="仿宋" w:cs="仿宋"/>
          <w:sz w:val="24"/>
          <w:szCs w:val="24"/>
          <w:highlight w:val="none"/>
        </w:rPr>
        <w:t>。</w:t>
      </w:r>
    </w:p>
    <w:p w14:paraId="6F6D9AB9">
      <w:pPr>
        <w:pStyle w:val="25"/>
        <w:keepNext w:val="0"/>
        <w:keepLines w:val="0"/>
        <w:wordWrap w:val="0"/>
        <w:topLinePunct/>
        <w:spacing w:line="360" w:lineRule="auto"/>
        <w:rPr>
          <w:rFonts w:hint="eastAsia" w:ascii="仿宋" w:hAnsi="仿宋" w:eastAsia="仿宋" w:cs="仿宋"/>
          <w:szCs w:val="21"/>
          <w:highlight w:val="none"/>
        </w:rPr>
      </w:pPr>
    </w:p>
    <w:p w14:paraId="2E229D32">
      <w:pPr>
        <w:keepNext w:val="0"/>
        <w:keepLines w:val="0"/>
        <w:wordWrap w:val="0"/>
        <w:topLinePunct/>
        <w:adjustRightInd w:val="0"/>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投标人（电子签名)：</w:t>
      </w:r>
    </w:p>
    <w:p w14:paraId="0E060D71">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zh-CN"/>
        </w:rPr>
        <w:t>月日</w:t>
      </w:r>
    </w:p>
    <w:p w14:paraId="6013B6B0">
      <w:pPr>
        <w:pStyle w:val="25"/>
        <w:keepNext w:val="0"/>
        <w:keepLines w:val="0"/>
        <w:tabs>
          <w:tab w:val="left" w:pos="450"/>
        </w:tabs>
        <w:wordWrap w:val="0"/>
        <w:topLinePunct/>
        <w:rPr>
          <w:rFonts w:hint="eastAsia" w:ascii="仿宋" w:hAnsi="仿宋" w:eastAsia="仿宋" w:cs="仿宋"/>
          <w:sz w:val="32"/>
          <w:szCs w:val="32"/>
          <w:highlight w:val="none"/>
        </w:rPr>
        <w:sectPr>
          <w:pgSz w:w="11905" w:h="16838"/>
          <w:pgMar w:top="907" w:right="1247" w:bottom="907" w:left="1247" w:header="510" w:footer="510" w:gutter="0"/>
          <w:pgNumType w:fmt="decimal"/>
          <w:cols w:space="720" w:num="1"/>
        </w:sectPr>
      </w:pPr>
    </w:p>
    <w:p w14:paraId="10C9A164">
      <w:pPr>
        <w:pStyle w:val="25"/>
        <w:keepNext w:val="0"/>
        <w:keepLines w:val="0"/>
        <w:tabs>
          <w:tab w:val="left" w:pos="450"/>
        </w:tabs>
        <w:wordWrap w:val="0"/>
        <w:topLinePunct/>
        <w:outlineLvl w:val="2"/>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附件十</w:t>
      </w:r>
      <w:r>
        <w:rPr>
          <w:rFonts w:hint="eastAsia" w:ascii="仿宋" w:hAnsi="仿宋" w:eastAsia="仿宋" w:cs="仿宋"/>
          <w:sz w:val="32"/>
          <w:szCs w:val="32"/>
          <w:highlight w:val="none"/>
          <w:lang w:val="en-US" w:eastAsia="zh-CN"/>
        </w:rPr>
        <w:t>一 项目组人员配备情况</w:t>
      </w:r>
    </w:p>
    <w:p w14:paraId="131A6ECD">
      <w:pPr>
        <w:pStyle w:val="25"/>
        <w:tabs>
          <w:tab w:val="left" w:pos="450"/>
        </w:tabs>
        <w:wordWrap w:val="0"/>
        <w:topLinePunct/>
        <w:jc w:val="center"/>
        <w:rPr>
          <w:rFonts w:hint="eastAsia" w:ascii="仿宋" w:hAnsi="仿宋" w:eastAsia="仿宋" w:cs="仿宋"/>
          <w:b/>
          <w:kern w:val="0"/>
          <w:sz w:val="32"/>
          <w:szCs w:val="32"/>
          <w:highlight w:val="none"/>
          <w:lang w:val="zh-CN"/>
        </w:rPr>
      </w:pPr>
    </w:p>
    <w:p w14:paraId="2AD8FEFA">
      <w:pPr>
        <w:pStyle w:val="25"/>
        <w:tabs>
          <w:tab w:val="left" w:pos="450"/>
        </w:tabs>
        <w:wordWrap w:val="0"/>
        <w:topLinePunct/>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投标人为完成本项目组建的</w:t>
      </w:r>
      <w:r>
        <w:rPr>
          <w:rFonts w:hint="eastAsia" w:ascii="仿宋" w:hAnsi="仿宋" w:eastAsia="仿宋" w:cs="仿宋"/>
          <w:b/>
          <w:kern w:val="0"/>
          <w:sz w:val="32"/>
          <w:szCs w:val="32"/>
          <w:highlight w:val="none"/>
          <w:lang w:val="en-US" w:eastAsia="zh-CN"/>
        </w:rPr>
        <w:t>成员</w:t>
      </w:r>
      <w:r>
        <w:rPr>
          <w:rFonts w:hint="eastAsia" w:ascii="仿宋" w:hAnsi="仿宋" w:eastAsia="仿宋" w:cs="仿宋"/>
          <w:b/>
          <w:kern w:val="0"/>
          <w:sz w:val="32"/>
          <w:szCs w:val="32"/>
          <w:highlight w:val="none"/>
          <w:lang w:val="zh-CN"/>
        </w:rPr>
        <w:t>名单</w:t>
      </w:r>
    </w:p>
    <w:p w14:paraId="4FF0D530">
      <w:pPr>
        <w:keepNext/>
        <w:autoSpaceDE w:val="0"/>
        <w:autoSpaceDN w:val="0"/>
        <w:spacing w:line="360" w:lineRule="auto"/>
        <w:ind w:firstLine="477"/>
        <w:rPr>
          <w:rFonts w:hint="eastAsia" w:ascii="仿宋" w:hAnsi="仿宋" w:eastAsia="仿宋" w:cs="仿宋"/>
          <w:b/>
          <w:sz w:val="24"/>
          <w:highlight w:val="none"/>
        </w:rPr>
      </w:pPr>
    </w:p>
    <w:p w14:paraId="354FDB14">
      <w:pPr>
        <w:keepNext/>
        <w:autoSpaceDE w:val="0"/>
        <w:autoSpaceDN w:val="0"/>
        <w:spacing w:line="360" w:lineRule="auto"/>
        <w:ind w:firstLine="477"/>
        <w:rPr>
          <w:rFonts w:hint="eastAsia" w:ascii="仿宋" w:hAnsi="仿宋" w:eastAsia="仿宋" w:cs="仿宋"/>
          <w:b/>
          <w:sz w:val="24"/>
          <w:highlight w:val="none"/>
        </w:rPr>
      </w:pPr>
      <w:r>
        <w:rPr>
          <w:rFonts w:hint="eastAsia" w:ascii="仿宋" w:hAnsi="仿宋" w:eastAsia="仿宋" w:cs="仿宋"/>
          <w:b/>
          <w:sz w:val="24"/>
          <w:highlight w:val="none"/>
        </w:rPr>
        <w:t>附表A:本项目的</w:t>
      </w:r>
      <w:r>
        <w:rPr>
          <w:rFonts w:hint="eastAsia" w:ascii="仿宋" w:hAnsi="仿宋" w:eastAsia="仿宋" w:cs="仿宋"/>
          <w:b/>
          <w:sz w:val="24"/>
          <w:highlight w:val="none"/>
          <w:lang w:val="en-US" w:eastAsia="zh-CN"/>
        </w:rPr>
        <w:t>项目负责人</w:t>
      </w:r>
      <w:r>
        <w:rPr>
          <w:rFonts w:hint="eastAsia" w:ascii="仿宋" w:hAnsi="仿宋" w:eastAsia="仿宋" w:cs="仿宋"/>
          <w:b/>
          <w:sz w:val="24"/>
          <w:highlight w:val="none"/>
        </w:rPr>
        <w:t>情况表</w:t>
      </w:r>
    </w:p>
    <w:tbl>
      <w:tblPr>
        <w:tblStyle w:val="46"/>
        <w:tblW w:w="8400" w:type="dxa"/>
        <w:jc w:val="center"/>
        <w:tblLayout w:type="fixed"/>
        <w:tblCellMar>
          <w:top w:w="0" w:type="dxa"/>
          <w:left w:w="108" w:type="dxa"/>
          <w:bottom w:w="0" w:type="dxa"/>
          <w:right w:w="108" w:type="dxa"/>
        </w:tblCellMar>
      </w:tblPr>
      <w:tblGrid>
        <w:gridCol w:w="2364"/>
        <w:gridCol w:w="1889"/>
        <w:gridCol w:w="4147"/>
      </w:tblGrid>
      <w:tr w14:paraId="2CDC810D">
        <w:tblPrEx>
          <w:tblCellMar>
            <w:top w:w="0" w:type="dxa"/>
            <w:left w:w="108" w:type="dxa"/>
            <w:bottom w:w="0" w:type="dxa"/>
            <w:right w:w="108" w:type="dxa"/>
          </w:tblCellMar>
        </w:tblPrEx>
        <w:trPr>
          <w:trHeight w:val="604" w:hRule="atLeast"/>
          <w:jc w:val="center"/>
        </w:trPr>
        <w:tc>
          <w:tcPr>
            <w:tcW w:w="2364" w:type="dxa"/>
            <w:tcBorders>
              <w:top w:val="single" w:color="auto" w:sz="6" w:space="0"/>
              <w:left w:val="single" w:color="auto" w:sz="6" w:space="0"/>
              <w:bottom w:val="single" w:color="auto" w:sz="6" w:space="0"/>
              <w:right w:val="single" w:color="auto" w:sz="6" w:space="0"/>
            </w:tcBorders>
            <w:noWrap/>
            <w:vAlign w:val="center"/>
          </w:tcPr>
          <w:p w14:paraId="2ACE1A4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889" w:type="dxa"/>
            <w:tcBorders>
              <w:top w:val="single" w:color="auto" w:sz="6" w:space="0"/>
              <w:left w:val="single" w:color="auto" w:sz="6" w:space="0"/>
              <w:bottom w:val="single" w:color="auto" w:sz="6" w:space="0"/>
              <w:right w:val="single" w:color="auto" w:sz="4" w:space="0"/>
            </w:tcBorders>
            <w:noWrap/>
            <w:vAlign w:val="center"/>
          </w:tcPr>
          <w:p w14:paraId="79AA2721">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tcBorders>
              <w:top w:val="single" w:color="auto" w:sz="6" w:space="0"/>
              <w:left w:val="single" w:color="auto" w:sz="6" w:space="0"/>
              <w:bottom w:val="single" w:color="auto" w:sz="6" w:space="0"/>
              <w:right w:val="single" w:color="auto" w:sz="6" w:space="0"/>
            </w:tcBorders>
            <w:noWrap/>
            <w:vAlign w:val="center"/>
          </w:tcPr>
          <w:p w14:paraId="7686F14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r>
              <w:rPr>
                <w:rFonts w:hint="eastAsia" w:ascii="仿宋" w:hAnsi="仿宋" w:eastAsia="仿宋" w:cs="仿宋"/>
                <w:sz w:val="24"/>
                <w:highlight w:val="none"/>
              </w:rPr>
              <w:t>近3年业绩及承担的主要工作情况，曾担任</w:t>
            </w:r>
            <w:r>
              <w:rPr>
                <w:rFonts w:hint="eastAsia" w:ascii="仿宋" w:hAnsi="仿宋" w:eastAsia="仿宋" w:cs="仿宋"/>
                <w:sz w:val="24"/>
                <w:highlight w:val="none"/>
                <w:lang w:val="en-US" w:eastAsia="zh-CN"/>
              </w:rPr>
              <w:t>项目负责人</w:t>
            </w:r>
            <w:r>
              <w:rPr>
                <w:rFonts w:hint="eastAsia" w:ascii="仿宋" w:hAnsi="仿宋" w:eastAsia="仿宋" w:cs="仿宋"/>
                <w:sz w:val="24"/>
                <w:highlight w:val="none"/>
              </w:rPr>
              <w:t>的项目应列明细</w:t>
            </w:r>
          </w:p>
        </w:tc>
      </w:tr>
      <w:tr w14:paraId="5ABD4436">
        <w:tblPrEx>
          <w:tblCellMar>
            <w:top w:w="0" w:type="dxa"/>
            <w:left w:w="108" w:type="dxa"/>
            <w:bottom w:w="0" w:type="dxa"/>
            <w:right w:w="108" w:type="dxa"/>
          </w:tblCellMar>
        </w:tblPrEx>
        <w:trPr>
          <w:cantSplit/>
          <w:trHeight w:val="345" w:hRule="atLeast"/>
          <w:jc w:val="center"/>
        </w:trPr>
        <w:tc>
          <w:tcPr>
            <w:tcW w:w="2364" w:type="dxa"/>
            <w:tcBorders>
              <w:top w:val="single" w:color="auto" w:sz="6" w:space="0"/>
              <w:left w:val="single" w:color="auto" w:sz="6" w:space="0"/>
              <w:bottom w:val="single" w:color="auto" w:sz="6" w:space="0"/>
              <w:right w:val="single" w:color="auto" w:sz="6" w:space="0"/>
            </w:tcBorders>
            <w:noWrap/>
            <w:vAlign w:val="center"/>
          </w:tcPr>
          <w:p w14:paraId="4D97E08C">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1889" w:type="dxa"/>
            <w:tcBorders>
              <w:top w:val="single" w:color="auto" w:sz="6" w:space="0"/>
              <w:left w:val="single" w:color="auto" w:sz="6" w:space="0"/>
              <w:bottom w:val="single" w:color="auto" w:sz="6" w:space="0"/>
              <w:right w:val="single" w:color="auto" w:sz="4" w:space="0"/>
            </w:tcBorders>
            <w:noWrap/>
            <w:vAlign w:val="center"/>
          </w:tcPr>
          <w:p w14:paraId="5BE661BB">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14:paraId="681FE406">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0B6D0F15">
        <w:tblPrEx>
          <w:tblCellMar>
            <w:top w:w="0" w:type="dxa"/>
            <w:left w:w="108" w:type="dxa"/>
            <w:bottom w:w="0" w:type="dxa"/>
            <w:right w:w="108" w:type="dxa"/>
          </w:tblCellMar>
        </w:tblPrEx>
        <w:trPr>
          <w:cantSplit/>
          <w:trHeight w:val="337" w:hRule="atLeast"/>
          <w:jc w:val="center"/>
        </w:trPr>
        <w:tc>
          <w:tcPr>
            <w:tcW w:w="2364" w:type="dxa"/>
            <w:tcBorders>
              <w:top w:val="single" w:color="auto" w:sz="6" w:space="0"/>
              <w:left w:val="single" w:color="auto" w:sz="6" w:space="0"/>
              <w:bottom w:val="single" w:color="auto" w:sz="6" w:space="0"/>
              <w:right w:val="single" w:color="auto" w:sz="6" w:space="0"/>
            </w:tcBorders>
            <w:noWrap/>
            <w:vAlign w:val="center"/>
          </w:tcPr>
          <w:p w14:paraId="1692F6A7">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889" w:type="dxa"/>
            <w:tcBorders>
              <w:top w:val="single" w:color="auto" w:sz="6" w:space="0"/>
              <w:left w:val="single" w:color="auto" w:sz="6" w:space="0"/>
              <w:bottom w:val="single" w:color="auto" w:sz="6" w:space="0"/>
              <w:right w:val="single" w:color="auto" w:sz="4" w:space="0"/>
            </w:tcBorders>
            <w:noWrap/>
            <w:vAlign w:val="center"/>
          </w:tcPr>
          <w:p w14:paraId="59A2CA1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5ED124FB">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1911706A">
        <w:tblPrEx>
          <w:tblCellMar>
            <w:top w:w="0" w:type="dxa"/>
            <w:left w:w="108" w:type="dxa"/>
            <w:bottom w:w="0" w:type="dxa"/>
            <w:right w:w="108" w:type="dxa"/>
          </w:tblCellMar>
        </w:tblPrEx>
        <w:trPr>
          <w:cantSplit/>
          <w:trHeight w:val="345" w:hRule="atLeast"/>
          <w:jc w:val="center"/>
        </w:trPr>
        <w:tc>
          <w:tcPr>
            <w:tcW w:w="2364" w:type="dxa"/>
            <w:tcBorders>
              <w:top w:val="single" w:color="auto" w:sz="6" w:space="0"/>
              <w:left w:val="single" w:color="auto" w:sz="6" w:space="0"/>
              <w:bottom w:val="single" w:color="auto" w:sz="6" w:space="0"/>
              <w:right w:val="single" w:color="auto" w:sz="6" w:space="0"/>
            </w:tcBorders>
            <w:noWrap/>
            <w:vAlign w:val="center"/>
          </w:tcPr>
          <w:p w14:paraId="2DB00274">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889" w:type="dxa"/>
            <w:tcBorders>
              <w:top w:val="single" w:color="auto" w:sz="6" w:space="0"/>
              <w:left w:val="single" w:color="auto" w:sz="6" w:space="0"/>
              <w:bottom w:val="single" w:color="auto" w:sz="6" w:space="0"/>
              <w:right w:val="single" w:color="auto" w:sz="4" w:space="0"/>
            </w:tcBorders>
            <w:noWrap/>
            <w:vAlign w:val="center"/>
          </w:tcPr>
          <w:p w14:paraId="07C066E4">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1C940AEC">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794E64C5">
        <w:tblPrEx>
          <w:tblCellMar>
            <w:top w:w="0" w:type="dxa"/>
            <w:left w:w="108" w:type="dxa"/>
            <w:bottom w:w="0" w:type="dxa"/>
            <w:right w:w="108" w:type="dxa"/>
          </w:tblCellMar>
        </w:tblPrEx>
        <w:trPr>
          <w:cantSplit/>
          <w:trHeight w:val="345" w:hRule="atLeast"/>
          <w:jc w:val="center"/>
        </w:trPr>
        <w:tc>
          <w:tcPr>
            <w:tcW w:w="2364" w:type="dxa"/>
            <w:tcBorders>
              <w:top w:val="single" w:color="auto" w:sz="6" w:space="0"/>
              <w:left w:val="single" w:color="auto" w:sz="6" w:space="0"/>
              <w:bottom w:val="single" w:color="auto" w:sz="6" w:space="0"/>
              <w:right w:val="single" w:color="auto" w:sz="6" w:space="0"/>
            </w:tcBorders>
            <w:noWrap/>
            <w:vAlign w:val="center"/>
          </w:tcPr>
          <w:p w14:paraId="2237A6AB">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毕业时间</w:t>
            </w:r>
          </w:p>
        </w:tc>
        <w:tc>
          <w:tcPr>
            <w:tcW w:w="1889" w:type="dxa"/>
            <w:tcBorders>
              <w:top w:val="single" w:color="auto" w:sz="6" w:space="0"/>
              <w:left w:val="single" w:color="auto" w:sz="6" w:space="0"/>
              <w:bottom w:val="single" w:color="auto" w:sz="6" w:space="0"/>
              <w:right w:val="single" w:color="auto" w:sz="4" w:space="0"/>
            </w:tcBorders>
            <w:noWrap/>
            <w:vAlign w:val="center"/>
          </w:tcPr>
          <w:p w14:paraId="264FE39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2121F1E9">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497D3363">
        <w:tblPrEx>
          <w:tblCellMar>
            <w:top w:w="0" w:type="dxa"/>
            <w:left w:w="108" w:type="dxa"/>
            <w:bottom w:w="0" w:type="dxa"/>
            <w:right w:w="108" w:type="dxa"/>
          </w:tblCellMar>
        </w:tblPrEx>
        <w:trPr>
          <w:cantSplit/>
          <w:trHeight w:val="422" w:hRule="atLeast"/>
          <w:jc w:val="center"/>
        </w:trPr>
        <w:tc>
          <w:tcPr>
            <w:tcW w:w="2364" w:type="dxa"/>
            <w:tcBorders>
              <w:top w:val="single" w:color="auto" w:sz="6" w:space="0"/>
              <w:left w:val="single" w:color="auto" w:sz="6" w:space="0"/>
              <w:bottom w:val="single" w:color="auto" w:sz="6" w:space="0"/>
              <w:right w:val="single" w:color="auto" w:sz="6" w:space="0"/>
            </w:tcBorders>
            <w:noWrap/>
            <w:vAlign w:val="center"/>
          </w:tcPr>
          <w:p w14:paraId="3724C409">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所学专业</w:t>
            </w:r>
          </w:p>
        </w:tc>
        <w:tc>
          <w:tcPr>
            <w:tcW w:w="1889" w:type="dxa"/>
            <w:tcBorders>
              <w:top w:val="single" w:color="auto" w:sz="6" w:space="0"/>
              <w:left w:val="single" w:color="auto" w:sz="6" w:space="0"/>
              <w:bottom w:val="single" w:color="auto" w:sz="6" w:space="0"/>
              <w:right w:val="single" w:color="auto" w:sz="4" w:space="0"/>
            </w:tcBorders>
            <w:noWrap/>
            <w:vAlign w:val="center"/>
          </w:tcPr>
          <w:p w14:paraId="7EB05BE0">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0E64A544">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67672CC3">
        <w:tblPrEx>
          <w:tblCellMar>
            <w:top w:w="0" w:type="dxa"/>
            <w:left w:w="108" w:type="dxa"/>
            <w:bottom w:w="0" w:type="dxa"/>
            <w:right w:w="108" w:type="dxa"/>
          </w:tblCellMar>
        </w:tblPrEx>
        <w:trPr>
          <w:cantSplit/>
          <w:trHeight w:val="416" w:hRule="atLeast"/>
          <w:jc w:val="center"/>
        </w:trPr>
        <w:tc>
          <w:tcPr>
            <w:tcW w:w="2364" w:type="dxa"/>
            <w:tcBorders>
              <w:top w:val="single" w:color="auto" w:sz="6" w:space="0"/>
              <w:left w:val="single" w:color="auto" w:sz="6" w:space="0"/>
              <w:bottom w:val="single" w:color="auto" w:sz="6" w:space="0"/>
              <w:right w:val="single" w:color="auto" w:sz="6" w:space="0"/>
            </w:tcBorders>
            <w:noWrap/>
            <w:vAlign w:val="center"/>
          </w:tcPr>
          <w:p w14:paraId="73BB94B1">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1889" w:type="dxa"/>
            <w:tcBorders>
              <w:top w:val="single" w:color="auto" w:sz="6" w:space="0"/>
              <w:left w:val="single" w:color="auto" w:sz="6" w:space="0"/>
              <w:bottom w:val="single" w:color="auto" w:sz="6" w:space="0"/>
              <w:right w:val="single" w:color="auto" w:sz="4" w:space="0"/>
            </w:tcBorders>
            <w:noWrap/>
            <w:vAlign w:val="center"/>
          </w:tcPr>
          <w:p w14:paraId="4E5B93BD">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6377E624">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0FE23153">
        <w:tblPrEx>
          <w:tblCellMar>
            <w:top w:w="0" w:type="dxa"/>
            <w:left w:w="108" w:type="dxa"/>
            <w:bottom w:w="0" w:type="dxa"/>
            <w:right w:w="108" w:type="dxa"/>
          </w:tblCellMar>
        </w:tblPrEx>
        <w:trPr>
          <w:cantSplit/>
          <w:trHeight w:val="585" w:hRule="atLeast"/>
          <w:jc w:val="center"/>
        </w:trPr>
        <w:tc>
          <w:tcPr>
            <w:tcW w:w="2364" w:type="dxa"/>
            <w:tcBorders>
              <w:top w:val="single" w:color="auto" w:sz="6" w:space="0"/>
              <w:left w:val="single" w:color="auto" w:sz="6" w:space="0"/>
              <w:bottom w:val="single" w:color="auto" w:sz="6" w:space="0"/>
              <w:right w:val="single" w:color="auto" w:sz="6" w:space="0"/>
            </w:tcBorders>
            <w:noWrap/>
            <w:vAlign w:val="center"/>
          </w:tcPr>
          <w:p w14:paraId="164EE2C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资质证书编号</w:t>
            </w:r>
          </w:p>
        </w:tc>
        <w:tc>
          <w:tcPr>
            <w:tcW w:w="1889" w:type="dxa"/>
            <w:tcBorders>
              <w:top w:val="single" w:color="auto" w:sz="6" w:space="0"/>
              <w:left w:val="single" w:color="auto" w:sz="6" w:space="0"/>
              <w:bottom w:val="single" w:color="auto" w:sz="6" w:space="0"/>
              <w:right w:val="single" w:color="auto" w:sz="4" w:space="0"/>
            </w:tcBorders>
            <w:noWrap/>
            <w:vAlign w:val="center"/>
          </w:tcPr>
          <w:p w14:paraId="745B817D">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2FC6F94A">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0F67F731">
        <w:tblPrEx>
          <w:tblCellMar>
            <w:top w:w="0" w:type="dxa"/>
            <w:left w:w="108" w:type="dxa"/>
            <w:bottom w:w="0" w:type="dxa"/>
            <w:right w:w="108" w:type="dxa"/>
          </w:tblCellMar>
        </w:tblPrEx>
        <w:trPr>
          <w:cantSplit/>
          <w:trHeight w:val="572" w:hRule="atLeast"/>
          <w:jc w:val="center"/>
        </w:trPr>
        <w:tc>
          <w:tcPr>
            <w:tcW w:w="2364" w:type="dxa"/>
            <w:tcBorders>
              <w:top w:val="single" w:color="auto" w:sz="6" w:space="0"/>
              <w:left w:val="single" w:color="auto" w:sz="6" w:space="0"/>
              <w:bottom w:val="single" w:color="auto" w:sz="6" w:space="0"/>
              <w:right w:val="single" w:color="auto" w:sz="6" w:space="0"/>
            </w:tcBorders>
            <w:noWrap/>
            <w:vAlign w:val="center"/>
          </w:tcPr>
          <w:p w14:paraId="2C24A207">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其他资质情况</w:t>
            </w:r>
          </w:p>
        </w:tc>
        <w:tc>
          <w:tcPr>
            <w:tcW w:w="1889" w:type="dxa"/>
            <w:tcBorders>
              <w:top w:val="single" w:color="auto" w:sz="6" w:space="0"/>
              <w:left w:val="single" w:color="auto" w:sz="6" w:space="0"/>
              <w:bottom w:val="single" w:color="auto" w:sz="6" w:space="0"/>
              <w:right w:val="single" w:color="auto" w:sz="4" w:space="0"/>
            </w:tcBorders>
            <w:noWrap/>
            <w:vAlign w:val="center"/>
          </w:tcPr>
          <w:p w14:paraId="4370D3AF">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0DEC3442">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r w14:paraId="55807EA1">
        <w:tblPrEx>
          <w:tblCellMar>
            <w:top w:w="0" w:type="dxa"/>
            <w:left w:w="108" w:type="dxa"/>
            <w:bottom w:w="0" w:type="dxa"/>
            <w:right w:w="108" w:type="dxa"/>
          </w:tblCellMar>
        </w:tblPrEx>
        <w:trPr>
          <w:cantSplit/>
          <w:trHeight w:val="473" w:hRule="atLeast"/>
          <w:jc w:val="center"/>
        </w:trPr>
        <w:tc>
          <w:tcPr>
            <w:tcW w:w="2364" w:type="dxa"/>
            <w:tcBorders>
              <w:top w:val="single" w:color="auto" w:sz="6" w:space="0"/>
              <w:left w:val="single" w:color="auto" w:sz="6" w:space="0"/>
              <w:bottom w:val="single" w:color="auto" w:sz="6" w:space="0"/>
              <w:right w:val="single" w:color="auto" w:sz="6" w:space="0"/>
            </w:tcBorders>
            <w:noWrap/>
            <w:vAlign w:val="center"/>
          </w:tcPr>
          <w:p w14:paraId="60259B4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1889" w:type="dxa"/>
            <w:tcBorders>
              <w:top w:val="single" w:color="auto" w:sz="6" w:space="0"/>
              <w:left w:val="single" w:color="auto" w:sz="6" w:space="0"/>
              <w:bottom w:val="single" w:color="auto" w:sz="6" w:space="0"/>
              <w:right w:val="single" w:color="auto" w:sz="4" w:space="0"/>
            </w:tcBorders>
            <w:noWrap/>
            <w:vAlign w:val="center"/>
          </w:tcPr>
          <w:p w14:paraId="2D8D6AD2">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14:paraId="187838C8">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p>
        </w:tc>
      </w:tr>
    </w:tbl>
    <w:p w14:paraId="76AF8706">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注：须随表提交相应的证明材料（证明材料以评标办法要求为准）并注明所在页码。</w:t>
      </w:r>
    </w:p>
    <w:p w14:paraId="651451D1">
      <w:pPr>
        <w:autoSpaceDE w:val="0"/>
        <w:autoSpaceDN w:val="0"/>
        <w:spacing w:line="360" w:lineRule="auto"/>
        <w:rPr>
          <w:rFonts w:hint="eastAsia" w:ascii="仿宋" w:hAnsi="仿宋" w:eastAsia="仿宋" w:cs="仿宋"/>
          <w:b/>
          <w:sz w:val="24"/>
          <w:highlight w:val="none"/>
        </w:rPr>
      </w:pPr>
    </w:p>
    <w:p w14:paraId="43DE381D">
      <w:pPr>
        <w:autoSpaceDE w:val="0"/>
        <w:autoSpaceDN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附表B:本项目</w:t>
      </w:r>
      <w:r>
        <w:rPr>
          <w:rFonts w:hint="eastAsia" w:ascii="仿宋" w:hAnsi="仿宋" w:eastAsia="仿宋" w:cs="仿宋"/>
          <w:b/>
          <w:sz w:val="24"/>
          <w:highlight w:val="none"/>
          <w:lang w:val="en-US" w:eastAsia="zh-CN"/>
        </w:rPr>
        <w:t>组</w:t>
      </w:r>
      <w:r>
        <w:rPr>
          <w:rFonts w:hint="eastAsia" w:ascii="仿宋" w:hAnsi="仿宋" w:eastAsia="仿宋" w:cs="仿宋"/>
          <w:b/>
          <w:sz w:val="24"/>
          <w:highlight w:val="none"/>
        </w:rPr>
        <w:t>人员配备表</w:t>
      </w:r>
      <w:r>
        <w:rPr>
          <w:rFonts w:hint="eastAsia" w:ascii="仿宋" w:hAnsi="仿宋" w:eastAsia="仿宋" w:cs="仿宋"/>
          <w:sz w:val="24"/>
          <w:highlight w:val="none"/>
        </w:rPr>
        <w:t xml:space="preserve"> </w:t>
      </w:r>
    </w:p>
    <w:tbl>
      <w:tblPr>
        <w:tblStyle w:val="46"/>
        <w:tblW w:w="9951" w:type="dxa"/>
        <w:jc w:val="center"/>
        <w:tblLayout w:type="fixed"/>
        <w:tblCellMar>
          <w:top w:w="0" w:type="dxa"/>
          <w:left w:w="108" w:type="dxa"/>
          <w:bottom w:w="0" w:type="dxa"/>
          <w:right w:w="108" w:type="dxa"/>
        </w:tblCellMar>
      </w:tblPr>
      <w:tblGrid>
        <w:gridCol w:w="771"/>
        <w:gridCol w:w="787"/>
        <w:gridCol w:w="758"/>
        <w:gridCol w:w="904"/>
        <w:gridCol w:w="883"/>
        <w:gridCol w:w="750"/>
        <w:gridCol w:w="933"/>
        <w:gridCol w:w="1467"/>
        <w:gridCol w:w="1517"/>
        <w:gridCol w:w="1181"/>
      </w:tblGrid>
      <w:tr w14:paraId="1980FA82">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noWrap/>
            <w:vAlign w:val="center"/>
          </w:tcPr>
          <w:p w14:paraId="0F3E6850">
            <w:pPr>
              <w:keepNext w:val="0"/>
              <w:keepLines w:val="0"/>
              <w:suppressLineNumbers w:val="0"/>
              <w:autoSpaceDE w:val="0"/>
              <w:autoSpaceDN w:val="0"/>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ign w:val="center"/>
          </w:tcPr>
          <w:p w14:paraId="414D03B9">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758" w:type="dxa"/>
            <w:tcBorders>
              <w:top w:val="single" w:color="auto" w:sz="6" w:space="0"/>
              <w:left w:val="single" w:color="auto" w:sz="6" w:space="0"/>
              <w:bottom w:val="single" w:color="auto" w:sz="6" w:space="0"/>
              <w:right w:val="single" w:color="auto" w:sz="6" w:space="0"/>
            </w:tcBorders>
            <w:noWrap/>
            <w:vAlign w:val="center"/>
          </w:tcPr>
          <w:p w14:paraId="7ED8161D">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904" w:type="dxa"/>
            <w:tcBorders>
              <w:top w:val="single" w:color="auto" w:sz="6" w:space="0"/>
              <w:left w:val="single" w:color="auto" w:sz="6" w:space="0"/>
              <w:bottom w:val="single" w:color="auto" w:sz="6" w:space="0"/>
              <w:right w:val="single" w:color="auto" w:sz="6" w:space="0"/>
            </w:tcBorders>
            <w:noWrap/>
            <w:vAlign w:val="center"/>
          </w:tcPr>
          <w:p w14:paraId="00BA18CF">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883" w:type="dxa"/>
            <w:tcBorders>
              <w:top w:val="single" w:color="auto" w:sz="6" w:space="0"/>
              <w:left w:val="single" w:color="auto" w:sz="6" w:space="0"/>
              <w:bottom w:val="single" w:color="auto" w:sz="6" w:space="0"/>
              <w:right w:val="single" w:color="auto" w:sz="6" w:space="0"/>
            </w:tcBorders>
            <w:noWrap/>
            <w:vAlign w:val="center"/>
          </w:tcPr>
          <w:p w14:paraId="62330C1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750" w:type="dxa"/>
            <w:tcBorders>
              <w:top w:val="single" w:color="auto" w:sz="6" w:space="0"/>
              <w:left w:val="single" w:color="auto" w:sz="6" w:space="0"/>
              <w:bottom w:val="single" w:color="auto" w:sz="6" w:space="0"/>
              <w:right w:val="single" w:color="auto" w:sz="6" w:space="0"/>
            </w:tcBorders>
            <w:noWrap/>
            <w:vAlign w:val="center"/>
          </w:tcPr>
          <w:p w14:paraId="10F5EB7F">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专业</w:t>
            </w:r>
          </w:p>
        </w:tc>
        <w:tc>
          <w:tcPr>
            <w:tcW w:w="933" w:type="dxa"/>
            <w:tcBorders>
              <w:top w:val="single" w:color="auto" w:sz="6" w:space="0"/>
              <w:left w:val="single" w:color="auto" w:sz="6" w:space="0"/>
              <w:bottom w:val="single" w:color="auto" w:sz="6" w:space="0"/>
              <w:right w:val="single" w:color="auto" w:sz="6" w:space="0"/>
            </w:tcBorders>
            <w:noWrap/>
            <w:vAlign w:val="center"/>
          </w:tcPr>
          <w:p w14:paraId="1A484503">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467" w:type="dxa"/>
            <w:tcBorders>
              <w:top w:val="single" w:color="auto" w:sz="6" w:space="0"/>
              <w:left w:val="single" w:color="auto" w:sz="6" w:space="0"/>
              <w:bottom w:val="single" w:color="auto" w:sz="6" w:space="0"/>
              <w:right w:val="single" w:color="auto" w:sz="6" w:space="0"/>
            </w:tcBorders>
            <w:noWrap/>
            <w:vAlign w:val="center"/>
          </w:tcPr>
          <w:p w14:paraId="7848E95F">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本项目中的职责</w:t>
            </w:r>
          </w:p>
        </w:tc>
        <w:tc>
          <w:tcPr>
            <w:tcW w:w="1517" w:type="dxa"/>
            <w:tcBorders>
              <w:top w:val="single" w:color="auto" w:sz="6" w:space="0"/>
              <w:left w:val="single" w:color="auto" w:sz="6" w:space="0"/>
              <w:bottom w:val="single" w:color="auto" w:sz="6" w:space="0"/>
              <w:right w:val="single" w:color="auto" w:sz="6" w:space="0"/>
            </w:tcBorders>
            <w:noWrap/>
            <w:vAlign w:val="center"/>
          </w:tcPr>
          <w:p w14:paraId="53886078">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highlight w:val="none"/>
              </w:rPr>
            </w:pPr>
            <w:r>
              <w:rPr>
                <w:rFonts w:hint="eastAsia" w:ascii="仿宋" w:hAnsi="仿宋" w:eastAsia="仿宋" w:cs="仿宋"/>
                <w:sz w:val="24"/>
                <w:highlight w:val="none"/>
              </w:rPr>
              <w:t>工作经验</w:t>
            </w:r>
          </w:p>
        </w:tc>
        <w:tc>
          <w:tcPr>
            <w:tcW w:w="1181" w:type="dxa"/>
            <w:tcBorders>
              <w:top w:val="single" w:color="auto" w:sz="6" w:space="0"/>
              <w:left w:val="single" w:color="auto" w:sz="6" w:space="0"/>
              <w:bottom w:val="single" w:color="auto" w:sz="6" w:space="0"/>
              <w:right w:val="single" w:color="auto" w:sz="6" w:space="0"/>
            </w:tcBorders>
            <w:noWrap/>
            <w:vAlign w:val="center"/>
          </w:tcPr>
          <w:p w14:paraId="0340DCA9">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备注</w:t>
            </w:r>
          </w:p>
        </w:tc>
      </w:tr>
      <w:tr w14:paraId="65C0C4FA">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1E2D8E84">
            <w:pPr>
              <w:keepNext w:val="0"/>
              <w:keepLines w:val="0"/>
              <w:suppressLineNumbers w:val="0"/>
              <w:autoSpaceDE w:val="0"/>
              <w:autoSpaceDN w:val="0"/>
              <w:spacing w:before="0" w:beforeAutospacing="0" w:after="0" w:afterAutospacing="0" w:line="360" w:lineRule="auto"/>
              <w:ind w:left="0" w:right="0"/>
              <w:jc w:val="left"/>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19BB5E7D">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noWrap/>
          </w:tcPr>
          <w:p w14:paraId="6E85349A">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04" w:type="dxa"/>
            <w:tcBorders>
              <w:top w:val="single" w:color="auto" w:sz="6" w:space="0"/>
              <w:left w:val="single" w:color="auto" w:sz="6" w:space="0"/>
              <w:bottom w:val="single" w:color="auto" w:sz="6" w:space="0"/>
              <w:right w:val="single" w:color="auto" w:sz="6" w:space="0"/>
            </w:tcBorders>
            <w:noWrap/>
          </w:tcPr>
          <w:p w14:paraId="452BC25A">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883" w:type="dxa"/>
            <w:tcBorders>
              <w:top w:val="single" w:color="auto" w:sz="6" w:space="0"/>
              <w:left w:val="single" w:color="auto" w:sz="6" w:space="0"/>
              <w:bottom w:val="single" w:color="auto" w:sz="6" w:space="0"/>
              <w:right w:val="single" w:color="auto" w:sz="6" w:space="0"/>
            </w:tcBorders>
            <w:noWrap/>
          </w:tcPr>
          <w:p w14:paraId="7A2EA0D0">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750" w:type="dxa"/>
            <w:tcBorders>
              <w:top w:val="single" w:color="auto" w:sz="6" w:space="0"/>
              <w:left w:val="single" w:color="auto" w:sz="6" w:space="0"/>
              <w:bottom w:val="single" w:color="auto" w:sz="6" w:space="0"/>
              <w:right w:val="single" w:color="auto" w:sz="6" w:space="0"/>
            </w:tcBorders>
            <w:noWrap/>
          </w:tcPr>
          <w:p w14:paraId="4BF1182D">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33" w:type="dxa"/>
            <w:tcBorders>
              <w:top w:val="single" w:color="auto" w:sz="6" w:space="0"/>
              <w:left w:val="single" w:color="auto" w:sz="6" w:space="0"/>
              <w:bottom w:val="single" w:color="auto" w:sz="6" w:space="0"/>
              <w:right w:val="single" w:color="auto" w:sz="6" w:space="0"/>
            </w:tcBorders>
            <w:noWrap/>
          </w:tcPr>
          <w:p w14:paraId="5C4D8335">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67" w:type="dxa"/>
            <w:tcBorders>
              <w:top w:val="single" w:color="auto" w:sz="6" w:space="0"/>
              <w:left w:val="single" w:color="auto" w:sz="6" w:space="0"/>
              <w:bottom w:val="single" w:color="auto" w:sz="6" w:space="0"/>
              <w:right w:val="single" w:color="auto" w:sz="6" w:space="0"/>
            </w:tcBorders>
            <w:noWrap/>
          </w:tcPr>
          <w:p w14:paraId="2CE232B2">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517" w:type="dxa"/>
            <w:tcBorders>
              <w:top w:val="single" w:color="auto" w:sz="6" w:space="0"/>
              <w:left w:val="single" w:color="auto" w:sz="6" w:space="0"/>
              <w:bottom w:val="single" w:color="auto" w:sz="6" w:space="0"/>
              <w:right w:val="single" w:color="auto" w:sz="6" w:space="0"/>
            </w:tcBorders>
            <w:noWrap/>
          </w:tcPr>
          <w:p w14:paraId="6C388AEB">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181" w:type="dxa"/>
            <w:tcBorders>
              <w:top w:val="single" w:color="auto" w:sz="6" w:space="0"/>
              <w:left w:val="single" w:color="auto" w:sz="6" w:space="0"/>
              <w:bottom w:val="single" w:color="auto" w:sz="6" w:space="0"/>
              <w:right w:val="single" w:color="auto" w:sz="6" w:space="0"/>
            </w:tcBorders>
            <w:noWrap/>
          </w:tcPr>
          <w:p w14:paraId="343D6445">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r w14:paraId="58EEED1F">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14:paraId="25C1486F">
            <w:pPr>
              <w:keepNext w:val="0"/>
              <w:keepLines w:val="0"/>
              <w:suppressLineNumbers w:val="0"/>
              <w:autoSpaceDE w:val="0"/>
              <w:autoSpaceDN w:val="0"/>
              <w:spacing w:before="0" w:beforeAutospacing="0" w:after="0" w:afterAutospacing="0" w:line="360" w:lineRule="auto"/>
              <w:ind w:left="0" w:right="0"/>
              <w:jc w:val="left"/>
              <w:rPr>
                <w:rFonts w:hint="eastAsia"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0EAE2B59">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758" w:type="dxa"/>
            <w:tcBorders>
              <w:top w:val="single" w:color="auto" w:sz="6" w:space="0"/>
              <w:left w:val="single" w:color="auto" w:sz="6" w:space="0"/>
              <w:bottom w:val="single" w:color="auto" w:sz="6" w:space="0"/>
              <w:right w:val="single" w:color="auto" w:sz="6" w:space="0"/>
            </w:tcBorders>
            <w:noWrap/>
          </w:tcPr>
          <w:p w14:paraId="2E9904A1">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04" w:type="dxa"/>
            <w:tcBorders>
              <w:top w:val="single" w:color="auto" w:sz="6" w:space="0"/>
              <w:left w:val="single" w:color="auto" w:sz="6" w:space="0"/>
              <w:bottom w:val="single" w:color="auto" w:sz="6" w:space="0"/>
              <w:right w:val="single" w:color="auto" w:sz="6" w:space="0"/>
            </w:tcBorders>
            <w:noWrap/>
          </w:tcPr>
          <w:p w14:paraId="50F95F55">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883" w:type="dxa"/>
            <w:tcBorders>
              <w:top w:val="single" w:color="auto" w:sz="6" w:space="0"/>
              <w:left w:val="single" w:color="auto" w:sz="6" w:space="0"/>
              <w:bottom w:val="single" w:color="auto" w:sz="6" w:space="0"/>
              <w:right w:val="single" w:color="auto" w:sz="6" w:space="0"/>
            </w:tcBorders>
            <w:noWrap/>
          </w:tcPr>
          <w:p w14:paraId="128F8212">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750" w:type="dxa"/>
            <w:tcBorders>
              <w:top w:val="single" w:color="auto" w:sz="6" w:space="0"/>
              <w:left w:val="single" w:color="auto" w:sz="6" w:space="0"/>
              <w:bottom w:val="single" w:color="auto" w:sz="6" w:space="0"/>
              <w:right w:val="single" w:color="auto" w:sz="6" w:space="0"/>
            </w:tcBorders>
            <w:noWrap/>
          </w:tcPr>
          <w:p w14:paraId="3E16AE58">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933" w:type="dxa"/>
            <w:tcBorders>
              <w:top w:val="single" w:color="auto" w:sz="6" w:space="0"/>
              <w:left w:val="single" w:color="auto" w:sz="6" w:space="0"/>
              <w:bottom w:val="single" w:color="auto" w:sz="6" w:space="0"/>
              <w:right w:val="single" w:color="auto" w:sz="6" w:space="0"/>
            </w:tcBorders>
            <w:noWrap/>
          </w:tcPr>
          <w:p w14:paraId="49B6184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467" w:type="dxa"/>
            <w:tcBorders>
              <w:top w:val="single" w:color="auto" w:sz="6" w:space="0"/>
              <w:left w:val="single" w:color="auto" w:sz="6" w:space="0"/>
              <w:bottom w:val="single" w:color="auto" w:sz="6" w:space="0"/>
              <w:right w:val="single" w:color="auto" w:sz="6" w:space="0"/>
            </w:tcBorders>
            <w:noWrap/>
          </w:tcPr>
          <w:p w14:paraId="557CA28C">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517" w:type="dxa"/>
            <w:tcBorders>
              <w:top w:val="single" w:color="auto" w:sz="6" w:space="0"/>
              <w:left w:val="single" w:color="auto" w:sz="6" w:space="0"/>
              <w:bottom w:val="single" w:color="auto" w:sz="6" w:space="0"/>
              <w:right w:val="single" w:color="auto" w:sz="6" w:space="0"/>
            </w:tcBorders>
            <w:noWrap/>
          </w:tcPr>
          <w:p w14:paraId="37D504C4">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c>
          <w:tcPr>
            <w:tcW w:w="1181" w:type="dxa"/>
            <w:tcBorders>
              <w:top w:val="single" w:color="auto" w:sz="6" w:space="0"/>
              <w:left w:val="single" w:color="auto" w:sz="6" w:space="0"/>
              <w:bottom w:val="single" w:color="auto" w:sz="6" w:space="0"/>
              <w:right w:val="single" w:color="auto" w:sz="6" w:space="0"/>
            </w:tcBorders>
            <w:noWrap/>
          </w:tcPr>
          <w:p w14:paraId="15A065D7">
            <w:pPr>
              <w:keepNext w:val="0"/>
              <w:keepLines w:val="0"/>
              <w:suppressLineNumbers w:val="0"/>
              <w:autoSpaceDE w:val="0"/>
              <w:autoSpaceDN w:val="0"/>
              <w:spacing w:before="0" w:beforeAutospacing="0" w:after="0" w:afterAutospacing="0" w:line="360" w:lineRule="auto"/>
              <w:ind w:left="0" w:right="0"/>
              <w:rPr>
                <w:rFonts w:hint="eastAsia" w:ascii="仿宋" w:hAnsi="仿宋" w:eastAsia="仿宋" w:cs="仿宋"/>
                <w:sz w:val="24"/>
                <w:highlight w:val="none"/>
              </w:rPr>
            </w:pPr>
          </w:p>
        </w:tc>
      </w:tr>
    </w:tbl>
    <w:p w14:paraId="260E9A4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注：须随表提交相应的证明材料（证明材料以评标办法要求为准）并注明所在页码。</w:t>
      </w:r>
    </w:p>
    <w:p w14:paraId="075D2D4B">
      <w:pPr>
        <w:ind w:firstLine="480" w:firstLineChars="200"/>
        <w:rPr>
          <w:rFonts w:hint="eastAsia" w:ascii="仿宋" w:hAnsi="仿宋" w:eastAsia="仿宋" w:cs="仿宋"/>
          <w:sz w:val="24"/>
          <w:highlight w:val="none"/>
        </w:rPr>
      </w:pPr>
    </w:p>
    <w:p w14:paraId="3AD1EA79">
      <w:pPr>
        <w:keepNext w:val="0"/>
        <w:keepLines w:val="0"/>
        <w:wordWrap w:val="0"/>
        <w:topLinePunct/>
        <w:adjustRightInd w:val="0"/>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投标人（电子签名)：</w:t>
      </w:r>
    </w:p>
    <w:p w14:paraId="08C0D669">
      <w:pPr>
        <w:keepNext w:val="0"/>
        <w:keepLines w:val="0"/>
        <w:wordWrap w:val="0"/>
        <w:topLinePunct/>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zh-CN"/>
        </w:rPr>
        <w:t>月日</w:t>
      </w:r>
    </w:p>
    <w:p w14:paraId="538BE619">
      <w:pPr>
        <w:keepNext w:val="0"/>
        <w:keepLines w:val="0"/>
        <w:wordWrap w:val="0"/>
        <w:topLinePunct/>
        <w:spacing w:line="360" w:lineRule="auto"/>
        <w:rPr>
          <w:rFonts w:hint="eastAsia" w:ascii="仿宋" w:hAnsi="仿宋" w:eastAsia="仿宋" w:cs="仿宋"/>
          <w:sz w:val="32"/>
          <w:szCs w:val="32"/>
          <w:highlight w:val="none"/>
        </w:rPr>
      </w:pPr>
    </w:p>
    <w:p w14:paraId="5E707B57">
      <w:pPr>
        <w:pStyle w:val="25"/>
        <w:keepNext w:val="0"/>
        <w:keepLines w:val="0"/>
        <w:tabs>
          <w:tab w:val="left" w:pos="450"/>
        </w:tabs>
        <w:wordWrap w:val="0"/>
        <w:topLinePunct/>
        <w:spacing w:line="360" w:lineRule="auto"/>
        <w:rPr>
          <w:rFonts w:hint="eastAsia" w:ascii="仿宋" w:hAnsi="仿宋" w:eastAsia="仿宋" w:cs="仿宋"/>
          <w:sz w:val="30"/>
          <w:highlight w:val="none"/>
        </w:rPr>
        <w:sectPr>
          <w:pgSz w:w="11905" w:h="16838"/>
          <w:pgMar w:top="907" w:right="1247" w:bottom="907" w:left="1247" w:header="510" w:footer="510" w:gutter="0"/>
          <w:pgNumType w:fmt="decimal"/>
          <w:cols w:space="720" w:num="1"/>
        </w:sectPr>
      </w:pPr>
    </w:p>
    <w:p w14:paraId="2FC0EA5D">
      <w:pPr>
        <w:pStyle w:val="25"/>
        <w:keepNext w:val="0"/>
        <w:keepLines w:val="0"/>
        <w:tabs>
          <w:tab w:val="left" w:pos="450"/>
        </w:tabs>
        <w:wordWrap w:val="0"/>
        <w:topLinePunct/>
        <w:spacing w:line="360" w:lineRule="auto"/>
        <w:outlineLvl w:val="2"/>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附件十</w:t>
      </w:r>
      <w:r>
        <w:rPr>
          <w:rFonts w:hint="eastAsia" w:ascii="仿宋" w:hAnsi="仿宋" w:eastAsia="仿宋" w:cs="仿宋"/>
          <w:sz w:val="32"/>
          <w:szCs w:val="32"/>
          <w:highlight w:val="none"/>
          <w:lang w:val="en-US" w:eastAsia="zh-CN"/>
        </w:rPr>
        <w:t>二 偏离表</w:t>
      </w:r>
    </w:p>
    <w:p w14:paraId="74EB42A0">
      <w:pPr>
        <w:pStyle w:val="25"/>
        <w:keepNext w:val="0"/>
        <w:keepLines w:val="0"/>
        <w:wordWrap w:val="0"/>
        <w:topLinePunct/>
        <w:spacing w:line="360" w:lineRule="auto"/>
        <w:jc w:val="center"/>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表1-商务偏离表</w:t>
      </w:r>
    </w:p>
    <w:p w14:paraId="4586C193">
      <w:pPr>
        <w:pStyle w:val="25"/>
        <w:keepNext w:val="0"/>
        <w:keepLines w:val="0"/>
        <w:wordWrap w:val="0"/>
        <w:topLinePunct/>
        <w:spacing w:after="120" w:afterLines="50" w:line="360" w:lineRule="auto"/>
        <w:rPr>
          <w:rFonts w:hint="eastAsia" w:ascii="仿宋" w:hAnsi="仿宋" w:eastAsia="仿宋" w:cs="仿宋"/>
          <w:sz w:val="24"/>
          <w:szCs w:val="28"/>
          <w:highlight w:val="none"/>
          <w:u w:val="none"/>
          <w:lang w:val="en-US" w:eastAsia="zh-CN"/>
        </w:rPr>
      </w:pPr>
      <w:r>
        <w:rPr>
          <w:rFonts w:hint="eastAsia" w:ascii="仿宋" w:hAnsi="仿宋" w:eastAsia="仿宋" w:cs="仿宋"/>
          <w:sz w:val="24"/>
          <w:szCs w:val="28"/>
          <w:highlight w:val="none"/>
        </w:rPr>
        <w:t>项目名称</w:t>
      </w:r>
      <w:r>
        <w:rPr>
          <w:rFonts w:hint="eastAsia" w:ascii="仿宋" w:hAnsi="仿宋" w:eastAsia="仿宋" w:cs="仿宋"/>
          <w:sz w:val="24"/>
          <w:szCs w:val="28"/>
          <w:highlight w:val="none"/>
          <w:u w:val="none"/>
        </w:rPr>
        <w:t>：</w:t>
      </w:r>
      <w:r>
        <w:rPr>
          <w:rFonts w:hint="eastAsia" w:ascii="仿宋" w:hAnsi="仿宋" w:eastAsia="仿宋" w:cs="仿宋"/>
          <w:sz w:val="24"/>
          <w:szCs w:val="28"/>
          <w:highlight w:val="none"/>
          <w:u w:val="none"/>
          <w:lang w:eastAsia="zh-CN"/>
        </w:rPr>
        <w:t>新昌县人民医院迁建工程-窗帘采购项目</w:t>
      </w:r>
      <w:r>
        <w:rPr>
          <w:rFonts w:hint="eastAsia" w:ascii="仿宋" w:hAnsi="仿宋" w:eastAsia="仿宋" w:cs="仿宋"/>
          <w:sz w:val="24"/>
          <w:szCs w:val="28"/>
          <w:highlight w:val="none"/>
          <w:u w:val="none"/>
          <w:lang w:val="en-US" w:eastAsia="zh-CN"/>
        </w:rPr>
        <w:t xml:space="preserve">        </w:t>
      </w:r>
    </w:p>
    <w:p w14:paraId="74E931D2">
      <w:pPr>
        <w:pStyle w:val="25"/>
        <w:keepNext w:val="0"/>
        <w:keepLines w:val="0"/>
        <w:wordWrap w:val="0"/>
        <w:topLinePunct/>
        <w:spacing w:after="120" w:afterLines="50" w:line="360" w:lineRule="auto"/>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u w:val="none"/>
        </w:rPr>
        <w:t>项目编号：</w:t>
      </w:r>
      <w:r>
        <w:rPr>
          <w:rFonts w:hint="eastAsia" w:ascii="仿宋" w:hAnsi="仿宋" w:eastAsia="仿宋" w:cs="仿宋"/>
          <w:sz w:val="24"/>
          <w:szCs w:val="24"/>
          <w:highlight w:val="none"/>
          <w:u w:val="none"/>
          <w:lang w:eastAsia="zh-CN"/>
        </w:rPr>
        <w:t>GJXC-2025-24</w:t>
      </w:r>
    </w:p>
    <w:tbl>
      <w:tblPr>
        <w:tblStyle w:val="46"/>
        <w:tblW w:w="9555" w:type="dxa"/>
        <w:tblInd w:w="-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703"/>
        <w:gridCol w:w="4057"/>
        <w:gridCol w:w="926"/>
        <w:gridCol w:w="887"/>
        <w:gridCol w:w="1202"/>
      </w:tblGrid>
      <w:tr w14:paraId="668CE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80" w:type="dxa"/>
            <w:tcBorders>
              <w:top w:val="single" w:color="auto" w:sz="4" w:space="0"/>
              <w:bottom w:val="single" w:color="auto" w:sz="4" w:space="0"/>
              <w:right w:val="single" w:color="auto" w:sz="4" w:space="0"/>
            </w:tcBorders>
            <w:vAlign w:val="center"/>
          </w:tcPr>
          <w:p w14:paraId="4CE130B8">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14:paraId="3661B62F">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内容</w:t>
            </w:r>
          </w:p>
        </w:tc>
        <w:tc>
          <w:tcPr>
            <w:tcW w:w="4057" w:type="dxa"/>
            <w:tcBorders>
              <w:top w:val="single" w:color="auto" w:sz="4" w:space="0"/>
              <w:left w:val="single" w:color="auto" w:sz="4" w:space="0"/>
              <w:bottom w:val="single" w:color="auto" w:sz="4" w:space="0"/>
              <w:right w:val="single" w:color="auto" w:sz="4" w:space="0"/>
            </w:tcBorders>
            <w:vAlign w:val="center"/>
          </w:tcPr>
          <w:p w14:paraId="435568DB">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招标文件商务要求</w:t>
            </w:r>
          </w:p>
        </w:tc>
        <w:tc>
          <w:tcPr>
            <w:tcW w:w="926" w:type="dxa"/>
            <w:tcBorders>
              <w:top w:val="single" w:color="auto" w:sz="4" w:space="0"/>
              <w:left w:val="single" w:color="auto" w:sz="4" w:space="0"/>
              <w:bottom w:val="single" w:color="auto" w:sz="4" w:space="0"/>
              <w:right w:val="single" w:color="auto" w:sz="4" w:space="0"/>
            </w:tcBorders>
            <w:vAlign w:val="center"/>
          </w:tcPr>
          <w:p w14:paraId="787D6E2B">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是否响应</w:t>
            </w:r>
          </w:p>
        </w:tc>
        <w:tc>
          <w:tcPr>
            <w:tcW w:w="887" w:type="dxa"/>
            <w:tcBorders>
              <w:top w:val="single" w:color="auto" w:sz="4" w:space="0"/>
              <w:left w:val="single" w:color="auto" w:sz="4" w:space="0"/>
              <w:bottom w:val="single" w:color="auto" w:sz="4" w:space="0"/>
            </w:tcBorders>
            <w:vAlign w:val="center"/>
          </w:tcPr>
          <w:p w14:paraId="5B76F9C9">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偏离说明</w:t>
            </w:r>
          </w:p>
        </w:tc>
        <w:tc>
          <w:tcPr>
            <w:tcW w:w="1202" w:type="dxa"/>
            <w:tcBorders>
              <w:top w:val="single" w:color="auto" w:sz="4" w:space="0"/>
              <w:left w:val="single" w:color="auto" w:sz="4" w:space="0"/>
              <w:bottom w:val="single" w:color="auto" w:sz="4" w:space="0"/>
            </w:tcBorders>
            <w:vAlign w:val="center"/>
          </w:tcPr>
          <w:p w14:paraId="3B5E8A85">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备注</w:t>
            </w:r>
          </w:p>
        </w:tc>
      </w:tr>
      <w:tr w14:paraId="15C5F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80" w:type="dxa"/>
            <w:tcBorders>
              <w:top w:val="single" w:color="auto" w:sz="4" w:space="0"/>
              <w:bottom w:val="single" w:color="auto" w:sz="4" w:space="0"/>
              <w:right w:val="single" w:color="auto" w:sz="4" w:space="0"/>
            </w:tcBorders>
            <w:vAlign w:val="center"/>
          </w:tcPr>
          <w:p w14:paraId="03981193">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4A646FBD">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262801F6">
            <w:pPr>
              <w:keepNext w:val="0"/>
              <w:keepLines w:val="0"/>
              <w:suppressLineNumbers w:val="0"/>
              <w:spacing w:before="0" w:beforeAutospacing="0" w:after="0" w:afterAutospacing="0"/>
              <w:ind w:left="0" w:right="0"/>
              <w:rPr>
                <w:rFonts w:hint="eastAsia" w:ascii="仿宋" w:hAnsi="仿宋" w:eastAsia="仿宋" w:cs="仿宋"/>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43699EC5">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c>
          <w:tcPr>
            <w:tcW w:w="887" w:type="dxa"/>
            <w:tcBorders>
              <w:top w:val="single" w:color="auto" w:sz="4" w:space="0"/>
              <w:left w:val="single" w:color="auto" w:sz="4" w:space="0"/>
              <w:bottom w:val="single" w:color="auto" w:sz="4" w:space="0"/>
            </w:tcBorders>
            <w:vAlign w:val="center"/>
          </w:tcPr>
          <w:p w14:paraId="0124304D">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c>
          <w:tcPr>
            <w:tcW w:w="1202" w:type="dxa"/>
            <w:tcBorders>
              <w:top w:val="single" w:color="auto" w:sz="4" w:space="0"/>
              <w:left w:val="single" w:color="auto" w:sz="4" w:space="0"/>
              <w:bottom w:val="single" w:color="auto" w:sz="4" w:space="0"/>
            </w:tcBorders>
          </w:tcPr>
          <w:p w14:paraId="3DBC1727">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r>
      <w:tr w14:paraId="29202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80" w:type="dxa"/>
            <w:tcBorders>
              <w:top w:val="single" w:color="auto" w:sz="4" w:space="0"/>
              <w:bottom w:val="single" w:color="auto" w:sz="4" w:space="0"/>
              <w:right w:val="single" w:color="auto" w:sz="4" w:space="0"/>
            </w:tcBorders>
            <w:vAlign w:val="center"/>
          </w:tcPr>
          <w:p w14:paraId="5E97803B">
            <w:pPr>
              <w:pStyle w:val="25"/>
              <w:keepNext w:val="0"/>
              <w:keepLines w:val="0"/>
              <w:suppressLineNumbers w:val="0"/>
              <w:wordWrap w:val="0"/>
              <w:topLinePunct/>
              <w:spacing w:before="0" w:beforeAutospacing="0" w:after="0" w:afterAutospacing="0"/>
              <w:ind w:left="0" w:right="0"/>
              <w:jc w:val="both"/>
              <w:rPr>
                <w:rFonts w:hint="eastAsia" w:ascii="仿宋" w:hAnsi="仿宋" w:eastAsia="仿宋" w:cs="仿宋"/>
                <w:kern w:val="2"/>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448D914E">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486BB367">
            <w:pPr>
              <w:keepNext w:val="0"/>
              <w:keepLines w:val="0"/>
              <w:suppressLineNumbers w:val="0"/>
              <w:wordWrap w:val="0"/>
              <w:topLinePunct/>
              <w:spacing w:before="0" w:beforeAutospacing="0" w:after="0" w:afterAutospacing="0"/>
              <w:ind w:left="0" w:right="0"/>
              <w:rPr>
                <w:rFonts w:hint="eastAsia" w:ascii="仿宋" w:hAnsi="仿宋" w:eastAsia="仿宋" w:cs="仿宋"/>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6746706F">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c>
          <w:tcPr>
            <w:tcW w:w="887" w:type="dxa"/>
            <w:tcBorders>
              <w:top w:val="single" w:color="auto" w:sz="4" w:space="0"/>
              <w:left w:val="single" w:color="auto" w:sz="4" w:space="0"/>
              <w:bottom w:val="single" w:color="auto" w:sz="4" w:space="0"/>
            </w:tcBorders>
            <w:vAlign w:val="center"/>
          </w:tcPr>
          <w:p w14:paraId="15DCABF4">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c>
          <w:tcPr>
            <w:tcW w:w="1202" w:type="dxa"/>
            <w:tcBorders>
              <w:top w:val="single" w:color="auto" w:sz="4" w:space="0"/>
              <w:left w:val="single" w:color="auto" w:sz="4" w:space="0"/>
              <w:bottom w:val="single" w:color="auto" w:sz="4" w:space="0"/>
            </w:tcBorders>
          </w:tcPr>
          <w:p w14:paraId="2A211C72">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r>
      <w:tr w14:paraId="15D9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80" w:type="dxa"/>
            <w:tcBorders>
              <w:top w:val="single" w:color="auto" w:sz="4" w:space="0"/>
              <w:bottom w:val="single" w:color="auto" w:sz="4" w:space="0"/>
              <w:right w:val="single" w:color="auto" w:sz="4" w:space="0"/>
            </w:tcBorders>
            <w:vAlign w:val="center"/>
          </w:tcPr>
          <w:p w14:paraId="7065DE1C">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2D52B502">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0599341C">
            <w:pPr>
              <w:pStyle w:val="25"/>
              <w:keepNext w:val="0"/>
              <w:keepLines w:val="0"/>
              <w:suppressLineNumbers w:val="0"/>
              <w:wordWrap w:val="0"/>
              <w:topLinePunct/>
              <w:spacing w:before="0" w:beforeAutospacing="0" w:after="0" w:afterAutospacing="0"/>
              <w:ind w:left="0" w:right="0"/>
              <w:rPr>
                <w:rFonts w:hint="eastAsia" w:ascii="仿宋" w:hAnsi="仿宋" w:eastAsia="仿宋" w:cs="仿宋"/>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4046A231">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c>
          <w:tcPr>
            <w:tcW w:w="887" w:type="dxa"/>
            <w:tcBorders>
              <w:top w:val="single" w:color="auto" w:sz="4" w:space="0"/>
              <w:left w:val="single" w:color="auto" w:sz="4" w:space="0"/>
              <w:bottom w:val="single" w:color="auto" w:sz="4" w:space="0"/>
            </w:tcBorders>
            <w:vAlign w:val="center"/>
          </w:tcPr>
          <w:p w14:paraId="12D96FE6">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c>
          <w:tcPr>
            <w:tcW w:w="1202" w:type="dxa"/>
            <w:tcBorders>
              <w:top w:val="single" w:color="auto" w:sz="4" w:space="0"/>
              <w:left w:val="single" w:color="auto" w:sz="4" w:space="0"/>
              <w:bottom w:val="single" w:color="auto" w:sz="4" w:space="0"/>
            </w:tcBorders>
          </w:tcPr>
          <w:p w14:paraId="5D74087B">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r>
      <w:tr w14:paraId="1F204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780" w:type="dxa"/>
            <w:tcBorders>
              <w:top w:val="single" w:color="auto" w:sz="4" w:space="0"/>
              <w:bottom w:val="single" w:color="auto" w:sz="4" w:space="0"/>
              <w:right w:val="single" w:color="auto" w:sz="4" w:space="0"/>
            </w:tcBorders>
            <w:vAlign w:val="center"/>
          </w:tcPr>
          <w:p w14:paraId="6F3D20C2">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2D771F65">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699B1D07">
            <w:pPr>
              <w:keepNext w:val="0"/>
              <w:keepLines w:val="0"/>
              <w:suppressLineNumbers w:val="0"/>
              <w:wordWrap w:val="0"/>
              <w:topLinePunct/>
              <w:spacing w:before="0" w:beforeAutospacing="0" w:after="0" w:afterAutospacing="0"/>
              <w:ind w:left="0" w:right="0"/>
              <w:rPr>
                <w:rFonts w:hint="eastAsia" w:ascii="仿宋" w:hAnsi="仿宋" w:eastAsia="仿宋" w:cs="仿宋"/>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53C27E6D">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c>
          <w:tcPr>
            <w:tcW w:w="887" w:type="dxa"/>
            <w:tcBorders>
              <w:top w:val="single" w:color="auto" w:sz="4" w:space="0"/>
              <w:left w:val="single" w:color="auto" w:sz="4" w:space="0"/>
              <w:bottom w:val="single" w:color="auto" w:sz="4" w:space="0"/>
            </w:tcBorders>
            <w:vAlign w:val="center"/>
          </w:tcPr>
          <w:p w14:paraId="4B9E7694">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c>
          <w:tcPr>
            <w:tcW w:w="1202" w:type="dxa"/>
            <w:tcBorders>
              <w:top w:val="single" w:color="auto" w:sz="4" w:space="0"/>
              <w:left w:val="single" w:color="auto" w:sz="4" w:space="0"/>
              <w:bottom w:val="single" w:color="auto" w:sz="4" w:space="0"/>
            </w:tcBorders>
          </w:tcPr>
          <w:p w14:paraId="2CB02760">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r>
      <w:tr w14:paraId="19470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780" w:type="dxa"/>
            <w:tcBorders>
              <w:top w:val="single" w:color="auto" w:sz="4" w:space="0"/>
              <w:bottom w:val="single" w:color="auto" w:sz="4" w:space="0"/>
              <w:right w:val="single" w:color="auto" w:sz="4" w:space="0"/>
            </w:tcBorders>
            <w:vAlign w:val="center"/>
          </w:tcPr>
          <w:p w14:paraId="236F3C1C">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7B5D451">
            <w:pPr>
              <w:pStyle w:val="25"/>
              <w:keepNext w:val="0"/>
              <w:keepLines w:val="0"/>
              <w:suppressLineNumbers w:val="0"/>
              <w:wordWrap w:val="0"/>
              <w:topLinePunct/>
              <w:spacing w:before="0" w:beforeAutospacing="0" w:after="0" w:afterAutospacing="0"/>
              <w:ind w:left="0" w:right="0"/>
              <w:jc w:val="center"/>
              <w:rPr>
                <w:rFonts w:hint="eastAsia" w:ascii="仿宋" w:hAnsi="仿宋" w:eastAsia="仿宋" w:cs="仿宋"/>
                <w:kern w:val="2"/>
                <w:sz w:val="24"/>
                <w:szCs w:val="24"/>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49DA71DF">
            <w:pPr>
              <w:pStyle w:val="25"/>
              <w:keepNext w:val="0"/>
              <w:keepLines w:val="0"/>
              <w:suppressLineNumbers w:val="0"/>
              <w:wordWrap w:val="0"/>
              <w:topLinePunct/>
              <w:spacing w:before="0" w:beforeAutospacing="0" w:after="0" w:afterAutospacing="0"/>
              <w:ind w:left="0" w:right="0"/>
              <w:rPr>
                <w:rFonts w:hint="eastAsia" w:ascii="仿宋" w:hAnsi="仿宋" w:eastAsia="仿宋" w:cs="仿宋"/>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59C9B3B6">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c>
          <w:tcPr>
            <w:tcW w:w="887" w:type="dxa"/>
            <w:tcBorders>
              <w:top w:val="single" w:color="auto" w:sz="4" w:space="0"/>
              <w:left w:val="single" w:color="auto" w:sz="4" w:space="0"/>
              <w:bottom w:val="single" w:color="auto" w:sz="4" w:space="0"/>
            </w:tcBorders>
            <w:vAlign w:val="center"/>
          </w:tcPr>
          <w:p w14:paraId="50F72B46">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c>
          <w:tcPr>
            <w:tcW w:w="1202" w:type="dxa"/>
            <w:tcBorders>
              <w:top w:val="single" w:color="auto" w:sz="4" w:space="0"/>
              <w:left w:val="single" w:color="auto" w:sz="4" w:space="0"/>
              <w:bottom w:val="single" w:color="auto" w:sz="4" w:space="0"/>
            </w:tcBorders>
          </w:tcPr>
          <w:p w14:paraId="45573EE1">
            <w:pPr>
              <w:pStyle w:val="25"/>
              <w:keepNext w:val="0"/>
              <w:keepLines w:val="0"/>
              <w:suppressLineNumbers w:val="0"/>
              <w:wordWrap w:val="0"/>
              <w:topLinePunct/>
              <w:spacing w:before="0" w:beforeAutospacing="0" w:after="0" w:afterAutospacing="0"/>
              <w:ind w:left="0" w:right="0"/>
              <w:rPr>
                <w:rFonts w:hint="eastAsia" w:ascii="仿宋" w:hAnsi="仿宋" w:eastAsia="仿宋" w:cs="仿宋"/>
                <w:kern w:val="2"/>
                <w:sz w:val="24"/>
                <w:szCs w:val="24"/>
                <w:highlight w:val="none"/>
              </w:rPr>
            </w:pPr>
          </w:p>
        </w:tc>
      </w:tr>
    </w:tbl>
    <w:p w14:paraId="1569F5BB">
      <w:pPr>
        <w:keepNext w:val="0"/>
        <w:keepLines w:val="0"/>
        <w:wordWrap w:val="0"/>
        <w:topLinePunct/>
        <w:spacing w:before="240" w:beforeLines="100" w:line="360" w:lineRule="auto"/>
        <w:rPr>
          <w:rFonts w:hint="eastAsia" w:ascii="仿宋" w:hAnsi="仿宋" w:eastAsia="仿宋" w:cs="仿宋"/>
          <w:bCs/>
          <w:szCs w:val="21"/>
          <w:highlight w:val="none"/>
        </w:rPr>
      </w:pPr>
      <w:r>
        <w:rPr>
          <w:rFonts w:hint="eastAsia" w:ascii="仿宋" w:hAnsi="仿宋" w:eastAsia="仿宋" w:cs="仿宋"/>
          <w:highlight w:val="none"/>
        </w:rPr>
        <w:t>注：</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w:t>
      </w:r>
      <w:r>
        <w:rPr>
          <w:rFonts w:hint="eastAsia" w:ascii="仿宋" w:hAnsi="仿宋" w:eastAsia="仿宋" w:cs="仿宋"/>
          <w:bCs/>
          <w:szCs w:val="21"/>
          <w:highlight w:val="none"/>
        </w:rPr>
        <w:t>请投标人在“是否响应”栏内根据响应情况填写“满足、或负偏离、或正偏离”，负偏离或正偏离请在“偏离说明”栏内扼要说明偏离情况。需要提供证明材料的标注页码。</w:t>
      </w:r>
    </w:p>
    <w:p w14:paraId="42AB72BB">
      <w:pPr>
        <w:pStyle w:val="25"/>
        <w:keepNext w:val="0"/>
        <w:keepLines w:val="0"/>
        <w:wordWrap w:val="0"/>
        <w:topLinePunct/>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bCs/>
          <w:sz w:val="21"/>
          <w:szCs w:val="21"/>
          <w:highlight w:val="none"/>
        </w:rPr>
        <w:t>如不填写，则视作完全响应招标文件的商务要求。</w:t>
      </w:r>
    </w:p>
    <w:p w14:paraId="02FE666D">
      <w:pPr>
        <w:keepNext w:val="0"/>
        <w:keepLines w:val="0"/>
        <w:wordWrap w:val="0"/>
        <w:topLinePunct/>
        <w:adjustRightInd w:val="0"/>
        <w:snapToGrid w:val="0"/>
        <w:spacing w:line="360" w:lineRule="auto"/>
        <w:rPr>
          <w:rFonts w:hint="eastAsia" w:ascii="仿宋" w:hAnsi="仿宋" w:eastAsia="仿宋" w:cs="仿宋"/>
          <w:kern w:val="0"/>
          <w:highlight w:val="none"/>
          <w:lang w:val="zh-CN"/>
        </w:rPr>
      </w:pPr>
    </w:p>
    <w:p w14:paraId="452603A6">
      <w:pPr>
        <w:keepNext w:val="0"/>
        <w:keepLines w:val="0"/>
        <w:wordWrap w:val="0"/>
        <w:topLinePunct/>
        <w:adjustRightInd w:val="0"/>
        <w:snapToGrid w:val="0"/>
        <w:spacing w:line="360" w:lineRule="auto"/>
        <w:rPr>
          <w:rFonts w:hint="eastAsia" w:ascii="仿宋" w:hAnsi="仿宋" w:eastAsia="仿宋" w:cs="仿宋"/>
          <w:kern w:val="0"/>
          <w:sz w:val="24"/>
          <w:szCs w:val="24"/>
          <w:highlight w:val="none"/>
        </w:rPr>
      </w:pPr>
      <w:bookmarkStart w:id="173" w:name="OLE_LINK21"/>
      <w:r>
        <w:rPr>
          <w:rFonts w:hint="eastAsia" w:ascii="仿宋" w:hAnsi="仿宋" w:eastAsia="仿宋" w:cs="仿宋"/>
          <w:kern w:val="0"/>
          <w:sz w:val="24"/>
          <w:szCs w:val="24"/>
          <w:highlight w:val="none"/>
          <w:lang w:val="zh-CN"/>
        </w:rPr>
        <w:t>投标人（电子签名)：</w:t>
      </w:r>
    </w:p>
    <w:p w14:paraId="2441BB0C">
      <w:pPr>
        <w:keepNext w:val="0"/>
        <w:keepLines w:val="0"/>
        <w:wordWrap w:val="0"/>
        <w:topLinePunct/>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zh-CN"/>
        </w:rPr>
        <w:t>月日</w:t>
      </w:r>
    </w:p>
    <w:bookmarkEnd w:id="173"/>
    <w:p w14:paraId="36EF7C13">
      <w:pPr>
        <w:keepNext w:val="0"/>
        <w:keepLines w:val="0"/>
        <w:wordWrap w:val="0"/>
        <w:topLinePunct/>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br w:type="page"/>
      </w:r>
    </w:p>
    <w:p w14:paraId="3A946ACA">
      <w:pPr>
        <w:pStyle w:val="25"/>
        <w:keepNext w:val="0"/>
        <w:keepLines w:val="0"/>
        <w:wordWrap w:val="0"/>
        <w:topLinePunct/>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表2-技术偏离表</w:t>
      </w:r>
    </w:p>
    <w:p w14:paraId="15313361">
      <w:pPr>
        <w:pStyle w:val="25"/>
        <w:keepNext w:val="0"/>
        <w:keepLines w:val="0"/>
        <w:wordWrap w:val="0"/>
        <w:topLinePunct/>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项目名称：</w:t>
      </w:r>
      <w:r>
        <w:rPr>
          <w:rFonts w:hint="eastAsia" w:ascii="仿宋" w:hAnsi="仿宋" w:eastAsia="仿宋" w:cs="仿宋"/>
          <w:sz w:val="24"/>
          <w:szCs w:val="28"/>
          <w:highlight w:val="none"/>
          <w:lang w:eastAsia="zh-CN"/>
        </w:rPr>
        <w:t>新昌县人民医院迁建工程-窗帘采购项目</w:t>
      </w:r>
      <w:r>
        <w:rPr>
          <w:rFonts w:hint="eastAsia" w:ascii="仿宋" w:hAnsi="仿宋" w:eastAsia="仿宋" w:cs="仿宋"/>
          <w:sz w:val="24"/>
          <w:szCs w:val="28"/>
          <w:highlight w:val="none"/>
        </w:rPr>
        <w:t xml:space="preserve">        </w:t>
      </w:r>
    </w:p>
    <w:p w14:paraId="56799493">
      <w:pPr>
        <w:pStyle w:val="25"/>
        <w:keepNext w:val="0"/>
        <w:keepLines w:val="0"/>
        <w:wordWrap w:val="0"/>
        <w:topLinePunct/>
        <w:spacing w:line="360" w:lineRule="auto"/>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项目编号：</w:t>
      </w:r>
      <w:r>
        <w:rPr>
          <w:rFonts w:hint="eastAsia" w:ascii="仿宋" w:hAnsi="仿宋" w:eastAsia="仿宋" w:cs="仿宋"/>
          <w:sz w:val="24"/>
          <w:szCs w:val="24"/>
          <w:highlight w:val="none"/>
          <w:u w:val="none"/>
          <w:lang w:eastAsia="zh-CN"/>
        </w:rPr>
        <w:t>GJXC-2025-24</w:t>
      </w:r>
    </w:p>
    <w:tbl>
      <w:tblPr>
        <w:tblStyle w:val="46"/>
        <w:tblW w:w="94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
        <w:gridCol w:w="1337"/>
        <w:gridCol w:w="4629"/>
        <w:gridCol w:w="1230"/>
        <w:gridCol w:w="840"/>
        <w:gridCol w:w="890"/>
      </w:tblGrid>
      <w:tr w14:paraId="5F7E9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529" w:type="dxa"/>
            <w:tcBorders>
              <w:top w:val="single" w:color="auto" w:sz="4" w:space="0"/>
              <w:bottom w:val="single" w:color="auto" w:sz="4" w:space="0"/>
              <w:right w:val="single" w:color="auto" w:sz="4" w:space="0"/>
            </w:tcBorders>
            <w:vAlign w:val="center"/>
          </w:tcPr>
          <w:p w14:paraId="4EA37C62">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337" w:type="dxa"/>
            <w:tcBorders>
              <w:top w:val="single" w:color="auto" w:sz="4" w:space="0"/>
              <w:left w:val="single" w:color="auto" w:sz="4" w:space="0"/>
              <w:bottom w:val="single" w:color="auto" w:sz="4" w:space="0"/>
              <w:right w:val="single" w:color="auto" w:sz="4" w:space="0"/>
            </w:tcBorders>
            <w:vAlign w:val="center"/>
          </w:tcPr>
          <w:p w14:paraId="503C6EBD">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内容</w:t>
            </w:r>
          </w:p>
        </w:tc>
        <w:tc>
          <w:tcPr>
            <w:tcW w:w="4629" w:type="dxa"/>
            <w:tcBorders>
              <w:top w:val="single" w:color="auto" w:sz="4" w:space="0"/>
              <w:left w:val="single" w:color="auto" w:sz="4" w:space="0"/>
              <w:bottom w:val="single" w:color="auto" w:sz="4" w:space="0"/>
              <w:right w:val="single" w:color="auto" w:sz="4" w:space="0"/>
            </w:tcBorders>
            <w:vAlign w:val="center"/>
          </w:tcPr>
          <w:p w14:paraId="393F0FA0">
            <w:pPr>
              <w:keepNext w:val="0"/>
              <w:keepLines w:val="0"/>
              <w:suppressLineNumbers w:val="0"/>
              <w:spacing w:before="0" w:beforeAutospacing="0" w:after="0" w:afterAutospacing="0" w:line="300" w:lineRule="exact"/>
              <w:ind w:left="0" w:right="0"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招标文件技术要求</w:t>
            </w:r>
          </w:p>
        </w:tc>
        <w:tc>
          <w:tcPr>
            <w:tcW w:w="1230" w:type="dxa"/>
            <w:tcBorders>
              <w:top w:val="single" w:color="auto" w:sz="4" w:space="0"/>
              <w:left w:val="single" w:color="auto" w:sz="4" w:space="0"/>
              <w:bottom w:val="single" w:color="auto" w:sz="4" w:space="0"/>
              <w:right w:val="single" w:color="auto" w:sz="4" w:space="0"/>
            </w:tcBorders>
            <w:vAlign w:val="center"/>
          </w:tcPr>
          <w:p w14:paraId="497D8BCD">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是否响应</w:t>
            </w:r>
          </w:p>
        </w:tc>
        <w:tc>
          <w:tcPr>
            <w:tcW w:w="840" w:type="dxa"/>
            <w:tcBorders>
              <w:top w:val="single" w:color="auto" w:sz="4" w:space="0"/>
              <w:left w:val="single" w:color="auto" w:sz="4" w:space="0"/>
              <w:bottom w:val="single" w:color="auto" w:sz="4" w:space="0"/>
            </w:tcBorders>
            <w:vAlign w:val="center"/>
          </w:tcPr>
          <w:p w14:paraId="1391562F">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偏离说明</w:t>
            </w:r>
          </w:p>
        </w:tc>
        <w:tc>
          <w:tcPr>
            <w:tcW w:w="890" w:type="dxa"/>
            <w:tcBorders>
              <w:top w:val="single" w:color="auto" w:sz="4" w:space="0"/>
              <w:left w:val="single" w:color="auto" w:sz="4" w:space="0"/>
              <w:bottom w:val="single" w:color="auto" w:sz="4" w:space="0"/>
            </w:tcBorders>
            <w:vAlign w:val="center"/>
          </w:tcPr>
          <w:p w14:paraId="49A41AD0">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证明材料页码</w:t>
            </w:r>
          </w:p>
        </w:tc>
      </w:tr>
      <w:tr w14:paraId="23A5A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29" w:type="dxa"/>
            <w:tcBorders>
              <w:top w:val="single" w:color="auto" w:sz="4" w:space="0"/>
              <w:bottom w:val="single" w:color="auto" w:sz="4" w:space="0"/>
              <w:right w:val="single" w:color="auto" w:sz="4" w:space="0"/>
            </w:tcBorders>
            <w:vAlign w:val="center"/>
          </w:tcPr>
          <w:p w14:paraId="1214FE35">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28B57135">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p>
        </w:tc>
        <w:tc>
          <w:tcPr>
            <w:tcW w:w="4629" w:type="dxa"/>
            <w:tcBorders>
              <w:top w:val="single" w:color="auto" w:sz="4" w:space="0"/>
              <w:left w:val="single" w:color="auto" w:sz="4" w:space="0"/>
              <w:bottom w:val="single" w:color="auto" w:sz="4" w:space="0"/>
              <w:right w:val="single" w:color="auto" w:sz="4" w:space="0"/>
            </w:tcBorders>
            <w:vAlign w:val="center"/>
          </w:tcPr>
          <w:p w14:paraId="284B8567">
            <w:pPr>
              <w:keepNext w:val="0"/>
              <w:keepLines w:val="0"/>
              <w:suppressLineNumbers w:val="0"/>
              <w:spacing w:before="0" w:beforeAutospacing="0" w:after="0" w:afterAutospacing="0" w:line="300" w:lineRule="exact"/>
              <w:ind w:left="0" w:right="0" w:firstLine="480" w:firstLineChars="200"/>
              <w:jc w:val="center"/>
              <w:rPr>
                <w:rFonts w:hint="eastAsia" w:ascii="仿宋" w:hAnsi="仿宋" w:eastAsia="仿宋" w:cs="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11BA3CA">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c>
          <w:tcPr>
            <w:tcW w:w="840" w:type="dxa"/>
            <w:tcBorders>
              <w:top w:val="single" w:color="auto" w:sz="4" w:space="0"/>
              <w:left w:val="single" w:color="auto" w:sz="4" w:space="0"/>
              <w:bottom w:val="single" w:color="auto" w:sz="4" w:space="0"/>
            </w:tcBorders>
            <w:vAlign w:val="center"/>
          </w:tcPr>
          <w:p w14:paraId="2848AB7B">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c>
          <w:tcPr>
            <w:tcW w:w="890" w:type="dxa"/>
            <w:tcBorders>
              <w:top w:val="single" w:color="auto" w:sz="4" w:space="0"/>
              <w:left w:val="single" w:color="auto" w:sz="4" w:space="0"/>
              <w:bottom w:val="single" w:color="auto" w:sz="4" w:space="0"/>
            </w:tcBorders>
            <w:vAlign w:val="center"/>
          </w:tcPr>
          <w:p w14:paraId="256AD5AD">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r>
      <w:tr w14:paraId="775B4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29" w:type="dxa"/>
            <w:tcBorders>
              <w:top w:val="single" w:color="auto" w:sz="4" w:space="0"/>
              <w:bottom w:val="single" w:color="auto" w:sz="4" w:space="0"/>
              <w:right w:val="single" w:color="auto" w:sz="4" w:space="0"/>
            </w:tcBorders>
            <w:vAlign w:val="center"/>
          </w:tcPr>
          <w:p w14:paraId="602F33EF">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6F0D253F">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p>
        </w:tc>
        <w:tc>
          <w:tcPr>
            <w:tcW w:w="4629" w:type="dxa"/>
            <w:tcBorders>
              <w:top w:val="single" w:color="auto" w:sz="4" w:space="0"/>
              <w:left w:val="single" w:color="auto" w:sz="4" w:space="0"/>
              <w:bottom w:val="single" w:color="auto" w:sz="4" w:space="0"/>
              <w:right w:val="single" w:color="auto" w:sz="4" w:space="0"/>
            </w:tcBorders>
            <w:vAlign w:val="center"/>
          </w:tcPr>
          <w:p w14:paraId="2F56DCF7">
            <w:pPr>
              <w:keepNext w:val="0"/>
              <w:keepLines w:val="0"/>
              <w:suppressLineNumbers w:val="0"/>
              <w:spacing w:before="0" w:beforeAutospacing="0" w:after="0" w:afterAutospacing="0" w:line="300" w:lineRule="exact"/>
              <w:ind w:left="0" w:right="0" w:firstLine="480" w:firstLineChars="200"/>
              <w:jc w:val="center"/>
              <w:rPr>
                <w:rFonts w:hint="eastAsia" w:ascii="仿宋" w:hAnsi="仿宋" w:eastAsia="仿宋" w:cs="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3EB4D963">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c>
          <w:tcPr>
            <w:tcW w:w="840" w:type="dxa"/>
            <w:tcBorders>
              <w:top w:val="single" w:color="auto" w:sz="4" w:space="0"/>
              <w:left w:val="single" w:color="auto" w:sz="4" w:space="0"/>
              <w:bottom w:val="single" w:color="auto" w:sz="4" w:space="0"/>
            </w:tcBorders>
            <w:vAlign w:val="center"/>
          </w:tcPr>
          <w:p w14:paraId="74F38A9B">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c>
          <w:tcPr>
            <w:tcW w:w="890" w:type="dxa"/>
            <w:tcBorders>
              <w:top w:val="single" w:color="auto" w:sz="4" w:space="0"/>
              <w:left w:val="single" w:color="auto" w:sz="4" w:space="0"/>
              <w:bottom w:val="single" w:color="auto" w:sz="4" w:space="0"/>
            </w:tcBorders>
            <w:vAlign w:val="center"/>
          </w:tcPr>
          <w:p w14:paraId="1C7615C4">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r>
      <w:tr w14:paraId="12421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29" w:type="dxa"/>
            <w:tcBorders>
              <w:top w:val="single" w:color="auto" w:sz="4" w:space="0"/>
              <w:bottom w:val="single" w:color="auto" w:sz="4" w:space="0"/>
              <w:right w:val="single" w:color="auto" w:sz="4" w:space="0"/>
            </w:tcBorders>
            <w:vAlign w:val="center"/>
          </w:tcPr>
          <w:p w14:paraId="2E37CF5D">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63CE7FD9">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p>
        </w:tc>
        <w:tc>
          <w:tcPr>
            <w:tcW w:w="4629" w:type="dxa"/>
            <w:tcBorders>
              <w:top w:val="single" w:color="auto" w:sz="4" w:space="0"/>
              <w:left w:val="single" w:color="auto" w:sz="4" w:space="0"/>
              <w:bottom w:val="single" w:color="auto" w:sz="4" w:space="0"/>
              <w:right w:val="single" w:color="auto" w:sz="4" w:space="0"/>
            </w:tcBorders>
            <w:vAlign w:val="center"/>
          </w:tcPr>
          <w:p w14:paraId="0F550A3F">
            <w:pPr>
              <w:keepNext w:val="0"/>
              <w:keepLines w:val="0"/>
              <w:suppressLineNumbers w:val="0"/>
              <w:spacing w:before="0" w:beforeAutospacing="0" w:after="0" w:afterAutospacing="0" w:line="300" w:lineRule="exact"/>
              <w:ind w:left="0" w:right="0" w:firstLine="480" w:firstLineChars="200"/>
              <w:jc w:val="center"/>
              <w:rPr>
                <w:rFonts w:hint="eastAsia" w:ascii="仿宋" w:hAnsi="仿宋" w:eastAsia="仿宋" w:cs="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146086C">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c>
          <w:tcPr>
            <w:tcW w:w="840" w:type="dxa"/>
            <w:tcBorders>
              <w:top w:val="single" w:color="auto" w:sz="4" w:space="0"/>
              <w:left w:val="single" w:color="auto" w:sz="4" w:space="0"/>
              <w:bottom w:val="single" w:color="auto" w:sz="4" w:space="0"/>
            </w:tcBorders>
            <w:vAlign w:val="center"/>
          </w:tcPr>
          <w:p w14:paraId="22276342">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c>
          <w:tcPr>
            <w:tcW w:w="890" w:type="dxa"/>
            <w:tcBorders>
              <w:top w:val="single" w:color="auto" w:sz="4" w:space="0"/>
              <w:left w:val="single" w:color="auto" w:sz="4" w:space="0"/>
              <w:bottom w:val="single" w:color="auto" w:sz="4" w:space="0"/>
            </w:tcBorders>
            <w:vAlign w:val="center"/>
          </w:tcPr>
          <w:p w14:paraId="5C36BBBB">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r>
      <w:tr w14:paraId="08CB0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529" w:type="dxa"/>
            <w:tcBorders>
              <w:top w:val="single" w:color="auto" w:sz="4" w:space="0"/>
              <w:bottom w:val="single" w:color="auto" w:sz="4" w:space="0"/>
              <w:right w:val="single" w:color="auto" w:sz="4" w:space="0"/>
            </w:tcBorders>
            <w:vAlign w:val="center"/>
          </w:tcPr>
          <w:p w14:paraId="7596D14A">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4AE5F2E2">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p>
        </w:tc>
        <w:tc>
          <w:tcPr>
            <w:tcW w:w="4629" w:type="dxa"/>
            <w:tcBorders>
              <w:top w:val="single" w:color="auto" w:sz="4" w:space="0"/>
              <w:left w:val="single" w:color="auto" w:sz="4" w:space="0"/>
              <w:bottom w:val="single" w:color="auto" w:sz="4" w:space="0"/>
              <w:right w:val="single" w:color="auto" w:sz="4" w:space="0"/>
            </w:tcBorders>
            <w:vAlign w:val="center"/>
          </w:tcPr>
          <w:p w14:paraId="026FCB7F">
            <w:pPr>
              <w:keepNext w:val="0"/>
              <w:keepLines w:val="0"/>
              <w:suppressLineNumbers w:val="0"/>
              <w:spacing w:before="0" w:beforeAutospacing="0" w:after="0" w:afterAutospacing="0" w:line="300" w:lineRule="exact"/>
              <w:ind w:left="0" w:right="0" w:firstLine="480" w:firstLineChars="200"/>
              <w:jc w:val="center"/>
              <w:rPr>
                <w:rFonts w:hint="eastAsia" w:ascii="仿宋" w:hAnsi="仿宋" w:eastAsia="仿宋" w:cs="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373FE161">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c>
          <w:tcPr>
            <w:tcW w:w="840" w:type="dxa"/>
            <w:tcBorders>
              <w:top w:val="single" w:color="auto" w:sz="4" w:space="0"/>
              <w:left w:val="single" w:color="auto" w:sz="4" w:space="0"/>
              <w:bottom w:val="single" w:color="auto" w:sz="4" w:space="0"/>
            </w:tcBorders>
            <w:vAlign w:val="center"/>
          </w:tcPr>
          <w:p w14:paraId="53610E55">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c>
          <w:tcPr>
            <w:tcW w:w="890" w:type="dxa"/>
            <w:tcBorders>
              <w:top w:val="single" w:color="auto" w:sz="4" w:space="0"/>
              <w:left w:val="single" w:color="auto" w:sz="4" w:space="0"/>
              <w:bottom w:val="single" w:color="auto" w:sz="4" w:space="0"/>
            </w:tcBorders>
            <w:vAlign w:val="center"/>
          </w:tcPr>
          <w:p w14:paraId="1B7EC702">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r>
      <w:tr w14:paraId="452D0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529" w:type="dxa"/>
            <w:tcBorders>
              <w:top w:val="single" w:color="auto" w:sz="4" w:space="0"/>
              <w:bottom w:val="single" w:color="auto" w:sz="4" w:space="0"/>
              <w:right w:val="single" w:color="auto" w:sz="4" w:space="0"/>
            </w:tcBorders>
            <w:vAlign w:val="center"/>
          </w:tcPr>
          <w:p w14:paraId="10B9EB95">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vAlign w:val="center"/>
          </w:tcPr>
          <w:p w14:paraId="456BD449">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highlight w:val="none"/>
              </w:rPr>
            </w:pPr>
          </w:p>
        </w:tc>
        <w:tc>
          <w:tcPr>
            <w:tcW w:w="4629" w:type="dxa"/>
            <w:tcBorders>
              <w:top w:val="single" w:color="auto" w:sz="4" w:space="0"/>
              <w:left w:val="single" w:color="auto" w:sz="4" w:space="0"/>
              <w:bottom w:val="single" w:color="auto" w:sz="4" w:space="0"/>
              <w:right w:val="single" w:color="auto" w:sz="4" w:space="0"/>
            </w:tcBorders>
            <w:vAlign w:val="center"/>
          </w:tcPr>
          <w:p w14:paraId="0DB5EC2D">
            <w:pPr>
              <w:keepNext w:val="0"/>
              <w:keepLines w:val="0"/>
              <w:suppressLineNumbers w:val="0"/>
              <w:spacing w:before="0" w:beforeAutospacing="0" w:after="0" w:afterAutospacing="0" w:line="300" w:lineRule="exact"/>
              <w:ind w:left="0" w:right="0" w:firstLine="480" w:firstLineChars="200"/>
              <w:jc w:val="center"/>
              <w:rPr>
                <w:rFonts w:hint="eastAsia" w:ascii="仿宋" w:hAnsi="仿宋" w:eastAsia="仿宋" w:cs="仿宋"/>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9BA41E5">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c>
          <w:tcPr>
            <w:tcW w:w="840" w:type="dxa"/>
            <w:tcBorders>
              <w:top w:val="single" w:color="auto" w:sz="4" w:space="0"/>
              <w:left w:val="single" w:color="auto" w:sz="4" w:space="0"/>
              <w:bottom w:val="single" w:color="auto" w:sz="4" w:space="0"/>
            </w:tcBorders>
            <w:vAlign w:val="center"/>
          </w:tcPr>
          <w:p w14:paraId="7A78BD8E">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c>
          <w:tcPr>
            <w:tcW w:w="890" w:type="dxa"/>
            <w:tcBorders>
              <w:top w:val="single" w:color="auto" w:sz="4" w:space="0"/>
              <w:left w:val="single" w:color="auto" w:sz="4" w:space="0"/>
              <w:bottom w:val="single" w:color="auto" w:sz="4" w:space="0"/>
            </w:tcBorders>
            <w:vAlign w:val="center"/>
          </w:tcPr>
          <w:p w14:paraId="3D3472F3">
            <w:pPr>
              <w:pStyle w:val="25"/>
              <w:keepNext w:val="0"/>
              <w:keepLines w:val="0"/>
              <w:suppressLineNumbers w:val="0"/>
              <w:spacing w:before="0" w:beforeAutospacing="0" w:after="0" w:afterAutospacing="0" w:line="300" w:lineRule="exact"/>
              <w:ind w:left="0" w:right="0"/>
              <w:jc w:val="center"/>
              <w:rPr>
                <w:rFonts w:hint="eastAsia" w:ascii="仿宋" w:hAnsi="仿宋" w:eastAsia="仿宋" w:cs="仿宋"/>
                <w:kern w:val="2"/>
                <w:sz w:val="24"/>
                <w:szCs w:val="24"/>
                <w:highlight w:val="none"/>
              </w:rPr>
            </w:pPr>
          </w:p>
        </w:tc>
      </w:tr>
    </w:tbl>
    <w:p w14:paraId="5A95EECD">
      <w:pPr>
        <w:keepNext w:val="0"/>
        <w:keepLines w:val="0"/>
        <w:wordWrap w:val="0"/>
        <w:topLinePunct/>
        <w:spacing w:line="360" w:lineRule="auto"/>
        <w:rPr>
          <w:rFonts w:hint="eastAsia" w:ascii="仿宋" w:hAnsi="仿宋" w:eastAsia="仿宋" w:cs="仿宋"/>
          <w:bCs/>
          <w:szCs w:val="21"/>
          <w:highlight w:val="none"/>
        </w:rPr>
      </w:pPr>
      <w:r>
        <w:rPr>
          <w:rFonts w:hint="eastAsia" w:ascii="仿宋" w:hAnsi="仿宋" w:eastAsia="仿宋" w:cs="仿宋"/>
          <w:highlight w:val="none"/>
        </w:rPr>
        <w:t>注：</w:t>
      </w:r>
      <w:r>
        <w:rPr>
          <w:rFonts w:hint="eastAsia" w:ascii="仿宋" w:hAnsi="仿宋" w:eastAsia="仿宋" w:cs="仿宋"/>
          <w:bCs/>
          <w:szCs w:val="21"/>
          <w:highlight w:val="none"/>
        </w:rPr>
        <w:t>1</w:t>
      </w:r>
      <w:r>
        <w:rPr>
          <w:rFonts w:hint="eastAsia" w:ascii="仿宋" w:hAnsi="仿宋" w:eastAsia="仿宋" w:cs="仿宋"/>
          <w:bCs/>
          <w:szCs w:val="21"/>
          <w:highlight w:val="none"/>
          <w:lang w:val="en-US" w:eastAsia="zh-CN"/>
        </w:rPr>
        <w:t>.</w:t>
      </w:r>
      <w:r>
        <w:rPr>
          <w:rFonts w:hint="eastAsia" w:ascii="仿宋" w:hAnsi="仿宋" w:eastAsia="仿宋" w:cs="仿宋"/>
          <w:bCs/>
          <w:szCs w:val="21"/>
          <w:highlight w:val="none"/>
        </w:rPr>
        <w:t>请投标人在“是否响应”栏内根据响应情况填写“满足、或负偏离、或正偏离”，负偏离或正偏离请在“偏离说明”栏内扼要说明偏离情况。需要提供证明材料的标注页码。</w:t>
      </w:r>
    </w:p>
    <w:p w14:paraId="4B2675F2">
      <w:pPr>
        <w:pStyle w:val="25"/>
        <w:keepNext w:val="0"/>
        <w:keepLines w:val="0"/>
        <w:wordWrap w:val="0"/>
        <w:topLinePunct/>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bCs/>
          <w:sz w:val="21"/>
          <w:szCs w:val="21"/>
          <w:highlight w:val="none"/>
        </w:rPr>
        <w:t>如不填写，则视作完全响应招标文件的技术要求。若“</w:t>
      </w:r>
      <w:r>
        <w:rPr>
          <w:rFonts w:hint="eastAsia" w:ascii="仿宋" w:hAnsi="仿宋" w:eastAsia="仿宋" w:cs="仿宋"/>
          <w:b/>
          <w:bCs w:val="0"/>
          <w:sz w:val="21"/>
          <w:szCs w:val="21"/>
          <w:highlight w:val="none"/>
          <w:lang w:val="en-US" w:eastAsia="zh-CN"/>
        </w:rPr>
        <w:t>采购需求</w:t>
      </w:r>
      <w:r>
        <w:rPr>
          <w:rFonts w:hint="eastAsia" w:ascii="仿宋" w:hAnsi="仿宋" w:eastAsia="仿宋" w:cs="仿宋"/>
          <w:bCs/>
          <w:sz w:val="21"/>
          <w:szCs w:val="21"/>
          <w:highlight w:val="none"/>
        </w:rPr>
        <w:t>”要求提供证明材料的，则应附表后，否则视为负偏离。</w:t>
      </w:r>
    </w:p>
    <w:p w14:paraId="09099BE6">
      <w:pPr>
        <w:pStyle w:val="25"/>
        <w:keepNext w:val="0"/>
        <w:keepLines w:val="0"/>
        <w:wordWrap w:val="0"/>
        <w:topLinePunct/>
        <w:spacing w:line="360" w:lineRule="auto"/>
        <w:rPr>
          <w:rFonts w:hint="eastAsia" w:ascii="仿宋" w:hAnsi="仿宋" w:eastAsia="仿宋" w:cs="仿宋"/>
          <w:szCs w:val="21"/>
          <w:highlight w:val="none"/>
        </w:rPr>
      </w:pPr>
    </w:p>
    <w:p w14:paraId="77B4E0A8">
      <w:pPr>
        <w:keepNext w:val="0"/>
        <w:keepLines w:val="0"/>
        <w:wordWrap w:val="0"/>
        <w:topLinePunct/>
        <w:adjustRightInd w:val="0"/>
        <w:snapToGrid w:val="0"/>
        <w:spacing w:line="360" w:lineRule="auto"/>
        <w:rPr>
          <w:rFonts w:hint="eastAsia" w:ascii="仿宋" w:hAnsi="仿宋" w:eastAsia="仿宋" w:cs="仿宋"/>
          <w:kern w:val="0"/>
          <w:szCs w:val="21"/>
          <w:highlight w:val="none"/>
          <w:lang w:val="zh-CN"/>
        </w:rPr>
      </w:pPr>
    </w:p>
    <w:p w14:paraId="0F1E23FB">
      <w:pPr>
        <w:keepNext w:val="0"/>
        <w:keepLines w:val="0"/>
        <w:wordWrap w:val="0"/>
        <w:topLinePunct/>
        <w:adjustRightInd w:val="0"/>
        <w:snapToGri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投标人（电子签名)：</w:t>
      </w:r>
    </w:p>
    <w:p w14:paraId="084C5C0D">
      <w:pPr>
        <w:keepNext w:val="0"/>
        <w:keepLines w:val="0"/>
        <w:wordWrap w:val="0"/>
        <w:topLinePunct/>
        <w:adjustRightInd w:val="0"/>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：年</w:t>
      </w:r>
      <w:r>
        <w:rPr>
          <w:rFonts w:hint="eastAsia" w:ascii="仿宋" w:hAnsi="仿宋" w:eastAsia="仿宋" w:cs="仿宋"/>
          <w:kern w:val="0"/>
          <w:sz w:val="24"/>
          <w:szCs w:val="24"/>
          <w:highlight w:val="none"/>
          <w:lang w:val="zh-CN"/>
        </w:rPr>
        <w:t>月日</w:t>
      </w:r>
    </w:p>
    <w:p w14:paraId="174ED836">
      <w:pPr>
        <w:keepNext w:val="0"/>
        <w:keepLines w:val="0"/>
        <w:wordWrap w:val="0"/>
        <w:topLinePunct/>
        <w:spacing w:line="360" w:lineRule="auto"/>
        <w:outlineLvl w:val="2"/>
        <w:rPr>
          <w:rFonts w:hint="eastAsia" w:ascii="仿宋" w:hAnsi="仿宋" w:eastAsia="仿宋" w:cs="仿宋"/>
          <w:sz w:val="32"/>
          <w:szCs w:val="32"/>
          <w:highlight w:val="none"/>
          <w:lang w:val="en-US" w:eastAsia="zh-CN"/>
        </w:rPr>
      </w:pPr>
      <w:r>
        <w:rPr>
          <w:rFonts w:hint="eastAsia" w:ascii="仿宋" w:hAnsi="仿宋" w:eastAsia="仿宋" w:cs="仿宋"/>
          <w:kern w:val="0"/>
          <w:szCs w:val="21"/>
          <w:highlight w:val="none"/>
          <w:lang w:val="zh-CN"/>
        </w:rPr>
        <w:br w:type="page"/>
      </w:r>
      <w:r>
        <w:rPr>
          <w:rFonts w:hint="eastAsia" w:ascii="仿宋" w:hAnsi="仿宋" w:eastAsia="仿宋" w:cs="仿宋"/>
          <w:sz w:val="32"/>
          <w:szCs w:val="32"/>
          <w:highlight w:val="none"/>
        </w:rPr>
        <w:t>附件十</w:t>
      </w:r>
      <w:r>
        <w:rPr>
          <w:rFonts w:hint="eastAsia" w:ascii="仿宋" w:hAnsi="仿宋" w:eastAsia="仿宋" w:cs="仿宋"/>
          <w:sz w:val="32"/>
          <w:szCs w:val="32"/>
          <w:highlight w:val="none"/>
          <w:lang w:val="en-US" w:eastAsia="zh-CN"/>
        </w:rPr>
        <w:t xml:space="preserve">三 </w:t>
      </w:r>
    </w:p>
    <w:p w14:paraId="620A0B23">
      <w:pPr>
        <w:wordWrap w:val="0"/>
        <w:snapToGrid w:val="0"/>
        <w:spacing w:line="360" w:lineRule="auto"/>
        <w:jc w:val="center"/>
        <w:rPr>
          <w:rFonts w:hint="eastAsia" w:ascii="仿宋" w:hAnsi="仿宋" w:eastAsia="仿宋" w:cs="仿宋"/>
          <w:b/>
          <w:color w:val="auto"/>
          <w:kern w:val="0"/>
          <w:sz w:val="32"/>
          <w:szCs w:val="32"/>
          <w:highlight w:val="none"/>
        </w:rPr>
      </w:pPr>
    </w:p>
    <w:p w14:paraId="73CA79A3">
      <w:pPr>
        <w:wordWrap w:val="0"/>
        <w:snapToGrid w:val="0"/>
        <w:spacing w:line="360" w:lineRule="auto"/>
        <w:jc w:val="center"/>
        <w:rPr>
          <w:rFonts w:hint="eastAsia" w:ascii="仿宋" w:hAnsi="仿宋" w:eastAsia="仿宋" w:cs="仿宋"/>
          <w:color w:val="auto"/>
          <w:sz w:val="24"/>
          <w:highlight w:val="none"/>
          <w:u w:val="single"/>
          <w:lang w:eastAsia="zh-CN"/>
        </w:rPr>
      </w:pPr>
      <w:r>
        <w:rPr>
          <w:rFonts w:hint="eastAsia" w:ascii="仿宋" w:hAnsi="仿宋" w:eastAsia="仿宋" w:cs="仿宋"/>
          <w:b/>
          <w:color w:val="auto"/>
          <w:kern w:val="0"/>
          <w:sz w:val="32"/>
          <w:szCs w:val="32"/>
          <w:highlight w:val="none"/>
          <w:lang w:eastAsia="zh-CN"/>
        </w:rPr>
        <w:t>承诺书</w:t>
      </w:r>
    </w:p>
    <w:p w14:paraId="2C1AB5E1">
      <w:pPr>
        <w:wordWrap w:val="0"/>
        <w:snapToGrid w:val="0"/>
        <w:spacing w:line="360" w:lineRule="auto"/>
        <w:rPr>
          <w:rFonts w:hint="eastAsia" w:ascii="仿宋" w:hAnsi="仿宋" w:eastAsia="仿宋" w:cs="仿宋"/>
          <w:color w:val="auto"/>
          <w:kern w:val="0"/>
          <w:sz w:val="24"/>
          <w:highlight w:val="none"/>
          <w:u w:val="single"/>
          <w:lang w:val="zh-CN"/>
        </w:rPr>
      </w:pPr>
    </w:p>
    <w:p w14:paraId="5C2AF760">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新昌县城市建设投资集团有限公司</w:t>
      </w:r>
      <w:r>
        <w:rPr>
          <w:rFonts w:hint="eastAsia" w:ascii="仿宋" w:hAnsi="仿宋" w:eastAsia="仿宋" w:cs="仿宋"/>
          <w:color w:val="auto"/>
          <w:kern w:val="0"/>
          <w:sz w:val="24"/>
          <w:highlight w:val="none"/>
          <w:lang w:val="zh-CN"/>
        </w:rPr>
        <w:t>：</w:t>
      </w:r>
    </w:p>
    <w:p w14:paraId="683BC6BD">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8F8D907">
      <w:pPr>
        <w:numPr>
          <w:ilvl w:val="0"/>
          <w:numId w:val="16"/>
        </w:num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lang w:val="en-US" w:eastAsia="zh-CN"/>
        </w:rPr>
        <w:t>本项目所有产品质保期从终验收合格之日起（    ）年。在质保期内的工作应包括对所有货物常规检查、调整等，质保期内的维修费用 (包括配件) 全部由我单位负责，维修点需提供足够的备品备件以适应维修需求。超过质保期的，保证零配件、备品备件供应≥10年，须承诺维修时只收部件成本费，免收服务费。</w:t>
      </w:r>
    </w:p>
    <w:p w14:paraId="03A7162A">
      <w:pPr>
        <w:numPr>
          <w:ilvl w:val="0"/>
          <w:numId w:val="16"/>
        </w:num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交货时</w:t>
      </w:r>
      <w:r>
        <w:rPr>
          <w:rFonts w:hint="eastAsia" w:ascii="仿宋" w:hAnsi="仿宋" w:eastAsia="仿宋" w:cs="仿宋"/>
          <w:color w:val="auto"/>
          <w:kern w:val="0"/>
          <w:sz w:val="24"/>
          <w:highlight w:val="none"/>
          <w:lang w:val="en-US" w:eastAsia="zh-CN"/>
        </w:rPr>
        <w:t>承诺</w:t>
      </w:r>
      <w:r>
        <w:rPr>
          <w:rFonts w:hint="eastAsia" w:ascii="仿宋" w:hAnsi="仿宋" w:eastAsia="仿宋" w:cs="仿宋"/>
          <w:color w:val="auto"/>
          <w:kern w:val="0"/>
          <w:sz w:val="24"/>
          <w:highlight w:val="none"/>
          <w:lang w:val="zh-CN"/>
        </w:rPr>
        <w:t>提供原厂质保和售后服务保证承诺书。</w:t>
      </w:r>
    </w:p>
    <w:p w14:paraId="4DE51218">
      <w:pPr>
        <w:numPr>
          <w:ilvl w:val="0"/>
          <w:numId w:val="16"/>
        </w:num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其他承诺：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A4BDDB3">
      <w:pPr>
        <w:autoSpaceDE w:val="0"/>
        <w:autoSpaceDN w:val="0"/>
        <w:spacing w:line="360" w:lineRule="auto"/>
        <w:ind w:right="1120"/>
        <w:jc w:val="right"/>
        <w:rPr>
          <w:rFonts w:hint="eastAsia" w:ascii="仿宋" w:hAnsi="仿宋" w:eastAsia="仿宋" w:cs="仿宋"/>
          <w:color w:val="auto"/>
          <w:kern w:val="0"/>
          <w:sz w:val="24"/>
          <w:highlight w:val="none"/>
          <w:lang w:val="zh-CN"/>
        </w:rPr>
      </w:pPr>
    </w:p>
    <w:p w14:paraId="50618B5C">
      <w:pPr>
        <w:snapToGrid w:val="0"/>
        <w:spacing w:line="360" w:lineRule="auto"/>
        <w:jc w:val="right"/>
        <w:rPr>
          <w:rFonts w:hint="eastAsia" w:ascii="仿宋" w:hAnsi="仿宋" w:eastAsia="仿宋" w:cs="仿宋"/>
          <w:color w:val="auto"/>
          <w:kern w:val="0"/>
          <w:sz w:val="24"/>
          <w:highlight w:val="none"/>
          <w:lang w:val="zh-CN"/>
        </w:rPr>
      </w:pPr>
    </w:p>
    <w:p w14:paraId="5E8F094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4350FF5A">
      <w:pPr>
        <w:keepNext w:val="0"/>
        <w:keepLines w:val="0"/>
        <w:wordWrap w:val="0"/>
        <w:topLinePunct/>
        <w:spacing w:line="360" w:lineRule="auto"/>
        <w:jc w:val="right"/>
        <w:outlineLvl w:val="2"/>
        <w:rPr>
          <w:rFonts w:hint="eastAsia" w:ascii="仿宋" w:hAnsi="仿宋" w:eastAsia="仿宋" w:cs="仿宋"/>
          <w:color w:val="auto"/>
          <w:kern w:val="0"/>
          <w:sz w:val="24"/>
          <w:highlight w:val="none"/>
          <w:lang w:val="zh-CN"/>
        </w:rPr>
        <w:sectPr>
          <w:pgSz w:w="11905" w:h="16838"/>
          <w:pgMar w:top="907" w:right="1247" w:bottom="907" w:left="1247" w:header="510" w:footer="510" w:gutter="0"/>
          <w:pgNumType w:fmt="decimal"/>
          <w:cols w:space="720" w:num="1"/>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B4B6034">
      <w:pPr>
        <w:keepNext w:val="0"/>
        <w:keepLines w:val="0"/>
        <w:wordWrap w:val="0"/>
        <w:topLinePunct/>
        <w:spacing w:line="360" w:lineRule="auto"/>
        <w:outlineLvl w:val="2"/>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附件十四 </w:t>
      </w:r>
      <w:r>
        <w:rPr>
          <w:rFonts w:hint="eastAsia" w:ascii="仿宋" w:hAnsi="仿宋" w:eastAsia="仿宋" w:cs="仿宋"/>
          <w:sz w:val="32"/>
          <w:szCs w:val="32"/>
          <w:highlight w:val="none"/>
        </w:rPr>
        <w:t>投标文件封面格式</w:t>
      </w:r>
    </w:p>
    <w:p w14:paraId="0A270901">
      <w:pPr>
        <w:keepNext w:val="0"/>
        <w:keepLines w:val="0"/>
        <w:wordWrap w:val="0"/>
        <w:topLinePunct/>
        <w:spacing w:line="360" w:lineRule="auto"/>
        <w:jc w:val="center"/>
        <w:rPr>
          <w:rFonts w:hint="eastAsia" w:ascii="仿宋" w:hAnsi="仿宋" w:eastAsia="仿宋" w:cs="仿宋"/>
          <w:sz w:val="28"/>
          <w:szCs w:val="28"/>
          <w:highlight w:val="none"/>
        </w:rPr>
      </w:pPr>
    </w:p>
    <w:p w14:paraId="1636112C">
      <w:pPr>
        <w:keepNext w:val="0"/>
        <w:keepLines w:val="0"/>
        <w:wordWrap w:val="0"/>
        <w:topLinePunct/>
        <w:spacing w:line="360" w:lineRule="auto"/>
        <w:jc w:val="center"/>
        <w:rPr>
          <w:rFonts w:hint="eastAsia" w:ascii="仿宋" w:hAnsi="仿宋" w:eastAsia="仿宋" w:cs="仿宋"/>
          <w:sz w:val="84"/>
          <w:highlight w:val="none"/>
        </w:rPr>
      </w:pPr>
    </w:p>
    <w:p w14:paraId="41366229">
      <w:pPr>
        <w:keepNext w:val="0"/>
        <w:keepLines w:val="0"/>
        <w:wordWrap w:val="0"/>
        <w:topLinePunct/>
        <w:spacing w:line="360" w:lineRule="auto"/>
        <w:jc w:val="center"/>
        <w:rPr>
          <w:rFonts w:hint="eastAsia" w:ascii="仿宋" w:hAnsi="仿宋" w:eastAsia="仿宋" w:cs="仿宋"/>
          <w:sz w:val="84"/>
          <w:highlight w:val="none"/>
        </w:rPr>
      </w:pPr>
      <w:r>
        <w:rPr>
          <w:rFonts w:hint="eastAsia" w:ascii="仿宋" w:hAnsi="仿宋" w:eastAsia="仿宋" w:cs="仿宋"/>
          <w:sz w:val="84"/>
          <w:highlight w:val="none"/>
        </w:rPr>
        <w:t>投标文件</w:t>
      </w:r>
    </w:p>
    <w:p w14:paraId="08A0B001">
      <w:pPr>
        <w:keepNext w:val="0"/>
        <w:keepLines w:val="0"/>
        <w:wordWrap w:val="0"/>
        <w:topLinePunct/>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w:t>
      </w:r>
      <w:r>
        <w:rPr>
          <w:rFonts w:hint="eastAsia" w:ascii="仿宋" w:hAnsi="仿宋" w:eastAsia="仿宋" w:cs="仿宋"/>
          <w:b/>
          <w:sz w:val="36"/>
          <w:szCs w:val="36"/>
          <w:highlight w:val="none"/>
        </w:rPr>
        <w:sym w:font="Wingdings 2" w:char="F0A3"/>
      </w:r>
      <w:r>
        <w:rPr>
          <w:rFonts w:hint="eastAsia" w:ascii="仿宋" w:hAnsi="仿宋" w:eastAsia="仿宋" w:cs="仿宋"/>
          <w:b/>
          <w:sz w:val="36"/>
          <w:szCs w:val="36"/>
          <w:highlight w:val="none"/>
        </w:rPr>
        <w:t>资格审查文件</w:t>
      </w:r>
      <w:r>
        <w:rPr>
          <w:rFonts w:hint="eastAsia" w:ascii="仿宋" w:hAnsi="仿宋" w:eastAsia="仿宋" w:cs="仿宋"/>
          <w:b/>
          <w:sz w:val="36"/>
          <w:szCs w:val="36"/>
          <w:highlight w:val="none"/>
        </w:rPr>
        <w:sym w:font="Wingdings 2" w:char="F0A3"/>
      </w:r>
      <w:r>
        <w:rPr>
          <w:rFonts w:hint="eastAsia" w:ascii="仿宋" w:hAnsi="仿宋" w:eastAsia="仿宋" w:cs="仿宋"/>
          <w:b/>
          <w:sz w:val="36"/>
          <w:szCs w:val="36"/>
          <w:highlight w:val="none"/>
        </w:rPr>
        <w:t>资信技术文件</w:t>
      </w:r>
      <w:r>
        <w:rPr>
          <w:rFonts w:hint="eastAsia" w:ascii="仿宋" w:hAnsi="仿宋" w:eastAsia="仿宋" w:cs="仿宋"/>
          <w:b/>
          <w:sz w:val="36"/>
          <w:szCs w:val="36"/>
          <w:highlight w:val="none"/>
        </w:rPr>
        <w:sym w:font="Wingdings 2" w:char="F0A3"/>
      </w:r>
      <w:r>
        <w:rPr>
          <w:rFonts w:hint="eastAsia" w:ascii="仿宋" w:hAnsi="仿宋" w:eastAsia="仿宋" w:cs="仿宋"/>
          <w:b/>
          <w:sz w:val="36"/>
          <w:szCs w:val="36"/>
          <w:highlight w:val="none"/>
        </w:rPr>
        <w:t>报价文件）</w:t>
      </w:r>
    </w:p>
    <w:p w14:paraId="7C92C84A">
      <w:pPr>
        <w:keepNext w:val="0"/>
        <w:keepLines w:val="0"/>
        <w:wordWrap w:val="0"/>
        <w:topLinePunct/>
        <w:spacing w:line="360" w:lineRule="auto"/>
        <w:rPr>
          <w:rFonts w:hint="eastAsia" w:ascii="仿宋" w:hAnsi="仿宋" w:eastAsia="仿宋" w:cs="仿宋"/>
          <w:sz w:val="48"/>
          <w:highlight w:val="none"/>
        </w:rPr>
      </w:pPr>
    </w:p>
    <w:p w14:paraId="4AE20751">
      <w:pPr>
        <w:keepNext w:val="0"/>
        <w:keepLines w:val="0"/>
        <w:wordWrap w:val="0"/>
        <w:topLinePunct/>
        <w:spacing w:line="360" w:lineRule="auto"/>
        <w:ind w:firstLine="0" w:firstLineChars="0"/>
        <w:jc w:val="center"/>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     </w:t>
      </w:r>
      <w:r>
        <w:rPr>
          <w:rFonts w:hint="eastAsia" w:ascii="仿宋" w:hAnsi="仿宋" w:eastAsia="仿宋" w:cs="仿宋"/>
          <w:sz w:val="28"/>
          <w:highlight w:val="none"/>
        </w:rPr>
        <w:t>项目名称：</w:t>
      </w:r>
      <w:r>
        <w:rPr>
          <w:rFonts w:hint="eastAsia" w:ascii="仿宋" w:hAnsi="仿宋" w:eastAsia="仿宋" w:cs="仿宋"/>
          <w:sz w:val="28"/>
          <w:highlight w:val="none"/>
          <w:lang w:eastAsia="zh-CN"/>
        </w:rPr>
        <w:t>新昌县人民医院迁建工程-窗帘采购项目</w:t>
      </w:r>
    </w:p>
    <w:p w14:paraId="7AF722E2">
      <w:pPr>
        <w:keepNext w:val="0"/>
        <w:keepLines w:val="0"/>
        <w:wordWrap w:val="0"/>
        <w:topLinePunct/>
        <w:spacing w:line="360" w:lineRule="auto"/>
        <w:ind w:firstLine="1960" w:firstLineChars="700"/>
        <w:rPr>
          <w:rFonts w:hint="eastAsia" w:ascii="仿宋" w:hAnsi="仿宋" w:eastAsia="仿宋" w:cs="仿宋"/>
          <w:sz w:val="28"/>
          <w:highlight w:val="none"/>
          <w:lang w:eastAsia="zh-CN"/>
        </w:rPr>
      </w:pPr>
      <w:r>
        <w:rPr>
          <w:rFonts w:hint="eastAsia" w:ascii="仿宋" w:hAnsi="仿宋" w:eastAsia="仿宋" w:cs="仿宋"/>
          <w:sz w:val="28"/>
          <w:highlight w:val="none"/>
        </w:rPr>
        <w:t>项目编号：</w:t>
      </w:r>
      <w:r>
        <w:rPr>
          <w:rFonts w:hint="eastAsia" w:ascii="仿宋" w:hAnsi="仿宋" w:eastAsia="仿宋" w:cs="仿宋"/>
          <w:sz w:val="28"/>
          <w:highlight w:val="none"/>
          <w:lang w:eastAsia="zh-CN"/>
        </w:rPr>
        <w:t>GJXC-2025-24</w:t>
      </w:r>
    </w:p>
    <w:p w14:paraId="5A7BDED9">
      <w:pPr>
        <w:keepNext w:val="0"/>
        <w:keepLines w:val="0"/>
        <w:wordWrap w:val="0"/>
        <w:topLinePunct/>
        <w:spacing w:line="360" w:lineRule="auto"/>
        <w:ind w:firstLine="1960" w:firstLineChars="700"/>
        <w:rPr>
          <w:rFonts w:hint="eastAsia" w:ascii="仿宋" w:hAnsi="仿宋" w:eastAsia="仿宋" w:cs="仿宋"/>
          <w:sz w:val="28"/>
          <w:highlight w:val="none"/>
        </w:rPr>
      </w:pPr>
    </w:p>
    <w:p w14:paraId="6D262320">
      <w:pPr>
        <w:keepNext w:val="0"/>
        <w:keepLines w:val="0"/>
        <w:wordWrap w:val="0"/>
        <w:topLinePunct/>
        <w:spacing w:line="360" w:lineRule="auto"/>
        <w:rPr>
          <w:rFonts w:hint="eastAsia" w:ascii="仿宋" w:hAnsi="仿宋" w:eastAsia="仿宋" w:cs="仿宋"/>
          <w:sz w:val="28"/>
          <w:highlight w:val="none"/>
        </w:rPr>
      </w:pPr>
    </w:p>
    <w:p w14:paraId="4F2BCC15">
      <w:pPr>
        <w:keepNext w:val="0"/>
        <w:keepLines w:val="0"/>
        <w:wordWrap w:val="0"/>
        <w:topLinePunct/>
        <w:spacing w:line="360" w:lineRule="auto"/>
        <w:ind w:firstLine="1960" w:firstLineChars="700"/>
        <w:rPr>
          <w:rFonts w:hint="eastAsia" w:ascii="仿宋" w:hAnsi="仿宋" w:eastAsia="仿宋" w:cs="仿宋"/>
          <w:sz w:val="28"/>
          <w:highlight w:val="none"/>
        </w:rPr>
      </w:pPr>
    </w:p>
    <w:p w14:paraId="2C8C7353">
      <w:pPr>
        <w:keepNext w:val="0"/>
        <w:keepLines w:val="0"/>
        <w:wordWrap w:val="0"/>
        <w:topLinePunct/>
        <w:spacing w:line="360" w:lineRule="auto"/>
        <w:ind w:firstLine="1960" w:firstLineChars="700"/>
        <w:rPr>
          <w:rFonts w:hint="eastAsia" w:ascii="仿宋" w:hAnsi="仿宋" w:eastAsia="仿宋" w:cs="仿宋"/>
          <w:sz w:val="28"/>
          <w:highlight w:val="none"/>
        </w:rPr>
      </w:pPr>
    </w:p>
    <w:p w14:paraId="2E55E4F5">
      <w:pPr>
        <w:keepNext w:val="0"/>
        <w:keepLines w:val="0"/>
        <w:wordWrap w:val="0"/>
        <w:topLinePunct/>
        <w:spacing w:line="360" w:lineRule="auto"/>
        <w:ind w:firstLine="1960" w:firstLineChars="700"/>
        <w:rPr>
          <w:rFonts w:hint="eastAsia" w:ascii="仿宋" w:hAnsi="仿宋" w:eastAsia="仿宋" w:cs="仿宋"/>
          <w:sz w:val="28"/>
          <w:highlight w:val="none"/>
        </w:rPr>
      </w:pPr>
    </w:p>
    <w:p w14:paraId="581816FC">
      <w:pPr>
        <w:keepNext w:val="0"/>
        <w:keepLines w:val="0"/>
        <w:wordWrap w:val="0"/>
        <w:topLinePunct/>
        <w:spacing w:line="360" w:lineRule="auto"/>
        <w:rPr>
          <w:rFonts w:hint="eastAsia" w:ascii="仿宋" w:hAnsi="仿宋" w:eastAsia="仿宋" w:cs="仿宋"/>
          <w:highlight w:val="none"/>
        </w:rPr>
      </w:pPr>
    </w:p>
    <w:p w14:paraId="10047EE1">
      <w:pPr>
        <w:pStyle w:val="14"/>
        <w:snapToGrid w:val="0"/>
        <w:spacing w:before="50" w:after="50" w:line="360" w:lineRule="auto"/>
        <w:ind w:firstLine="1260" w:firstLineChars="45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供应商名称：</w:t>
      </w:r>
    </w:p>
    <w:p w14:paraId="32B41454">
      <w:pPr>
        <w:pStyle w:val="14"/>
        <w:snapToGrid w:val="0"/>
        <w:spacing w:before="50" w:after="50" w:line="360" w:lineRule="auto"/>
        <w:ind w:firstLine="1260" w:firstLineChars="45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供应商地址：</w:t>
      </w:r>
    </w:p>
    <w:p w14:paraId="66948A8D">
      <w:pPr>
        <w:keepNext w:val="0"/>
        <w:keepLines w:val="0"/>
        <w:wordWrap w:val="0"/>
        <w:topLinePunct/>
        <w:spacing w:line="360" w:lineRule="auto"/>
        <w:ind w:firstLine="1960" w:firstLineChars="700"/>
        <w:rPr>
          <w:rFonts w:hint="eastAsia" w:ascii="仿宋" w:hAnsi="仿宋" w:eastAsia="仿宋" w:cs="仿宋"/>
          <w:sz w:val="28"/>
          <w:highlight w:val="none"/>
        </w:rPr>
      </w:pPr>
    </w:p>
    <w:p w14:paraId="0C8814A9">
      <w:pPr>
        <w:keepNext w:val="0"/>
        <w:keepLines w:val="0"/>
        <w:wordWrap w:val="0"/>
        <w:topLinePunct/>
        <w:spacing w:line="360" w:lineRule="auto"/>
        <w:ind w:firstLine="1960" w:firstLineChars="700"/>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 xml:space="preserve"> </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lang w:val="en-US" w:eastAsia="zh-CN"/>
        </w:rPr>
        <w:t xml:space="preserve">  </w:t>
      </w:r>
      <w:r>
        <w:rPr>
          <w:rFonts w:hint="eastAsia" w:ascii="仿宋" w:hAnsi="仿宋" w:eastAsia="仿宋" w:cs="仿宋"/>
          <w:color w:val="auto"/>
          <w:sz w:val="28"/>
          <w:highlight w:val="none"/>
        </w:rPr>
        <w:t>月</w:t>
      </w:r>
      <w:r>
        <w:rPr>
          <w:rFonts w:hint="eastAsia" w:ascii="仿宋" w:hAnsi="仿宋" w:eastAsia="仿宋" w:cs="仿宋"/>
          <w:color w:val="auto"/>
          <w:sz w:val="28"/>
          <w:highlight w:val="none"/>
          <w:lang w:val="en-US" w:eastAsia="zh-CN"/>
        </w:rPr>
        <w:t xml:space="preserve">  </w:t>
      </w:r>
      <w:r>
        <w:rPr>
          <w:rFonts w:hint="eastAsia" w:ascii="仿宋" w:hAnsi="仿宋" w:eastAsia="仿宋" w:cs="仿宋"/>
          <w:color w:val="auto"/>
          <w:sz w:val="28"/>
          <w:highlight w:val="none"/>
        </w:rPr>
        <w:t>日</w:t>
      </w:r>
      <w:bookmarkStart w:id="174" w:name="_Toc119321166"/>
      <w:bookmarkStart w:id="175" w:name="_Toc49329276"/>
      <w:bookmarkStart w:id="176" w:name="_Toc119321165"/>
    </w:p>
    <w:p w14:paraId="27FF68FB">
      <w:pPr>
        <w:pStyle w:val="181"/>
        <w:keepNext w:val="0"/>
        <w:keepLines w:val="0"/>
        <w:wordWrap w:val="0"/>
        <w:topLinePunct/>
        <w:rPr>
          <w:rFonts w:hint="eastAsia" w:ascii="仿宋" w:hAnsi="仿宋" w:eastAsia="仿宋" w:cs="仿宋"/>
          <w:color w:val="auto"/>
          <w:sz w:val="30"/>
          <w:szCs w:val="30"/>
          <w:highlight w:val="none"/>
          <w:lang w:val="en-US" w:eastAsia="zh-CN"/>
        </w:rPr>
      </w:pPr>
      <w:r>
        <w:rPr>
          <w:rFonts w:hint="eastAsia" w:ascii="仿宋" w:hAnsi="仿宋" w:eastAsia="仿宋" w:cs="仿宋"/>
          <w:sz w:val="28"/>
          <w:highlight w:val="none"/>
        </w:rPr>
        <w:br w:type="page"/>
      </w:r>
      <w:bookmarkEnd w:id="174"/>
      <w:bookmarkEnd w:id="175"/>
      <w:bookmarkEnd w:id="176"/>
      <w:bookmarkStart w:id="177" w:name="_Toc123"/>
      <w:bookmarkStart w:id="178" w:name="_Toc7099"/>
      <w:bookmarkStart w:id="179" w:name="_Toc8019"/>
      <w:bookmarkStart w:id="180" w:name="_Toc79135041"/>
      <w:bookmarkStart w:id="181" w:name="_Toc14989"/>
      <w:bookmarkStart w:id="182" w:name="_Toc10697"/>
      <w:bookmarkStart w:id="183" w:name="_Toc13459"/>
      <w:bookmarkStart w:id="184" w:name="_Toc19696"/>
      <w:bookmarkStart w:id="185" w:name="_Toc18618"/>
      <w:bookmarkStart w:id="186" w:name="_Toc21939"/>
      <w:bookmarkStart w:id="187" w:name="_Toc26253"/>
      <w:bookmarkStart w:id="188" w:name="_Toc20093"/>
      <w:bookmarkStart w:id="189" w:name="_Toc709"/>
      <w:bookmarkStart w:id="190" w:name="_Toc20825"/>
      <w:bookmarkStart w:id="191" w:name="_Toc15692"/>
      <w:r>
        <w:rPr>
          <w:rFonts w:hint="eastAsia" w:ascii="仿宋" w:hAnsi="仿宋" w:eastAsia="仿宋" w:cs="仿宋"/>
          <w:color w:val="auto"/>
          <w:highlight w:val="none"/>
        </w:rPr>
        <w:t>第六部分</w:t>
      </w:r>
      <w:r>
        <w:rPr>
          <w:rFonts w:hint="eastAsia" w:ascii="仿宋" w:hAnsi="仿宋" w:eastAsia="仿宋" w:cs="仿宋"/>
          <w:color w:val="auto"/>
          <w:highlight w:val="none"/>
          <w:lang w:val="en-US" w:eastAsia="zh-CN"/>
        </w:rPr>
        <w:t xml:space="preserve"> </w:t>
      </w:r>
      <w:bookmarkEnd w:id="177"/>
      <w:bookmarkEnd w:id="178"/>
      <w:bookmarkEnd w:id="179"/>
      <w:bookmarkEnd w:id="180"/>
      <w:bookmarkEnd w:id="181"/>
      <w:bookmarkEnd w:id="182"/>
      <w:bookmarkEnd w:id="183"/>
      <w:bookmarkEnd w:id="184"/>
      <w:bookmarkEnd w:id="185"/>
      <w:bookmarkEnd w:id="186"/>
      <w:r>
        <w:rPr>
          <w:rFonts w:hint="eastAsia" w:ascii="仿宋" w:hAnsi="仿宋" w:eastAsia="仿宋" w:cs="仿宋"/>
          <w:color w:val="auto"/>
          <w:highlight w:val="none"/>
          <w:lang w:val="en-US" w:eastAsia="zh-CN"/>
        </w:rPr>
        <w:t xml:space="preserve"> 评审办法</w:t>
      </w:r>
      <w:bookmarkEnd w:id="187"/>
      <w:bookmarkEnd w:id="188"/>
      <w:bookmarkEnd w:id="189"/>
      <w:bookmarkEnd w:id="190"/>
      <w:bookmarkEnd w:id="191"/>
    </w:p>
    <w:p w14:paraId="117B3DEA">
      <w:pPr>
        <w:pStyle w:val="3"/>
        <w:keepLines w:val="0"/>
        <w:numPr>
          <w:ilvl w:val="255"/>
          <w:numId w:val="0"/>
        </w:numPr>
        <w:spacing w:before="0" w:after="0" w:line="400" w:lineRule="exact"/>
        <w:rPr>
          <w:rFonts w:hint="eastAsia" w:ascii="仿宋" w:hAnsi="仿宋" w:eastAsia="仿宋" w:cs="仿宋"/>
          <w:b/>
          <w:bCs/>
          <w:sz w:val="24"/>
          <w:szCs w:val="24"/>
          <w:highlight w:val="none"/>
        </w:rPr>
      </w:pPr>
      <w:bookmarkStart w:id="192" w:name="_Toc27636"/>
      <w:bookmarkStart w:id="193" w:name="_Toc21620"/>
      <w:bookmarkStart w:id="194" w:name="_Toc13265"/>
      <w:bookmarkStart w:id="195" w:name="_Toc11705"/>
      <w:bookmarkStart w:id="196" w:name="_Toc2439"/>
      <w:bookmarkStart w:id="197" w:name="_Toc5532"/>
      <w:bookmarkStart w:id="198" w:name="_Toc26309"/>
      <w:bookmarkStart w:id="199" w:name="_Toc21202"/>
      <w:bookmarkStart w:id="200" w:name="_Toc9767"/>
      <w:bookmarkStart w:id="201" w:name="_Toc17670"/>
      <w:bookmarkStart w:id="202" w:name="_Toc16381"/>
      <w:bookmarkStart w:id="203" w:name="_Toc20420"/>
      <w:bookmarkStart w:id="204" w:name="_Toc2974"/>
      <w:bookmarkStart w:id="205" w:name="_Toc5576"/>
      <w:bookmarkStart w:id="206" w:name="_Toc27521"/>
      <w:bookmarkStart w:id="207" w:name="_Toc10843"/>
      <w:bookmarkStart w:id="208" w:name="_Toc8409"/>
      <w:bookmarkStart w:id="209" w:name="_Toc23624"/>
      <w:bookmarkStart w:id="210" w:name="_Toc9584"/>
      <w:bookmarkStart w:id="211" w:name="_Toc26902"/>
      <w:bookmarkStart w:id="212" w:name="_Toc21144"/>
      <w:bookmarkStart w:id="213" w:name="_Toc3561"/>
      <w:bookmarkStart w:id="214" w:name="_Toc32193"/>
      <w:bookmarkStart w:id="215" w:name="_Toc25785"/>
      <w:bookmarkStart w:id="216" w:name="_Toc15317"/>
      <w:bookmarkStart w:id="217" w:name="_Toc24792"/>
      <w:bookmarkStart w:id="218" w:name="_Toc4580"/>
      <w:bookmarkStart w:id="219" w:name="_Toc24430"/>
      <w:bookmarkStart w:id="220" w:name="_Toc28742"/>
      <w:bookmarkStart w:id="221" w:name="_Toc30119"/>
      <w:bookmarkStart w:id="222" w:name="_Toc6504"/>
      <w:bookmarkStart w:id="223" w:name="_Toc19920"/>
      <w:bookmarkStart w:id="224" w:name="_Toc20887"/>
      <w:bookmarkStart w:id="225" w:name="_Toc3250"/>
      <w:bookmarkStart w:id="226" w:name="_Toc9427"/>
      <w:bookmarkStart w:id="227" w:name="_Toc26839"/>
      <w:bookmarkStart w:id="228" w:name="_Toc20956"/>
      <w:bookmarkStart w:id="229" w:name="_Toc4411"/>
      <w:bookmarkStart w:id="230" w:name="_Toc27841"/>
      <w:bookmarkStart w:id="231" w:name="_Toc15128"/>
      <w:bookmarkStart w:id="232" w:name="_Toc8261"/>
      <w:bookmarkStart w:id="233" w:name="_Toc19941"/>
      <w:bookmarkStart w:id="234" w:name="_Toc23112"/>
      <w:bookmarkStart w:id="235" w:name="_Toc27702"/>
      <w:bookmarkStart w:id="236" w:name="_Toc9073"/>
      <w:bookmarkStart w:id="237" w:name="_Toc31653"/>
      <w:r>
        <w:rPr>
          <w:rFonts w:hint="eastAsia" w:ascii="仿宋" w:hAnsi="仿宋" w:eastAsia="仿宋" w:cs="仿宋"/>
          <w:b/>
          <w:bCs/>
          <w:sz w:val="24"/>
          <w:szCs w:val="24"/>
          <w:highlight w:val="none"/>
        </w:rPr>
        <w:t>一、总则</w:t>
      </w:r>
    </w:p>
    <w:p w14:paraId="1DDF3F3A">
      <w:pPr>
        <w:spacing w:line="400" w:lineRule="exact"/>
        <w:ind w:left="479" w:leftChars="228"/>
        <w:rPr>
          <w:rFonts w:hint="eastAsia" w:ascii="仿宋" w:hAnsi="仿宋" w:eastAsia="仿宋" w:cs="仿宋"/>
          <w:sz w:val="24"/>
          <w:szCs w:val="24"/>
          <w:highlight w:val="none"/>
        </w:rPr>
      </w:pPr>
      <w:r>
        <w:rPr>
          <w:rFonts w:hint="eastAsia" w:ascii="仿宋" w:hAnsi="仿宋" w:eastAsia="仿宋" w:cs="仿宋"/>
          <w:sz w:val="24"/>
          <w:szCs w:val="24"/>
          <w:highlight w:val="none"/>
        </w:rPr>
        <w:t>1.本项目评审办法是综合评分法。</w:t>
      </w:r>
    </w:p>
    <w:p w14:paraId="5361064A">
      <w:pPr>
        <w:spacing w:line="400" w:lineRule="exact"/>
        <w:ind w:left="479" w:leftChars="228"/>
        <w:rPr>
          <w:rFonts w:hint="eastAsia" w:ascii="仿宋" w:hAnsi="仿宋" w:eastAsia="仿宋" w:cs="仿宋"/>
          <w:bCs/>
          <w:sz w:val="24"/>
          <w:szCs w:val="24"/>
          <w:highlight w:val="none"/>
        </w:rPr>
      </w:pPr>
      <w:r>
        <w:rPr>
          <w:rFonts w:hint="eastAsia" w:ascii="仿宋" w:hAnsi="仿宋" w:eastAsia="仿宋" w:cs="仿宋"/>
          <w:sz w:val="24"/>
          <w:szCs w:val="24"/>
          <w:highlight w:val="none"/>
        </w:rPr>
        <w:t>总分为</w:t>
      </w:r>
      <w:r>
        <w:rPr>
          <w:rFonts w:hint="eastAsia" w:ascii="仿宋" w:hAnsi="仿宋" w:eastAsia="仿宋" w:cs="仿宋"/>
          <w:sz w:val="24"/>
          <w:szCs w:val="24"/>
          <w:highlight w:val="none"/>
          <w:u w:val="single"/>
        </w:rPr>
        <w:t>100</w:t>
      </w:r>
      <w:r>
        <w:rPr>
          <w:rFonts w:hint="eastAsia" w:ascii="仿宋" w:hAnsi="仿宋" w:eastAsia="仿宋" w:cs="仿宋"/>
          <w:sz w:val="24"/>
          <w:szCs w:val="24"/>
          <w:highlight w:val="none"/>
        </w:rPr>
        <w:t>分，其中价格分</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0</w:t>
      </w:r>
      <w:r>
        <w:rPr>
          <w:rFonts w:hint="eastAsia" w:ascii="仿宋" w:hAnsi="仿宋" w:eastAsia="仿宋" w:cs="仿宋"/>
          <w:sz w:val="24"/>
          <w:szCs w:val="24"/>
          <w:highlight w:val="none"/>
        </w:rPr>
        <w:t>分、资信技术分</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u w:val="single"/>
        </w:rPr>
        <w:t>0</w:t>
      </w:r>
      <w:r>
        <w:rPr>
          <w:rFonts w:hint="eastAsia" w:ascii="仿宋" w:hAnsi="仿宋" w:eastAsia="仿宋" w:cs="仿宋"/>
          <w:sz w:val="24"/>
          <w:szCs w:val="24"/>
          <w:highlight w:val="none"/>
        </w:rPr>
        <w:t>分。</w:t>
      </w:r>
    </w:p>
    <w:p w14:paraId="32083A4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投标人资信技术分=评审小组所有成员评分合计数/评审小组人数</w:t>
      </w:r>
    </w:p>
    <w:p w14:paraId="2F0353BF">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投标人评审</w:t>
      </w:r>
      <w:r>
        <w:rPr>
          <w:rFonts w:hint="eastAsia" w:ascii="仿宋" w:hAnsi="仿宋" w:eastAsia="仿宋" w:cs="仿宋"/>
          <w:bCs/>
          <w:sz w:val="24"/>
          <w:szCs w:val="24"/>
          <w:highlight w:val="none"/>
        </w:rPr>
        <w:t>综合得分=</w:t>
      </w:r>
      <w:r>
        <w:rPr>
          <w:rFonts w:hint="eastAsia" w:ascii="仿宋" w:hAnsi="仿宋" w:eastAsia="仿宋" w:cs="仿宋"/>
          <w:bCs/>
          <w:sz w:val="24"/>
          <w:szCs w:val="24"/>
          <w:highlight w:val="none"/>
          <w:lang w:eastAsia="zh-CN"/>
        </w:rPr>
        <w:t>报价得</w:t>
      </w:r>
      <w:r>
        <w:rPr>
          <w:rFonts w:hint="eastAsia" w:ascii="仿宋" w:hAnsi="仿宋" w:eastAsia="仿宋" w:cs="仿宋"/>
          <w:bCs/>
          <w:sz w:val="24"/>
          <w:szCs w:val="24"/>
          <w:highlight w:val="none"/>
        </w:rPr>
        <w:t>分+资信技术</w:t>
      </w:r>
      <w:r>
        <w:rPr>
          <w:rFonts w:hint="eastAsia" w:ascii="仿宋" w:hAnsi="仿宋" w:eastAsia="仿宋" w:cs="仿宋"/>
          <w:bCs/>
          <w:sz w:val="24"/>
          <w:szCs w:val="24"/>
          <w:highlight w:val="none"/>
          <w:lang w:eastAsia="zh-CN"/>
        </w:rPr>
        <w:t>得</w:t>
      </w:r>
      <w:r>
        <w:rPr>
          <w:rFonts w:hint="eastAsia" w:ascii="仿宋" w:hAnsi="仿宋" w:eastAsia="仿宋" w:cs="仿宋"/>
          <w:bCs/>
          <w:sz w:val="24"/>
          <w:szCs w:val="24"/>
          <w:highlight w:val="none"/>
        </w:rPr>
        <w:t>分</w:t>
      </w:r>
    </w:p>
    <w:p w14:paraId="7FC9D71E">
      <w:pPr>
        <w:spacing w:line="400" w:lineRule="exact"/>
        <w:ind w:left="479" w:leftChars="228"/>
        <w:rPr>
          <w:rFonts w:hint="eastAsia" w:ascii="仿宋" w:hAnsi="仿宋" w:eastAsia="仿宋" w:cs="仿宋"/>
          <w:bCs/>
          <w:sz w:val="24"/>
          <w:szCs w:val="24"/>
          <w:highlight w:val="none"/>
        </w:rPr>
      </w:pPr>
      <w:r>
        <w:rPr>
          <w:rFonts w:hint="eastAsia" w:ascii="仿宋" w:hAnsi="仿宋" w:eastAsia="仿宋" w:cs="仿宋"/>
          <w:bCs/>
          <w:sz w:val="24"/>
          <w:szCs w:val="24"/>
          <w:highlight w:val="none"/>
        </w:rPr>
        <w:t>报价是中标的一个重要因素，但最低报价不是中标的唯一依据。评分采用四舍五入法，</w:t>
      </w:r>
    </w:p>
    <w:p w14:paraId="356E5593">
      <w:pPr>
        <w:spacing w:line="4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并保留小数2位。</w:t>
      </w:r>
    </w:p>
    <w:p w14:paraId="4D4F9C87">
      <w:pPr>
        <w:pStyle w:val="45"/>
        <w:spacing w:line="400" w:lineRule="exact"/>
        <w:ind w:left="0" w:leftChars="0" w:firstLine="480"/>
        <w:rPr>
          <w:rFonts w:hint="eastAsia" w:ascii="仿宋" w:hAnsi="仿宋" w:eastAsia="仿宋" w:cs="仿宋"/>
          <w:highlight w:val="none"/>
          <w:lang w:val="en-US" w:eastAsia="zh-CN"/>
        </w:rPr>
      </w:pPr>
      <w:r>
        <w:rPr>
          <w:rFonts w:hint="eastAsia" w:ascii="仿宋" w:hAnsi="仿宋" w:eastAsia="仿宋" w:cs="仿宋"/>
          <w:kern w:val="2"/>
          <w:highlight w:val="none"/>
        </w:rPr>
        <w:t>2.经评标委员会评审后有效投标人不足3名时，则终止评审，本次招标失败。</w:t>
      </w:r>
    </w:p>
    <w:p w14:paraId="51E18BE1">
      <w:pPr>
        <w:pStyle w:val="3"/>
        <w:keepLines w:val="0"/>
        <w:numPr>
          <w:ilvl w:val="255"/>
          <w:numId w:val="0"/>
        </w:numPr>
        <w:spacing w:before="0" w:after="0"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二、评标程序</w:t>
      </w:r>
    </w:p>
    <w:p w14:paraId="5F8987C1">
      <w:pPr>
        <w:widowControl/>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（一）开启评标场地的录音录像采集设备，并确保其正常运行。 </w:t>
      </w:r>
    </w:p>
    <w:p w14:paraId="3E6186F1">
      <w:pPr>
        <w:widowControl/>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（二）核验出席评标活动现场的评标委员会各成员和相关监督人员身份，并要求其分别登记、签到，按规定统一收缴、保存其通讯工具，无关人员一律拒绝其进入评标现场。 </w:t>
      </w:r>
    </w:p>
    <w:p w14:paraId="4065FD8E">
      <w:pPr>
        <w:widowControl/>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（三）介绍评标现场的人员情况，宣布评标工作纪律，告知评标人员应当回避情形；组织推选评标委员会组长。 </w:t>
      </w:r>
    </w:p>
    <w:p w14:paraId="548F1121">
      <w:pPr>
        <w:widowControl/>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（四）通报报名参加本项目采购的供应商名单及资格预审情况（如有），宣读最终提交投标文件的供应商名单，组织评标委员会各位成员签订《评标人员廉洁自律承诺书》。 </w:t>
      </w:r>
    </w:p>
    <w:p w14:paraId="34B28277">
      <w:pPr>
        <w:widowControl/>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五）根据需要简要介绍招标文件（含补充文件）制定及质疑答复情况、按书面陈述项目基本情况及评标工作需注意事项等，让评标专家尽快知悉和了解评标项目的采购需求、评标依据、评标标准、工作程序等；提醒评标委员会对客观评标项目应统一评标依据和评标标准，对主观评标项目应确定大致的评标要求和评标尺度；对评标人员提出的有关招标文件、投标文件的问题进行必要的说明、解释或讨论。 </w:t>
      </w:r>
    </w:p>
    <w:p w14:paraId="5EE55140">
      <w:pPr>
        <w:widowControl/>
        <w:numPr>
          <w:ilvl w:val="0"/>
          <w:numId w:val="17"/>
        </w:numPr>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评标委员会组长组织评标人员独立评标，首先进行资格审查和符合性审查，审查通过的进入投标文件详细评审。</w:t>
      </w:r>
    </w:p>
    <w:p w14:paraId="6209CFAD">
      <w:pPr>
        <w:widowControl/>
        <w:numPr>
          <w:ilvl w:val="0"/>
          <w:numId w:val="18"/>
        </w:numPr>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评标委员会对拟认定为投标文件无效、供应商资格不符合的，应组织相关投标人代表进行陈述、澄清或申辩；</w:t>
      </w:r>
    </w:p>
    <w:p w14:paraId="61397C93">
      <w:pPr>
        <w:widowControl/>
        <w:numPr>
          <w:ilvl w:val="0"/>
          <w:numId w:val="18"/>
        </w:numPr>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代理机构可协助评标委员会组长对打分结果进行校对、核对并汇总统计；对明显畸高、畸低的评分（其总评分偏离平均分30%以上的），评标委员会组长应提醒相关评标人员进行复核或书面说明理由，评标人员拒绝说明的，由现场监督员据实记录；</w:t>
      </w:r>
    </w:p>
    <w:p w14:paraId="3CD9427A">
      <w:pPr>
        <w:widowControl/>
        <w:numPr>
          <w:ilvl w:val="0"/>
          <w:numId w:val="18"/>
        </w:numPr>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评标人员的评标、修改记录应保留原件，随项目其他资料一并存档。 </w:t>
      </w:r>
    </w:p>
    <w:p w14:paraId="75F9DBCA">
      <w:pPr>
        <w:widowControl/>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（七）做好评标现场相关记录，协助评标委员会组长做好评标报告起草、有关内容电脑文字录入等工作，并要求评标委员会各成员签字确认。 </w:t>
      </w:r>
    </w:p>
    <w:p w14:paraId="7B14AC5B">
      <w:pPr>
        <w:widowControl/>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（八）评标结束后，采购组织机构应对评标委员会各成员的专业水平、职业道德、遵纪守法等情况进行评价；同时按规定向评标专家发放评标费，并交还评标人员及其他现场相关人员的通讯工具。</w:t>
      </w:r>
    </w:p>
    <w:p w14:paraId="0AF3FAD4">
      <w:pPr>
        <w:pStyle w:val="3"/>
        <w:keepLines w:val="0"/>
        <w:numPr>
          <w:ilvl w:val="255"/>
          <w:numId w:val="0"/>
        </w:numPr>
        <w:spacing w:before="0" w:after="0"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三、投标文件初审</w:t>
      </w:r>
    </w:p>
    <w:p w14:paraId="7FCD94EE">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投标文件初审包括投标人资格审查和投标文件符合性审查。如发现下列情形之一的，初步评审不予通过，否决其投标：</w:t>
      </w:r>
    </w:p>
    <w:p w14:paraId="4D91FA1D">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1）投标资格不满足要求的；</w:t>
      </w:r>
    </w:p>
    <w:p w14:paraId="43FCDFC4">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2）投标报价超过最高限价或未按要求报价的；</w:t>
      </w:r>
    </w:p>
    <w:p w14:paraId="4AE2346B">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3）投标人未按照招标文件的要求提交投标保证金的；</w:t>
      </w:r>
    </w:p>
    <w:p w14:paraId="38FAECF6">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4）组成联合体投标的，投标文件未附联合体各方共同投标协议的；（本项目不允许）</w:t>
      </w:r>
    </w:p>
    <w:p w14:paraId="1AFCE309">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5）投标文件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采购文件</w:t>
      </w:r>
      <w:r>
        <w:rPr>
          <w:rFonts w:hint="eastAsia" w:ascii="仿宋" w:hAnsi="仿宋" w:eastAsia="仿宋" w:cs="仿宋"/>
          <w:color w:val="auto"/>
          <w:kern w:val="0"/>
          <w:sz w:val="24"/>
          <w:highlight w:val="none"/>
        </w:rPr>
        <w:t>要求签署或盖章的、供应商仅提交备份</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，没有在电子交易平台传输递交</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的</w:t>
      </w:r>
      <w:r>
        <w:rPr>
          <w:rFonts w:hint="eastAsia" w:ascii="仿宋" w:hAnsi="仿宋" w:eastAsia="仿宋" w:cs="仿宋"/>
          <w:bCs/>
          <w:sz w:val="24"/>
          <w:szCs w:val="24"/>
          <w:highlight w:val="none"/>
        </w:rPr>
        <w:t>；</w:t>
      </w:r>
    </w:p>
    <w:p w14:paraId="2AAC1956">
      <w:pPr>
        <w:pStyle w:val="2"/>
        <w:rPr>
          <w:rFonts w:hint="eastAsia"/>
        </w:rPr>
      </w:pPr>
    </w:p>
    <w:p w14:paraId="49CB3532">
      <w:pPr>
        <w:rPr>
          <w:rFonts w:hint="eastAsia"/>
        </w:rPr>
      </w:pPr>
    </w:p>
    <w:p w14:paraId="42A892AB">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6）投标有效期不足的；</w:t>
      </w:r>
    </w:p>
    <w:p w14:paraId="4CA8664F">
      <w:pPr>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7）投标文件组成严重漏项、内容严重不全或未按规定的格式编制影响实质内容的；</w:t>
      </w:r>
    </w:p>
    <w:p w14:paraId="0B95BE3B">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8）投标人递交两份或多份内容不同的投</w:t>
      </w:r>
      <w:r>
        <w:rPr>
          <w:rFonts w:hint="eastAsia" w:ascii="仿宋" w:hAnsi="仿宋" w:eastAsia="仿宋" w:cs="仿宋"/>
          <w:bCs/>
          <w:color w:val="auto"/>
          <w:sz w:val="24"/>
          <w:szCs w:val="24"/>
          <w:highlight w:val="none"/>
        </w:rPr>
        <w:t>标文件，或在一份投标文件中对同一招标项目报有两个或以上报价，且未声明哪一个有效，按招标文件规定提交备选投标方案的除外；</w:t>
      </w:r>
    </w:p>
    <w:p w14:paraId="6E2B4E24">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r>
        <w:rPr>
          <w:rFonts w:hint="eastAsia" w:ascii="仿宋" w:hAnsi="仿宋" w:eastAsia="仿宋" w:cs="仿宋"/>
          <w:color w:val="auto"/>
          <w:sz w:val="24"/>
          <w:szCs w:val="24"/>
          <w:highlight w:val="none"/>
        </w:rPr>
        <w:t>投标文件不能满足招标文件载明的服务范围、</w:t>
      </w:r>
      <w:r>
        <w:rPr>
          <w:rFonts w:hint="eastAsia" w:ascii="仿宋" w:hAnsi="仿宋" w:eastAsia="仿宋" w:cs="仿宋"/>
          <w:bCs/>
          <w:color w:val="auto"/>
          <w:sz w:val="24"/>
          <w:szCs w:val="24"/>
          <w:highlight w:val="none"/>
        </w:rPr>
        <w:t>▲条款</w:t>
      </w:r>
      <w:r>
        <w:rPr>
          <w:rFonts w:hint="eastAsia" w:ascii="仿宋" w:hAnsi="仿宋" w:eastAsia="仿宋" w:cs="仿宋"/>
          <w:color w:val="auto"/>
          <w:sz w:val="24"/>
          <w:szCs w:val="24"/>
          <w:highlight w:val="none"/>
        </w:rPr>
        <w:t>、服务期、付款方式、履约保证金等有关规定要求的</w:t>
      </w:r>
      <w:r>
        <w:rPr>
          <w:rFonts w:hint="eastAsia" w:ascii="仿宋" w:hAnsi="仿宋" w:eastAsia="仿宋" w:cs="仿宋"/>
          <w:bCs/>
          <w:color w:val="auto"/>
          <w:sz w:val="24"/>
          <w:szCs w:val="24"/>
          <w:highlight w:val="none"/>
        </w:rPr>
        <w:t>；</w:t>
      </w:r>
    </w:p>
    <w:p w14:paraId="550B0E52">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10）投标报价文件中改变招标人提供的数量的；</w:t>
      </w:r>
    </w:p>
    <w:p w14:paraId="42E50215">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11）投标人拒绝按招标文件规定的报价修正原则对投标文件进行修改的；</w:t>
      </w:r>
    </w:p>
    <w:p w14:paraId="4BA88493">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12）评审小组认为投标人报价明显低于其他合格投标人的报价，有可能影响产品质量或</w:t>
      </w:r>
      <w:r>
        <w:rPr>
          <w:rFonts w:hint="eastAsia" w:ascii="仿宋" w:hAnsi="仿宋" w:eastAsia="仿宋" w:cs="仿宋"/>
          <w:bCs/>
          <w:color w:val="auto"/>
          <w:sz w:val="24"/>
          <w:szCs w:val="24"/>
          <w:highlight w:val="none"/>
          <w:lang w:val="en-US" w:eastAsia="zh-CN"/>
        </w:rPr>
        <w:t>者</w:t>
      </w:r>
      <w:r>
        <w:rPr>
          <w:rFonts w:hint="eastAsia" w:ascii="仿宋" w:hAnsi="仿宋" w:eastAsia="仿宋" w:cs="仿宋"/>
          <w:bCs/>
          <w:color w:val="auto"/>
          <w:sz w:val="24"/>
          <w:szCs w:val="24"/>
          <w:highlight w:val="none"/>
        </w:rPr>
        <w:t>服务质量或者不能诚信履约的，应当要求其在评审现场合理时间内提供书面说明，必要时提供相关证明材料；投标人不能证明其报价合理性的，评审小组应当将其作为无效响应处理；</w:t>
      </w:r>
    </w:p>
    <w:p w14:paraId="4AAF3F22">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13）投标报价为“零报价”的投标文件；</w:t>
      </w:r>
    </w:p>
    <w:p w14:paraId="3C525C71">
      <w:pPr>
        <w:spacing w:line="400" w:lineRule="exact"/>
        <w:ind w:firstLine="480" w:firstLineChars="200"/>
        <w:rPr>
          <w:rFonts w:hint="eastAsia" w:ascii="仿宋" w:hAnsi="仿宋" w:eastAsia="仿宋" w:cs="仿宋"/>
          <w:bCs/>
          <w:color w:val="auto"/>
          <w:sz w:val="24"/>
          <w:szCs w:val="24"/>
          <w:highlight w:val="none"/>
        </w:rPr>
      </w:pPr>
      <w:bookmarkStart w:id="238" w:name="_Toc19852_WPSOffice_Level3"/>
      <w:r>
        <w:rPr>
          <w:rFonts w:hint="eastAsia" w:ascii="仿宋" w:hAnsi="仿宋" w:eastAsia="仿宋" w:cs="仿宋"/>
          <w:bCs/>
          <w:color w:val="auto"/>
          <w:sz w:val="24"/>
          <w:szCs w:val="24"/>
          <w:highlight w:val="none"/>
        </w:rPr>
        <w:t>14）投标文件含有招标人不能接受的附加条件的；</w:t>
      </w:r>
      <w:bookmarkEnd w:id="238"/>
    </w:p>
    <w:p w14:paraId="5DBC167D">
      <w:pPr>
        <w:widowControl/>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15）投标人提供虚假材料投标的；</w:t>
      </w:r>
    </w:p>
    <w:p w14:paraId="418D74AC">
      <w:pPr>
        <w:widowControl/>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16）经评标委员会审核，投标人符合以下情形之一的，视为投标人串通投标的，其投标无效：</w:t>
      </w:r>
    </w:p>
    <w:p w14:paraId="72DEC440">
      <w:pPr>
        <w:widowControl/>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①不同投标人的投标文件由同一单位或者个人编制； </w:t>
      </w:r>
    </w:p>
    <w:p w14:paraId="346C3D5F">
      <w:pPr>
        <w:widowControl/>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②不同投标人委托同一单位或者个人办理投标事宜； </w:t>
      </w:r>
    </w:p>
    <w:p w14:paraId="2ADF7B29">
      <w:pPr>
        <w:widowControl/>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③不同投标人的投标文件载明的项目管理成员或者联系人员为同一人； </w:t>
      </w:r>
    </w:p>
    <w:p w14:paraId="0050A763">
      <w:pPr>
        <w:widowControl/>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④不同投标人的投标文件异常一致或者投标报价呈规律性差异； </w:t>
      </w:r>
    </w:p>
    <w:p w14:paraId="00C183F9">
      <w:pPr>
        <w:widowControl/>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⑤不同投标人的投标文件相互混装； </w:t>
      </w:r>
    </w:p>
    <w:p w14:paraId="4EB656E5">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⑥不同投标人的投标保证金从同一单位或者个人的账户转出。</w:t>
      </w:r>
    </w:p>
    <w:p w14:paraId="4BABD519">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17）不符合法律、法规和招标文件中规定的其他实质性要求的。</w:t>
      </w:r>
    </w:p>
    <w:p w14:paraId="2C30247F">
      <w:pPr>
        <w:pStyle w:val="3"/>
        <w:keepLines w:val="0"/>
        <w:numPr>
          <w:ilvl w:val="0"/>
          <w:numId w:val="0"/>
        </w:numPr>
        <w:spacing w:before="0" w:after="0"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四、投标文件的投标报价的算术性错误修正</w:t>
      </w:r>
    </w:p>
    <w:p w14:paraId="545409B0">
      <w:pPr>
        <w:pStyle w:val="69"/>
        <w:spacing w:before="0" w:line="40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报价文件开启后，如发现开标结果与报价文件不一致者，以报价文件为准。由评标委员会根据报价文件内容进行修正。</w:t>
      </w:r>
    </w:p>
    <w:p w14:paraId="7E2E6907">
      <w:pPr>
        <w:pStyle w:val="69"/>
        <w:spacing w:before="0" w:line="40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投标文件报价出现前后不一致的，按照下列规定修正：</w:t>
      </w:r>
    </w:p>
    <w:p w14:paraId="4BE2F87B">
      <w:pPr>
        <w:pStyle w:val="69"/>
        <w:spacing w:before="0" w:line="400" w:lineRule="exact"/>
        <w:ind w:firstLine="480"/>
        <w:rPr>
          <w:rFonts w:hint="eastAsia" w:ascii="仿宋" w:hAnsi="仿宋" w:eastAsia="仿宋" w:cs="仿宋"/>
          <w:b w:val="0"/>
          <w:bCs/>
          <w:color w:val="auto"/>
          <w:kern w:val="0"/>
          <w:highlight w:val="none"/>
          <w:lang w:bidi="ar"/>
        </w:rPr>
      </w:pPr>
      <w:r>
        <w:rPr>
          <w:rFonts w:hint="eastAsia" w:ascii="仿宋" w:hAnsi="仿宋" w:eastAsia="仿宋" w:cs="仿宋"/>
          <w:b w:val="0"/>
          <w:bCs/>
          <w:color w:val="auto"/>
          <w:kern w:val="0"/>
          <w:highlight w:val="none"/>
          <w:lang w:bidi="ar"/>
        </w:rPr>
        <w:t>（1）投标文件中开标一览表(报价表)内容与投标文件中相应内容不一致的，以开标一览表(报价表)为准;但开标一览表(报价表)存在明显单位、文字错误的，则澄清、说明、补正；</w:t>
      </w:r>
    </w:p>
    <w:p w14:paraId="77877593">
      <w:pPr>
        <w:pStyle w:val="20"/>
        <w:spacing w:after="0"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（2）</w:t>
      </w:r>
      <w:r>
        <w:rPr>
          <w:rFonts w:hint="eastAsia" w:ascii="仿宋" w:hAnsi="仿宋" w:eastAsia="仿宋" w:cs="仿宋"/>
          <w:color w:val="auto"/>
          <w:sz w:val="24"/>
          <w:highlight w:val="none"/>
        </w:rPr>
        <w:t>大写金额和小写金额不一致的，以大写金额为准；但大写有明显单位、文字错误外的除外；</w:t>
      </w:r>
    </w:p>
    <w:p w14:paraId="6354E55D">
      <w:pPr>
        <w:widowControl/>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（3）单价金额小数点或者百分比有明显错位的，以开标一览表的总价为准，并修改单价;</w:t>
      </w:r>
    </w:p>
    <w:p w14:paraId="3105321F">
      <w:pPr>
        <w:widowControl/>
        <w:snapToGrid w:val="0"/>
        <w:spacing w:line="400" w:lineRule="exact"/>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（4）总价金额与按单价汇总金额不一致的，以单价金额计算结果为准。</w:t>
      </w:r>
    </w:p>
    <w:p w14:paraId="58A047FB">
      <w:pPr>
        <w:widowControl/>
        <w:snapToGrid w:val="0"/>
        <w:spacing w:line="400" w:lineRule="exact"/>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（5）投标文件其他报价表中总价高于</w:t>
      </w:r>
      <w:r>
        <w:rPr>
          <w:rFonts w:hint="eastAsia" w:ascii="仿宋" w:hAnsi="仿宋" w:eastAsia="仿宋" w:cs="仿宋"/>
          <w:color w:val="auto"/>
          <w:kern w:val="0"/>
          <w:sz w:val="24"/>
          <w:highlight w:val="none"/>
          <w:lang w:eastAsia="zh-CN" w:bidi="ar"/>
        </w:rPr>
        <w:t>开标一览表(报价表)</w:t>
      </w:r>
      <w:r>
        <w:rPr>
          <w:rFonts w:hint="eastAsia" w:ascii="仿宋" w:hAnsi="仿宋" w:eastAsia="仿宋" w:cs="仿宋"/>
          <w:color w:val="auto"/>
          <w:kern w:val="0"/>
          <w:sz w:val="24"/>
          <w:highlight w:val="none"/>
          <w:lang w:bidi="ar"/>
        </w:rPr>
        <w:t>总价的，单价以</w:t>
      </w:r>
      <w:r>
        <w:rPr>
          <w:rFonts w:hint="eastAsia" w:ascii="仿宋" w:hAnsi="仿宋" w:eastAsia="仿宋" w:cs="仿宋"/>
          <w:color w:val="auto"/>
          <w:kern w:val="0"/>
          <w:sz w:val="24"/>
          <w:highlight w:val="none"/>
          <w:lang w:eastAsia="zh-CN" w:bidi="ar"/>
        </w:rPr>
        <w:t>开标一览表(报价表)</w:t>
      </w:r>
      <w:r>
        <w:rPr>
          <w:rFonts w:hint="eastAsia" w:ascii="仿宋" w:hAnsi="仿宋" w:eastAsia="仿宋" w:cs="仿宋"/>
          <w:color w:val="auto"/>
          <w:kern w:val="0"/>
          <w:sz w:val="24"/>
          <w:highlight w:val="none"/>
          <w:lang w:bidi="ar"/>
        </w:rPr>
        <w:t>为准或同比例下浮修正；</w:t>
      </w:r>
      <w:r>
        <w:rPr>
          <w:rFonts w:hint="eastAsia" w:ascii="仿宋" w:hAnsi="仿宋" w:eastAsia="仿宋" w:cs="仿宋"/>
          <w:color w:val="auto"/>
          <w:kern w:val="0"/>
          <w:sz w:val="24"/>
          <w:highlight w:val="none"/>
          <w:lang w:eastAsia="zh-CN" w:bidi="ar"/>
        </w:rPr>
        <w:t>投标文件</w:t>
      </w:r>
      <w:r>
        <w:rPr>
          <w:rFonts w:hint="eastAsia" w:ascii="仿宋" w:hAnsi="仿宋" w:eastAsia="仿宋" w:cs="仿宋"/>
          <w:color w:val="auto"/>
          <w:kern w:val="0"/>
          <w:sz w:val="24"/>
          <w:highlight w:val="none"/>
          <w:lang w:bidi="ar"/>
        </w:rPr>
        <w:t>其他报价中总价低于</w:t>
      </w:r>
      <w:r>
        <w:rPr>
          <w:rFonts w:hint="eastAsia" w:ascii="仿宋" w:hAnsi="仿宋" w:eastAsia="仿宋" w:cs="仿宋"/>
          <w:color w:val="auto"/>
          <w:kern w:val="0"/>
          <w:sz w:val="24"/>
          <w:highlight w:val="none"/>
          <w:lang w:eastAsia="zh-CN" w:bidi="ar"/>
        </w:rPr>
        <w:t>开标一览表(报价表)</w:t>
      </w:r>
      <w:r>
        <w:rPr>
          <w:rFonts w:hint="eastAsia" w:ascii="仿宋" w:hAnsi="仿宋" w:eastAsia="仿宋" w:cs="仿宋"/>
          <w:color w:val="auto"/>
          <w:kern w:val="0"/>
          <w:sz w:val="24"/>
          <w:highlight w:val="none"/>
          <w:lang w:bidi="ar"/>
        </w:rPr>
        <w:t>总价的，单价以</w:t>
      </w:r>
      <w:r>
        <w:rPr>
          <w:rFonts w:hint="eastAsia" w:ascii="仿宋" w:hAnsi="仿宋" w:eastAsia="仿宋" w:cs="仿宋"/>
          <w:color w:val="auto"/>
          <w:kern w:val="0"/>
          <w:sz w:val="24"/>
          <w:highlight w:val="none"/>
          <w:lang w:eastAsia="zh-CN" w:bidi="ar"/>
        </w:rPr>
        <w:t>开标一览表(报价表)</w:t>
      </w:r>
      <w:r>
        <w:rPr>
          <w:rFonts w:hint="eastAsia" w:ascii="仿宋" w:hAnsi="仿宋" w:eastAsia="仿宋" w:cs="仿宋"/>
          <w:color w:val="auto"/>
          <w:kern w:val="0"/>
          <w:sz w:val="24"/>
          <w:highlight w:val="none"/>
          <w:lang w:bidi="ar"/>
        </w:rPr>
        <w:t>为准或不予修正。</w:t>
      </w:r>
    </w:p>
    <w:p w14:paraId="48FC2F1C">
      <w:pPr>
        <w:widowControl/>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同时出现两种以上不一致的，按照前款规定的顺序修正。修正后的报价经投标人确认后产生约束力，投标人不确认或未在规定时间内确认的，其投标无效。</w:t>
      </w:r>
    </w:p>
    <w:p w14:paraId="0C76DF1A">
      <w:pPr>
        <w:widowControl/>
        <w:snapToGrid w:val="0"/>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五、详细评审</w:t>
      </w:r>
    </w:p>
    <w:p w14:paraId="65066121">
      <w:pPr>
        <w:keepNext w:val="0"/>
        <w:keepLines w:val="0"/>
        <w:wordWrap w:val="0"/>
        <w:topLinePunct/>
        <w:adjustRightInd w:val="0"/>
        <w:snapToGrid w:val="0"/>
        <w:spacing w:line="400" w:lineRule="exact"/>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1.资信技术部分（</w:t>
      </w:r>
      <w:r>
        <w:rPr>
          <w:rFonts w:hint="eastAsia" w:ascii="仿宋" w:hAnsi="仿宋" w:eastAsia="仿宋" w:cs="仿宋"/>
          <w:b/>
          <w:bCs/>
          <w:color w:val="auto"/>
          <w:sz w:val="24"/>
          <w:szCs w:val="24"/>
          <w:highlight w:val="none"/>
          <w:lang w:val="en-US" w:eastAsia="zh-CN"/>
        </w:rPr>
        <w:t>70</w:t>
      </w:r>
      <w:r>
        <w:rPr>
          <w:rFonts w:hint="eastAsia" w:ascii="仿宋" w:hAnsi="仿宋" w:eastAsia="仿宋" w:cs="仿宋"/>
          <w:b/>
          <w:bCs/>
          <w:color w:val="auto"/>
          <w:sz w:val="24"/>
          <w:szCs w:val="24"/>
          <w:highlight w:val="none"/>
        </w:rPr>
        <w:t>分，小数点后保留两位）</w:t>
      </w:r>
    </w:p>
    <w:tbl>
      <w:tblPr>
        <w:tblStyle w:val="46"/>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98"/>
        <w:gridCol w:w="1003"/>
        <w:gridCol w:w="4299"/>
        <w:gridCol w:w="955"/>
        <w:gridCol w:w="955"/>
      </w:tblGrid>
      <w:tr w14:paraId="79AB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6E9CF90E">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4"/>
                <w:highlight w:val="none"/>
              </w:rPr>
            </w:pPr>
            <w:r>
              <w:rPr>
                <w:rFonts w:hint="eastAsia" w:ascii="仿宋" w:hAnsi="仿宋" w:eastAsia="仿宋" w:cs="仿宋"/>
                <w:bCs/>
                <w:szCs w:val="21"/>
                <w:highlight w:val="none"/>
              </w:rPr>
              <w:t>序号</w:t>
            </w:r>
          </w:p>
        </w:tc>
        <w:tc>
          <w:tcPr>
            <w:tcW w:w="1198" w:type="dxa"/>
            <w:vAlign w:val="center"/>
          </w:tcPr>
          <w:p w14:paraId="27AF39CB">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4"/>
                <w:highlight w:val="none"/>
              </w:rPr>
            </w:pPr>
            <w:r>
              <w:rPr>
                <w:rFonts w:hint="eastAsia" w:ascii="仿宋" w:hAnsi="仿宋" w:eastAsia="仿宋" w:cs="仿宋"/>
                <w:bCs/>
                <w:szCs w:val="21"/>
                <w:highlight w:val="none"/>
              </w:rPr>
              <w:t>名称</w:t>
            </w:r>
          </w:p>
        </w:tc>
        <w:tc>
          <w:tcPr>
            <w:tcW w:w="1003" w:type="dxa"/>
            <w:vAlign w:val="center"/>
          </w:tcPr>
          <w:p w14:paraId="5E5B0BAA">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4"/>
                <w:highlight w:val="none"/>
              </w:rPr>
            </w:pPr>
            <w:r>
              <w:rPr>
                <w:rFonts w:hint="eastAsia" w:ascii="仿宋" w:hAnsi="仿宋" w:eastAsia="仿宋" w:cs="仿宋"/>
                <w:bCs/>
                <w:szCs w:val="21"/>
                <w:highlight w:val="none"/>
              </w:rPr>
              <w:t>分值</w:t>
            </w:r>
          </w:p>
        </w:tc>
        <w:tc>
          <w:tcPr>
            <w:tcW w:w="4299" w:type="dxa"/>
            <w:vAlign w:val="center"/>
          </w:tcPr>
          <w:p w14:paraId="644E1B58">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4"/>
                <w:highlight w:val="none"/>
              </w:rPr>
            </w:pPr>
            <w:r>
              <w:rPr>
                <w:rFonts w:hint="eastAsia" w:ascii="仿宋" w:hAnsi="仿宋" w:eastAsia="仿宋" w:cs="仿宋"/>
                <w:bCs/>
                <w:szCs w:val="21"/>
                <w:highlight w:val="none"/>
              </w:rPr>
              <w:t>评审因素</w:t>
            </w:r>
          </w:p>
        </w:tc>
        <w:tc>
          <w:tcPr>
            <w:tcW w:w="955" w:type="dxa"/>
            <w:vAlign w:val="center"/>
          </w:tcPr>
          <w:p w14:paraId="7CFB4D86">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 w:val="21"/>
                <w:szCs w:val="21"/>
                <w:highlight w:val="none"/>
              </w:rPr>
            </w:pPr>
            <w:r>
              <w:rPr>
                <w:rFonts w:hint="eastAsia" w:ascii="仿宋" w:hAnsi="仿宋" w:eastAsia="仿宋" w:cs="仿宋"/>
                <w:bCs/>
                <w:szCs w:val="21"/>
                <w:highlight w:val="none"/>
              </w:rPr>
              <w:t>备注</w:t>
            </w:r>
          </w:p>
        </w:tc>
        <w:tc>
          <w:tcPr>
            <w:tcW w:w="955" w:type="dxa"/>
            <w:vAlign w:val="center"/>
          </w:tcPr>
          <w:p w14:paraId="6AF2E319">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仿宋" w:hAnsi="仿宋" w:eastAsia="仿宋" w:cs="仿宋"/>
                <w:bCs/>
                <w:szCs w:val="24"/>
                <w:highlight w:val="none"/>
              </w:rPr>
            </w:pPr>
            <w:r>
              <w:rPr>
                <w:rFonts w:hint="eastAsia" w:ascii="仿宋" w:hAnsi="仿宋" w:eastAsia="仿宋" w:cs="仿宋"/>
                <w:bCs/>
                <w:sz w:val="13"/>
                <w:szCs w:val="13"/>
                <w:highlight w:val="none"/>
              </w:rPr>
              <w:t>投标文件中评标标准相应的商务技术资料目录</w:t>
            </w:r>
          </w:p>
        </w:tc>
      </w:tr>
      <w:tr w14:paraId="51B9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495B3DC4">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rPr>
              <w:t>一</w:t>
            </w:r>
          </w:p>
        </w:tc>
        <w:tc>
          <w:tcPr>
            <w:tcW w:w="1198" w:type="dxa"/>
            <w:vAlign w:val="center"/>
          </w:tcPr>
          <w:p w14:paraId="3BDD8CA1">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Cs w:val="21"/>
                <w:highlight w:val="none"/>
              </w:rPr>
              <w:t>资信业绩</w:t>
            </w:r>
          </w:p>
        </w:tc>
        <w:tc>
          <w:tcPr>
            <w:tcW w:w="1003" w:type="dxa"/>
            <w:vAlign w:val="center"/>
          </w:tcPr>
          <w:p w14:paraId="325A0833">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6</w:t>
            </w:r>
          </w:p>
        </w:tc>
        <w:tc>
          <w:tcPr>
            <w:tcW w:w="4299" w:type="dxa"/>
            <w:vAlign w:val="center"/>
          </w:tcPr>
          <w:p w14:paraId="2A2921F3">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firstLine="420" w:firstLineChars="200"/>
              <w:jc w:val="both"/>
              <w:textAlignment w:val="auto"/>
              <w:rPr>
                <w:rFonts w:hint="eastAsia" w:ascii="仿宋" w:hAnsi="仿宋" w:eastAsia="仿宋" w:cs="仿宋"/>
                <w:bCs/>
                <w:szCs w:val="24"/>
                <w:highlight w:val="none"/>
              </w:rPr>
            </w:pPr>
          </w:p>
        </w:tc>
        <w:tc>
          <w:tcPr>
            <w:tcW w:w="955" w:type="dxa"/>
            <w:vAlign w:val="center"/>
          </w:tcPr>
          <w:p w14:paraId="1374DF25">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szCs w:val="21"/>
                <w:highlight w:val="none"/>
              </w:rPr>
            </w:pPr>
          </w:p>
        </w:tc>
        <w:tc>
          <w:tcPr>
            <w:tcW w:w="955" w:type="dxa"/>
            <w:vAlign w:val="center"/>
          </w:tcPr>
          <w:p w14:paraId="2867B19C">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仿宋" w:hAnsi="仿宋" w:eastAsia="仿宋" w:cs="仿宋"/>
                <w:bCs/>
                <w:sz w:val="21"/>
                <w:szCs w:val="21"/>
                <w:highlight w:val="none"/>
              </w:rPr>
            </w:pPr>
          </w:p>
        </w:tc>
      </w:tr>
      <w:tr w14:paraId="500B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0EDC9208">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1"/>
                <w:highlight w:val="none"/>
                <w:lang w:val="en-US" w:eastAsia="zh-CN"/>
              </w:rPr>
              <w:t>1</w:t>
            </w:r>
          </w:p>
        </w:tc>
        <w:tc>
          <w:tcPr>
            <w:tcW w:w="1198" w:type="dxa"/>
            <w:vAlign w:val="center"/>
          </w:tcPr>
          <w:p w14:paraId="00DB478E">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0" w:right="0" w:rightChars="0" w:hanging="31" w:hangingChars="15"/>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企业综合</w:t>
            </w:r>
          </w:p>
          <w:p w14:paraId="50BAEA6F">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rPr>
              <w:t>实力</w:t>
            </w:r>
          </w:p>
        </w:tc>
        <w:tc>
          <w:tcPr>
            <w:tcW w:w="1003" w:type="dxa"/>
            <w:vAlign w:val="center"/>
          </w:tcPr>
          <w:p w14:paraId="0BF967EB">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0-3</w:t>
            </w:r>
          </w:p>
        </w:tc>
        <w:tc>
          <w:tcPr>
            <w:tcW w:w="4299" w:type="dxa"/>
            <w:vAlign w:val="center"/>
          </w:tcPr>
          <w:p w14:paraId="67BF6433">
            <w:pPr>
              <w:pStyle w:val="60"/>
              <w:keepNext w:val="0"/>
              <w:keepLines w:val="0"/>
              <w:pageBreakBefore w:val="0"/>
              <w:widowControl/>
              <w:numPr>
                <w:ilvl w:val="-1"/>
                <w:numId w:val="0"/>
              </w:numPr>
              <w:suppressLineNumbers w:val="0"/>
              <w:kinsoku/>
              <w:overflowPunct/>
              <w:topLinePunct w:val="0"/>
              <w:bidi w:val="0"/>
              <w:snapToGrid/>
              <w:spacing w:before="0" w:beforeAutospacing="0" w:after="0" w:afterAutospacing="0" w:line="360" w:lineRule="auto"/>
              <w:ind w:left="0" w:right="0"/>
              <w:jc w:val="both"/>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投标人具有质量管理体系认证、职业健康安全管理体系认证和环境管理体系认证证书的，每个</w:t>
            </w:r>
            <w:r>
              <w:rPr>
                <w:rFonts w:hint="eastAsia" w:ascii="仿宋" w:hAnsi="仿宋" w:eastAsia="仿宋" w:cs="仿宋"/>
                <w:color w:val="auto"/>
                <w:sz w:val="21"/>
                <w:szCs w:val="21"/>
                <w:highlight w:val="none"/>
                <w:lang w:val="en-US"/>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分</w:t>
            </w:r>
            <w:r>
              <w:rPr>
                <w:rFonts w:hint="eastAsia" w:ascii="仿宋" w:hAnsi="仿宋" w:eastAsia="仿宋" w:cs="仿宋"/>
                <w:color w:val="auto"/>
                <w:sz w:val="21"/>
                <w:szCs w:val="21"/>
                <w:highlight w:val="none"/>
                <w:lang w:val="en-US" w:eastAsia="zh-CN"/>
              </w:rPr>
              <w:t>，最高得3分</w:t>
            </w:r>
            <w:r>
              <w:rPr>
                <w:rFonts w:hint="eastAsia" w:ascii="仿宋" w:hAnsi="仿宋" w:eastAsia="仿宋" w:cs="仿宋"/>
                <w:color w:val="auto"/>
                <w:sz w:val="21"/>
                <w:szCs w:val="21"/>
                <w:highlight w:val="none"/>
                <w:lang w:val="en-US"/>
              </w:rPr>
              <w:t>。</w:t>
            </w:r>
          </w:p>
          <w:p w14:paraId="6E75CE68">
            <w:pPr>
              <w:pStyle w:val="60"/>
              <w:keepNext w:val="0"/>
              <w:keepLines w:val="0"/>
              <w:pageBreakBefore w:val="0"/>
              <w:widowControl/>
              <w:numPr>
                <w:ilvl w:val="0"/>
                <w:numId w:val="0"/>
              </w:numPr>
              <w:suppressLineNumbers w:val="0"/>
              <w:kinsoku/>
              <w:wordWrap w:val="0"/>
              <w:overflowPunct/>
              <w:topLinePunct w:val="0"/>
              <w:bidi w:val="0"/>
              <w:snapToGrid/>
              <w:spacing w:before="0" w:beforeAutospacing="0" w:after="0" w:afterAutospacing="0" w:line="360" w:lineRule="auto"/>
              <w:ind w:left="0" w:leftChars="0" w:right="0" w:firstLine="0" w:firstLineChars="0"/>
              <w:jc w:val="both"/>
              <w:textAlignment w:val="auto"/>
              <w:rPr>
                <w:rFonts w:hint="eastAsia" w:ascii="仿宋" w:hAnsi="仿宋" w:eastAsia="仿宋" w:cs="仿宋"/>
                <w:b w:val="0"/>
                <w:bCs/>
                <w:color w:val="auto"/>
                <w:sz w:val="21"/>
                <w:szCs w:val="21"/>
                <w:highlight w:val="none"/>
                <w:lang w:val="zh-CN" w:eastAsia="zh-CN" w:bidi="ar-SA"/>
              </w:rPr>
            </w:pPr>
            <w:r>
              <w:rPr>
                <w:rFonts w:hint="eastAsia" w:ascii="仿宋" w:hAnsi="仿宋" w:eastAsia="仿宋" w:cs="仿宋"/>
                <w:color w:val="auto"/>
                <w:sz w:val="21"/>
                <w:szCs w:val="21"/>
                <w:highlight w:val="none"/>
                <w:lang w:val="en-US"/>
              </w:rPr>
              <w:t>证明材料同时提供：①有效期内的认证证书及其附件（如有）；②全国认证认可信息公共服务平台官网(http://cx.cnca.cn/CertECloud/result/skipResultList)证书查询截图。</w:t>
            </w:r>
          </w:p>
        </w:tc>
        <w:tc>
          <w:tcPr>
            <w:tcW w:w="955" w:type="dxa"/>
            <w:vAlign w:val="center"/>
          </w:tcPr>
          <w:p w14:paraId="325FC25F">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客观分</w:t>
            </w:r>
          </w:p>
        </w:tc>
        <w:tc>
          <w:tcPr>
            <w:tcW w:w="955" w:type="dxa"/>
            <w:vAlign w:val="center"/>
          </w:tcPr>
          <w:p w14:paraId="29525814">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仿宋" w:hAnsi="仿宋" w:eastAsia="仿宋" w:cs="仿宋"/>
                <w:bCs/>
                <w:sz w:val="21"/>
                <w:szCs w:val="21"/>
                <w:highlight w:val="none"/>
              </w:rPr>
            </w:pPr>
          </w:p>
        </w:tc>
      </w:tr>
      <w:tr w14:paraId="4B5A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620838F9">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2</w:t>
            </w:r>
          </w:p>
        </w:tc>
        <w:tc>
          <w:tcPr>
            <w:tcW w:w="1198" w:type="dxa"/>
            <w:vAlign w:val="center"/>
          </w:tcPr>
          <w:p w14:paraId="0D9E8AE5">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Cs w:val="21"/>
                <w:highlight w:val="none"/>
              </w:rPr>
              <w:t>类似项目业绩</w:t>
            </w:r>
          </w:p>
        </w:tc>
        <w:tc>
          <w:tcPr>
            <w:tcW w:w="1003" w:type="dxa"/>
            <w:vAlign w:val="center"/>
          </w:tcPr>
          <w:p w14:paraId="6C63B59A">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0-3</w:t>
            </w:r>
          </w:p>
        </w:tc>
        <w:tc>
          <w:tcPr>
            <w:tcW w:w="4299" w:type="dxa"/>
            <w:vAlign w:val="center"/>
          </w:tcPr>
          <w:p w14:paraId="72679264">
            <w:pPr>
              <w:pStyle w:val="60"/>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both"/>
              <w:textAlignment w:val="auto"/>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bCs/>
                <w:color w:val="auto"/>
                <w:kern w:val="2"/>
                <w:sz w:val="21"/>
                <w:szCs w:val="21"/>
                <w:highlight w:val="none"/>
                <w:lang w:val="en-US"/>
              </w:rPr>
              <w:t>自</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rPr>
              <w:t>年1月1日（以验收时间为准）至今具有</w:t>
            </w:r>
            <w:r>
              <w:rPr>
                <w:rFonts w:hint="eastAsia" w:ascii="仿宋" w:hAnsi="仿宋" w:eastAsia="仿宋" w:cs="仿宋"/>
                <w:color w:val="auto"/>
                <w:sz w:val="21"/>
                <w:szCs w:val="21"/>
                <w:highlight w:val="none"/>
                <w:lang w:val="en-US" w:eastAsia="zh-CN"/>
              </w:rPr>
              <w:t>窗帘供货业绩</w:t>
            </w:r>
            <w:r>
              <w:rPr>
                <w:rFonts w:hint="eastAsia" w:ascii="仿宋" w:hAnsi="仿宋" w:eastAsia="仿宋" w:cs="仿宋"/>
                <w:color w:val="auto"/>
                <w:sz w:val="21"/>
                <w:szCs w:val="21"/>
                <w:highlight w:val="none"/>
                <w:lang w:val="en-US"/>
              </w:rPr>
              <w:t>的，每具有</w:t>
            </w:r>
            <w:r>
              <w:rPr>
                <w:rFonts w:hint="default" w:ascii="仿宋" w:hAnsi="仿宋" w:eastAsia="仿宋" w:cs="仿宋"/>
                <w:color w:val="auto"/>
                <w:sz w:val="21"/>
                <w:szCs w:val="21"/>
                <w:highlight w:val="none"/>
              </w:rPr>
              <w:t>1例</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val="en-US"/>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分，</w:t>
            </w:r>
            <w:r>
              <w:rPr>
                <w:rFonts w:hint="default" w:ascii="仿宋" w:hAnsi="仿宋" w:eastAsia="仿宋" w:cs="仿宋"/>
                <w:color w:val="auto"/>
                <w:sz w:val="21"/>
                <w:szCs w:val="21"/>
                <w:highlight w:val="none"/>
              </w:rPr>
              <w:t>最高</w:t>
            </w:r>
            <w:r>
              <w:rPr>
                <w:rFonts w:hint="eastAsia" w:ascii="仿宋" w:hAnsi="仿宋" w:eastAsia="仿宋" w:cs="仿宋"/>
                <w:color w:val="auto"/>
                <w:sz w:val="21"/>
                <w:szCs w:val="21"/>
                <w:highlight w:val="none"/>
                <w:lang w:val="en-US"/>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分。</w:t>
            </w:r>
          </w:p>
          <w:p w14:paraId="0B735F9A">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证明材料提供合同（至少包括合同首页、相关内容页、签字盖章页等）</w:t>
            </w:r>
            <w:r>
              <w:rPr>
                <w:rFonts w:hint="eastAsia" w:ascii="仿宋" w:hAnsi="仿宋" w:eastAsia="仿宋" w:cs="仿宋"/>
                <w:color w:val="auto"/>
                <w:sz w:val="21"/>
                <w:szCs w:val="21"/>
                <w:highlight w:val="none"/>
                <w:lang w:val="en-US" w:eastAsia="zh-CN"/>
              </w:rPr>
              <w:t>和</w:t>
            </w:r>
            <w:r>
              <w:rPr>
                <w:rFonts w:hint="eastAsia" w:ascii="仿宋" w:hAnsi="仿宋" w:eastAsia="仿宋" w:cs="仿宋"/>
                <w:color w:val="auto"/>
                <w:sz w:val="22"/>
                <w:szCs w:val="22"/>
                <w:highlight w:val="none"/>
                <w:lang w:val="en-US" w:eastAsia="zh-CN"/>
              </w:rPr>
              <w:t>验收证明材料（至少体现项目名称、验收时间，且甲乙双方盖章）</w:t>
            </w:r>
            <w:r>
              <w:rPr>
                <w:rFonts w:hint="eastAsia" w:ascii="仿宋" w:hAnsi="仿宋" w:eastAsia="仿宋" w:cs="仿宋"/>
                <w:color w:val="auto"/>
                <w:szCs w:val="21"/>
                <w:highlight w:val="none"/>
              </w:rPr>
              <w:t>。合同的相关内容页应包含体现业绩特征的相关内容。</w:t>
            </w:r>
          </w:p>
        </w:tc>
        <w:tc>
          <w:tcPr>
            <w:tcW w:w="955" w:type="dxa"/>
            <w:vAlign w:val="center"/>
          </w:tcPr>
          <w:p w14:paraId="1A11A086">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rPr>
              <w:t>客观分</w:t>
            </w:r>
          </w:p>
        </w:tc>
        <w:tc>
          <w:tcPr>
            <w:tcW w:w="955" w:type="dxa"/>
            <w:vAlign w:val="center"/>
          </w:tcPr>
          <w:p w14:paraId="7133B4A3">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仿宋" w:hAnsi="仿宋" w:eastAsia="仿宋" w:cs="仿宋"/>
                <w:bCs/>
                <w:sz w:val="21"/>
                <w:szCs w:val="21"/>
                <w:highlight w:val="none"/>
              </w:rPr>
            </w:pPr>
          </w:p>
        </w:tc>
      </w:tr>
      <w:tr w14:paraId="4197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2C62A838">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szCs w:val="24"/>
                <w:highlight w:val="none"/>
                <w:lang w:eastAsia="zh-CN"/>
              </w:rPr>
            </w:pPr>
            <w:r>
              <w:rPr>
                <w:rFonts w:hint="eastAsia" w:ascii="仿宋" w:hAnsi="仿宋" w:eastAsia="仿宋" w:cs="仿宋"/>
                <w:bCs/>
                <w:szCs w:val="21"/>
                <w:highlight w:val="none"/>
                <w:lang w:eastAsia="zh-CN"/>
              </w:rPr>
              <w:t>二</w:t>
            </w:r>
          </w:p>
        </w:tc>
        <w:tc>
          <w:tcPr>
            <w:tcW w:w="1198" w:type="dxa"/>
            <w:vAlign w:val="center"/>
          </w:tcPr>
          <w:p w14:paraId="4990ADCB">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4"/>
                <w:highlight w:val="none"/>
              </w:rPr>
            </w:pPr>
            <w:r>
              <w:rPr>
                <w:rFonts w:hint="eastAsia" w:ascii="仿宋" w:hAnsi="仿宋" w:eastAsia="仿宋" w:cs="仿宋"/>
                <w:bCs/>
                <w:szCs w:val="21"/>
                <w:highlight w:val="none"/>
              </w:rPr>
              <w:t>技术部分</w:t>
            </w:r>
          </w:p>
        </w:tc>
        <w:tc>
          <w:tcPr>
            <w:tcW w:w="1003" w:type="dxa"/>
            <w:vAlign w:val="center"/>
          </w:tcPr>
          <w:p w14:paraId="7683819C">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4"/>
                <w:highlight w:val="none"/>
              </w:rPr>
            </w:pPr>
            <w:r>
              <w:rPr>
                <w:rFonts w:hint="eastAsia" w:ascii="仿宋" w:hAnsi="仿宋" w:eastAsia="仿宋" w:cs="仿宋"/>
                <w:bCs/>
                <w:szCs w:val="21"/>
                <w:highlight w:val="none"/>
                <w:lang w:val="en-US" w:eastAsia="zh-CN"/>
              </w:rPr>
              <w:t>64</w:t>
            </w:r>
          </w:p>
        </w:tc>
        <w:tc>
          <w:tcPr>
            <w:tcW w:w="4299" w:type="dxa"/>
            <w:vAlign w:val="center"/>
          </w:tcPr>
          <w:p w14:paraId="5D04CAB1">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firstLine="420" w:firstLineChars="200"/>
              <w:jc w:val="both"/>
              <w:textAlignment w:val="auto"/>
              <w:rPr>
                <w:rFonts w:hint="default" w:ascii="仿宋" w:hAnsi="仿宋" w:eastAsia="仿宋" w:cs="仿宋"/>
                <w:bCs/>
                <w:szCs w:val="24"/>
                <w:highlight w:val="none"/>
              </w:rPr>
            </w:pPr>
          </w:p>
        </w:tc>
        <w:tc>
          <w:tcPr>
            <w:tcW w:w="955" w:type="dxa"/>
            <w:vAlign w:val="center"/>
          </w:tcPr>
          <w:p w14:paraId="39BDE010">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 w:val="21"/>
                <w:szCs w:val="21"/>
                <w:highlight w:val="none"/>
              </w:rPr>
            </w:pPr>
          </w:p>
        </w:tc>
        <w:tc>
          <w:tcPr>
            <w:tcW w:w="955" w:type="dxa"/>
            <w:vAlign w:val="center"/>
          </w:tcPr>
          <w:p w14:paraId="2303A25F">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仿宋" w:hAnsi="仿宋" w:eastAsia="仿宋" w:cs="仿宋"/>
                <w:bCs/>
                <w:sz w:val="21"/>
                <w:szCs w:val="21"/>
                <w:highlight w:val="none"/>
              </w:rPr>
            </w:pPr>
          </w:p>
        </w:tc>
      </w:tr>
      <w:tr w14:paraId="74D0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701FCD9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sz w:val="21"/>
                <w:szCs w:val="21"/>
                <w:highlight w:val="none"/>
                <w:lang w:val="en-US" w:eastAsia="zh-CN"/>
              </w:rPr>
              <w:t>1</w:t>
            </w:r>
          </w:p>
        </w:tc>
        <w:tc>
          <w:tcPr>
            <w:tcW w:w="1198" w:type="dxa"/>
            <w:vAlign w:val="center"/>
          </w:tcPr>
          <w:p w14:paraId="65DC87BB">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rPr>
              <w:t>技术指标</w:t>
            </w:r>
            <w:r>
              <w:rPr>
                <w:rFonts w:hint="eastAsia" w:ascii="仿宋" w:hAnsi="仿宋" w:eastAsia="仿宋" w:cs="仿宋"/>
                <w:color w:val="auto"/>
                <w:sz w:val="21"/>
                <w:szCs w:val="21"/>
                <w:highlight w:val="none"/>
                <w:lang w:eastAsia="zh-CN"/>
              </w:rPr>
              <w:t>满足性</w:t>
            </w:r>
          </w:p>
        </w:tc>
        <w:tc>
          <w:tcPr>
            <w:tcW w:w="1003" w:type="dxa"/>
            <w:vAlign w:val="center"/>
          </w:tcPr>
          <w:p w14:paraId="4B3E5B56">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0-18</w:t>
            </w:r>
          </w:p>
        </w:tc>
        <w:tc>
          <w:tcPr>
            <w:tcW w:w="4299" w:type="dxa"/>
            <w:vAlign w:val="center"/>
          </w:tcPr>
          <w:p w14:paraId="06FEDD98">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0" w:right="0"/>
              <w:jc w:val="both"/>
              <w:textAlignment w:val="auto"/>
              <w:rPr>
                <w:rFonts w:hint="eastAsia" w:ascii="仿宋" w:hAnsi="仿宋" w:eastAsia="仿宋" w:cs="仿宋"/>
                <w:bCs/>
                <w:color w:val="auto"/>
                <w:kern w:val="0"/>
                <w:sz w:val="21"/>
                <w:szCs w:val="21"/>
                <w:highlight w:val="none"/>
                <w:u w:val="none"/>
              </w:rPr>
            </w:pPr>
            <w:r>
              <w:rPr>
                <w:rFonts w:hint="eastAsia" w:ascii="仿宋" w:hAnsi="仿宋" w:eastAsia="仿宋" w:cs="仿宋"/>
                <w:b w:val="0"/>
                <w:color w:val="auto"/>
                <w:kern w:val="0"/>
                <w:sz w:val="21"/>
                <w:szCs w:val="21"/>
                <w:highlight w:val="none"/>
                <w:lang w:eastAsia="zh-CN"/>
              </w:rPr>
              <w:t>“二、项目采购清单和参数要求”中的产品参数要求</w:t>
            </w:r>
            <w:r>
              <w:rPr>
                <w:rFonts w:hint="eastAsia" w:ascii="仿宋" w:hAnsi="仿宋" w:eastAsia="仿宋" w:cs="仿宋"/>
                <w:b w:val="0"/>
                <w:color w:val="auto"/>
                <w:kern w:val="0"/>
                <w:sz w:val="21"/>
                <w:szCs w:val="21"/>
                <w:highlight w:val="none"/>
              </w:rPr>
              <w:t>完全满足的得</w:t>
            </w:r>
            <w:r>
              <w:rPr>
                <w:rFonts w:hint="eastAsia" w:ascii="仿宋" w:hAnsi="仿宋" w:eastAsia="仿宋" w:cs="仿宋"/>
                <w:b w:val="0"/>
                <w:color w:val="auto"/>
                <w:kern w:val="0"/>
                <w:sz w:val="21"/>
                <w:szCs w:val="21"/>
                <w:highlight w:val="none"/>
                <w:lang w:val="en-US" w:eastAsia="zh-CN"/>
              </w:rPr>
              <w:t>18</w:t>
            </w:r>
            <w:r>
              <w:rPr>
                <w:rFonts w:hint="eastAsia" w:ascii="仿宋" w:hAnsi="仿宋" w:eastAsia="仿宋" w:cs="仿宋"/>
                <w:b w:val="0"/>
                <w:color w:val="auto"/>
                <w:kern w:val="0"/>
                <w:sz w:val="21"/>
                <w:szCs w:val="21"/>
                <w:highlight w:val="none"/>
              </w:rPr>
              <w:t>分</w:t>
            </w:r>
            <w:r>
              <w:rPr>
                <w:rFonts w:hint="eastAsia" w:ascii="仿宋" w:hAnsi="仿宋" w:eastAsia="仿宋" w:cs="仿宋"/>
                <w:b w:val="0"/>
                <w:color w:val="auto"/>
                <w:kern w:val="0"/>
                <w:sz w:val="21"/>
                <w:szCs w:val="21"/>
                <w:highlight w:val="none"/>
                <w:lang w:eastAsia="zh-CN"/>
              </w:rPr>
              <w:t>，</w:t>
            </w:r>
            <w:r>
              <w:rPr>
                <w:rFonts w:hint="eastAsia" w:ascii="仿宋" w:hAnsi="仿宋" w:eastAsia="仿宋" w:cs="仿宋"/>
                <w:bCs/>
                <w:color w:val="auto"/>
                <w:kern w:val="0"/>
                <w:sz w:val="21"/>
                <w:szCs w:val="21"/>
                <w:highlight w:val="none"/>
                <w:u w:val="none"/>
              </w:rPr>
              <w:t>“▲”项技术指标负偏离的按无效投标处理，“☆”项技术指标负偏离一项扣</w:t>
            </w:r>
            <w:r>
              <w:rPr>
                <w:rFonts w:hint="eastAsia" w:ascii="仿宋" w:hAnsi="仿宋" w:eastAsia="仿宋" w:cs="仿宋"/>
                <w:bCs/>
                <w:color w:val="auto"/>
                <w:kern w:val="0"/>
                <w:sz w:val="21"/>
                <w:szCs w:val="21"/>
                <w:highlight w:val="none"/>
                <w:u w:val="none"/>
                <w:lang w:val="en-US" w:eastAsia="zh-CN"/>
              </w:rPr>
              <w:t>2</w:t>
            </w:r>
            <w:r>
              <w:rPr>
                <w:rFonts w:hint="eastAsia" w:ascii="仿宋" w:hAnsi="仿宋" w:eastAsia="仿宋" w:cs="仿宋"/>
                <w:bCs/>
                <w:color w:val="auto"/>
                <w:kern w:val="0"/>
                <w:sz w:val="21"/>
                <w:szCs w:val="21"/>
                <w:highlight w:val="none"/>
                <w:u w:val="none"/>
              </w:rPr>
              <w:t>分，其他技术指标负偏离一项扣</w:t>
            </w:r>
            <w:r>
              <w:rPr>
                <w:rFonts w:hint="eastAsia" w:ascii="仿宋" w:hAnsi="仿宋" w:eastAsia="仿宋" w:cs="仿宋"/>
                <w:bCs/>
                <w:color w:val="auto"/>
                <w:kern w:val="0"/>
                <w:sz w:val="21"/>
                <w:szCs w:val="21"/>
                <w:highlight w:val="none"/>
                <w:u w:val="none"/>
                <w:lang w:val="en-US" w:eastAsia="zh-CN"/>
              </w:rPr>
              <w:t>1</w:t>
            </w:r>
            <w:r>
              <w:rPr>
                <w:rFonts w:hint="eastAsia" w:ascii="仿宋" w:hAnsi="仿宋" w:eastAsia="仿宋" w:cs="仿宋"/>
                <w:bCs/>
                <w:color w:val="auto"/>
                <w:kern w:val="0"/>
                <w:sz w:val="21"/>
                <w:szCs w:val="21"/>
                <w:highlight w:val="none"/>
                <w:u w:val="none"/>
              </w:rPr>
              <w:t>分，扣完为止。</w:t>
            </w:r>
          </w:p>
          <w:p w14:paraId="175B5F2A">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0" w:righ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kern w:val="0"/>
                <w:sz w:val="21"/>
                <w:szCs w:val="21"/>
                <w:highlight w:val="none"/>
                <w:u w:val="none"/>
              </w:rPr>
              <w:t>（未按</w:t>
            </w:r>
            <w:r>
              <w:rPr>
                <w:rFonts w:hint="eastAsia" w:ascii="仿宋" w:hAnsi="仿宋" w:eastAsia="仿宋" w:cs="仿宋"/>
                <w:b w:val="0"/>
                <w:color w:val="auto"/>
                <w:kern w:val="0"/>
                <w:sz w:val="21"/>
                <w:szCs w:val="21"/>
                <w:highlight w:val="none"/>
                <w:lang w:eastAsia="zh-CN"/>
              </w:rPr>
              <w:t>“二、项目采购清单和参数要求”</w:t>
            </w:r>
            <w:r>
              <w:rPr>
                <w:rFonts w:hint="eastAsia" w:ascii="仿宋" w:hAnsi="仿宋" w:eastAsia="仿宋" w:cs="仿宋"/>
                <w:bCs/>
                <w:color w:val="auto"/>
                <w:kern w:val="0"/>
                <w:sz w:val="21"/>
                <w:szCs w:val="21"/>
                <w:highlight w:val="none"/>
                <w:u w:val="none"/>
              </w:rPr>
              <w:t>中</w:t>
            </w:r>
            <w:r>
              <w:rPr>
                <w:rFonts w:hint="eastAsia" w:ascii="仿宋" w:hAnsi="仿宋" w:eastAsia="仿宋" w:cs="仿宋"/>
                <w:bCs/>
                <w:color w:val="auto"/>
                <w:kern w:val="0"/>
                <w:sz w:val="21"/>
                <w:szCs w:val="21"/>
                <w:highlight w:val="none"/>
                <w:u w:val="none"/>
                <w:lang w:eastAsia="zh-CN"/>
              </w:rPr>
              <w:t>产</w:t>
            </w:r>
            <w:r>
              <w:rPr>
                <w:rFonts w:hint="eastAsia" w:ascii="仿宋" w:hAnsi="仿宋" w:eastAsia="仿宋" w:cs="仿宋"/>
                <w:bCs/>
                <w:color w:val="auto"/>
                <w:kern w:val="0"/>
                <w:sz w:val="21"/>
                <w:szCs w:val="21"/>
                <w:highlight w:val="none"/>
                <w:u w:val="none"/>
              </w:rPr>
              <w:t>品参数要求提供证明材料的</w:t>
            </w:r>
            <w:r>
              <w:rPr>
                <w:rFonts w:hint="eastAsia" w:ascii="仿宋" w:hAnsi="仿宋" w:eastAsia="仿宋" w:cs="仿宋"/>
                <w:bCs/>
                <w:color w:val="auto"/>
                <w:kern w:val="0"/>
                <w:sz w:val="21"/>
                <w:szCs w:val="21"/>
                <w:highlight w:val="none"/>
                <w:u w:val="none"/>
                <w:lang w:val="en-US" w:eastAsia="zh-CN"/>
              </w:rPr>
              <w:t>视为负偏离</w:t>
            </w:r>
            <w:r>
              <w:rPr>
                <w:rFonts w:hint="eastAsia" w:ascii="仿宋" w:hAnsi="仿宋" w:eastAsia="仿宋" w:cs="仿宋"/>
                <w:bCs/>
                <w:color w:val="auto"/>
                <w:kern w:val="0"/>
                <w:sz w:val="21"/>
                <w:szCs w:val="21"/>
                <w:highlight w:val="none"/>
                <w:u w:val="none"/>
              </w:rPr>
              <w:t>。</w:t>
            </w:r>
            <w:r>
              <w:rPr>
                <w:rFonts w:hint="eastAsia" w:ascii="仿宋" w:hAnsi="仿宋" w:eastAsia="仿宋" w:cs="仿宋"/>
                <w:b w:val="0"/>
                <w:color w:val="auto"/>
                <w:kern w:val="0"/>
                <w:sz w:val="21"/>
                <w:szCs w:val="21"/>
                <w:highlight w:val="none"/>
                <w:lang w:eastAsia="zh-CN"/>
              </w:rPr>
              <w:t>“二、项目采购清单和参数要求”</w:t>
            </w:r>
            <w:r>
              <w:rPr>
                <w:rFonts w:hint="eastAsia" w:ascii="仿宋" w:hAnsi="仿宋" w:eastAsia="仿宋" w:cs="仿宋"/>
                <w:bCs/>
                <w:color w:val="auto"/>
                <w:kern w:val="0"/>
                <w:sz w:val="21"/>
                <w:szCs w:val="21"/>
                <w:highlight w:val="none"/>
                <w:u w:val="none"/>
              </w:rPr>
              <w:t>中产品参数未要求提供证明材料的以《技术偏离表》响应为准。）</w:t>
            </w:r>
          </w:p>
        </w:tc>
        <w:tc>
          <w:tcPr>
            <w:tcW w:w="955" w:type="dxa"/>
            <w:vAlign w:val="center"/>
          </w:tcPr>
          <w:p w14:paraId="778E2156">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kern w:val="2"/>
                <w:sz w:val="21"/>
                <w:szCs w:val="21"/>
                <w:highlight w:val="none"/>
                <w:lang w:val="en-US" w:eastAsia="zh-CN" w:bidi="ar-SA"/>
              </w:rPr>
            </w:pPr>
            <w:r>
              <w:rPr>
                <w:rFonts w:hint="eastAsia" w:ascii="仿宋" w:hAnsi="仿宋" w:eastAsia="仿宋" w:cs="仿宋"/>
                <w:bCs/>
                <w:color w:val="auto"/>
                <w:szCs w:val="21"/>
                <w:highlight w:val="none"/>
                <w:lang w:val="en-US" w:eastAsia="zh-CN"/>
              </w:rPr>
              <w:t>客</w:t>
            </w:r>
            <w:r>
              <w:rPr>
                <w:rFonts w:hint="eastAsia" w:ascii="仿宋" w:hAnsi="仿宋" w:eastAsia="仿宋" w:cs="仿宋"/>
                <w:bCs/>
                <w:color w:val="auto"/>
                <w:szCs w:val="21"/>
                <w:highlight w:val="none"/>
              </w:rPr>
              <w:t>观分</w:t>
            </w:r>
          </w:p>
        </w:tc>
        <w:tc>
          <w:tcPr>
            <w:tcW w:w="955" w:type="dxa"/>
            <w:vAlign w:val="center"/>
          </w:tcPr>
          <w:p w14:paraId="017E5B8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bCs/>
                <w:kern w:val="2"/>
                <w:sz w:val="21"/>
                <w:szCs w:val="21"/>
                <w:highlight w:val="none"/>
                <w:lang w:val="en-US" w:eastAsia="zh-CN" w:bidi="ar-SA"/>
              </w:rPr>
            </w:pPr>
          </w:p>
        </w:tc>
      </w:tr>
      <w:tr w14:paraId="40F7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208CBA9C">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szCs w:val="24"/>
                <w:highlight w:val="none"/>
                <w:lang w:eastAsia="zh-CN"/>
              </w:rPr>
            </w:pPr>
            <w:r>
              <w:rPr>
                <w:rFonts w:hint="eastAsia" w:ascii="仿宋" w:hAnsi="仿宋" w:eastAsia="仿宋" w:cs="仿宋"/>
                <w:bCs/>
                <w:szCs w:val="21"/>
                <w:highlight w:val="none"/>
                <w:lang w:val="en-US" w:eastAsia="zh-CN"/>
              </w:rPr>
              <w:t>2</w:t>
            </w:r>
          </w:p>
        </w:tc>
        <w:tc>
          <w:tcPr>
            <w:tcW w:w="1198" w:type="dxa"/>
            <w:vMerge w:val="restart"/>
            <w:vAlign w:val="center"/>
          </w:tcPr>
          <w:p w14:paraId="7EBDAEDE">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项目组织实施方案</w:t>
            </w:r>
          </w:p>
        </w:tc>
        <w:tc>
          <w:tcPr>
            <w:tcW w:w="1003" w:type="dxa"/>
            <w:vAlign w:val="center"/>
          </w:tcPr>
          <w:p w14:paraId="44E6AA17">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0-5</w:t>
            </w:r>
          </w:p>
        </w:tc>
        <w:tc>
          <w:tcPr>
            <w:tcW w:w="4299" w:type="dxa"/>
            <w:vAlign w:val="center"/>
          </w:tcPr>
          <w:p w14:paraId="703258B7">
            <w:pPr>
              <w:keepNext w:val="0"/>
              <w:keepLines w:val="0"/>
              <w:pageBreakBefore w:val="0"/>
              <w:widowControl w:val="0"/>
              <w:suppressLineNumbers w:val="0"/>
              <w:kinsoku/>
              <w:overflowPunct/>
              <w:topLinePunct w:val="0"/>
              <w:bidi w:val="0"/>
              <w:adjustRightInd w:val="0"/>
              <w:snapToGrid/>
              <w:spacing w:before="0" w:beforeAutospacing="0" w:after="0" w:afterAutospacing="0" w:line="360" w:lineRule="auto"/>
              <w:ind w:left="0" w:leftChars="0" w:right="0" w:rightChars="0"/>
              <w:jc w:val="lef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kern w:val="0"/>
                <w:sz w:val="21"/>
                <w:szCs w:val="21"/>
                <w:lang w:val="en-US" w:eastAsia="zh-CN" w:bidi="ar"/>
              </w:rPr>
              <w:t>项目供货方案：针对该项目的总体部署、供货期、进度安排表、运输安排表、现场卸货及搬运入户措施等供货</w:t>
            </w:r>
            <w:r>
              <w:rPr>
                <w:rFonts w:hint="eastAsia" w:ascii="仿宋" w:hAnsi="仿宋" w:eastAsia="仿宋" w:cs="仿宋"/>
                <w:bCs/>
                <w:kern w:val="2"/>
                <w:sz w:val="21"/>
                <w:szCs w:val="21"/>
                <w:lang w:val="en-US" w:eastAsia="zh-CN" w:bidi="ar"/>
              </w:rPr>
              <w:t>方案的完整性、合理性。（分值：0/1/2/3/4/5）</w:t>
            </w:r>
          </w:p>
        </w:tc>
        <w:tc>
          <w:tcPr>
            <w:tcW w:w="955" w:type="dxa"/>
            <w:vAlign w:val="center"/>
          </w:tcPr>
          <w:p w14:paraId="1CB0C557">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1"/>
                <w:highlight w:val="none"/>
              </w:rPr>
            </w:pPr>
            <w:r>
              <w:rPr>
                <w:rFonts w:hint="eastAsia" w:ascii="仿宋" w:hAnsi="仿宋" w:eastAsia="仿宋" w:cs="仿宋"/>
                <w:bCs/>
                <w:szCs w:val="21"/>
                <w:highlight w:val="none"/>
              </w:rPr>
              <w:t>主观分</w:t>
            </w:r>
          </w:p>
        </w:tc>
        <w:tc>
          <w:tcPr>
            <w:tcW w:w="955" w:type="dxa"/>
            <w:vAlign w:val="center"/>
          </w:tcPr>
          <w:p w14:paraId="60CB3CCE">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仿宋" w:hAnsi="仿宋" w:eastAsia="仿宋" w:cs="仿宋"/>
                <w:bCs/>
                <w:sz w:val="21"/>
                <w:szCs w:val="21"/>
                <w:highlight w:val="none"/>
              </w:rPr>
            </w:pPr>
          </w:p>
        </w:tc>
      </w:tr>
      <w:tr w14:paraId="51FA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007F5CD9">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szCs w:val="24"/>
                <w:highlight w:val="none"/>
                <w:lang w:eastAsia="zh-CN"/>
              </w:rPr>
            </w:pPr>
            <w:r>
              <w:rPr>
                <w:rFonts w:hint="eastAsia" w:ascii="仿宋" w:hAnsi="仿宋" w:eastAsia="仿宋" w:cs="仿宋"/>
                <w:bCs/>
                <w:szCs w:val="21"/>
                <w:highlight w:val="none"/>
                <w:lang w:val="en-US" w:eastAsia="zh-CN"/>
              </w:rPr>
              <w:t>3</w:t>
            </w:r>
          </w:p>
        </w:tc>
        <w:tc>
          <w:tcPr>
            <w:tcW w:w="1198" w:type="dxa"/>
            <w:vMerge w:val="continue"/>
            <w:vAlign w:val="center"/>
          </w:tcPr>
          <w:p w14:paraId="6ADC7818">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eastAsia" w:ascii="仿宋" w:hAnsi="仿宋" w:eastAsia="仿宋" w:cs="仿宋"/>
                <w:bCs/>
                <w:color w:val="auto"/>
                <w:kern w:val="0"/>
                <w:sz w:val="21"/>
                <w:szCs w:val="21"/>
                <w:highlight w:val="none"/>
                <w:lang w:val="zh-CN" w:eastAsia="zh-CN" w:bidi="ar-SA"/>
              </w:rPr>
            </w:pPr>
          </w:p>
        </w:tc>
        <w:tc>
          <w:tcPr>
            <w:tcW w:w="1003" w:type="dxa"/>
            <w:vAlign w:val="center"/>
          </w:tcPr>
          <w:p w14:paraId="6977E0C3">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0-5</w:t>
            </w:r>
          </w:p>
        </w:tc>
        <w:tc>
          <w:tcPr>
            <w:tcW w:w="4299" w:type="dxa"/>
            <w:vAlign w:val="center"/>
          </w:tcPr>
          <w:p w14:paraId="4B78292A">
            <w:pPr>
              <w:keepNext w:val="0"/>
              <w:keepLines w:val="0"/>
              <w:pageBreakBefore w:val="0"/>
              <w:widowControl w:val="0"/>
              <w:suppressLineNumbers w:val="0"/>
              <w:kinsoku/>
              <w:wordWrap w:val="0"/>
              <w:overflowPunct/>
              <w:topLinePunct w:val="0"/>
              <w:bidi w:val="0"/>
              <w:adjustRightInd w:val="0"/>
              <w:snapToGrid/>
              <w:spacing w:before="0" w:beforeAutospacing="0" w:after="0" w:afterAutospacing="0" w:line="360" w:lineRule="auto"/>
              <w:ind w:left="0" w:leftChars="0" w:right="0" w:rightChars="0"/>
              <w:jc w:val="left"/>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kern w:val="0"/>
                <w:sz w:val="21"/>
                <w:szCs w:val="21"/>
                <w:lang w:val="en-US" w:eastAsia="zh-CN" w:bidi="ar"/>
              </w:rPr>
              <w:t>项目生产方案：针对本项目的产品生产流程、制作工艺流程程序控制方案科学性、</w:t>
            </w:r>
            <w:r>
              <w:rPr>
                <w:rFonts w:hint="eastAsia" w:ascii="仿宋" w:hAnsi="仿宋" w:eastAsia="仿宋" w:cs="仿宋"/>
                <w:bCs/>
                <w:kern w:val="2"/>
                <w:sz w:val="21"/>
                <w:szCs w:val="21"/>
                <w:lang w:val="en-US" w:eastAsia="zh-CN" w:bidi="ar"/>
              </w:rPr>
              <w:t>内容完整性。（分值：0/1/2/3/4/5）</w:t>
            </w:r>
          </w:p>
        </w:tc>
        <w:tc>
          <w:tcPr>
            <w:tcW w:w="955" w:type="dxa"/>
            <w:vAlign w:val="center"/>
          </w:tcPr>
          <w:p w14:paraId="3FAB8361">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rPr>
              <w:t>主观分</w:t>
            </w:r>
          </w:p>
        </w:tc>
        <w:tc>
          <w:tcPr>
            <w:tcW w:w="955" w:type="dxa"/>
            <w:vAlign w:val="center"/>
          </w:tcPr>
          <w:p w14:paraId="0FB15035">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仿宋" w:hAnsi="仿宋" w:eastAsia="仿宋" w:cs="仿宋"/>
                <w:bCs/>
                <w:sz w:val="21"/>
                <w:szCs w:val="21"/>
                <w:highlight w:val="none"/>
              </w:rPr>
            </w:pPr>
          </w:p>
        </w:tc>
      </w:tr>
      <w:tr w14:paraId="0218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275FEE24">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4</w:t>
            </w:r>
          </w:p>
        </w:tc>
        <w:tc>
          <w:tcPr>
            <w:tcW w:w="1198" w:type="dxa"/>
            <w:vMerge w:val="continue"/>
            <w:vAlign w:val="center"/>
          </w:tcPr>
          <w:p w14:paraId="4D8F6D02">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p>
        </w:tc>
        <w:tc>
          <w:tcPr>
            <w:tcW w:w="1003" w:type="dxa"/>
            <w:vAlign w:val="center"/>
          </w:tcPr>
          <w:p w14:paraId="3B89BE9A">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4299" w:type="dxa"/>
            <w:vAlign w:val="center"/>
          </w:tcPr>
          <w:p w14:paraId="702AE55A">
            <w:pPr>
              <w:keepNext w:val="0"/>
              <w:keepLines w:val="0"/>
              <w:pageBreakBefore w:val="0"/>
              <w:widowControl w:val="0"/>
              <w:suppressLineNumbers w:val="0"/>
              <w:kinsoku/>
              <w:wordWrap w:val="0"/>
              <w:overflowPunct/>
              <w:topLinePunct w:val="0"/>
              <w:bidi w:val="0"/>
              <w:adjustRightInd w:val="0"/>
              <w:snapToGrid/>
              <w:spacing w:before="0" w:beforeAutospacing="0" w:after="0" w:afterAutospacing="0" w:line="360" w:lineRule="auto"/>
              <w:ind w:left="0" w:leftChars="0" w:right="0" w:right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kern w:val="0"/>
                <w:sz w:val="21"/>
                <w:szCs w:val="21"/>
                <w:lang w:val="en-US" w:eastAsia="zh-CN" w:bidi="ar"/>
              </w:rPr>
              <w:t>项目检验方案：针对本项目的产品质量检验程序控制方案科学性、</w:t>
            </w:r>
            <w:r>
              <w:rPr>
                <w:rFonts w:hint="eastAsia" w:ascii="仿宋" w:hAnsi="仿宋" w:eastAsia="仿宋" w:cs="仿宋"/>
                <w:bCs/>
                <w:kern w:val="2"/>
                <w:sz w:val="21"/>
                <w:szCs w:val="21"/>
                <w:lang w:val="en-US" w:eastAsia="zh-CN" w:bidi="ar"/>
              </w:rPr>
              <w:t>内容完整性。（分值：0/1/2/3/4/5）</w:t>
            </w:r>
          </w:p>
        </w:tc>
        <w:tc>
          <w:tcPr>
            <w:tcW w:w="955" w:type="dxa"/>
            <w:vAlign w:val="center"/>
          </w:tcPr>
          <w:p w14:paraId="3D5D5828">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14:paraId="58BFE364">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仿宋" w:hAnsi="仿宋" w:eastAsia="仿宋" w:cs="仿宋"/>
                <w:bCs/>
                <w:sz w:val="21"/>
                <w:szCs w:val="21"/>
                <w:highlight w:val="none"/>
              </w:rPr>
            </w:pPr>
          </w:p>
        </w:tc>
      </w:tr>
      <w:tr w14:paraId="5E4C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5B8C066F">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5</w:t>
            </w:r>
          </w:p>
        </w:tc>
        <w:tc>
          <w:tcPr>
            <w:tcW w:w="1198" w:type="dxa"/>
            <w:vMerge w:val="continue"/>
            <w:vAlign w:val="center"/>
          </w:tcPr>
          <w:p w14:paraId="153F7547">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p>
        </w:tc>
        <w:tc>
          <w:tcPr>
            <w:tcW w:w="1003" w:type="dxa"/>
            <w:vAlign w:val="center"/>
          </w:tcPr>
          <w:p w14:paraId="5920E1F6">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4299" w:type="dxa"/>
            <w:vAlign w:val="center"/>
          </w:tcPr>
          <w:p w14:paraId="6BE9958A">
            <w:pPr>
              <w:keepNext w:val="0"/>
              <w:keepLines w:val="0"/>
              <w:pageBreakBefore w:val="0"/>
              <w:widowControl w:val="0"/>
              <w:suppressLineNumbers w:val="0"/>
              <w:kinsoku/>
              <w:wordWrap w:val="0"/>
              <w:overflowPunct/>
              <w:topLinePunct w:val="0"/>
              <w:bidi w:val="0"/>
              <w:adjustRightInd w:val="0"/>
              <w:snapToGrid/>
              <w:spacing w:before="0" w:beforeAutospacing="0" w:after="0" w:afterAutospacing="0" w:line="36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项目安装管理方案：针对本项目的现场安装计划，安装质量保障方案等完整性、合理性。（分值：0/1/2/3/4/5）</w:t>
            </w:r>
          </w:p>
        </w:tc>
        <w:tc>
          <w:tcPr>
            <w:tcW w:w="955" w:type="dxa"/>
            <w:vAlign w:val="center"/>
          </w:tcPr>
          <w:p w14:paraId="33A57C6E">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14:paraId="1A59B50E">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仿宋" w:hAnsi="仿宋" w:eastAsia="仿宋" w:cs="仿宋"/>
                <w:bCs/>
                <w:sz w:val="21"/>
                <w:szCs w:val="21"/>
                <w:highlight w:val="none"/>
              </w:rPr>
            </w:pPr>
          </w:p>
        </w:tc>
      </w:tr>
      <w:tr w14:paraId="6005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38C2241D">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1"/>
                <w:highlight w:val="none"/>
                <w:lang w:val="en-US" w:eastAsia="zh-CN"/>
              </w:rPr>
            </w:pPr>
            <w:r>
              <w:rPr>
                <w:rFonts w:hint="eastAsia" w:ascii="仿宋" w:hAnsi="仿宋" w:eastAsia="仿宋" w:cs="仿宋"/>
                <w:bCs/>
                <w:szCs w:val="21"/>
                <w:highlight w:val="none"/>
                <w:lang w:val="en-US" w:eastAsia="zh-CN"/>
              </w:rPr>
              <w:t>6</w:t>
            </w:r>
          </w:p>
        </w:tc>
        <w:tc>
          <w:tcPr>
            <w:tcW w:w="1198" w:type="dxa"/>
            <w:vAlign w:val="center"/>
          </w:tcPr>
          <w:p w14:paraId="6A2AD922">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窗帘效果图</w:t>
            </w:r>
          </w:p>
        </w:tc>
        <w:tc>
          <w:tcPr>
            <w:tcW w:w="1003" w:type="dxa"/>
            <w:vAlign w:val="center"/>
          </w:tcPr>
          <w:p w14:paraId="01FBFDC2">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4299" w:type="dxa"/>
            <w:vAlign w:val="center"/>
          </w:tcPr>
          <w:p w14:paraId="78A98EBD">
            <w:pPr>
              <w:keepNext w:val="0"/>
              <w:keepLines w:val="0"/>
              <w:pageBreakBefore w:val="0"/>
              <w:widowControl w:val="0"/>
              <w:suppressLineNumbers w:val="0"/>
              <w:kinsoku/>
              <w:wordWrap w:val="0"/>
              <w:overflowPunct/>
              <w:topLinePunct w:val="0"/>
              <w:bidi w:val="0"/>
              <w:adjustRightInd w:val="0"/>
              <w:snapToGrid/>
              <w:spacing w:before="0" w:beforeAutospacing="0" w:after="0" w:afterAutospacing="0" w:line="360" w:lineRule="auto"/>
              <w:ind w:left="0" w:leftChars="0" w:right="0" w:right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投标人根据提供的建筑平面图，提供各类窗帘布置完成的整体效果图，根据效果图的美观度、布置合理性进行打分。（分值：0/1/2/3/4/5）</w:t>
            </w:r>
          </w:p>
        </w:tc>
        <w:tc>
          <w:tcPr>
            <w:tcW w:w="955" w:type="dxa"/>
            <w:vAlign w:val="center"/>
          </w:tcPr>
          <w:p w14:paraId="6B4FB2EF">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主观分</w:t>
            </w:r>
          </w:p>
        </w:tc>
        <w:tc>
          <w:tcPr>
            <w:tcW w:w="955" w:type="dxa"/>
            <w:vAlign w:val="center"/>
          </w:tcPr>
          <w:p w14:paraId="0A1661C4">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仿宋" w:hAnsi="仿宋" w:eastAsia="仿宋" w:cs="仿宋"/>
                <w:bCs/>
                <w:sz w:val="21"/>
                <w:szCs w:val="21"/>
                <w:highlight w:val="none"/>
              </w:rPr>
            </w:pPr>
          </w:p>
        </w:tc>
      </w:tr>
      <w:tr w14:paraId="2A69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67AB5898">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4"/>
                <w:highlight w:val="none"/>
                <w:lang w:val="en-US" w:eastAsia="zh-CN"/>
              </w:rPr>
            </w:pPr>
            <w:r>
              <w:rPr>
                <w:rFonts w:hint="eastAsia" w:ascii="仿宋" w:hAnsi="仿宋" w:eastAsia="仿宋" w:cs="仿宋"/>
                <w:bCs/>
                <w:szCs w:val="21"/>
                <w:highlight w:val="none"/>
                <w:lang w:val="en-US" w:eastAsia="zh-CN"/>
              </w:rPr>
              <w:t>7</w:t>
            </w:r>
          </w:p>
        </w:tc>
        <w:tc>
          <w:tcPr>
            <w:tcW w:w="1198" w:type="dxa"/>
            <w:vAlign w:val="center"/>
          </w:tcPr>
          <w:p w14:paraId="07B683BA">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 w:val="21"/>
                <w:szCs w:val="21"/>
                <w:highlight w:val="none"/>
              </w:rPr>
              <w:t>售后服务</w:t>
            </w:r>
            <w:r>
              <w:rPr>
                <w:rFonts w:hint="eastAsia" w:ascii="仿宋" w:hAnsi="仿宋" w:eastAsia="仿宋" w:cs="仿宋"/>
                <w:color w:val="auto"/>
                <w:sz w:val="21"/>
                <w:szCs w:val="21"/>
                <w:highlight w:val="none"/>
                <w:lang w:eastAsia="zh-CN"/>
              </w:rPr>
              <w:t>方案</w:t>
            </w:r>
          </w:p>
        </w:tc>
        <w:tc>
          <w:tcPr>
            <w:tcW w:w="1003" w:type="dxa"/>
            <w:vAlign w:val="center"/>
          </w:tcPr>
          <w:p w14:paraId="231E0B3E">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31" w:leftChars="0" w:right="0" w:rightChars="0" w:hanging="31" w:hangingChars="15"/>
              <w:jc w:val="center"/>
              <w:textAlignment w:val="auto"/>
              <w:rPr>
                <w:rFonts w:hint="default"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0-6</w:t>
            </w:r>
          </w:p>
        </w:tc>
        <w:tc>
          <w:tcPr>
            <w:tcW w:w="4299" w:type="dxa"/>
            <w:vAlign w:val="center"/>
          </w:tcPr>
          <w:p w14:paraId="24A09C3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（1）售后服务方案（售后服务承诺、售后服务人员和服务机构设置、保障措施、质保期外费用计取等情况）完整、可行性。（分值：0/1/2/3）</w:t>
            </w:r>
          </w:p>
          <w:p w14:paraId="01DAE9D4">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right="0"/>
              <w:jc w:val="both"/>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（2）质保期在满足采购需求（5年）的基础上，每增加一年得1分，最高得3分。证明材料提供《承诺书》（格式按“第五部分  投标文件”要求）</w:t>
            </w:r>
          </w:p>
        </w:tc>
        <w:tc>
          <w:tcPr>
            <w:tcW w:w="955" w:type="dxa"/>
            <w:vAlign w:val="center"/>
          </w:tcPr>
          <w:p w14:paraId="4468E2CE">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14:paraId="2B77CCEE">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仿宋" w:hAnsi="仿宋" w:eastAsia="仿宋" w:cs="仿宋"/>
                <w:bCs/>
                <w:sz w:val="21"/>
                <w:szCs w:val="21"/>
                <w:highlight w:val="none"/>
              </w:rPr>
            </w:pPr>
          </w:p>
        </w:tc>
      </w:tr>
      <w:tr w14:paraId="219F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71" w:type="dxa"/>
            <w:vMerge w:val="restart"/>
            <w:vAlign w:val="center"/>
          </w:tcPr>
          <w:p w14:paraId="30AB2F86">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4"/>
                <w:highlight w:val="none"/>
                <w:lang w:val="en-US" w:eastAsia="zh-CN"/>
              </w:rPr>
            </w:pPr>
            <w:r>
              <w:rPr>
                <w:rFonts w:hint="eastAsia" w:ascii="仿宋" w:hAnsi="仿宋" w:eastAsia="仿宋" w:cs="仿宋"/>
                <w:bCs/>
                <w:szCs w:val="21"/>
                <w:highlight w:val="none"/>
                <w:lang w:val="en-US" w:eastAsia="zh-CN"/>
              </w:rPr>
              <w:t>8</w:t>
            </w:r>
          </w:p>
        </w:tc>
        <w:tc>
          <w:tcPr>
            <w:tcW w:w="1198" w:type="dxa"/>
            <w:vMerge w:val="restart"/>
            <w:vAlign w:val="center"/>
          </w:tcPr>
          <w:p w14:paraId="377F5312">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val="en-US" w:eastAsia="zh-CN"/>
              </w:rPr>
              <w:t>样品评审</w:t>
            </w:r>
          </w:p>
        </w:tc>
        <w:tc>
          <w:tcPr>
            <w:tcW w:w="1003" w:type="dxa"/>
            <w:vAlign w:val="center"/>
          </w:tcPr>
          <w:p w14:paraId="6CAD9208">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 w:val="0"/>
                <w:bCs/>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0-2.5</w:t>
            </w:r>
          </w:p>
        </w:tc>
        <w:tc>
          <w:tcPr>
            <w:tcW w:w="4299" w:type="dxa"/>
            <w:vAlign w:val="center"/>
          </w:tcPr>
          <w:p w14:paraId="597C7E16">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b w:val="0"/>
                <w:bCs w:val="0"/>
                <w:color w:val="auto"/>
                <w:spacing w:val="14"/>
                <w:sz w:val="21"/>
                <w:szCs w:val="21"/>
                <w:highlight w:val="none"/>
                <w:lang w:eastAsia="zh-CN"/>
              </w:rPr>
            </w:pPr>
            <w:r>
              <w:rPr>
                <w:rFonts w:hint="eastAsia" w:ascii="仿宋" w:hAnsi="仿宋" w:eastAsia="仿宋" w:cs="仿宋"/>
                <w:b w:val="0"/>
                <w:bCs w:val="0"/>
                <w:color w:val="auto"/>
                <w:spacing w:val="14"/>
                <w:sz w:val="21"/>
                <w:szCs w:val="21"/>
                <w:highlight w:val="none"/>
                <w:lang w:eastAsia="zh-CN"/>
              </w:rPr>
              <w:t>手动布帘1：</w:t>
            </w:r>
          </w:p>
          <w:p w14:paraId="1B9CB386">
            <w:pPr>
              <w:keepNext w:val="0"/>
              <w:keepLines w:val="0"/>
              <w:pageBreakBefore w:val="0"/>
              <w:widowControl/>
              <w:suppressLineNumbers w:val="0"/>
              <w:kinsoku/>
              <w:overflowPunct/>
              <w:topLinePunct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1）面料手感舒适（0.1-0.5分）</w:t>
            </w:r>
          </w:p>
          <w:p w14:paraId="01CDA4E8">
            <w:pPr>
              <w:keepNext w:val="0"/>
              <w:keepLines w:val="0"/>
              <w:pageBreakBefore w:val="0"/>
              <w:widowControl/>
              <w:suppressLineNumbers w:val="0"/>
              <w:kinsoku/>
              <w:overflowPunct/>
              <w:topLinePunct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2）面料编织平整均匀（0.1-0.5分）</w:t>
            </w:r>
          </w:p>
          <w:p w14:paraId="20DF79B7">
            <w:pPr>
              <w:keepNext w:val="0"/>
              <w:keepLines w:val="0"/>
              <w:pageBreakBefore w:val="0"/>
              <w:widowControl/>
              <w:suppressLineNumbers w:val="0"/>
              <w:kinsoku/>
              <w:overflowPunct/>
              <w:topLinePunct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3）配件搭配协调（0.1-0.5分）</w:t>
            </w:r>
          </w:p>
          <w:p w14:paraId="5CD6095F">
            <w:pPr>
              <w:keepNext w:val="0"/>
              <w:keepLines w:val="0"/>
              <w:pageBreakBefore w:val="0"/>
              <w:widowControl/>
              <w:suppressLineNumbers w:val="0"/>
              <w:kinsoku/>
              <w:overflowPunct/>
              <w:topLinePunct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4）整体视觉效果精美（0.1-1分）</w:t>
            </w:r>
          </w:p>
          <w:p w14:paraId="5B1B6ED3">
            <w:pPr>
              <w:keepNext w:val="0"/>
              <w:keepLines w:val="0"/>
              <w:pageBreakBefore w:val="0"/>
              <w:widowControl/>
              <w:numPr>
                <w:ilvl w:val="-1"/>
                <w:numId w:val="0"/>
              </w:numPr>
              <w:suppressLineNumbers w:val="0"/>
              <w:kinsoku/>
              <w:wordWrap w:val="0"/>
              <w:overflowPunct/>
              <w:topLinePunct w:val="0"/>
              <w:bidi w:val="0"/>
              <w:adjustRightInd w:val="0"/>
              <w:snapToGrid/>
              <w:spacing w:before="0" w:beforeAutospacing="0" w:after="0" w:afterAutospacing="0" w:line="360" w:lineRule="auto"/>
              <w:ind w:left="0" w:leftChars="0" w:right="0" w:firstLine="0" w:firstLineChars="0"/>
              <w:jc w:val="both"/>
              <w:textAlignment w:val="auto"/>
              <w:rPr>
                <w:rFonts w:hint="eastAsia" w:ascii="仿宋" w:hAnsi="仿宋" w:eastAsia="仿宋" w:cs="仿宋"/>
                <w:b w:val="0"/>
                <w:bCs/>
                <w:color w:val="auto"/>
                <w:kern w:val="0"/>
                <w:sz w:val="21"/>
                <w:szCs w:val="21"/>
                <w:highlight w:val="none"/>
                <w:lang w:val="zh-CN" w:eastAsia="zh-CN" w:bidi="ar-SA"/>
              </w:rPr>
            </w:pPr>
            <w:r>
              <w:rPr>
                <w:rFonts w:hint="eastAsia" w:ascii="仿宋" w:hAnsi="仿宋" w:eastAsia="仿宋" w:cs="仿宋"/>
                <w:i w:val="0"/>
                <w:iCs w:val="0"/>
                <w:color w:val="auto"/>
                <w:kern w:val="2"/>
                <w:sz w:val="21"/>
                <w:szCs w:val="21"/>
                <w:highlight w:val="none"/>
                <w:u w:val="none"/>
                <w:lang w:val="en-US" w:eastAsia="zh-CN" w:bidi="ar"/>
              </w:rPr>
              <w:t>未提供样品或提供样品明显不符合招标文件技术要求的，该项样品得分按0分计。</w:t>
            </w:r>
          </w:p>
        </w:tc>
        <w:tc>
          <w:tcPr>
            <w:tcW w:w="955" w:type="dxa"/>
            <w:vAlign w:val="center"/>
          </w:tcPr>
          <w:p w14:paraId="59470E2A">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rPr>
              <w:t>主观分</w:t>
            </w:r>
          </w:p>
        </w:tc>
        <w:tc>
          <w:tcPr>
            <w:tcW w:w="955" w:type="dxa"/>
            <w:vAlign w:val="center"/>
          </w:tcPr>
          <w:p w14:paraId="7D9B62A7">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仿宋" w:hAnsi="仿宋" w:eastAsia="仿宋" w:cs="仿宋"/>
                <w:bCs/>
                <w:sz w:val="21"/>
                <w:szCs w:val="21"/>
                <w:highlight w:val="none"/>
              </w:rPr>
            </w:pPr>
          </w:p>
        </w:tc>
      </w:tr>
      <w:tr w14:paraId="5FFB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71" w:type="dxa"/>
            <w:vMerge w:val="continue"/>
            <w:vAlign w:val="center"/>
          </w:tcPr>
          <w:p w14:paraId="4E223357">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szCs w:val="21"/>
                <w:highlight w:val="none"/>
                <w:lang w:val="en-US" w:eastAsia="zh-CN"/>
              </w:rPr>
            </w:pPr>
          </w:p>
        </w:tc>
        <w:tc>
          <w:tcPr>
            <w:tcW w:w="1198" w:type="dxa"/>
            <w:vMerge w:val="continue"/>
            <w:vAlign w:val="center"/>
          </w:tcPr>
          <w:p w14:paraId="1F58AB83">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0" w:right="0"/>
              <w:jc w:val="left"/>
              <w:textAlignment w:val="auto"/>
              <w:rPr>
                <w:rFonts w:hint="eastAsia" w:ascii="仿宋" w:hAnsi="仿宋" w:eastAsia="仿宋" w:cs="仿宋"/>
                <w:color w:val="auto"/>
                <w:sz w:val="21"/>
                <w:szCs w:val="21"/>
                <w:highlight w:val="none"/>
                <w:lang w:val="en-US" w:eastAsia="zh-CN"/>
              </w:rPr>
            </w:pPr>
          </w:p>
        </w:tc>
        <w:tc>
          <w:tcPr>
            <w:tcW w:w="1003" w:type="dxa"/>
            <w:vAlign w:val="center"/>
          </w:tcPr>
          <w:p w14:paraId="01B4688E">
            <w:pPr>
              <w:keepNext w:val="0"/>
              <w:keepLines w:val="0"/>
              <w:pageBreakBefore w:val="0"/>
              <w:suppressLineNumbers w:val="0"/>
              <w:kinsoku/>
              <w:wordWrap/>
              <w:overflowPunct/>
              <w:topLinePunct w:val="0"/>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0-2.5</w:t>
            </w:r>
          </w:p>
        </w:tc>
        <w:tc>
          <w:tcPr>
            <w:tcW w:w="4299" w:type="dxa"/>
            <w:vAlign w:val="center"/>
          </w:tcPr>
          <w:p w14:paraId="7F41C89B">
            <w:pPr>
              <w:keepNext w:val="0"/>
              <w:keepLines w:val="0"/>
              <w:pageBreakBefore w:val="0"/>
              <w:widowControl/>
              <w:numPr>
                <w:ilvl w:val="-1"/>
                <w:numId w:val="0"/>
              </w:numPr>
              <w:suppressLineNumbers w:val="0"/>
              <w:kinsoku/>
              <w:wordWrap w:val="0"/>
              <w:overflowPunct/>
              <w:topLinePunct w:val="0"/>
              <w:bidi w:val="0"/>
              <w:adjustRightInd w:val="0"/>
              <w:snapToGrid/>
              <w:spacing w:before="0" w:beforeAutospacing="0" w:after="0" w:afterAutospacing="0" w:line="360" w:lineRule="auto"/>
              <w:ind w:left="0" w:leftChars="0" w:right="0" w:firstLine="0" w:firstLineChars="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手动布帘2：</w:t>
            </w:r>
          </w:p>
          <w:p w14:paraId="3016608A">
            <w:pPr>
              <w:keepNext w:val="0"/>
              <w:keepLines w:val="0"/>
              <w:pageBreakBefore w:val="0"/>
              <w:widowControl/>
              <w:numPr>
                <w:ilvl w:val="-1"/>
                <w:numId w:val="0"/>
              </w:numPr>
              <w:suppressLineNumbers w:val="0"/>
              <w:kinsoku/>
              <w:wordWrap w:val="0"/>
              <w:overflowPunct/>
              <w:topLinePunct w:val="0"/>
              <w:bidi w:val="0"/>
              <w:adjustRightInd w:val="0"/>
              <w:snapToGrid/>
              <w:spacing w:before="0" w:beforeAutospacing="0" w:after="0" w:afterAutospacing="0" w:line="360" w:lineRule="auto"/>
              <w:ind w:left="0" w:leftChars="0" w:right="0" w:firstLine="0" w:firstLineChars="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1）面料手感舒适（0.1-0.5分）</w:t>
            </w:r>
          </w:p>
          <w:p w14:paraId="1835A146">
            <w:pPr>
              <w:keepNext w:val="0"/>
              <w:keepLines w:val="0"/>
              <w:pageBreakBefore w:val="0"/>
              <w:widowControl/>
              <w:numPr>
                <w:ilvl w:val="-1"/>
                <w:numId w:val="0"/>
              </w:numPr>
              <w:suppressLineNumbers w:val="0"/>
              <w:kinsoku/>
              <w:wordWrap w:val="0"/>
              <w:overflowPunct/>
              <w:topLinePunct w:val="0"/>
              <w:bidi w:val="0"/>
              <w:adjustRightInd w:val="0"/>
              <w:snapToGrid/>
              <w:spacing w:before="0" w:beforeAutospacing="0" w:after="0" w:afterAutospacing="0" w:line="360" w:lineRule="auto"/>
              <w:ind w:left="0" w:leftChars="0" w:right="0" w:firstLine="0" w:firstLineChars="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2）面料编织平整均匀（0.1-0.5分）</w:t>
            </w:r>
          </w:p>
          <w:p w14:paraId="0CEC7317">
            <w:pPr>
              <w:keepNext w:val="0"/>
              <w:keepLines w:val="0"/>
              <w:pageBreakBefore w:val="0"/>
              <w:widowControl/>
              <w:numPr>
                <w:ilvl w:val="-1"/>
                <w:numId w:val="0"/>
              </w:numPr>
              <w:suppressLineNumbers w:val="0"/>
              <w:kinsoku/>
              <w:wordWrap w:val="0"/>
              <w:overflowPunct/>
              <w:topLinePunct w:val="0"/>
              <w:bidi w:val="0"/>
              <w:adjustRightInd w:val="0"/>
              <w:snapToGrid/>
              <w:spacing w:before="0" w:beforeAutospacing="0" w:after="0" w:afterAutospacing="0" w:line="360" w:lineRule="auto"/>
              <w:ind w:left="0" w:leftChars="0" w:right="0" w:firstLine="0" w:firstLineChars="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3）配件搭配协调（0.1-0.5分）</w:t>
            </w:r>
          </w:p>
          <w:p w14:paraId="71322B79">
            <w:pPr>
              <w:keepNext w:val="0"/>
              <w:keepLines w:val="0"/>
              <w:pageBreakBefore w:val="0"/>
              <w:widowControl/>
              <w:numPr>
                <w:ilvl w:val="-1"/>
                <w:numId w:val="0"/>
              </w:numPr>
              <w:suppressLineNumbers w:val="0"/>
              <w:kinsoku/>
              <w:wordWrap w:val="0"/>
              <w:overflowPunct/>
              <w:topLinePunct w:val="0"/>
              <w:bidi w:val="0"/>
              <w:adjustRightInd w:val="0"/>
              <w:snapToGrid/>
              <w:spacing w:before="0" w:beforeAutospacing="0" w:after="0" w:afterAutospacing="0" w:line="360" w:lineRule="auto"/>
              <w:ind w:left="0" w:leftChars="0" w:right="0" w:firstLine="0" w:firstLineChars="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4）整体视觉效果精美（0.1-1分）</w:t>
            </w:r>
          </w:p>
          <w:p w14:paraId="46CA9715">
            <w:pPr>
              <w:keepNext w:val="0"/>
              <w:keepLines w:val="0"/>
              <w:pageBreakBefore w:val="0"/>
              <w:widowControl/>
              <w:numPr>
                <w:ilvl w:val="-1"/>
                <w:numId w:val="0"/>
              </w:numPr>
              <w:suppressLineNumbers w:val="0"/>
              <w:kinsoku/>
              <w:wordWrap w:val="0"/>
              <w:overflowPunct/>
              <w:topLinePunct w:val="0"/>
              <w:bidi w:val="0"/>
              <w:adjustRightInd w:val="0"/>
              <w:snapToGrid/>
              <w:spacing w:before="0" w:beforeAutospacing="0" w:after="0" w:afterAutospacing="0" w:line="360" w:lineRule="auto"/>
              <w:ind w:left="0" w:leftChars="0" w:right="0" w:firstLine="0" w:firstLineChars="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未提供样品或提供样品明显不符合招标文件技术要求的，该项样品得分按0分计。</w:t>
            </w:r>
          </w:p>
        </w:tc>
        <w:tc>
          <w:tcPr>
            <w:tcW w:w="955" w:type="dxa"/>
            <w:vAlign w:val="center"/>
          </w:tcPr>
          <w:p w14:paraId="47A5AA4B">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14:paraId="00A38632">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仿宋" w:hAnsi="仿宋" w:eastAsia="仿宋" w:cs="仿宋"/>
                <w:bCs/>
                <w:sz w:val="21"/>
                <w:szCs w:val="21"/>
                <w:highlight w:val="none"/>
              </w:rPr>
            </w:pPr>
          </w:p>
        </w:tc>
      </w:tr>
      <w:tr w14:paraId="4DDA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71" w:type="dxa"/>
            <w:vMerge w:val="continue"/>
            <w:vAlign w:val="center"/>
          </w:tcPr>
          <w:p w14:paraId="098FFE07">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4"/>
                <w:highlight w:val="none"/>
                <w:lang w:val="en-US" w:eastAsia="zh-CN"/>
              </w:rPr>
            </w:pPr>
          </w:p>
        </w:tc>
        <w:tc>
          <w:tcPr>
            <w:tcW w:w="1198" w:type="dxa"/>
            <w:vMerge w:val="continue"/>
            <w:vAlign w:val="center"/>
          </w:tcPr>
          <w:p w14:paraId="212978E8">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Cs w:val="21"/>
                <w:highlight w:val="none"/>
              </w:rPr>
            </w:pPr>
          </w:p>
        </w:tc>
        <w:tc>
          <w:tcPr>
            <w:tcW w:w="1003" w:type="dxa"/>
            <w:vAlign w:val="center"/>
          </w:tcPr>
          <w:p w14:paraId="0DAA5F38">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color w:val="auto"/>
                <w:sz w:val="21"/>
                <w:szCs w:val="21"/>
                <w:highlight w:val="none"/>
                <w:lang w:val="en-US" w:eastAsia="zh-CN"/>
              </w:rPr>
              <w:t>0-2.5</w:t>
            </w:r>
          </w:p>
        </w:tc>
        <w:tc>
          <w:tcPr>
            <w:tcW w:w="4299" w:type="dxa"/>
            <w:vAlign w:val="center"/>
          </w:tcPr>
          <w:p w14:paraId="6265AA1C">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b w:val="0"/>
                <w:bCs w:val="0"/>
                <w:color w:val="auto"/>
                <w:spacing w:val="14"/>
                <w:sz w:val="21"/>
                <w:szCs w:val="21"/>
                <w:highlight w:val="none"/>
                <w:lang w:eastAsia="zh-CN"/>
              </w:rPr>
            </w:pPr>
            <w:r>
              <w:rPr>
                <w:rFonts w:hint="eastAsia" w:ascii="仿宋" w:hAnsi="仿宋" w:eastAsia="仿宋" w:cs="仿宋"/>
                <w:b w:val="0"/>
                <w:bCs w:val="0"/>
                <w:color w:val="auto"/>
                <w:spacing w:val="14"/>
                <w:sz w:val="21"/>
                <w:szCs w:val="21"/>
                <w:highlight w:val="none"/>
                <w:lang w:eastAsia="zh-CN"/>
              </w:rPr>
              <w:t>手动3%透景卷帘：</w:t>
            </w:r>
          </w:p>
          <w:p w14:paraId="292724D9">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1）面料手感舒适（0.1-0.5分）</w:t>
            </w:r>
          </w:p>
          <w:p w14:paraId="3B1F0B63">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2）面料编织平整均匀（0.1-0.5分）</w:t>
            </w:r>
          </w:p>
          <w:p w14:paraId="6B1DFC9A">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3）配件搭配协调（0.1-0.5分）</w:t>
            </w:r>
          </w:p>
          <w:p w14:paraId="144E04F7">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4）整体视觉效果精美（0.1-1分）</w:t>
            </w:r>
          </w:p>
          <w:p w14:paraId="5EC74EC4">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color w:val="auto"/>
                <w:szCs w:val="21"/>
                <w:highlight w:val="none"/>
              </w:rPr>
            </w:pPr>
            <w:r>
              <w:rPr>
                <w:rFonts w:hint="eastAsia" w:ascii="仿宋" w:hAnsi="仿宋" w:eastAsia="仿宋" w:cs="仿宋"/>
                <w:i w:val="0"/>
                <w:iCs w:val="0"/>
                <w:color w:val="auto"/>
                <w:kern w:val="2"/>
                <w:sz w:val="21"/>
                <w:szCs w:val="21"/>
                <w:highlight w:val="none"/>
                <w:u w:val="none"/>
                <w:lang w:val="en-US" w:eastAsia="zh-CN" w:bidi="ar"/>
              </w:rPr>
              <w:t>未提供样品或提供样品明显不符合招标文件技术要求的，该项样品得分按0分计。</w:t>
            </w:r>
          </w:p>
        </w:tc>
        <w:tc>
          <w:tcPr>
            <w:tcW w:w="955" w:type="dxa"/>
            <w:vAlign w:val="center"/>
          </w:tcPr>
          <w:p w14:paraId="07E629F7">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14:paraId="16160D1A">
            <w:pPr>
              <w:keepNext w:val="0"/>
              <w:keepLines w:val="0"/>
              <w:pageBreakBefore w:val="0"/>
              <w:suppressLineNumbers w:val="0"/>
              <w:kinsoku/>
              <w:overflowPunct/>
              <w:topLinePunct w:val="0"/>
              <w:bidi w:val="0"/>
              <w:adjustRightInd w:val="0"/>
              <w:snapToGrid/>
              <w:spacing w:before="0" w:beforeAutospacing="0" w:after="0" w:afterAutospacing="0" w:line="360" w:lineRule="auto"/>
              <w:ind w:left="0" w:right="0"/>
              <w:textAlignment w:val="auto"/>
              <w:rPr>
                <w:rFonts w:hint="default" w:ascii="仿宋" w:hAnsi="仿宋" w:eastAsia="仿宋" w:cs="仿宋"/>
                <w:szCs w:val="21"/>
                <w:highlight w:val="none"/>
              </w:rPr>
            </w:pPr>
          </w:p>
        </w:tc>
      </w:tr>
      <w:tr w14:paraId="563B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71" w:type="dxa"/>
            <w:vMerge w:val="continue"/>
            <w:vAlign w:val="center"/>
          </w:tcPr>
          <w:p w14:paraId="00271F68">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bCs/>
                <w:szCs w:val="24"/>
                <w:highlight w:val="none"/>
                <w:lang w:val="en-US" w:eastAsia="zh-CN"/>
              </w:rPr>
            </w:pPr>
          </w:p>
        </w:tc>
        <w:tc>
          <w:tcPr>
            <w:tcW w:w="1198" w:type="dxa"/>
            <w:vMerge w:val="continue"/>
            <w:vAlign w:val="center"/>
          </w:tcPr>
          <w:p w14:paraId="1B6F2F60">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Cs w:val="21"/>
                <w:highlight w:val="none"/>
                <w:lang w:val="en-US" w:eastAsia="zh-CN"/>
              </w:rPr>
            </w:pPr>
          </w:p>
        </w:tc>
        <w:tc>
          <w:tcPr>
            <w:tcW w:w="1003" w:type="dxa"/>
            <w:vAlign w:val="center"/>
          </w:tcPr>
          <w:p w14:paraId="7BBF1414">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0-2.5</w:t>
            </w:r>
          </w:p>
        </w:tc>
        <w:tc>
          <w:tcPr>
            <w:tcW w:w="4299" w:type="dxa"/>
            <w:vAlign w:val="center"/>
          </w:tcPr>
          <w:p w14:paraId="5DDC6380">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b w:val="0"/>
                <w:bCs w:val="0"/>
                <w:color w:val="auto"/>
                <w:spacing w:val="0"/>
                <w:sz w:val="21"/>
                <w:szCs w:val="21"/>
                <w:highlight w:val="none"/>
                <w:u w:val="none"/>
                <w:lang w:eastAsia="zh-CN" w:bidi="ar"/>
              </w:rPr>
            </w:pPr>
            <w:r>
              <w:rPr>
                <w:rFonts w:hint="eastAsia" w:ascii="仿宋" w:hAnsi="仿宋" w:eastAsia="仿宋" w:cs="仿宋"/>
                <w:b w:val="0"/>
                <w:bCs w:val="0"/>
                <w:color w:val="auto"/>
                <w:spacing w:val="0"/>
                <w:sz w:val="21"/>
                <w:szCs w:val="21"/>
                <w:highlight w:val="none"/>
                <w:u w:val="none"/>
                <w:lang w:val="en-US" w:eastAsia="zh-CN" w:bidi="ar"/>
              </w:rPr>
              <w:t>手动开合帘轨道</w:t>
            </w:r>
            <w:r>
              <w:rPr>
                <w:rFonts w:hint="eastAsia" w:ascii="仿宋" w:hAnsi="仿宋" w:eastAsia="仿宋" w:cs="仿宋"/>
                <w:b w:val="0"/>
                <w:bCs w:val="0"/>
                <w:color w:val="auto"/>
                <w:spacing w:val="0"/>
                <w:sz w:val="21"/>
                <w:szCs w:val="21"/>
                <w:highlight w:val="none"/>
                <w:u w:val="none"/>
                <w:lang w:eastAsia="zh-CN" w:bidi="ar"/>
              </w:rPr>
              <w:t>：</w:t>
            </w:r>
          </w:p>
          <w:p w14:paraId="3B45197A">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1）轨道漆面光泽、平整度（0.1-0.5分）</w:t>
            </w:r>
          </w:p>
          <w:p w14:paraId="3EBBA437">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2）轨道坚硬牢固度（0.1-0.5分）</w:t>
            </w:r>
          </w:p>
          <w:p w14:paraId="1804196C">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3）轨道封头卡扣的匹配度（0.1-0.5分）</w:t>
            </w:r>
          </w:p>
          <w:p w14:paraId="0E8B24F2">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4）轨道滑轮使用顺滑度 （0.1-1分）</w:t>
            </w:r>
          </w:p>
          <w:p w14:paraId="6FA51E8F">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color w:val="auto"/>
                <w:szCs w:val="21"/>
                <w:highlight w:val="none"/>
              </w:rPr>
            </w:pPr>
            <w:r>
              <w:rPr>
                <w:rFonts w:hint="eastAsia" w:ascii="仿宋" w:hAnsi="仿宋" w:eastAsia="仿宋" w:cs="仿宋"/>
                <w:i w:val="0"/>
                <w:iCs w:val="0"/>
                <w:color w:val="auto"/>
                <w:kern w:val="2"/>
                <w:sz w:val="21"/>
                <w:szCs w:val="21"/>
                <w:highlight w:val="none"/>
                <w:u w:val="none"/>
                <w:lang w:val="en-US" w:eastAsia="zh-CN" w:bidi="ar"/>
              </w:rPr>
              <w:t>未提供样品或提供样品明显不符合招标文件技术要求的，该项样品得分按0分计。</w:t>
            </w:r>
          </w:p>
        </w:tc>
        <w:tc>
          <w:tcPr>
            <w:tcW w:w="955" w:type="dxa"/>
            <w:vAlign w:val="center"/>
          </w:tcPr>
          <w:p w14:paraId="0D2F991D">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14:paraId="08A3EF46">
            <w:pPr>
              <w:keepNext w:val="0"/>
              <w:keepLines w:val="0"/>
              <w:pageBreakBefore w:val="0"/>
              <w:suppressLineNumbers w:val="0"/>
              <w:kinsoku/>
              <w:overflowPunct/>
              <w:topLinePunct w:val="0"/>
              <w:bidi w:val="0"/>
              <w:adjustRightInd w:val="0"/>
              <w:snapToGrid/>
              <w:spacing w:before="0" w:beforeAutospacing="0" w:after="0" w:afterAutospacing="0" w:line="360" w:lineRule="auto"/>
              <w:ind w:left="0" w:right="0"/>
              <w:textAlignment w:val="auto"/>
              <w:rPr>
                <w:rFonts w:hint="default" w:ascii="仿宋" w:hAnsi="仿宋" w:eastAsia="仿宋" w:cs="仿宋"/>
                <w:szCs w:val="21"/>
                <w:highlight w:val="none"/>
              </w:rPr>
            </w:pPr>
          </w:p>
        </w:tc>
      </w:tr>
      <w:tr w14:paraId="1CA4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71" w:type="dxa"/>
            <w:vMerge w:val="continue"/>
            <w:vAlign w:val="center"/>
          </w:tcPr>
          <w:p w14:paraId="0218929F">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szCs w:val="24"/>
                <w:highlight w:val="none"/>
                <w:lang w:val="en-US" w:eastAsia="zh-CN"/>
              </w:rPr>
            </w:pPr>
          </w:p>
        </w:tc>
        <w:tc>
          <w:tcPr>
            <w:tcW w:w="1198" w:type="dxa"/>
            <w:vMerge w:val="continue"/>
            <w:vAlign w:val="center"/>
          </w:tcPr>
          <w:p w14:paraId="2792A868">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Cs w:val="21"/>
                <w:highlight w:val="none"/>
                <w:lang w:val="en-US" w:eastAsia="zh-CN"/>
              </w:rPr>
            </w:pPr>
          </w:p>
        </w:tc>
        <w:tc>
          <w:tcPr>
            <w:tcW w:w="1003" w:type="dxa"/>
            <w:vAlign w:val="center"/>
          </w:tcPr>
          <w:p w14:paraId="11850808">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0-2.5</w:t>
            </w:r>
          </w:p>
        </w:tc>
        <w:tc>
          <w:tcPr>
            <w:tcW w:w="4299" w:type="dxa"/>
            <w:vAlign w:val="center"/>
          </w:tcPr>
          <w:p w14:paraId="1B430950">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b w:val="0"/>
                <w:bCs w:val="0"/>
                <w:color w:val="auto"/>
                <w:spacing w:val="14"/>
                <w:sz w:val="21"/>
                <w:szCs w:val="21"/>
                <w:highlight w:val="none"/>
                <w:lang w:eastAsia="zh-CN"/>
              </w:rPr>
            </w:pPr>
            <w:r>
              <w:rPr>
                <w:rFonts w:hint="eastAsia" w:ascii="仿宋" w:hAnsi="仿宋" w:eastAsia="仿宋" w:cs="仿宋"/>
                <w:b w:val="0"/>
                <w:bCs w:val="0"/>
                <w:color w:val="auto"/>
                <w:spacing w:val="14"/>
                <w:sz w:val="21"/>
                <w:szCs w:val="21"/>
                <w:highlight w:val="none"/>
              </w:rPr>
              <w:t>手动香格里拉帘</w:t>
            </w:r>
            <w:r>
              <w:rPr>
                <w:rFonts w:hint="eastAsia" w:ascii="仿宋" w:hAnsi="仿宋" w:eastAsia="仿宋" w:cs="仿宋"/>
                <w:b w:val="0"/>
                <w:bCs w:val="0"/>
                <w:color w:val="auto"/>
                <w:spacing w:val="14"/>
                <w:sz w:val="21"/>
                <w:szCs w:val="21"/>
                <w:highlight w:val="none"/>
                <w:lang w:eastAsia="zh-CN"/>
              </w:rPr>
              <w:t>：</w:t>
            </w:r>
          </w:p>
          <w:p w14:paraId="7DA6544D">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b w:val="0"/>
                <w:bCs w:val="0"/>
                <w:color w:val="auto"/>
                <w:spacing w:val="14"/>
                <w:sz w:val="21"/>
                <w:szCs w:val="21"/>
                <w:highlight w:val="none"/>
              </w:rPr>
            </w:pPr>
            <w:r>
              <w:rPr>
                <w:rFonts w:hint="eastAsia" w:ascii="仿宋" w:hAnsi="仿宋" w:eastAsia="仿宋" w:cs="仿宋"/>
                <w:b w:val="0"/>
                <w:bCs w:val="0"/>
                <w:color w:val="auto"/>
                <w:spacing w:val="14"/>
                <w:sz w:val="21"/>
                <w:szCs w:val="21"/>
                <w:highlight w:val="none"/>
              </w:rPr>
              <w:t>1）面料手感舒适（0.1-0.5分）</w:t>
            </w:r>
          </w:p>
          <w:p w14:paraId="6496E846">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b w:val="0"/>
                <w:bCs w:val="0"/>
                <w:color w:val="auto"/>
                <w:spacing w:val="14"/>
                <w:sz w:val="21"/>
                <w:szCs w:val="21"/>
                <w:highlight w:val="none"/>
              </w:rPr>
            </w:pPr>
            <w:r>
              <w:rPr>
                <w:rFonts w:hint="eastAsia" w:ascii="仿宋" w:hAnsi="仿宋" w:eastAsia="仿宋" w:cs="仿宋"/>
                <w:b w:val="0"/>
                <w:bCs w:val="0"/>
                <w:color w:val="auto"/>
                <w:spacing w:val="14"/>
                <w:sz w:val="21"/>
                <w:szCs w:val="21"/>
                <w:highlight w:val="none"/>
              </w:rPr>
              <w:t>2）面料编织平整均匀（0.1-0.5分）</w:t>
            </w:r>
          </w:p>
          <w:p w14:paraId="3C00A042">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b w:val="0"/>
                <w:bCs w:val="0"/>
                <w:color w:val="auto"/>
                <w:spacing w:val="14"/>
                <w:sz w:val="21"/>
                <w:szCs w:val="21"/>
                <w:highlight w:val="none"/>
              </w:rPr>
            </w:pPr>
            <w:r>
              <w:rPr>
                <w:rFonts w:hint="eastAsia" w:ascii="仿宋" w:hAnsi="仿宋" w:eastAsia="仿宋" w:cs="仿宋"/>
                <w:b w:val="0"/>
                <w:bCs w:val="0"/>
                <w:color w:val="auto"/>
                <w:spacing w:val="14"/>
                <w:sz w:val="21"/>
                <w:szCs w:val="21"/>
                <w:highlight w:val="none"/>
              </w:rPr>
              <w:t>3）配件搭配协调（0.1-0.5分）</w:t>
            </w:r>
          </w:p>
          <w:p w14:paraId="59874F0B">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b w:val="0"/>
                <w:bCs w:val="0"/>
                <w:color w:val="auto"/>
                <w:spacing w:val="14"/>
                <w:sz w:val="21"/>
                <w:szCs w:val="21"/>
                <w:highlight w:val="none"/>
              </w:rPr>
            </w:pPr>
            <w:r>
              <w:rPr>
                <w:rFonts w:hint="eastAsia" w:ascii="仿宋" w:hAnsi="仿宋" w:eastAsia="仿宋" w:cs="仿宋"/>
                <w:b w:val="0"/>
                <w:bCs w:val="0"/>
                <w:color w:val="auto"/>
                <w:spacing w:val="14"/>
                <w:sz w:val="21"/>
                <w:szCs w:val="21"/>
                <w:highlight w:val="none"/>
              </w:rPr>
              <w:t>4）整体视觉效果精美（0.1-1分）</w:t>
            </w:r>
          </w:p>
          <w:p w14:paraId="253707D9">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b w:val="0"/>
                <w:bCs w:val="0"/>
                <w:color w:val="auto"/>
                <w:spacing w:val="14"/>
                <w:sz w:val="21"/>
                <w:szCs w:val="21"/>
                <w:highlight w:val="none"/>
              </w:rPr>
            </w:pPr>
            <w:r>
              <w:rPr>
                <w:rFonts w:hint="eastAsia" w:ascii="仿宋" w:hAnsi="仿宋" w:eastAsia="仿宋" w:cs="仿宋"/>
                <w:i w:val="0"/>
                <w:iCs w:val="0"/>
                <w:color w:val="auto"/>
                <w:kern w:val="2"/>
                <w:sz w:val="21"/>
                <w:szCs w:val="21"/>
                <w:highlight w:val="none"/>
                <w:u w:val="none"/>
                <w:lang w:val="en-US" w:eastAsia="zh-CN" w:bidi="ar"/>
              </w:rPr>
              <w:t>未提供样品或提供样品明显不符合招标文件技术要求的，该项样品得分按0分计。</w:t>
            </w:r>
          </w:p>
        </w:tc>
        <w:tc>
          <w:tcPr>
            <w:tcW w:w="955" w:type="dxa"/>
            <w:vAlign w:val="center"/>
          </w:tcPr>
          <w:p w14:paraId="33AB35EE">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14:paraId="568C5F6D">
            <w:pPr>
              <w:keepNext w:val="0"/>
              <w:keepLines w:val="0"/>
              <w:pageBreakBefore w:val="0"/>
              <w:suppressLineNumbers w:val="0"/>
              <w:kinsoku/>
              <w:overflowPunct/>
              <w:topLinePunct w:val="0"/>
              <w:bidi w:val="0"/>
              <w:adjustRightInd w:val="0"/>
              <w:snapToGrid/>
              <w:spacing w:before="0" w:beforeAutospacing="0" w:after="0" w:afterAutospacing="0" w:line="360" w:lineRule="auto"/>
              <w:ind w:left="0" w:right="0"/>
              <w:textAlignment w:val="auto"/>
              <w:rPr>
                <w:rFonts w:hint="default" w:ascii="仿宋" w:hAnsi="仿宋" w:eastAsia="仿宋" w:cs="仿宋"/>
                <w:szCs w:val="21"/>
                <w:highlight w:val="none"/>
              </w:rPr>
            </w:pPr>
          </w:p>
        </w:tc>
      </w:tr>
      <w:tr w14:paraId="3E5F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71" w:type="dxa"/>
            <w:vMerge w:val="continue"/>
            <w:vAlign w:val="center"/>
          </w:tcPr>
          <w:p w14:paraId="1B97F905">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bCs/>
                <w:szCs w:val="24"/>
                <w:highlight w:val="none"/>
                <w:lang w:val="en-US" w:eastAsia="zh-CN"/>
              </w:rPr>
            </w:pPr>
          </w:p>
        </w:tc>
        <w:tc>
          <w:tcPr>
            <w:tcW w:w="1198" w:type="dxa"/>
            <w:vMerge w:val="continue"/>
            <w:vAlign w:val="center"/>
          </w:tcPr>
          <w:p w14:paraId="01B057D1">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Cs w:val="21"/>
                <w:highlight w:val="none"/>
                <w:lang w:val="en-US" w:eastAsia="zh-CN"/>
              </w:rPr>
            </w:pPr>
          </w:p>
        </w:tc>
        <w:tc>
          <w:tcPr>
            <w:tcW w:w="1003" w:type="dxa"/>
            <w:vAlign w:val="center"/>
          </w:tcPr>
          <w:p w14:paraId="7D978E3E">
            <w:pPr>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60" w:lineRule="auto"/>
              <w:ind w:left="0" w:leftChars="0" w:right="0" w:rightChars="0"/>
              <w:jc w:val="center"/>
              <w:textAlignment w:val="auto"/>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kern w:val="0"/>
                <w:sz w:val="21"/>
                <w:szCs w:val="21"/>
                <w:lang w:val="en-US" w:eastAsia="zh-CN" w:bidi="ar"/>
              </w:rPr>
              <w:t>0-2.5</w:t>
            </w:r>
          </w:p>
        </w:tc>
        <w:tc>
          <w:tcPr>
            <w:tcW w:w="4299" w:type="dxa"/>
            <w:vAlign w:val="center"/>
          </w:tcPr>
          <w:p w14:paraId="7AC63C3F">
            <w:pPr>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60" w:lineRule="auto"/>
              <w:ind w:left="0" w:right="0"/>
              <w:jc w:val="both"/>
              <w:textAlignment w:val="auto"/>
              <w:rPr>
                <w:rFonts w:hint="eastAsia" w:ascii="仿宋" w:hAnsi="仿宋" w:eastAsia="仿宋" w:cs="仿宋"/>
                <w:b w:val="0"/>
                <w:bCs w:val="0"/>
                <w:spacing w:val="14"/>
                <w:kern w:val="2"/>
                <w:sz w:val="21"/>
                <w:szCs w:val="21"/>
              </w:rPr>
            </w:pPr>
            <w:r>
              <w:rPr>
                <w:rFonts w:hint="eastAsia" w:ascii="仿宋" w:hAnsi="仿宋" w:eastAsia="仿宋" w:cs="仿宋"/>
                <w:b w:val="0"/>
                <w:bCs w:val="0"/>
                <w:spacing w:val="14"/>
                <w:kern w:val="2"/>
                <w:sz w:val="21"/>
                <w:szCs w:val="21"/>
                <w:lang w:val="en-US" w:eastAsia="zh-CN" w:bidi="ar"/>
              </w:rPr>
              <w:t>床边隔帘：</w:t>
            </w:r>
          </w:p>
          <w:p w14:paraId="2AE6BB7C">
            <w:pPr>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仿宋" w:hAnsi="仿宋" w:eastAsia="仿宋" w:cs="仿宋"/>
                <w:b w:val="0"/>
                <w:bCs w:val="0"/>
                <w:spacing w:val="14"/>
                <w:kern w:val="2"/>
                <w:sz w:val="21"/>
                <w:szCs w:val="21"/>
                <w:lang w:val="en-US" w:eastAsia="zh-CN" w:bidi="ar"/>
              </w:rPr>
            </w:pPr>
            <w:r>
              <w:rPr>
                <w:rFonts w:hint="eastAsia" w:ascii="仿宋" w:hAnsi="仿宋" w:eastAsia="仿宋" w:cs="仿宋"/>
                <w:b w:val="0"/>
                <w:bCs w:val="0"/>
                <w:spacing w:val="14"/>
                <w:kern w:val="2"/>
                <w:sz w:val="21"/>
                <w:szCs w:val="21"/>
                <w:lang w:val="en-US" w:eastAsia="zh-CN" w:bidi="ar"/>
              </w:rPr>
              <w:t>1）面料手感舒适（0.1-0.5分）</w:t>
            </w:r>
          </w:p>
          <w:p w14:paraId="46EF68A1">
            <w:pPr>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仿宋" w:hAnsi="仿宋" w:eastAsia="仿宋" w:cs="仿宋"/>
                <w:b w:val="0"/>
                <w:bCs w:val="0"/>
                <w:spacing w:val="14"/>
                <w:kern w:val="2"/>
                <w:sz w:val="21"/>
                <w:szCs w:val="21"/>
                <w:lang w:val="en-US" w:eastAsia="zh-CN" w:bidi="ar"/>
              </w:rPr>
            </w:pPr>
            <w:r>
              <w:rPr>
                <w:rFonts w:hint="eastAsia" w:ascii="仿宋" w:hAnsi="仿宋" w:eastAsia="仿宋" w:cs="仿宋"/>
                <w:b w:val="0"/>
                <w:bCs w:val="0"/>
                <w:spacing w:val="14"/>
                <w:kern w:val="2"/>
                <w:sz w:val="21"/>
                <w:szCs w:val="21"/>
                <w:lang w:val="en-US" w:eastAsia="zh-CN" w:bidi="ar"/>
              </w:rPr>
              <w:t>2）面料编织平整均匀（0.1-0.5分）</w:t>
            </w:r>
          </w:p>
          <w:p w14:paraId="5CB40047">
            <w:pPr>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仿宋" w:hAnsi="仿宋" w:eastAsia="仿宋" w:cs="仿宋"/>
                <w:b w:val="0"/>
                <w:bCs w:val="0"/>
                <w:spacing w:val="14"/>
                <w:kern w:val="2"/>
                <w:sz w:val="21"/>
                <w:szCs w:val="21"/>
                <w:lang w:val="en-US" w:eastAsia="zh-CN" w:bidi="ar"/>
              </w:rPr>
            </w:pPr>
            <w:r>
              <w:rPr>
                <w:rFonts w:hint="eastAsia" w:ascii="仿宋" w:hAnsi="仿宋" w:eastAsia="仿宋" w:cs="仿宋"/>
                <w:b w:val="0"/>
                <w:bCs w:val="0"/>
                <w:spacing w:val="14"/>
                <w:kern w:val="2"/>
                <w:sz w:val="21"/>
                <w:szCs w:val="21"/>
                <w:lang w:val="en-US" w:eastAsia="zh-CN" w:bidi="ar"/>
              </w:rPr>
              <w:t>3）配件搭配协调（0.1-0.5分）</w:t>
            </w:r>
          </w:p>
          <w:p w14:paraId="78722931">
            <w:pPr>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仿宋" w:hAnsi="仿宋" w:eastAsia="仿宋" w:cs="仿宋"/>
                <w:b w:val="0"/>
                <w:bCs w:val="0"/>
                <w:spacing w:val="14"/>
                <w:kern w:val="2"/>
                <w:sz w:val="21"/>
                <w:szCs w:val="21"/>
                <w:lang w:val="en-US" w:eastAsia="zh-CN" w:bidi="ar"/>
              </w:rPr>
            </w:pPr>
            <w:r>
              <w:rPr>
                <w:rFonts w:hint="eastAsia" w:ascii="仿宋" w:hAnsi="仿宋" w:eastAsia="仿宋" w:cs="仿宋"/>
                <w:b w:val="0"/>
                <w:bCs w:val="0"/>
                <w:spacing w:val="14"/>
                <w:kern w:val="2"/>
                <w:sz w:val="21"/>
                <w:szCs w:val="21"/>
                <w:lang w:val="en-US" w:eastAsia="zh-CN" w:bidi="ar"/>
              </w:rPr>
              <w:t>4）整体视觉效果精美（0.1-1分）</w:t>
            </w:r>
          </w:p>
          <w:p w14:paraId="5F2D0C5C">
            <w:pPr>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kern w:val="2"/>
                <w:sz w:val="21"/>
                <w:szCs w:val="21"/>
                <w:lang w:val="en-US" w:eastAsia="zh-CN" w:bidi="ar"/>
              </w:rPr>
              <w:t>未提供样品或提供样品明显不符合招标文件技术要求的，该项样品得分按0分计。</w:t>
            </w:r>
          </w:p>
        </w:tc>
        <w:tc>
          <w:tcPr>
            <w:tcW w:w="955" w:type="dxa"/>
            <w:vAlign w:val="center"/>
          </w:tcPr>
          <w:p w14:paraId="378892A2">
            <w:pPr>
              <w:keepNext w:val="0"/>
              <w:keepLines w:val="0"/>
              <w:pageBreakBefore w:val="0"/>
              <w:widowControl w:val="0"/>
              <w:suppressLineNumbers w:val="0"/>
              <w:kinsoku/>
              <w:overflowPunct/>
              <w:topLinePunct w:val="0"/>
              <w:autoSpaceDE w:val="0"/>
              <w:autoSpaceDN w:val="0"/>
              <w:bidi w:val="0"/>
              <w:adjustRightInd w:val="0"/>
              <w:snapToGrid/>
              <w:spacing w:before="0" w:beforeAutospacing="0" w:after="0" w:afterAutospacing="0" w:line="360" w:lineRule="auto"/>
              <w:ind w:left="0" w:leftChars="0" w:right="0" w:rightChars="0"/>
              <w:jc w:val="center"/>
              <w:textAlignment w:val="auto"/>
              <w:rPr>
                <w:rFonts w:hint="eastAsia" w:ascii="仿宋" w:hAnsi="仿宋" w:eastAsia="仿宋" w:cs="仿宋"/>
                <w:bCs/>
                <w:color w:val="auto"/>
                <w:szCs w:val="21"/>
                <w:highlight w:val="none"/>
              </w:rPr>
            </w:pPr>
            <w:r>
              <w:rPr>
                <w:rFonts w:hint="eastAsia" w:ascii="仿宋" w:hAnsi="仿宋" w:eastAsia="仿宋" w:cs="仿宋"/>
                <w:bCs/>
                <w:kern w:val="2"/>
                <w:sz w:val="21"/>
                <w:szCs w:val="21"/>
                <w:lang w:val="en-US" w:eastAsia="zh-CN" w:bidi="ar"/>
              </w:rPr>
              <w:t>主观分</w:t>
            </w:r>
          </w:p>
        </w:tc>
        <w:tc>
          <w:tcPr>
            <w:tcW w:w="955" w:type="dxa"/>
            <w:vAlign w:val="center"/>
          </w:tcPr>
          <w:p w14:paraId="71F588FC">
            <w:pPr>
              <w:keepNext w:val="0"/>
              <w:keepLines w:val="0"/>
              <w:pageBreakBefore w:val="0"/>
              <w:suppressLineNumbers w:val="0"/>
              <w:kinsoku/>
              <w:overflowPunct/>
              <w:topLinePunct w:val="0"/>
              <w:bidi w:val="0"/>
              <w:adjustRightInd w:val="0"/>
              <w:snapToGrid/>
              <w:spacing w:before="0" w:beforeAutospacing="0" w:after="0" w:afterAutospacing="0" w:line="360" w:lineRule="auto"/>
              <w:ind w:left="0" w:right="0"/>
              <w:textAlignment w:val="auto"/>
              <w:rPr>
                <w:rFonts w:hint="default" w:ascii="仿宋" w:hAnsi="仿宋" w:eastAsia="仿宋" w:cs="仿宋"/>
                <w:szCs w:val="21"/>
                <w:highlight w:val="none"/>
              </w:rPr>
            </w:pPr>
          </w:p>
        </w:tc>
      </w:tr>
    </w:tbl>
    <w:p w14:paraId="41F8721F">
      <w:pPr>
        <w:wordWrap w:val="0"/>
        <w:spacing w:line="360" w:lineRule="auto"/>
        <w:rPr>
          <w:rFonts w:hint="eastAsia" w:ascii="仿宋" w:hAnsi="仿宋" w:eastAsia="仿宋" w:cs="仿宋"/>
          <w:szCs w:val="24"/>
          <w:highlight w:val="none"/>
        </w:rPr>
      </w:pPr>
    </w:p>
    <w:p w14:paraId="33ECFBA7">
      <w:pPr>
        <w:numPr>
          <w:ilvl w:val="255"/>
          <w:numId w:val="0"/>
        </w:numPr>
        <w:spacing w:line="360" w:lineRule="auto"/>
        <w:ind w:firstLine="210" w:firstLineChars="100"/>
        <w:rPr>
          <w:rFonts w:hint="default"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备注：(1)以上证明材料提供复制件，并加盖投标人单位公章，原件备查。（2）“/”为“或”的意思。</w:t>
      </w:r>
    </w:p>
    <w:p w14:paraId="45A2BC10">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2.报价部分（</w:t>
      </w:r>
      <w:r>
        <w:rPr>
          <w:rFonts w:hint="eastAsia" w:ascii="仿宋" w:hAnsi="仿宋" w:eastAsia="仿宋" w:cs="仿宋"/>
          <w:b/>
          <w:bCs/>
          <w:sz w:val="24"/>
          <w:szCs w:val="24"/>
          <w:highlight w:val="none"/>
          <w:lang w:val="en-US" w:eastAsia="zh-CN"/>
        </w:rPr>
        <w:t>30</w:t>
      </w:r>
      <w:r>
        <w:rPr>
          <w:rFonts w:hint="eastAsia" w:ascii="仿宋" w:hAnsi="仿宋" w:eastAsia="仿宋" w:cs="仿宋"/>
          <w:b/>
          <w:bCs/>
          <w:sz w:val="24"/>
          <w:szCs w:val="24"/>
          <w:highlight w:val="none"/>
        </w:rPr>
        <w:t>分）</w:t>
      </w:r>
    </w:p>
    <w:p w14:paraId="3CBD5FF2">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有效投标报价的最低价作为评标基准价，其最低报价为满分；按［投标报价得分=（评标基准价/投标报价）*30］的计算公式计算。</w:t>
      </w:r>
    </w:p>
    <w:p w14:paraId="141CBCE8">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评标过程中，不得去掉报价中的最高报价和最低报价。</w:t>
      </w:r>
    </w:p>
    <w:p w14:paraId="4B0CF8E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以上内容评分时保留一位小数，计算评分值时保留二位小数。</w:t>
      </w:r>
    </w:p>
    <w:bookmarkEnd w:id="54"/>
    <w:bookmarkEnd w:id="5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14:paraId="73BE8BB5">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22BD98">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六、澄清、说明、补正</w:t>
      </w:r>
    </w:p>
    <w:p w14:paraId="4B49E2C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 </w:t>
      </w:r>
    </w:p>
    <w:p w14:paraId="6C8207A3">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七、修改评标结果</w:t>
      </w:r>
    </w:p>
    <w:p w14:paraId="72CD0A0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评标结果汇总完成后，除下列情形外，任何人不得修改评标结果：</w:t>
      </w:r>
    </w:p>
    <w:p w14:paraId="6B620A7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（一）分值汇总计算错误的</w:t>
      </w:r>
    </w:p>
    <w:p w14:paraId="640F8D8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（二）分项评分超出评分标准范围的；</w:t>
      </w:r>
    </w:p>
    <w:p w14:paraId="2005D2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（三）评标委员会成员对客观评标因素评分不一致的；</w:t>
      </w:r>
    </w:p>
    <w:p w14:paraId="704BA2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（四）经评标委员会认定评分畸高、畸低的。</w:t>
      </w:r>
    </w:p>
    <w:p w14:paraId="1BE3BF52">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八、中标候选人</w:t>
      </w:r>
    </w:p>
    <w:p w14:paraId="2DE421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评标委员会根据综合得分</w:t>
      </w:r>
      <w:r>
        <w:rPr>
          <w:rFonts w:hint="eastAsia" w:ascii="仿宋" w:hAnsi="仿宋" w:eastAsia="仿宋" w:cs="仿宋"/>
          <w:color w:val="auto"/>
          <w:sz w:val="24"/>
          <w:szCs w:val="24"/>
          <w:highlight w:val="none"/>
        </w:rPr>
        <w:t>排名高低推荐</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个中标候选人。评标结果按评审后综合得分由高到低顺序排列。综合得分相同时，报价低者优先推荐；综合得分和报价得分相同的，技术得分高者优先</w:t>
      </w:r>
      <w:r>
        <w:rPr>
          <w:rFonts w:hint="eastAsia" w:ascii="仿宋" w:hAnsi="仿宋" w:eastAsia="仿宋" w:cs="仿宋"/>
          <w:color w:val="auto"/>
          <w:sz w:val="24"/>
          <w:szCs w:val="24"/>
          <w:highlight w:val="none"/>
          <w:lang w:eastAsia="zh-CN"/>
        </w:rPr>
        <w:t>推荐</w:t>
      </w:r>
      <w:r>
        <w:rPr>
          <w:rFonts w:hint="eastAsia" w:ascii="仿宋" w:hAnsi="仿宋" w:eastAsia="仿宋" w:cs="仿宋"/>
          <w:color w:val="auto"/>
          <w:sz w:val="24"/>
          <w:szCs w:val="24"/>
          <w:highlight w:val="none"/>
        </w:rPr>
        <w:t>；报价、技术、资信得分均相同的，采取随机抽取的方式确定。</w:t>
      </w:r>
    </w:p>
    <w:p w14:paraId="38D752C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九、评标报告</w:t>
      </w:r>
    </w:p>
    <w:p w14:paraId="5D20B1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评标委员会根据全体评标成员签字的原始评标记录和评标结果编写评标报告。评标报告应当包括以下内容： </w:t>
      </w:r>
    </w:p>
    <w:p w14:paraId="379BB3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kern w:val="0"/>
          <w:sz w:val="24"/>
          <w:szCs w:val="24"/>
          <w:highlight w:val="none"/>
        </w:rPr>
        <w:t>招标公告刊登的媒体名称、</w:t>
      </w:r>
      <w:r>
        <w:rPr>
          <w:rFonts w:hint="eastAsia" w:ascii="仿宋" w:hAnsi="仿宋" w:eastAsia="仿宋" w:cs="仿宋"/>
          <w:color w:val="auto"/>
          <w:sz w:val="24"/>
          <w:szCs w:val="24"/>
          <w:highlight w:val="none"/>
        </w:rPr>
        <w:t xml:space="preserve">开标日期和地点； </w:t>
      </w:r>
    </w:p>
    <w:p w14:paraId="487BAB0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（二）投标人名单和评标委员会成员名单； </w:t>
      </w:r>
    </w:p>
    <w:p w14:paraId="5811BA6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（三）评标方法和标准； </w:t>
      </w:r>
    </w:p>
    <w:p w14:paraId="186B695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（四）开标记录和评标情况及说明，包括无效投标人名单及原因； </w:t>
      </w:r>
    </w:p>
    <w:p w14:paraId="36EE9EF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（五）评标结果，确定的中标候选人名单；</w:t>
      </w:r>
    </w:p>
    <w:p w14:paraId="56DA3463">
      <w:pPr>
        <w:spacing w:line="360" w:lineRule="auto"/>
        <w:ind w:firstLine="480" w:firstLineChars="200"/>
        <w:rPr>
          <w:highlight w:val="none"/>
        </w:rPr>
      </w:pPr>
      <w:r>
        <w:rPr>
          <w:rFonts w:hint="eastAsia" w:ascii="仿宋" w:hAnsi="仿宋" w:eastAsia="仿宋" w:cs="仿宋"/>
          <w:sz w:val="24"/>
          <w:szCs w:val="24"/>
          <w:highlight w:val="none"/>
        </w:rPr>
        <w:t>（六）其他需要说明的情况，包括评标过程中投标人根据评标委员会要求进行的澄清、说明或者补正，评标委员会成员的更换等。</w:t>
      </w:r>
    </w:p>
    <w:sectPr>
      <w:pgSz w:w="11905" w:h="16838"/>
      <w:pgMar w:top="907" w:right="1247" w:bottom="907" w:left="1247" w:header="510" w:footer="51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CS?o｡ﾀ?">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A331">
    <w:pPr>
      <w:pStyle w:val="31"/>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7BBEE">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87BBEE">
                    <w:pPr>
                      <w:pStyle w:val="31"/>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9943">
    <w:pPr>
      <w:pStyle w:val="31"/>
      <w:jc w:val="center"/>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188D7">
                          <w:pPr>
                            <w:pStyle w:val="3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26188D7">
                    <w:pPr>
                      <w:pStyle w:val="3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7E77">
    <w:pPr>
      <w:pStyle w:val="31"/>
      <w:jc w:val="center"/>
      <w:rPr>
        <w:rFonts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ED7C1">
                          <w:pPr>
                            <w:pStyle w:val="3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90ED7C1">
                    <w:pPr>
                      <w:pStyle w:val="3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79BC">
    <w:pPr>
      <w:pStyle w:val="31"/>
      <w:wordWrap w:val="0"/>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FE6C2">
                          <w:pPr>
                            <w:pStyle w:val="3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6AFE6C2">
                    <w:pPr>
                      <w:pStyle w:val="3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2E5E">
    <w:pPr>
      <w:pStyle w:val="31"/>
      <w:wordWrap w:val="0"/>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BAC8D">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9CBAC8D">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DCA7">
    <w:pPr>
      <w:pStyle w:val="3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3A52A">
                          <w:pPr>
                            <w:pStyle w:val="3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7F3A52A">
                    <w:pPr>
                      <w:pStyle w:val="31"/>
                    </w:pPr>
                    <w:r>
                      <w:fldChar w:fldCharType="begin"/>
                    </w:r>
                    <w:r>
                      <w:instrText xml:space="preserve"> PAGE  \* MERGEFORMAT </w:instrText>
                    </w:r>
                    <w:r>
                      <w:fldChar w:fldCharType="separate"/>
                    </w:r>
                    <w:r>
                      <w:t>29</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F12540">
                          <w:pPr>
                            <w:pStyle w:val="31"/>
                            <w:jc w:val="center"/>
                          </w:pP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7FF12540">
                    <w:pPr>
                      <w:pStyle w:val="31"/>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B9E6">
    <w:pPr>
      <w:pStyle w:val="31"/>
      <w:wordWrap w:val="0"/>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0183C">
                          <w:pPr>
                            <w:pStyle w:val="3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220183C">
                    <w:pPr>
                      <w:pStyle w:val="3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B4EA">
    <w:pPr>
      <w:pStyle w:val="31"/>
      <w:rPr>
        <w:rStyle w:val="50"/>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27023">
                          <w:pPr>
                            <w:pStyle w:val="3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EA27023">
                    <w:pPr>
                      <w:pStyle w:val="3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41DEA">
    <w:pPr>
      <w:pStyle w:val="3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A7F95">
                          <w:pPr>
                            <w:pStyle w:val="3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91A7F95">
                    <w:pPr>
                      <w:pStyle w:val="3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28E05">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B26E">
    <w:pPr>
      <w:pStyle w:val="32"/>
      <w:pBdr>
        <w:bottom w:val="none" w:color="auto" w:sz="0" w:space="1"/>
      </w:pBdr>
      <w:ind w:firstLine="420"/>
    </w:pPr>
    <w:r>
      <w:rPr>
        <w:rFonts w:hint="eastAsia" w:ascii="仿宋" w:hAnsi="仿宋" w:eastAsia="仿宋" w:cs="仿宋"/>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E18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37919">
    <w:pPr>
      <w:pStyle w:val="32"/>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439F6"/>
    <w:multiLevelType w:val="singleLevel"/>
    <w:tmpl w:val="8A0439F6"/>
    <w:lvl w:ilvl="0" w:tentative="0">
      <w:start w:val="6"/>
      <w:numFmt w:val="chineseCounting"/>
      <w:suff w:val="nothing"/>
      <w:lvlText w:val="（%1）"/>
      <w:lvlJc w:val="left"/>
      <w:rPr>
        <w:rFonts w:hint="eastAsia"/>
      </w:rPr>
    </w:lvl>
  </w:abstractNum>
  <w:abstractNum w:abstractNumId="1">
    <w:nsid w:val="F9997E2F"/>
    <w:multiLevelType w:val="multilevel"/>
    <w:tmpl w:val="F9997E2F"/>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0000003"/>
    <w:multiLevelType w:val="singleLevel"/>
    <w:tmpl w:val="00000003"/>
    <w:lvl w:ilvl="0" w:tentative="0">
      <w:start w:val="1"/>
      <w:numFmt w:val="decimal"/>
      <w:pStyle w:val="13"/>
      <w:lvlText w:val="%1."/>
      <w:lvlJc w:val="left"/>
      <w:pPr>
        <w:tabs>
          <w:tab w:val="left" w:pos="360"/>
        </w:tabs>
        <w:ind w:left="360" w:hanging="360"/>
      </w:pPr>
      <w:rPr>
        <w:rFonts w:cs="Times New Roman"/>
      </w:rPr>
    </w:lvl>
  </w:abstractNum>
  <w:abstractNum w:abstractNumId="3">
    <w:nsid w:val="00000004"/>
    <w:multiLevelType w:val="singleLevel"/>
    <w:tmpl w:val="00000004"/>
    <w:lvl w:ilvl="0" w:tentative="0">
      <w:start w:val="1"/>
      <w:numFmt w:val="bullet"/>
      <w:pStyle w:val="15"/>
      <w:lvlText w:val=""/>
      <w:lvlJc w:val="left"/>
      <w:pPr>
        <w:tabs>
          <w:tab w:val="left" w:pos="748"/>
        </w:tabs>
        <w:ind w:left="748" w:hanging="374"/>
      </w:pPr>
      <w:rPr>
        <w:rFonts w:hint="default" w:ascii="Wingdings" w:hAnsi="Wingdings"/>
        <w:sz w:val="21"/>
      </w:rPr>
    </w:lvl>
  </w:abstractNum>
  <w:abstractNum w:abstractNumId="4">
    <w:nsid w:val="00000006"/>
    <w:multiLevelType w:val="multilevel"/>
    <w:tmpl w:val="00000006"/>
    <w:lvl w:ilvl="0" w:tentative="0">
      <w:start w:val="1"/>
      <w:numFmt w:val="decimal"/>
      <w:lvlText w:val="%1."/>
      <w:lvlJc w:val="left"/>
      <w:pPr>
        <w:tabs>
          <w:tab w:val="left" w:pos="425"/>
        </w:tabs>
        <w:ind w:left="425" w:hanging="425"/>
      </w:pPr>
      <w:rPr>
        <w:rFonts w:hint="eastAsia" w:cs="Times New Roman"/>
      </w:rPr>
    </w:lvl>
    <w:lvl w:ilvl="1" w:tentative="0">
      <w:start w:val="1"/>
      <w:numFmt w:val="decimal"/>
      <w:pStyle w:val="74"/>
      <w:lvlText w:val="%1.%2"/>
      <w:lvlJc w:val="left"/>
      <w:pPr>
        <w:tabs>
          <w:tab w:val="left" w:pos="709"/>
        </w:tabs>
        <w:ind w:left="709" w:hanging="567"/>
      </w:pPr>
      <w:rPr>
        <w:rFonts w:cs="Times New Roman"/>
        <w:b w:val="0"/>
        <w:bCs w:val="0"/>
        <w:i w:val="0"/>
        <w:iCs w:val="0"/>
        <w:caps w:val="0"/>
        <w:smallCaps w:val="0"/>
        <w:color w:val="000000"/>
        <w:spacing w:val="0"/>
        <w:position w:val="0"/>
        <w:u w:val="none"/>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0000008"/>
    <w:multiLevelType w:val="multilevel"/>
    <w:tmpl w:val="00000008"/>
    <w:lvl w:ilvl="0" w:tentative="0">
      <w:start w:val="1"/>
      <w:numFmt w:val="bullet"/>
      <w:pStyle w:val="8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000000D"/>
    <w:multiLevelType w:val="multilevel"/>
    <w:tmpl w:val="0000000D"/>
    <w:lvl w:ilvl="0" w:tentative="0">
      <w:start w:val="1"/>
      <w:numFmt w:val="decimal"/>
      <w:pStyle w:val="176"/>
      <w:lvlText w:val="表%1："/>
      <w:lvlJc w:val="left"/>
      <w:pPr>
        <w:ind w:left="5524" w:hanging="420"/>
      </w:pPr>
      <w:rPr>
        <w:rFonts w:hint="eastAsia" w:cs="Times New Roman"/>
        <w:b/>
        <w:position w:val="0"/>
        <w:sz w:val="21"/>
        <w:szCs w:val="21"/>
      </w:rPr>
    </w:lvl>
    <w:lvl w:ilvl="1" w:tentative="0">
      <w:start w:val="1"/>
      <w:numFmt w:val="lowerLetter"/>
      <w:lvlText w:val="%2)"/>
      <w:lvlJc w:val="left"/>
      <w:pPr>
        <w:ind w:left="2966" w:hanging="420"/>
      </w:pPr>
      <w:rPr>
        <w:rFonts w:cs="Times New Roman"/>
      </w:rPr>
    </w:lvl>
    <w:lvl w:ilvl="2" w:tentative="0">
      <w:start w:val="1"/>
      <w:numFmt w:val="lowerRoman"/>
      <w:lvlText w:val="%3."/>
      <w:lvlJc w:val="right"/>
      <w:pPr>
        <w:ind w:left="3386" w:hanging="420"/>
      </w:pPr>
      <w:rPr>
        <w:rFonts w:cs="Times New Roman"/>
      </w:rPr>
    </w:lvl>
    <w:lvl w:ilvl="3" w:tentative="0">
      <w:start w:val="1"/>
      <w:numFmt w:val="decimal"/>
      <w:lvlText w:val="%4."/>
      <w:lvlJc w:val="left"/>
      <w:pPr>
        <w:ind w:left="3806" w:hanging="420"/>
      </w:pPr>
      <w:rPr>
        <w:rFonts w:cs="Times New Roman"/>
      </w:rPr>
    </w:lvl>
    <w:lvl w:ilvl="4" w:tentative="0">
      <w:start w:val="1"/>
      <w:numFmt w:val="lowerLetter"/>
      <w:lvlText w:val="%5)"/>
      <w:lvlJc w:val="left"/>
      <w:pPr>
        <w:ind w:left="4226" w:hanging="420"/>
      </w:pPr>
      <w:rPr>
        <w:rFonts w:cs="Times New Roman"/>
      </w:rPr>
    </w:lvl>
    <w:lvl w:ilvl="5" w:tentative="0">
      <w:start w:val="1"/>
      <w:numFmt w:val="lowerRoman"/>
      <w:lvlText w:val="%6."/>
      <w:lvlJc w:val="right"/>
      <w:pPr>
        <w:ind w:left="4646" w:hanging="420"/>
      </w:pPr>
      <w:rPr>
        <w:rFonts w:cs="Times New Roman"/>
      </w:rPr>
    </w:lvl>
    <w:lvl w:ilvl="6" w:tentative="0">
      <w:start w:val="1"/>
      <w:numFmt w:val="decimal"/>
      <w:lvlText w:val="%7."/>
      <w:lvlJc w:val="left"/>
      <w:pPr>
        <w:ind w:left="5066" w:hanging="420"/>
      </w:pPr>
      <w:rPr>
        <w:rFonts w:cs="Times New Roman"/>
      </w:rPr>
    </w:lvl>
    <w:lvl w:ilvl="7" w:tentative="0">
      <w:start w:val="1"/>
      <w:numFmt w:val="lowerLetter"/>
      <w:lvlText w:val="%8)"/>
      <w:lvlJc w:val="left"/>
      <w:pPr>
        <w:ind w:left="5486" w:hanging="420"/>
      </w:pPr>
      <w:rPr>
        <w:rFonts w:cs="Times New Roman"/>
      </w:rPr>
    </w:lvl>
    <w:lvl w:ilvl="8" w:tentative="0">
      <w:start w:val="1"/>
      <w:numFmt w:val="lowerRoman"/>
      <w:lvlText w:val="%9."/>
      <w:lvlJc w:val="right"/>
      <w:pPr>
        <w:ind w:left="5906" w:hanging="420"/>
      </w:pPr>
      <w:rPr>
        <w:rFonts w:cs="Times New Roman"/>
      </w:rPr>
    </w:lvl>
  </w:abstractNum>
  <w:abstractNum w:abstractNumId="7">
    <w:nsid w:val="00000011"/>
    <w:multiLevelType w:val="multilevel"/>
    <w:tmpl w:val="00000011"/>
    <w:lvl w:ilvl="0" w:tentative="0">
      <w:start w:val="1"/>
      <w:numFmt w:val="decimal"/>
      <w:pStyle w:val="4"/>
      <w:lvlText w:val="%1)"/>
      <w:lvlJc w:val="left"/>
      <w:pPr>
        <w:ind w:left="420" w:hanging="420"/>
      </w:pPr>
      <w:rPr>
        <w:rFonts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0000012"/>
    <w:multiLevelType w:val="multilevel"/>
    <w:tmpl w:val="00000012"/>
    <w:lvl w:ilvl="0" w:tentative="0">
      <w:start w:val="1"/>
      <w:numFmt w:val="chineseCountingThousand"/>
      <w:pStyle w:val="2"/>
      <w:lvlText w:val="%1、"/>
      <w:lvlJc w:val="left"/>
      <w:pPr>
        <w:ind w:left="208" w:hanging="420"/>
      </w:pPr>
      <w:rPr>
        <w:rFonts w:cs="Times New Roman"/>
      </w:rPr>
    </w:lvl>
    <w:lvl w:ilvl="1" w:tentative="0">
      <w:start w:val="1"/>
      <w:numFmt w:val="lowerLetter"/>
      <w:lvlText w:val="%2)"/>
      <w:lvlJc w:val="left"/>
      <w:pPr>
        <w:ind w:left="628" w:hanging="420"/>
      </w:pPr>
      <w:rPr>
        <w:rFonts w:cs="Times New Roman"/>
      </w:rPr>
    </w:lvl>
    <w:lvl w:ilvl="2" w:tentative="0">
      <w:start w:val="1"/>
      <w:numFmt w:val="lowerRoman"/>
      <w:lvlText w:val="%3."/>
      <w:lvlJc w:val="right"/>
      <w:pPr>
        <w:ind w:left="1048" w:hanging="420"/>
      </w:pPr>
      <w:rPr>
        <w:rFonts w:cs="Times New Roman"/>
      </w:rPr>
    </w:lvl>
    <w:lvl w:ilvl="3" w:tentative="0">
      <w:start w:val="1"/>
      <w:numFmt w:val="decimal"/>
      <w:lvlText w:val="%4."/>
      <w:lvlJc w:val="left"/>
      <w:pPr>
        <w:ind w:left="1468" w:hanging="420"/>
      </w:pPr>
      <w:rPr>
        <w:rFonts w:cs="Times New Roman"/>
      </w:rPr>
    </w:lvl>
    <w:lvl w:ilvl="4" w:tentative="0">
      <w:start w:val="1"/>
      <w:numFmt w:val="lowerLetter"/>
      <w:lvlText w:val="%5)"/>
      <w:lvlJc w:val="left"/>
      <w:pPr>
        <w:ind w:left="1888" w:hanging="420"/>
      </w:pPr>
      <w:rPr>
        <w:rFonts w:cs="Times New Roman"/>
      </w:rPr>
    </w:lvl>
    <w:lvl w:ilvl="5" w:tentative="0">
      <w:start w:val="1"/>
      <w:numFmt w:val="lowerRoman"/>
      <w:lvlText w:val="%6."/>
      <w:lvlJc w:val="right"/>
      <w:pPr>
        <w:ind w:left="2308" w:hanging="420"/>
      </w:pPr>
      <w:rPr>
        <w:rFonts w:cs="Times New Roman"/>
      </w:rPr>
    </w:lvl>
    <w:lvl w:ilvl="6" w:tentative="0">
      <w:start w:val="1"/>
      <w:numFmt w:val="decimal"/>
      <w:lvlText w:val="%7."/>
      <w:lvlJc w:val="left"/>
      <w:pPr>
        <w:ind w:left="2728" w:hanging="420"/>
      </w:pPr>
      <w:rPr>
        <w:rFonts w:cs="Times New Roman"/>
      </w:rPr>
    </w:lvl>
    <w:lvl w:ilvl="7" w:tentative="0">
      <w:start w:val="1"/>
      <w:numFmt w:val="lowerLetter"/>
      <w:lvlText w:val="%8)"/>
      <w:lvlJc w:val="left"/>
      <w:pPr>
        <w:ind w:left="3148" w:hanging="420"/>
      </w:pPr>
      <w:rPr>
        <w:rFonts w:cs="Times New Roman"/>
      </w:rPr>
    </w:lvl>
    <w:lvl w:ilvl="8" w:tentative="0">
      <w:start w:val="1"/>
      <w:numFmt w:val="lowerRoman"/>
      <w:lvlText w:val="%9."/>
      <w:lvlJc w:val="right"/>
      <w:pPr>
        <w:ind w:left="3568" w:hanging="420"/>
      </w:pPr>
      <w:rPr>
        <w:rFonts w:cs="Times New Roman"/>
      </w:rPr>
    </w:lvl>
  </w:abstractNum>
  <w:abstractNum w:abstractNumId="9">
    <w:nsid w:val="00000013"/>
    <w:multiLevelType w:val="multilevel"/>
    <w:tmpl w:val="00000013"/>
    <w:lvl w:ilvl="0" w:tentative="0">
      <w:start w:val="1"/>
      <w:numFmt w:val="decimal"/>
      <w:pStyle w:val="3"/>
      <w:lvlText w:val="%1."/>
      <w:lvlJc w:val="left"/>
      <w:pPr>
        <w:ind w:left="2547" w:hanging="420"/>
      </w:pPr>
      <w:rPr>
        <w:rFonts w:cs="Times New Roman"/>
        <w:b w:val="0"/>
        <w:bCs w:val="0"/>
        <w:i w:val="0"/>
        <w:iCs w:val="0"/>
        <w:caps w:val="0"/>
        <w:smallCaps w:val="0"/>
        <w:color w:val="000000"/>
        <w:spacing w:val="0"/>
        <w:position w:val="0"/>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9B2B927"/>
    <w:multiLevelType w:val="singleLevel"/>
    <w:tmpl w:val="19B2B927"/>
    <w:lvl w:ilvl="0" w:tentative="0">
      <w:start w:val="1"/>
      <w:numFmt w:val="chineseCounting"/>
      <w:suff w:val="nothing"/>
      <w:lvlText w:val="%1、"/>
      <w:lvlJc w:val="left"/>
      <w:rPr>
        <w:rFonts w:hint="eastAsia" w:cs="Times New Roman"/>
      </w:rPr>
    </w:lvl>
  </w:abstractNum>
  <w:abstractNum w:abstractNumId="11">
    <w:nsid w:val="2BB41B91"/>
    <w:multiLevelType w:val="singleLevel"/>
    <w:tmpl w:val="2BB41B91"/>
    <w:lvl w:ilvl="0" w:tentative="0">
      <w:start w:val="1"/>
      <w:numFmt w:val="decimal"/>
      <w:lvlText w:val="%1."/>
      <w:lvlJc w:val="left"/>
      <w:pPr>
        <w:tabs>
          <w:tab w:val="left" w:pos="312"/>
        </w:tabs>
      </w:pPr>
    </w:lvl>
  </w:abstractNum>
  <w:abstractNum w:abstractNumId="12">
    <w:nsid w:val="2D2B1007"/>
    <w:multiLevelType w:val="multilevel"/>
    <w:tmpl w:val="2D2B1007"/>
    <w:lvl w:ilvl="0" w:tentative="0">
      <w:start w:val="3"/>
      <w:numFmt w:val="chineseCountingThousand"/>
      <w:pStyle w:val="301"/>
      <w:lvlText w:val="附件%1"/>
      <w:lvlJc w:val="left"/>
      <w:pPr>
        <w:tabs>
          <w:tab w:val="left" w:pos="420"/>
        </w:tabs>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439E0D14"/>
    <w:multiLevelType w:val="multilevel"/>
    <w:tmpl w:val="439E0D14"/>
    <w:lvl w:ilvl="0" w:tentative="0">
      <w:start w:val="1"/>
      <w:numFmt w:val="decimal"/>
      <w:suff w:val="nothing"/>
      <w:lvlText w:val="%1."/>
      <w:lvlJc w:val="left"/>
      <w:pPr>
        <w:ind w:left="0" w:leftChars="0" w:firstLine="0" w:firstLineChars="0"/>
      </w:pPr>
      <w:rPr>
        <w:rFonts w:hint="default" w:ascii="宋体" w:hAnsi="宋体" w:eastAsia="宋体" w:cs="宋体"/>
        <w:sz w:val="24"/>
        <w:szCs w:val="24"/>
      </w:rPr>
    </w:lvl>
    <w:lvl w:ilvl="1" w:tentative="0">
      <w:start w:val="1"/>
      <w:numFmt w:val="decimal"/>
      <w:suff w:val="nothing"/>
      <w:lvlText w:val="(%2)"/>
      <w:lvlJc w:val="left"/>
      <w:pPr>
        <w:ind w:left="0" w:leftChars="0" w:firstLine="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4">
    <w:nsid w:val="5653D5DA"/>
    <w:multiLevelType w:val="singleLevel"/>
    <w:tmpl w:val="5653D5DA"/>
    <w:lvl w:ilvl="0" w:tentative="0">
      <w:start w:val="1"/>
      <w:numFmt w:val="chineseCounting"/>
      <w:suff w:val="nothing"/>
      <w:lvlText w:val="（%1）"/>
      <w:lvlJc w:val="left"/>
      <w:pPr>
        <w:ind w:left="0" w:firstLine="0"/>
      </w:pPr>
      <w:rPr>
        <w:rFonts w:hint="eastAsia"/>
        <w:b/>
        <w:bCs/>
        <w:sz w:val="24"/>
        <w:szCs w:val="24"/>
      </w:rPr>
    </w:lvl>
  </w:abstractNum>
  <w:abstractNum w:abstractNumId="15">
    <w:nsid w:val="617B5F44"/>
    <w:multiLevelType w:val="singleLevel"/>
    <w:tmpl w:val="617B5F44"/>
    <w:lvl w:ilvl="0" w:tentative="0">
      <w:start w:val="1"/>
      <w:numFmt w:val="decimal"/>
      <w:pStyle w:val="12"/>
      <w:lvlText w:val="%1."/>
      <w:lvlJc w:val="left"/>
      <w:pPr>
        <w:tabs>
          <w:tab w:val="left" w:pos="780"/>
        </w:tabs>
        <w:ind w:left="780" w:hanging="360"/>
      </w:pPr>
      <w:rPr>
        <w:rFonts w:cs="Times New Roman"/>
      </w:rPr>
    </w:lvl>
  </w:abstractNum>
  <w:abstractNum w:abstractNumId="16">
    <w:nsid w:val="6C332227"/>
    <w:multiLevelType w:val="multilevel"/>
    <w:tmpl w:val="6C332227"/>
    <w:lvl w:ilvl="0" w:tentative="0">
      <w:start w:val="1"/>
      <w:numFmt w:val="decimal"/>
      <w:lvlText w:val="%1."/>
      <w:lvlJc w:val="left"/>
      <w:pPr>
        <w:ind w:left="420" w:hanging="420"/>
      </w:pPr>
      <w:rPr>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DB3F91D"/>
    <w:multiLevelType w:val="singleLevel"/>
    <w:tmpl w:val="6DB3F91D"/>
    <w:lvl w:ilvl="0" w:tentative="0">
      <w:start w:val="1"/>
      <w:numFmt w:val="decimal"/>
      <w:suff w:val="nothing"/>
      <w:lvlText w:val="（%1）"/>
      <w:lvlJc w:val="left"/>
      <w:rPr>
        <w:rFonts w:cs="Times New Roman"/>
      </w:rPr>
    </w:lvl>
  </w:abstractNum>
  <w:num w:numId="1">
    <w:abstractNumId w:val="8"/>
  </w:num>
  <w:num w:numId="2">
    <w:abstractNumId w:val="9"/>
  </w:num>
  <w:num w:numId="3">
    <w:abstractNumId w:val="7"/>
  </w:num>
  <w:num w:numId="4">
    <w:abstractNumId w:val="15"/>
  </w:num>
  <w:num w:numId="5">
    <w:abstractNumId w:val="2"/>
  </w:num>
  <w:num w:numId="6">
    <w:abstractNumId w:val="3"/>
  </w:num>
  <w:num w:numId="7">
    <w:abstractNumId w:val="4"/>
  </w:num>
  <w:num w:numId="8">
    <w:abstractNumId w:val="5"/>
  </w:num>
  <w:num w:numId="9">
    <w:abstractNumId w:val="6"/>
  </w:num>
  <w:num w:numId="10">
    <w:abstractNumId w:val="1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4"/>
  </w:num>
  <w:num w:numId="15">
    <w:abstractNumId w:val="10"/>
  </w:num>
  <w:num w:numId="16">
    <w:abstractNumId w:val="11"/>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794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YzdjYjU3N2IzMWIzYWI0YWRmODBhYzFkNGRmNjEifQ=="/>
    <w:docVar w:name="KSO_WPS_MARK_KEY" w:val="455ab172-6008-4744-94a1-51329feae348"/>
  </w:docVars>
  <w:rsids>
    <w:rsidRoot w:val="00164A26"/>
    <w:rsid w:val="00003FBF"/>
    <w:rsid w:val="00005844"/>
    <w:rsid w:val="00022A37"/>
    <w:rsid w:val="000312BA"/>
    <w:rsid w:val="00033851"/>
    <w:rsid w:val="00036954"/>
    <w:rsid w:val="00050006"/>
    <w:rsid w:val="00061667"/>
    <w:rsid w:val="00073CB9"/>
    <w:rsid w:val="000816EC"/>
    <w:rsid w:val="00084A66"/>
    <w:rsid w:val="000916F4"/>
    <w:rsid w:val="000E18B3"/>
    <w:rsid w:val="000F4BB3"/>
    <w:rsid w:val="00100C64"/>
    <w:rsid w:val="001077D7"/>
    <w:rsid w:val="00123D69"/>
    <w:rsid w:val="00125A51"/>
    <w:rsid w:val="00126389"/>
    <w:rsid w:val="0013424A"/>
    <w:rsid w:val="00164A26"/>
    <w:rsid w:val="001729A1"/>
    <w:rsid w:val="001735E2"/>
    <w:rsid w:val="0017421E"/>
    <w:rsid w:val="001A4577"/>
    <w:rsid w:val="001A7F14"/>
    <w:rsid w:val="001F276D"/>
    <w:rsid w:val="001F2BCF"/>
    <w:rsid w:val="001F4AD5"/>
    <w:rsid w:val="0024202D"/>
    <w:rsid w:val="00262AB4"/>
    <w:rsid w:val="00265079"/>
    <w:rsid w:val="00271A4B"/>
    <w:rsid w:val="002A30F8"/>
    <w:rsid w:val="002C024C"/>
    <w:rsid w:val="002D1AA4"/>
    <w:rsid w:val="002D2D87"/>
    <w:rsid w:val="002E0865"/>
    <w:rsid w:val="00304DE2"/>
    <w:rsid w:val="00310FA5"/>
    <w:rsid w:val="00323A5F"/>
    <w:rsid w:val="00332012"/>
    <w:rsid w:val="00351383"/>
    <w:rsid w:val="00355A11"/>
    <w:rsid w:val="00362F9E"/>
    <w:rsid w:val="003849F9"/>
    <w:rsid w:val="0039781D"/>
    <w:rsid w:val="003A6C94"/>
    <w:rsid w:val="003A72CE"/>
    <w:rsid w:val="003A72D2"/>
    <w:rsid w:val="003B1349"/>
    <w:rsid w:val="003C3737"/>
    <w:rsid w:val="003E532E"/>
    <w:rsid w:val="003F1D64"/>
    <w:rsid w:val="003F3CF1"/>
    <w:rsid w:val="003F4D15"/>
    <w:rsid w:val="00432F03"/>
    <w:rsid w:val="00443BFE"/>
    <w:rsid w:val="00455FFB"/>
    <w:rsid w:val="00460F47"/>
    <w:rsid w:val="004A16C2"/>
    <w:rsid w:val="004D4AEB"/>
    <w:rsid w:val="004D78F1"/>
    <w:rsid w:val="004E59EB"/>
    <w:rsid w:val="004E714A"/>
    <w:rsid w:val="00500C60"/>
    <w:rsid w:val="00531A6C"/>
    <w:rsid w:val="00580F6F"/>
    <w:rsid w:val="00586AE2"/>
    <w:rsid w:val="005A7812"/>
    <w:rsid w:val="005D149D"/>
    <w:rsid w:val="005E1801"/>
    <w:rsid w:val="005E27DC"/>
    <w:rsid w:val="005F0B72"/>
    <w:rsid w:val="006140FF"/>
    <w:rsid w:val="006438BD"/>
    <w:rsid w:val="006814F5"/>
    <w:rsid w:val="00692C2B"/>
    <w:rsid w:val="0069583B"/>
    <w:rsid w:val="006A4DBF"/>
    <w:rsid w:val="006B5620"/>
    <w:rsid w:val="006D0604"/>
    <w:rsid w:val="006D7A51"/>
    <w:rsid w:val="006F23BF"/>
    <w:rsid w:val="006F6950"/>
    <w:rsid w:val="007033FF"/>
    <w:rsid w:val="007036C6"/>
    <w:rsid w:val="00714F76"/>
    <w:rsid w:val="00717463"/>
    <w:rsid w:val="007202FC"/>
    <w:rsid w:val="007261A3"/>
    <w:rsid w:val="00736B77"/>
    <w:rsid w:val="00744F78"/>
    <w:rsid w:val="00765802"/>
    <w:rsid w:val="0077022A"/>
    <w:rsid w:val="0078381E"/>
    <w:rsid w:val="00786079"/>
    <w:rsid w:val="007864F7"/>
    <w:rsid w:val="0079047F"/>
    <w:rsid w:val="007959AC"/>
    <w:rsid w:val="007965C2"/>
    <w:rsid w:val="007C0D50"/>
    <w:rsid w:val="007C11A2"/>
    <w:rsid w:val="007C74A1"/>
    <w:rsid w:val="007D0F2E"/>
    <w:rsid w:val="007D7138"/>
    <w:rsid w:val="007F2181"/>
    <w:rsid w:val="00810BA1"/>
    <w:rsid w:val="00827757"/>
    <w:rsid w:val="00834788"/>
    <w:rsid w:val="00841DD7"/>
    <w:rsid w:val="00856881"/>
    <w:rsid w:val="00865714"/>
    <w:rsid w:val="00876CA1"/>
    <w:rsid w:val="008A35F0"/>
    <w:rsid w:val="008C6A33"/>
    <w:rsid w:val="008D092C"/>
    <w:rsid w:val="008F1D6A"/>
    <w:rsid w:val="009066EE"/>
    <w:rsid w:val="00916F7E"/>
    <w:rsid w:val="00917224"/>
    <w:rsid w:val="009428D1"/>
    <w:rsid w:val="009448DC"/>
    <w:rsid w:val="00945F6E"/>
    <w:rsid w:val="009511E1"/>
    <w:rsid w:val="009578EC"/>
    <w:rsid w:val="0096626D"/>
    <w:rsid w:val="00970CD8"/>
    <w:rsid w:val="009B3574"/>
    <w:rsid w:val="009B3B67"/>
    <w:rsid w:val="009B3F84"/>
    <w:rsid w:val="009B4118"/>
    <w:rsid w:val="009C2CFB"/>
    <w:rsid w:val="009E559B"/>
    <w:rsid w:val="009E61B2"/>
    <w:rsid w:val="009E65D9"/>
    <w:rsid w:val="00A01181"/>
    <w:rsid w:val="00A07F49"/>
    <w:rsid w:val="00A14517"/>
    <w:rsid w:val="00A151AA"/>
    <w:rsid w:val="00A21D2B"/>
    <w:rsid w:val="00A3236E"/>
    <w:rsid w:val="00A33DA6"/>
    <w:rsid w:val="00A5174E"/>
    <w:rsid w:val="00A6278F"/>
    <w:rsid w:val="00A73551"/>
    <w:rsid w:val="00A73C6B"/>
    <w:rsid w:val="00A77AA1"/>
    <w:rsid w:val="00A81E61"/>
    <w:rsid w:val="00AA4048"/>
    <w:rsid w:val="00AB16AB"/>
    <w:rsid w:val="00AB44F6"/>
    <w:rsid w:val="00AF78D9"/>
    <w:rsid w:val="00B00422"/>
    <w:rsid w:val="00B067D2"/>
    <w:rsid w:val="00B10281"/>
    <w:rsid w:val="00B17E94"/>
    <w:rsid w:val="00B42B65"/>
    <w:rsid w:val="00B45292"/>
    <w:rsid w:val="00B53DED"/>
    <w:rsid w:val="00B71A69"/>
    <w:rsid w:val="00B82E4F"/>
    <w:rsid w:val="00BA4329"/>
    <w:rsid w:val="00BB22A4"/>
    <w:rsid w:val="00BD1CDA"/>
    <w:rsid w:val="00BE1136"/>
    <w:rsid w:val="00BF6E7C"/>
    <w:rsid w:val="00C10A3A"/>
    <w:rsid w:val="00C15305"/>
    <w:rsid w:val="00C25232"/>
    <w:rsid w:val="00C30694"/>
    <w:rsid w:val="00C336FD"/>
    <w:rsid w:val="00C3788F"/>
    <w:rsid w:val="00C51C31"/>
    <w:rsid w:val="00C53C25"/>
    <w:rsid w:val="00C60AD7"/>
    <w:rsid w:val="00C673A5"/>
    <w:rsid w:val="00C76E29"/>
    <w:rsid w:val="00C8076D"/>
    <w:rsid w:val="00C83632"/>
    <w:rsid w:val="00CB59A5"/>
    <w:rsid w:val="00CC28FB"/>
    <w:rsid w:val="00CC5BFB"/>
    <w:rsid w:val="00CC7E44"/>
    <w:rsid w:val="00CE3F3C"/>
    <w:rsid w:val="00CE5B3A"/>
    <w:rsid w:val="00CF1D65"/>
    <w:rsid w:val="00D016F7"/>
    <w:rsid w:val="00D02C96"/>
    <w:rsid w:val="00D11125"/>
    <w:rsid w:val="00D12C7F"/>
    <w:rsid w:val="00D234DD"/>
    <w:rsid w:val="00D26E13"/>
    <w:rsid w:val="00D30E94"/>
    <w:rsid w:val="00D517B8"/>
    <w:rsid w:val="00D648E6"/>
    <w:rsid w:val="00D67C9B"/>
    <w:rsid w:val="00D97836"/>
    <w:rsid w:val="00DA179C"/>
    <w:rsid w:val="00DD095E"/>
    <w:rsid w:val="00DD4AC1"/>
    <w:rsid w:val="00E15D02"/>
    <w:rsid w:val="00E16294"/>
    <w:rsid w:val="00E3356A"/>
    <w:rsid w:val="00E60553"/>
    <w:rsid w:val="00E76B0F"/>
    <w:rsid w:val="00E809D3"/>
    <w:rsid w:val="00E87D6E"/>
    <w:rsid w:val="00E94E46"/>
    <w:rsid w:val="00F028BA"/>
    <w:rsid w:val="00F0661C"/>
    <w:rsid w:val="00F25273"/>
    <w:rsid w:val="00F55712"/>
    <w:rsid w:val="00F61E95"/>
    <w:rsid w:val="00F64F4F"/>
    <w:rsid w:val="00F7298D"/>
    <w:rsid w:val="00F801B0"/>
    <w:rsid w:val="00F85509"/>
    <w:rsid w:val="00F91D86"/>
    <w:rsid w:val="00FA47E9"/>
    <w:rsid w:val="00FA5B4F"/>
    <w:rsid w:val="00FB0F58"/>
    <w:rsid w:val="00FD43EB"/>
    <w:rsid w:val="00FE6DC4"/>
    <w:rsid w:val="00FF3D78"/>
    <w:rsid w:val="00FF59FA"/>
    <w:rsid w:val="01084334"/>
    <w:rsid w:val="015120FF"/>
    <w:rsid w:val="016B39E1"/>
    <w:rsid w:val="01C761D7"/>
    <w:rsid w:val="01D8116A"/>
    <w:rsid w:val="01F60483"/>
    <w:rsid w:val="022A2C9E"/>
    <w:rsid w:val="023C3AF8"/>
    <w:rsid w:val="025106EB"/>
    <w:rsid w:val="0273262B"/>
    <w:rsid w:val="02834944"/>
    <w:rsid w:val="029B426A"/>
    <w:rsid w:val="029F42A4"/>
    <w:rsid w:val="02AB1E3E"/>
    <w:rsid w:val="02B3145D"/>
    <w:rsid w:val="02E02C7C"/>
    <w:rsid w:val="035166A0"/>
    <w:rsid w:val="03572688"/>
    <w:rsid w:val="03696178"/>
    <w:rsid w:val="03892DCC"/>
    <w:rsid w:val="03BE24DD"/>
    <w:rsid w:val="03C51AC7"/>
    <w:rsid w:val="03CE7FD9"/>
    <w:rsid w:val="03D7014F"/>
    <w:rsid w:val="03DC7578"/>
    <w:rsid w:val="03DD2BEB"/>
    <w:rsid w:val="04656FC2"/>
    <w:rsid w:val="049200DA"/>
    <w:rsid w:val="04B8484E"/>
    <w:rsid w:val="04C3735B"/>
    <w:rsid w:val="04E30D95"/>
    <w:rsid w:val="0501437C"/>
    <w:rsid w:val="052C5B4A"/>
    <w:rsid w:val="054369B0"/>
    <w:rsid w:val="055E278E"/>
    <w:rsid w:val="05BE6C0A"/>
    <w:rsid w:val="05C2696D"/>
    <w:rsid w:val="05CF31A3"/>
    <w:rsid w:val="06404C21"/>
    <w:rsid w:val="064A387B"/>
    <w:rsid w:val="064A55B4"/>
    <w:rsid w:val="06E13BE7"/>
    <w:rsid w:val="06F35CD3"/>
    <w:rsid w:val="06FB62C0"/>
    <w:rsid w:val="071154C2"/>
    <w:rsid w:val="07511820"/>
    <w:rsid w:val="07516AFE"/>
    <w:rsid w:val="078A14A3"/>
    <w:rsid w:val="07BD0A2D"/>
    <w:rsid w:val="07F14204"/>
    <w:rsid w:val="08705944"/>
    <w:rsid w:val="0889436D"/>
    <w:rsid w:val="08BD0AA5"/>
    <w:rsid w:val="08CC323D"/>
    <w:rsid w:val="08CD7715"/>
    <w:rsid w:val="08E73755"/>
    <w:rsid w:val="095278EF"/>
    <w:rsid w:val="095B26FD"/>
    <w:rsid w:val="09AF4F58"/>
    <w:rsid w:val="09B6397C"/>
    <w:rsid w:val="09C5623B"/>
    <w:rsid w:val="09DF495D"/>
    <w:rsid w:val="0A027410"/>
    <w:rsid w:val="0A7A6F34"/>
    <w:rsid w:val="0B11653F"/>
    <w:rsid w:val="0B3C1297"/>
    <w:rsid w:val="0B52611B"/>
    <w:rsid w:val="0B6658C1"/>
    <w:rsid w:val="0B7D63D9"/>
    <w:rsid w:val="0BAE7005"/>
    <w:rsid w:val="0BC03001"/>
    <w:rsid w:val="0BF01FA1"/>
    <w:rsid w:val="0BFB6608"/>
    <w:rsid w:val="0C537AC8"/>
    <w:rsid w:val="0C743400"/>
    <w:rsid w:val="0C752CDA"/>
    <w:rsid w:val="0C824D94"/>
    <w:rsid w:val="0C91653A"/>
    <w:rsid w:val="0CAC7A10"/>
    <w:rsid w:val="0CC94ECA"/>
    <w:rsid w:val="0D1C518E"/>
    <w:rsid w:val="0D3136C6"/>
    <w:rsid w:val="0D50605C"/>
    <w:rsid w:val="0D6159CD"/>
    <w:rsid w:val="0D6938FC"/>
    <w:rsid w:val="0D794A84"/>
    <w:rsid w:val="0D8254EF"/>
    <w:rsid w:val="0D9418DB"/>
    <w:rsid w:val="0DEA4012"/>
    <w:rsid w:val="0E4017EB"/>
    <w:rsid w:val="0E565A87"/>
    <w:rsid w:val="0E5A5164"/>
    <w:rsid w:val="0EAA0292"/>
    <w:rsid w:val="0EBA12A2"/>
    <w:rsid w:val="0F2B1696"/>
    <w:rsid w:val="0F4123B8"/>
    <w:rsid w:val="0F503CB0"/>
    <w:rsid w:val="0F866664"/>
    <w:rsid w:val="0F9D7DBE"/>
    <w:rsid w:val="0FD63D53"/>
    <w:rsid w:val="100D1BA1"/>
    <w:rsid w:val="101C26E6"/>
    <w:rsid w:val="1031306E"/>
    <w:rsid w:val="107560FB"/>
    <w:rsid w:val="10901C97"/>
    <w:rsid w:val="10932080"/>
    <w:rsid w:val="10A23D15"/>
    <w:rsid w:val="10D95A54"/>
    <w:rsid w:val="10E344BC"/>
    <w:rsid w:val="10E423B2"/>
    <w:rsid w:val="10FC6F22"/>
    <w:rsid w:val="11014C8D"/>
    <w:rsid w:val="11035115"/>
    <w:rsid w:val="110A4189"/>
    <w:rsid w:val="11146F5F"/>
    <w:rsid w:val="11232350"/>
    <w:rsid w:val="11256598"/>
    <w:rsid w:val="112E0F69"/>
    <w:rsid w:val="116E6C2E"/>
    <w:rsid w:val="117B3312"/>
    <w:rsid w:val="11B7759E"/>
    <w:rsid w:val="11C3103F"/>
    <w:rsid w:val="11E23FCD"/>
    <w:rsid w:val="1211524D"/>
    <w:rsid w:val="12200AA3"/>
    <w:rsid w:val="125F6811"/>
    <w:rsid w:val="12614006"/>
    <w:rsid w:val="127301F5"/>
    <w:rsid w:val="12FB6C31"/>
    <w:rsid w:val="137C0069"/>
    <w:rsid w:val="13D64319"/>
    <w:rsid w:val="141D0844"/>
    <w:rsid w:val="14464CED"/>
    <w:rsid w:val="147B03A7"/>
    <w:rsid w:val="147F72E3"/>
    <w:rsid w:val="14832432"/>
    <w:rsid w:val="155C2097"/>
    <w:rsid w:val="155F3B6E"/>
    <w:rsid w:val="15717ED8"/>
    <w:rsid w:val="15962639"/>
    <w:rsid w:val="15B25A4E"/>
    <w:rsid w:val="15D815FF"/>
    <w:rsid w:val="164B7DF6"/>
    <w:rsid w:val="166954C5"/>
    <w:rsid w:val="167C35DD"/>
    <w:rsid w:val="16A13481"/>
    <w:rsid w:val="16D52CED"/>
    <w:rsid w:val="16ED178E"/>
    <w:rsid w:val="16FE36E0"/>
    <w:rsid w:val="17091CDA"/>
    <w:rsid w:val="17181AFF"/>
    <w:rsid w:val="17214184"/>
    <w:rsid w:val="176070E3"/>
    <w:rsid w:val="177E3E97"/>
    <w:rsid w:val="17AB5545"/>
    <w:rsid w:val="17C437E6"/>
    <w:rsid w:val="183D2D51"/>
    <w:rsid w:val="18712D56"/>
    <w:rsid w:val="187A47A2"/>
    <w:rsid w:val="18D21B2D"/>
    <w:rsid w:val="18DE5F55"/>
    <w:rsid w:val="18F2402A"/>
    <w:rsid w:val="190E58A7"/>
    <w:rsid w:val="19185740"/>
    <w:rsid w:val="193577D7"/>
    <w:rsid w:val="19570858"/>
    <w:rsid w:val="19615A80"/>
    <w:rsid w:val="19756550"/>
    <w:rsid w:val="19C90D16"/>
    <w:rsid w:val="19EA09AA"/>
    <w:rsid w:val="19F636A6"/>
    <w:rsid w:val="1A002626"/>
    <w:rsid w:val="1A1F02AF"/>
    <w:rsid w:val="1AA57B21"/>
    <w:rsid w:val="1ABE2BA0"/>
    <w:rsid w:val="1ACC6D60"/>
    <w:rsid w:val="1AF60168"/>
    <w:rsid w:val="1B175E11"/>
    <w:rsid w:val="1B3721C8"/>
    <w:rsid w:val="1B6A3708"/>
    <w:rsid w:val="1B78371C"/>
    <w:rsid w:val="1B811E07"/>
    <w:rsid w:val="1B8D3327"/>
    <w:rsid w:val="1BD614B5"/>
    <w:rsid w:val="1BED245D"/>
    <w:rsid w:val="1BF711F2"/>
    <w:rsid w:val="1C453D10"/>
    <w:rsid w:val="1C9F74E5"/>
    <w:rsid w:val="1CA473E9"/>
    <w:rsid w:val="1CB86F6A"/>
    <w:rsid w:val="1CBA189F"/>
    <w:rsid w:val="1CDB5460"/>
    <w:rsid w:val="1CE4135D"/>
    <w:rsid w:val="1D954097"/>
    <w:rsid w:val="1DC25B26"/>
    <w:rsid w:val="1DCE3541"/>
    <w:rsid w:val="1DDE3E0D"/>
    <w:rsid w:val="1DED2F85"/>
    <w:rsid w:val="1DFC5003"/>
    <w:rsid w:val="1E2765CD"/>
    <w:rsid w:val="1E2A59F7"/>
    <w:rsid w:val="1E2D1C4F"/>
    <w:rsid w:val="1E5B107D"/>
    <w:rsid w:val="1E96576C"/>
    <w:rsid w:val="1F1F489E"/>
    <w:rsid w:val="1F452A40"/>
    <w:rsid w:val="1F520570"/>
    <w:rsid w:val="1F82330F"/>
    <w:rsid w:val="1FAB4F33"/>
    <w:rsid w:val="1FB07A02"/>
    <w:rsid w:val="1FE23BAA"/>
    <w:rsid w:val="20211BB4"/>
    <w:rsid w:val="20360961"/>
    <w:rsid w:val="204E70CF"/>
    <w:rsid w:val="20504026"/>
    <w:rsid w:val="205B1FA9"/>
    <w:rsid w:val="2063288B"/>
    <w:rsid w:val="2088299B"/>
    <w:rsid w:val="20F8797A"/>
    <w:rsid w:val="21122030"/>
    <w:rsid w:val="2137592E"/>
    <w:rsid w:val="2197232A"/>
    <w:rsid w:val="21E2663C"/>
    <w:rsid w:val="21FA13AC"/>
    <w:rsid w:val="21FB0863"/>
    <w:rsid w:val="22405DEE"/>
    <w:rsid w:val="22A56590"/>
    <w:rsid w:val="22EF0EBD"/>
    <w:rsid w:val="230C72B5"/>
    <w:rsid w:val="230D4ECE"/>
    <w:rsid w:val="23116721"/>
    <w:rsid w:val="2329689A"/>
    <w:rsid w:val="232E03FA"/>
    <w:rsid w:val="23444106"/>
    <w:rsid w:val="23725508"/>
    <w:rsid w:val="23A81737"/>
    <w:rsid w:val="23B94A02"/>
    <w:rsid w:val="23C93EEE"/>
    <w:rsid w:val="23E31589"/>
    <w:rsid w:val="241765E6"/>
    <w:rsid w:val="245A4C34"/>
    <w:rsid w:val="248B45AA"/>
    <w:rsid w:val="24C7636B"/>
    <w:rsid w:val="24E51C51"/>
    <w:rsid w:val="24E63EA7"/>
    <w:rsid w:val="252C350D"/>
    <w:rsid w:val="2568016B"/>
    <w:rsid w:val="257B0F03"/>
    <w:rsid w:val="25A96C20"/>
    <w:rsid w:val="25AF2EBF"/>
    <w:rsid w:val="25BA4F5B"/>
    <w:rsid w:val="25C11872"/>
    <w:rsid w:val="25F80F5A"/>
    <w:rsid w:val="260B672B"/>
    <w:rsid w:val="264F4EC2"/>
    <w:rsid w:val="265E2CFF"/>
    <w:rsid w:val="26937E39"/>
    <w:rsid w:val="26C42E26"/>
    <w:rsid w:val="27134F45"/>
    <w:rsid w:val="27870348"/>
    <w:rsid w:val="278865B0"/>
    <w:rsid w:val="27C35DCC"/>
    <w:rsid w:val="27CF31FA"/>
    <w:rsid w:val="27EE08AF"/>
    <w:rsid w:val="2885411F"/>
    <w:rsid w:val="28A11C21"/>
    <w:rsid w:val="28A61236"/>
    <w:rsid w:val="28C837B1"/>
    <w:rsid w:val="28D64DCE"/>
    <w:rsid w:val="28D83F68"/>
    <w:rsid w:val="29641C74"/>
    <w:rsid w:val="296879F1"/>
    <w:rsid w:val="29A93EB7"/>
    <w:rsid w:val="29C71F0D"/>
    <w:rsid w:val="29D6317B"/>
    <w:rsid w:val="29ED6C5C"/>
    <w:rsid w:val="29EF11E7"/>
    <w:rsid w:val="2AA246FA"/>
    <w:rsid w:val="2ADC53CB"/>
    <w:rsid w:val="2AE546EF"/>
    <w:rsid w:val="2AE85A8E"/>
    <w:rsid w:val="2B0973C4"/>
    <w:rsid w:val="2B2078EE"/>
    <w:rsid w:val="2B347251"/>
    <w:rsid w:val="2B440D65"/>
    <w:rsid w:val="2B4D01B6"/>
    <w:rsid w:val="2B6D6617"/>
    <w:rsid w:val="2B7559AA"/>
    <w:rsid w:val="2B7C38C5"/>
    <w:rsid w:val="2BE30D8F"/>
    <w:rsid w:val="2BF257AD"/>
    <w:rsid w:val="2C8F6503"/>
    <w:rsid w:val="2CA0597A"/>
    <w:rsid w:val="2CB23D47"/>
    <w:rsid w:val="2CCE4A61"/>
    <w:rsid w:val="2CDC3F1C"/>
    <w:rsid w:val="2CF23A30"/>
    <w:rsid w:val="2D0E0803"/>
    <w:rsid w:val="2D11459C"/>
    <w:rsid w:val="2D504304"/>
    <w:rsid w:val="2D955FA5"/>
    <w:rsid w:val="2DBB3622"/>
    <w:rsid w:val="2DD2115B"/>
    <w:rsid w:val="2E3464AF"/>
    <w:rsid w:val="2E6659D4"/>
    <w:rsid w:val="2E6F4744"/>
    <w:rsid w:val="2EC62A19"/>
    <w:rsid w:val="2ED249E0"/>
    <w:rsid w:val="2ED86995"/>
    <w:rsid w:val="2EFD1ECD"/>
    <w:rsid w:val="2F127235"/>
    <w:rsid w:val="2F662597"/>
    <w:rsid w:val="2F8B2E0E"/>
    <w:rsid w:val="2FC662F6"/>
    <w:rsid w:val="2FF71430"/>
    <w:rsid w:val="307416C5"/>
    <w:rsid w:val="307E0872"/>
    <w:rsid w:val="30D31EF8"/>
    <w:rsid w:val="30DA7A4D"/>
    <w:rsid w:val="30DB7240"/>
    <w:rsid w:val="30F62060"/>
    <w:rsid w:val="30F633A1"/>
    <w:rsid w:val="30FF0C3A"/>
    <w:rsid w:val="312E6FC3"/>
    <w:rsid w:val="31AB597F"/>
    <w:rsid w:val="31B90EA9"/>
    <w:rsid w:val="31CC31B5"/>
    <w:rsid w:val="31E83DB0"/>
    <w:rsid w:val="31ED3790"/>
    <w:rsid w:val="31F26F7C"/>
    <w:rsid w:val="31FC33CC"/>
    <w:rsid w:val="31FD1625"/>
    <w:rsid w:val="325E459C"/>
    <w:rsid w:val="32866CA8"/>
    <w:rsid w:val="32B573EB"/>
    <w:rsid w:val="32BA0C51"/>
    <w:rsid w:val="32CD3ADB"/>
    <w:rsid w:val="32DD1FA7"/>
    <w:rsid w:val="33346673"/>
    <w:rsid w:val="33492641"/>
    <w:rsid w:val="33572C34"/>
    <w:rsid w:val="33775489"/>
    <w:rsid w:val="33A70C3C"/>
    <w:rsid w:val="33F34120"/>
    <w:rsid w:val="341077E6"/>
    <w:rsid w:val="34C45273"/>
    <w:rsid w:val="35151C0C"/>
    <w:rsid w:val="35325A82"/>
    <w:rsid w:val="35A0363F"/>
    <w:rsid w:val="35A762B6"/>
    <w:rsid w:val="35B34924"/>
    <w:rsid w:val="35C83CF1"/>
    <w:rsid w:val="360601AF"/>
    <w:rsid w:val="36582124"/>
    <w:rsid w:val="367F3905"/>
    <w:rsid w:val="36B767BF"/>
    <w:rsid w:val="36E774C1"/>
    <w:rsid w:val="373E2720"/>
    <w:rsid w:val="374B3562"/>
    <w:rsid w:val="376C011E"/>
    <w:rsid w:val="38B43A69"/>
    <w:rsid w:val="38BC74FC"/>
    <w:rsid w:val="38C26024"/>
    <w:rsid w:val="38CC7F9C"/>
    <w:rsid w:val="390463F0"/>
    <w:rsid w:val="39070FD4"/>
    <w:rsid w:val="395D34F5"/>
    <w:rsid w:val="395F729C"/>
    <w:rsid w:val="398648EE"/>
    <w:rsid w:val="39AD1758"/>
    <w:rsid w:val="39CF6EE7"/>
    <w:rsid w:val="39D114EA"/>
    <w:rsid w:val="3A0211EA"/>
    <w:rsid w:val="3A072FE0"/>
    <w:rsid w:val="3A293184"/>
    <w:rsid w:val="3A48657D"/>
    <w:rsid w:val="3A895F32"/>
    <w:rsid w:val="3AA712E1"/>
    <w:rsid w:val="3B0A12A9"/>
    <w:rsid w:val="3B39580A"/>
    <w:rsid w:val="3B543E03"/>
    <w:rsid w:val="3BF72767"/>
    <w:rsid w:val="3CAC2A13"/>
    <w:rsid w:val="3D0F1DDD"/>
    <w:rsid w:val="3D37507E"/>
    <w:rsid w:val="3D4101C8"/>
    <w:rsid w:val="3DA410DE"/>
    <w:rsid w:val="3DC04610"/>
    <w:rsid w:val="3DCD3303"/>
    <w:rsid w:val="3DDE554E"/>
    <w:rsid w:val="3DF8713D"/>
    <w:rsid w:val="3E1F324B"/>
    <w:rsid w:val="3E234636"/>
    <w:rsid w:val="3E3706D7"/>
    <w:rsid w:val="3EA63A18"/>
    <w:rsid w:val="3EBC2F05"/>
    <w:rsid w:val="3ED425C7"/>
    <w:rsid w:val="3F666DF4"/>
    <w:rsid w:val="3F850082"/>
    <w:rsid w:val="3F8B24E2"/>
    <w:rsid w:val="3FA27CF6"/>
    <w:rsid w:val="3FD339BE"/>
    <w:rsid w:val="3FE12BE5"/>
    <w:rsid w:val="4000795B"/>
    <w:rsid w:val="4008709B"/>
    <w:rsid w:val="40273D0A"/>
    <w:rsid w:val="40810B62"/>
    <w:rsid w:val="40C15F0C"/>
    <w:rsid w:val="40DF0062"/>
    <w:rsid w:val="40EC510F"/>
    <w:rsid w:val="40F67BE6"/>
    <w:rsid w:val="411C54F0"/>
    <w:rsid w:val="41232723"/>
    <w:rsid w:val="414066E8"/>
    <w:rsid w:val="418368AB"/>
    <w:rsid w:val="4196364E"/>
    <w:rsid w:val="41A615D8"/>
    <w:rsid w:val="41CC582F"/>
    <w:rsid w:val="41EF60E1"/>
    <w:rsid w:val="423B434C"/>
    <w:rsid w:val="424A0CD8"/>
    <w:rsid w:val="42664FBD"/>
    <w:rsid w:val="42A6360C"/>
    <w:rsid w:val="42B03AF6"/>
    <w:rsid w:val="42EF2072"/>
    <w:rsid w:val="430F11B1"/>
    <w:rsid w:val="431F542F"/>
    <w:rsid w:val="432E090D"/>
    <w:rsid w:val="437356CB"/>
    <w:rsid w:val="43774403"/>
    <w:rsid w:val="43BB74AB"/>
    <w:rsid w:val="43D94187"/>
    <w:rsid w:val="43DD58F5"/>
    <w:rsid w:val="43F473B3"/>
    <w:rsid w:val="44101C95"/>
    <w:rsid w:val="443965C5"/>
    <w:rsid w:val="449F4D9D"/>
    <w:rsid w:val="44DB3236"/>
    <w:rsid w:val="45E14D3F"/>
    <w:rsid w:val="45F95279"/>
    <w:rsid w:val="45F96148"/>
    <w:rsid w:val="460F43F6"/>
    <w:rsid w:val="46257DA6"/>
    <w:rsid w:val="463E49BE"/>
    <w:rsid w:val="46653EE5"/>
    <w:rsid w:val="4665774A"/>
    <w:rsid w:val="46AF5982"/>
    <w:rsid w:val="47273ACB"/>
    <w:rsid w:val="473F5DDD"/>
    <w:rsid w:val="47E01312"/>
    <w:rsid w:val="48052B82"/>
    <w:rsid w:val="48597569"/>
    <w:rsid w:val="4859777E"/>
    <w:rsid w:val="48A01E45"/>
    <w:rsid w:val="48E35EFE"/>
    <w:rsid w:val="48F851C5"/>
    <w:rsid w:val="48FA7E0C"/>
    <w:rsid w:val="494A71CD"/>
    <w:rsid w:val="496C37C9"/>
    <w:rsid w:val="498E6A4A"/>
    <w:rsid w:val="499A72FA"/>
    <w:rsid w:val="49C5506F"/>
    <w:rsid w:val="49C85565"/>
    <w:rsid w:val="49E873A6"/>
    <w:rsid w:val="49ED6E1E"/>
    <w:rsid w:val="4A3B6D2F"/>
    <w:rsid w:val="4AB10FA6"/>
    <w:rsid w:val="4ABE6A1B"/>
    <w:rsid w:val="4B5F638B"/>
    <w:rsid w:val="4B6A6D47"/>
    <w:rsid w:val="4B6E6B25"/>
    <w:rsid w:val="4B7C2625"/>
    <w:rsid w:val="4BBE0E62"/>
    <w:rsid w:val="4BCA06FA"/>
    <w:rsid w:val="4BFA26BE"/>
    <w:rsid w:val="4C0861F4"/>
    <w:rsid w:val="4C7D2CA3"/>
    <w:rsid w:val="4C9F1385"/>
    <w:rsid w:val="4CCB138D"/>
    <w:rsid w:val="4CDA084B"/>
    <w:rsid w:val="4CE05DA7"/>
    <w:rsid w:val="4DB111C8"/>
    <w:rsid w:val="4DC27402"/>
    <w:rsid w:val="4E121D6B"/>
    <w:rsid w:val="4E382984"/>
    <w:rsid w:val="4E5100BA"/>
    <w:rsid w:val="4E6744A4"/>
    <w:rsid w:val="4EB77524"/>
    <w:rsid w:val="4ED569C4"/>
    <w:rsid w:val="4F7D7BCB"/>
    <w:rsid w:val="4F8B03A5"/>
    <w:rsid w:val="4FA565F3"/>
    <w:rsid w:val="4FA9696B"/>
    <w:rsid w:val="4FD55530"/>
    <w:rsid w:val="50103267"/>
    <w:rsid w:val="501F67AB"/>
    <w:rsid w:val="502F6B25"/>
    <w:rsid w:val="5093217D"/>
    <w:rsid w:val="50946A88"/>
    <w:rsid w:val="51156E65"/>
    <w:rsid w:val="51241F2C"/>
    <w:rsid w:val="516955C7"/>
    <w:rsid w:val="51791F67"/>
    <w:rsid w:val="517A7E2A"/>
    <w:rsid w:val="51863DD9"/>
    <w:rsid w:val="51AF2D19"/>
    <w:rsid w:val="51DE3D8A"/>
    <w:rsid w:val="520270BE"/>
    <w:rsid w:val="526E7576"/>
    <w:rsid w:val="5270414C"/>
    <w:rsid w:val="529779DF"/>
    <w:rsid w:val="52BA7491"/>
    <w:rsid w:val="5305043B"/>
    <w:rsid w:val="5309106F"/>
    <w:rsid w:val="531743BB"/>
    <w:rsid w:val="531D00D4"/>
    <w:rsid w:val="53284FD7"/>
    <w:rsid w:val="536A29DD"/>
    <w:rsid w:val="53C23AF9"/>
    <w:rsid w:val="546A4B9E"/>
    <w:rsid w:val="546C051F"/>
    <w:rsid w:val="548E7C22"/>
    <w:rsid w:val="54D040F2"/>
    <w:rsid w:val="552D0BFE"/>
    <w:rsid w:val="5542381C"/>
    <w:rsid w:val="55894DF3"/>
    <w:rsid w:val="558E5CF8"/>
    <w:rsid w:val="558F1561"/>
    <w:rsid w:val="559E7B01"/>
    <w:rsid w:val="55B84A13"/>
    <w:rsid w:val="55DD513F"/>
    <w:rsid w:val="56532B2E"/>
    <w:rsid w:val="566F71C5"/>
    <w:rsid w:val="56982B14"/>
    <w:rsid w:val="57111345"/>
    <w:rsid w:val="57354F37"/>
    <w:rsid w:val="57460BED"/>
    <w:rsid w:val="578377AE"/>
    <w:rsid w:val="578F2115"/>
    <w:rsid w:val="579579C3"/>
    <w:rsid w:val="58065E84"/>
    <w:rsid w:val="580E1D6A"/>
    <w:rsid w:val="58472D43"/>
    <w:rsid w:val="58BE0344"/>
    <w:rsid w:val="58C7711D"/>
    <w:rsid w:val="58F059BC"/>
    <w:rsid w:val="58F95354"/>
    <w:rsid w:val="59193BF1"/>
    <w:rsid w:val="59617E35"/>
    <w:rsid w:val="59B6197F"/>
    <w:rsid w:val="59CD2121"/>
    <w:rsid w:val="59D622A5"/>
    <w:rsid w:val="59D822A0"/>
    <w:rsid w:val="59F262BE"/>
    <w:rsid w:val="5A0101AF"/>
    <w:rsid w:val="5A0A27E0"/>
    <w:rsid w:val="5A1B3634"/>
    <w:rsid w:val="5A391E2D"/>
    <w:rsid w:val="5A742613"/>
    <w:rsid w:val="5A7711FE"/>
    <w:rsid w:val="5A92127B"/>
    <w:rsid w:val="5A976C1F"/>
    <w:rsid w:val="5ACA1D83"/>
    <w:rsid w:val="5B043149"/>
    <w:rsid w:val="5B0A741B"/>
    <w:rsid w:val="5B79502A"/>
    <w:rsid w:val="5BB01E5A"/>
    <w:rsid w:val="5BEC1F25"/>
    <w:rsid w:val="5BF44D8E"/>
    <w:rsid w:val="5C0B2EB5"/>
    <w:rsid w:val="5C0D6095"/>
    <w:rsid w:val="5C50206C"/>
    <w:rsid w:val="5CB11E3F"/>
    <w:rsid w:val="5CB15782"/>
    <w:rsid w:val="5CC74453"/>
    <w:rsid w:val="5CD26EAF"/>
    <w:rsid w:val="5D0C7BB0"/>
    <w:rsid w:val="5D346979"/>
    <w:rsid w:val="5D8C679A"/>
    <w:rsid w:val="5DA14CA4"/>
    <w:rsid w:val="5DF179D9"/>
    <w:rsid w:val="5E365E23"/>
    <w:rsid w:val="5E7D71CD"/>
    <w:rsid w:val="5E804568"/>
    <w:rsid w:val="5EA902B4"/>
    <w:rsid w:val="5EBB7A7A"/>
    <w:rsid w:val="5EF53ED3"/>
    <w:rsid w:val="5F235236"/>
    <w:rsid w:val="5F3F4A2C"/>
    <w:rsid w:val="5F635047"/>
    <w:rsid w:val="5F922698"/>
    <w:rsid w:val="5F9D47EA"/>
    <w:rsid w:val="600435FC"/>
    <w:rsid w:val="60126860"/>
    <w:rsid w:val="6048422B"/>
    <w:rsid w:val="606D33A5"/>
    <w:rsid w:val="609C1AF4"/>
    <w:rsid w:val="60B9247E"/>
    <w:rsid w:val="60EA3002"/>
    <w:rsid w:val="6153688B"/>
    <w:rsid w:val="615D6A89"/>
    <w:rsid w:val="616A08BA"/>
    <w:rsid w:val="616C7723"/>
    <w:rsid w:val="616E5D6A"/>
    <w:rsid w:val="61854CCF"/>
    <w:rsid w:val="61A67412"/>
    <w:rsid w:val="61B77F57"/>
    <w:rsid w:val="61C55405"/>
    <w:rsid w:val="61DF1A53"/>
    <w:rsid w:val="622B3E62"/>
    <w:rsid w:val="62380FD4"/>
    <w:rsid w:val="625B6C39"/>
    <w:rsid w:val="626B1104"/>
    <w:rsid w:val="629F5A2E"/>
    <w:rsid w:val="62B372FA"/>
    <w:rsid w:val="62ED7C2E"/>
    <w:rsid w:val="62F424E6"/>
    <w:rsid w:val="63093083"/>
    <w:rsid w:val="630B1F98"/>
    <w:rsid w:val="631A4680"/>
    <w:rsid w:val="63256D10"/>
    <w:rsid w:val="63302CA9"/>
    <w:rsid w:val="6348710F"/>
    <w:rsid w:val="6369293D"/>
    <w:rsid w:val="63767CBC"/>
    <w:rsid w:val="63A4104A"/>
    <w:rsid w:val="63A85D88"/>
    <w:rsid w:val="63E1619C"/>
    <w:rsid w:val="64156E34"/>
    <w:rsid w:val="64287C7A"/>
    <w:rsid w:val="64460E10"/>
    <w:rsid w:val="644B62C1"/>
    <w:rsid w:val="6481486B"/>
    <w:rsid w:val="649347D7"/>
    <w:rsid w:val="650C3C54"/>
    <w:rsid w:val="6522015F"/>
    <w:rsid w:val="65276EB3"/>
    <w:rsid w:val="6530046B"/>
    <w:rsid w:val="65A87B6C"/>
    <w:rsid w:val="66005A21"/>
    <w:rsid w:val="66067204"/>
    <w:rsid w:val="660E04E9"/>
    <w:rsid w:val="6629798D"/>
    <w:rsid w:val="666050B0"/>
    <w:rsid w:val="66663D9A"/>
    <w:rsid w:val="66A357DA"/>
    <w:rsid w:val="6723477E"/>
    <w:rsid w:val="67271DA0"/>
    <w:rsid w:val="674406F5"/>
    <w:rsid w:val="677B6447"/>
    <w:rsid w:val="679D64DC"/>
    <w:rsid w:val="67B06428"/>
    <w:rsid w:val="67B220F3"/>
    <w:rsid w:val="68224AFA"/>
    <w:rsid w:val="683A122D"/>
    <w:rsid w:val="684806C1"/>
    <w:rsid w:val="68585019"/>
    <w:rsid w:val="68726AA2"/>
    <w:rsid w:val="689032B7"/>
    <w:rsid w:val="68AE7001"/>
    <w:rsid w:val="68B852BA"/>
    <w:rsid w:val="68D02C40"/>
    <w:rsid w:val="68F7727E"/>
    <w:rsid w:val="695D2AA1"/>
    <w:rsid w:val="69707208"/>
    <w:rsid w:val="69C441F4"/>
    <w:rsid w:val="69E81EFB"/>
    <w:rsid w:val="69E9069A"/>
    <w:rsid w:val="6A2049CA"/>
    <w:rsid w:val="6A2336AA"/>
    <w:rsid w:val="6A60286B"/>
    <w:rsid w:val="6A61635A"/>
    <w:rsid w:val="6A6634FD"/>
    <w:rsid w:val="6A7042BF"/>
    <w:rsid w:val="6AA55A22"/>
    <w:rsid w:val="6AB3462C"/>
    <w:rsid w:val="6AB94705"/>
    <w:rsid w:val="6ABC4126"/>
    <w:rsid w:val="6B4B3B36"/>
    <w:rsid w:val="6B9C0DDB"/>
    <w:rsid w:val="6C345D5D"/>
    <w:rsid w:val="6C5C7804"/>
    <w:rsid w:val="6C6B5A03"/>
    <w:rsid w:val="6CD010B4"/>
    <w:rsid w:val="6CE4695B"/>
    <w:rsid w:val="6CED6D6B"/>
    <w:rsid w:val="6D437B25"/>
    <w:rsid w:val="6D60122B"/>
    <w:rsid w:val="6D77332B"/>
    <w:rsid w:val="6D89211C"/>
    <w:rsid w:val="6E127D8C"/>
    <w:rsid w:val="6EB649F2"/>
    <w:rsid w:val="6F2C06CF"/>
    <w:rsid w:val="6F733B43"/>
    <w:rsid w:val="6F7F6655"/>
    <w:rsid w:val="6F877309"/>
    <w:rsid w:val="6F910FD8"/>
    <w:rsid w:val="6FAC60FC"/>
    <w:rsid w:val="6FE63731"/>
    <w:rsid w:val="6FFB7FEB"/>
    <w:rsid w:val="70137648"/>
    <w:rsid w:val="7025268A"/>
    <w:rsid w:val="70514307"/>
    <w:rsid w:val="70A32F59"/>
    <w:rsid w:val="70C55025"/>
    <w:rsid w:val="70D11308"/>
    <w:rsid w:val="70F02969"/>
    <w:rsid w:val="71034E46"/>
    <w:rsid w:val="71223BE7"/>
    <w:rsid w:val="71647FE9"/>
    <w:rsid w:val="71681909"/>
    <w:rsid w:val="71AE0F91"/>
    <w:rsid w:val="71B4554F"/>
    <w:rsid w:val="71FB0F8C"/>
    <w:rsid w:val="72315727"/>
    <w:rsid w:val="72347A3D"/>
    <w:rsid w:val="725F3E80"/>
    <w:rsid w:val="726520DC"/>
    <w:rsid w:val="72750929"/>
    <w:rsid w:val="728D3B24"/>
    <w:rsid w:val="72CC7EE1"/>
    <w:rsid w:val="730D2B50"/>
    <w:rsid w:val="732775A1"/>
    <w:rsid w:val="7355610E"/>
    <w:rsid w:val="737D6F09"/>
    <w:rsid w:val="738E5CB1"/>
    <w:rsid w:val="73A65F33"/>
    <w:rsid w:val="73C13552"/>
    <w:rsid w:val="73C31078"/>
    <w:rsid w:val="73E40D41"/>
    <w:rsid w:val="74034B36"/>
    <w:rsid w:val="74036360"/>
    <w:rsid w:val="74260341"/>
    <w:rsid w:val="74680254"/>
    <w:rsid w:val="74727853"/>
    <w:rsid w:val="74756837"/>
    <w:rsid w:val="74827397"/>
    <w:rsid w:val="74B75FD4"/>
    <w:rsid w:val="75061B64"/>
    <w:rsid w:val="756E3E36"/>
    <w:rsid w:val="757E0FB4"/>
    <w:rsid w:val="75A44A8B"/>
    <w:rsid w:val="75F86DC6"/>
    <w:rsid w:val="760C68C4"/>
    <w:rsid w:val="760D46DA"/>
    <w:rsid w:val="76164FEA"/>
    <w:rsid w:val="76170ABD"/>
    <w:rsid w:val="764403AA"/>
    <w:rsid w:val="76443B39"/>
    <w:rsid w:val="767940D2"/>
    <w:rsid w:val="769EDECB"/>
    <w:rsid w:val="76FC3CB1"/>
    <w:rsid w:val="778E4806"/>
    <w:rsid w:val="77A5459C"/>
    <w:rsid w:val="77A92C7B"/>
    <w:rsid w:val="77B26A55"/>
    <w:rsid w:val="780C344C"/>
    <w:rsid w:val="783458C3"/>
    <w:rsid w:val="78485FE3"/>
    <w:rsid w:val="786E5C3A"/>
    <w:rsid w:val="78A0171D"/>
    <w:rsid w:val="78C31B1A"/>
    <w:rsid w:val="78DB3EAF"/>
    <w:rsid w:val="78EB2364"/>
    <w:rsid w:val="78ED0487"/>
    <w:rsid w:val="793D5D03"/>
    <w:rsid w:val="7A2605B3"/>
    <w:rsid w:val="7A5955C8"/>
    <w:rsid w:val="7A77410C"/>
    <w:rsid w:val="7AC762FA"/>
    <w:rsid w:val="7AE579E4"/>
    <w:rsid w:val="7B09510E"/>
    <w:rsid w:val="7B130B24"/>
    <w:rsid w:val="7B550A17"/>
    <w:rsid w:val="7BCB5526"/>
    <w:rsid w:val="7BCC262A"/>
    <w:rsid w:val="7C2421B6"/>
    <w:rsid w:val="7C2C056D"/>
    <w:rsid w:val="7CCB17CA"/>
    <w:rsid w:val="7CE24108"/>
    <w:rsid w:val="7D353D1A"/>
    <w:rsid w:val="7D4E22FA"/>
    <w:rsid w:val="7D9578A5"/>
    <w:rsid w:val="7DEB7DC5"/>
    <w:rsid w:val="7E344E65"/>
    <w:rsid w:val="7E6A7F71"/>
    <w:rsid w:val="7ED73598"/>
    <w:rsid w:val="7F9F3F48"/>
    <w:rsid w:val="7FF976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semiHidden="0"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qFormat="1" w:unhideWhenUsed="0" w:uiPriority="99" w:semiHidden="0" w:name="toa heading"/>
    <w:lsdException w:uiPriority="0" w:name="List" w:locked="1"/>
    <w:lsdException w:qFormat="1" w:unhideWhenUsed="0" w:uiPriority="99" w:semiHidden="0" w:name="List Bullet"/>
    <w:lsdException w:qFormat="1" w:unhideWhenUsed="0" w:uiPriority="99" w:semiHidden="0" w:name="List Number"/>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qFormat="1" w:unhideWhenUsed="0" w:uiPriority="99" w:semiHidden="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0"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nhideWhenUsed="0" w:uiPriority="99" w:semiHidden="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99"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5"/>
    <w:qFormat/>
    <w:uiPriority w:val="99"/>
    <w:pPr>
      <w:keepNext/>
      <w:keepLines/>
      <w:pageBreakBefore/>
      <w:numPr>
        <w:ilvl w:val="0"/>
        <w:numId w:val="1"/>
      </w:numPr>
      <w:spacing w:before="340" w:after="330" w:line="578" w:lineRule="auto"/>
      <w:ind w:left="0" w:firstLine="0"/>
      <w:outlineLvl w:val="0"/>
    </w:pPr>
    <w:rPr>
      <w:b/>
      <w:bCs/>
      <w:kern w:val="44"/>
      <w:sz w:val="32"/>
      <w:szCs w:val="44"/>
    </w:rPr>
  </w:style>
  <w:style w:type="paragraph" w:styleId="3">
    <w:name w:val="heading 2"/>
    <w:basedOn w:val="1"/>
    <w:next w:val="1"/>
    <w:link w:val="196"/>
    <w:qFormat/>
    <w:uiPriority w:val="99"/>
    <w:pPr>
      <w:keepLines/>
      <w:numPr>
        <w:ilvl w:val="0"/>
        <w:numId w:val="2"/>
      </w:numPr>
      <w:spacing w:before="260" w:after="260" w:line="415" w:lineRule="auto"/>
      <w:outlineLvl w:val="1"/>
    </w:pPr>
    <w:rPr>
      <w:rFonts w:ascii="宋体"/>
      <w:sz w:val="28"/>
      <w:szCs w:val="20"/>
    </w:rPr>
  </w:style>
  <w:style w:type="paragraph" w:styleId="4">
    <w:name w:val="heading 3"/>
    <w:basedOn w:val="1"/>
    <w:next w:val="1"/>
    <w:link w:val="197"/>
    <w:qFormat/>
    <w:uiPriority w:val="99"/>
    <w:pPr>
      <w:keepNext/>
      <w:keepLines/>
      <w:numPr>
        <w:ilvl w:val="0"/>
        <w:numId w:val="3"/>
      </w:numPr>
      <w:spacing w:before="260" w:after="260" w:line="416" w:lineRule="auto"/>
      <w:outlineLvl w:val="2"/>
    </w:pPr>
    <w:rPr>
      <w:b/>
      <w:bCs/>
      <w:kern w:val="0"/>
      <w:sz w:val="28"/>
      <w:szCs w:val="32"/>
    </w:rPr>
  </w:style>
  <w:style w:type="paragraph" w:styleId="5">
    <w:name w:val="heading 4"/>
    <w:basedOn w:val="1"/>
    <w:next w:val="1"/>
    <w:link w:val="198"/>
    <w:qFormat/>
    <w:uiPriority w:val="99"/>
    <w:pPr>
      <w:keepNext/>
      <w:keepLines/>
      <w:spacing w:before="280" w:after="290" w:line="376" w:lineRule="auto"/>
      <w:outlineLvl w:val="3"/>
    </w:pPr>
    <w:rPr>
      <w:rFonts w:ascii="等线 Light" w:hAnsi="等线 Light" w:eastAsia="等线 Light"/>
      <w:b/>
      <w:kern w:val="0"/>
      <w:sz w:val="28"/>
      <w:szCs w:val="20"/>
    </w:rPr>
  </w:style>
  <w:style w:type="paragraph" w:styleId="6">
    <w:name w:val="heading 5"/>
    <w:basedOn w:val="1"/>
    <w:next w:val="1"/>
    <w:link w:val="199"/>
    <w:qFormat/>
    <w:uiPriority w:val="99"/>
    <w:pPr>
      <w:keepNext/>
      <w:keepLines/>
      <w:tabs>
        <w:tab w:val="left" w:pos="1008"/>
      </w:tabs>
      <w:spacing w:before="280" w:after="290" w:line="372" w:lineRule="auto"/>
      <w:ind w:left="1008" w:hanging="1008"/>
      <w:outlineLvl w:val="4"/>
    </w:pPr>
    <w:rPr>
      <w:b/>
      <w:kern w:val="0"/>
      <w:sz w:val="28"/>
      <w:szCs w:val="20"/>
    </w:rPr>
  </w:style>
  <w:style w:type="paragraph" w:styleId="7">
    <w:name w:val="heading 6"/>
    <w:basedOn w:val="1"/>
    <w:next w:val="1"/>
    <w:link w:val="200"/>
    <w:qFormat/>
    <w:uiPriority w:val="99"/>
    <w:pPr>
      <w:keepNext/>
      <w:keepLines/>
      <w:tabs>
        <w:tab w:val="left" w:pos="1152"/>
      </w:tabs>
      <w:spacing w:before="240" w:after="64" w:line="317" w:lineRule="auto"/>
      <w:ind w:left="1152" w:hanging="1152"/>
      <w:outlineLvl w:val="5"/>
    </w:pPr>
    <w:rPr>
      <w:rFonts w:ascii="Arial" w:hAnsi="Arial" w:eastAsia="黑体"/>
      <w:b/>
      <w:kern w:val="0"/>
      <w:sz w:val="24"/>
      <w:szCs w:val="20"/>
    </w:rPr>
  </w:style>
  <w:style w:type="paragraph" w:styleId="8">
    <w:name w:val="heading 7"/>
    <w:basedOn w:val="1"/>
    <w:next w:val="1"/>
    <w:link w:val="201"/>
    <w:qFormat/>
    <w:uiPriority w:val="99"/>
    <w:pPr>
      <w:keepNext/>
      <w:keepLines/>
      <w:tabs>
        <w:tab w:val="left" w:pos="1296"/>
      </w:tabs>
      <w:spacing w:before="240" w:after="64" w:line="317" w:lineRule="auto"/>
      <w:ind w:left="1296" w:hanging="1296"/>
      <w:outlineLvl w:val="6"/>
    </w:pPr>
    <w:rPr>
      <w:b/>
      <w:kern w:val="0"/>
      <w:sz w:val="24"/>
      <w:szCs w:val="20"/>
    </w:rPr>
  </w:style>
  <w:style w:type="paragraph" w:styleId="9">
    <w:name w:val="heading 8"/>
    <w:basedOn w:val="1"/>
    <w:next w:val="1"/>
    <w:link w:val="202"/>
    <w:qFormat/>
    <w:uiPriority w:val="99"/>
    <w:pPr>
      <w:keepNext/>
      <w:keepLines/>
      <w:tabs>
        <w:tab w:val="left" w:pos="1440"/>
      </w:tabs>
      <w:spacing w:before="240" w:after="64" w:line="317" w:lineRule="auto"/>
      <w:ind w:left="1440" w:hanging="1440"/>
      <w:outlineLvl w:val="7"/>
    </w:pPr>
    <w:rPr>
      <w:rFonts w:ascii="Arial" w:hAnsi="Arial" w:eastAsia="黑体"/>
      <w:kern w:val="0"/>
      <w:sz w:val="24"/>
      <w:szCs w:val="20"/>
    </w:rPr>
  </w:style>
  <w:style w:type="paragraph" w:styleId="10">
    <w:name w:val="heading 9"/>
    <w:basedOn w:val="1"/>
    <w:next w:val="1"/>
    <w:link w:val="203"/>
    <w:qFormat/>
    <w:uiPriority w:val="99"/>
    <w:pPr>
      <w:keepNext/>
      <w:keepLines/>
      <w:tabs>
        <w:tab w:val="left" w:pos="1584"/>
      </w:tabs>
      <w:spacing w:before="240" w:after="64" w:line="317" w:lineRule="auto"/>
      <w:ind w:left="1584" w:hanging="1584"/>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99"/>
    <w:pPr>
      <w:ind w:left="2520" w:leftChars="1200"/>
    </w:pPr>
    <w:rPr>
      <w:szCs w:val="24"/>
    </w:rPr>
  </w:style>
  <w:style w:type="paragraph" w:styleId="12">
    <w:name w:val="List Number 2"/>
    <w:basedOn w:val="1"/>
    <w:qFormat/>
    <w:locked/>
    <w:uiPriority w:val="99"/>
    <w:pPr>
      <w:numPr>
        <w:ilvl w:val="0"/>
        <w:numId w:val="4"/>
      </w:numPr>
    </w:pPr>
  </w:style>
  <w:style w:type="paragraph" w:styleId="13">
    <w:name w:val="List Number"/>
    <w:basedOn w:val="1"/>
    <w:qFormat/>
    <w:uiPriority w:val="99"/>
    <w:pPr>
      <w:numPr>
        <w:ilvl w:val="0"/>
        <w:numId w:val="5"/>
      </w:numPr>
    </w:pPr>
  </w:style>
  <w:style w:type="paragraph" w:styleId="14">
    <w:name w:val="Normal Indent"/>
    <w:basedOn w:val="1"/>
    <w:next w:val="1"/>
    <w:link w:val="248"/>
    <w:qFormat/>
    <w:uiPriority w:val="99"/>
    <w:pPr>
      <w:ind w:firstLine="420" w:firstLineChars="200"/>
    </w:pPr>
    <w:rPr>
      <w:kern w:val="0"/>
      <w:sz w:val="24"/>
      <w:szCs w:val="20"/>
    </w:rPr>
  </w:style>
  <w:style w:type="paragraph" w:styleId="15">
    <w:name w:val="List Bullet"/>
    <w:basedOn w:val="1"/>
    <w:qFormat/>
    <w:uiPriority w:val="99"/>
    <w:pPr>
      <w:numPr>
        <w:ilvl w:val="0"/>
        <w:numId w:val="6"/>
      </w:numPr>
      <w:spacing w:before="120" w:line="360" w:lineRule="auto"/>
      <w:ind w:firstLine="200" w:firstLineChars="200"/>
      <w:jc w:val="left"/>
    </w:pPr>
    <w:rPr>
      <w:szCs w:val="24"/>
    </w:rPr>
  </w:style>
  <w:style w:type="paragraph" w:styleId="16">
    <w:name w:val="Document Map"/>
    <w:basedOn w:val="1"/>
    <w:link w:val="208"/>
    <w:qFormat/>
    <w:uiPriority w:val="99"/>
    <w:pPr>
      <w:shd w:val="clear" w:color="auto" w:fill="000080"/>
    </w:pPr>
    <w:rPr>
      <w:kern w:val="0"/>
      <w:sz w:val="24"/>
      <w:szCs w:val="20"/>
    </w:rPr>
  </w:style>
  <w:style w:type="paragraph" w:styleId="17">
    <w:name w:val="toa heading"/>
    <w:basedOn w:val="1"/>
    <w:next w:val="1"/>
    <w:qFormat/>
    <w:uiPriority w:val="99"/>
    <w:pPr>
      <w:spacing w:before="120"/>
    </w:pPr>
    <w:rPr>
      <w:rFonts w:ascii="Arial" w:hAnsi="Arial" w:cs="Arial"/>
      <w:sz w:val="24"/>
      <w:szCs w:val="24"/>
    </w:rPr>
  </w:style>
  <w:style w:type="paragraph" w:styleId="18">
    <w:name w:val="annotation text"/>
    <w:basedOn w:val="1"/>
    <w:link w:val="204"/>
    <w:qFormat/>
    <w:uiPriority w:val="99"/>
    <w:pPr>
      <w:jc w:val="left"/>
    </w:pPr>
    <w:rPr>
      <w:kern w:val="0"/>
      <w:sz w:val="20"/>
      <w:szCs w:val="20"/>
    </w:rPr>
  </w:style>
  <w:style w:type="paragraph" w:styleId="19">
    <w:name w:val="Body Text 3"/>
    <w:basedOn w:val="1"/>
    <w:link w:val="209"/>
    <w:qFormat/>
    <w:uiPriority w:val="99"/>
    <w:rPr>
      <w:b/>
      <w:kern w:val="0"/>
      <w:sz w:val="24"/>
      <w:szCs w:val="20"/>
    </w:rPr>
  </w:style>
  <w:style w:type="paragraph" w:styleId="20">
    <w:name w:val="Body Text"/>
    <w:basedOn w:val="1"/>
    <w:next w:val="21"/>
    <w:link w:val="206"/>
    <w:qFormat/>
    <w:uiPriority w:val="99"/>
    <w:pPr>
      <w:spacing w:after="120"/>
    </w:pPr>
    <w:rPr>
      <w:kern w:val="0"/>
      <w:sz w:val="20"/>
      <w:szCs w:val="20"/>
    </w:rPr>
  </w:style>
  <w:style w:type="paragraph" w:styleId="21">
    <w:name w:val="Body Text First Indent"/>
    <w:basedOn w:val="20"/>
    <w:next w:val="1"/>
    <w:link w:val="207"/>
    <w:qFormat/>
    <w:uiPriority w:val="99"/>
    <w:pPr>
      <w:ind w:firstLine="420" w:firstLineChars="100"/>
    </w:pPr>
    <w:rPr>
      <w:rFonts w:ascii="仿宋_GB2312" w:hAnsi="宋体" w:eastAsia="仿宋_GB2312"/>
      <w:b/>
      <w:sz w:val="24"/>
    </w:rPr>
  </w:style>
  <w:style w:type="paragraph" w:styleId="22">
    <w:name w:val="Body Text Indent"/>
    <w:basedOn w:val="1"/>
    <w:next w:val="14"/>
    <w:link w:val="210"/>
    <w:qFormat/>
    <w:uiPriority w:val="99"/>
    <w:pPr>
      <w:spacing w:after="120"/>
      <w:ind w:left="420" w:leftChars="200"/>
    </w:pPr>
    <w:rPr>
      <w:kern w:val="0"/>
      <w:sz w:val="24"/>
      <w:szCs w:val="20"/>
    </w:rPr>
  </w:style>
  <w:style w:type="paragraph" w:styleId="23">
    <w:name w:val="toc 5"/>
    <w:basedOn w:val="1"/>
    <w:next w:val="1"/>
    <w:qFormat/>
    <w:uiPriority w:val="99"/>
    <w:pPr>
      <w:ind w:left="1680" w:leftChars="800"/>
    </w:pPr>
    <w:rPr>
      <w:szCs w:val="24"/>
    </w:rPr>
  </w:style>
  <w:style w:type="paragraph" w:styleId="24">
    <w:name w:val="toc 3"/>
    <w:basedOn w:val="1"/>
    <w:next w:val="1"/>
    <w:qFormat/>
    <w:uiPriority w:val="99"/>
    <w:pPr>
      <w:ind w:left="840" w:leftChars="400"/>
    </w:pPr>
  </w:style>
  <w:style w:type="paragraph" w:styleId="25">
    <w:name w:val="Plain Text"/>
    <w:basedOn w:val="1"/>
    <w:next w:val="26"/>
    <w:link w:val="211"/>
    <w:qFormat/>
    <w:uiPriority w:val="99"/>
    <w:rPr>
      <w:rFonts w:ascii="宋体"/>
      <w:kern w:val="0"/>
      <w:sz w:val="20"/>
      <w:szCs w:val="20"/>
    </w:rPr>
  </w:style>
  <w:style w:type="paragraph" w:customStyle="1" w:styleId="2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7">
    <w:name w:val="toc 8"/>
    <w:basedOn w:val="1"/>
    <w:next w:val="1"/>
    <w:qFormat/>
    <w:uiPriority w:val="99"/>
    <w:pPr>
      <w:ind w:left="2940" w:leftChars="1400"/>
    </w:pPr>
    <w:rPr>
      <w:szCs w:val="24"/>
    </w:rPr>
  </w:style>
  <w:style w:type="paragraph" w:styleId="28">
    <w:name w:val="Date"/>
    <w:basedOn w:val="1"/>
    <w:next w:val="1"/>
    <w:link w:val="212"/>
    <w:qFormat/>
    <w:uiPriority w:val="99"/>
    <w:pPr>
      <w:ind w:left="100" w:leftChars="2500"/>
    </w:pPr>
    <w:rPr>
      <w:kern w:val="0"/>
      <w:sz w:val="20"/>
      <w:szCs w:val="20"/>
    </w:rPr>
  </w:style>
  <w:style w:type="paragraph" w:styleId="29">
    <w:name w:val="Body Text Indent 2"/>
    <w:basedOn w:val="1"/>
    <w:link w:val="213"/>
    <w:qFormat/>
    <w:uiPriority w:val="99"/>
    <w:pPr>
      <w:widowControl/>
      <w:snapToGrid w:val="0"/>
      <w:spacing w:line="500" w:lineRule="exact"/>
      <w:ind w:firstLine="490" w:firstLineChars="204"/>
    </w:pPr>
    <w:rPr>
      <w:rFonts w:ascii="仿宋_GB2312" w:hAnsi="宋体" w:eastAsia="仿宋_GB2312"/>
      <w:kern w:val="0"/>
      <w:sz w:val="24"/>
      <w:szCs w:val="20"/>
    </w:rPr>
  </w:style>
  <w:style w:type="paragraph" w:styleId="30">
    <w:name w:val="Balloon Text"/>
    <w:basedOn w:val="1"/>
    <w:link w:val="214"/>
    <w:qFormat/>
    <w:uiPriority w:val="99"/>
    <w:rPr>
      <w:kern w:val="0"/>
      <w:sz w:val="18"/>
      <w:szCs w:val="20"/>
    </w:rPr>
  </w:style>
  <w:style w:type="paragraph" w:styleId="31">
    <w:name w:val="footer"/>
    <w:basedOn w:val="1"/>
    <w:link w:val="215"/>
    <w:qFormat/>
    <w:uiPriority w:val="99"/>
    <w:pPr>
      <w:tabs>
        <w:tab w:val="center" w:pos="4153"/>
        <w:tab w:val="right" w:pos="8306"/>
      </w:tabs>
      <w:snapToGrid w:val="0"/>
      <w:jc w:val="left"/>
    </w:pPr>
    <w:rPr>
      <w:kern w:val="0"/>
      <w:sz w:val="18"/>
      <w:szCs w:val="20"/>
    </w:rPr>
  </w:style>
  <w:style w:type="paragraph" w:styleId="32">
    <w:name w:val="header"/>
    <w:basedOn w:val="1"/>
    <w:link w:val="217"/>
    <w:qFormat/>
    <w:uiPriority w:val="99"/>
    <w:pPr>
      <w:pBdr>
        <w:bottom w:val="single" w:color="auto" w:sz="6" w:space="1"/>
      </w:pBdr>
      <w:tabs>
        <w:tab w:val="center" w:pos="4153"/>
        <w:tab w:val="right" w:pos="8306"/>
      </w:tabs>
      <w:snapToGrid w:val="0"/>
      <w:jc w:val="center"/>
    </w:pPr>
    <w:rPr>
      <w:kern w:val="0"/>
      <w:sz w:val="18"/>
      <w:szCs w:val="20"/>
    </w:rPr>
  </w:style>
  <w:style w:type="paragraph" w:styleId="33">
    <w:name w:val="toc 1"/>
    <w:basedOn w:val="1"/>
    <w:next w:val="1"/>
    <w:qFormat/>
    <w:uiPriority w:val="99"/>
    <w:pPr>
      <w:tabs>
        <w:tab w:val="left" w:pos="840"/>
        <w:tab w:val="right" w:leader="dot" w:pos="8296"/>
      </w:tabs>
    </w:pPr>
  </w:style>
  <w:style w:type="paragraph" w:styleId="34">
    <w:name w:val="toc 4"/>
    <w:basedOn w:val="1"/>
    <w:next w:val="1"/>
    <w:qFormat/>
    <w:uiPriority w:val="99"/>
    <w:pPr>
      <w:ind w:left="1260" w:leftChars="600"/>
    </w:pPr>
    <w:rPr>
      <w:szCs w:val="24"/>
    </w:rPr>
  </w:style>
  <w:style w:type="paragraph" w:styleId="35">
    <w:name w:val="Subtitle"/>
    <w:basedOn w:val="1"/>
    <w:next w:val="1"/>
    <w:link w:val="218"/>
    <w:qFormat/>
    <w:uiPriority w:val="99"/>
    <w:pPr>
      <w:spacing w:before="240" w:after="60" w:line="312" w:lineRule="auto"/>
      <w:jc w:val="center"/>
    </w:pPr>
    <w:rPr>
      <w:b/>
      <w:kern w:val="28"/>
      <w:sz w:val="32"/>
      <w:szCs w:val="20"/>
    </w:rPr>
  </w:style>
  <w:style w:type="paragraph" w:styleId="36">
    <w:name w:val="toc 6"/>
    <w:basedOn w:val="1"/>
    <w:next w:val="1"/>
    <w:qFormat/>
    <w:uiPriority w:val="99"/>
    <w:pPr>
      <w:ind w:left="2100" w:leftChars="1000"/>
    </w:pPr>
    <w:rPr>
      <w:szCs w:val="24"/>
    </w:rPr>
  </w:style>
  <w:style w:type="paragraph" w:styleId="37">
    <w:name w:val="Body Text Indent 3"/>
    <w:basedOn w:val="1"/>
    <w:link w:val="219"/>
    <w:qFormat/>
    <w:uiPriority w:val="99"/>
    <w:pPr>
      <w:widowControl/>
      <w:overflowPunct w:val="0"/>
      <w:autoSpaceDE w:val="0"/>
      <w:autoSpaceDN w:val="0"/>
      <w:snapToGrid w:val="0"/>
      <w:spacing w:line="440" w:lineRule="exact"/>
      <w:ind w:firstLine="480" w:firstLineChars="200"/>
    </w:pPr>
    <w:rPr>
      <w:rFonts w:ascii="仿宋_GB2312" w:hAnsi="宋体" w:eastAsia="仿宋_GB2312"/>
      <w:kern w:val="0"/>
      <w:sz w:val="24"/>
      <w:szCs w:val="20"/>
    </w:rPr>
  </w:style>
  <w:style w:type="paragraph" w:styleId="38">
    <w:name w:val="toc 2"/>
    <w:basedOn w:val="1"/>
    <w:next w:val="1"/>
    <w:qFormat/>
    <w:uiPriority w:val="99"/>
    <w:pPr>
      <w:ind w:left="420" w:leftChars="200"/>
    </w:pPr>
  </w:style>
  <w:style w:type="paragraph" w:styleId="39">
    <w:name w:val="toc 9"/>
    <w:basedOn w:val="1"/>
    <w:next w:val="1"/>
    <w:qFormat/>
    <w:uiPriority w:val="99"/>
    <w:pPr>
      <w:ind w:left="3360" w:leftChars="1600"/>
    </w:pPr>
    <w:rPr>
      <w:szCs w:val="24"/>
    </w:rPr>
  </w:style>
  <w:style w:type="paragraph" w:styleId="40">
    <w:name w:val="Body Text 2"/>
    <w:basedOn w:val="1"/>
    <w:link w:val="220"/>
    <w:qFormat/>
    <w:uiPriority w:val="99"/>
    <w:pPr>
      <w:spacing w:line="400" w:lineRule="exact"/>
    </w:pPr>
    <w:rPr>
      <w:rFonts w:ascii="仿宋_GB2312" w:hAnsi="Arial" w:eastAsia="仿宋_GB2312"/>
      <w:kern w:val="0"/>
      <w:sz w:val="28"/>
      <w:szCs w:val="20"/>
    </w:rPr>
  </w:style>
  <w:style w:type="paragraph" w:styleId="41">
    <w:name w:val="HTML Preformatted"/>
    <w:basedOn w:val="1"/>
    <w:link w:val="22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next w:val="1"/>
    <w:link w:val="222"/>
    <w:qFormat/>
    <w:uiPriority w:val="99"/>
    <w:pPr>
      <w:spacing w:before="240" w:after="60"/>
      <w:jc w:val="center"/>
    </w:pPr>
    <w:rPr>
      <w:rFonts w:ascii="等线 Light" w:hAnsi="等线 Light" w:eastAsia="等线 Light"/>
      <w:b/>
      <w:kern w:val="0"/>
      <w:sz w:val="32"/>
      <w:szCs w:val="20"/>
    </w:rPr>
  </w:style>
  <w:style w:type="paragraph" w:styleId="44">
    <w:name w:val="annotation subject"/>
    <w:basedOn w:val="18"/>
    <w:next w:val="18"/>
    <w:link w:val="205"/>
    <w:qFormat/>
    <w:uiPriority w:val="99"/>
    <w:rPr>
      <w:b/>
      <w:sz w:val="24"/>
    </w:rPr>
  </w:style>
  <w:style w:type="paragraph" w:styleId="45">
    <w:name w:val="Body Text First Indent 2"/>
    <w:basedOn w:val="22"/>
    <w:link w:val="216"/>
    <w:qFormat/>
    <w:locked/>
    <w:uiPriority w:val="99"/>
    <w:pPr>
      <w:autoSpaceDE w:val="0"/>
      <w:autoSpaceDN w:val="0"/>
      <w:adjustRightInd w:val="0"/>
      <w:ind w:firstLine="420" w:firstLineChars="200"/>
      <w:jc w:val="left"/>
    </w:p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99"/>
    <w:rPr>
      <w:rFonts w:cs="Times New Roman"/>
      <w:b/>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color w:val="CC0000"/>
    </w:rPr>
  </w:style>
  <w:style w:type="character" w:styleId="53">
    <w:name w:val="Hyperlink"/>
    <w:basedOn w:val="48"/>
    <w:qFormat/>
    <w:uiPriority w:val="99"/>
    <w:rPr>
      <w:rFonts w:cs="Times New Roman"/>
      <w:color w:val="0563C1"/>
      <w:u w:val="single"/>
    </w:rPr>
  </w:style>
  <w:style w:type="character" w:styleId="54">
    <w:name w:val="annotation reference"/>
    <w:basedOn w:val="48"/>
    <w:qFormat/>
    <w:uiPriority w:val="99"/>
    <w:rPr>
      <w:rFonts w:cs="Times New Roman"/>
      <w:sz w:val="21"/>
    </w:rPr>
  </w:style>
  <w:style w:type="paragraph" w:customStyle="1" w:styleId="55">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sz w:val="20"/>
      <w:szCs w:val="20"/>
    </w:rPr>
  </w:style>
  <w:style w:type="paragraph" w:customStyle="1" w:styleId="5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7">
    <w:name w:val="列出段落1"/>
    <w:basedOn w:val="1"/>
    <w:link w:val="238"/>
    <w:qFormat/>
    <w:uiPriority w:val="99"/>
    <w:pPr>
      <w:ind w:firstLine="420" w:firstLineChars="200"/>
    </w:pPr>
    <w:rPr>
      <w:rFonts w:ascii="Calibri" w:hAnsi="Calibri"/>
      <w:kern w:val="0"/>
      <w:sz w:val="20"/>
      <w:szCs w:val="20"/>
    </w:rPr>
  </w:style>
  <w:style w:type="paragraph" w:styleId="58">
    <w:name w:val="List Paragraph"/>
    <w:basedOn w:val="1"/>
    <w:qFormat/>
    <w:uiPriority w:val="34"/>
    <w:pPr>
      <w:spacing w:line="360" w:lineRule="auto"/>
      <w:ind w:firstLine="200" w:firstLineChars="200"/>
    </w:pPr>
    <w:rPr>
      <w:rFonts w:eastAsia="楷体_GB2312" w:cs="Lucida Sans"/>
      <w:sz w:val="24"/>
    </w:rPr>
  </w:style>
  <w:style w:type="paragraph" w:customStyle="1" w:styleId="59">
    <w:name w:val="Char"/>
    <w:basedOn w:val="1"/>
    <w:qFormat/>
    <w:uiPriority w:val="99"/>
    <w:rPr>
      <w:rFonts w:ascii="仿宋_GB2312" w:eastAsia="仿宋_GB2312"/>
      <w:b/>
      <w:sz w:val="32"/>
      <w:szCs w:val="32"/>
    </w:rPr>
  </w:style>
  <w:style w:type="paragraph" w:customStyle="1" w:styleId="60">
    <w:name w:val="[Normal]"/>
    <w:qFormat/>
    <w:uiPriority w:val="99"/>
    <w:rPr>
      <w:rFonts w:ascii="宋体" w:hAnsi="宋体" w:eastAsia="宋体" w:cs="Times New Roman"/>
      <w:sz w:val="24"/>
      <w:szCs w:val="22"/>
      <w:lang w:val="zh-CN" w:eastAsia="zh-CN" w:bidi="ar-SA"/>
    </w:rPr>
  </w:style>
  <w:style w:type="character" w:customStyle="1" w:styleId="61">
    <w:name w:val="标题 2 Char"/>
    <w:qFormat/>
    <w:uiPriority w:val="99"/>
    <w:rPr>
      <w:rFonts w:ascii="宋体"/>
      <w:kern w:val="2"/>
      <w:sz w:val="28"/>
    </w:rPr>
  </w:style>
  <w:style w:type="paragraph" w:customStyle="1" w:styleId="62">
    <w:name w:val="目录 81"/>
    <w:basedOn w:val="63"/>
    <w:next w:val="63"/>
    <w:qFormat/>
    <w:uiPriority w:val="99"/>
    <w:pPr>
      <w:spacing w:before="100" w:beforeAutospacing="1" w:after="100" w:afterAutospacing="1"/>
      <w:ind w:left="2940" w:leftChars="1400"/>
    </w:pPr>
    <w:rPr>
      <w:rFonts w:ascii="Times New Roman" w:hAnsi="Times New Roman"/>
      <w:szCs w:val="21"/>
    </w:rPr>
  </w:style>
  <w:style w:type="paragraph" w:customStyle="1" w:styleId="63">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4">
    <w:name w:val="_Style 2"/>
    <w:basedOn w:val="1"/>
    <w:qFormat/>
    <w:uiPriority w:val="99"/>
    <w:pPr>
      <w:ind w:firstLine="200" w:firstLineChars="200"/>
    </w:pPr>
    <w:rPr>
      <w:rFonts w:ascii="Calibri" w:hAnsi="Calibri"/>
      <w:sz w:val="28"/>
    </w:rPr>
  </w:style>
  <w:style w:type="paragraph" w:customStyle="1" w:styleId="65">
    <w:name w:val="样式3"/>
    <w:basedOn w:val="1"/>
    <w:qFormat/>
    <w:uiPriority w:val="99"/>
    <w:pPr>
      <w:tabs>
        <w:tab w:val="left" w:pos="840"/>
      </w:tabs>
      <w:spacing w:line="360" w:lineRule="auto"/>
      <w:ind w:left="840" w:hanging="360"/>
    </w:pPr>
    <w:rPr>
      <w:rFonts w:ascii="宋体"/>
      <w:sz w:val="24"/>
      <w:szCs w:val="24"/>
    </w:rPr>
  </w:style>
  <w:style w:type="paragraph" w:customStyle="1" w:styleId="66">
    <w:name w:val="无间隔1"/>
    <w:link w:val="225"/>
    <w:qFormat/>
    <w:uiPriority w:val="99"/>
    <w:rPr>
      <w:rFonts w:ascii="Times New Roman" w:hAnsi="Times New Roman" w:eastAsia="宋体" w:cs="Times New Roman"/>
      <w:sz w:val="22"/>
      <w:lang w:val="en-US" w:eastAsia="zh-CN" w:bidi="ar-SA"/>
    </w:rPr>
  </w:style>
  <w:style w:type="paragraph" w:customStyle="1" w:styleId="67">
    <w:name w:val="内文"/>
    <w:link w:val="234"/>
    <w:qFormat/>
    <w:uiPriority w:val="99"/>
    <w:pPr>
      <w:adjustRightInd w:val="0"/>
      <w:snapToGrid w:val="0"/>
      <w:spacing w:line="400" w:lineRule="exact"/>
      <w:ind w:firstLine="200" w:firstLineChars="200"/>
      <w:jc w:val="both"/>
    </w:pPr>
    <w:rPr>
      <w:rFonts w:ascii="Arial" w:hAnsi="Arial" w:eastAsia="宋体" w:cs="Times New Roman"/>
      <w:kern w:val="2"/>
      <w:sz w:val="22"/>
      <w:lang w:val="en-US" w:eastAsia="zh-CN" w:bidi="ar-SA"/>
    </w:rPr>
  </w:style>
  <w:style w:type="paragraph" w:customStyle="1" w:styleId="68">
    <w:name w:val="表格标题"/>
    <w:basedOn w:val="1"/>
    <w:link w:val="258"/>
    <w:qFormat/>
    <w:uiPriority w:val="99"/>
    <w:pPr>
      <w:spacing w:line="276" w:lineRule="auto"/>
      <w:jc w:val="center"/>
    </w:pPr>
    <w:rPr>
      <w:rFonts w:ascii="宋体" w:hAnsi="宋体"/>
      <w:b/>
      <w:sz w:val="24"/>
      <w:szCs w:val="20"/>
    </w:rPr>
  </w:style>
  <w:style w:type="paragraph" w:customStyle="1" w:styleId="69">
    <w:name w:val="正文2"/>
    <w:basedOn w:val="1"/>
    <w:link w:val="262"/>
    <w:qFormat/>
    <w:uiPriority w:val="99"/>
    <w:pPr>
      <w:spacing w:before="156" w:line="360" w:lineRule="auto"/>
      <w:ind w:firstLine="510" w:firstLineChars="200"/>
    </w:pPr>
    <w:rPr>
      <w:kern w:val="0"/>
      <w:sz w:val="24"/>
      <w:szCs w:val="20"/>
    </w:rPr>
  </w:style>
  <w:style w:type="paragraph" w:customStyle="1" w:styleId="70">
    <w:name w:val="修订1"/>
    <w:qFormat/>
    <w:uiPriority w:val="99"/>
    <w:rPr>
      <w:rFonts w:ascii="Times New Roman" w:hAnsi="Times New Roman" w:eastAsia="宋体" w:cs="Times New Roman"/>
      <w:kern w:val="2"/>
      <w:sz w:val="21"/>
      <w:szCs w:val="24"/>
      <w:lang w:val="en-US" w:eastAsia="zh-CN" w:bidi="ar-SA"/>
    </w:rPr>
  </w:style>
  <w:style w:type="paragraph" w:customStyle="1" w:styleId="71">
    <w:name w:val="xl70"/>
    <w:basedOn w:val="1"/>
    <w:qFormat/>
    <w:uiPriority w:val="99"/>
    <w:pPr>
      <w:widowControl/>
      <w:pBdr>
        <w:left w:val="single" w:color="auto" w:sz="4" w:space="0"/>
        <w:bottom w:val="dashed" w:color="auto" w:sz="4" w:space="0"/>
        <w:right w:val="dashed"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2">
    <w:name w:val="xl71"/>
    <w:basedOn w:val="1"/>
    <w:qFormat/>
    <w:uiPriority w:val="99"/>
    <w:pPr>
      <w:widowControl/>
      <w:pBdr>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73">
    <w:name w:val="xl86"/>
    <w:basedOn w:val="1"/>
    <w:qFormat/>
    <w:uiPriority w:val="99"/>
    <w:pPr>
      <w:widowControl/>
      <w:pBdr>
        <w:top w:val="dashed" w:color="auto" w:sz="4" w:space="0"/>
        <w:left w:val="dashed" w:color="auto" w:sz="4" w:space="0"/>
        <w:right w:val="dashed" w:color="auto" w:sz="4" w:space="0"/>
      </w:pBdr>
      <w:spacing w:before="100" w:beforeAutospacing="1" w:after="100" w:afterAutospacing="1"/>
      <w:jc w:val="left"/>
    </w:pPr>
    <w:rPr>
      <w:rFonts w:ascii="宋体" w:hAnsi="宋体" w:cs="宋体"/>
      <w:kern w:val="0"/>
      <w:sz w:val="20"/>
      <w:szCs w:val="20"/>
    </w:rPr>
  </w:style>
  <w:style w:type="paragraph" w:customStyle="1" w:styleId="74">
    <w:name w:val="1、1 二级标题"/>
    <w:basedOn w:val="3"/>
    <w:qFormat/>
    <w:uiPriority w:val="99"/>
    <w:pPr>
      <w:numPr>
        <w:ilvl w:val="1"/>
        <w:numId w:val="7"/>
      </w:numPr>
      <w:tabs>
        <w:tab w:val="left" w:pos="425"/>
        <w:tab w:val="left" w:pos="576"/>
        <w:tab w:val="left" w:pos="780"/>
      </w:tabs>
      <w:adjustRightInd w:val="0"/>
      <w:snapToGrid w:val="0"/>
      <w:spacing w:before="100" w:after="100"/>
      <w:ind w:right="50" w:rightChars="50"/>
    </w:pPr>
    <w:rPr>
      <w:rFonts w:eastAsia="黑体"/>
      <w:kern w:val="44"/>
    </w:rPr>
  </w:style>
  <w:style w:type="paragraph" w:customStyle="1" w:styleId="75">
    <w:name w:val="Char1"/>
    <w:basedOn w:val="1"/>
    <w:qFormat/>
    <w:uiPriority w:val="99"/>
    <w:rPr>
      <w:rFonts w:ascii="仿宋_GB2312" w:eastAsia="仿宋_GB2312"/>
      <w:b/>
      <w:sz w:val="32"/>
      <w:szCs w:val="32"/>
    </w:rPr>
  </w:style>
  <w:style w:type="paragraph" w:customStyle="1" w:styleId="76">
    <w:name w:val="xl64"/>
    <w:basedOn w:val="1"/>
    <w:qFormat/>
    <w:uiPriority w:val="99"/>
    <w:pPr>
      <w:widowControl/>
      <w:pBdr>
        <w:top w:val="dashed" w:color="auto" w:sz="4" w:space="0"/>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77">
    <w:name w:val="CM25"/>
    <w:basedOn w:val="26"/>
    <w:next w:val="26"/>
    <w:qFormat/>
    <w:uiPriority w:val="99"/>
    <w:pPr>
      <w:spacing w:line="440" w:lineRule="atLeast"/>
    </w:pPr>
    <w:rPr>
      <w:rFonts w:cs="Times New Roman"/>
      <w:color w:val="auto"/>
      <w:szCs w:val="20"/>
    </w:rPr>
  </w:style>
  <w:style w:type="paragraph" w:customStyle="1" w:styleId="78">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9">
    <w:name w:val="标题4"/>
    <w:basedOn w:val="1"/>
    <w:qFormat/>
    <w:uiPriority w:val="99"/>
    <w:rPr>
      <w:rFonts w:eastAsia="仿宋_GB2312"/>
      <w:sz w:val="32"/>
      <w:szCs w:val="20"/>
    </w:rPr>
  </w:style>
  <w:style w:type="paragraph" w:customStyle="1" w:styleId="80">
    <w:name w:val="Jimson TXT"/>
    <w:basedOn w:val="1"/>
    <w:qFormat/>
    <w:uiPriority w:val="99"/>
    <w:pPr>
      <w:spacing w:line="360" w:lineRule="auto"/>
      <w:ind w:firstLine="200" w:firstLineChars="200"/>
    </w:pPr>
    <w:rPr>
      <w:rFonts w:ascii="Arial" w:hAnsi="Arial"/>
      <w:sz w:val="24"/>
      <w:szCs w:val="24"/>
    </w:rPr>
  </w:style>
  <w:style w:type="paragraph" w:customStyle="1" w:styleId="81">
    <w:name w:val="xl87"/>
    <w:basedOn w:val="1"/>
    <w:qFormat/>
    <w:uiPriority w:val="99"/>
    <w:pPr>
      <w:widowControl/>
      <w:pBdr>
        <w:left w:val="dashed" w:color="auto" w:sz="4" w:space="0"/>
        <w:right w:val="dashed" w:color="auto" w:sz="4" w:space="0"/>
      </w:pBdr>
      <w:spacing w:before="100" w:beforeAutospacing="1" w:after="100" w:afterAutospacing="1"/>
      <w:jc w:val="left"/>
    </w:pPr>
    <w:rPr>
      <w:rFonts w:ascii="宋体" w:hAnsi="宋体" w:cs="宋体"/>
      <w:kern w:val="0"/>
      <w:sz w:val="20"/>
      <w:szCs w:val="20"/>
    </w:rPr>
  </w:style>
  <w:style w:type="paragraph" w:customStyle="1" w:styleId="82">
    <w:name w:val="纯文本1"/>
    <w:basedOn w:val="1"/>
    <w:qFormat/>
    <w:uiPriority w:val="99"/>
    <w:rPr>
      <w:rFonts w:ascii="宋体" w:hAnsi="Courier New"/>
      <w:szCs w:val="20"/>
    </w:rPr>
  </w:style>
  <w:style w:type="paragraph" w:customStyle="1" w:styleId="83">
    <w:name w:val="Char Char"/>
    <w:basedOn w:val="1"/>
    <w:qFormat/>
    <w:uiPriority w:val="99"/>
    <w:pPr>
      <w:spacing w:line="360" w:lineRule="auto"/>
    </w:pPr>
    <w:rPr>
      <w:rFonts w:ascii="Tahoma" w:hAnsi="Tahoma"/>
      <w:sz w:val="24"/>
      <w:szCs w:val="20"/>
    </w:rPr>
  </w:style>
  <w:style w:type="paragraph" w:customStyle="1" w:styleId="84">
    <w:name w:val="_列表编号1"/>
    <w:basedOn w:val="13"/>
    <w:qFormat/>
    <w:uiPriority w:val="99"/>
    <w:pPr>
      <w:widowControl/>
      <w:numPr>
        <w:ilvl w:val="0"/>
        <w:numId w:val="8"/>
      </w:numPr>
      <w:tabs>
        <w:tab w:val="left" w:pos="748"/>
        <w:tab w:val="left" w:pos="800"/>
        <w:tab w:val="clear" w:pos="360"/>
      </w:tabs>
      <w:snapToGrid w:val="0"/>
      <w:spacing w:line="276" w:lineRule="auto"/>
      <w:ind w:left="0" w:firstLine="0"/>
    </w:pPr>
    <w:rPr>
      <w:rFonts w:ascii="Arial" w:hAnsi="Arial"/>
      <w:kern w:val="0"/>
      <w:szCs w:val="18"/>
    </w:rPr>
  </w:style>
  <w:style w:type="paragraph" w:customStyle="1" w:styleId="85">
    <w:name w:val="Char Char Char Char Char Char Char"/>
    <w:basedOn w:val="1"/>
    <w:qFormat/>
    <w:uiPriority w:val="99"/>
    <w:pPr>
      <w:tabs>
        <w:tab w:val="left" w:pos="432"/>
      </w:tabs>
      <w:ind w:left="432" w:hanging="432"/>
    </w:pPr>
    <w:rPr>
      <w:rFonts w:ascii="Tahoma" w:hAnsi="Tahoma"/>
      <w:sz w:val="24"/>
      <w:szCs w:val="20"/>
    </w:rPr>
  </w:style>
  <w:style w:type="paragraph" w:customStyle="1" w:styleId="86">
    <w:name w:val="xl88"/>
    <w:basedOn w:val="1"/>
    <w:qFormat/>
    <w:uiPriority w:val="99"/>
    <w:pPr>
      <w:widowControl/>
      <w:pBdr>
        <w:left w:val="dashed" w:color="auto" w:sz="4" w:space="0"/>
        <w:bottom w:val="dashed" w:color="auto" w:sz="4" w:space="0"/>
        <w:right w:val="dashed" w:color="auto" w:sz="4" w:space="0"/>
      </w:pBdr>
      <w:spacing w:before="100" w:beforeAutospacing="1" w:after="100" w:afterAutospacing="1"/>
      <w:jc w:val="left"/>
    </w:pPr>
    <w:rPr>
      <w:rFonts w:ascii="宋体" w:hAnsi="宋体" w:cs="宋体"/>
      <w:kern w:val="0"/>
      <w:sz w:val="20"/>
      <w:szCs w:val="20"/>
    </w:rPr>
  </w:style>
  <w:style w:type="paragraph" w:customStyle="1" w:styleId="8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8">
    <w:name w:val="xl66"/>
    <w:basedOn w:val="1"/>
    <w:qFormat/>
    <w:uiPriority w:val="99"/>
    <w:pPr>
      <w:widowControl/>
      <w:pBdr>
        <w:top w:val="single" w:color="auto" w:sz="4" w:space="0"/>
        <w:left w:val="dashed" w:color="auto" w:sz="4" w:space="0"/>
        <w:bottom w:val="dashed" w:color="auto" w:sz="4" w:space="0"/>
        <w:right w:val="dashed" w:color="auto" w:sz="4" w:space="0"/>
      </w:pBdr>
      <w:shd w:val="clear" w:color="000000" w:fill="FF99CC"/>
      <w:spacing w:before="100" w:beforeAutospacing="1" w:after="100" w:afterAutospacing="1"/>
      <w:jc w:val="left"/>
      <w:textAlignment w:val="top"/>
    </w:pPr>
    <w:rPr>
      <w:rFonts w:ascii="宋体" w:hAnsi="宋体" w:cs="宋体"/>
      <w:kern w:val="0"/>
      <w:sz w:val="20"/>
      <w:szCs w:val="20"/>
    </w:rPr>
  </w:style>
  <w:style w:type="paragraph" w:customStyle="1" w:styleId="89">
    <w:name w:val="font10"/>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2">
    <w:name w:val="xl33"/>
    <w:basedOn w:val="1"/>
    <w:qFormat/>
    <w:uiPriority w:val="99"/>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3">
    <w:name w:val="Lincer表格样式"/>
    <w:basedOn w:val="1"/>
    <w:qFormat/>
    <w:uiPriority w:val="99"/>
    <w:pPr>
      <w:ind w:left="344" w:hanging="344" w:hangingChars="164"/>
    </w:pPr>
    <w:rPr>
      <w:rFonts w:ascii="Calibri" w:hAnsi="Calibri"/>
      <w:szCs w:val="24"/>
    </w:rPr>
  </w:style>
  <w:style w:type="paragraph" w:customStyle="1" w:styleId="94">
    <w:name w:val="xl75"/>
    <w:basedOn w:val="1"/>
    <w:qFormat/>
    <w:uiPriority w:val="99"/>
    <w:pPr>
      <w:widowControl/>
      <w:pBdr>
        <w:top w:val="dashed" w:color="auto" w:sz="4" w:space="0"/>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95">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96">
    <w:name w:val="xl93"/>
    <w:basedOn w:val="1"/>
    <w:qFormat/>
    <w:uiPriority w:val="99"/>
    <w:pPr>
      <w:widowControl/>
      <w:pBdr>
        <w:left w:val="single" w:color="auto" w:sz="4" w:space="0"/>
        <w:right w:val="dashed"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97">
    <w:name w:val="Char Char Char Char"/>
    <w:basedOn w:val="1"/>
    <w:qFormat/>
    <w:uiPriority w:val="99"/>
    <w:pPr>
      <w:widowControl/>
      <w:spacing w:after="160" w:line="240" w:lineRule="exact"/>
      <w:jc w:val="left"/>
    </w:pPr>
    <w:rPr>
      <w:rFonts w:ascii="Arial" w:hAnsi="Arial" w:eastAsia="等线" w:cs="Verdana"/>
      <w:b/>
      <w:kern w:val="0"/>
      <w:sz w:val="24"/>
      <w:szCs w:val="20"/>
      <w:lang w:eastAsia="en-US"/>
    </w:rPr>
  </w:style>
  <w:style w:type="paragraph" w:customStyle="1" w:styleId="98">
    <w:name w:val="xl30"/>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99">
    <w:name w:val="xl89"/>
    <w:basedOn w:val="1"/>
    <w:qFormat/>
    <w:uiPriority w:val="99"/>
    <w:pPr>
      <w:widowControl/>
      <w:pBdr>
        <w:top w:val="dashed" w:color="auto" w:sz="4" w:space="0"/>
        <w:left w:val="single" w:color="auto" w:sz="4" w:space="0"/>
        <w:right w:val="dashed" w:color="auto" w:sz="4" w:space="0"/>
      </w:pBdr>
      <w:spacing w:before="100" w:beforeAutospacing="1" w:after="100" w:afterAutospacing="1"/>
      <w:jc w:val="center"/>
    </w:pPr>
    <w:rPr>
      <w:rFonts w:ascii="宋体" w:hAnsi="宋体" w:cs="宋体"/>
      <w:kern w:val="0"/>
      <w:sz w:val="20"/>
      <w:szCs w:val="20"/>
    </w:rPr>
  </w:style>
  <w:style w:type="paragraph" w:customStyle="1" w:styleId="10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1">
    <w:name w:val="xl85"/>
    <w:basedOn w:val="1"/>
    <w:qFormat/>
    <w:uiPriority w:val="99"/>
    <w:pPr>
      <w:widowControl/>
      <w:pBdr>
        <w:top w:val="dashed" w:color="auto" w:sz="4" w:space="0"/>
        <w:left w:val="dashed" w:color="auto" w:sz="4" w:space="0"/>
        <w:bottom w:val="dashed" w:color="auto" w:sz="4" w:space="0"/>
        <w:right w:val="dashed" w:color="auto" w:sz="4" w:space="0"/>
      </w:pBdr>
      <w:shd w:val="clear" w:color="000000" w:fill="FFCC99"/>
      <w:spacing w:before="100" w:beforeAutospacing="1" w:after="100" w:afterAutospacing="1"/>
      <w:jc w:val="left"/>
      <w:textAlignment w:val="top"/>
    </w:pPr>
    <w:rPr>
      <w:rFonts w:ascii="Arial" w:hAnsi="Arial" w:cs="Arial"/>
      <w:b/>
      <w:bCs/>
      <w:kern w:val="0"/>
      <w:sz w:val="20"/>
      <w:szCs w:val="20"/>
    </w:rPr>
  </w:style>
  <w:style w:type="paragraph" w:customStyle="1" w:styleId="102">
    <w:name w:val="xl101"/>
    <w:basedOn w:val="1"/>
    <w:qFormat/>
    <w:uiPriority w:val="99"/>
    <w:pPr>
      <w:widowControl/>
      <w:pBdr>
        <w:top w:val="dashed" w:color="auto" w:sz="4" w:space="0"/>
        <w:bottom w:val="dashed" w:color="auto" w:sz="4" w:space="0"/>
      </w:pBdr>
      <w:spacing w:before="100" w:beforeAutospacing="1" w:after="100" w:afterAutospacing="1"/>
      <w:jc w:val="left"/>
      <w:textAlignment w:val="top"/>
    </w:pPr>
    <w:rPr>
      <w:rFonts w:ascii="Arial" w:hAnsi="Arial" w:cs="Arial"/>
      <w:kern w:val="0"/>
      <w:sz w:val="20"/>
      <w:szCs w:val="20"/>
    </w:rPr>
  </w:style>
  <w:style w:type="paragraph" w:customStyle="1" w:styleId="103">
    <w:name w:val="CM44"/>
    <w:basedOn w:val="26"/>
    <w:next w:val="26"/>
    <w:qFormat/>
    <w:uiPriority w:val="99"/>
    <w:pPr>
      <w:spacing w:line="440" w:lineRule="atLeast"/>
    </w:pPr>
    <w:rPr>
      <w:rFonts w:cs="Times New Roman"/>
      <w:color w:val="auto"/>
      <w:szCs w:val="20"/>
    </w:rPr>
  </w:style>
  <w:style w:type="paragraph" w:customStyle="1" w:styleId="104">
    <w:name w:val="xl84"/>
    <w:basedOn w:val="1"/>
    <w:qFormat/>
    <w:uiPriority w:val="99"/>
    <w:pPr>
      <w:widowControl/>
      <w:pBdr>
        <w:top w:val="dashed" w:color="auto" w:sz="4" w:space="0"/>
        <w:left w:val="single" w:color="auto" w:sz="4" w:space="0"/>
        <w:bottom w:val="dashed" w:color="auto" w:sz="4" w:space="0"/>
        <w:right w:val="dashed" w:color="auto" w:sz="4" w:space="0"/>
      </w:pBdr>
      <w:shd w:val="clear" w:color="000000" w:fill="FFCC99"/>
      <w:spacing w:before="100" w:beforeAutospacing="1" w:after="100" w:afterAutospacing="1"/>
      <w:jc w:val="left"/>
      <w:textAlignment w:val="top"/>
    </w:pPr>
    <w:rPr>
      <w:rFonts w:ascii="Arial" w:hAnsi="Arial" w:cs="Arial"/>
      <w:b/>
      <w:bCs/>
      <w:kern w:val="0"/>
      <w:sz w:val="20"/>
      <w:szCs w:val="20"/>
    </w:rPr>
  </w:style>
  <w:style w:type="paragraph" w:customStyle="1" w:styleId="105">
    <w:name w:val="Lincer表格样式（）"/>
    <w:basedOn w:val="93"/>
    <w:qFormat/>
    <w:uiPriority w:val="99"/>
    <w:pPr>
      <w:ind w:left="525" w:hanging="525" w:hangingChars="250"/>
    </w:pPr>
    <w:rPr>
      <w:rFonts w:cs="宋体"/>
      <w:szCs w:val="20"/>
    </w:rPr>
  </w:style>
  <w:style w:type="paragraph" w:customStyle="1" w:styleId="106">
    <w:name w:val="TOC 标题1"/>
    <w:basedOn w:val="2"/>
    <w:next w:val="1"/>
    <w:qFormat/>
    <w:uiPriority w:val="99"/>
    <w:pPr>
      <w:widowControl/>
      <w:spacing w:before="240" w:after="0" w:line="259" w:lineRule="auto"/>
      <w:jc w:val="left"/>
      <w:outlineLvl w:val="9"/>
    </w:pPr>
    <w:rPr>
      <w:rFonts w:ascii="等线 Light" w:hAnsi="等线 Light" w:eastAsia="等线 Light"/>
      <w:b w:val="0"/>
      <w:bCs w:val="0"/>
      <w:color w:val="2F5496"/>
      <w:kern w:val="0"/>
      <w:szCs w:val="32"/>
    </w:rPr>
  </w:style>
  <w:style w:type="paragraph" w:customStyle="1" w:styleId="107">
    <w:name w:val="正文样式"/>
    <w:basedOn w:val="1"/>
    <w:qFormat/>
    <w:uiPriority w:val="99"/>
    <w:pPr>
      <w:spacing w:line="360" w:lineRule="auto"/>
      <w:ind w:firstLine="480" w:firstLineChars="200"/>
    </w:pPr>
    <w:rPr>
      <w:sz w:val="24"/>
      <w:szCs w:val="24"/>
    </w:rPr>
  </w:style>
  <w:style w:type="paragraph" w:customStyle="1" w:styleId="108">
    <w:name w:val="列出段落2"/>
    <w:basedOn w:val="1"/>
    <w:qFormat/>
    <w:uiPriority w:val="99"/>
    <w:pPr>
      <w:ind w:firstLine="420" w:firstLineChars="200"/>
    </w:pPr>
  </w:style>
  <w:style w:type="paragraph" w:customStyle="1" w:styleId="109">
    <w:name w:val="CM96"/>
    <w:basedOn w:val="26"/>
    <w:next w:val="26"/>
    <w:qFormat/>
    <w:uiPriority w:val="99"/>
    <w:pPr>
      <w:spacing w:after="298"/>
    </w:pPr>
    <w:rPr>
      <w:rFonts w:cs="Times New Roman"/>
      <w:color w:val="auto"/>
      <w:szCs w:val="20"/>
    </w:rPr>
  </w:style>
  <w:style w:type="paragraph" w:customStyle="1" w:styleId="110">
    <w:name w:val="xl78"/>
    <w:basedOn w:val="1"/>
    <w:qFormat/>
    <w:uiPriority w:val="99"/>
    <w:pPr>
      <w:widowControl/>
      <w:spacing w:before="100" w:beforeAutospacing="1" w:after="100" w:afterAutospacing="1"/>
      <w:jc w:val="center"/>
      <w:textAlignment w:val="top"/>
    </w:pPr>
    <w:rPr>
      <w:rFonts w:ascii="宋体" w:hAnsi="宋体" w:cs="宋体"/>
      <w:kern w:val="0"/>
      <w:sz w:val="20"/>
      <w:szCs w:val="20"/>
    </w:rPr>
  </w:style>
  <w:style w:type="paragraph" w:customStyle="1" w:styleId="111">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12">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13">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11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6">
    <w:name w:val="xl69"/>
    <w:basedOn w:val="1"/>
    <w:qFormat/>
    <w:uiPriority w:val="99"/>
    <w:pPr>
      <w:widowControl/>
      <w:pBdr>
        <w:top w:val="dashed" w:color="auto" w:sz="4" w:space="0"/>
        <w:left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7">
    <w:name w:val="文本正文"/>
    <w:basedOn w:val="1"/>
    <w:qFormat/>
    <w:uiPriority w:val="99"/>
    <w:pPr>
      <w:ind w:firstLine="200" w:firstLineChars="200"/>
    </w:pPr>
    <w:rPr>
      <w:rFonts w:ascii="Calibri" w:hAnsi="Calibri"/>
      <w:szCs w:val="24"/>
    </w:rPr>
  </w:style>
  <w:style w:type="paragraph" w:customStyle="1" w:styleId="118">
    <w:name w:val="List Paragraph1"/>
    <w:basedOn w:val="1"/>
    <w:qFormat/>
    <w:uiPriority w:val="99"/>
    <w:pPr>
      <w:ind w:firstLine="420" w:firstLineChars="200"/>
    </w:pPr>
    <w:rPr>
      <w:rFonts w:ascii="Calibri" w:hAnsi="Calibri"/>
    </w:rPr>
  </w:style>
  <w:style w:type="paragraph" w:customStyle="1" w:styleId="1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20">
    <w:name w:val="xl76"/>
    <w:basedOn w:val="1"/>
    <w:qFormat/>
    <w:uiPriority w:val="99"/>
    <w:pPr>
      <w:widowControl/>
      <w:pBdr>
        <w:top w:val="dashed" w:color="auto" w:sz="4" w:space="0"/>
        <w:left w:val="single" w:color="auto" w:sz="4" w:space="0"/>
        <w:bottom w:val="dashed" w:color="auto" w:sz="4" w:space="0"/>
        <w:right w:val="dashed" w:color="auto" w:sz="4" w:space="0"/>
      </w:pBdr>
      <w:spacing w:before="100" w:beforeAutospacing="1" w:after="100" w:afterAutospacing="1"/>
      <w:jc w:val="center"/>
      <w:textAlignment w:val="top"/>
    </w:pPr>
    <w:rPr>
      <w:rFonts w:ascii="Arial Narrow" w:hAnsi="Arial Narrow" w:cs="宋体"/>
      <w:kern w:val="0"/>
      <w:sz w:val="20"/>
      <w:szCs w:val="20"/>
    </w:rPr>
  </w:style>
  <w:style w:type="paragraph" w:customStyle="1" w:styleId="121">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2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3">
    <w:name w:val="xl92"/>
    <w:basedOn w:val="1"/>
    <w:qFormat/>
    <w:uiPriority w:val="99"/>
    <w:pPr>
      <w:widowControl/>
      <w:pBdr>
        <w:left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4">
    <w:name w:val="Char Char1 Char Char Char Char Char Char Char Char Char Char"/>
    <w:basedOn w:val="1"/>
    <w:qFormat/>
    <w:uiPriority w:val="99"/>
    <w:pPr>
      <w:widowControl/>
      <w:spacing w:after="160" w:line="240" w:lineRule="exact"/>
      <w:jc w:val="left"/>
    </w:pPr>
    <w:rPr>
      <w:szCs w:val="24"/>
    </w:rPr>
  </w:style>
  <w:style w:type="paragraph" w:customStyle="1" w:styleId="125">
    <w:name w:val="Char Char Char"/>
    <w:basedOn w:val="1"/>
    <w:qFormat/>
    <w:uiPriority w:val="99"/>
    <w:rPr>
      <w:szCs w:val="20"/>
    </w:rPr>
  </w:style>
  <w:style w:type="paragraph" w:customStyle="1" w:styleId="126">
    <w:name w:val="xl97"/>
    <w:basedOn w:val="1"/>
    <w:qFormat/>
    <w:uiPriority w:val="99"/>
    <w:pPr>
      <w:widowControl/>
      <w:pBdr>
        <w:top w:val="dashed" w:color="auto" w:sz="4" w:space="0"/>
        <w:bottom w:val="dashed" w:color="auto" w:sz="4" w:space="0"/>
      </w:pBdr>
      <w:shd w:val="clear" w:color="000000" w:fill="FFCC99"/>
      <w:spacing w:before="100" w:beforeAutospacing="1" w:after="100" w:afterAutospacing="1"/>
      <w:jc w:val="left"/>
      <w:textAlignment w:val="top"/>
    </w:pPr>
    <w:rPr>
      <w:rFonts w:ascii="Arial" w:hAnsi="Arial" w:cs="Arial"/>
      <w:b/>
      <w:bCs/>
      <w:kern w:val="0"/>
      <w:sz w:val="20"/>
      <w:szCs w:val="20"/>
    </w:rPr>
  </w:style>
  <w:style w:type="paragraph" w:customStyle="1" w:styleId="127">
    <w:name w:val="xl80"/>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28">
    <w:name w:val="默认段落字体 Para Char"/>
    <w:basedOn w:val="1"/>
    <w:qFormat/>
    <w:uiPriority w:val="99"/>
    <w:pPr>
      <w:tabs>
        <w:tab w:val="left" w:pos="835"/>
      </w:tabs>
      <w:ind w:left="835" w:hanging="360"/>
    </w:pPr>
    <w:rPr>
      <w:szCs w:val="24"/>
    </w:rPr>
  </w:style>
  <w:style w:type="paragraph" w:customStyle="1" w:styleId="129">
    <w:name w:val="xl74"/>
    <w:basedOn w:val="1"/>
    <w:qFormat/>
    <w:uiPriority w:val="99"/>
    <w:pPr>
      <w:widowControl/>
      <w:pBdr>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30">
    <w:name w:val="xl77"/>
    <w:basedOn w:val="1"/>
    <w:qFormat/>
    <w:uiPriority w:val="99"/>
    <w:pPr>
      <w:widowControl/>
      <w:spacing w:before="100" w:beforeAutospacing="1" w:after="100" w:afterAutospacing="1"/>
      <w:jc w:val="left"/>
      <w:textAlignment w:val="top"/>
    </w:pPr>
    <w:rPr>
      <w:rFonts w:ascii="宋体" w:hAnsi="宋体" w:cs="宋体"/>
      <w:kern w:val="0"/>
      <w:sz w:val="20"/>
      <w:szCs w:val="20"/>
    </w:rPr>
  </w:style>
  <w:style w:type="paragraph" w:customStyle="1" w:styleId="131">
    <w:name w:val="font7"/>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32">
    <w:name w:val="xl98"/>
    <w:basedOn w:val="1"/>
    <w:qFormat/>
    <w:uiPriority w:val="99"/>
    <w:pPr>
      <w:widowControl/>
      <w:pBdr>
        <w:top w:val="dashed" w:color="auto" w:sz="4" w:space="0"/>
        <w:bottom w:val="dashed" w:color="auto" w:sz="4" w:space="0"/>
        <w:right w:val="dashed" w:color="auto" w:sz="4" w:space="0"/>
      </w:pBdr>
      <w:shd w:val="clear" w:color="000000" w:fill="FFCC99"/>
      <w:spacing w:before="100" w:beforeAutospacing="1" w:after="100" w:afterAutospacing="1"/>
      <w:jc w:val="left"/>
      <w:textAlignment w:val="top"/>
    </w:pPr>
    <w:rPr>
      <w:rFonts w:ascii="Arial" w:hAnsi="Arial" w:cs="Arial"/>
      <w:b/>
      <w:bCs/>
      <w:kern w:val="0"/>
      <w:sz w:val="20"/>
      <w:szCs w:val="20"/>
    </w:rPr>
  </w:style>
  <w:style w:type="paragraph" w:customStyle="1" w:styleId="133">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4">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35">
    <w:name w:val="xl81"/>
    <w:basedOn w:val="1"/>
    <w:qFormat/>
    <w:uiPriority w:val="99"/>
    <w:pPr>
      <w:widowControl/>
      <w:pBdr>
        <w:top w:val="single" w:color="auto" w:sz="4" w:space="0"/>
        <w:left w:val="dashed" w:color="auto" w:sz="4" w:space="0"/>
        <w:bottom w:val="dashed" w:color="auto" w:sz="4" w:space="0"/>
        <w:right w:val="dashed" w:color="auto" w:sz="4" w:space="0"/>
      </w:pBdr>
      <w:shd w:val="clear" w:color="000000" w:fill="FF99CC"/>
      <w:spacing w:before="100" w:beforeAutospacing="1" w:after="100" w:afterAutospacing="1"/>
      <w:jc w:val="left"/>
      <w:textAlignment w:val="top"/>
    </w:pPr>
    <w:rPr>
      <w:rFonts w:ascii="宋体" w:hAnsi="宋体" w:cs="宋体"/>
      <w:kern w:val="0"/>
      <w:sz w:val="20"/>
      <w:szCs w:val="20"/>
    </w:rPr>
  </w:style>
  <w:style w:type="paragraph" w:customStyle="1" w:styleId="136">
    <w:name w:val="xl2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137">
    <w:name w:val="样式 首行缩进:  2 字符"/>
    <w:basedOn w:val="1"/>
    <w:qFormat/>
    <w:uiPriority w:val="99"/>
    <w:pPr>
      <w:spacing w:line="420" w:lineRule="auto"/>
      <w:ind w:firstLine="200" w:firstLineChars="200"/>
    </w:pPr>
    <w:rPr>
      <w:rFonts w:cs="宋体"/>
      <w:sz w:val="24"/>
      <w:szCs w:val="20"/>
    </w:rPr>
  </w:style>
  <w:style w:type="paragraph" w:customStyle="1" w:styleId="138">
    <w:name w:val="Char Char3"/>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39">
    <w:name w:val="xl96"/>
    <w:basedOn w:val="1"/>
    <w:qFormat/>
    <w:uiPriority w:val="99"/>
    <w:pPr>
      <w:widowControl/>
      <w:pBdr>
        <w:top w:val="dashed" w:color="auto" w:sz="4" w:space="0"/>
        <w:left w:val="single" w:color="auto" w:sz="4" w:space="0"/>
        <w:bottom w:val="dashed" w:color="auto" w:sz="4" w:space="0"/>
      </w:pBdr>
      <w:shd w:val="clear" w:color="000000" w:fill="FFCC99"/>
      <w:spacing w:before="100" w:beforeAutospacing="1" w:after="100" w:afterAutospacing="1"/>
      <w:jc w:val="left"/>
      <w:textAlignment w:val="top"/>
    </w:pPr>
    <w:rPr>
      <w:rFonts w:ascii="Arial" w:hAnsi="Arial" w:cs="Arial"/>
      <w:b/>
      <w:bCs/>
      <w:kern w:val="0"/>
      <w:sz w:val="20"/>
      <w:szCs w:val="20"/>
    </w:rPr>
  </w:style>
  <w:style w:type="paragraph" w:customStyle="1" w:styleId="140">
    <w:name w:val="xl99"/>
    <w:basedOn w:val="1"/>
    <w:qFormat/>
    <w:uiPriority w:val="99"/>
    <w:pPr>
      <w:widowControl/>
      <w:spacing w:before="100" w:beforeAutospacing="1" w:after="100" w:afterAutospacing="1"/>
      <w:jc w:val="center"/>
      <w:textAlignment w:val="top"/>
    </w:pPr>
    <w:rPr>
      <w:rFonts w:ascii="宋体" w:hAnsi="宋体" w:cs="宋体"/>
      <w:b/>
      <w:bCs/>
      <w:kern w:val="0"/>
      <w:sz w:val="40"/>
      <w:szCs w:val="40"/>
    </w:rPr>
  </w:style>
  <w:style w:type="paragraph" w:customStyle="1" w:styleId="141">
    <w:name w:val="CM24"/>
    <w:basedOn w:val="26"/>
    <w:next w:val="26"/>
    <w:qFormat/>
    <w:uiPriority w:val="99"/>
    <w:pPr>
      <w:spacing w:line="440" w:lineRule="atLeast"/>
    </w:pPr>
    <w:rPr>
      <w:rFonts w:cs="Times New Roman"/>
      <w:color w:val="auto"/>
      <w:szCs w:val="20"/>
    </w:rPr>
  </w:style>
  <w:style w:type="paragraph" w:customStyle="1" w:styleId="142">
    <w:name w:val="此正文"/>
    <w:basedOn w:val="1"/>
    <w:qFormat/>
    <w:uiPriority w:val="99"/>
    <w:pPr>
      <w:spacing w:line="360" w:lineRule="auto"/>
      <w:ind w:firstLine="480" w:firstLineChars="200"/>
    </w:pPr>
    <w:rPr>
      <w:sz w:val="24"/>
      <w:szCs w:val="24"/>
    </w:rPr>
  </w:style>
  <w:style w:type="paragraph" w:customStyle="1" w:styleId="143">
    <w:name w:val="xl67"/>
    <w:basedOn w:val="1"/>
    <w:qFormat/>
    <w:uiPriority w:val="99"/>
    <w:pPr>
      <w:widowControl/>
      <w:pBdr>
        <w:top w:val="dashed" w:color="auto" w:sz="4" w:space="0"/>
        <w:left w:val="single" w:color="auto" w:sz="4" w:space="0"/>
        <w:bottom w:val="dashed" w:color="auto" w:sz="4" w:space="0"/>
        <w:right w:val="dashed"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44">
    <w:name w:val="Char Char Char2 Char Char Char Char"/>
    <w:basedOn w:val="1"/>
    <w:qFormat/>
    <w:uiPriority w:val="99"/>
    <w:rPr>
      <w:rFonts w:ascii="宋体"/>
      <w:sz w:val="28"/>
      <w:szCs w:val="20"/>
    </w:rPr>
  </w:style>
  <w:style w:type="paragraph" w:customStyle="1" w:styleId="145">
    <w:name w:val="font9"/>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146">
    <w:name w:val="CM99"/>
    <w:basedOn w:val="26"/>
    <w:next w:val="26"/>
    <w:qFormat/>
    <w:uiPriority w:val="99"/>
    <w:pPr>
      <w:spacing w:after="443"/>
    </w:pPr>
    <w:rPr>
      <w:rFonts w:cs="Times New Roman"/>
      <w:color w:val="auto"/>
      <w:szCs w:val="20"/>
    </w:rPr>
  </w:style>
  <w:style w:type="paragraph" w:customStyle="1" w:styleId="14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148">
    <w:name w:val="正文－恩普"/>
    <w:basedOn w:val="14"/>
    <w:qFormat/>
    <w:uiPriority w:val="99"/>
    <w:pPr>
      <w:widowControl/>
      <w:spacing w:afterLines="50" w:line="360" w:lineRule="auto"/>
      <w:ind w:firstLine="480"/>
      <w:jc w:val="left"/>
    </w:pPr>
  </w:style>
  <w:style w:type="paragraph" w:customStyle="1" w:styleId="149">
    <w:name w:val="xl68"/>
    <w:basedOn w:val="1"/>
    <w:qFormat/>
    <w:uiPriority w:val="99"/>
    <w:pPr>
      <w:widowControl/>
      <w:pBdr>
        <w:top w:val="dashed" w:color="auto" w:sz="4" w:space="0"/>
        <w:left w:val="single" w:color="auto" w:sz="4" w:space="0"/>
        <w:right w:val="dashed"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0">
    <w:name w:val="样式1正文（首行缩进两字） Char"/>
    <w:basedOn w:val="1"/>
    <w:next w:val="1"/>
    <w:qFormat/>
    <w:uiPriority w:val="99"/>
    <w:pPr>
      <w:spacing w:afterLines="50" w:line="276" w:lineRule="auto"/>
      <w:ind w:firstLine="420" w:firstLineChars="200"/>
    </w:pPr>
    <w:rPr>
      <w:rFonts w:cs="宋体"/>
      <w:szCs w:val="21"/>
    </w:rPr>
  </w:style>
  <w:style w:type="paragraph" w:customStyle="1" w:styleId="151">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2">
    <w:name w:val="xl2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153">
    <w:name w:val="xl91"/>
    <w:basedOn w:val="1"/>
    <w:qFormat/>
    <w:uiPriority w:val="99"/>
    <w:pPr>
      <w:widowControl/>
      <w:pBdr>
        <w:left w:val="single" w:color="auto" w:sz="4" w:space="0"/>
        <w:bottom w:val="dashed" w:color="auto" w:sz="4" w:space="0"/>
        <w:right w:val="dashed" w:color="auto" w:sz="4" w:space="0"/>
      </w:pBdr>
      <w:spacing w:before="100" w:beforeAutospacing="1" w:after="100" w:afterAutospacing="1"/>
      <w:jc w:val="center"/>
    </w:pPr>
    <w:rPr>
      <w:rFonts w:ascii="宋体" w:hAnsi="宋体" w:cs="宋体"/>
      <w:kern w:val="0"/>
      <w:sz w:val="20"/>
      <w:szCs w:val="20"/>
    </w:rPr>
  </w:style>
  <w:style w:type="paragraph" w:customStyle="1" w:styleId="154">
    <w:name w:val="列出段落21"/>
    <w:basedOn w:val="1"/>
    <w:qFormat/>
    <w:uiPriority w:val="99"/>
    <w:pPr>
      <w:ind w:firstLine="420" w:firstLineChars="200"/>
    </w:pPr>
    <w:rPr>
      <w:rFonts w:ascii="Calibri" w:hAnsi="Calibri"/>
    </w:rPr>
  </w:style>
  <w:style w:type="paragraph" w:customStyle="1" w:styleId="155">
    <w:name w:val="xl90"/>
    <w:basedOn w:val="1"/>
    <w:qFormat/>
    <w:uiPriority w:val="99"/>
    <w:pPr>
      <w:widowControl/>
      <w:pBdr>
        <w:left w:val="single" w:color="auto" w:sz="4" w:space="0"/>
        <w:right w:val="dashed" w:color="auto" w:sz="4" w:space="0"/>
      </w:pBdr>
      <w:spacing w:before="100" w:beforeAutospacing="1" w:after="100" w:afterAutospacing="1"/>
      <w:jc w:val="center"/>
    </w:pPr>
    <w:rPr>
      <w:rFonts w:ascii="宋体" w:hAnsi="宋体" w:cs="宋体"/>
      <w:kern w:val="0"/>
      <w:sz w:val="20"/>
      <w:szCs w:val="20"/>
    </w:rPr>
  </w:style>
  <w:style w:type="paragraph" w:customStyle="1" w:styleId="156">
    <w:name w:val="目录文字"/>
    <w:basedOn w:val="1"/>
    <w:qFormat/>
    <w:uiPriority w:val="99"/>
    <w:pPr>
      <w:widowControl/>
      <w:spacing w:line="480" w:lineRule="auto"/>
      <w:jc w:val="left"/>
    </w:pPr>
    <w:rPr>
      <w:rFonts w:ascii="宋体" w:hAnsi="宋体"/>
      <w:kern w:val="0"/>
      <w:sz w:val="24"/>
      <w:szCs w:val="20"/>
    </w:rPr>
  </w:style>
  <w:style w:type="paragraph" w:customStyle="1" w:styleId="157">
    <w:name w:val="样式 仿宋_GB2312 小三 行距: 固定值 25 磅"/>
    <w:basedOn w:val="1"/>
    <w:qFormat/>
    <w:uiPriority w:val="99"/>
    <w:pPr>
      <w:spacing w:line="500" w:lineRule="exact"/>
    </w:pPr>
    <w:rPr>
      <w:rFonts w:ascii="Arial" w:eastAsia="Times New Roman" w:cs="Arial"/>
      <w:sz w:val="28"/>
      <w:szCs w:val="20"/>
    </w:rPr>
  </w:style>
  <w:style w:type="paragraph" w:customStyle="1" w:styleId="158">
    <w:name w:val="xl72"/>
    <w:basedOn w:val="1"/>
    <w:qFormat/>
    <w:uiPriority w:val="99"/>
    <w:pPr>
      <w:widowControl/>
      <w:pBdr>
        <w:top w:val="dashed" w:color="auto" w:sz="4" w:space="0"/>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9">
    <w:name w:val="Char Char Char Char1"/>
    <w:basedOn w:val="1"/>
    <w:qFormat/>
    <w:uiPriority w:val="99"/>
    <w:pPr>
      <w:jc w:val="center"/>
    </w:pPr>
    <w:rPr>
      <w:rFonts w:ascii="仿宋_GB2312" w:eastAsia="仿宋_GB2312"/>
      <w:b/>
      <w:sz w:val="32"/>
      <w:szCs w:val="32"/>
    </w:rPr>
  </w:style>
  <w:style w:type="paragraph" w:customStyle="1" w:styleId="160">
    <w:name w:val="样式 标题 3 + 段前: 7.8 磅"/>
    <w:basedOn w:val="4"/>
    <w:qFormat/>
    <w:uiPriority w:val="99"/>
    <w:pPr>
      <w:numPr>
        <w:numId w:val="0"/>
      </w:numPr>
      <w:tabs>
        <w:tab w:val="left" w:pos="821"/>
      </w:tabs>
      <w:spacing w:before="156" w:after="0" w:line="360" w:lineRule="auto"/>
      <w:ind w:left="821" w:hanging="360"/>
    </w:pPr>
    <w:rPr>
      <w:rFonts w:cs="宋体"/>
      <w:b w:val="0"/>
      <w:bCs w:val="0"/>
      <w:sz w:val="24"/>
      <w:szCs w:val="20"/>
    </w:rPr>
  </w:style>
  <w:style w:type="paragraph" w:customStyle="1" w:styleId="161">
    <w:name w:val="xl83"/>
    <w:basedOn w:val="1"/>
    <w:qFormat/>
    <w:uiPriority w:val="99"/>
    <w:pPr>
      <w:widowControl/>
      <w:pBdr>
        <w:top w:val="dashed" w:color="auto" w:sz="4" w:space="0"/>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b/>
      <w:bCs/>
      <w:color w:val="FF0000"/>
      <w:kern w:val="0"/>
      <w:sz w:val="20"/>
      <w:szCs w:val="20"/>
    </w:rPr>
  </w:style>
  <w:style w:type="paragraph" w:customStyle="1" w:styleId="162">
    <w:name w:val="Char Char Char Char Char Char Char1"/>
    <w:basedOn w:val="1"/>
    <w:qFormat/>
    <w:uiPriority w:val="99"/>
    <w:rPr>
      <w:szCs w:val="24"/>
    </w:rPr>
  </w:style>
  <w:style w:type="paragraph" w:customStyle="1" w:styleId="163">
    <w:name w:val="xl100"/>
    <w:basedOn w:val="1"/>
    <w:qFormat/>
    <w:uiPriority w:val="99"/>
    <w:pPr>
      <w:widowControl/>
      <w:pBdr>
        <w:top w:val="dashed" w:color="auto" w:sz="4" w:space="0"/>
        <w:left w:val="single" w:color="auto" w:sz="4" w:space="0"/>
        <w:bottom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64">
    <w:name w:val="技术方案正文"/>
    <w:basedOn w:val="1"/>
    <w:qFormat/>
    <w:uiPriority w:val="99"/>
    <w:pPr>
      <w:spacing w:line="360" w:lineRule="auto"/>
      <w:ind w:firstLine="480" w:firstLineChars="200"/>
    </w:pPr>
    <w:rPr>
      <w:sz w:val="24"/>
    </w:rPr>
  </w:style>
  <w:style w:type="paragraph" w:customStyle="1" w:styleId="165">
    <w:name w:val="正文段"/>
    <w:basedOn w:val="1"/>
    <w:qFormat/>
    <w:uiPriority w:val="99"/>
    <w:pPr>
      <w:widowControl/>
      <w:snapToGrid w:val="0"/>
      <w:spacing w:afterLines="50"/>
      <w:ind w:firstLine="200" w:firstLineChars="200"/>
    </w:pPr>
    <w:rPr>
      <w:kern w:val="0"/>
      <w:sz w:val="24"/>
      <w:szCs w:val="20"/>
    </w:rPr>
  </w:style>
  <w:style w:type="paragraph" w:customStyle="1" w:styleId="166">
    <w:name w:val="xl65"/>
    <w:basedOn w:val="1"/>
    <w:qFormat/>
    <w:uiPriority w:val="99"/>
    <w:pPr>
      <w:widowControl/>
      <w:pBdr>
        <w:top w:val="dashed" w:color="auto" w:sz="4" w:space="0"/>
        <w:left w:val="dashed" w:color="auto" w:sz="4" w:space="0"/>
        <w:bottom w:val="dashed" w:color="auto" w:sz="4" w:space="0"/>
        <w:right w:val="dashed"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67">
    <w:name w:val="xl79"/>
    <w:basedOn w:val="1"/>
    <w:qFormat/>
    <w:uiPriority w:val="99"/>
    <w:pPr>
      <w:widowControl/>
      <w:pBdr>
        <w:top w:val="single" w:color="auto" w:sz="4" w:space="0"/>
        <w:left w:val="single" w:color="auto" w:sz="4" w:space="0"/>
        <w:bottom w:val="dashed" w:color="auto" w:sz="4" w:space="0"/>
        <w:right w:val="dashed" w:color="auto" w:sz="4" w:space="0"/>
      </w:pBdr>
      <w:shd w:val="clear" w:color="000000" w:fill="FF99CC"/>
      <w:spacing w:before="100" w:beforeAutospacing="1" w:after="100" w:afterAutospacing="1"/>
      <w:jc w:val="center"/>
      <w:textAlignment w:val="top"/>
    </w:pPr>
    <w:rPr>
      <w:rFonts w:ascii="Arial" w:hAnsi="Arial" w:cs="Arial"/>
      <w:kern w:val="0"/>
      <w:sz w:val="20"/>
      <w:szCs w:val="20"/>
    </w:rPr>
  </w:style>
  <w:style w:type="paragraph" w:customStyle="1" w:styleId="16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169">
    <w:name w:val="xl63"/>
    <w:basedOn w:val="1"/>
    <w:qFormat/>
    <w:uiPriority w:val="99"/>
    <w:pPr>
      <w:widowControl/>
      <w:spacing w:before="100" w:beforeAutospacing="1" w:after="100" w:afterAutospacing="1"/>
      <w:jc w:val="left"/>
      <w:textAlignment w:val="top"/>
    </w:pPr>
    <w:rPr>
      <w:rFonts w:ascii="宋体" w:hAnsi="宋体" w:cs="宋体"/>
      <w:kern w:val="0"/>
      <w:sz w:val="20"/>
      <w:szCs w:val="20"/>
    </w:rPr>
  </w:style>
  <w:style w:type="paragraph" w:customStyle="1" w:styleId="170">
    <w:name w:val="xl8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2">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3">
    <w:name w:val="正文文本缩进1"/>
    <w:basedOn w:val="1"/>
    <w:qFormat/>
    <w:uiPriority w:val="99"/>
    <w:pPr>
      <w:spacing w:line="480" w:lineRule="exact"/>
      <w:ind w:firstLine="200" w:firstLineChars="200"/>
    </w:pPr>
    <w:rPr>
      <w:rFonts w:ascii="宋体"/>
      <w:kern w:val="0"/>
      <w:sz w:val="24"/>
      <w:szCs w:val="24"/>
    </w:rPr>
  </w:style>
  <w:style w:type="paragraph" w:customStyle="1" w:styleId="174">
    <w:name w:val="style1"/>
    <w:basedOn w:val="1"/>
    <w:qFormat/>
    <w:uiPriority w:val="99"/>
    <w:pPr>
      <w:widowControl/>
      <w:spacing w:before="100" w:beforeAutospacing="1" w:after="100" w:afterAutospacing="1"/>
      <w:jc w:val="left"/>
    </w:pPr>
    <w:rPr>
      <w:rFonts w:ascii="宋体" w:hAnsi="宋体"/>
      <w:b/>
      <w:kern w:val="0"/>
      <w:sz w:val="27"/>
    </w:rPr>
  </w:style>
  <w:style w:type="paragraph" w:customStyle="1" w:styleId="175">
    <w:name w:val="WPSOffice手动目录 1"/>
    <w:qFormat/>
    <w:uiPriority w:val="99"/>
    <w:rPr>
      <w:rFonts w:ascii="Calibri" w:hAnsi="Calibri" w:eastAsia="宋体" w:cs="Times New Roman"/>
      <w:lang w:val="en-US" w:eastAsia="zh-CN" w:bidi="ar-SA"/>
    </w:rPr>
  </w:style>
  <w:style w:type="paragraph" w:customStyle="1" w:styleId="176">
    <w:name w:val="B表格题注"/>
    <w:next w:val="1"/>
    <w:qFormat/>
    <w:uiPriority w:val="99"/>
    <w:pPr>
      <w:numPr>
        <w:ilvl w:val="0"/>
        <w:numId w:val="9"/>
      </w:numPr>
      <w:spacing w:line="360" w:lineRule="auto"/>
      <w:jc w:val="center"/>
    </w:pPr>
    <w:rPr>
      <w:rFonts w:ascii="Calibri" w:hAnsi="Calibri" w:eastAsia="黑体" w:cs="Times New Roman"/>
      <w:b/>
      <w:kern w:val="2"/>
      <w:sz w:val="21"/>
      <w:szCs w:val="21"/>
      <w:lang w:val="en-US" w:eastAsia="zh-CN" w:bidi="ar-SA"/>
    </w:rPr>
  </w:style>
  <w:style w:type="paragraph" w:customStyle="1" w:styleId="177">
    <w:name w:val="Default Text"/>
    <w:qFormat/>
    <w:uiPriority w:val="99"/>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178">
    <w:name w:val="纯文本2"/>
    <w:basedOn w:val="1"/>
    <w:qFormat/>
    <w:uiPriority w:val="99"/>
    <w:pPr>
      <w:adjustRightInd w:val="0"/>
      <w:textAlignment w:val="baseline"/>
    </w:pPr>
    <w:rPr>
      <w:rFonts w:ascii="宋体" w:hAnsi="Courier New"/>
      <w:szCs w:val="20"/>
    </w:rPr>
  </w:style>
  <w:style w:type="paragraph" w:customStyle="1" w:styleId="179">
    <w:name w:val="修订2"/>
    <w:qFormat/>
    <w:uiPriority w:val="99"/>
    <w:rPr>
      <w:rFonts w:ascii="Times New Roman" w:hAnsi="Times New Roman" w:eastAsia="宋体" w:cs="Times New Roman"/>
      <w:kern w:val="2"/>
      <w:sz w:val="21"/>
      <w:szCs w:val="22"/>
      <w:lang w:val="en-US" w:eastAsia="zh-CN" w:bidi="ar-SA"/>
    </w:rPr>
  </w:style>
  <w:style w:type="paragraph" w:customStyle="1" w:styleId="180">
    <w:name w:val="修订3"/>
    <w:qFormat/>
    <w:uiPriority w:val="99"/>
    <w:rPr>
      <w:rFonts w:ascii="Times New Roman" w:hAnsi="Times New Roman" w:eastAsia="宋体" w:cs="Times New Roman"/>
      <w:kern w:val="2"/>
      <w:sz w:val="21"/>
      <w:szCs w:val="22"/>
      <w:lang w:val="en-US" w:eastAsia="zh-CN" w:bidi="ar-SA"/>
    </w:rPr>
  </w:style>
  <w:style w:type="paragraph" w:customStyle="1" w:styleId="181">
    <w:name w:val="dyibufen"/>
    <w:basedOn w:val="1"/>
    <w:link w:val="275"/>
    <w:qFormat/>
    <w:uiPriority w:val="99"/>
    <w:pPr>
      <w:spacing w:line="360" w:lineRule="auto"/>
      <w:jc w:val="center"/>
      <w:outlineLvl w:val="0"/>
    </w:pPr>
    <w:rPr>
      <w:rFonts w:ascii="宋体" w:hAnsi="宋体"/>
      <w:b/>
      <w:color w:val="000000"/>
      <w:sz w:val="32"/>
      <w:szCs w:val="32"/>
    </w:rPr>
  </w:style>
  <w:style w:type="paragraph" w:customStyle="1" w:styleId="182">
    <w:name w:val="列出段落3"/>
    <w:basedOn w:val="1"/>
    <w:qFormat/>
    <w:uiPriority w:val="99"/>
    <w:pPr>
      <w:ind w:firstLine="420" w:firstLineChars="200"/>
    </w:pPr>
    <w:rPr>
      <w:rFonts w:ascii="Calibri" w:hAnsi="Calibri"/>
      <w:szCs w:val="20"/>
    </w:rPr>
  </w:style>
  <w:style w:type="paragraph" w:customStyle="1" w:styleId="183">
    <w:name w:val="Table Paragraph"/>
    <w:basedOn w:val="1"/>
    <w:qFormat/>
    <w:uiPriority w:val="99"/>
    <w:rPr>
      <w:sz w:val="24"/>
    </w:rPr>
  </w:style>
  <w:style w:type="paragraph" w:customStyle="1" w:styleId="184">
    <w:name w:val="无间隔2"/>
    <w:qFormat/>
    <w:uiPriority w:val="99"/>
    <w:rPr>
      <w:rFonts w:ascii="等线" w:hAnsi="等线" w:eastAsia="等线" w:cs="Times New Roman"/>
      <w:sz w:val="22"/>
      <w:szCs w:val="22"/>
      <w:lang w:val="en-US" w:eastAsia="zh-CN" w:bidi="ar-SA"/>
    </w:rPr>
  </w:style>
  <w:style w:type="paragraph" w:customStyle="1" w:styleId="185">
    <w:name w:val="正文，首行缩进:"/>
    <w:basedOn w:val="186"/>
    <w:qFormat/>
    <w:uiPriority w:val="99"/>
    <w:pPr>
      <w:spacing w:line="460" w:lineRule="exact"/>
      <w:ind w:firstLine="480" w:firstLineChars="200"/>
      <w:jc w:val="left"/>
    </w:pPr>
    <w:rPr>
      <w:rFonts w:ascii="宋体" w:hAnsi="宋体" w:cs="宋体"/>
      <w:sz w:val="24"/>
      <w:szCs w:val="24"/>
    </w:rPr>
  </w:style>
  <w:style w:type="paragraph" w:customStyle="1" w:styleId="186">
    <w:name w:val="正文1"/>
    <w:basedOn w:val="63"/>
    <w:next w:val="187"/>
    <w:qFormat/>
    <w:uiPriority w:val="99"/>
  </w:style>
  <w:style w:type="paragraph" w:customStyle="1" w:styleId="187">
    <w:name w:val="表格文字"/>
    <w:basedOn w:val="188"/>
    <w:next w:val="20"/>
    <w:qFormat/>
    <w:uiPriority w:val="99"/>
    <w:pPr>
      <w:adjustRightInd w:val="0"/>
      <w:spacing w:line="420" w:lineRule="atLeast"/>
      <w:jc w:val="left"/>
      <w:textAlignment w:val="baseline"/>
    </w:pPr>
    <w:rPr>
      <w:kern w:val="0"/>
    </w:rPr>
  </w:style>
  <w:style w:type="paragraph" w:customStyle="1" w:styleId="188">
    <w:name w:val="表格文字（两侧对齐）"/>
    <w:basedOn w:val="1"/>
    <w:qFormat/>
    <w:uiPriority w:val="0"/>
    <w:pPr>
      <w:snapToGrid w:val="0"/>
      <w:jc w:val="left"/>
    </w:pPr>
    <w:rPr>
      <w:rFonts w:ascii="Times New Roman" w:hAnsi="Times New Roman" w:eastAsia="宋体" w:cs="Times New Roman"/>
      <w:color w:val="auto"/>
      <w:sz w:val="20"/>
      <w:szCs w:val="24"/>
    </w:rPr>
  </w:style>
  <w:style w:type="paragraph" w:customStyle="1" w:styleId="189">
    <w:name w:val="正文11"/>
    <w:basedOn w:val="190"/>
    <w:next w:val="187"/>
    <w:qFormat/>
    <w:uiPriority w:val="99"/>
    <w:pPr>
      <w:spacing w:before="156" w:line="360" w:lineRule="auto"/>
      <w:ind w:left="426"/>
    </w:pPr>
    <w:rPr>
      <w:sz w:val="24"/>
    </w:rPr>
  </w:style>
  <w:style w:type="paragraph" w:customStyle="1" w:styleId="190">
    <w:name w:val="Normal_0"/>
    <w:basedOn w:val="63"/>
    <w:qFormat/>
    <w:uiPriority w:val="99"/>
    <w:rPr>
      <w:rFonts w:ascii="Times New Roman" w:hAnsi="Times New Roman" w:cs="Calibri"/>
      <w:szCs w:val="21"/>
    </w:rPr>
  </w:style>
  <w:style w:type="paragraph" w:customStyle="1" w:styleId="191">
    <w:name w:val="样式 列表编号 + 段后: 0.5 行"/>
    <w:basedOn w:val="13"/>
    <w:qFormat/>
    <w:uiPriority w:val="99"/>
    <w:pPr>
      <w:tabs>
        <w:tab w:val="left" w:pos="780"/>
        <w:tab w:val="clear" w:pos="360"/>
      </w:tabs>
      <w:spacing w:afterLines="50"/>
      <w:ind w:left="400" w:leftChars="200" w:hanging="200" w:hangingChars="200"/>
    </w:pPr>
    <w:rPr>
      <w:sz w:val="24"/>
    </w:rPr>
  </w:style>
  <w:style w:type="paragraph" w:customStyle="1" w:styleId="192">
    <w:name w:val="修订4"/>
    <w:hidden/>
    <w:semiHidden/>
    <w:qFormat/>
    <w:uiPriority w:val="99"/>
    <w:rPr>
      <w:rFonts w:ascii="Times New Roman" w:hAnsi="Times New Roman" w:eastAsia="宋体" w:cs="Times New Roman"/>
      <w:kern w:val="2"/>
      <w:sz w:val="21"/>
      <w:szCs w:val="22"/>
      <w:lang w:val="en-US" w:eastAsia="zh-CN" w:bidi="ar-SA"/>
    </w:rPr>
  </w:style>
  <w:style w:type="paragraph" w:customStyle="1" w:styleId="193">
    <w:name w:val="列表段落1"/>
    <w:basedOn w:val="1"/>
    <w:qFormat/>
    <w:uiPriority w:val="99"/>
    <w:pPr>
      <w:ind w:firstLine="420" w:firstLineChars="200"/>
    </w:pPr>
    <w:rPr>
      <w:rFonts w:ascii="等线" w:hAnsi="等线" w:eastAsia="等线"/>
    </w:rPr>
  </w:style>
  <w:style w:type="paragraph" w:customStyle="1" w:styleId="194">
    <w:name w:val="No Spacing1"/>
    <w:next w:val="1"/>
    <w:qFormat/>
    <w:uiPriority w:val="99"/>
    <w:rPr>
      <w:rFonts w:ascii="等线" w:hAnsi="等线" w:eastAsia="等线" w:cs="Times New Roman"/>
      <w:sz w:val="22"/>
      <w:szCs w:val="22"/>
      <w:lang w:val="en-US" w:eastAsia="zh-CN" w:bidi="ar-SA"/>
    </w:rPr>
  </w:style>
  <w:style w:type="character" w:customStyle="1" w:styleId="195">
    <w:name w:val="标题 1 字符"/>
    <w:basedOn w:val="48"/>
    <w:link w:val="2"/>
    <w:qFormat/>
    <w:locked/>
    <w:uiPriority w:val="99"/>
    <w:rPr>
      <w:b/>
      <w:bCs/>
      <w:kern w:val="44"/>
      <w:sz w:val="32"/>
      <w:szCs w:val="44"/>
    </w:rPr>
  </w:style>
  <w:style w:type="character" w:customStyle="1" w:styleId="196">
    <w:name w:val="标题 2 字符"/>
    <w:basedOn w:val="48"/>
    <w:link w:val="3"/>
    <w:qFormat/>
    <w:locked/>
    <w:uiPriority w:val="99"/>
    <w:rPr>
      <w:rFonts w:ascii="宋体"/>
      <w:sz w:val="28"/>
      <w:szCs w:val="20"/>
    </w:rPr>
  </w:style>
  <w:style w:type="character" w:customStyle="1" w:styleId="197">
    <w:name w:val="标题 3 字符"/>
    <w:basedOn w:val="48"/>
    <w:link w:val="4"/>
    <w:qFormat/>
    <w:locked/>
    <w:uiPriority w:val="99"/>
    <w:rPr>
      <w:b/>
      <w:bCs/>
      <w:kern w:val="0"/>
      <w:sz w:val="28"/>
      <w:szCs w:val="32"/>
    </w:rPr>
  </w:style>
  <w:style w:type="character" w:customStyle="1" w:styleId="198">
    <w:name w:val="标题 4 字符"/>
    <w:basedOn w:val="48"/>
    <w:link w:val="5"/>
    <w:qFormat/>
    <w:locked/>
    <w:uiPriority w:val="99"/>
    <w:rPr>
      <w:rFonts w:ascii="等线 Light" w:hAnsi="等线 Light" w:eastAsia="等线 Light"/>
      <w:b/>
      <w:sz w:val="28"/>
    </w:rPr>
  </w:style>
  <w:style w:type="character" w:customStyle="1" w:styleId="199">
    <w:name w:val="标题 5 字符"/>
    <w:basedOn w:val="48"/>
    <w:link w:val="6"/>
    <w:qFormat/>
    <w:locked/>
    <w:uiPriority w:val="99"/>
    <w:rPr>
      <w:rFonts w:ascii="Times New Roman" w:hAnsi="Times New Roman" w:eastAsia="宋体"/>
      <w:b/>
      <w:kern w:val="0"/>
      <w:sz w:val="28"/>
    </w:rPr>
  </w:style>
  <w:style w:type="character" w:customStyle="1" w:styleId="200">
    <w:name w:val="标题 6 字符"/>
    <w:basedOn w:val="48"/>
    <w:link w:val="7"/>
    <w:qFormat/>
    <w:locked/>
    <w:uiPriority w:val="99"/>
    <w:rPr>
      <w:rFonts w:ascii="Arial" w:hAnsi="Arial" w:eastAsia="黑体"/>
      <w:b/>
      <w:kern w:val="0"/>
      <w:sz w:val="24"/>
    </w:rPr>
  </w:style>
  <w:style w:type="character" w:customStyle="1" w:styleId="201">
    <w:name w:val="标题 7 字符"/>
    <w:basedOn w:val="48"/>
    <w:link w:val="8"/>
    <w:qFormat/>
    <w:locked/>
    <w:uiPriority w:val="99"/>
    <w:rPr>
      <w:rFonts w:ascii="Times New Roman" w:hAnsi="Times New Roman" w:eastAsia="宋体"/>
      <w:b/>
      <w:kern w:val="0"/>
      <w:sz w:val="24"/>
    </w:rPr>
  </w:style>
  <w:style w:type="character" w:customStyle="1" w:styleId="202">
    <w:name w:val="标题 8 字符"/>
    <w:basedOn w:val="48"/>
    <w:link w:val="9"/>
    <w:qFormat/>
    <w:locked/>
    <w:uiPriority w:val="99"/>
    <w:rPr>
      <w:rFonts w:ascii="Arial" w:hAnsi="Arial" w:eastAsia="黑体"/>
      <w:kern w:val="0"/>
      <w:sz w:val="24"/>
    </w:rPr>
  </w:style>
  <w:style w:type="character" w:customStyle="1" w:styleId="203">
    <w:name w:val="标题 9 字符"/>
    <w:basedOn w:val="48"/>
    <w:link w:val="10"/>
    <w:qFormat/>
    <w:locked/>
    <w:uiPriority w:val="99"/>
    <w:rPr>
      <w:rFonts w:ascii="Arial" w:hAnsi="Arial" w:eastAsia="黑体"/>
      <w:kern w:val="0"/>
      <w:sz w:val="21"/>
    </w:rPr>
  </w:style>
  <w:style w:type="character" w:customStyle="1" w:styleId="204">
    <w:name w:val="批注文字 字符"/>
    <w:basedOn w:val="48"/>
    <w:link w:val="18"/>
    <w:qFormat/>
    <w:locked/>
    <w:uiPriority w:val="99"/>
  </w:style>
  <w:style w:type="character" w:customStyle="1" w:styleId="205">
    <w:name w:val="批注主题 字符"/>
    <w:basedOn w:val="204"/>
    <w:link w:val="44"/>
    <w:qFormat/>
    <w:locked/>
    <w:uiPriority w:val="99"/>
    <w:rPr>
      <w:rFonts w:ascii="Times New Roman" w:hAnsi="Times New Roman" w:eastAsia="宋体"/>
      <w:b/>
      <w:sz w:val="24"/>
    </w:rPr>
  </w:style>
  <w:style w:type="character" w:customStyle="1" w:styleId="206">
    <w:name w:val="正文文本 字符"/>
    <w:basedOn w:val="48"/>
    <w:link w:val="20"/>
    <w:qFormat/>
    <w:locked/>
    <w:uiPriority w:val="99"/>
  </w:style>
  <w:style w:type="character" w:customStyle="1" w:styleId="207">
    <w:name w:val="正文首行缩进 字符"/>
    <w:basedOn w:val="206"/>
    <w:link w:val="21"/>
    <w:qFormat/>
    <w:locked/>
    <w:uiPriority w:val="99"/>
    <w:rPr>
      <w:rFonts w:ascii="仿宋_GB2312" w:hAnsi="宋体" w:eastAsia="仿宋_GB2312"/>
      <w:b/>
      <w:sz w:val="24"/>
    </w:rPr>
  </w:style>
  <w:style w:type="character" w:customStyle="1" w:styleId="208">
    <w:name w:val="文档结构图 字符"/>
    <w:basedOn w:val="48"/>
    <w:link w:val="16"/>
    <w:qFormat/>
    <w:locked/>
    <w:uiPriority w:val="99"/>
    <w:rPr>
      <w:rFonts w:ascii="Times New Roman" w:hAnsi="Times New Roman" w:eastAsia="宋体"/>
      <w:sz w:val="24"/>
      <w:shd w:val="clear" w:color="auto" w:fill="000080"/>
    </w:rPr>
  </w:style>
  <w:style w:type="character" w:customStyle="1" w:styleId="209">
    <w:name w:val="正文文本 3 字符"/>
    <w:basedOn w:val="48"/>
    <w:link w:val="19"/>
    <w:qFormat/>
    <w:locked/>
    <w:uiPriority w:val="99"/>
    <w:rPr>
      <w:rFonts w:ascii="Times New Roman" w:hAnsi="Times New Roman" w:eastAsia="宋体"/>
      <w:b/>
      <w:kern w:val="0"/>
      <w:sz w:val="24"/>
    </w:rPr>
  </w:style>
  <w:style w:type="character" w:customStyle="1" w:styleId="210">
    <w:name w:val="正文文本缩进 字符1"/>
    <w:basedOn w:val="48"/>
    <w:link w:val="22"/>
    <w:qFormat/>
    <w:locked/>
    <w:uiPriority w:val="99"/>
    <w:rPr>
      <w:rFonts w:ascii="Times New Roman" w:hAnsi="Times New Roman" w:eastAsia="宋体"/>
      <w:sz w:val="24"/>
    </w:rPr>
  </w:style>
  <w:style w:type="character" w:customStyle="1" w:styleId="211">
    <w:name w:val="纯文本 字符1"/>
    <w:basedOn w:val="48"/>
    <w:link w:val="25"/>
    <w:qFormat/>
    <w:locked/>
    <w:uiPriority w:val="99"/>
    <w:rPr>
      <w:rFonts w:ascii="宋体"/>
    </w:rPr>
  </w:style>
  <w:style w:type="character" w:customStyle="1" w:styleId="212">
    <w:name w:val="日期 字符"/>
    <w:basedOn w:val="48"/>
    <w:link w:val="28"/>
    <w:qFormat/>
    <w:locked/>
    <w:uiPriority w:val="99"/>
  </w:style>
  <w:style w:type="character" w:customStyle="1" w:styleId="213">
    <w:name w:val="正文文本缩进 2 字符"/>
    <w:basedOn w:val="48"/>
    <w:link w:val="29"/>
    <w:qFormat/>
    <w:locked/>
    <w:uiPriority w:val="99"/>
    <w:rPr>
      <w:rFonts w:ascii="仿宋_GB2312" w:hAnsi="宋体" w:eastAsia="仿宋_GB2312"/>
      <w:kern w:val="0"/>
      <w:sz w:val="24"/>
    </w:rPr>
  </w:style>
  <w:style w:type="character" w:customStyle="1" w:styleId="214">
    <w:name w:val="批注框文本 字符"/>
    <w:basedOn w:val="48"/>
    <w:link w:val="30"/>
    <w:qFormat/>
    <w:locked/>
    <w:uiPriority w:val="99"/>
    <w:rPr>
      <w:sz w:val="18"/>
    </w:rPr>
  </w:style>
  <w:style w:type="character" w:customStyle="1" w:styleId="215">
    <w:name w:val="页脚 字符"/>
    <w:basedOn w:val="48"/>
    <w:link w:val="31"/>
    <w:qFormat/>
    <w:locked/>
    <w:uiPriority w:val="99"/>
    <w:rPr>
      <w:sz w:val="18"/>
    </w:rPr>
  </w:style>
  <w:style w:type="character" w:customStyle="1" w:styleId="216">
    <w:name w:val="正文首行缩进 2 字符"/>
    <w:basedOn w:val="210"/>
    <w:link w:val="45"/>
    <w:semiHidden/>
    <w:qFormat/>
    <w:uiPriority w:val="99"/>
    <w:rPr>
      <w:rFonts w:ascii="Times New Roman" w:hAnsi="Times New Roman" w:eastAsia="宋体"/>
      <w:sz w:val="24"/>
    </w:rPr>
  </w:style>
  <w:style w:type="character" w:customStyle="1" w:styleId="217">
    <w:name w:val="页眉 字符"/>
    <w:basedOn w:val="48"/>
    <w:link w:val="32"/>
    <w:qFormat/>
    <w:locked/>
    <w:uiPriority w:val="99"/>
    <w:rPr>
      <w:sz w:val="18"/>
    </w:rPr>
  </w:style>
  <w:style w:type="character" w:customStyle="1" w:styleId="218">
    <w:name w:val="副标题 字符"/>
    <w:basedOn w:val="48"/>
    <w:link w:val="35"/>
    <w:qFormat/>
    <w:locked/>
    <w:uiPriority w:val="99"/>
    <w:rPr>
      <w:b/>
      <w:kern w:val="28"/>
      <w:sz w:val="32"/>
    </w:rPr>
  </w:style>
  <w:style w:type="character" w:customStyle="1" w:styleId="219">
    <w:name w:val="正文文本缩进 3 字符"/>
    <w:basedOn w:val="48"/>
    <w:link w:val="37"/>
    <w:qFormat/>
    <w:locked/>
    <w:uiPriority w:val="99"/>
    <w:rPr>
      <w:rFonts w:ascii="仿宋_GB2312" w:hAnsi="宋体" w:eastAsia="仿宋_GB2312"/>
      <w:kern w:val="0"/>
      <w:sz w:val="24"/>
    </w:rPr>
  </w:style>
  <w:style w:type="character" w:customStyle="1" w:styleId="220">
    <w:name w:val="正文文本 2 字符"/>
    <w:basedOn w:val="48"/>
    <w:link w:val="40"/>
    <w:qFormat/>
    <w:locked/>
    <w:uiPriority w:val="99"/>
    <w:rPr>
      <w:rFonts w:ascii="仿宋_GB2312" w:hAnsi="Arial" w:eastAsia="仿宋_GB2312"/>
      <w:sz w:val="28"/>
    </w:rPr>
  </w:style>
  <w:style w:type="character" w:customStyle="1" w:styleId="221">
    <w:name w:val="HTML 预设格式 字符"/>
    <w:basedOn w:val="48"/>
    <w:link w:val="41"/>
    <w:semiHidden/>
    <w:qFormat/>
    <w:uiPriority w:val="99"/>
    <w:rPr>
      <w:rFonts w:ascii="Courier New" w:hAnsi="Courier New" w:cs="Courier New"/>
      <w:sz w:val="20"/>
      <w:szCs w:val="20"/>
    </w:rPr>
  </w:style>
  <w:style w:type="character" w:customStyle="1" w:styleId="222">
    <w:name w:val="标题 字符"/>
    <w:basedOn w:val="48"/>
    <w:link w:val="43"/>
    <w:qFormat/>
    <w:locked/>
    <w:uiPriority w:val="99"/>
    <w:rPr>
      <w:rFonts w:ascii="等线 Light" w:hAnsi="等线 Light" w:eastAsia="等线 Light"/>
      <w:b/>
      <w:sz w:val="32"/>
    </w:rPr>
  </w:style>
  <w:style w:type="character" w:customStyle="1" w:styleId="223">
    <w:name w:val="个人答复风格"/>
    <w:qFormat/>
    <w:uiPriority w:val="99"/>
    <w:rPr>
      <w:rFonts w:ascii="Arial" w:hAnsi="Arial" w:eastAsia="宋体"/>
      <w:color w:val="auto"/>
      <w:sz w:val="20"/>
    </w:rPr>
  </w:style>
  <w:style w:type="character" w:customStyle="1" w:styleId="224">
    <w:name w:val="site_sub2_list web_3"/>
    <w:qFormat/>
    <w:uiPriority w:val="99"/>
  </w:style>
  <w:style w:type="character" w:customStyle="1" w:styleId="225">
    <w:name w:val="无间隔 字符"/>
    <w:link w:val="66"/>
    <w:qFormat/>
    <w:locked/>
    <w:uiPriority w:val="99"/>
    <w:rPr>
      <w:sz w:val="22"/>
      <w:lang w:val="en-US" w:eastAsia="zh-CN"/>
    </w:rPr>
  </w:style>
  <w:style w:type="character" w:customStyle="1" w:styleId="226">
    <w:name w:val="Char Char1"/>
    <w:qFormat/>
    <w:uiPriority w:val="99"/>
    <w:rPr>
      <w:rFonts w:ascii="宋体" w:hAnsi="Courier New" w:eastAsia="宋体"/>
      <w:kern w:val="2"/>
      <w:sz w:val="21"/>
      <w:lang w:val="en-US" w:eastAsia="zh-CN"/>
    </w:rPr>
  </w:style>
  <w:style w:type="character" w:customStyle="1" w:styleId="227">
    <w:name w:val="EmailStyle25"/>
    <w:qFormat/>
    <w:uiPriority w:val="99"/>
    <w:rPr>
      <w:rFonts w:ascii="Arial" w:hAnsi="Arial" w:eastAsia="宋体"/>
      <w:color w:val="auto"/>
      <w:sz w:val="20"/>
    </w:rPr>
  </w:style>
  <w:style w:type="character" w:customStyle="1" w:styleId="228">
    <w:name w:val="tpc_content1"/>
    <w:qFormat/>
    <w:uiPriority w:val="99"/>
    <w:rPr>
      <w:sz w:val="20"/>
    </w:rPr>
  </w:style>
  <w:style w:type="character" w:customStyle="1" w:styleId="229">
    <w:name w:val="html_txt1"/>
    <w:qFormat/>
    <w:uiPriority w:val="99"/>
    <w:rPr>
      <w:color w:val="000000"/>
    </w:rPr>
  </w:style>
  <w:style w:type="character" w:customStyle="1" w:styleId="230">
    <w:name w:val="正文首行缩进 Char1"/>
    <w:qFormat/>
    <w:uiPriority w:val="99"/>
    <w:rPr>
      <w:rFonts w:ascii="Times New Roman" w:hAnsi="Times New Roman" w:eastAsia="宋体"/>
      <w:sz w:val="24"/>
    </w:rPr>
  </w:style>
  <w:style w:type="character" w:customStyle="1" w:styleId="231">
    <w:name w:val="正文文本 Char1"/>
    <w:qFormat/>
    <w:uiPriority w:val="99"/>
    <w:rPr>
      <w:rFonts w:ascii="Times New Roman" w:hAnsi="Times New Roman" w:eastAsia="宋体"/>
      <w:sz w:val="24"/>
    </w:rPr>
  </w:style>
  <w:style w:type="character" w:customStyle="1" w:styleId="232">
    <w:name w:val="正文文本 3 Char1"/>
    <w:qFormat/>
    <w:uiPriority w:val="99"/>
    <w:rPr>
      <w:sz w:val="16"/>
    </w:rPr>
  </w:style>
  <w:style w:type="character" w:customStyle="1" w:styleId="233">
    <w:name w:val="unnamed2"/>
    <w:qFormat/>
    <w:uiPriority w:val="99"/>
  </w:style>
  <w:style w:type="character" w:customStyle="1" w:styleId="234">
    <w:name w:val="内文 Char"/>
    <w:link w:val="67"/>
    <w:qFormat/>
    <w:locked/>
    <w:uiPriority w:val="99"/>
    <w:rPr>
      <w:rFonts w:ascii="Arial" w:hAnsi="Arial"/>
      <w:kern w:val="2"/>
      <w:sz w:val="22"/>
      <w:lang w:val="en-US" w:eastAsia="zh-CN"/>
    </w:rPr>
  </w:style>
  <w:style w:type="character" w:customStyle="1" w:styleId="235">
    <w:name w:val="site_sub2_list web_8"/>
    <w:qFormat/>
    <w:uiPriority w:val="99"/>
  </w:style>
  <w:style w:type="character" w:customStyle="1" w:styleId="236">
    <w:name w:val="site_sub2_list web_9"/>
    <w:qFormat/>
    <w:uiPriority w:val="99"/>
  </w:style>
  <w:style w:type="character" w:customStyle="1" w:styleId="237">
    <w:name w:val="正文文本 2 Char1"/>
    <w:qFormat/>
    <w:uiPriority w:val="99"/>
  </w:style>
  <w:style w:type="character" w:customStyle="1" w:styleId="238">
    <w:name w:val="列出段落 Char"/>
    <w:link w:val="57"/>
    <w:qFormat/>
    <w:locked/>
    <w:uiPriority w:val="99"/>
    <w:rPr>
      <w:rFonts w:ascii="Calibri" w:hAnsi="Calibri" w:eastAsia="宋体"/>
      <w:kern w:val="0"/>
      <w:sz w:val="20"/>
    </w:rPr>
  </w:style>
  <w:style w:type="character" w:customStyle="1" w:styleId="239">
    <w:name w:val="site_sub2_list web_5"/>
    <w:qFormat/>
    <w:uiPriority w:val="99"/>
  </w:style>
  <w:style w:type="character" w:customStyle="1" w:styleId="240">
    <w:name w:val="htd01"/>
    <w:qFormat/>
    <w:uiPriority w:val="99"/>
  </w:style>
  <w:style w:type="character" w:customStyle="1" w:styleId="241">
    <w:name w:val="正文首行缩进 Char2"/>
    <w:qFormat/>
    <w:uiPriority w:val="99"/>
  </w:style>
  <w:style w:type="character" w:customStyle="1" w:styleId="242">
    <w:name w:val="site_sub2_list web_6"/>
    <w:qFormat/>
    <w:uiPriority w:val="99"/>
  </w:style>
  <w:style w:type="character" w:customStyle="1" w:styleId="243">
    <w:name w:val="p1481"/>
    <w:qFormat/>
    <w:uiPriority w:val="99"/>
  </w:style>
  <w:style w:type="character" w:customStyle="1" w:styleId="244">
    <w:name w:val="site_sub2_list web_7"/>
    <w:qFormat/>
    <w:uiPriority w:val="99"/>
  </w:style>
  <w:style w:type="character" w:customStyle="1" w:styleId="245">
    <w:name w:val="large1"/>
    <w:qFormat/>
    <w:uiPriority w:val="99"/>
    <w:rPr>
      <w:rFonts w:ascii="宋体" w:hAnsi="宋体" w:eastAsia="宋体"/>
      <w:sz w:val="21"/>
    </w:rPr>
  </w:style>
  <w:style w:type="character" w:customStyle="1" w:styleId="246">
    <w:name w:val="正文 Char1"/>
    <w:qFormat/>
    <w:uiPriority w:val="99"/>
    <w:rPr>
      <w:rFonts w:ascii="宋体" w:hAnsi="宋体" w:eastAsia="宋体"/>
      <w:kern w:val="2"/>
      <w:sz w:val="21"/>
    </w:rPr>
  </w:style>
  <w:style w:type="character" w:customStyle="1" w:styleId="247">
    <w:name w:val="纯文本 Char1"/>
    <w:qFormat/>
    <w:uiPriority w:val="99"/>
    <w:rPr>
      <w:rFonts w:ascii="宋体" w:hAnsi="Courier New" w:eastAsia="宋体"/>
      <w:kern w:val="2"/>
      <w:sz w:val="21"/>
      <w:lang w:val="en-US" w:eastAsia="zh-CN"/>
    </w:rPr>
  </w:style>
  <w:style w:type="character" w:customStyle="1" w:styleId="248">
    <w:name w:val="正文缩进 字符"/>
    <w:link w:val="14"/>
    <w:qFormat/>
    <w:locked/>
    <w:uiPriority w:val="99"/>
    <w:rPr>
      <w:rFonts w:eastAsia="宋体"/>
      <w:sz w:val="24"/>
    </w:rPr>
  </w:style>
  <w:style w:type="character" w:customStyle="1" w:styleId="249">
    <w:name w:val="site_sub2_list web_4"/>
    <w:qFormat/>
    <w:uiPriority w:val="99"/>
  </w:style>
  <w:style w:type="character" w:customStyle="1" w:styleId="250">
    <w:name w:val="List Paragraph Char"/>
    <w:qFormat/>
    <w:uiPriority w:val="99"/>
    <w:rPr>
      <w:sz w:val="24"/>
    </w:rPr>
  </w:style>
  <w:style w:type="character" w:customStyle="1" w:styleId="251">
    <w:name w:val="标题 1 字符1"/>
    <w:qFormat/>
    <w:uiPriority w:val="99"/>
    <w:rPr>
      <w:rFonts w:ascii="Times New Roman" w:hAnsi="Times New Roman" w:eastAsia="宋体"/>
      <w:b/>
      <w:kern w:val="44"/>
      <w:sz w:val="44"/>
    </w:rPr>
  </w:style>
  <w:style w:type="character" w:customStyle="1" w:styleId="252">
    <w:name w:val="正文文本缩进 2 Char1"/>
    <w:qFormat/>
    <w:uiPriority w:val="99"/>
  </w:style>
  <w:style w:type="character" w:customStyle="1" w:styleId="253">
    <w:name w:val="纯文本 Char2"/>
    <w:qFormat/>
    <w:uiPriority w:val="99"/>
    <w:rPr>
      <w:rFonts w:ascii="宋体" w:hAnsi="Courier New" w:eastAsia="宋体"/>
      <w:sz w:val="21"/>
    </w:rPr>
  </w:style>
  <w:style w:type="character" w:customStyle="1" w:styleId="254">
    <w:name w:val="个人撰写风格"/>
    <w:qFormat/>
    <w:uiPriority w:val="99"/>
    <w:rPr>
      <w:rFonts w:ascii="Arial" w:hAnsi="Arial" w:eastAsia="宋体"/>
      <w:color w:val="auto"/>
      <w:sz w:val="20"/>
    </w:rPr>
  </w:style>
  <w:style w:type="character" w:customStyle="1" w:styleId="255">
    <w:name w:val="批注文字 Char1"/>
    <w:qFormat/>
    <w:uiPriority w:val="99"/>
    <w:rPr>
      <w:rFonts w:ascii="Times New Roman" w:hAnsi="Times New Roman" w:eastAsia="宋体"/>
      <w:sz w:val="24"/>
    </w:rPr>
  </w:style>
  <w:style w:type="character" w:customStyle="1" w:styleId="256">
    <w:name w:val="site_sub2_list web_10"/>
    <w:qFormat/>
    <w:uiPriority w:val="99"/>
  </w:style>
  <w:style w:type="character" w:customStyle="1" w:styleId="257">
    <w:name w:val="ca-2"/>
    <w:qFormat/>
    <w:uiPriority w:val="99"/>
  </w:style>
  <w:style w:type="character" w:customStyle="1" w:styleId="258">
    <w:name w:val="表格标题 Char"/>
    <w:link w:val="68"/>
    <w:qFormat/>
    <w:locked/>
    <w:uiPriority w:val="99"/>
    <w:rPr>
      <w:rFonts w:ascii="宋体" w:hAnsi="宋体" w:eastAsia="宋体"/>
      <w:b/>
      <w:kern w:val="2"/>
      <w:sz w:val="24"/>
      <w:lang w:val="en-US" w:eastAsia="zh-CN"/>
    </w:rPr>
  </w:style>
  <w:style w:type="character" w:customStyle="1" w:styleId="259">
    <w:name w:val="标题 1 Char Char"/>
    <w:qFormat/>
    <w:uiPriority w:val="99"/>
    <w:rPr>
      <w:rFonts w:eastAsia="宋体"/>
      <w:b/>
      <w:spacing w:val="-2"/>
      <w:sz w:val="24"/>
      <w:lang w:val="en-US" w:eastAsia="zh-CN"/>
    </w:rPr>
  </w:style>
  <w:style w:type="character" w:customStyle="1" w:styleId="260">
    <w:name w:val="日期 Char1"/>
    <w:qFormat/>
    <w:uiPriority w:val="99"/>
    <w:rPr>
      <w:rFonts w:ascii="Times New Roman" w:hAnsi="Times New Roman" w:eastAsia="宋体"/>
      <w:sz w:val="24"/>
    </w:rPr>
  </w:style>
  <w:style w:type="character" w:customStyle="1" w:styleId="261">
    <w:name w:val="Char Char7"/>
    <w:qFormat/>
    <w:uiPriority w:val="99"/>
    <w:rPr>
      <w:rFonts w:ascii="宋体" w:hAnsi="Courier New" w:eastAsia="宋体"/>
      <w:kern w:val="2"/>
      <w:sz w:val="21"/>
      <w:lang w:val="en-US" w:eastAsia="zh-CN"/>
    </w:rPr>
  </w:style>
  <w:style w:type="character" w:customStyle="1" w:styleId="262">
    <w:name w:val="正文2 Char Char"/>
    <w:link w:val="69"/>
    <w:qFormat/>
    <w:locked/>
    <w:uiPriority w:val="99"/>
    <w:rPr>
      <w:sz w:val="24"/>
    </w:rPr>
  </w:style>
  <w:style w:type="character" w:customStyle="1" w:styleId="263">
    <w:name w:val="Char Char8"/>
    <w:qFormat/>
    <w:uiPriority w:val="99"/>
    <w:rPr>
      <w:rFonts w:ascii="宋体" w:hAnsi="Courier New" w:eastAsia="宋体"/>
      <w:kern w:val="2"/>
      <w:sz w:val="21"/>
      <w:lang w:val="en-US" w:eastAsia="zh-CN"/>
    </w:rPr>
  </w:style>
  <w:style w:type="character" w:customStyle="1" w:styleId="264">
    <w:name w:val="文档结构图 Char1"/>
    <w:qFormat/>
    <w:uiPriority w:val="99"/>
    <w:rPr>
      <w:rFonts w:ascii="宋体" w:eastAsia="宋体"/>
      <w:sz w:val="18"/>
    </w:rPr>
  </w:style>
  <w:style w:type="character" w:customStyle="1" w:styleId="265">
    <w:name w:val="样式"/>
    <w:qFormat/>
    <w:uiPriority w:val="99"/>
    <w:rPr>
      <w:rFonts w:ascii="宋体" w:hAnsi="宋体" w:eastAsia="仿宋_GB2312"/>
      <w:u w:val="single"/>
    </w:rPr>
  </w:style>
  <w:style w:type="character" w:customStyle="1" w:styleId="266">
    <w:name w:val="纯文本 字符"/>
    <w:qFormat/>
    <w:uiPriority w:val="99"/>
    <w:rPr>
      <w:rFonts w:ascii="等线" w:hAnsi="Courier New"/>
    </w:rPr>
  </w:style>
  <w:style w:type="character" w:customStyle="1" w:styleId="267">
    <w:name w:val="site_sub2_list web_11"/>
    <w:qFormat/>
    <w:uiPriority w:val="99"/>
  </w:style>
  <w:style w:type="character" w:customStyle="1" w:styleId="268">
    <w:name w:val="zbggmain style9"/>
    <w:qFormat/>
    <w:uiPriority w:val="99"/>
  </w:style>
  <w:style w:type="character" w:customStyle="1" w:styleId="269">
    <w:name w:val="表正文 Char1"/>
    <w:qFormat/>
    <w:uiPriority w:val="99"/>
    <w:rPr>
      <w:rFonts w:eastAsia="宋体"/>
      <w:kern w:val="2"/>
      <w:sz w:val="21"/>
      <w:lang w:val="en-US" w:eastAsia="zh-CN"/>
    </w:rPr>
  </w:style>
  <w:style w:type="character" w:customStyle="1" w:styleId="270">
    <w:name w:val="正文文本缩进 3 Char1"/>
    <w:qFormat/>
    <w:uiPriority w:val="99"/>
    <w:rPr>
      <w:sz w:val="16"/>
    </w:rPr>
  </w:style>
  <w:style w:type="character" w:customStyle="1" w:styleId="271">
    <w:name w:val="Char Char11"/>
    <w:qFormat/>
    <w:uiPriority w:val="99"/>
    <w:rPr>
      <w:rFonts w:ascii="宋体" w:hAnsi="Courier New" w:eastAsia="宋体"/>
      <w:kern w:val="2"/>
      <w:sz w:val="21"/>
      <w:lang w:val="en-US" w:eastAsia="zh-CN"/>
    </w:rPr>
  </w:style>
  <w:style w:type="character" w:customStyle="1" w:styleId="272">
    <w:name w:val="正文文本缩进 字符"/>
    <w:qFormat/>
    <w:uiPriority w:val="99"/>
  </w:style>
  <w:style w:type="character" w:customStyle="1" w:styleId="273">
    <w:name w:val="site_sub2_list web_2"/>
    <w:qFormat/>
    <w:uiPriority w:val="99"/>
  </w:style>
  <w:style w:type="character" w:customStyle="1" w:styleId="274">
    <w:name w:val="未处理的提及1"/>
    <w:qFormat/>
    <w:uiPriority w:val="99"/>
    <w:rPr>
      <w:color w:val="605E5C"/>
      <w:shd w:val="clear" w:color="auto" w:fill="E1DFDD"/>
    </w:rPr>
  </w:style>
  <w:style w:type="character" w:customStyle="1" w:styleId="275">
    <w:name w:val="dyibufen 字符"/>
    <w:link w:val="181"/>
    <w:qFormat/>
    <w:locked/>
    <w:uiPriority w:val="99"/>
    <w:rPr>
      <w:rFonts w:ascii="宋体" w:hAnsi="宋体" w:eastAsia="宋体"/>
      <w:b/>
      <w:color w:val="000000"/>
      <w:kern w:val="2"/>
      <w:sz w:val="32"/>
    </w:rPr>
  </w:style>
  <w:style w:type="character" w:customStyle="1" w:styleId="276">
    <w:name w:val="font31"/>
    <w:basedOn w:val="48"/>
    <w:qFormat/>
    <w:uiPriority w:val="99"/>
    <w:rPr>
      <w:rFonts w:ascii="微软雅黑" w:hAnsi="微软雅黑" w:eastAsia="微软雅黑"/>
      <w:color w:val="000000"/>
      <w:sz w:val="20"/>
      <w:u w:val="none"/>
    </w:rPr>
  </w:style>
  <w:style w:type="character" w:customStyle="1" w:styleId="277">
    <w:name w:val="font11"/>
    <w:basedOn w:val="48"/>
    <w:qFormat/>
    <w:uiPriority w:val="99"/>
    <w:rPr>
      <w:rFonts w:ascii="宋体" w:hAnsi="宋体" w:eastAsia="宋体" w:cs="宋体"/>
      <w:color w:val="000000"/>
      <w:sz w:val="20"/>
      <w:szCs w:val="20"/>
      <w:u w:val="none"/>
    </w:rPr>
  </w:style>
  <w:style w:type="character" w:customStyle="1" w:styleId="278">
    <w:name w:val="font01"/>
    <w:basedOn w:val="48"/>
    <w:qFormat/>
    <w:uiPriority w:val="99"/>
    <w:rPr>
      <w:rFonts w:ascii="宋体" w:hAnsi="宋体" w:eastAsia="宋体" w:cs="宋体"/>
      <w:color w:val="000000"/>
      <w:sz w:val="20"/>
      <w:szCs w:val="20"/>
      <w:u w:val="none"/>
    </w:rPr>
  </w:style>
  <w:style w:type="table" w:customStyle="1" w:styleId="279">
    <w:name w:val="网格型浅色1"/>
    <w:qFormat/>
    <w:uiPriority w:val="99"/>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280">
    <w:name w:val="Table Normal1"/>
    <w:qFormat/>
    <w:uiPriority w:val="99"/>
    <w:pPr>
      <w:widowControl w:val="0"/>
      <w:autoSpaceDE w:val="0"/>
      <w:autoSpaceDN w:val="0"/>
    </w:pPr>
    <w:rPr>
      <w:rFonts w:ascii="Calibri" w:hAnsi="Calibri" w:cs="黑体"/>
      <w:sz w:val="22"/>
      <w:lang w:eastAsia="en-US"/>
    </w:rPr>
    <w:tblPr>
      <w:tblCellMar>
        <w:top w:w="0" w:type="dxa"/>
        <w:left w:w="0" w:type="dxa"/>
        <w:bottom w:w="0" w:type="dxa"/>
        <w:right w:w="0" w:type="dxa"/>
      </w:tblCellMar>
    </w:tblPr>
  </w:style>
  <w:style w:type="character" w:customStyle="1" w:styleId="281">
    <w:name w:val="font21"/>
    <w:basedOn w:val="48"/>
    <w:qFormat/>
    <w:uiPriority w:val="0"/>
    <w:rPr>
      <w:rFonts w:hint="eastAsia" w:ascii="宋体" w:hAnsi="宋体" w:eastAsia="宋体" w:cs="宋体"/>
      <w:color w:val="000000"/>
      <w:sz w:val="22"/>
      <w:szCs w:val="22"/>
      <w:u w:val="none"/>
    </w:rPr>
  </w:style>
  <w:style w:type="paragraph" w:customStyle="1" w:styleId="282">
    <w:name w:val="_Style 189"/>
    <w:basedOn w:val="1"/>
    <w:qFormat/>
    <w:uiPriority w:val="34"/>
    <w:pPr>
      <w:ind w:firstLine="420" w:firstLineChars="200"/>
    </w:pPr>
    <w:rPr>
      <w:rFonts w:ascii="Calibri" w:hAnsi="Calibri" w:eastAsia="等线"/>
      <w:kern w:val="0"/>
      <w:sz w:val="20"/>
      <w:szCs w:val="20"/>
    </w:rPr>
  </w:style>
  <w:style w:type="paragraph" w:customStyle="1" w:styleId="283">
    <w:name w:val="bgg"/>
    <w:basedOn w:val="1"/>
    <w:qFormat/>
    <w:uiPriority w:val="0"/>
    <w:pPr>
      <w:snapToGrid w:val="0"/>
      <w:ind w:left="52" w:leftChars="25" w:right="52" w:rightChars="25"/>
      <w:jc w:val="center"/>
    </w:pPr>
    <w:rPr>
      <w:sz w:val="18"/>
      <w:szCs w:val="18"/>
    </w:rPr>
  </w:style>
  <w:style w:type="paragraph" w:customStyle="1" w:styleId="284">
    <w:name w:val="p0"/>
    <w:basedOn w:val="1"/>
    <w:qFormat/>
    <w:uiPriority w:val="0"/>
    <w:pPr>
      <w:widowControl/>
    </w:pPr>
    <w:rPr>
      <w:kern w:val="0"/>
      <w:szCs w:val="21"/>
    </w:rPr>
  </w:style>
  <w:style w:type="paragraph" w:customStyle="1" w:styleId="285">
    <w:name w:val="正文3.8"/>
    <w:basedOn w:val="1"/>
    <w:qFormat/>
    <w:uiPriority w:val="0"/>
    <w:pPr>
      <w:spacing w:line="360" w:lineRule="auto"/>
      <w:ind w:firstLine="200" w:firstLineChars="200"/>
      <w:contextualSpacing/>
      <w:jc w:val="left"/>
    </w:pPr>
    <w:rPr>
      <w:rFonts w:ascii="仿宋" w:hAnsi="仿宋" w:eastAsia="仿宋" w:cs="仿宋"/>
      <w:kern w:val="0"/>
      <w:sz w:val="24"/>
      <w:lang w:bidi="en-US"/>
    </w:rPr>
  </w:style>
  <w:style w:type="paragraph" w:styleId="286">
    <w:name w:val="No Spacing"/>
    <w:next w:val="1"/>
    <w:qFormat/>
    <w:uiPriority w:val="1"/>
    <w:rPr>
      <w:rFonts w:ascii="等线" w:hAnsi="等线" w:eastAsia="等线" w:cs="Times New Roman"/>
      <w:sz w:val="22"/>
      <w:szCs w:val="22"/>
      <w:lang w:val="en-US" w:eastAsia="zh-CN" w:bidi="ar-SA"/>
    </w:rPr>
  </w:style>
  <w:style w:type="paragraph" w:customStyle="1" w:styleId="287">
    <w:name w:val="9.12正文样式"/>
    <w:basedOn w:val="1"/>
    <w:qFormat/>
    <w:uiPriority w:val="0"/>
    <w:pPr>
      <w:widowControl/>
      <w:tabs>
        <w:tab w:val="left" w:pos="6300"/>
      </w:tabs>
      <w:adjustRightInd w:val="0"/>
      <w:snapToGrid w:val="0"/>
      <w:spacing w:line="360" w:lineRule="auto"/>
      <w:ind w:firstLine="200" w:firstLineChars="200"/>
    </w:pPr>
    <w:rPr>
      <w:rFonts w:ascii="宋体" w:hAnsi="宋体" w:eastAsia="仿宋"/>
      <w:kern w:val="0"/>
      <w:sz w:val="24"/>
      <w:szCs w:val="21"/>
    </w:rPr>
  </w:style>
  <w:style w:type="paragraph" w:customStyle="1" w:styleId="288">
    <w:name w:val="正文 New New New New"/>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28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90">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291">
    <w:name w:val="font41"/>
    <w:basedOn w:val="48"/>
    <w:qFormat/>
    <w:uiPriority w:val="0"/>
    <w:rPr>
      <w:rFonts w:hint="default" w:ascii="Calibri" w:hAnsi="Calibri" w:cs="Calibri"/>
      <w:color w:val="000000"/>
      <w:sz w:val="20"/>
      <w:szCs w:val="20"/>
      <w:u w:val="none"/>
    </w:rPr>
  </w:style>
  <w:style w:type="character" w:customStyle="1" w:styleId="292">
    <w:name w:val="font51"/>
    <w:basedOn w:val="48"/>
    <w:qFormat/>
    <w:uiPriority w:val="0"/>
    <w:rPr>
      <w:rFonts w:hint="default" w:ascii="Calibri" w:hAnsi="Calibri" w:cs="Calibri"/>
      <w:color w:val="000000"/>
      <w:sz w:val="20"/>
      <w:szCs w:val="20"/>
      <w:u w:val="none"/>
    </w:rPr>
  </w:style>
  <w:style w:type="character" w:customStyle="1" w:styleId="293">
    <w:name w:val="font61"/>
    <w:basedOn w:val="48"/>
    <w:qFormat/>
    <w:uiPriority w:val="0"/>
    <w:rPr>
      <w:rFonts w:hint="eastAsia" w:ascii="宋体" w:hAnsi="宋体" w:eastAsia="宋体" w:cs="宋体"/>
      <w:b/>
      <w:bCs/>
      <w:color w:val="000000"/>
      <w:sz w:val="18"/>
      <w:szCs w:val="18"/>
      <w:u w:val="none"/>
    </w:rPr>
  </w:style>
  <w:style w:type="character" w:customStyle="1" w:styleId="294">
    <w:name w:val="font71"/>
    <w:basedOn w:val="48"/>
    <w:qFormat/>
    <w:uiPriority w:val="0"/>
    <w:rPr>
      <w:rFonts w:hint="default" w:ascii="Calibri" w:hAnsi="Calibri" w:cs="Calibri"/>
      <w:color w:val="000000"/>
      <w:sz w:val="18"/>
      <w:szCs w:val="18"/>
      <w:u w:val="none"/>
    </w:rPr>
  </w:style>
  <w:style w:type="paragraph" w:customStyle="1" w:styleId="295">
    <w:name w:val="Table Text"/>
    <w:basedOn w:val="1"/>
    <w:semiHidden/>
    <w:qFormat/>
    <w:uiPriority w:val="0"/>
    <w:rPr>
      <w:rFonts w:ascii="仿宋" w:hAnsi="仿宋" w:eastAsia="仿宋" w:cs="仿宋"/>
      <w:sz w:val="20"/>
      <w:szCs w:val="20"/>
      <w:lang w:val="en-US" w:eastAsia="en-US" w:bidi="ar-SA"/>
    </w:rPr>
  </w:style>
  <w:style w:type="table" w:customStyle="1" w:styleId="296">
    <w:name w:val="Table Normal"/>
    <w:semiHidden/>
    <w:unhideWhenUsed/>
    <w:qFormat/>
    <w:uiPriority w:val="0"/>
    <w:tblPr>
      <w:tblCellMar>
        <w:top w:w="0" w:type="dxa"/>
        <w:left w:w="0" w:type="dxa"/>
        <w:bottom w:w="0" w:type="dxa"/>
        <w:right w:w="0" w:type="dxa"/>
      </w:tblCellMar>
    </w:tblPr>
  </w:style>
  <w:style w:type="paragraph" w:customStyle="1" w:styleId="297">
    <w:name w:val="表格yxh"/>
    <w:basedOn w:val="1"/>
    <w:qFormat/>
    <w:uiPriority w:val="0"/>
    <w:pPr>
      <w:widowControl/>
      <w:spacing w:line="240" w:lineRule="auto"/>
      <w:ind w:firstLine="0" w:firstLineChars="0"/>
      <w:textAlignment w:val="center"/>
    </w:pPr>
    <w:rPr>
      <w:rFonts w:hint="eastAsia" w:ascii="宋体" w:hAnsi="宋体" w:cs="宋体"/>
      <w:color w:val="000000"/>
      <w:sz w:val="21"/>
      <w:szCs w:val="21"/>
    </w:rPr>
  </w:style>
  <w:style w:type="character" w:customStyle="1" w:styleId="298">
    <w:name w:val="font81"/>
    <w:basedOn w:val="48"/>
    <w:qFormat/>
    <w:uiPriority w:val="0"/>
    <w:rPr>
      <w:rFonts w:hint="eastAsia" w:ascii="仿宋" w:hAnsi="仿宋" w:eastAsia="仿宋" w:cs="仿宋"/>
      <w:color w:val="FF0000"/>
      <w:sz w:val="21"/>
      <w:szCs w:val="21"/>
      <w:u w:val="none"/>
    </w:rPr>
  </w:style>
  <w:style w:type="paragraph" w:customStyle="1" w:styleId="299">
    <w:name w:val="正文111"/>
    <w:basedOn w:val="1"/>
    <w:next w:val="2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SimSun" w:cs="Times New Roman"/>
      <w:color w:val="auto"/>
      <w:kern w:val="0"/>
      <w:sz w:val="24"/>
      <w:szCs w:val="24"/>
      <w:lang w:val="en-US" w:eastAsia="zh-CN" w:bidi="ar"/>
    </w:rPr>
  </w:style>
  <w:style w:type="paragraph" w:customStyle="1" w:styleId="300">
    <w:name w:val="Normal_1"/>
    <w:qFormat/>
    <w:uiPriority w:val="0"/>
    <w:pPr>
      <w:widowControl w:val="0"/>
      <w:spacing w:line="360" w:lineRule="auto"/>
      <w:ind w:firstLine="200" w:firstLineChars="200"/>
      <w:jc w:val="both"/>
    </w:pPr>
    <w:rPr>
      <w:rFonts w:ascii="Times New Roman" w:hAnsi="Times New Roman" w:eastAsia="仿宋" w:cs="Times New Roman"/>
      <w:sz w:val="24"/>
      <w:szCs w:val="24"/>
      <w:lang w:val="en-US" w:eastAsia="zh-CN" w:bidi="ar-SA"/>
    </w:rPr>
  </w:style>
  <w:style w:type="paragraph" w:customStyle="1" w:styleId="301">
    <w:name w:val="附件"/>
    <w:basedOn w:val="300"/>
    <w:qFormat/>
    <w:uiPriority w:val="0"/>
    <w:pPr>
      <w:numPr>
        <w:ilvl w:val="0"/>
        <w:numId w:val="10"/>
      </w:numPr>
      <w:tabs>
        <w:tab w:val="left" w:pos="1134"/>
      </w:tabs>
      <w:ind w:firstLine="0" w:firstLineChars="0"/>
    </w:pPr>
    <w:rPr>
      <w:rFonts w:ascii="黑体" w:hAnsi="黑体"/>
      <w:b/>
      <w:bCs/>
      <w:sz w:val="28"/>
      <w:szCs w:val="28"/>
    </w:rPr>
  </w:style>
  <w:style w:type="paragraph" w:customStyle="1" w:styleId="302">
    <w:name w:val="trs_editor"/>
    <w:basedOn w:val="1"/>
    <w:qFormat/>
    <w:uiPriority w:val="0"/>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13943</Words>
  <Characters>14915</Characters>
  <Lines>1</Lines>
  <Paragraphs>1</Paragraphs>
  <TotalTime>141</TotalTime>
  <ScaleCrop>false</ScaleCrop>
  <LinksUpToDate>false</LinksUpToDate>
  <CharactersWithSpaces>15053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2022-11-21T11:08:00Z</dcterms:created>
  <dc:creator>mian wang</dc:creator>
  <cp:lastModifiedBy>YUP</cp:lastModifiedBy>
  <cp:lastPrinted>2025-03-01T12:14:00Z</cp:lastPrinted>
  <dcterms:modified xsi:type="dcterms:W3CDTF">2025-07-11T05:47:54Z</dcterms:modified>
  <dc:title>钱江燃气用户管理系统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724E1683126D4AED9C7BACDD53F6F557_13</vt:lpwstr>
  </property>
  <property fmtid="{D5CDD505-2E9C-101B-9397-08002B2CF9AE}" pid="4" name="KSOTemplateDocerSaveRecord">
    <vt:lpwstr>eyJoZGlkIjoiNzIxMGUzYTBmMGRjMGU3YjFmZTI5YjA2NTVhMWZiZmQiLCJ1c2VySWQiOiI0MzYzOTc2MDAifQ==</vt:lpwstr>
  </property>
</Properties>
</file>